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ascii="Times New Roman" w:hAnsi="Times New Roman" w:eastAsia="方正黑体_GBK" w:cs="Times New Roman"/>
          <w:sz w:val="32"/>
          <w:szCs w:val="32"/>
          <w:lang w:eastAsia="zh-CN"/>
        </w:rPr>
        <w:t>1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：</w:t>
      </w:r>
    </w:p>
    <w:p/>
    <w:p>
      <w:pPr>
        <w:pStyle w:val="2"/>
        <w:jc w:val="center"/>
        <w:rPr>
          <w:rFonts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评标办法</w:t>
      </w: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第一条 评标原则</w:t>
      </w:r>
    </w:p>
    <w:p>
      <w:pPr>
        <w:adjustRightInd w:val="0"/>
        <w:snapToGrid w:val="0"/>
        <w:spacing w:line="586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符合资格的</w:t>
      </w:r>
      <w:r>
        <w:rPr>
          <w:rFonts w:ascii="Times New Roman" w:hAnsi="Times New Roman" w:eastAsia="方正仿宋_GBK" w:cs="Times New Roman"/>
          <w:sz w:val="32"/>
          <w:szCs w:val="32"/>
        </w:rPr>
        <w:t>参选人数量不少于三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家</w:t>
      </w:r>
      <w:r>
        <w:rPr>
          <w:rFonts w:ascii="Times New Roman" w:hAnsi="Times New Roman" w:eastAsia="方正仿宋_GBK" w:cs="Times New Roman"/>
          <w:sz w:val="32"/>
          <w:szCs w:val="32"/>
        </w:rPr>
        <w:t>时，进入评选程序，不足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方正仿宋_GBK" w:cs="Times New Roman"/>
          <w:sz w:val="32"/>
          <w:szCs w:val="32"/>
        </w:rPr>
        <w:t>家的本项目流选。通过资格审查的参选人数量少于三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家</w:t>
      </w:r>
      <w:r>
        <w:rPr>
          <w:rFonts w:ascii="Times New Roman" w:hAnsi="Times New Roman" w:eastAsia="方正仿宋_GBK" w:cs="Times New Roman"/>
          <w:sz w:val="32"/>
          <w:szCs w:val="32"/>
        </w:rPr>
        <w:t>的，如评审委员会认为仍有竞争的，可继续进行评选。</w:t>
      </w:r>
    </w:p>
    <w:p>
      <w:pPr>
        <w:adjustRightInd w:val="0"/>
        <w:snapToGrid w:val="0"/>
        <w:spacing w:line="586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2.参选人资格同时审查，资格审查未通过的，不再对其后续文件进行评审。</w:t>
      </w:r>
    </w:p>
    <w:p>
      <w:pPr>
        <w:adjustRightInd w:val="0"/>
        <w:snapToGrid w:val="0"/>
        <w:spacing w:line="586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3.本项目参选报价以一次性报价为准。</w:t>
      </w:r>
    </w:p>
    <w:p>
      <w:pPr>
        <w:adjustRightInd w:val="0"/>
        <w:snapToGrid w:val="0"/>
        <w:spacing w:line="586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4.参选人提供的资料必须真实有效，评委在评审中如发现有弄虚作假行为，按无效参选文件处理，骗取成交的，将取消其成交资格，并将提交主管部门依法处理。</w:t>
      </w:r>
    </w:p>
    <w:p>
      <w:pPr>
        <w:adjustRightInd w:val="0"/>
        <w:snapToGrid w:val="0"/>
        <w:spacing w:line="586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5.如成交候选人放弃成交资格的或者被取消成交资格的，则重新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比选</w:t>
      </w:r>
      <w:r>
        <w:rPr>
          <w:rFonts w:ascii="Times New Roman" w:hAnsi="Times New Roman" w:eastAsia="方正仿宋_GBK" w:cs="Times New Roman"/>
          <w:sz w:val="32"/>
          <w:szCs w:val="32"/>
        </w:rPr>
        <w:t>，并且该单位将按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比选</w:t>
      </w:r>
      <w:r>
        <w:rPr>
          <w:rFonts w:ascii="Times New Roman" w:hAnsi="Times New Roman" w:eastAsia="方正仿宋_GBK" w:cs="Times New Roman"/>
          <w:sz w:val="32"/>
          <w:szCs w:val="32"/>
        </w:rPr>
        <w:t>文件有关规定处理。</w:t>
      </w: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第二条 评标过程</w:t>
      </w:r>
    </w:p>
    <w:p>
      <w:pPr>
        <w:adjustRightInd w:val="0"/>
        <w:snapToGrid w:val="0"/>
        <w:spacing w:line="590" w:lineRule="exact"/>
        <w:ind w:firstLine="643" w:firstLineChars="200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1.资格审查（符合性评审）</w:t>
      </w:r>
    </w:p>
    <w:p>
      <w:pPr>
        <w:adjustRightInd w:val="0"/>
        <w:snapToGrid w:val="0"/>
        <w:spacing w:line="586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参选人全部进入资格审查，由本项目评选小组根据参加资格审查的参选人递交的资格证明文件，按照本项目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比选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文件以及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比选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公告的要求对参选人的资格进行审查。资格审查主要包括以下内容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pStyle w:val="4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4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4"/>
      </w:pPr>
    </w:p>
    <w:tbl>
      <w:tblPr>
        <w:tblStyle w:val="7"/>
        <w:tblW w:w="496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287"/>
        <w:gridCol w:w="464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746" w:type="dxa"/>
            <w:vAlign w:val="center"/>
          </w:tcPr>
          <w:p>
            <w:pPr>
              <w:spacing w:line="360" w:lineRule="auto"/>
              <w:jc w:val="center"/>
              <w:rPr>
                <w:rFonts w:ascii="方正黑体_GBK" w:hAnsi="方正黑体_GBK" w:eastAsia="方正黑体_GBK" w:cs="方正黑体_GBK"/>
                <w:bCs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Cs w:val="21"/>
              </w:rPr>
              <w:t>序号</w:t>
            </w:r>
          </w:p>
        </w:tc>
        <w:tc>
          <w:tcPr>
            <w:tcW w:w="1287" w:type="dxa"/>
            <w:vAlign w:val="center"/>
          </w:tcPr>
          <w:p>
            <w:pPr>
              <w:spacing w:line="360" w:lineRule="auto"/>
              <w:jc w:val="center"/>
              <w:rPr>
                <w:rFonts w:ascii="方正黑体_GBK" w:hAnsi="方正黑体_GBK" w:eastAsia="方正黑体_GBK" w:cs="方正黑体_GBK"/>
                <w:bCs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Cs w:val="21"/>
              </w:rPr>
              <w:t>项目内容</w:t>
            </w:r>
          </w:p>
        </w:tc>
        <w:tc>
          <w:tcPr>
            <w:tcW w:w="4645" w:type="dxa"/>
            <w:vAlign w:val="center"/>
          </w:tcPr>
          <w:p>
            <w:pPr>
              <w:spacing w:line="360" w:lineRule="auto"/>
              <w:jc w:val="center"/>
              <w:rPr>
                <w:rFonts w:ascii="方正黑体_GBK" w:hAnsi="方正黑体_GBK" w:eastAsia="方正黑体_GBK" w:cs="方正黑体_GBK"/>
                <w:bCs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Cs w:val="21"/>
              </w:rPr>
              <w:t>合格条件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方正黑体_GBK" w:hAnsi="方正黑体_GBK" w:eastAsia="方正黑体_GBK" w:cs="方正黑体_GBK"/>
                <w:bCs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Cs w:val="21"/>
              </w:rPr>
              <w:t>需提供的证明材料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  <w:jc w:val="center"/>
        </w:trPr>
        <w:tc>
          <w:tcPr>
            <w:tcW w:w="74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营业执照</w:t>
            </w:r>
          </w:p>
        </w:tc>
        <w:tc>
          <w:tcPr>
            <w:tcW w:w="46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工商行政管理部门颁发的营业执照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。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有效的企业营业执照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1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</w:p>
        </w:tc>
        <w:tc>
          <w:tcPr>
            <w:tcW w:w="128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服务业绩</w:t>
            </w:r>
          </w:p>
        </w:tc>
        <w:tc>
          <w:tcPr>
            <w:tcW w:w="46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提供参选人自20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1月1日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至参选文件递交截止日期止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合同价在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万元及以上的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导向标识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设计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制作安装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项目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提供业绩合同复印件(扫描件)并加盖公章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1" w:hRule="atLeast"/>
          <w:jc w:val="center"/>
        </w:trPr>
        <w:tc>
          <w:tcPr>
            <w:tcW w:w="74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参选人违法记录</w:t>
            </w:r>
          </w:p>
        </w:tc>
        <w:tc>
          <w:tcPr>
            <w:tcW w:w="46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参选人在经营活动中没有重大违法记录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提供相关内容承诺书原件并加盖公章</w:t>
            </w:r>
          </w:p>
        </w:tc>
      </w:tr>
    </w:tbl>
    <w:p>
      <w:pPr>
        <w:adjustRightInd w:val="0"/>
        <w:snapToGrid w:val="0"/>
        <w:spacing w:line="586" w:lineRule="exact"/>
        <w:ind w:firstLine="640" w:firstLineChars="200"/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本次资格审查采用合格制，各参选人只有满足资格审查必要合格条件后，方可参与后续的评审。</w:t>
      </w:r>
    </w:p>
    <w:p>
      <w:pPr>
        <w:adjustRightInd w:val="0"/>
        <w:snapToGrid w:val="0"/>
        <w:spacing w:line="590" w:lineRule="exact"/>
        <w:ind w:firstLine="643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商务技术部分评审</w:t>
      </w:r>
    </w:p>
    <w:p>
      <w:pPr>
        <w:jc w:val="center"/>
        <w:rPr>
          <w:rFonts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商务部分（</w:t>
      </w: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10</w:t>
      </w:r>
      <w:r>
        <w:rPr>
          <w:rFonts w:hint="eastAsia" w:ascii="方正黑体_GBK" w:hAnsi="方正黑体_GBK" w:eastAsia="方正黑体_GBK" w:cs="方正黑体_GBK"/>
          <w:sz w:val="30"/>
          <w:szCs w:val="30"/>
        </w:rPr>
        <w:t>分）</w:t>
      </w:r>
    </w:p>
    <w:tbl>
      <w:tblPr>
        <w:tblStyle w:val="7"/>
        <w:tblW w:w="9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7"/>
        <w:gridCol w:w="1468"/>
        <w:gridCol w:w="945"/>
        <w:gridCol w:w="6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atLeast"/>
          <w:jc w:val="center"/>
        </w:trPr>
        <w:tc>
          <w:tcPr>
            <w:tcW w:w="677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auto"/>
              <w:ind w:firstLine="28"/>
              <w:jc w:val="center"/>
              <w:rPr>
                <w:rFonts w:ascii="宋体" w:cs="宋体"/>
                <w:b/>
                <w:bCs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Cs w:val="20"/>
              </w:rPr>
              <w:t>序号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/>
                <w:bCs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Cs w:val="20"/>
              </w:rPr>
              <w:t>评分因素及权重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auto"/>
              <w:ind w:firstLine="28"/>
              <w:jc w:val="center"/>
              <w:rPr>
                <w:rFonts w:ascii="宋体" w:cs="宋体"/>
                <w:b/>
                <w:bCs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Cs w:val="20"/>
              </w:rPr>
              <w:t>分值</w:t>
            </w:r>
          </w:p>
        </w:tc>
        <w:tc>
          <w:tcPr>
            <w:tcW w:w="6162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auto"/>
              <w:ind w:firstLine="28"/>
              <w:jc w:val="center"/>
              <w:rPr>
                <w:rFonts w:ascii="宋体" w:cs="宋体"/>
                <w:b/>
                <w:bCs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Cs w:val="20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50" w:hRule="atLeast"/>
          <w:jc w:val="center"/>
        </w:trPr>
        <w:tc>
          <w:tcPr>
            <w:tcW w:w="677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业绩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0"/>
                <w:szCs w:val="20"/>
              </w:rPr>
              <w:t>分</w:t>
            </w:r>
          </w:p>
        </w:tc>
        <w:tc>
          <w:tcPr>
            <w:tcW w:w="6162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根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据投标人所提供的业绩证明进行打分。自20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1月1日至参选文件递交截止日期止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，每有1个合同价在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万元及以上的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导向标识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设计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制作安装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项目业绩加1分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最多加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分。</w:t>
            </w:r>
          </w:p>
        </w:tc>
      </w:tr>
    </w:tbl>
    <w:p>
      <w:pPr>
        <w:jc w:val="center"/>
        <w:rPr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技术部分（</w:t>
      </w: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30</w:t>
      </w:r>
      <w:r>
        <w:rPr>
          <w:rFonts w:hint="eastAsia" w:ascii="方正黑体_GBK" w:hAnsi="方正黑体_GBK" w:eastAsia="方正黑体_GBK" w:cs="方正黑体_GBK"/>
          <w:sz w:val="30"/>
          <w:szCs w:val="30"/>
        </w:rPr>
        <w:t>分）</w:t>
      </w:r>
    </w:p>
    <w:tbl>
      <w:tblPr>
        <w:tblStyle w:val="7"/>
        <w:tblW w:w="9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7"/>
        <w:gridCol w:w="1468"/>
        <w:gridCol w:w="945"/>
        <w:gridCol w:w="6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8" w:hRule="atLeast"/>
          <w:jc w:val="center"/>
        </w:trPr>
        <w:tc>
          <w:tcPr>
            <w:tcW w:w="677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auto"/>
              <w:ind w:firstLine="28"/>
              <w:jc w:val="center"/>
              <w:rPr>
                <w:rFonts w:ascii="宋体" w:hAnsi="Calibri" w:eastAsia="宋体" w:cs="宋体"/>
                <w:b/>
                <w:bCs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Cs w:val="20"/>
              </w:rPr>
              <w:t>序号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Calibri" w:eastAsia="宋体" w:cs="宋体"/>
                <w:b/>
                <w:bCs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Cs w:val="20"/>
              </w:rPr>
              <w:t>评分因素及权重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auto"/>
              <w:ind w:firstLine="28"/>
              <w:jc w:val="center"/>
              <w:rPr>
                <w:rFonts w:ascii="宋体" w:hAnsi="Calibri" w:eastAsia="宋体" w:cs="宋体"/>
                <w:b/>
                <w:bCs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Cs w:val="20"/>
              </w:rPr>
              <w:t>分值</w:t>
            </w:r>
          </w:p>
        </w:tc>
        <w:tc>
          <w:tcPr>
            <w:tcW w:w="6162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auto"/>
              <w:ind w:firstLine="28"/>
              <w:jc w:val="center"/>
              <w:rPr>
                <w:rFonts w:ascii="宋体" w:hAnsi="Calibri" w:eastAsia="宋体" w:cs="宋体"/>
                <w:b/>
                <w:bCs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Cs w:val="20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8" w:hRule="atLeast"/>
          <w:jc w:val="center"/>
        </w:trPr>
        <w:tc>
          <w:tcPr>
            <w:tcW w:w="677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设计方案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整体效果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分</w:t>
            </w:r>
          </w:p>
        </w:tc>
        <w:tc>
          <w:tcPr>
            <w:tcW w:w="6162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根据投标人所提供的设计方案，从整体效果方面进行评价，由评委在[0,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]分之间进行打分。</w:t>
            </w:r>
          </w:p>
        </w:tc>
      </w:tr>
    </w:tbl>
    <w:p>
      <w:pPr>
        <w:pStyle w:val="2"/>
      </w:pPr>
    </w:p>
    <w:p>
      <w:pPr>
        <w:adjustRightInd w:val="0"/>
        <w:snapToGrid w:val="0"/>
        <w:spacing w:line="590" w:lineRule="exact"/>
        <w:ind w:firstLine="643" w:firstLineChars="200"/>
        <w:rPr>
          <w:rFonts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价格部分评审</w:t>
      </w:r>
    </w:p>
    <w:p>
      <w:pPr>
        <w:jc w:val="center"/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价格部分（</w:t>
      </w: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60</w:t>
      </w:r>
      <w:r>
        <w:rPr>
          <w:rFonts w:hint="eastAsia" w:ascii="方正黑体_GBK" w:hAnsi="方正黑体_GBK" w:eastAsia="方正黑体_GBK" w:cs="方正黑体_GBK"/>
          <w:sz w:val="30"/>
          <w:szCs w:val="30"/>
        </w:rPr>
        <w:t>分）</w:t>
      </w:r>
    </w:p>
    <w:tbl>
      <w:tblPr>
        <w:tblStyle w:val="7"/>
        <w:tblW w:w="9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7"/>
        <w:gridCol w:w="1468"/>
        <w:gridCol w:w="945"/>
        <w:gridCol w:w="6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5" w:hRule="atLeast"/>
          <w:jc w:val="center"/>
        </w:trPr>
        <w:tc>
          <w:tcPr>
            <w:tcW w:w="677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auto"/>
              <w:ind w:firstLine="28"/>
              <w:jc w:val="center"/>
              <w:rPr>
                <w:rFonts w:ascii="宋体" w:hAnsi="Calibri" w:eastAsia="宋体" w:cs="宋体"/>
                <w:b/>
                <w:bCs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Cs w:val="20"/>
              </w:rPr>
              <w:t>序号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Calibri" w:eastAsia="宋体" w:cs="宋体"/>
                <w:b/>
                <w:bCs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Cs w:val="20"/>
              </w:rPr>
              <w:t>评分因素及权重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auto"/>
              <w:ind w:firstLine="28"/>
              <w:jc w:val="center"/>
              <w:rPr>
                <w:rFonts w:ascii="宋体" w:hAnsi="Calibri" w:eastAsia="宋体" w:cs="宋体"/>
                <w:b/>
                <w:bCs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Cs w:val="20"/>
              </w:rPr>
              <w:t>分值</w:t>
            </w:r>
          </w:p>
        </w:tc>
        <w:tc>
          <w:tcPr>
            <w:tcW w:w="6162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auto"/>
              <w:ind w:firstLine="28"/>
              <w:jc w:val="center"/>
              <w:rPr>
                <w:rFonts w:ascii="宋体" w:hAnsi="Calibri" w:eastAsia="宋体" w:cs="宋体"/>
                <w:b/>
                <w:bCs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Cs w:val="20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5" w:hRule="atLeast"/>
          <w:jc w:val="center"/>
        </w:trPr>
        <w:tc>
          <w:tcPr>
            <w:tcW w:w="677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报价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FF000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60分</w:t>
            </w:r>
          </w:p>
        </w:tc>
        <w:tc>
          <w:tcPr>
            <w:tcW w:w="6162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有效投标报价：通过资格审查的合格投标人的投标报价。 </w:t>
            </w:r>
          </w:p>
          <w:p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评标基准价：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所有有效评标价数量＜5 家时，取所有有效评标价的算术平均值；若 5 家≤所有有效评标价数量＜9 家时，去掉其中的一个最高价和一个最低价后取算术平均值；若所有有效评标价数量 ≥9 家时，去掉两个最高和两个最低的报价后取算术平均值。报价得分保留小数点后两位，小数点第三位“四舍五入”。 </w:t>
            </w:r>
          </w:p>
          <w:p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偏差率计算方式：</w:t>
            </w:r>
            <w:r>
              <w:rPr>
                <w:rFonts w:hint="eastAsia" w:ascii="宋体" w:hAnsi="宋体" w:cs="宋体"/>
                <w:sz w:val="20"/>
                <w:szCs w:val="20"/>
              </w:rPr>
              <w:t>偏差率=100%×（投标人报价－评标基准价）/评标基准价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报价得分计算公式示例：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如果投标人的报价＞评标基准价，则报价得分=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sz w:val="20"/>
                <w:szCs w:val="20"/>
              </w:rPr>
              <w:t>-偏差率×100×E1；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如果投标人的报价≤评标基准价，则报价得分=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sz w:val="20"/>
                <w:szCs w:val="20"/>
              </w:rPr>
              <w:t>+偏差率×100×E2；</w:t>
            </w:r>
          </w:p>
          <w:p>
            <w:pPr>
              <w:jc w:val="left"/>
              <w:rPr>
                <w:rFonts w:hint="default" w:ascii="宋体" w:hAnsi="宋体" w:cs="宋体" w:eastAsiaTheme="minorEastAsia"/>
                <w:b/>
                <w:bCs/>
                <w:color w:val="FF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其中：E1 是评标价每高于评标基准价一个百分点的扣分值；E2 是评标价每低于评标基准价一个百分点的扣分值。E1=0.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sz w:val="20"/>
                <w:szCs w:val="20"/>
              </w:rPr>
              <w:t>，E2=0.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0"/>
                <w:szCs w:val="20"/>
              </w:rPr>
              <w:t>，扣完为止。报价得分保留小数点后两位，小数点第三位“四舍五入”。</w:t>
            </w:r>
          </w:p>
        </w:tc>
      </w:tr>
    </w:tbl>
    <w:p>
      <w:pPr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第三条 确定成交候选人</w:t>
      </w:r>
    </w:p>
    <w:p>
      <w:pPr>
        <w:pStyle w:val="4"/>
        <w:adjustRightInd w:val="0"/>
        <w:snapToGrid w:val="0"/>
        <w:spacing w:line="59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比选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人组建评审委员会，对各参选人的综合得分按从高到低的顺序确定排名次序，并推荐排名第一的参选人为成交候选人。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除成交候选人外，按技术分排名选前两名，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分别给予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000元、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000元的设计方案补偿费。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比选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人与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以上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3家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单位签</w:t>
      </w:r>
      <w:bookmarkStart w:id="0" w:name="_GoBack"/>
      <w:bookmarkEnd w:id="0"/>
      <w:r>
        <w:rPr>
          <w:rFonts w:ascii="Times New Roman" w:hAnsi="Times New Roman" w:eastAsia="方正仿宋_GBK" w:cs="Times New Roman"/>
          <w:kern w:val="2"/>
          <w:sz w:val="32"/>
          <w:szCs w:val="32"/>
        </w:rPr>
        <w:t>订合同，设计方案包括著作权在内的所有知识产权归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比选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方南通城市轨道交通有限公司所有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，如相关成果涉及知识产权纠纷，责任由参选人承担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如遇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多家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参选单位得分排名并列时，则参选报价低的单位排名优先，如报价也相同的，将通过抽签形式确定成交候选人。</w:t>
      </w:r>
    </w:p>
    <w:p>
      <w:pPr>
        <w:pStyle w:val="4"/>
        <w:adjustRightInd w:val="0"/>
        <w:snapToGrid w:val="0"/>
        <w:spacing w:line="590" w:lineRule="exact"/>
        <w:ind w:firstLine="616" w:firstLineChars="200"/>
        <w:rPr>
          <w:rFonts w:ascii="方正仿宋_GBK" w:hAnsi="方正仿宋_GBK" w:eastAsia="方正仿宋_GBK" w:cs="方正仿宋_GBK"/>
          <w:snapToGrid w:val="0"/>
          <w:spacing w:val="-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spacing w:val="-6"/>
          <w:sz w:val="32"/>
          <w:szCs w:val="32"/>
        </w:rPr>
        <w:t>本办法未尽事宜，由评审委员会依据有关法律法规研究解决。</w:t>
      </w:r>
    </w:p>
    <w:p/>
    <w:sectPr>
      <w:footerReference r:id="rId3" w:type="default"/>
      <w:pgSz w:w="11906" w:h="16838"/>
      <w:pgMar w:top="1361" w:right="1587" w:bottom="136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78595BF-B76B-4F5B-B4BB-359DAC2407B6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F537A7F-0383-446C-BA67-3522FD9E2761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FFCC952-7FFE-4AF9-A851-07C5A241A5E6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3823A3D9-55BD-4F30-91C5-A8FA886779C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7ACA5C"/>
    <w:multiLevelType w:val="singleLevel"/>
    <w:tmpl w:val="AC7ACA5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YWNjMDNmZGJkY2I5MzgyYTViYjUxMDcwZjFmMzkifQ=="/>
  </w:docVars>
  <w:rsids>
    <w:rsidRoot w:val="50A356D1"/>
    <w:rsid w:val="001D7D62"/>
    <w:rsid w:val="01CA4CC5"/>
    <w:rsid w:val="02DA4630"/>
    <w:rsid w:val="03DE20F3"/>
    <w:rsid w:val="03EC0177"/>
    <w:rsid w:val="045D2E23"/>
    <w:rsid w:val="06484360"/>
    <w:rsid w:val="06551AC5"/>
    <w:rsid w:val="069D1BFD"/>
    <w:rsid w:val="072E6CF9"/>
    <w:rsid w:val="07A1396F"/>
    <w:rsid w:val="08801666"/>
    <w:rsid w:val="09D924C7"/>
    <w:rsid w:val="0A4767E0"/>
    <w:rsid w:val="0A4841EA"/>
    <w:rsid w:val="0B4E6DAF"/>
    <w:rsid w:val="0B504EF1"/>
    <w:rsid w:val="0BA9676E"/>
    <w:rsid w:val="0BD34888"/>
    <w:rsid w:val="0D116EA1"/>
    <w:rsid w:val="0D535BC3"/>
    <w:rsid w:val="0DF75186"/>
    <w:rsid w:val="0E4A4418"/>
    <w:rsid w:val="0EAE0E4B"/>
    <w:rsid w:val="0ED939EE"/>
    <w:rsid w:val="0F1E1499"/>
    <w:rsid w:val="10B41CDF"/>
    <w:rsid w:val="11041F12"/>
    <w:rsid w:val="117F4DC6"/>
    <w:rsid w:val="118E5DD5"/>
    <w:rsid w:val="12137217"/>
    <w:rsid w:val="121F7B29"/>
    <w:rsid w:val="12DF2156"/>
    <w:rsid w:val="131B767A"/>
    <w:rsid w:val="139A7BF0"/>
    <w:rsid w:val="140E5EE8"/>
    <w:rsid w:val="14ED3D4F"/>
    <w:rsid w:val="162E2871"/>
    <w:rsid w:val="16E66CA8"/>
    <w:rsid w:val="17DE788F"/>
    <w:rsid w:val="18910E95"/>
    <w:rsid w:val="19137AFC"/>
    <w:rsid w:val="19B412DF"/>
    <w:rsid w:val="19FA2570"/>
    <w:rsid w:val="1A4B3542"/>
    <w:rsid w:val="1B721452"/>
    <w:rsid w:val="1B7619A8"/>
    <w:rsid w:val="1B9969DF"/>
    <w:rsid w:val="1C911E1D"/>
    <w:rsid w:val="1EEE7042"/>
    <w:rsid w:val="1F5D35A5"/>
    <w:rsid w:val="1F6B231A"/>
    <w:rsid w:val="20923DE0"/>
    <w:rsid w:val="20A8226A"/>
    <w:rsid w:val="213C2203"/>
    <w:rsid w:val="21464F13"/>
    <w:rsid w:val="21780E44"/>
    <w:rsid w:val="21EB06F8"/>
    <w:rsid w:val="2254749D"/>
    <w:rsid w:val="23CB16FF"/>
    <w:rsid w:val="25025BF2"/>
    <w:rsid w:val="250A44A9"/>
    <w:rsid w:val="25186BC6"/>
    <w:rsid w:val="25365624"/>
    <w:rsid w:val="2536704D"/>
    <w:rsid w:val="25DE583D"/>
    <w:rsid w:val="263A3B43"/>
    <w:rsid w:val="27683B83"/>
    <w:rsid w:val="27CA64FA"/>
    <w:rsid w:val="27F80B2E"/>
    <w:rsid w:val="2810627B"/>
    <w:rsid w:val="28BB61E6"/>
    <w:rsid w:val="28D70B46"/>
    <w:rsid w:val="29A0718A"/>
    <w:rsid w:val="2A377AEF"/>
    <w:rsid w:val="2A7A5C2D"/>
    <w:rsid w:val="2A9911DF"/>
    <w:rsid w:val="2B344327"/>
    <w:rsid w:val="2BD91045"/>
    <w:rsid w:val="2BDB26FC"/>
    <w:rsid w:val="2BF42B35"/>
    <w:rsid w:val="2C0003B4"/>
    <w:rsid w:val="2C3301C6"/>
    <w:rsid w:val="2C82701B"/>
    <w:rsid w:val="2D21010A"/>
    <w:rsid w:val="2DC0798D"/>
    <w:rsid w:val="2E3B56D4"/>
    <w:rsid w:val="2E6647A7"/>
    <w:rsid w:val="2EA17C2D"/>
    <w:rsid w:val="2F61560E"/>
    <w:rsid w:val="320904E6"/>
    <w:rsid w:val="322C3CB1"/>
    <w:rsid w:val="33CC574C"/>
    <w:rsid w:val="33D22554"/>
    <w:rsid w:val="35E658DD"/>
    <w:rsid w:val="365B4B65"/>
    <w:rsid w:val="366E78CF"/>
    <w:rsid w:val="367F4D28"/>
    <w:rsid w:val="39380AF8"/>
    <w:rsid w:val="3B051543"/>
    <w:rsid w:val="3CCB3E6D"/>
    <w:rsid w:val="3D314EC7"/>
    <w:rsid w:val="3D404D73"/>
    <w:rsid w:val="3DEE62BF"/>
    <w:rsid w:val="3E3839DE"/>
    <w:rsid w:val="3F4F492A"/>
    <w:rsid w:val="3FCB2D5B"/>
    <w:rsid w:val="3FDF2363"/>
    <w:rsid w:val="401B136F"/>
    <w:rsid w:val="40572841"/>
    <w:rsid w:val="40580A2B"/>
    <w:rsid w:val="40750F19"/>
    <w:rsid w:val="41072576"/>
    <w:rsid w:val="41502D53"/>
    <w:rsid w:val="41867AAE"/>
    <w:rsid w:val="41C910CD"/>
    <w:rsid w:val="41D40BFD"/>
    <w:rsid w:val="41E719A3"/>
    <w:rsid w:val="42ED2FE9"/>
    <w:rsid w:val="43851473"/>
    <w:rsid w:val="43CC09CB"/>
    <w:rsid w:val="44A90B20"/>
    <w:rsid w:val="44FC7513"/>
    <w:rsid w:val="4541586E"/>
    <w:rsid w:val="45B87FE0"/>
    <w:rsid w:val="46F57C53"/>
    <w:rsid w:val="484C07B1"/>
    <w:rsid w:val="48515DC8"/>
    <w:rsid w:val="495F2766"/>
    <w:rsid w:val="49E04860"/>
    <w:rsid w:val="4AEF182A"/>
    <w:rsid w:val="4B1C363A"/>
    <w:rsid w:val="4B4450EF"/>
    <w:rsid w:val="4D221AE1"/>
    <w:rsid w:val="4D8C259C"/>
    <w:rsid w:val="4DA92202"/>
    <w:rsid w:val="4DD637A3"/>
    <w:rsid w:val="4E451BE7"/>
    <w:rsid w:val="4EF80730"/>
    <w:rsid w:val="4F846A83"/>
    <w:rsid w:val="4FBD3D43"/>
    <w:rsid w:val="50206871"/>
    <w:rsid w:val="50493828"/>
    <w:rsid w:val="50646C86"/>
    <w:rsid w:val="50A356D1"/>
    <w:rsid w:val="50A92A0F"/>
    <w:rsid w:val="50B138A7"/>
    <w:rsid w:val="50C730CB"/>
    <w:rsid w:val="50D83E3D"/>
    <w:rsid w:val="514F4E6E"/>
    <w:rsid w:val="521C11F4"/>
    <w:rsid w:val="528143B1"/>
    <w:rsid w:val="548E182E"/>
    <w:rsid w:val="54B24092"/>
    <w:rsid w:val="553B1200"/>
    <w:rsid w:val="5543089A"/>
    <w:rsid w:val="55711857"/>
    <w:rsid w:val="55BB3420"/>
    <w:rsid w:val="561F3061"/>
    <w:rsid w:val="565E4C06"/>
    <w:rsid w:val="56927CD7"/>
    <w:rsid w:val="56A10441"/>
    <w:rsid w:val="56DC0F52"/>
    <w:rsid w:val="5714693E"/>
    <w:rsid w:val="586D4B49"/>
    <w:rsid w:val="58947260"/>
    <w:rsid w:val="58E16CEB"/>
    <w:rsid w:val="5A5A7640"/>
    <w:rsid w:val="5A7C4904"/>
    <w:rsid w:val="5BA20505"/>
    <w:rsid w:val="5BE2452A"/>
    <w:rsid w:val="5C3D2493"/>
    <w:rsid w:val="5C6E6AF1"/>
    <w:rsid w:val="5C82434A"/>
    <w:rsid w:val="5CD5434D"/>
    <w:rsid w:val="5DD21301"/>
    <w:rsid w:val="5E437E22"/>
    <w:rsid w:val="5E641071"/>
    <w:rsid w:val="5E8A398A"/>
    <w:rsid w:val="5EF86023"/>
    <w:rsid w:val="5F0B0627"/>
    <w:rsid w:val="613025C6"/>
    <w:rsid w:val="618446C0"/>
    <w:rsid w:val="622A3878"/>
    <w:rsid w:val="626E182E"/>
    <w:rsid w:val="62F87114"/>
    <w:rsid w:val="63422A85"/>
    <w:rsid w:val="63495BC1"/>
    <w:rsid w:val="63A4729C"/>
    <w:rsid w:val="63E853DA"/>
    <w:rsid w:val="64A93E89"/>
    <w:rsid w:val="651F307E"/>
    <w:rsid w:val="6591159B"/>
    <w:rsid w:val="65B60E25"/>
    <w:rsid w:val="6633482C"/>
    <w:rsid w:val="664F5C5B"/>
    <w:rsid w:val="669C5E64"/>
    <w:rsid w:val="67784CC7"/>
    <w:rsid w:val="67931363"/>
    <w:rsid w:val="67A755AC"/>
    <w:rsid w:val="68CC107E"/>
    <w:rsid w:val="692C4A40"/>
    <w:rsid w:val="694110E9"/>
    <w:rsid w:val="69590A0B"/>
    <w:rsid w:val="69CA5C85"/>
    <w:rsid w:val="6A325601"/>
    <w:rsid w:val="6AD20B92"/>
    <w:rsid w:val="6B0A5038"/>
    <w:rsid w:val="6B930BEB"/>
    <w:rsid w:val="6C327B3B"/>
    <w:rsid w:val="6C5537EB"/>
    <w:rsid w:val="6E1D2124"/>
    <w:rsid w:val="6E760A66"/>
    <w:rsid w:val="6E9B2F9B"/>
    <w:rsid w:val="6EB55EC5"/>
    <w:rsid w:val="6F8D5088"/>
    <w:rsid w:val="70BD7083"/>
    <w:rsid w:val="71BA6B28"/>
    <w:rsid w:val="71D53613"/>
    <w:rsid w:val="7235077A"/>
    <w:rsid w:val="73284FC8"/>
    <w:rsid w:val="75662603"/>
    <w:rsid w:val="76FC7D28"/>
    <w:rsid w:val="770E7401"/>
    <w:rsid w:val="770F3724"/>
    <w:rsid w:val="779C608A"/>
    <w:rsid w:val="77D818F2"/>
    <w:rsid w:val="783C764B"/>
    <w:rsid w:val="7BE424D4"/>
    <w:rsid w:val="7C1508DF"/>
    <w:rsid w:val="7C15268D"/>
    <w:rsid w:val="7CAF7EB6"/>
    <w:rsid w:val="7D0E5956"/>
    <w:rsid w:val="7E363D55"/>
    <w:rsid w:val="7E406107"/>
    <w:rsid w:val="7EA0257D"/>
    <w:rsid w:val="7EAF6DC9"/>
    <w:rsid w:val="7F5E1394"/>
    <w:rsid w:val="7F73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outlineLvl w:val="3"/>
    </w:pPr>
    <w:rPr>
      <w:sz w:val="28"/>
      <w:szCs w:val="20"/>
      <w:lang w:eastAsia="en-US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b/>
      <w:kern w:val="0"/>
      <w:sz w:val="24"/>
      <w:szCs w:val="20"/>
    </w:rPr>
  </w:style>
  <w:style w:type="paragraph" w:styleId="4">
    <w:name w:val="Body Text Indent"/>
    <w:basedOn w:val="1"/>
    <w:qFormat/>
    <w:uiPriority w:val="99"/>
    <w:pPr>
      <w:spacing w:line="360" w:lineRule="auto"/>
      <w:ind w:firstLine="420"/>
    </w:pPr>
    <w:rPr>
      <w:rFonts w:ascii="宋体"/>
      <w:kern w:val="0"/>
      <w:sz w:val="24"/>
      <w:szCs w:val="20"/>
    </w:rPr>
  </w:style>
  <w:style w:type="paragraph" w:styleId="5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71"/>
    <w:basedOn w:val="8"/>
    <w:qFormat/>
    <w:uiPriority w:val="0"/>
    <w:rPr>
      <w:rFonts w:hint="eastAsia" w:ascii="方正黑体_GBK" w:hAnsi="方正黑体_GBK" w:eastAsia="方正黑体_GBK" w:cs="方正黑体_GBK"/>
      <w:color w:val="000000"/>
      <w:sz w:val="22"/>
      <w:szCs w:val="22"/>
      <w:u w:val="none"/>
    </w:rPr>
  </w:style>
  <w:style w:type="character" w:customStyle="1" w:styleId="11">
    <w:name w:val="font61"/>
    <w:basedOn w:val="8"/>
    <w:qFormat/>
    <w:uiPriority w:val="0"/>
    <w:rPr>
      <w:rFonts w:hint="eastAsia" w:ascii="方正黑体_GBK" w:hAnsi="方正黑体_GBK" w:eastAsia="方正黑体_GBK" w:cs="方正黑体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1373</Words>
  <Characters>1436</Characters>
  <Lines>0</Lines>
  <Paragraphs>0</Paragraphs>
  <TotalTime>51</TotalTime>
  <ScaleCrop>false</ScaleCrop>
  <LinksUpToDate>false</LinksUpToDate>
  <CharactersWithSpaces>1449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2023-02-06T09:17:00Z</dcterms:created>
  <dc:creator>suara</dc:creator>
  <cp:lastModifiedBy>橘子皮</cp:lastModifiedBy>
  <cp:lastPrinted>2023-02-16T09:21:04Z</cp:lastPrinted>
  <dcterms:modified xsi:type="dcterms:W3CDTF">2023-02-16T10:33:13Z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7A42CCE25E374891AF634D658AB8A751</vt:lpwstr>
  </property>
</Properties>
</file>