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360" w:lineRule="auto"/>
        <w:jc w:val="center"/>
        <w:rPr>
          <w:rFonts w:hint="eastAsia" w:ascii="宋体" w:hAnsi="宋体" w:eastAsia="宋体" w:cs="宋体"/>
          <w:color w:val="auto"/>
          <w:sz w:val="44"/>
          <w:szCs w:val="44"/>
          <w:highlight w:val="none"/>
        </w:rPr>
      </w:pPr>
      <w:bookmarkStart w:id="0" w:name="_Toc184635069"/>
      <w:bookmarkStart w:id="244" w:name="_GoBack"/>
      <w:bookmarkEnd w:id="244"/>
    </w:p>
    <w:p>
      <w:pPr>
        <w:spacing w:before="156" w:after="156" w:line="360" w:lineRule="auto"/>
        <w:jc w:val="center"/>
        <w:rPr>
          <w:rFonts w:hint="eastAsia" w:ascii="宋体" w:hAnsi="宋体" w:eastAsia="宋体" w:cs="宋体"/>
          <w:color w:val="auto"/>
          <w:sz w:val="44"/>
          <w:szCs w:val="44"/>
          <w:highlight w:val="none"/>
        </w:rPr>
      </w:pPr>
    </w:p>
    <w:p>
      <w:pPr>
        <w:spacing w:before="156" w:after="156"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南通轨道交通集团有限公司运营分公司</w:t>
      </w:r>
      <w:r>
        <w:rPr>
          <w:rFonts w:hint="eastAsia" w:ascii="宋体" w:hAnsi="宋体" w:eastAsia="宋体" w:cs="宋体"/>
          <w:b/>
          <w:color w:val="auto"/>
          <w:sz w:val="36"/>
          <w:szCs w:val="36"/>
          <w:highlight w:val="none"/>
          <w:lang w:eastAsia="zh-CN"/>
        </w:rPr>
        <w:t>危废品暂存间</w:t>
      </w:r>
    </w:p>
    <w:p>
      <w:pPr>
        <w:spacing w:before="156" w:after="156" w:line="360" w:lineRule="auto"/>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eastAsia="zh-CN"/>
        </w:rPr>
        <w:t>改造工程</w:t>
      </w:r>
      <w:r>
        <w:rPr>
          <w:rFonts w:hint="eastAsia" w:ascii="宋体" w:hAnsi="宋体" w:eastAsia="宋体" w:cs="宋体"/>
          <w:b/>
          <w:color w:val="auto"/>
          <w:sz w:val="36"/>
          <w:szCs w:val="36"/>
          <w:highlight w:val="none"/>
          <w:lang w:val="en-US" w:eastAsia="zh-CN"/>
        </w:rPr>
        <w:t>项目</w:t>
      </w:r>
    </w:p>
    <w:p>
      <w:pPr>
        <w:spacing w:before="156" w:after="156" w:line="360" w:lineRule="auto"/>
        <w:jc w:val="center"/>
        <w:outlineLvl w:val="0"/>
        <w:rPr>
          <w:rFonts w:hint="eastAsia" w:ascii="宋体" w:hAnsi="宋体" w:eastAsia="宋体" w:cs="宋体"/>
          <w:b/>
          <w:color w:val="auto"/>
          <w:sz w:val="44"/>
          <w:szCs w:val="44"/>
          <w:highlight w:val="none"/>
        </w:rPr>
      </w:pPr>
    </w:p>
    <w:p>
      <w:pPr>
        <w:spacing w:before="156" w:after="156" w:line="360" w:lineRule="auto"/>
        <w:jc w:val="center"/>
        <w:rPr>
          <w:rFonts w:hint="eastAsia" w:ascii="宋体" w:hAnsi="宋体" w:eastAsia="宋体" w:cs="宋体"/>
          <w:color w:val="auto"/>
          <w:sz w:val="44"/>
          <w:szCs w:val="44"/>
          <w:highlight w:val="none"/>
        </w:rPr>
      </w:pPr>
    </w:p>
    <w:p>
      <w:pPr>
        <w:spacing w:before="156" w:after="156" w:line="360" w:lineRule="auto"/>
        <w:jc w:val="center"/>
        <w:rPr>
          <w:rFonts w:hint="eastAsia" w:ascii="宋体" w:hAnsi="宋体" w:eastAsia="宋体" w:cs="宋体"/>
          <w:color w:val="auto"/>
          <w:sz w:val="44"/>
          <w:szCs w:val="44"/>
          <w:highlight w:val="none"/>
        </w:rPr>
      </w:pPr>
    </w:p>
    <w:p>
      <w:pPr>
        <w:spacing w:before="156" w:after="156" w:line="360" w:lineRule="auto"/>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比 选 文 件</w:t>
      </w:r>
    </w:p>
    <w:p>
      <w:pPr>
        <w:spacing w:before="156" w:after="156" w:line="360" w:lineRule="auto"/>
        <w:jc w:val="center"/>
        <w:rPr>
          <w:rFonts w:hint="eastAsia" w:ascii="宋体" w:hAnsi="宋体" w:eastAsia="宋体" w:cs="宋体"/>
          <w:color w:val="auto"/>
          <w:sz w:val="28"/>
          <w:szCs w:val="28"/>
          <w:highlight w:val="none"/>
        </w:rPr>
      </w:pPr>
    </w:p>
    <w:p>
      <w:pPr>
        <w:spacing w:before="156" w:after="156" w:line="360" w:lineRule="auto"/>
        <w:rPr>
          <w:rFonts w:hint="eastAsia" w:ascii="宋体" w:hAnsi="宋体" w:eastAsia="宋体" w:cs="宋体"/>
          <w:color w:val="auto"/>
          <w:sz w:val="28"/>
          <w:szCs w:val="28"/>
          <w:highlight w:val="none"/>
        </w:rPr>
      </w:pPr>
    </w:p>
    <w:p>
      <w:pPr>
        <w:pStyle w:val="2"/>
        <w:spacing w:line="360" w:lineRule="auto"/>
        <w:rPr>
          <w:rFonts w:hint="eastAsia" w:ascii="宋体" w:hAnsi="宋体" w:eastAsia="宋体" w:cs="宋体"/>
          <w:color w:val="auto"/>
          <w:highlight w:val="none"/>
        </w:rPr>
      </w:pPr>
    </w:p>
    <w:p>
      <w:pPr>
        <w:spacing w:before="156" w:after="156" w:line="360" w:lineRule="auto"/>
        <w:rPr>
          <w:rFonts w:hint="eastAsia" w:ascii="宋体" w:hAnsi="宋体" w:eastAsia="宋体" w:cs="宋体"/>
          <w:color w:val="auto"/>
          <w:sz w:val="28"/>
          <w:szCs w:val="28"/>
          <w:highlight w:val="none"/>
          <w:u w:val="single"/>
        </w:rPr>
      </w:pPr>
    </w:p>
    <w:p>
      <w:pPr>
        <w:spacing w:before="156" w:after="156" w:line="360" w:lineRule="auto"/>
        <w:rPr>
          <w:rFonts w:hint="eastAsia" w:ascii="宋体" w:hAnsi="宋体" w:eastAsia="宋体" w:cs="宋体"/>
          <w:color w:val="auto"/>
          <w:sz w:val="28"/>
          <w:szCs w:val="28"/>
          <w:highlight w:val="none"/>
          <w:u w:val="single"/>
        </w:rPr>
      </w:pPr>
    </w:p>
    <w:p>
      <w:pPr>
        <w:pStyle w:val="20"/>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比选人：南通轨道交通集团有限公司运营分公司</w:t>
      </w:r>
    </w:p>
    <w:p>
      <w:pPr>
        <w:pStyle w:val="20"/>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招标代理机构:苏世建设管理集团有限公司</w:t>
      </w:r>
    </w:p>
    <w:p>
      <w:pPr>
        <w:ind w:firstLine="723"/>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2023年</w:t>
      </w:r>
      <w:r>
        <w:rPr>
          <w:rFonts w:hint="eastAsia" w:ascii="宋体" w:hAnsi="宋体" w:eastAsia="宋体" w:cs="宋体"/>
          <w:b/>
          <w:sz w:val="36"/>
          <w:szCs w:val="36"/>
          <w:highlight w:val="none"/>
          <w:lang w:val="en-US" w:eastAsia="zh-CN"/>
        </w:rPr>
        <w:t>5</w:t>
      </w:r>
      <w:r>
        <w:rPr>
          <w:rFonts w:hint="eastAsia" w:ascii="宋体" w:hAnsi="宋体" w:eastAsia="宋体" w:cs="宋体"/>
          <w:b/>
          <w:sz w:val="36"/>
          <w:szCs w:val="36"/>
          <w:highlight w:val="none"/>
        </w:rPr>
        <w:t>月</w:t>
      </w:r>
    </w:p>
    <w:p>
      <w:pPr>
        <w:pStyle w:val="21"/>
        <w:rPr>
          <w:rFonts w:hint="eastAsia" w:ascii="宋体" w:hAnsi="宋体" w:eastAsia="宋体" w:cs="宋体"/>
        </w:rPr>
        <w:sectPr>
          <w:headerReference r:id="rId3" w:type="default"/>
          <w:footerReference r:id="rId4" w:type="default"/>
          <w:footerReference r:id="rId5" w:type="even"/>
          <w:pgSz w:w="11906" w:h="16838"/>
          <w:pgMar w:top="1418" w:right="1134" w:bottom="1418" w:left="1134" w:header="851" w:footer="992" w:gutter="0"/>
          <w:pgNumType w:fmt="numberInDash"/>
          <w:cols w:space="720" w:num="1"/>
          <w:docGrid w:type="lines" w:linePitch="312" w:charSpace="0"/>
        </w:sectPr>
      </w:pPr>
    </w:p>
    <w:p>
      <w:pPr>
        <w:pStyle w:val="20"/>
        <w:ind w:firstLine="1436" w:firstLineChars="447"/>
        <w:rPr>
          <w:rFonts w:hint="eastAsia" w:ascii="宋体" w:hAnsi="宋体" w:eastAsia="宋体" w:cs="宋体"/>
          <w:b/>
          <w:color w:val="auto"/>
          <w:sz w:val="32"/>
          <w:szCs w:val="32"/>
          <w:highlight w:val="none"/>
        </w:rPr>
      </w:pPr>
    </w:p>
    <w:p>
      <w:pPr>
        <w:pStyle w:val="20"/>
        <w:ind w:firstLine="0"/>
        <w:jc w:val="center"/>
        <w:rPr>
          <w:rFonts w:hint="eastAsia" w:ascii="宋体" w:hAnsi="宋体" w:eastAsia="宋体" w:cs="宋体"/>
          <w:color w:val="auto"/>
          <w:highlight w:val="none"/>
        </w:rPr>
      </w:pPr>
      <w:bookmarkStart w:id="1" w:name="_Toc184635068"/>
      <w:r>
        <w:rPr>
          <w:rFonts w:hint="eastAsia" w:ascii="宋体" w:hAnsi="宋体" w:eastAsia="宋体" w:cs="宋体"/>
          <w:b/>
          <w:bCs/>
          <w:color w:val="auto"/>
          <w:sz w:val="28"/>
          <w:szCs w:val="28"/>
          <w:highlight w:val="none"/>
        </w:rPr>
        <w:t>目  录</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p>
    <w:p>
      <w:pPr>
        <w:pStyle w:val="37"/>
        <w:tabs>
          <w:tab w:val="right" w:leader="dot" w:pos="9638"/>
        </w:tabs>
        <w:snapToGrid w:val="0"/>
        <w:spacing w:before="0" w:line="360" w:lineRule="auto"/>
        <w:rPr>
          <w:rFonts w:hint="eastAsia" w:ascii="宋体" w:hAnsi="宋体" w:eastAsia="宋体" w:cs="宋体"/>
          <w:b w:val="0"/>
          <w:bCs w:val="0"/>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"_Toc29199"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第一章 比选公告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_Toc29199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638"/>
        </w:tabs>
        <w:snapToGrid w:val="0"/>
        <w:spacing w:line="360" w:lineRule="auto"/>
        <w:jc w:val="left"/>
        <w:rPr>
          <w:rFonts w:hint="eastAsia" w:ascii="宋体" w:hAnsi="宋体" w:eastAsia="宋体" w:cs="宋体"/>
          <w:b w:val="0"/>
          <w:bCs w:val="0"/>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highlight w:val="none"/>
        </w:rPr>
        <w:t>第二章 参选人须知</w:t>
      </w: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fldChar w:fldCharType="begin"/>
      </w:r>
      <w:r>
        <w:rPr>
          <w:rFonts w:hint="eastAsia" w:ascii="宋体" w:hAnsi="宋体" w:eastAsia="宋体" w:cs="宋体"/>
          <w:b/>
          <w:bCs/>
          <w:color w:val="auto"/>
          <w:sz w:val="24"/>
          <w:highlight w:val="none"/>
        </w:rPr>
        <w:instrText xml:space="preserve"> PAGEREF _Toc3234 \h </w:instrText>
      </w:r>
      <w:r>
        <w:rPr>
          <w:rFonts w:hint="eastAsia" w:ascii="宋体" w:hAnsi="宋体" w:eastAsia="宋体" w:cs="宋体"/>
          <w:b/>
          <w:bCs/>
          <w:color w:val="auto"/>
          <w:sz w:val="24"/>
          <w:highlight w:val="none"/>
        </w:rPr>
        <w:fldChar w:fldCharType="separate"/>
      </w:r>
      <w:r>
        <w:rPr>
          <w:rFonts w:hint="eastAsia" w:ascii="宋体" w:hAnsi="宋体" w:eastAsia="宋体" w:cs="宋体"/>
          <w:b/>
          <w:bCs/>
          <w:color w:val="auto"/>
          <w:sz w:val="24"/>
          <w:highlight w:val="none"/>
        </w:rPr>
        <w:t>8</w:t>
      </w:r>
      <w:r>
        <w:rPr>
          <w:rFonts w:hint="eastAsia" w:ascii="宋体" w:hAnsi="宋体" w:eastAsia="宋体" w:cs="宋体"/>
          <w:b/>
          <w:bCs/>
          <w:color w:val="auto"/>
          <w:sz w:val="24"/>
          <w:highlight w:val="none"/>
        </w:rPr>
        <w:fldChar w:fldCharType="end"/>
      </w:r>
      <w:r>
        <w:rPr>
          <w:rFonts w:hint="eastAsia" w:ascii="宋体" w:hAnsi="宋体" w:eastAsia="宋体" w:cs="宋体"/>
          <w:b/>
          <w:bCs/>
          <w:color w:val="auto"/>
          <w:sz w:val="24"/>
          <w:highlight w:val="none"/>
        </w:rPr>
        <w:fldChar w:fldCharType="end"/>
      </w:r>
    </w:p>
    <w:p>
      <w:pPr>
        <w:pStyle w:val="33"/>
        <w:tabs>
          <w:tab w:val="right" w:leader="dot" w:pos="9638"/>
        </w:tabs>
        <w:snapToGrid w:val="0"/>
        <w:spacing w:line="360" w:lineRule="auto"/>
        <w:jc w:val="left"/>
        <w:rPr>
          <w:rFonts w:hint="eastAsia" w:ascii="宋体" w:hAnsi="宋体" w:eastAsia="宋体" w:cs="宋体"/>
          <w:b w:val="0"/>
          <w:bCs w:val="0"/>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"_Toc19043"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highlight w:val="none"/>
        </w:rPr>
        <w:t>第三章 评选办法（综合评分法）</w:t>
      </w: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fldChar w:fldCharType="begin"/>
      </w:r>
      <w:r>
        <w:rPr>
          <w:rFonts w:hint="eastAsia" w:ascii="宋体" w:hAnsi="宋体" w:eastAsia="宋体" w:cs="宋体"/>
          <w:b/>
          <w:bCs/>
          <w:color w:val="auto"/>
          <w:sz w:val="24"/>
          <w:highlight w:val="none"/>
        </w:rPr>
        <w:instrText xml:space="preserve"> PAGEREF _Toc19043 \h </w:instrText>
      </w:r>
      <w:r>
        <w:rPr>
          <w:rFonts w:hint="eastAsia" w:ascii="宋体" w:hAnsi="宋体" w:eastAsia="宋体" w:cs="宋体"/>
          <w:b/>
          <w:bCs/>
          <w:color w:val="auto"/>
          <w:sz w:val="24"/>
          <w:highlight w:val="none"/>
        </w:rPr>
        <w:fldChar w:fldCharType="separate"/>
      </w:r>
      <w:r>
        <w:rPr>
          <w:rFonts w:hint="eastAsia" w:ascii="宋体" w:hAnsi="宋体" w:eastAsia="宋体" w:cs="宋体"/>
          <w:b/>
          <w:bCs/>
          <w:color w:val="auto"/>
          <w:sz w:val="24"/>
          <w:highlight w:val="none"/>
        </w:rPr>
        <w:t>27</w:t>
      </w:r>
      <w:r>
        <w:rPr>
          <w:rFonts w:hint="eastAsia" w:ascii="宋体" w:hAnsi="宋体" w:eastAsia="宋体" w:cs="宋体"/>
          <w:b/>
          <w:bCs/>
          <w:color w:val="auto"/>
          <w:sz w:val="24"/>
          <w:highlight w:val="none"/>
        </w:rPr>
        <w:fldChar w:fldCharType="end"/>
      </w:r>
      <w:r>
        <w:rPr>
          <w:rFonts w:hint="eastAsia" w:ascii="宋体" w:hAnsi="宋体" w:eastAsia="宋体" w:cs="宋体"/>
          <w:b/>
          <w:bCs/>
          <w:color w:val="auto"/>
          <w:sz w:val="24"/>
          <w:highlight w:val="none"/>
        </w:rPr>
        <w:fldChar w:fldCharType="end"/>
      </w:r>
    </w:p>
    <w:p>
      <w:pPr>
        <w:pStyle w:val="33"/>
        <w:tabs>
          <w:tab w:val="right" w:leader="dot" w:pos="9638"/>
        </w:tabs>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"_Toc12974"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highlight w:val="none"/>
        </w:rPr>
        <w:t xml:space="preserve">第四章 </w:t>
      </w:r>
      <w:r>
        <w:rPr>
          <w:rFonts w:hint="eastAsia" w:ascii="宋体" w:hAnsi="宋体" w:eastAsia="宋体" w:cs="宋体"/>
          <w:b/>
          <w:bCs/>
          <w:color w:val="auto"/>
          <w:sz w:val="24"/>
          <w:highlight w:val="none"/>
          <w:lang w:val="en-US" w:eastAsia="zh-CN"/>
        </w:rPr>
        <w:t>项目需求</w:t>
      </w: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fldChar w:fldCharType="begin"/>
      </w:r>
      <w:r>
        <w:rPr>
          <w:rFonts w:hint="eastAsia" w:ascii="宋体" w:hAnsi="宋体" w:eastAsia="宋体" w:cs="宋体"/>
          <w:b/>
          <w:bCs/>
          <w:color w:val="auto"/>
          <w:sz w:val="24"/>
          <w:highlight w:val="none"/>
        </w:rPr>
        <w:instrText xml:space="preserve"> PAGEREF _Toc12974 \h </w:instrText>
      </w:r>
      <w:r>
        <w:rPr>
          <w:rFonts w:hint="eastAsia" w:ascii="宋体" w:hAnsi="宋体" w:eastAsia="宋体" w:cs="宋体"/>
          <w:b/>
          <w:bCs/>
          <w:color w:val="auto"/>
          <w:sz w:val="24"/>
          <w:highlight w:val="none"/>
        </w:rPr>
        <w:fldChar w:fldCharType="separate"/>
      </w:r>
      <w:r>
        <w:rPr>
          <w:rFonts w:hint="eastAsia" w:ascii="宋体" w:hAnsi="宋体" w:eastAsia="宋体" w:cs="宋体"/>
          <w:b/>
          <w:bCs/>
          <w:color w:val="auto"/>
          <w:sz w:val="24"/>
          <w:highlight w:val="none"/>
        </w:rPr>
        <w:t>33</w:t>
      </w:r>
      <w:r>
        <w:rPr>
          <w:rFonts w:hint="eastAsia" w:ascii="宋体" w:hAnsi="宋体" w:eastAsia="宋体" w:cs="宋体"/>
          <w:b/>
          <w:bCs/>
          <w:color w:val="auto"/>
          <w:sz w:val="24"/>
          <w:highlight w:val="none"/>
        </w:rPr>
        <w:fldChar w:fldCharType="end"/>
      </w:r>
      <w:r>
        <w:rPr>
          <w:rFonts w:hint="eastAsia" w:ascii="宋体" w:hAnsi="宋体" w:eastAsia="宋体" w:cs="宋体"/>
          <w:b/>
          <w:bCs/>
          <w:color w:val="auto"/>
          <w:sz w:val="24"/>
          <w:highlight w:val="none"/>
        </w:rPr>
        <w:fldChar w:fldCharType="end"/>
      </w:r>
    </w:p>
    <w:p>
      <w:pPr>
        <w:pStyle w:val="33"/>
        <w:tabs>
          <w:tab w:val="right" w:leader="dot" w:pos="9638"/>
        </w:tabs>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"_Toc14650"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highlight w:val="none"/>
        </w:rPr>
        <w:t>第五章 主要合同条款</w:t>
      </w: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fldChar w:fldCharType="begin"/>
      </w:r>
      <w:r>
        <w:rPr>
          <w:rFonts w:hint="eastAsia" w:ascii="宋体" w:hAnsi="宋体" w:eastAsia="宋体" w:cs="宋体"/>
          <w:b/>
          <w:bCs/>
          <w:color w:val="auto"/>
          <w:sz w:val="24"/>
          <w:highlight w:val="none"/>
        </w:rPr>
        <w:instrText xml:space="preserve"> PAGEREF _Toc14650 \h </w:instrText>
      </w:r>
      <w:r>
        <w:rPr>
          <w:rFonts w:hint="eastAsia" w:ascii="宋体" w:hAnsi="宋体" w:eastAsia="宋体" w:cs="宋体"/>
          <w:b/>
          <w:bCs/>
          <w:color w:val="auto"/>
          <w:sz w:val="24"/>
          <w:highlight w:val="none"/>
        </w:rPr>
        <w:fldChar w:fldCharType="separate"/>
      </w:r>
      <w:r>
        <w:rPr>
          <w:rFonts w:hint="eastAsia" w:ascii="宋体" w:hAnsi="宋体" w:eastAsia="宋体" w:cs="宋体"/>
          <w:b/>
          <w:bCs/>
          <w:color w:val="auto"/>
          <w:sz w:val="24"/>
          <w:highlight w:val="none"/>
        </w:rPr>
        <w:t>33</w:t>
      </w:r>
      <w:r>
        <w:rPr>
          <w:rFonts w:hint="eastAsia" w:ascii="宋体" w:hAnsi="宋体" w:eastAsia="宋体" w:cs="宋体"/>
          <w:b/>
          <w:bCs/>
          <w:color w:val="auto"/>
          <w:sz w:val="24"/>
          <w:highlight w:val="none"/>
        </w:rPr>
        <w:fldChar w:fldCharType="end"/>
      </w:r>
      <w:r>
        <w:rPr>
          <w:rFonts w:hint="eastAsia" w:ascii="宋体" w:hAnsi="宋体" w:eastAsia="宋体" w:cs="宋体"/>
          <w:b/>
          <w:bCs/>
          <w:color w:val="auto"/>
          <w:sz w:val="24"/>
          <w:highlight w:val="none"/>
        </w:rPr>
        <w:fldChar w:fldCharType="end"/>
      </w:r>
    </w:p>
    <w:p>
      <w:pPr>
        <w:pStyle w:val="33"/>
        <w:tabs>
          <w:tab w:val="right" w:leader="dot" w:pos="9638"/>
        </w:tabs>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"_Toc17276"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highlight w:val="none"/>
        </w:rPr>
        <w:t>第六章  参选文件格式</w:t>
      </w: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5</w:t>
      </w:r>
      <w:r>
        <w:rPr>
          <w:rFonts w:hint="eastAsia" w:ascii="宋体" w:hAnsi="宋体" w:eastAsia="宋体" w:cs="宋体"/>
          <w:b/>
          <w:bCs/>
          <w:color w:val="auto"/>
          <w:sz w:val="24"/>
          <w:highlight w:val="none"/>
        </w:rPr>
        <w:fldChar w:fldCharType="end"/>
      </w:r>
      <w:r>
        <w:rPr>
          <w:rFonts w:hint="eastAsia" w:ascii="宋体" w:hAnsi="宋体" w:eastAsia="宋体" w:cs="宋体"/>
          <w:b/>
          <w:bCs/>
          <w:color w:val="auto"/>
          <w:sz w:val="24"/>
          <w:highlight w:val="none"/>
        </w:rPr>
        <w:t>5</w:t>
      </w:r>
    </w:p>
    <w:p>
      <w:pPr>
        <w:spacing w:line="360" w:lineRule="auto"/>
        <w:ind w:firstLine="938" w:firstLineChars="447"/>
        <w:jc w:val="left"/>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bookmarkEnd w:id="1"/>
    <w:p>
      <w:pPr>
        <w:spacing w:line="360" w:lineRule="auto"/>
        <w:jc w:val="center"/>
        <w:rPr>
          <w:rFonts w:hint="eastAsia" w:ascii="宋体" w:hAnsi="宋体" w:eastAsia="宋体" w:cs="宋体"/>
          <w:b/>
          <w:color w:val="auto"/>
          <w:sz w:val="32"/>
          <w:szCs w:val="32"/>
          <w:highlight w:val="none"/>
        </w:rPr>
      </w:pPr>
    </w:p>
    <w:p>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2" w:name="_Toc29199"/>
      <w:r>
        <w:rPr>
          <w:rFonts w:hint="eastAsia" w:ascii="宋体" w:hAnsi="宋体" w:eastAsia="宋体" w:cs="宋体"/>
          <w:b/>
          <w:color w:val="auto"/>
          <w:sz w:val="32"/>
          <w:szCs w:val="32"/>
          <w:highlight w:val="none"/>
        </w:rPr>
        <w:t>第一章</w:t>
      </w:r>
      <w:r>
        <w:rPr>
          <w:rFonts w:hint="eastAsia" w:ascii="宋体" w:hAnsi="宋体" w:eastAsia="宋体" w:cs="宋体"/>
          <w:b/>
          <w:color w:val="auto"/>
          <w:sz w:val="32"/>
          <w:szCs w:val="32"/>
          <w:highlight w:val="none"/>
        </w:rPr>
        <w:tab/>
      </w:r>
      <w:r>
        <w:rPr>
          <w:rFonts w:hint="eastAsia" w:ascii="宋体" w:hAnsi="宋体" w:eastAsia="宋体" w:cs="宋体"/>
          <w:b/>
          <w:color w:val="auto"/>
          <w:sz w:val="32"/>
          <w:szCs w:val="32"/>
          <w:highlight w:val="none"/>
        </w:rPr>
        <w:t>比选公告</w:t>
      </w:r>
      <w:bookmarkEnd w:id="2"/>
    </w:p>
    <w:p>
      <w:pPr>
        <w:spacing w:line="360" w:lineRule="auto"/>
        <w:ind w:left="149" w:leftChars="71" w:firstLine="330" w:firstLineChars="150"/>
        <w:rPr>
          <w:rFonts w:hint="eastAsia" w:ascii="宋体" w:hAnsi="宋体" w:eastAsia="宋体" w:cs="宋体"/>
          <w:bCs/>
          <w:color w:val="auto"/>
          <w:sz w:val="22"/>
          <w:szCs w:val="22"/>
          <w:highlight w:val="none"/>
        </w:rPr>
      </w:pPr>
    </w:p>
    <w:p>
      <w:pPr>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u w:val="single"/>
          <w:lang w:eastAsia="zh-CN"/>
        </w:rPr>
        <w:t>南通轨道交通集团有限公司运营分公司危废品暂存间改造工程</w:t>
      </w:r>
      <w:r>
        <w:rPr>
          <w:rFonts w:hint="eastAsia" w:ascii="宋体" w:hAnsi="宋体" w:eastAsia="宋体" w:cs="宋体"/>
          <w:sz w:val="21"/>
          <w:szCs w:val="21"/>
          <w:lang w:val="en-US" w:eastAsia="zh-CN"/>
        </w:rPr>
        <w:t>已具备采购条件，现</w:t>
      </w:r>
      <w:r>
        <w:rPr>
          <w:rFonts w:hint="eastAsia" w:ascii="宋体" w:hAnsi="宋体" w:eastAsia="宋体" w:cs="宋体"/>
          <w:sz w:val="21"/>
          <w:szCs w:val="21"/>
        </w:rPr>
        <w:t>进行</w:t>
      </w:r>
      <w:r>
        <w:rPr>
          <w:rFonts w:hint="eastAsia" w:ascii="宋体" w:hAnsi="宋体" w:eastAsia="宋体" w:cs="宋体"/>
          <w:sz w:val="21"/>
          <w:szCs w:val="21"/>
          <w:lang w:val="en-US" w:eastAsia="zh-CN"/>
        </w:rPr>
        <w:t>公开比选</w:t>
      </w:r>
      <w:r>
        <w:rPr>
          <w:rFonts w:hint="eastAsia" w:ascii="宋体" w:hAnsi="宋体" w:eastAsia="宋体" w:cs="宋体"/>
          <w:sz w:val="21"/>
          <w:szCs w:val="21"/>
        </w:rPr>
        <w:t>采购。</w:t>
      </w:r>
    </w:p>
    <w:p>
      <w:pPr>
        <w:pStyle w:val="2"/>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1 项目概况</w:t>
      </w:r>
    </w:p>
    <w:p>
      <w:pPr>
        <w:pageBreakBefore w:val="0"/>
        <w:widowControl w:val="0"/>
        <w:kinsoku/>
        <w:overflowPunct/>
        <w:topLinePunct w:val="0"/>
        <w:autoSpaceDE/>
        <w:autoSpaceDN/>
        <w:bidi w:val="0"/>
        <w:adjustRightInd/>
        <w:snapToGrid/>
        <w:spacing w:line="360" w:lineRule="auto"/>
        <w:ind w:left="482"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1.1项目名称：</w:t>
      </w:r>
      <w:r>
        <w:rPr>
          <w:rFonts w:hint="eastAsia" w:ascii="宋体" w:hAnsi="宋体" w:eastAsia="宋体" w:cs="宋体"/>
          <w:sz w:val="21"/>
          <w:szCs w:val="21"/>
          <w:u w:val="single"/>
          <w:lang w:eastAsia="zh-CN"/>
        </w:rPr>
        <w:t>南通轨道交通集团有限公司运营分公司危废品暂存间改造工程</w:t>
      </w:r>
      <w:r>
        <w:rPr>
          <w:rFonts w:hint="eastAsia" w:ascii="宋体" w:hAnsi="宋体" w:eastAsia="宋体" w:cs="宋体"/>
          <w:sz w:val="21"/>
          <w:szCs w:val="21"/>
          <w:u w:val="single"/>
          <w:lang w:val="en-US" w:eastAsia="zh-CN"/>
        </w:rPr>
        <w:t>项目</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u w:val="single"/>
        </w:rPr>
      </w:pPr>
      <w:r>
        <w:rPr>
          <w:rFonts w:hint="eastAsia" w:ascii="宋体" w:hAnsi="宋体" w:eastAsia="宋体" w:cs="宋体"/>
          <w:b/>
          <w:bCs/>
          <w:sz w:val="21"/>
          <w:szCs w:val="21"/>
        </w:rPr>
        <w:t>1.2项目编号</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NTGY-2023-HW-BX-006</w:t>
      </w:r>
      <w:r>
        <w:rPr>
          <w:rFonts w:hint="eastAsia" w:ascii="宋体" w:hAnsi="宋体" w:eastAsia="宋体" w:cs="宋体"/>
          <w:sz w:val="21"/>
          <w:szCs w:val="21"/>
          <w:u w:val="single"/>
        </w:rPr>
        <w:t xml:space="preserve"> </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b/>
          <w:bCs/>
          <w:sz w:val="21"/>
          <w:szCs w:val="21"/>
        </w:rPr>
        <w:t>1.3采购人：</w:t>
      </w:r>
      <w:r>
        <w:rPr>
          <w:rFonts w:hint="eastAsia" w:ascii="宋体" w:hAnsi="宋体" w:eastAsia="宋体" w:cs="宋体"/>
          <w:sz w:val="21"/>
          <w:szCs w:val="21"/>
          <w:u w:val="single"/>
        </w:rPr>
        <w:t>南通轨道交通集团有限公司运营分公司</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b/>
          <w:bCs/>
          <w:sz w:val="21"/>
          <w:szCs w:val="21"/>
        </w:rPr>
        <w:t>1.4代理机构：</w:t>
      </w:r>
      <w:r>
        <w:rPr>
          <w:rFonts w:hint="eastAsia" w:ascii="宋体" w:hAnsi="宋体" w:eastAsia="宋体" w:cs="宋体"/>
          <w:sz w:val="21"/>
          <w:szCs w:val="21"/>
          <w:u w:val="single"/>
        </w:rPr>
        <w:t>苏世建设管理集团有限公司</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b/>
          <w:bCs/>
          <w:sz w:val="21"/>
          <w:szCs w:val="21"/>
        </w:rPr>
        <w:t>1.5标段划分：</w:t>
      </w:r>
      <w:r>
        <w:rPr>
          <w:rFonts w:hint="eastAsia" w:ascii="宋体" w:hAnsi="宋体" w:eastAsia="宋体" w:cs="宋体"/>
          <w:sz w:val="21"/>
          <w:szCs w:val="21"/>
          <w:u w:val="single"/>
        </w:rPr>
        <w:t xml:space="preserve">不划分标段 </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u w:val="single"/>
        </w:rPr>
      </w:pPr>
      <w:r>
        <w:rPr>
          <w:rFonts w:hint="eastAsia" w:ascii="宋体" w:hAnsi="宋体" w:eastAsia="宋体" w:cs="宋体"/>
          <w:b/>
          <w:bCs/>
          <w:sz w:val="21"/>
          <w:szCs w:val="21"/>
        </w:rPr>
        <w:t>1.6项目限价：</w:t>
      </w:r>
      <w:r>
        <w:rPr>
          <w:rFonts w:hint="eastAsia" w:ascii="宋体" w:hAnsi="宋体" w:eastAsia="宋体" w:cs="宋体"/>
          <w:sz w:val="21"/>
          <w:szCs w:val="21"/>
          <w:u w:val="single"/>
          <w:lang w:val="en-US" w:eastAsia="zh-CN"/>
        </w:rPr>
        <w:t>129137.55元</w:t>
      </w:r>
      <w:r>
        <w:rPr>
          <w:rFonts w:hint="eastAsia" w:ascii="宋体" w:hAnsi="宋体" w:eastAsia="宋体" w:cs="宋体"/>
          <w:sz w:val="21"/>
          <w:szCs w:val="21"/>
          <w:u w:val="single"/>
        </w:rPr>
        <w:t xml:space="preserve"> 人民币（含税）</w:t>
      </w:r>
    </w:p>
    <w:p>
      <w:pPr>
        <w:pStyle w:val="2"/>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2 采购范围及相关要求</w:t>
      </w:r>
    </w:p>
    <w:p>
      <w:pPr>
        <w:pageBreakBefore w:val="0"/>
        <w:widowControl w:val="0"/>
        <w:kinsoku/>
        <w:overflowPunct/>
        <w:topLinePunct w:val="0"/>
        <w:autoSpaceDE/>
        <w:autoSpaceDN/>
        <w:bidi w:val="0"/>
        <w:adjustRightInd/>
        <w:snapToGrid/>
        <w:spacing w:line="360" w:lineRule="auto"/>
        <w:ind w:left="420" w:firstLine="53" w:firstLineChars="25"/>
        <w:textAlignment w:val="auto"/>
        <w:rPr>
          <w:rFonts w:hint="eastAsia" w:ascii="宋体" w:hAnsi="宋体" w:eastAsia="宋体" w:cs="宋体"/>
          <w:sz w:val="21"/>
          <w:szCs w:val="21"/>
          <w:u w:val="single"/>
          <w:lang w:val="en-US" w:eastAsia="zh-CN"/>
        </w:rPr>
      </w:pPr>
      <w:r>
        <w:rPr>
          <w:rFonts w:hint="eastAsia" w:ascii="宋体" w:hAnsi="宋体" w:eastAsia="宋体" w:cs="宋体"/>
          <w:b/>
          <w:bCs/>
          <w:sz w:val="21"/>
          <w:szCs w:val="21"/>
        </w:rPr>
        <w:t>2.1采购范围</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按照图纸完成危废品暂存间改造工程</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b/>
          <w:bCs/>
          <w:sz w:val="21"/>
          <w:szCs w:val="21"/>
        </w:rPr>
        <w:t>2.2</w:t>
      </w:r>
      <w:r>
        <w:rPr>
          <w:rFonts w:hint="eastAsia" w:ascii="宋体" w:hAnsi="宋体" w:eastAsia="宋体" w:cs="宋体"/>
          <w:b/>
          <w:bCs/>
          <w:sz w:val="21"/>
          <w:szCs w:val="21"/>
          <w:lang w:val="en-US" w:eastAsia="zh-CN"/>
        </w:rPr>
        <w:t>工程</w:t>
      </w:r>
      <w:r>
        <w:rPr>
          <w:rFonts w:hint="eastAsia" w:ascii="宋体" w:hAnsi="宋体" w:eastAsia="宋体" w:cs="宋体"/>
          <w:b/>
          <w:bCs/>
          <w:sz w:val="21"/>
          <w:szCs w:val="21"/>
        </w:rPr>
        <w:t>期</w:t>
      </w:r>
      <w:r>
        <w:rPr>
          <w:rFonts w:hint="eastAsia" w:ascii="宋体" w:hAnsi="宋体" w:eastAsia="宋体" w:cs="宋体"/>
          <w:b/>
          <w:bCs/>
          <w:sz w:val="21"/>
          <w:szCs w:val="21"/>
          <w:lang w:val="en-US" w:eastAsia="zh-CN"/>
        </w:rPr>
        <w:t>限</w:t>
      </w:r>
      <w:r>
        <w:rPr>
          <w:rFonts w:hint="eastAsia" w:ascii="宋体" w:hAnsi="宋体" w:eastAsia="宋体" w:cs="宋体"/>
          <w:b/>
          <w:bCs/>
          <w:sz w:val="21"/>
          <w:szCs w:val="21"/>
        </w:rPr>
        <w:t>：</w:t>
      </w:r>
      <w:r>
        <w:rPr>
          <w:rFonts w:hint="eastAsia" w:ascii="宋体" w:hAnsi="宋体" w:eastAsia="宋体" w:cs="宋体"/>
          <w:sz w:val="21"/>
          <w:szCs w:val="21"/>
          <w:u w:val="single"/>
        </w:rPr>
        <w:t>30</w:t>
      </w:r>
      <w:r>
        <w:rPr>
          <w:rFonts w:hint="eastAsia" w:ascii="宋体" w:hAnsi="宋体" w:eastAsia="宋体" w:cs="宋体"/>
          <w:sz w:val="21"/>
          <w:szCs w:val="21"/>
          <w:u w:val="single"/>
          <w:lang w:val="en-US" w:eastAsia="zh-CN"/>
        </w:rPr>
        <w:t>日</w:t>
      </w:r>
      <w:r>
        <w:rPr>
          <w:rFonts w:hint="eastAsia" w:ascii="宋体" w:hAnsi="宋体" w:eastAsia="宋体" w:cs="宋体"/>
          <w:sz w:val="21"/>
          <w:szCs w:val="21"/>
          <w:u w:val="single"/>
        </w:rPr>
        <w:t>内完成</w:t>
      </w:r>
    </w:p>
    <w:p>
      <w:pPr>
        <w:pageBreakBefore w:val="0"/>
        <w:widowControl w:val="0"/>
        <w:kinsoku/>
        <w:overflowPunct/>
        <w:topLinePunct w:val="0"/>
        <w:autoSpaceDE/>
        <w:autoSpaceDN/>
        <w:bidi w:val="0"/>
        <w:adjustRightInd/>
        <w:snapToGrid/>
        <w:spacing w:line="360" w:lineRule="auto"/>
        <w:ind w:left="420" w:firstLine="53" w:firstLineChars="25"/>
        <w:textAlignment w:val="auto"/>
        <w:rPr>
          <w:rFonts w:hint="eastAsia" w:ascii="宋体" w:hAnsi="宋体" w:eastAsia="宋体" w:cs="宋体"/>
          <w:sz w:val="21"/>
          <w:szCs w:val="21"/>
          <w:u w:val="single"/>
        </w:rPr>
      </w:pPr>
      <w:r>
        <w:rPr>
          <w:rFonts w:hint="eastAsia" w:ascii="宋体" w:hAnsi="宋体" w:eastAsia="宋体" w:cs="宋体"/>
          <w:b/>
          <w:bCs/>
          <w:sz w:val="21"/>
          <w:szCs w:val="21"/>
        </w:rPr>
        <w:t>2.3</w:t>
      </w:r>
      <w:r>
        <w:rPr>
          <w:rFonts w:hint="eastAsia" w:ascii="宋体" w:hAnsi="宋体" w:eastAsia="宋体" w:cs="宋体"/>
          <w:b/>
          <w:bCs/>
          <w:sz w:val="21"/>
          <w:szCs w:val="21"/>
          <w:lang w:val="en-US" w:eastAsia="zh-CN"/>
        </w:rPr>
        <w:t>工程</w:t>
      </w:r>
      <w:r>
        <w:rPr>
          <w:rFonts w:hint="eastAsia" w:ascii="宋体" w:hAnsi="宋体" w:eastAsia="宋体" w:cs="宋体"/>
          <w:b/>
          <w:bCs/>
          <w:sz w:val="21"/>
          <w:szCs w:val="21"/>
        </w:rPr>
        <w:t>地点：</w:t>
      </w:r>
      <w:r>
        <w:rPr>
          <w:rFonts w:hint="eastAsia" w:ascii="宋体" w:hAnsi="宋体" w:eastAsia="宋体" w:cs="宋体"/>
          <w:sz w:val="21"/>
          <w:szCs w:val="21"/>
          <w:u w:val="single"/>
          <w:lang w:eastAsia="zh-CN"/>
        </w:rPr>
        <w:t>南通轨道交通集团有限公司运营分公司</w:t>
      </w:r>
      <w:r>
        <w:rPr>
          <w:rFonts w:hint="eastAsia" w:ascii="宋体" w:hAnsi="宋体" w:eastAsia="宋体" w:cs="宋体"/>
          <w:sz w:val="21"/>
          <w:szCs w:val="21"/>
          <w:u w:val="single"/>
        </w:rPr>
        <w:t>1号线平东车辆段</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u w:val="single"/>
        </w:rPr>
      </w:pPr>
      <w:r>
        <w:rPr>
          <w:rFonts w:hint="eastAsia" w:ascii="宋体" w:hAnsi="宋体" w:eastAsia="宋体" w:cs="宋体"/>
          <w:b/>
          <w:bCs/>
          <w:sz w:val="21"/>
          <w:szCs w:val="21"/>
        </w:rPr>
        <w:t>2.4质量标准：</w:t>
      </w:r>
      <w:r>
        <w:rPr>
          <w:rFonts w:hint="eastAsia" w:ascii="宋体" w:hAnsi="宋体" w:eastAsia="宋体" w:cs="宋体"/>
          <w:sz w:val="21"/>
          <w:szCs w:val="21"/>
          <w:u w:val="single"/>
        </w:rPr>
        <w:t>符合国家规范、标准及《</w:t>
      </w:r>
      <w:r>
        <w:rPr>
          <w:rFonts w:hint="eastAsia" w:ascii="宋体" w:hAnsi="宋体" w:eastAsia="宋体" w:cs="宋体"/>
          <w:sz w:val="21"/>
          <w:szCs w:val="21"/>
          <w:u w:val="single"/>
          <w:lang w:val="en-US" w:eastAsia="zh-CN"/>
        </w:rPr>
        <w:t>项目</w:t>
      </w:r>
      <w:r>
        <w:rPr>
          <w:rFonts w:hint="eastAsia" w:ascii="宋体" w:hAnsi="宋体" w:eastAsia="宋体" w:cs="宋体"/>
          <w:sz w:val="21"/>
          <w:szCs w:val="21"/>
          <w:u w:val="single"/>
        </w:rPr>
        <w:t>需求》要求</w:t>
      </w:r>
    </w:p>
    <w:p>
      <w:pPr>
        <w:pStyle w:val="2"/>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bookmarkStart w:id="3" w:name="_Hlk135227657"/>
      <w:r>
        <w:rPr>
          <w:rFonts w:hint="eastAsia" w:ascii="宋体" w:hAnsi="宋体" w:eastAsia="宋体" w:cs="宋体"/>
          <w:sz w:val="21"/>
          <w:szCs w:val="21"/>
        </w:rPr>
        <w:t>3 供应商资格要求</w:t>
      </w:r>
    </w:p>
    <w:bookmarkEnd w:id="3"/>
    <w:p>
      <w:pPr>
        <w:pageBreakBefore w:val="0"/>
        <w:widowControl w:val="0"/>
        <w:kinsoku/>
        <w:overflowPunct/>
        <w:topLinePunct w:val="0"/>
        <w:autoSpaceDE/>
        <w:autoSpaceDN/>
        <w:bidi w:val="0"/>
        <w:adjustRightInd/>
        <w:snapToGrid/>
        <w:spacing w:line="360" w:lineRule="auto"/>
        <w:ind w:left="420" w:firstLine="53" w:firstLineChars="25"/>
        <w:textAlignment w:val="auto"/>
        <w:rPr>
          <w:rFonts w:hint="eastAsia" w:ascii="宋体" w:hAnsi="宋体" w:eastAsia="宋体" w:cs="宋体"/>
          <w:sz w:val="21"/>
          <w:szCs w:val="21"/>
        </w:rPr>
      </w:pPr>
      <w:r>
        <w:rPr>
          <w:rFonts w:hint="eastAsia" w:ascii="宋体" w:hAnsi="宋体" w:eastAsia="宋体" w:cs="宋体"/>
          <w:b/>
          <w:bCs/>
          <w:sz w:val="21"/>
          <w:szCs w:val="21"/>
        </w:rPr>
        <w:t>3.1资格要求：</w:t>
      </w:r>
      <w:r>
        <w:rPr>
          <w:rFonts w:hint="eastAsia" w:ascii="宋体" w:hAnsi="宋体" w:eastAsia="宋体" w:cs="宋体"/>
          <w:sz w:val="21"/>
          <w:szCs w:val="21"/>
          <w:u w:val="single"/>
        </w:rPr>
        <w:t>注册于中华人民共和国境内，具有独立承担民事责任能力的企业法人。</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lang w:eastAsia="zh-CN"/>
        </w:rPr>
      </w:pPr>
      <w:r>
        <w:rPr>
          <w:rFonts w:hint="eastAsia" w:ascii="宋体" w:hAnsi="宋体" w:eastAsia="宋体" w:cs="宋体"/>
          <w:b/>
          <w:bCs/>
          <w:sz w:val="21"/>
          <w:szCs w:val="21"/>
        </w:rPr>
        <w:t>3.2资质要求：</w:t>
      </w:r>
      <w:r>
        <w:rPr>
          <w:rFonts w:hint="eastAsia" w:ascii="宋体" w:hAnsi="宋体" w:eastAsia="宋体" w:cs="宋体"/>
          <w:b w:val="0"/>
          <w:bCs w:val="0"/>
          <w:sz w:val="21"/>
          <w:szCs w:val="21"/>
          <w:u w:val="single"/>
        </w:rPr>
        <w:t>建筑工程施工总承包三级或建筑装修装饰工程专业承包二级及以上资质（须在有效期内），具备安全生产条件，并取得安全生产许可证</w:t>
      </w:r>
      <w:r>
        <w:rPr>
          <w:rFonts w:hint="eastAsia" w:ascii="宋体" w:hAnsi="宋体" w:eastAsia="宋体" w:cs="宋体"/>
          <w:b w:val="0"/>
          <w:bCs w:val="0"/>
          <w:sz w:val="21"/>
          <w:szCs w:val="21"/>
          <w:u w:val="single"/>
          <w:lang w:eastAsia="zh-CN"/>
        </w:rPr>
        <w:t>。</w:t>
      </w:r>
    </w:p>
    <w:p>
      <w:pPr>
        <w:pageBreakBefore w:val="0"/>
        <w:widowControl w:val="0"/>
        <w:kinsoku/>
        <w:overflowPunct/>
        <w:topLinePunct w:val="0"/>
        <w:autoSpaceDE/>
        <w:autoSpaceDN/>
        <w:bidi w:val="0"/>
        <w:adjustRightInd/>
        <w:snapToGrid/>
        <w:spacing w:line="360" w:lineRule="auto"/>
        <w:ind w:left="420" w:firstLine="53" w:firstLineChars="25"/>
        <w:textAlignment w:val="auto"/>
        <w:rPr>
          <w:rFonts w:hint="eastAsia" w:ascii="宋体" w:hAnsi="宋体" w:eastAsia="宋体" w:cs="宋体"/>
          <w:sz w:val="21"/>
          <w:szCs w:val="21"/>
          <w:u w:val="single"/>
        </w:rPr>
      </w:pPr>
      <w:r>
        <w:rPr>
          <w:rFonts w:hint="eastAsia" w:ascii="宋体" w:hAnsi="宋体" w:eastAsia="宋体" w:cs="宋体"/>
          <w:b/>
          <w:bCs/>
          <w:sz w:val="21"/>
          <w:szCs w:val="21"/>
        </w:rPr>
        <w:t>3.3业绩要求：</w:t>
      </w:r>
      <w:r>
        <w:rPr>
          <w:rFonts w:hint="eastAsia" w:ascii="宋体" w:hAnsi="宋体" w:eastAsia="宋体" w:cs="宋体"/>
          <w:sz w:val="21"/>
          <w:szCs w:val="21"/>
          <w:u w:val="single"/>
        </w:rPr>
        <w:t xml:space="preserve">  /  </w:t>
      </w:r>
    </w:p>
    <w:p>
      <w:pPr>
        <w:pageBreakBefore w:val="0"/>
        <w:widowControl w:val="0"/>
        <w:kinsoku/>
        <w:wordWrap w:val="0"/>
        <w:overflowPunct/>
        <w:topLinePunct w:val="0"/>
        <w:autoSpaceDE/>
        <w:autoSpaceDN/>
        <w:bidi w:val="0"/>
        <w:adjustRightInd/>
        <w:snapToGrid/>
        <w:spacing w:line="360" w:lineRule="auto"/>
        <w:ind w:left="420" w:firstLine="53" w:firstLineChars="25"/>
        <w:jc w:val="left"/>
        <w:textAlignment w:val="auto"/>
        <w:rPr>
          <w:rFonts w:hint="eastAsia" w:ascii="宋体" w:hAnsi="宋体" w:eastAsia="宋体" w:cs="宋体"/>
          <w:sz w:val="21"/>
          <w:szCs w:val="21"/>
          <w:u w:val="single"/>
        </w:rPr>
      </w:pPr>
      <w:r>
        <w:rPr>
          <w:rFonts w:hint="eastAsia" w:ascii="宋体" w:hAnsi="宋体" w:eastAsia="宋体" w:cs="宋体"/>
          <w:b/>
          <w:bCs/>
          <w:sz w:val="21"/>
          <w:szCs w:val="21"/>
        </w:rPr>
        <w:t>3.4信誉要求：</w:t>
      </w:r>
      <w:r>
        <w:rPr>
          <w:rFonts w:hint="eastAsia" w:ascii="宋体" w:hAnsi="宋体" w:eastAsia="宋体" w:cs="宋体"/>
          <w:b w:val="0"/>
          <w:bCs w:val="0"/>
          <w:sz w:val="21"/>
          <w:szCs w:val="21"/>
          <w:u w:val="single"/>
          <w:lang w:val="en-US" w:eastAsia="zh-CN"/>
        </w:rPr>
        <w:t>供应商具有良好的信誉，未被</w:t>
      </w:r>
      <w:r>
        <w:rPr>
          <w:rFonts w:hint="eastAsia" w:ascii="宋体" w:hAnsi="宋体" w:eastAsia="宋体" w:cs="宋体"/>
          <w:sz w:val="21"/>
          <w:szCs w:val="21"/>
          <w:u w:val="single"/>
        </w:rPr>
        <w:t>“信用中国”</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“中国执行信息公开网</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或</w:t>
      </w:r>
      <w:r>
        <w:rPr>
          <w:rFonts w:hint="eastAsia" w:ascii="宋体" w:hAnsi="宋体" w:eastAsia="宋体" w:cs="宋体"/>
          <w:sz w:val="21"/>
          <w:szCs w:val="21"/>
          <w:u w:val="single"/>
        </w:rPr>
        <w:t>各级信用平台列入失信被执行人、重大税收违法案件当事人等名单的；</w:t>
      </w:r>
    </w:p>
    <w:p>
      <w:pPr>
        <w:pageBreakBefore w:val="0"/>
        <w:widowControl w:val="0"/>
        <w:kinsoku/>
        <w:wordWrap w:val="0"/>
        <w:overflowPunct/>
        <w:topLinePunct w:val="0"/>
        <w:autoSpaceDE/>
        <w:autoSpaceDN/>
        <w:bidi w:val="0"/>
        <w:adjustRightInd/>
        <w:snapToGrid/>
        <w:spacing w:line="360" w:lineRule="auto"/>
        <w:ind w:left="420" w:firstLine="53" w:firstLineChars="25"/>
        <w:jc w:val="left"/>
        <w:textAlignment w:val="auto"/>
        <w:rPr>
          <w:rFonts w:hint="eastAsia" w:ascii="宋体" w:hAnsi="宋体" w:eastAsia="宋体" w:cs="宋体"/>
          <w:b/>
          <w:bCs/>
          <w:sz w:val="21"/>
          <w:szCs w:val="21"/>
          <w:u w:val="single"/>
        </w:rPr>
      </w:pPr>
      <w:r>
        <w:rPr>
          <w:rFonts w:hint="eastAsia" w:ascii="宋体" w:hAnsi="宋体" w:eastAsia="宋体" w:cs="宋体"/>
          <w:b/>
          <w:bCs/>
          <w:sz w:val="21"/>
          <w:szCs w:val="21"/>
        </w:rPr>
        <w:t>3.5人员要求：</w:t>
      </w:r>
      <w:r>
        <w:rPr>
          <w:rFonts w:hint="eastAsia" w:ascii="宋体" w:hAnsi="宋体" w:eastAsia="宋体" w:cs="宋体"/>
          <w:sz w:val="21"/>
          <w:szCs w:val="21"/>
          <w:u w:val="single"/>
        </w:rPr>
        <w:t xml:space="preserve">  /  </w:t>
      </w:r>
    </w:p>
    <w:p>
      <w:pPr>
        <w:pageBreakBefore w:val="0"/>
        <w:widowControl w:val="0"/>
        <w:kinsoku/>
        <w:wordWrap w:val="0"/>
        <w:overflowPunct/>
        <w:topLinePunct w:val="0"/>
        <w:autoSpaceDE/>
        <w:autoSpaceDN/>
        <w:bidi w:val="0"/>
        <w:adjustRightInd/>
        <w:snapToGrid/>
        <w:spacing w:line="360" w:lineRule="auto"/>
        <w:ind w:left="420" w:firstLine="53" w:firstLineChars="25"/>
        <w:jc w:val="left"/>
        <w:textAlignment w:val="auto"/>
        <w:rPr>
          <w:rFonts w:hint="eastAsia" w:ascii="宋体" w:hAnsi="宋体" w:eastAsia="宋体" w:cs="宋体"/>
          <w:sz w:val="21"/>
          <w:szCs w:val="21"/>
        </w:rPr>
      </w:pPr>
      <w:r>
        <w:rPr>
          <w:rFonts w:hint="eastAsia" w:ascii="宋体" w:hAnsi="宋体" w:eastAsia="宋体" w:cs="宋体"/>
          <w:b/>
          <w:bCs/>
          <w:sz w:val="21"/>
          <w:szCs w:val="21"/>
        </w:rPr>
        <w:t>3.6联合体要求：</w:t>
      </w:r>
      <w:r>
        <w:rPr>
          <w:rFonts w:hint="eastAsia" w:ascii="宋体" w:hAnsi="宋体" w:eastAsia="宋体" w:cs="宋体"/>
          <w:sz w:val="21"/>
          <w:szCs w:val="21"/>
          <w:u w:val="single"/>
        </w:rPr>
        <w:t>不接受</w:t>
      </w:r>
    </w:p>
    <w:p>
      <w:pPr>
        <w:pageBreakBefore w:val="0"/>
        <w:widowControl w:val="0"/>
        <w:kinsoku/>
        <w:wordWrap w:val="0"/>
        <w:overflowPunct/>
        <w:topLinePunct w:val="0"/>
        <w:autoSpaceDE/>
        <w:autoSpaceDN/>
        <w:bidi w:val="0"/>
        <w:adjustRightInd/>
        <w:snapToGrid/>
        <w:spacing w:line="360" w:lineRule="auto"/>
        <w:ind w:left="420" w:firstLine="53" w:firstLineChars="25"/>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3.7</w:t>
      </w:r>
      <w:r>
        <w:rPr>
          <w:rFonts w:hint="eastAsia" w:ascii="宋体" w:hAnsi="宋体" w:eastAsia="宋体" w:cs="宋体"/>
          <w:b/>
          <w:bCs/>
          <w:sz w:val="21"/>
          <w:szCs w:val="21"/>
          <w:lang w:val="en-US" w:eastAsia="zh-CN"/>
        </w:rPr>
        <w:t>禁止情形</w:t>
      </w:r>
      <w:r>
        <w:rPr>
          <w:rFonts w:hint="eastAsia" w:ascii="宋体" w:hAnsi="宋体" w:eastAsia="宋体" w:cs="宋体"/>
          <w:b/>
          <w:bCs/>
          <w:sz w:val="21"/>
          <w:szCs w:val="21"/>
        </w:rPr>
        <w:t>：</w:t>
      </w:r>
    </w:p>
    <w:p>
      <w:pPr>
        <w:pageBreakBefore w:val="0"/>
        <w:widowControl w:val="0"/>
        <w:kinsoku/>
        <w:wordWrap w:val="0"/>
        <w:overflowPunct/>
        <w:topLinePunct w:val="0"/>
        <w:autoSpaceDE/>
        <w:autoSpaceDN/>
        <w:bidi w:val="0"/>
        <w:adjustRightInd/>
        <w:snapToGrid/>
        <w:spacing w:line="360" w:lineRule="auto"/>
        <w:ind w:left="420" w:firstLine="52" w:firstLineChars="25"/>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3.7.1</w:t>
      </w:r>
      <w:r>
        <w:rPr>
          <w:rFonts w:hint="eastAsia" w:ascii="宋体" w:hAnsi="宋体" w:eastAsia="宋体" w:cs="宋体"/>
          <w:sz w:val="21"/>
          <w:szCs w:val="21"/>
          <w:u w:val="none"/>
        </w:rPr>
        <w:t>单位负责人为同一人或者存在控股、管理关系的不同单位，不得参加同一标段或者未划分标段的同一项目</w:t>
      </w:r>
      <w:r>
        <w:rPr>
          <w:rFonts w:hint="eastAsia" w:ascii="宋体" w:hAnsi="宋体" w:eastAsia="宋体" w:cs="宋体"/>
          <w:sz w:val="21"/>
          <w:szCs w:val="21"/>
          <w:u w:val="none"/>
          <w:lang w:eastAsia="zh-CN"/>
        </w:rPr>
        <w:t>的</w:t>
      </w:r>
      <w:r>
        <w:rPr>
          <w:rFonts w:hint="eastAsia" w:ascii="宋体" w:hAnsi="宋体" w:eastAsia="宋体" w:cs="宋体"/>
          <w:sz w:val="21"/>
          <w:szCs w:val="21"/>
          <w:u w:val="none"/>
          <w:lang w:val="en-US" w:eastAsia="zh-CN"/>
        </w:rPr>
        <w:t>采购活动</w:t>
      </w:r>
      <w:r>
        <w:rPr>
          <w:rFonts w:hint="eastAsia" w:ascii="宋体" w:hAnsi="宋体" w:eastAsia="宋体" w:cs="宋体"/>
          <w:sz w:val="21"/>
          <w:szCs w:val="21"/>
          <w:u w:val="none"/>
        </w:rPr>
        <w:t>；</w:t>
      </w:r>
    </w:p>
    <w:p>
      <w:pPr>
        <w:pageBreakBefore w:val="0"/>
        <w:widowControl w:val="0"/>
        <w:kinsoku/>
        <w:wordWrap w:val="0"/>
        <w:overflowPunct/>
        <w:topLinePunct w:val="0"/>
        <w:autoSpaceDE/>
        <w:autoSpaceDN/>
        <w:bidi w:val="0"/>
        <w:adjustRightInd/>
        <w:snapToGrid/>
        <w:spacing w:line="360" w:lineRule="auto"/>
        <w:ind w:left="420" w:firstLine="52" w:firstLineChars="25"/>
        <w:jc w:val="lef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3.7.2与采购人存在利害关系可能影响采购公正性的法人、其他组织或者个人，不得参加采购活动。</w:t>
      </w:r>
    </w:p>
    <w:p>
      <w:pPr>
        <w:pStyle w:val="18"/>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kern w:val="2"/>
          <w:sz w:val="21"/>
          <w:szCs w:val="21"/>
          <w:lang w:val="en-US" w:eastAsia="zh-CN" w:bidi="ar-SA"/>
          <w14:ligatures w14:val="standardContextual"/>
        </w:rPr>
        <w:t>3.8其他要求</w:t>
      </w:r>
      <w:r>
        <w:rPr>
          <w:rFonts w:hint="eastAsia" w:ascii="宋体" w:hAnsi="宋体" w:eastAsia="宋体" w:cs="宋体"/>
          <w:sz w:val="21"/>
          <w:szCs w:val="21"/>
          <w:u w:val="none"/>
          <w:lang w:val="en-US" w:eastAsia="zh-CN"/>
        </w:rPr>
        <w:t>：</w:t>
      </w:r>
      <w:r>
        <w:rPr>
          <w:rFonts w:hint="eastAsia" w:ascii="宋体" w:hAnsi="宋体" w:eastAsia="宋体" w:cs="宋体"/>
          <w:kern w:val="2"/>
          <w:sz w:val="21"/>
          <w:szCs w:val="21"/>
          <w:u w:val="single"/>
          <w:lang w:val="en-US" w:eastAsia="zh-CN" w:bidi="ar-SA"/>
          <w14:ligatures w14:val="standardContextual"/>
        </w:rPr>
        <w:t xml:space="preserve">  /  </w:t>
      </w:r>
    </w:p>
    <w:p>
      <w:pPr>
        <w:pStyle w:val="2"/>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4 预约与采购文件的获取</w:t>
      </w:r>
    </w:p>
    <w:p>
      <w:pPr>
        <w:pageBreakBefore w:val="0"/>
        <w:widowControl w:val="0"/>
        <w:kinsoku/>
        <w:overflowPunct/>
        <w:topLinePunct w:val="0"/>
        <w:autoSpaceDE/>
        <w:autoSpaceDN/>
        <w:bidi w:val="0"/>
        <w:adjustRightInd/>
        <w:snapToGrid/>
        <w:spacing w:line="360" w:lineRule="auto"/>
        <w:ind w:left="420" w:firstLine="53" w:firstLineChars="25"/>
        <w:textAlignment w:val="auto"/>
        <w:rPr>
          <w:rFonts w:hint="eastAsia" w:ascii="宋体" w:hAnsi="宋体" w:eastAsia="宋体" w:cs="宋体"/>
          <w:sz w:val="21"/>
          <w:szCs w:val="21"/>
        </w:rPr>
      </w:pPr>
      <w:r>
        <w:rPr>
          <w:rFonts w:hint="eastAsia" w:ascii="宋体" w:hAnsi="宋体" w:eastAsia="宋体" w:cs="宋体"/>
          <w:b/>
          <w:bCs/>
          <w:sz w:val="21"/>
          <w:szCs w:val="21"/>
        </w:rPr>
        <w:t>4.1预约方式：</w:t>
      </w:r>
      <w:r>
        <w:rPr>
          <w:rFonts w:hint="eastAsia" w:ascii="宋体" w:hAnsi="宋体" w:eastAsia="宋体" w:cs="宋体"/>
          <w:sz w:val="21"/>
          <w:szCs w:val="21"/>
        </w:rPr>
        <w:t xml:space="preserve">电子邮件预约，预约截止时间前必须将填写后的预约申请资料（见“附件一、预约格式文件”）加盖公章后发至代理机构邮箱 </w:t>
      </w:r>
      <w:r>
        <w:rPr>
          <w:rFonts w:hint="eastAsia" w:ascii="宋体" w:hAnsi="宋体" w:cs="宋体"/>
          <w:sz w:val="21"/>
          <w:szCs w:val="21"/>
          <w:u w:val="single"/>
          <w:lang w:eastAsia="zh-CN"/>
        </w:rPr>
        <w:t>115400033</w:t>
      </w:r>
      <w:r>
        <w:rPr>
          <w:rFonts w:hint="eastAsia" w:ascii="宋体" w:hAnsi="宋体" w:eastAsia="宋体" w:cs="宋体"/>
          <w:sz w:val="21"/>
          <w:szCs w:val="21"/>
          <w:u w:val="single"/>
        </w:rPr>
        <w:t>@qq.com</w:t>
      </w:r>
      <w:r>
        <w:rPr>
          <w:rFonts w:hint="eastAsia" w:ascii="宋体" w:hAnsi="宋体" w:eastAsia="宋体" w:cs="宋体"/>
          <w:sz w:val="21"/>
          <w:szCs w:val="21"/>
        </w:rPr>
        <w:t>。预约申请资料发送后请拨打电话（</w:t>
      </w:r>
      <w:r>
        <w:rPr>
          <w:rFonts w:hint="eastAsia" w:ascii="宋体" w:hAnsi="宋体" w:eastAsia="宋体" w:cs="宋体"/>
          <w:sz w:val="21"/>
          <w:szCs w:val="21"/>
          <w:u w:val="single"/>
        </w:rPr>
        <w:t>13773600529</w:t>
      </w:r>
      <w:r>
        <w:rPr>
          <w:rFonts w:hint="eastAsia" w:ascii="宋体" w:hAnsi="宋体" w:eastAsia="宋体" w:cs="宋体"/>
          <w:sz w:val="21"/>
          <w:szCs w:val="21"/>
        </w:rPr>
        <w:t>）与代理机构确认是否预约成功。</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u w:val="single"/>
        </w:rPr>
      </w:pPr>
      <w:r>
        <w:rPr>
          <w:rFonts w:hint="eastAsia" w:ascii="宋体" w:hAnsi="宋体" w:eastAsia="宋体" w:cs="宋体"/>
          <w:b/>
          <w:bCs/>
          <w:sz w:val="21"/>
          <w:szCs w:val="21"/>
        </w:rPr>
        <w:t>4.2预约截止时间：</w:t>
      </w:r>
      <w:r>
        <w:rPr>
          <w:rFonts w:hint="eastAsia" w:ascii="宋体" w:hAnsi="宋体" w:eastAsia="宋体" w:cs="宋体"/>
          <w:sz w:val="21"/>
          <w:szCs w:val="21"/>
          <w:u w:val="single"/>
        </w:rPr>
        <w:t>2023年</w:t>
      </w:r>
      <w:r>
        <w:rPr>
          <w:rFonts w:hint="eastAsia" w:ascii="宋体" w:hAnsi="宋体" w:eastAsia="宋体" w:cs="宋体"/>
          <w:sz w:val="21"/>
          <w:szCs w:val="21"/>
          <w:u w:val="single"/>
          <w:lang w:val="en-US" w:eastAsia="zh-CN"/>
        </w:rPr>
        <w:t>6</w:t>
      </w:r>
      <w:r>
        <w:rPr>
          <w:rFonts w:hint="eastAsia" w:ascii="宋体" w:hAnsi="宋体" w:eastAsia="宋体" w:cs="宋体"/>
          <w:sz w:val="21"/>
          <w:szCs w:val="21"/>
          <w:u w:val="single"/>
        </w:rPr>
        <w:t>月2日17:00</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b/>
          <w:bCs/>
          <w:sz w:val="21"/>
          <w:szCs w:val="21"/>
        </w:rPr>
        <w:t>4.3采购文件获取：</w:t>
      </w:r>
      <w:r>
        <w:rPr>
          <w:rFonts w:hint="eastAsia" w:ascii="宋体" w:hAnsi="宋体" w:eastAsia="宋体" w:cs="宋体"/>
          <w:sz w:val="21"/>
          <w:szCs w:val="21"/>
          <w:u w:val="single"/>
        </w:rPr>
        <w:t>采购文件在本网页内下载</w:t>
      </w:r>
    </w:p>
    <w:p>
      <w:pPr>
        <w:pStyle w:val="2"/>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 xml:space="preserve">5 </w:t>
      </w:r>
      <w:r>
        <w:rPr>
          <w:rFonts w:hint="eastAsia" w:ascii="宋体" w:hAnsi="宋体" w:eastAsia="宋体" w:cs="宋体"/>
          <w:sz w:val="21"/>
          <w:szCs w:val="21"/>
          <w:lang w:eastAsia="zh-CN"/>
        </w:rPr>
        <w:t>参选</w:t>
      </w:r>
      <w:r>
        <w:rPr>
          <w:rFonts w:hint="eastAsia" w:ascii="宋体" w:hAnsi="宋体" w:eastAsia="宋体" w:cs="宋体"/>
          <w:sz w:val="21"/>
          <w:szCs w:val="21"/>
        </w:rPr>
        <w:t>文件的递交</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b/>
          <w:bCs/>
          <w:sz w:val="21"/>
          <w:szCs w:val="21"/>
        </w:rPr>
        <w:t>5.1</w:t>
      </w:r>
      <w:r>
        <w:rPr>
          <w:rFonts w:hint="eastAsia" w:ascii="宋体" w:hAnsi="宋体" w:eastAsia="宋体" w:cs="宋体"/>
          <w:b/>
          <w:bCs/>
          <w:sz w:val="21"/>
          <w:szCs w:val="21"/>
          <w:lang w:eastAsia="zh-CN"/>
        </w:rPr>
        <w:t>参选</w:t>
      </w:r>
      <w:r>
        <w:rPr>
          <w:rFonts w:hint="eastAsia" w:ascii="宋体" w:hAnsi="宋体" w:eastAsia="宋体" w:cs="宋体"/>
          <w:b/>
          <w:bCs/>
          <w:sz w:val="21"/>
          <w:szCs w:val="21"/>
        </w:rPr>
        <w:t>文件递交截止时间：</w:t>
      </w:r>
      <w:r>
        <w:rPr>
          <w:rFonts w:hint="eastAsia" w:ascii="宋体" w:hAnsi="宋体" w:eastAsia="宋体" w:cs="宋体"/>
          <w:sz w:val="21"/>
          <w:szCs w:val="21"/>
          <w:u w:val="single"/>
        </w:rPr>
        <w:t>2023年</w:t>
      </w:r>
      <w:r>
        <w:rPr>
          <w:rFonts w:hint="eastAsia" w:ascii="宋体" w:hAnsi="宋体" w:eastAsia="宋体" w:cs="宋体"/>
          <w:sz w:val="21"/>
          <w:szCs w:val="21"/>
          <w:u w:val="single"/>
          <w:lang w:val="en-US" w:eastAsia="zh-CN"/>
        </w:rPr>
        <w:t>6</w:t>
      </w:r>
      <w:r>
        <w:rPr>
          <w:rFonts w:hint="eastAsia" w:ascii="宋体" w:hAnsi="宋体" w:eastAsia="宋体" w:cs="宋体"/>
          <w:sz w:val="21"/>
          <w:szCs w:val="21"/>
          <w:u w:val="single"/>
        </w:rPr>
        <w:t>月</w:t>
      </w:r>
      <w:r>
        <w:rPr>
          <w:rFonts w:hint="eastAsia" w:ascii="宋体" w:hAnsi="宋体" w:eastAsia="宋体" w:cs="宋体"/>
          <w:sz w:val="21"/>
          <w:szCs w:val="21"/>
          <w:u w:val="single"/>
          <w:lang w:val="en-US" w:eastAsia="zh-CN"/>
        </w:rPr>
        <w:t>7</w:t>
      </w:r>
      <w:r>
        <w:rPr>
          <w:rFonts w:hint="eastAsia" w:ascii="宋体" w:hAnsi="宋体" w:eastAsia="宋体" w:cs="宋体"/>
          <w:sz w:val="21"/>
          <w:szCs w:val="21"/>
          <w:u w:val="single"/>
        </w:rPr>
        <w:t>日</w:t>
      </w:r>
      <w:r>
        <w:rPr>
          <w:rFonts w:hint="eastAsia" w:ascii="宋体" w:hAnsi="宋体" w:eastAsia="宋体" w:cs="宋体"/>
          <w:sz w:val="21"/>
          <w:szCs w:val="21"/>
          <w:u w:val="single"/>
          <w:lang w:val="en-US" w:eastAsia="zh-CN"/>
        </w:rPr>
        <w:t>09</w:t>
      </w:r>
      <w:r>
        <w:rPr>
          <w:rFonts w:hint="eastAsia" w:ascii="宋体" w:hAnsi="宋体" w:eastAsia="宋体" w:cs="宋体"/>
          <w:sz w:val="21"/>
          <w:szCs w:val="21"/>
          <w:u w:val="single"/>
        </w:rPr>
        <w:t>:30</w:t>
      </w:r>
    </w:p>
    <w:p>
      <w:pPr>
        <w:pageBreakBefore w:val="0"/>
        <w:widowControl w:val="0"/>
        <w:kinsoku/>
        <w:overflowPunct/>
        <w:topLinePunct w:val="0"/>
        <w:autoSpaceDE/>
        <w:autoSpaceDN/>
        <w:bidi w:val="0"/>
        <w:adjustRightInd/>
        <w:snapToGrid/>
        <w:spacing w:line="360" w:lineRule="auto"/>
        <w:ind w:left="420" w:firstLine="53" w:firstLineChars="25"/>
        <w:textAlignment w:val="auto"/>
        <w:rPr>
          <w:rFonts w:hint="eastAsia" w:ascii="宋体" w:hAnsi="宋体" w:eastAsia="宋体" w:cs="宋体"/>
          <w:sz w:val="21"/>
          <w:szCs w:val="21"/>
          <w:u w:val="single"/>
          <w:lang w:val="en-US" w:eastAsia="zh-CN"/>
        </w:rPr>
      </w:pPr>
      <w:r>
        <w:rPr>
          <w:rFonts w:hint="eastAsia" w:ascii="宋体" w:hAnsi="宋体" w:eastAsia="宋体" w:cs="宋体"/>
          <w:b/>
          <w:bCs/>
          <w:sz w:val="21"/>
          <w:szCs w:val="21"/>
        </w:rPr>
        <w:t>5.2</w:t>
      </w:r>
      <w:r>
        <w:rPr>
          <w:rFonts w:hint="eastAsia" w:ascii="宋体" w:hAnsi="宋体" w:eastAsia="宋体" w:cs="宋体"/>
          <w:b/>
          <w:bCs/>
          <w:sz w:val="21"/>
          <w:szCs w:val="21"/>
          <w:lang w:eastAsia="zh-CN"/>
        </w:rPr>
        <w:t>参选</w:t>
      </w:r>
      <w:r>
        <w:rPr>
          <w:rFonts w:hint="eastAsia" w:ascii="宋体" w:hAnsi="宋体" w:eastAsia="宋体" w:cs="宋体"/>
          <w:b/>
          <w:bCs/>
          <w:sz w:val="21"/>
          <w:szCs w:val="21"/>
        </w:rPr>
        <w:t>文件递交地点：</w:t>
      </w:r>
      <w:r>
        <w:rPr>
          <w:rFonts w:hint="eastAsia" w:ascii="宋体" w:hAnsi="宋体" w:eastAsia="宋体" w:cs="宋体"/>
          <w:sz w:val="21"/>
          <w:szCs w:val="21"/>
          <w:u w:val="single"/>
        </w:rPr>
        <w:t xml:space="preserve"> 南通市通州区平潮镇南通轨道交通平东车辆段综合楼物资部41</w:t>
      </w:r>
      <w:r>
        <w:rPr>
          <w:rFonts w:hint="eastAsia" w:ascii="宋体" w:hAnsi="宋体" w:eastAsia="宋体" w:cs="宋体"/>
          <w:sz w:val="21"/>
          <w:szCs w:val="21"/>
          <w:u w:val="single"/>
          <w:lang w:val="en-US" w:eastAsia="zh-CN"/>
        </w:rPr>
        <w:t>0会议室</w:t>
      </w:r>
    </w:p>
    <w:p>
      <w:pPr>
        <w:pStyle w:val="18"/>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kern w:val="2"/>
          <w:sz w:val="21"/>
          <w:szCs w:val="21"/>
          <w:lang w:val="en-US" w:eastAsia="zh-CN" w:bidi="ar-SA"/>
          <w14:ligatures w14:val="standardContextual"/>
        </w:rPr>
      </w:pPr>
      <w:r>
        <w:rPr>
          <w:rFonts w:hint="eastAsia" w:ascii="宋体" w:hAnsi="宋体" w:eastAsia="宋体" w:cs="宋体"/>
          <w:b/>
          <w:bCs/>
          <w:kern w:val="2"/>
          <w:sz w:val="21"/>
          <w:szCs w:val="21"/>
          <w:lang w:val="en-US" w:eastAsia="zh-CN" w:bidi="ar-SA"/>
          <w14:ligatures w14:val="standardContextual"/>
        </w:rPr>
        <w:t>5.3递交方式：</w:t>
      </w:r>
      <w:r>
        <w:rPr>
          <w:rFonts w:hint="eastAsia" w:ascii="宋体" w:hAnsi="宋体" w:eastAsia="宋体" w:cs="宋体"/>
          <w:kern w:val="2"/>
          <w:sz w:val="21"/>
          <w:szCs w:val="21"/>
          <w:u w:val="single"/>
          <w:lang w:val="en-US" w:eastAsia="zh-CN" w:bidi="ar-SA"/>
        </w:rPr>
        <w:t>由供应商法定代表人或授权代理人现场递交响应文件，不接受邮寄等其他方式。</w:t>
      </w:r>
    </w:p>
    <w:p>
      <w:pPr>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4</w:t>
      </w:r>
      <w:r>
        <w:rPr>
          <w:rFonts w:hint="eastAsia" w:ascii="宋体" w:hAnsi="宋体" w:eastAsia="宋体" w:cs="宋体"/>
          <w:sz w:val="21"/>
          <w:szCs w:val="21"/>
        </w:rPr>
        <w:t>逾期送达的、未送达指定地点的或未密封的</w:t>
      </w:r>
      <w:r>
        <w:rPr>
          <w:rFonts w:hint="eastAsia" w:ascii="宋体" w:hAnsi="宋体" w:eastAsia="宋体" w:cs="宋体"/>
          <w:sz w:val="21"/>
          <w:szCs w:val="21"/>
          <w:lang w:eastAsia="zh-CN"/>
        </w:rPr>
        <w:t>参选</w:t>
      </w:r>
      <w:r>
        <w:rPr>
          <w:rFonts w:hint="eastAsia" w:ascii="宋体" w:hAnsi="宋体" w:eastAsia="宋体" w:cs="宋体"/>
          <w:sz w:val="21"/>
          <w:szCs w:val="21"/>
        </w:rPr>
        <w:t>文件，采购人将拒绝接收。</w:t>
      </w:r>
    </w:p>
    <w:p>
      <w:pPr>
        <w:pStyle w:val="2"/>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6 </w:t>
      </w:r>
      <w:r>
        <w:rPr>
          <w:rFonts w:hint="eastAsia" w:ascii="宋体" w:hAnsi="宋体" w:eastAsia="宋体" w:cs="宋体"/>
          <w:sz w:val="21"/>
          <w:szCs w:val="21"/>
          <w:lang w:val="en-US" w:eastAsia="zh-CN"/>
        </w:rPr>
        <w:t>评审</w:t>
      </w:r>
      <w:r>
        <w:rPr>
          <w:rFonts w:hint="eastAsia" w:ascii="宋体" w:hAnsi="宋体" w:eastAsia="宋体" w:cs="宋体"/>
          <w:sz w:val="21"/>
          <w:szCs w:val="21"/>
        </w:rPr>
        <w:t>时间、地点和评审</w:t>
      </w:r>
      <w:r>
        <w:rPr>
          <w:rFonts w:hint="eastAsia" w:ascii="宋体" w:hAnsi="宋体" w:eastAsia="宋体" w:cs="宋体"/>
          <w:sz w:val="21"/>
          <w:szCs w:val="21"/>
          <w:lang w:val="en-US" w:eastAsia="zh-CN"/>
        </w:rPr>
        <w:t>方式、方法</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u w:val="single"/>
          <w:lang w:val="en-US" w:eastAsia="zh-CN"/>
        </w:rPr>
      </w:pPr>
      <w:r>
        <w:rPr>
          <w:rFonts w:hint="eastAsia" w:ascii="宋体" w:hAnsi="宋体" w:eastAsia="宋体" w:cs="宋体"/>
          <w:b/>
          <w:bCs/>
          <w:sz w:val="21"/>
          <w:szCs w:val="21"/>
        </w:rPr>
        <w:t>6.1</w:t>
      </w:r>
      <w:r>
        <w:rPr>
          <w:rFonts w:hint="eastAsia" w:ascii="宋体" w:hAnsi="宋体" w:eastAsia="宋体" w:cs="宋体"/>
          <w:b/>
          <w:bCs/>
          <w:sz w:val="21"/>
          <w:szCs w:val="21"/>
          <w:lang w:val="en-US" w:eastAsia="zh-CN"/>
        </w:rPr>
        <w:t>评审</w:t>
      </w:r>
      <w:r>
        <w:rPr>
          <w:rFonts w:hint="eastAsia" w:ascii="宋体" w:hAnsi="宋体" w:eastAsia="宋体" w:cs="宋体"/>
          <w:b/>
          <w:bCs/>
          <w:sz w:val="21"/>
          <w:szCs w:val="21"/>
        </w:rPr>
        <w:t>时间：</w:t>
      </w:r>
      <w:r>
        <w:rPr>
          <w:rFonts w:hint="eastAsia" w:ascii="宋体" w:hAnsi="宋体" w:eastAsia="宋体" w:cs="宋体"/>
          <w:sz w:val="21"/>
          <w:szCs w:val="21"/>
          <w:u w:val="single"/>
          <w:lang w:val="en-US" w:eastAsia="zh-CN"/>
        </w:rPr>
        <w:t>同</w:t>
      </w:r>
      <w:r>
        <w:rPr>
          <w:rFonts w:hint="eastAsia" w:ascii="宋体" w:hAnsi="宋体" w:eastAsia="宋体" w:cs="宋体"/>
          <w:sz w:val="21"/>
          <w:szCs w:val="21"/>
          <w:u w:val="single"/>
          <w:lang w:eastAsia="zh-CN"/>
        </w:rPr>
        <w:t>参选</w:t>
      </w:r>
      <w:r>
        <w:rPr>
          <w:rFonts w:hint="eastAsia" w:ascii="宋体" w:hAnsi="宋体" w:eastAsia="宋体" w:cs="宋体"/>
          <w:sz w:val="21"/>
          <w:szCs w:val="21"/>
          <w:u w:val="single"/>
        </w:rPr>
        <w:t>文件递交截止时间</w:t>
      </w:r>
    </w:p>
    <w:p>
      <w:pPr>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u w:val="single"/>
        </w:rPr>
      </w:pPr>
      <w:r>
        <w:rPr>
          <w:rFonts w:hint="eastAsia" w:ascii="宋体" w:hAnsi="宋体" w:eastAsia="宋体" w:cs="宋体"/>
          <w:b/>
          <w:bCs/>
          <w:sz w:val="21"/>
          <w:szCs w:val="21"/>
        </w:rPr>
        <w:t>6.2</w:t>
      </w:r>
      <w:r>
        <w:rPr>
          <w:rFonts w:hint="eastAsia" w:ascii="宋体" w:hAnsi="宋体" w:eastAsia="宋体" w:cs="宋体"/>
          <w:b/>
          <w:bCs/>
          <w:sz w:val="21"/>
          <w:szCs w:val="21"/>
          <w:lang w:val="en-US" w:eastAsia="zh-CN"/>
        </w:rPr>
        <w:t>评审</w:t>
      </w:r>
      <w:r>
        <w:rPr>
          <w:rFonts w:hint="eastAsia" w:ascii="宋体" w:hAnsi="宋体" w:eastAsia="宋体" w:cs="宋体"/>
          <w:b/>
          <w:bCs/>
          <w:sz w:val="21"/>
          <w:szCs w:val="21"/>
        </w:rPr>
        <w:t>地点：</w:t>
      </w:r>
      <w:r>
        <w:rPr>
          <w:rFonts w:hint="eastAsia" w:ascii="宋体" w:hAnsi="宋体" w:eastAsia="宋体" w:cs="宋体"/>
          <w:sz w:val="21"/>
          <w:szCs w:val="21"/>
          <w:u w:val="single"/>
        </w:rPr>
        <w:t>南通市通州区平潮镇南通轨道交通平东车辆段综合楼物资部410会议室</w:t>
      </w:r>
    </w:p>
    <w:p>
      <w:pPr>
        <w:pStyle w:val="18"/>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kern w:val="2"/>
          <w:sz w:val="21"/>
          <w:szCs w:val="21"/>
          <w:u w:val="single"/>
          <w:lang w:val="en-US" w:eastAsia="zh-CN" w:bidi="ar-SA"/>
          <w14:ligatures w14:val="standardContextual"/>
        </w:rPr>
      </w:pPr>
      <w:r>
        <w:rPr>
          <w:rFonts w:hint="eastAsia" w:ascii="宋体" w:hAnsi="宋体" w:eastAsia="宋体" w:cs="宋体"/>
          <w:b/>
          <w:bCs/>
          <w:kern w:val="2"/>
          <w:sz w:val="21"/>
          <w:szCs w:val="21"/>
          <w:lang w:val="en-US" w:eastAsia="zh-CN" w:bidi="ar-SA"/>
          <w14:ligatures w14:val="standardContextual"/>
        </w:rPr>
        <w:t>6.3资格审查：</w:t>
      </w:r>
      <w:r>
        <w:rPr>
          <w:rFonts w:hint="eastAsia" w:ascii="宋体" w:hAnsi="宋体" w:eastAsia="宋体" w:cs="宋体"/>
          <w:b w:val="0"/>
          <w:bCs w:val="0"/>
          <w:kern w:val="2"/>
          <w:sz w:val="21"/>
          <w:szCs w:val="21"/>
          <w:u w:val="single"/>
          <w:lang w:val="en-US" w:eastAsia="zh-CN" w:bidi="ar-SA"/>
          <w14:ligatures w14:val="standardContextual"/>
        </w:rPr>
        <w:t>资格后审</w:t>
      </w:r>
    </w:p>
    <w:p>
      <w:pPr>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u w:val="single"/>
          <w:lang w:eastAsia="zh-CN"/>
        </w:rPr>
      </w:pPr>
      <w:r>
        <w:rPr>
          <w:rFonts w:hint="eastAsia" w:ascii="宋体" w:hAnsi="宋体" w:eastAsia="宋体" w:cs="宋体"/>
          <w:b/>
          <w:bCs/>
          <w:sz w:val="21"/>
          <w:szCs w:val="21"/>
        </w:rPr>
        <w:t>6.</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评审方法：</w:t>
      </w:r>
      <w:r>
        <w:rPr>
          <w:rFonts w:hint="eastAsia" w:ascii="宋体" w:hAnsi="宋体" w:eastAsia="宋体" w:cs="宋体"/>
          <w:sz w:val="21"/>
          <w:szCs w:val="21"/>
          <w:u w:val="single"/>
          <w:lang w:val="en-US" w:eastAsia="zh-CN"/>
        </w:rPr>
        <w:t>综合评分法</w:t>
      </w:r>
    </w:p>
    <w:p>
      <w:pPr>
        <w:pageBreakBefore w:val="0"/>
        <w:widowControl w:val="0"/>
        <w:kinsoku/>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rPr>
      </w:pPr>
      <w:r>
        <w:rPr>
          <w:rFonts w:hint="eastAsia" w:ascii="宋体" w:hAnsi="宋体" w:eastAsia="宋体" w:cs="宋体"/>
          <w:b/>
          <w:bCs/>
          <w:kern w:val="2"/>
          <w:sz w:val="21"/>
          <w:szCs w:val="21"/>
          <w:lang w:val="en-US" w:eastAsia="zh-CN" w:bidi="ar-SA"/>
          <w14:ligatures w14:val="standardContextual"/>
        </w:rPr>
        <w:t>6.5 评审方式：</w:t>
      </w:r>
      <w:r>
        <w:rPr>
          <w:rFonts w:hint="eastAsia"/>
          <w:u w:val="single"/>
          <w:lang w:val="en-US" w:eastAsia="zh-CN"/>
        </w:rPr>
        <w:t>邀请所有供应商的法定代表人或其授权代理人参加现场评审。参选人应准时参加，参加评审的代表需签到以证明其出席。</w:t>
      </w:r>
    </w:p>
    <w:p>
      <w:pPr>
        <w:pageBreakBefore w:val="0"/>
        <w:widowControl w:val="0"/>
        <w:kinsoku/>
        <w:overflowPunct/>
        <w:topLinePunct w:val="0"/>
        <w:autoSpaceDE/>
        <w:autoSpaceDN/>
        <w:bidi w:val="0"/>
        <w:adjustRightInd/>
        <w:snapToGrid/>
        <w:spacing w:line="360" w:lineRule="auto"/>
        <w:textAlignment w:val="auto"/>
        <w:outlineLvl w:val="9"/>
        <w:rPr>
          <w:rFonts w:hint="eastAsia" w:ascii="宋体" w:hAnsi="宋体" w:eastAsia="宋体" w:cs="宋体"/>
          <w:b/>
          <w:bCs/>
          <w:kern w:val="2"/>
          <w:sz w:val="21"/>
          <w:szCs w:val="21"/>
          <w:lang w:val="en-US" w:eastAsia="zh-CN" w:bidi="ar-SA"/>
          <w14:ligatures w14:val="standardContextual"/>
        </w:rPr>
      </w:pPr>
    </w:p>
    <w:p>
      <w:pPr>
        <w:pStyle w:val="2"/>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7 采购公告媒介</w:t>
      </w:r>
    </w:p>
    <w:p>
      <w:pPr>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本公告在以下媒体发布：</w:t>
      </w:r>
    </w:p>
    <w:p>
      <w:pPr>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南通轨道交通官方网站（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"https://www.ntrailway.com/）、" </w:instrText>
      </w:r>
      <w:r>
        <w:rPr>
          <w:rFonts w:hint="eastAsia" w:ascii="宋体" w:hAnsi="宋体" w:eastAsia="宋体" w:cs="宋体"/>
          <w:sz w:val="21"/>
          <w:szCs w:val="21"/>
        </w:rPr>
        <w:fldChar w:fldCharType="separate"/>
      </w:r>
      <w:r>
        <w:rPr>
          <w:rFonts w:hint="eastAsia" w:ascii="宋体" w:hAnsi="宋体" w:eastAsia="宋体" w:cs="宋体"/>
          <w:sz w:val="21"/>
          <w:szCs w:val="21"/>
          <w:u w:val="single"/>
        </w:rPr>
        <w:t>https://www.ntrailway.com/）</w:t>
      </w:r>
      <w:r>
        <w:rPr>
          <w:rFonts w:hint="eastAsia" w:ascii="宋体" w:hAnsi="宋体" w:eastAsia="宋体" w:cs="宋体"/>
          <w:sz w:val="21"/>
          <w:szCs w:val="21"/>
          <w:u w:val="single"/>
        </w:rPr>
        <w:fldChar w:fldCharType="end"/>
      </w:r>
    </w:p>
    <w:p>
      <w:pPr>
        <w:pStyle w:val="2"/>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8 其他</w:t>
      </w:r>
    </w:p>
    <w:p>
      <w:pPr>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 xml:space="preserve"> / </w:t>
      </w:r>
    </w:p>
    <w:p>
      <w:pPr>
        <w:pStyle w:val="2"/>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9 联系方式</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u w:val="single"/>
        </w:rPr>
      </w:pPr>
      <w:r>
        <w:rPr>
          <w:rFonts w:hint="eastAsia" w:ascii="宋体" w:hAnsi="宋体" w:eastAsia="宋体" w:cs="宋体"/>
          <w:b/>
          <w:bCs/>
          <w:sz w:val="21"/>
          <w:szCs w:val="21"/>
        </w:rPr>
        <w:t>采购人：</w:t>
      </w:r>
      <w:r>
        <w:rPr>
          <w:rFonts w:hint="eastAsia" w:ascii="宋体" w:hAnsi="宋体" w:eastAsia="宋体" w:cs="宋体"/>
          <w:sz w:val="21"/>
          <w:szCs w:val="21"/>
          <w:u w:val="single"/>
        </w:rPr>
        <w:t>南通轨道交通集团有限公司运营分公司</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b/>
          <w:bCs/>
          <w:sz w:val="21"/>
          <w:szCs w:val="21"/>
        </w:rPr>
        <w:t>联系人：</w:t>
      </w:r>
      <w:r>
        <w:rPr>
          <w:rFonts w:hint="eastAsia" w:ascii="宋体" w:hAnsi="宋体" w:eastAsia="宋体" w:cs="宋体"/>
          <w:sz w:val="21"/>
          <w:szCs w:val="21"/>
          <w:u w:val="single"/>
        </w:rPr>
        <w:t>顾先生</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u w:val="single"/>
        </w:rPr>
      </w:pPr>
      <w:r>
        <w:rPr>
          <w:rFonts w:hint="eastAsia" w:ascii="宋体" w:hAnsi="宋体" w:eastAsia="宋体" w:cs="宋体"/>
          <w:b/>
          <w:bCs/>
          <w:sz w:val="21"/>
          <w:szCs w:val="21"/>
        </w:rPr>
        <w:t>电话：</w:t>
      </w:r>
      <w:r>
        <w:rPr>
          <w:rFonts w:hint="eastAsia" w:ascii="宋体" w:hAnsi="宋体" w:eastAsia="宋体" w:cs="宋体"/>
          <w:sz w:val="21"/>
          <w:szCs w:val="21"/>
          <w:u w:val="single"/>
        </w:rPr>
        <w:t>0513-69888681</w:t>
      </w:r>
    </w:p>
    <w:p>
      <w:pPr>
        <w:pStyle w:val="18"/>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kern w:val="2"/>
          <w:sz w:val="21"/>
          <w:szCs w:val="21"/>
          <w:u w:val="single"/>
          <w:lang w:val="en-US" w:eastAsia="zh-CN" w:bidi="ar-SA"/>
          <w14:ligatures w14:val="standardContextual"/>
        </w:rPr>
      </w:pPr>
      <w:r>
        <w:rPr>
          <w:rFonts w:hint="eastAsia" w:ascii="宋体" w:hAnsi="宋体" w:eastAsia="宋体" w:cs="宋体"/>
          <w:b/>
          <w:bCs/>
          <w:kern w:val="2"/>
          <w:sz w:val="21"/>
          <w:szCs w:val="21"/>
          <w:lang w:val="en-US" w:eastAsia="zh-CN" w:bidi="ar-SA"/>
          <w14:ligatures w14:val="standardContextual"/>
        </w:rPr>
        <w:t>地址：</w:t>
      </w:r>
      <w:r>
        <w:rPr>
          <w:rFonts w:hint="eastAsia" w:ascii="宋体" w:hAnsi="宋体" w:eastAsia="宋体" w:cs="宋体"/>
          <w:b w:val="0"/>
          <w:bCs w:val="0"/>
          <w:kern w:val="2"/>
          <w:sz w:val="21"/>
          <w:szCs w:val="21"/>
          <w:u w:val="single"/>
          <w:lang w:val="en-US" w:eastAsia="zh-CN" w:bidi="ar-SA"/>
          <w14:ligatures w14:val="standardContextual"/>
        </w:rPr>
        <w:t>南通市通州区平潮镇南通轨道交通平东车辆段</w:t>
      </w:r>
    </w:p>
    <w:p>
      <w:pPr>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b/>
          <w:bCs/>
          <w:sz w:val="21"/>
          <w:szCs w:val="21"/>
        </w:rPr>
        <w:t>代理机构：</w:t>
      </w:r>
      <w:r>
        <w:rPr>
          <w:rFonts w:hint="eastAsia" w:ascii="宋体" w:hAnsi="宋体" w:eastAsia="宋体" w:cs="宋体"/>
          <w:sz w:val="21"/>
          <w:szCs w:val="21"/>
          <w:u w:val="single"/>
        </w:rPr>
        <w:t>苏世建设管理集团有限公司</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b/>
          <w:bCs/>
          <w:sz w:val="21"/>
          <w:szCs w:val="21"/>
        </w:rPr>
        <w:t>联系人：</w:t>
      </w:r>
      <w:r>
        <w:rPr>
          <w:rFonts w:hint="eastAsia" w:ascii="宋体" w:hAnsi="宋体" w:eastAsia="宋体" w:cs="宋体"/>
          <w:sz w:val="21"/>
          <w:szCs w:val="21"/>
          <w:u w:val="single"/>
        </w:rPr>
        <w:t xml:space="preserve">孙女士 </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b/>
          <w:bCs/>
          <w:sz w:val="21"/>
          <w:szCs w:val="21"/>
        </w:rPr>
        <w:t>电话：</w:t>
      </w:r>
      <w:r>
        <w:rPr>
          <w:rFonts w:hint="eastAsia" w:ascii="宋体" w:hAnsi="宋体" w:eastAsia="宋体" w:cs="宋体"/>
          <w:sz w:val="21"/>
          <w:szCs w:val="21"/>
          <w:u w:val="single"/>
        </w:rPr>
        <w:t xml:space="preserve">13773600529 </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u w:val="single"/>
        </w:rPr>
      </w:pPr>
      <w:r>
        <w:rPr>
          <w:rFonts w:hint="eastAsia" w:ascii="宋体" w:hAnsi="宋体" w:eastAsia="宋体" w:cs="宋体"/>
          <w:b/>
          <w:bCs/>
          <w:sz w:val="21"/>
          <w:szCs w:val="21"/>
        </w:rPr>
        <w:t>邮箱：</w:t>
      </w:r>
      <w:r>
        <w:rPr>
          <w:rFonts w:hint="eastAsia" w:ascii="宋体" w:hAnsi="宋体" w:eastAsia="宋体" w:cs="宋体"/>
          <w:sz w:val="21"/>
          <w:szCs w:val="21"/>
          <w:u w:val="single"/>
        </w:rPr>
        <w:t xml:space="preserve">115400033@qq.com </w:t>
      </w:r>
    </w:p>
    <w:p>
      <w:pPr>
        <w:pStyle w:val="18"/>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kern w:val="2"/>
          <w:sz w:val="21"/>
          <w:szCs w:val="21"/>
          <w:lang w:val="en-US" w:eastAsia="zh-CN" w:bidi="ar-SA"/>
          <w14:ligatures w14:val="standardContextual"/>
        </w:rPr>
      </w:pPr>
      <w:r>
        <w:rPr>
          <w:rFonts w:hint="eastAsia" w:ascii="宋体" w:hAnsi="宋体" w:eastAsia="宋体" w:cs="宋体"/>
          <w:b/>
          <w:bCs/>
          <w:kern w:val="2"/>
          <w:sz w:val="21"/>
          <w:szCs w:val="21"/>
          <w:lang w:val="en-US" w:eastAsia="zh-CN" w:bidi="ar-SA"/>
          <w14:ligatures w14:val="standardContextual"/>
        </w:rPr>
        <w:t>地址</w:t>
      </w:r>
      <w:r>
        <w:rPr>
          <w:rFonts w:hint="eastAsia" w:ascii="宋体" w:hAnsi="宋体" w:eastAsia="宋体" w:cs="宋体"/>
          <w:b w:val="0"/>
          <w:bCs w:val="0"/>
          <w:kern w:val="2"/>
          <w:sz w:val="21"/>
          <w:szCs w:val="21"/>
          <w:lang w:val="en-US" w:eastAsia="zh-CN" w:bidi="ar-SA"/>
          <w14:ligatures w14:val="standardContextual"/>
        </w:rPr>
        <w:t>：</w:t>
      </w:r>
      <w:r>
        <w:rPr>
          <w:rFonts w:hint="eastAsia" w:ascii="宋体" w:hAnsi="宋体" w:eastAsia="宋体" w:cs="宋体"/>
          <w:b w:val="0"/>
          <w:bCs w:val="0"/>
          <w:kern w:val="2"/>
          <w:sz w:val="21"/>
          <w:szCs w:val="21"/>
          <w:u w:val="single"/>
          <w:lang w:val="en-US" w:eastAsia="zh-CN" w:bidi="ar-SA"/>
          <w14:ligatures w14:val="standardContextual"/>
        </w:rPr>
        <w:t>南通市崇川区北大街88号威斯汀铂晶商业广场</w:t>
      </w:r>
    </w:p>
    <w:p>
      <w:pPr>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u w:val="single"/>
        </w:rPr>
      </w:pPr>
      <w:r>
        <w:rPr>
          <w:rFonts w:hint="eastAsia" w:ascii="宋体" w:hAnsi="宋体" w:eastAsia="宋体" w:cs="宋体"/>
          <w:b/>
          <w:bCs/>
          <w:sz w:val="21"/>
          <w:szCs w:val="21"/>
        </w:rPr>
        <w:t>监督部门：</w:t>
      </w:r>
      <w:r>
        <w:rPr>
          <w:rFonts w:hint="eastAsia" w:ascii="宋体" w:hAnsi="宋体" w:eastAsia="宋体" w:cs="宋体"/>
          <w:sz w:val="21"/>
          <w:szCs w:val="21"/>
          <w:u w:val="single"/>
        </w:rPr>
        <w:t>南通轨道交通集团有限公司运营分公司纪检监督部</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u w:val="single"/>
        </w:rPr>
      </w:pPr>
      <w:r>
        <w:rPr>
          <w:rFonts w:hint="eastAsia" w:ascii="宋体" w:hAnsi="宋体" w:eastAsia="宋体" w:cs="宋体"/>
          <w:b/>
          <w:bCs/>
          <w:sz w:val="21"/>
          <w:szCs w:val="21"/>
        </w:rPr>
        <w:t>联系电话：</w:t>
      </w:r>
      <w:r>
        <w:rPr>
          <w:rFonts w:hint="eastAsia" w:ascii="宋体" w:hAnsi="宋体" w:eastAsia="宋体" w:cs="宋体"/>
          <w:sz w:val="21"/>
          <w:szCs w:val="21"/>
          <w:u w:val="single"/>
        </w:rPr>
        <w:t>0513-69888665</w:t>
      </w:r>
    </w:p>
    <w:p>
      <w:pPr>
        <w:pageBreakBefore w:val="0"/>
        <w:widowControl w:val="0"/>
        <w:kinsoku/>
        <w:overflowPunct/>
        <w:topLinePunct w:val="0"/>
        <w:autoSpaceDE/>
        <w:autoSpaceDN/>
        <w:bidi w:val="0"/>
        <w:adjustRightInd/>
        <w:snapToGrid/>
        <w:spacing w:line="360" w:lineRule="auto"/>
        <w:ind w:firstLine="482"/>
        <w:textAlignment w:val="auto"/>
        <w:rPr>
          <w:rFonts w:hint="eastAsia" w:ascii="宋体" w:hAnsi="宋体" w:eastAsia="宋体" w:cs="宋体"/>
          <w:b w:val="0"/>
          <w:bCs w:val="0"/>
          <w:kern w:val="2"/>
          <w:sz w:val="24"/>
          <w:szCs w:val="22"/>
          <w:u w:val="single"/>
          <w:lang w:val="en-US" w:eastAsia="zh-CN" w:bidi="ar-SA"/>
          <w14:ligatures w14:val="standardContextual"/>
        </w:rPr>
      </w:pPr>
      <w:r>
        <w:rPr>
          <w:rFonts w:hint="eastAsia" w:ascii="宋体" w:hAnsi="宋体" w:eastAsia="宋体" w:cs="宋体"/>
          <w:b/>
          <w:bCs/>
          <w:kern w:val="2"/>
          <w:sz w:val="21"/>
          <w:szCs w:val="21"/>
          <w:lang w:val="en-US" w:eastAsia="zh-CN" w:bidi="ar-SA"/>
          <w14:ligatures w14:val="standardContextual"/>
        </w:rPr>
        <w:t>地址：</w:t>
      </w:r>
      <w:r>
        <w:rPr>
          <w:rFonts w:hint="eastAsia" w:ascii="宋体" w:hAnsi="宋体" w:eastAsia="宋体" w:cs="宋体"/>
          <w:b w:val="0"/>
          <w:bCs w:val="0"/>
          <w:kern w:val="2"/>
          <w:sz w:val="21"/>
          <w:szCs w:val="21"/>
          <w:u w:val="single"/>
          <w:lang w:val="en-US" w:eastAsia="zh-CN" w:bidi="ar-SA"/>
          <w14:ligatures w14:val="standardContextual"/>
        </w:rPr>
        <w:t>南通市通州区平潮镇南通轨道交通平东车辆段综合楼5楼</w:t>
      </w:r>
    </w:p>
    <w:p>
      <w:pPr>
        <w:pStyle w:val="18"/>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p>
    <w:p>
      <w:pPr>
        <w:ind w:firstLine="480"/>
        <w:rPr>
          <w:rFonts w:hint="eastAsia" w:ascii="宋体" w:hAnsi="宋体" w:eastAsia="宋体" w:cs="宋体"/>
          <w:b/>
          <w:bCs/>
          <w:szCs w:val="32"/>
        </w:rPr>
      </w:pPr>
      <w:r>
        <w:rPr>
          <w:rFonts w:hint="eastAsia" w:ascii="宋体" w:hAnsi="宋体" w:eastAsia="宋体" w:cs="宋体"/>
        </w:rPr>
        <w:br w:type="page"/>
      </w:r>
    </w:p>
    <w:p>
      <w:pPr>
        <w:pStyle w:val="2"/>
        <w:ind w:firstLine="482"/>
        <w:rPr>
          <w:rFonts w:hint="eastAsia" w:ascii="宋体" w:hAnsi="宋体" w:eastAsia="宋体" w:cs="宋体"/>
        </w:rPr>
      </w:pPr>
      <w:r>
        <w:rPr>
          <w:rFonts w:hint="eastAsia" w:ascii="宋体" w:hAnsi="宋体" w:eastAsia="宋体" w:cs="宋体"/>
        </w:rPr>
        <w:t>附件一</w:t>
      </w:r>
      <w:r>
        <w:rPr>
          <w:rFonts w:hint="eastAsia" w:ascii="宋体" w:hAnsi="宋体" w:eastAsia="宋体" w:cs="宋体"/>
          <w:lang w:val="en-US" w:eastAsia="zh-CN"/>
        </w:rPr>
        <w:t xml:space="preserve"> </w:t>
      </w:r>
      <w:r>
        <w:rPr>
          <w:rFonts w:hint="eastAsia" w:ascii="宋体" w:hAnsi="宋体" w:eastAsia="宋体" w:cs="宋体"/>
        </w:rPr>
        <w:t>预约格式文件</w:t>
      </w:r>
    </w:p>
    <w:p>
      <w:pPr>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 xml:space="preserve"> </w:t>
      </w:r>
      <w:r>
        <w:rPr>
          <w:rFonts w:hint="eastAsia" w:ascii="宋体" w:hAnsi="宋体" w:eastAsia="宋体" w:cs="宋体"/>
        </w:rPr>
        <w:t>预约申请表</w:t>
      </w:r>
    </w:p>
    <w:p>
      <w:pPr>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 xml:space="preserve"> </w:t>
      </w:r>
      <w:r>
        <w:rPr>
          <w:rFonts w:hint="eastAsia" w:ascii="宋体" w:hAnsi="宋体" w:eastAsia="宋体" w:cs="宋体"/>
        </w:rPr>
        <w:t>《营业执照》扫描件</w:t>
      </w:r>
    </w:p>
    <w:p>
      <w:pPr>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 xml:space="preserve"> </w:t>
      </w:r>
      <w:r>
        <w:rPr>
          <w:rFonts w:hint="eastAsia" w:ascii="宋体" w:hAnsi="宋体" w:eastAsia="宋体" w:cs="宋体"/>
        </w:rPr>
        <w:t>法人或授权人身份证复印件扫描件</w:t>
      </w:r>
    </w:p>
    <w:p>
      <w:pPr>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 xml:space="preserve"> </w:t>
      </w:r>
      <w:r>
        <w:rPr>
          <w:rFonts w:hint="eastAsia" w:ascii="宋体" w:hAnsi="宋体" w:eastAsia="宋体" w:cs="宋体"/>
        </w:rPr>
        <w:t>预约单位简介表</w:t>
      </w:r>
    </w:p>
    <w:p>
      <w:pPr>
        <w:rPr>
          <w:rFonts w:hint="eastAsia" w:ascii="宋体" w:hAnsi="宋体" w:eastAsia="宋体" w:cs="宋体"/>
        </w:rPr>
      </w:pPr>
      <w:r>
        <w:rPr>
          <w:rFonts w:hint="eastAsia" w:ascii="宋体" w:hAnsi="宋体" w:eastAsia="宋体" w:cs="宋体"/>
          <w:color w:val="auto"/>
          <w:sz w:val="32"/>
          <w:szCs w:val="32"/>
          <w:highlight w:val="none"/>
        </w:rPr>
        <w:br w:type="page"/>
      </w:r>
      <w:bookmarkStart w:id="4" w:name="_Toc3234"/>
      <w:r>
        <w:rPr>
          <w:rFonts w:hint="eastAsia" w:ascii="宋体" w:hAnsi="宋体" w:eastAsia="宋体" w:cs="宋体"/>
        </w:rPr>
        <w:t>1 预约申请表</w:t>
      </w:r>
    </w:p>
    <w:p>
      <w:pPr>
        <w:ind w:firstLine="480"/>
        <w:rPr>
          <w:rFonts w:hint="eastAsia" w:ascii="宋体" w:hAnsi="宋体" w:eastAsia="宋体" w:cs="宋体"/>
        </w:rPr>
      </w:pPr>
    </w:p>
    <w:tbl>
      <w:tblPr>
        <w:tblStyle w:val="44"/>
        <w:tblW w:w="86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58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2820" w:type="dxa"/>
            <w:vAlign w:val="center"/>
          </w:tcPr>
          <w:p>
            <w:pPr>
              <w:keepNext w:val="0"/>
              <w:keepLines w:val="0"/>
              <w:suppressLineNumbers w:val="0"/>
              <w:spacing w:before="0" w:beforeAutospacing="0" w:after="0" w:afterAutospacing="0"/>
              <w:ind w:left="0" w:right="0" w:firstLine="145" w:firstLineChars="69"/>
              <w:rPr>
                <w:rFonts w:hint="eastAsia" w:ascii="宋体" w:hAnsi="宋体" w:eastAsia="宋体" w:cs="宋体"/>
                <w:b/>
                <w:bCs/>
              </w:rPr>
            </w:pPr>
            <w:r>
              <w:rPr>
                <w:rFonts w:hint="eastAsia" w:ascii="宋体" w:hAnsi="宋体" w:eastAsia="宋体" w:cs="宋体"/>
                <w:b/>
                <w:bCs/>
              </w:rPr>
              <w:t>项目名称</w:t>
            </w:r>
          </w:p>
        </w:tc>
        <w:tc>
          <w:tcPr>
            <w:tcW w:w="5827" w:type="dxa"/>
            <w:vAlign w:val="center"/>
          </w:tcPr>
          <w:p>
            <w:pPr>
              <w:keepNext w:val="0"/>
              <w:keepLines w:val="0"/>
              <w:suppressLineNumbers w:val="0"/>
              <w:spacing w:before="0" w:beforeAutospacing="0" w:after="0" w:afterAutospacing="0"/>
              <w:ind w:left="0" w:right="0" w:firstLine="48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1" w:hRule="atLeast"/>
          <w:jc w:val="center"/>
        </w:trPr>
        <w:tc>
          <w:tcPr>
            <w:tcW w:w="2820" w:type="dxa"/>
            <w:vAlign w:val="center"/>
          </w:tcPr>
          <w:p>
            <w:pPr>
              <w:keepNext w:val="0"/>
              <w:keepLines w:val="0"/>
              <w:suppressLineNumbers w:val="0"/>
              <w:spacing w:before="0" w:beforeAutospacing="0" w:after="0" w:afterAutospacing="0"/>
              <w:ind w:left="0" w:right="0" w:firstLine="145" w:firstLineChars="69"/>
              <w:rPr>
                <w:rFonts w:hint="eastAsia" w:ascii="宋体" w:hAnsi="宋体" w:eastAsia="宋体" w:cs="宋体"/>
                <w:b/>
                <w:bCs/>
              </w:rPr>
            </w:pPr>
            <w:r>
              <w:rPr>
                <w:rFonts w:hint="eastAsia" w:ascii="宋体" w:hAnsi="宋体" w:eastAsia="宋体" w:cs="宋体"/>
                <w:b/>
                <w:bCs/>
              </w:rPr>
              <w:t>供应商单位全称</w:t>
            </w:r>
          </w:p>
        </w:tc>
        <w:tc>
          <w:tcPr>
            <w:tcW w:w="5827" w:type="dxa"/>
            <w:vAlign w:val="center"/>
          </w:tcPr>
          <w:p>
            <w:pPr>
              <w:keepNext w:val="0"/>
              <w:keepLines w:val="0"/>
              <w:suppressLineNumbers w:val="0"/>
              <w:spacing w:before="0" w:beforeAutospacing="0" w:after="0" w:afterAutospacing="0"/>
              <w:ind w:left="0" w:right="0" w:firstLine="48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3" w:hRule="atLeast"/>
          <w:jc w:val="center"/>
        </w:trPr>
        <w:tc>
          <w:tcPr>
            <w:tcW w:w="2820" w:type="dxa"/>
            <w:vAlign w:val="center"/>
          </w:tcPr>
          <w:p>
            <w:pPr>
              <w:keepNext w:val="0"/>
              <w:keepLines w:val="0"/>
              <w:suppressLineNumbers w:val="0"/>
              <w:spacing w:before="0" w:beforeAutospacing="0" w:after="0" w:afterAutospacing="0"/>
              <w:ind w:left="0" w:right="0" w:firstLine="145" w:firstLineChars="69"/>
              <w:rPr>
                <w:rFonts w:hint="eastAsia" w:ascii="宋体" w:hAnsi="宋体" w:eastAsia="宋体" w:cs="宋体"/>
                <w:b/>
                <w:bCs/>
              </w:rPr>
            </w:pPr>
            <w:r>
              <w:rPr>
                <w:rFonts w:hint="eastAsia" w:ascii="宋体" w:hAnsi="宋体" w:eastAsia="宋体" w:cs="宋体"/>
                <w:b/>
                <w:bCs/>
              </w:rPr>
              <w:t>法人或授权人姓名</w:t>
            </w:r>
          </w:p>
        </w:tc>
        <w:tc>
          <w:tcPr>
            <w:tcW w:w="5827" w:type="dxa"/>
            <w:vAlign w:val="center"/>
          </w:tcPr>
          <w:p>
            <w:pPr>
              <w:keepNext w:val="0"/>
              <w:keepLines w:val="0"/>
              <w:suppressLineNumbers w:val="0"/>
              <w:spacing w:before="0" w:beforeAutospacing="0" w:after="0" w:afterAutospacing="0"/>
              <w:ind w:left="0" w:right="0" w:firstLine="48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8" w:hRule="atLeast"/>
          <w:jc w:val="center"/>
        </w:trPr>
        <w:tc>
          <w:tcPr>
            <w:tcW w:w="2820" w:type="dxa"/>
            <w:vAlign w:val="center"/>
          </w:tcPr>
          <w:p>
            <w:pPr>
              <w:keepNext w:val="0"/>
              <w:keepLines w:val="0"/>
              <w:suppressLineNumbers w:val="0"/>
              <w:spacing w:before="0" w:beforeAutospacing="0" w:after="0" w:afterAutospacing="0"/>
              <w:ind w:left="0" w:right="0" w:firstLine="145" w:firstLineChars="69"/>
              <w:rPr>
                <w:rFonts w:hint="eastAsia" w:ascii="宋体" w:hAnsi="宋体" w:eastAsia="宋体" w:cs="宋体"/>
                <w:b/>
                <w:bCs/>
              </w:rPr>
            </w:pPr>
            <w:r>
              <w:rPr>
                <w:rFonts w:hint="eastAsia" w:ascii="宋体" w:hAnsi="宋体" w:eastAsia="宋体" w:cs="宋体"/>
                <w:b/>
                <w:bCs/>
              </w:rPr>
              <w:t>法人或授权人联系方式</w:t>
            </w:r>
          </w:p>
        </w:tc>
        <w:tc>
          <w:tcPr>
            <w:tcW w:w="5827" w:type="dxa"/>
            <w:vAlign w:val="center"/>
          </w:tcPr>
          <w:p>
            <w:pPr>
              <w:keepNext w:val="0"/>
              <w:keepLines w:val="0"/>
              <w:suppressLineNumbers w:val="0"/>
              <w:spacing w:before="0" w:beforeAutospacing="0" w:after="0" w:afterAutospacing="0"/>
              <w:ind w:left="0" w:right="0" w:firstLine="48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2" w:hRule="atLeast"/>
          <w:jc w:val="center"/>
        </w:trPr>
        <w:tc>
          <w:tcPr>
            <w:tcW w:w="2820" w:type="dxa"/>
            <w:vAlign w:val="center"/>
          </w:tcPr>
          <w:p>
            <w:pPr>
              <w:keepNext w:val="0"/>
              <w:keepLines w:val="0"/>
              <w:suppressLineNumbers w:val="0"/>
              <w:spacing w:before="0" w:beforeAutospacing="0" w:after="0" w:afterAutospacing="0"/>
              <w:ind w:left="0" w:right="0" w:firstLine="145" w:firstLineChars="69"/>
              <w:rPr>
                <w:rFonts w:hint="eastAsia" w:ascii="宋体" w:hAnsi="宋体" w:eastAsia="宋体" w:cs="宋体"/>
                <w:b/>
                <w:bCs/>
              </w:rPr>
            </w:pPr>
            <w:r>
              <w:rPr>
                <w:rFonts w:hint="eastAsia" w:ascii="宋体" w:hAnsi="宋体" w:eastAsia="宋体" w:cs="宋体"/>
                <w:b/>
                <w:bCs/>
              </w:rPr>
              <w:t>电子邮箱</w:t>
            </w:r>
          </w:p>
        </w:tc>
        <w:tc>
          <w:tcPr>
            <w:tcW w:w="5827" w:type="dxa"/>
            <w:vAlign w:val="center"/>
          </w:tcPr>
          <w:p>
            <w:pPr>
              <w:keepNext w:val="0"/>
              <w:keepLines w:val="0"/>
              <w:suppressLineNumbers w:val="0"/>
              <w:spacing w:before="0" w:beforeAutospacing="0" w:after="0" w:afterAutospacing="0"/>
              <w:ind w:left="0" w:right="0" w:firstLine="480"/>
              <w:rPr>
                <w:rFonts w:hint="eastAsia" w:ascii="宋体" w:hAnsi="宋体" w:eastAsia="宋体" w:cs="宋体"/>
              </w:rPr>
            </w:pPr>
          </w:p>
        </w:tc>
      </w:tr>
    </w:tbl>
    <w:p>
      <w:pPr>
        <w:ind w:firstLine="480"/>
        <w:rPr>
          <w:rFonts w:hint="eastAsia" w:ascii="宋体" w:hAnsi="宋体" w:eastAsia="宋体" w:cs="宋体"/>
        </w:rPr>
      </w:pPr>
    </w:p>
    <w:p>
      <w:pPr>
        <w:widowControl/>
        <w:spacing w:line="240" w:lineRule="auto"/>
        <w:ind w:firstLine="0" w:firstLineChars="0"/>
        <w:jc w:val="left"/>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rPr>
      </w:pPr>
      <w:r>
        <w:rPr>
          <w:rFonts w:hint="eastAsia" w:ascii="宋体" w:hAnsi="宋体" w:eastAsia="宋体" w:cs="宋体"/>
        </w:rPr>
        <w:t>2 《营业执照》扫描件</w:t>
      </w:r>
    </w:p>
    <w:p>
      <w:pPr>
        <w:widowControl/>
        <w:spacing w:line="240" w:lineRule="auto"/>
        <w:ind w:firstLine="0" w:firstLineChars="0"/>
        <w:jc w:val="left"/>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rPr>
      </w:pPr>
      <w:r>
        <w:rPr>
          <w:rFonts w:hint="eastAsia" w:ascii="宋体" w:hAnsi="宋体" w:eastAsia="宋体" w:cs="宋体"/>
        </w:rPr>
        <w:t>3 法</w:t>
      </w:r>
      <w:r>
        <w:rPr>
          <w:rFonts w:hint="eastAsia" w:ascii="宋体" w:hAnsi="宋体" w:eastAsia="宋体" w:cs="宋体"/>
          <w:lang w:val="en-US" w:eastAsia="zh-CN"/>
        </w:rPr>
        <w:t>定代表</w:t>
      </w:r>
      <w:r>
        <w:rPr>
          <w:rFonts w:hint="eastAsia" w:ascii="宋体" w:hAnsi="宋体" w:eastAsia="宋体" w:cs="宋体"/>
        </w:rPr>
        <w:t>人或授权</w:t>
      </w:r>
      <w:r>
        <w:rPr>
          <w:rFonts w:hint="eastAsia" w:ascii="宋体" w:hAnsi="宋体" w:eastAsia="宋体" w:cs="宋体"/>
          <w:lang w:val="en-US" w:eastAsia="zh-CN"/>
        </w:rPr>
        <w:t>代理</w:t>
      </w:r>
      <w:r>
        <w:rPr>
          <w:rFonts w:hint="eastAsia" w:ascii="宋体" w:hAnsi="宋体" w:eastAsia="宋体" w:cs="宋体"/>
        </w:rPr>
        <w:t>人身份证复印件扫描件</w:t>
      </w:r>
    </w:p>
    <w:p>
      <w:pPr>
        <w:widowControl/>
        <w:spacing w:line="240" w:lineRule="auto"/>
        <w:ind w:firstLine="0" w:firstLineChars="0"/>
        <w:jc w:val="left"/>
        <w:rPr>
          <w:rFonts w:hint="eastAsia" w:ascii="宋体" w:hAnsi="宋体" w:eastAsia="宋体" w:cs="宋体"/>
          <w:b/>
          <w:bCs/>
          <w:szCs w:val="32"/>
        </w:rPr>
      </w:pPr>
      <w:r>
        <w:rPr>
          <w:rFonts w:hint="eastAsia" w:ascii="宋体" w:hAnsi="宋体" w:eastAsia="宋体" w:cs="宋体"/>
        </w:rPr>
        <w:br w:type="page"/>
      </w:r>
    </w:p>
    <w:p>
      <w:pPr>
        <w:pStyle w:val="4"/>
        <w:ind w:left="0" w:leftChars="0" w:firstLine="0" w:firstLineChars="0"/>
        <w:jc w:val="center"/>
        <w:rPr>
          <w:rStyle w:val="56"/>
          <w:rFonts w:hint="eastAsia" w:ascii="宋体" w:hAnsi="宋体" w:eastAsia="宋体" w:cs="宋体"/>
          <w:b/>
          <w:bCs/>
        </w:rPr>
      </w:pPr>
      <w:r>
        <w:rPr>
          <w:rStyle w:val="56"/>
          <w:rFonts w:hint="eastAsia" w:ascii="宋体" w:hAnsi="宋体" w:eastAsia="宋体" w:cs="宋体"/>
          <w:b/>
          <w:bCs/>
        </w:rPr>
        <w:t>4 预约单位简介表</w:t>
      </w:r>
    </w:p>
    <w:p>
      <w:pPr>
        <w:ind w:firstLine="480"/>
        <w:rPr>
          <w:rFonts w:hint="eastAsia" w:ascii="宋体" w:hAnsi="宋体" w:eastAsia="宋体" w:cs="宋体"/>
        </w:rPr>
      </w:pPr>
    </w:p>
    <w:tbl>
      <w:tblPr>
        <w:tblStyle w:val="44"/>
        <w:tblW w:w="86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95"/>
        <w:gridCol w:w="6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2395" w:type="dxa"/>
            <w:vAlign w:val="center"/>
          </w:tcPr>
          <w:p>
            <w:pPr>
              <w:keepNext w:val="0"/>
              <w:keepLines w:val="0"/>
              <w:suppressLineNumbers w:val="0"/>
              <w:spacing w:before="0" w:beforeAutospacing="0" w:after="0" w:afterAutospacing="0"/>
              <w:ind w:left="0" w:right="0" w:firstLine="145" w:firstLineChars="69"/>
              <w:rPr>
                <w:rFonts w:hint="eastAsia" w:ascii="宋体" w:hAnsi="宋体" w:eastAsia="宋体" w:cs="宋体"/>
                <w:b/>
                <w:bCs/>
              </w:rPr>
            </w:pPr>
            <w:r>
              <w:rPr>
                <w:rFonts w:hint="eastAsia" w:ascii="宋体" w:hAnsi="宋体" w:eastAsia="宋体" w:cs="宋体"/>
                <w:b/>
                <w:bCs/>
              </w:rPr>
              <w:t>供应商单位全称</w:t>
            </w:r>
          </w:p>
        </w:tc>
        <w:tc>
          <w:tcPr>
            <w:tcW w:w="6252" w:type="dxa"/>
            <w:vAlign w:val="center"/>
          </w:tcPr>
          <w:p>
            <w:pPr>
              <w:keepNext w:val="0"/>
              <w:keepLines w:val="0"/>
              <w:suppressLineNumbers w:val="0"/>
              <w:spacing w:before="0" w:beforeAutospacing="0" w:after="0" w:afterAutospacing="0"/>
              <w:ind w:left="0" w:right="0" w:firstLine="0" w:firstLineChars="0"/>
              <w:rPr>
                <w:rFonts w:hint="eastAsia" w:ascii="宋体" w:hAnsi="宋体" w:eastAsia="宋体" w:cs="宋体"/>
              </w:rPr>
            </w:pPr>
            <w:r>
              <w:rPr>
                <w:rFonts w:hint="eastAsia" w:ascii="宋体" w:hAnsi="宋体" w:eastAsia="宋体" w:cs="宋体"/>
              </w:rPr>
              <w:t>江苏****工程咨询有限公司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9" w:hRule="atLeast"/>
          <w:jc w:val="center"/>
        </w:trPr>
        <w:tc>
          <w:tcPr>
            <w:tcW w:w="2395" w:type="dxa"/>
            <w:vAlign w:val="center"/>
          </w:tcPr>
          <w:p>
            <w:pPr>
              <w:keepNext w:val="0"/>
              <w:keepLines w:val="0"/>
              <w:suppressLineNumbers w:val="0"/>
              <w:spacing w:before="0" w:beforeAutospacing="0" w:after="0" w:afterAutospacing="0"/>
              <w:ind w:left="0" w:right="0" w:firstLine="145" w:firstLineChars="69"/>
              <w:rPr>
                <w:rFonts w:hint="eastAsia" w:ascii="宋体" w:hAnsi="宋体" w:eastAsia="宋体" w:cs="宋体"/>
                <w:b/>
                <w:bCs/>
              </w:rPr>
            </w:pPr>
            <w:r>
              <w:rPr>
                <w:rFonts w:hint="eastAsia" w:ascii="宋体" w:hAnsi="宋体" w:eastAsia="宋体" w:cs="宋体"/>
                <w:b/>
                <w:bCs/>
              </w:rPr>
              <w:t>供应商单位性质</w:t>
            </w:r>
          </w:p>
        </w:tc>
        <w:tc>
          <w:tcPr>
            <w:tcW w:w="6252" w:type="dxa"/>
            <w:vAlign w:val="center"/>
          </w:tcPr>
          <w:p>
            <w:pPr>
              <w:keepNext w:val="0"/>
              <w:keepLines w:val="0"/>
              <w:suppressLineNumbers w:val="0"/>
              <w:spacing w:before="0" w:beforeAutospacing="0" w:after="0" w:afterAutospacing="0"/>
              <w:ind w:left="0" w:right="0" w:firstLine="0" w:firstLineChars="0"/>
              <w:rPr>
                <w:rFonts w:hint="eastAsia" w:ascii="宋体" w:hAnsi="宋体" w:eastAsia="宋体" w:cs="宋体"/>
              </w:rPr>
            </w:pPr>
            <w:r>
              <w:rPr>
                <w:rFonts w:hint="eastAsia" w:ascii="宋体" w:hAnsi="宋体" w:eastAsia="宋体" w:cs="宋体"/>
              </w:rPr>
              <w:t>国有企业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11" w:hRule="atLeast"/>
          <w:jc w:val="center"/>
        </w:trPr>
        <w:tc>
          <w:tcPr>
            <w:tcW w:w="2395" w:type="dxa"/>
            <w:vAlign w:val="center"/>
          </w:tcPr>
          <w:p>
            <w:pPr>
              <w:keepNext w:val="0"/>
              <w:keepLines w:val="0"/>
              <w:suppressLineNumbers w:val="0"/>
              <w:spacing w:before="0" w:beforeAutospacing="0" w:after="0" w:afterAutospacing="0"/>
              <w:ind w:left="0" w:right="0" w:firstLine="145" w:firstLineChars="69"/>
              <w:rPr>
                <w:rFonts w:hint="eastAsia" w:ascii="宋体" w:hAnsi="宋体" w:eastAsia="宋体" w:cs="宋体"/>
                <w:b/>
                <w:bCs/>
              </w:rPr>
            </w:pPr>
            <w:r>
              <w:rPr>
                <w:rFonts w:hint="eastAsia" w:ascii="宋体" w:hAnsi="宋体" w:eastAsia="宋体" w:cs="宋体"/>
                <w:b/>
                <w:bCs/>
              </w:rPr>
              <w:t>单位简介</w:t>
            </w:r>
          </w:p>
        </w:tc>
        <w:tc>
          <w:tcPr>
            <w:tcW w:w="6252" w:type="dxa"/>
            <w:vAlign w:val="center"/>
          </w:tcPr>
          <w:p>
            <w:pPr>
              <w:keepNext w:val="0"/>
              <w:keepLines w:val="0"/>
              <w:suppressLineNumbers w:val="0"/>
              <w:spacing w:before="0" w:beforeAutospacing="0" w:after="0" w:afterAutospacing="0"/>
              <w:ind w:left="0" w:right="0" w:firstLine="0" w:firstLineChars="0"/>
              <w:rPr>
                <w:rFonts w:hint="eastAsia" w:ascii="宋体" w:hAnsi="宋体" w:eastAsia="宋体" w:cs="宋体"/>
              </w:rPr>
            </w:pPr>
            <w:r>
              <w:rPr>
                <w:rFonts w:hint="eastAsia" w:ascii="宋体" w:hAnsi="宋体" w:eastAsia="宋体" w:cs="宋体"/>
              </w:rPr>
              <w:t>成立于2004-04-21，注册资本2500万，主要从事国际、国内工程咨询服务，国际、国内项目招询价代理，国际、国内工程造价预决算。为集团的招标代理公司之一。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2395" w:type="dxa"/>
            <w:vAlign w:val="center"/>
          </w:tcPr>
          <w:p>
            <w:pPr>
              <w:keepNext w:val="0"/>
              <w:keepLines w:val="0"/>
              <w:suppressLineNumbers w:val="0"/>
              <w:spacing w:before="0" w:beforeAutospacing="0" w:after="0" w:afterAutospacing="0"/>
              <w:ind w:left="0" w:right="0" w:firstLine="145" w:firstLineChars="69"/>
              <w:rPr>
                <w:rFonts w:hint="eastAsia" w:ascii="宋体" w:hAnsi="宋体" w:eastAsia="宋体" w:cs="宋体"/>
                <w:b/>
                <w:bCs/>
              </w:rPr>
            </w:pPr>
            <w:r>
              <w:rPr>
                <w:rFonts w:hint="eastAsia" w:ascii="宋体" w:hAnsi="宋体" w:eastAsia="宋体" w:cs="宋体"/>
                <w:b/>
                <w:bCs/>
              </w:rPr>
              <w:t>主要相关业绩</w:t>
            </w:r>
          </w:p>
        </w:tc>
        <w:tc>
          <w:tcPr>
            <w:tcW w:w="6252" w:type="dxa"/>
            <w:vAlign w:val="center"/>
          </w:tcPr>
          <w:p>
            <w:pPr>
              <w:keepNext w:val="0"/>
              <w:keepLines w:val="0"/>
              <w:suppressLineNumbers w:val="0"/>
              <w:spacing w:before="0" w:beforeAutospacing="0" w:after="0" w:afterAutospacing="0"/>
              <w:ind w:left="0" w:right="0" w:firstLine="0" w:firstLineChars="0"/>
              <w:rPr>
                <w:rFonts w:hint="eastAsia" w:ascii="宋体" w:hAnsi="宋体" w:eastAsia="宋体" w:cs="宋体"/>
              </w:rPr>
            </w:pPr>
            <w:r>
              <w:rPr>
                <w:rFonts w:hint="eastAsia" w:ascii="宋体" w:hAnsi="宋体" w:eastAsia="宋体" w:cs="宋体"/>
              </w:rPr>
              <w:t>南通城市轨道交通2号线一期工程设备类招标代理01标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01" w:hRule="atLeast"/>
          <w:jc w:val="center"/>
        </w:trPr>
        <w:tc>
          <w:tcPr>
            <w:tcW w:w="2395" w:type="dxa"/>
            <w:vAlign w:val="center"/>
          </w:tcPr>
          <w:p>
            <w:pPr>
              <w:keepNext w:val="0"/>
              <w:keepLines w:val="0"/>
              <w:suppressLineNumbers w:val="0"/>
              <w:spacing w:before="0" w:beforeAutospacing="0" w:after="0" w:afterAutospacing="0"/>
              <w:ind w:left="0" w:right="0" w:firstLine="145" w:firstLineChars="69"/>
              <w:rPr>
                <w:rFonts w:hint="eastAsia" w:ascii="宋体" w:hAnsi="宋体" w:eastAsia="宋体" w:cs="宋体"/>
                <w:b/>
                <w:bCs/>
              </w:rPr>
            </w:pPr>
            <w:r>
              <w:rPr>
                <w:rFonts w:hint="eastAsia" w:ascii="宋体" w:hAnsi="宋体" w:eastAsia="宋体" w:cs="宋体"/>
                <w:b/>
                <w:bCs/>
              </w:rPr>
              <w:t>主要相关业绩金额</w:t>
            </w:r>
          </w:p>
        </w:tc>
        <w:tc>
          <w:tcPr>
            <w:tcW w:w="6252" w:type="dxa"/>
            <w:vAlign w:val="center"/>
          </w:tcPr>
          <w:p>
            <w:pPr>
              <w:keepNext w:val="0"/>
              <w:keepLines w:val="0"/>
              <w:suppressLineNumbers w:val="0"/>
              <w:spacing w:before="0" w:beforeAutospacing="0" w:after="0" w:afterAutospacing="0"/>
              <w:ind w:left="0" w:right="0" w:firstLine="0" w:firstLineChars="0"/>
              <w:rPr>
                <w:rFonts w:hint="eastAsia" w:ascii="宋体" w:hAnsi="宋体" w:eastAsia="宋体" w:cs="宋体"/>
              </w:rPr>
            </w:pPr>
            <w:r>
              <w:rPr>
                <w:rFonts w:hint="eastAsia" w:ascii="宋体" w:hAnsi="宋体" w:eastAsia="宋体" w:cs="宋体"/>
              </w:rPr>
              <w:t>84553.23万元</w:t>
            </w:r>
          </w:p>
        </w:tc>
      </w:tr>
    </w:tbl>
    <w:p>
      <w:pPr>
        <w:ind w:firstLine="0" w:firstLineChars="0"/>
        <w:rPr>
          <w:rFonts w:hint="eastAsia" w:ascii="宋体" w:hAnsi="宋体" w:eastAsia="宋体" w:cs="宋体"/>
        </w:rPr>
      </w:pPr>
    </w:p>
    <w:p>
      <w:pPr>
        <w:rPr>
          <w:rFonts w:hint="eastAsia" w:ascii="宋体" w:hAnsi="宋体" w:eastAsia="宋体" w:cs="宋体"/>
          <w:bCs w:val="0"/>
          <w:color w:val="auto"/>
          <w:kern w:val="2"/>
          <w:sz w:val="32"/>
          <w:szCs w:val="32"/>
          <w:highlight w:val="none"/>
        </w:rPr>
      </w:pPr>
      <w:r>
        <w:rPr>
          <w:rFonts w:hint="eastAsia" w:ascii="宋体" w:hAnsi="宋体" w:eastAsia="宋体" w:cs="宋体"/>
          <w:bCs w:val="0"/>
          <w:color w:val="auto"/>
          <w:kern w:val="2"/>
          <w:sz w:val="32"/>
          <w:szCs w:val="32"/>
          <w:highlight w:val="none"/>
        </w:rPr>
        <w:br w:type="page"/>
      </w:r>
    </w:p>
    <w:p>
      <w:pPr>
        <w:pStyle w:val="3"/>
        <w:spacing w:before="156" w:after="156" w:line="360" w:lineRule="auto"/>
        <w:rPr>
          <w:rFonts w:hint="eastAsia" w:ascii="宋体" w:hAnsi="宋体" w:eastAsia="宋体" w:cs="宋体"/>
          <w:color w:val="auto"/>
          <w:sz w:val="32"/>
          <w:szCs w:val="32"/>
          <w:highlight w:val="none"/>
        </w:rPr>
      </w:pPr>
      <w:r>
        <w:rPr>
          <w:rFonts w:hint="eastAsia" w:ascii="宋体" w:hAnsi="宋体" w:eastAsia="宋体" w:cs="宋体"/>
          <w:bCs w:val="0"/>
          <w:color w:val="auto"/>
          <w:kern w:val="2"/>
          <w:sz w:val="32"/>
          <w:szCs w:val="32"/>
          <w:highlight w:val="none"/>
        </w:rPr>
        <w:t>第二章 参选人须知</w:t>
      </w:r>
      <w:bookmarkEnd w:id="0"/>
      <w:bookmarkEnd w:id="4"/>
    </w:p>
    <w:p>
      <w:pPr>
        <w:pStyle w:val="2"/>
        <w:spacing w:before="156" w:after="156" w:line="360" w:lineRule="auto"/>
        <w:jc w:val="center"/>
        <w:rPr>
          <w:rFonts w:hint="eastAsia" w:ascii="宋体" w:hAnsi="宋体" w:eastAsia="宋体" w:cs="宋体"/>
          <w:color w:val="auto"/>
          <w:sz w:val="24"/>
          <w:szCs w:val="24"/>
          <w:highlight w:val="none"/>
        </w:rPr>
      </w:pPr>
      <w:bookmarkStart w:id="5" w:name="_Toc184635070"/>
      <w:bookmarkStart w:id="6" w:name="_Toc10033"/>
      <w:r>
        <w:rPr>
          <w:rFonts w:hint="eastAsia" w:ascii="宋体" w:hAnsi="宋体" w:eastAsia="宋体" w:cs="宋体"/>
          <w:color w:val="auto"/>
          <w:sz w:val="24"/>
          <w:szCs w:val="24"/>
          <w:highlight w:val="none"/>
        </w:rPr>
        <w:t>参选人须知前附表</w:t>
      </w:r>
      <w:bookmarkEnd w:id="5"/>
      <w:bookmarkEnd w:id="6"/>
    </w:p>
    <w:tbl>
      <w:tblPr>
        <w:tblStyle w:val="44"/>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266"/>
        <w:gridCol w:w="6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938" w:type="dxa"/>
            <w:vAlign w:val="center"/>
          </w:tcPr>
          <w:p>
            <w:pPr>
              <w:spacing w:before="156" w:after="156"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66" w:type="dxa"/>
            <w:vAlign w:val="center"/>
          </w:tcPr>
          <w:p>
            <w:pPr>
              <w:spacing w:before="156" w:after="156"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 款 名 称</w:t>
            </w:r>
          </w:p>
        </w:tc>
        <w:tc>
          <w:tcPr>
            <w:tcW w:w="6753" w:type="dxa"/>
            <w:vAlign w:val="center"/>
          </w:tcPr>
          <w:p>
            <w:pPr>
              <w:spacing w:before="156" w:after="156"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w:t>
            </w:r>
          </w:p>
        </w:tc>
        <w:tc>
          <w:tcPr>
            <w:tcW w:w="6753" w:type="dxa"/>
            <w:vAlign w:val="center"/>
          </w:tcPr>
          <w:p>
            <w:pPr>
              <w:spacing w:before="156" w:after="156" w:line="360" w:lineRule="auto"/>
              <w:ind w:left="630" w:hanging="630" w:hanging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南通轨道交通集团有限公司运营分公司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苏世建设管理集团有限公司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753" w:type="dxa"/>
            <w:vAlign w:val="center"/>
          </w:tcPr>
          <w:p>
            <w:pPr>
              <w:spacing w:before="156" w:after="156"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南通轨道交通集团有限公司运营分公司</w:t>
            </w:r>
            <w:r>
              <w:rPr>
                <w:rFonts w:hint="eastAsia" w:ascii="宋体" w:hAnsi="宋体" w:eastAsia="宋体" w:cs="宋体"/>
                <w:color w:val="auto"/>
                <w:szCs w:val="21"/>
                <w:highlight w:val="none"/>
                <w:lang w:eastAsia="zh-CN"/>
              </w:rPr>
              <w:t>危废品暂存间改造工程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南通市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质量及验收标准</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详见第四章“项目需求”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val="en-US" w:eastAsia="zh-CN"/>
              </w:rPr>
              <w:t>.1</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参选人资质条件、能力和信誉</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是否接受联合体参选</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不组织，参选人应自行勘察现场，考虑现场布置情况，参选人承担勘察时的全部费用及安全等相关责任。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参选预备会</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266"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参选人要求澄清比选文件</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时间：2023年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日17时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0分前</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形式：参选人按</w:t>
            </w:r>
            <w:r>
              <w:rPr>
                <w:rFonts w:hint="eastAsia" w:ascii="宋体" w:hAnsi="宋体" w:eastAsia="宋体" w:cs="宋体"/>
                <w:color w:val="auto"/>
                <w:szCs w:val="21"/>
                <w:highlight w:val="none"/>
                <w:shd w:val="clear"/>
              </w:rPr>
              <w:t>“附件</w:t>
            </w:r>
            <w:r>
              <w:rPr>
                <w:rFonts w:hint="eastAsia" w:ascii="宋体" w:hAnsi="宋体" w:eastAsia="宋体" w:cs="宋体"/>
                <w:color w:val="auto"/>
                <w:szCs w:val="21"/>
                <w:highlight w:val="none"/>
                <w:shd w:val="clear"/>
                <w:lang w:val="en-US" w:eastAsia="zh-CN"/>
              </w:rPr>
              <w:t>二</w:t>
            </w:r>
            <w:r>
              <w:rPr>
                <w:rFonts w:hint="eastAsia" w:ascii="宋体" w:hAnsi="宋体" w:eastAsia="宋体" w:cs="宋体"/>
                <w:color w:val="auto"/>
                <w:szCs w:val="21"/>
                <w:highlight w:val="none"/>
              </w:rPr>
              <w:t>”规定的格式以邮件形式（盖章复印件及word版）发送至电子邮箱</w:t>
            </w:r>
            <w:r>
              <w:rPr>
                <w:rFonts w:hint="eastAsia" w:ascii="宋体" w:hAnsi="宋体" w:eastAsia="宋体" w:cs="宋体"/>
                <w:color w:val="auto"/>
                <w:highlight w:val="none"/>
                <w:lang w:val="en-US" w:eastAsia="zh-CN"/>
              </w:rPr>
              <w:t>115400033</w:t>
            </w:r>
            <w:r>
              <w:rPr>
                <w:rFonts w:hint="eastAsia" w:ascii="宋体" w:hAnsi="宋体" w:eastAsia="宋体" w:cs="宋体"/>
                <w:color w:val="auto"/>
                <w:highlight w:val="none"/>
              </w:rPr>
              <w:t>@qq.com</w:t>
            </w:r>
            <w:r>
              <w:rPr>
                <w:rFonts w:hint="eastAsia" w:ascii="宋体" w:hAnsi="宋体" w:eastAsia="宋体" w:cs="宋体"/>
                <w:color w:val="auto"/>
                <w:szCs w:val="21"/>
                <w:highlight w:val="none"/>
              </w:rPr>
              <w:t>，以便比选人澄清。比选人不回答参选人在上述时间以后所提出的任何问题。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w:t>
            </w:r>
          </w:p>
        </w:tc>
        <w:tc>
          <w:tcPr>
            <w:tcW w:w="2266"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最高参选限价</w:t>
            </w:r>
          </w:p>
        </w:tc>
        <w:tc>
          <w:tcPr>
            <w:tcW w:w="6753" w:type="dxa"/>
            <w:vAlign w:val="center"/>
          </w:tcPr>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最高参选限价：</w:t>
            </w:r>
            <w:r>
              <w:rPr>
                <w:rFonts w:hint="eastAsia" w:ascii="宋体" w:hAnsi="宋体" w:eastAsia="宋体" w:cs="宋体"/>
                <w:color w:val="auto"/>
                <w:szCs w:val="21"/>
                <w:highlight w:val="none"/>
                <w:u w:val="single"/>
                <w:lang w:val="en-US" w:eastAsia="zh-CN"/>
              </w:rPr>
              <w:t>129137.55</w:t>
            </w:r>
            <w:r>
              <w:rPr>
                <w:rFonts w:hint="eastAsia" w:ascii="宋体" w:hAnsi="宋体" w:eastAsia="宋体" w:cs="宋体"/>
                <w:b/>
                <w:color w:val="auto"/>
                <w:szCs w:val="21"/>
                <w:highlight w:val="none"/>
                <w:u w:val="single"/>
              </w:rPr>
              <w:t xml:space="preserve">元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若参选人的参选报价高于最高参选限价的，将作为无效报价处理。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参选有效期</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90 </w:t>
            </w:r>
            <w:r>
              <w:rPr>
                <w:rFonts w:hint="eastAsia" w:ascii="宋体" w:hAnsi="宋体" w:eastAsia="宋体" w:cs="宋体"/>
                <w:color w:val="auto"/>
                <w:szCs w:val="21"/>
                <w:highlight w:val="none"/>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shd w:val="clear" w:color="auto" w:fill="auto"/>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2266" w:type="dxa"/>
            <w:shd w:val="clear" w:color="auto" w:fill="auto"/>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参选保证金</w:t>
            </w:r>
          </w:p>
        </w:tc>
        <w:tc>
          <w:tcPr>
            <w:tcW w:w="6753" w:type="dxa"/>
            <w:shd w:val="clear" w:color="auto" w:fill="auto"/>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本项目免收保证金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是否允许递交备选参选方案</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6753" w:type="dxa"/>
            <w:vAlign w:val="center"/>
          </w:tcPr>
          <w:p>
            <w:pPr>
              <w:pStyle w:val="133"/>
              <w:spacing w:before="156" w:after="156" w:line="360"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参选文件份数</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rPr>
              <w:t>参选文件正本</w:t>
            </w:r>
            <w:r>
              <w:rPr>
                <w:rFonts w:hint="eastAsia" w:ascii="宋体" w:hAnsi="宋体" w:eastAsia="宋体" w:cs="宋体"/>
                <w:color w:val="auto"/>
                <w:szCs w:val="21"/>
                <w:highlight w:val="none"/>
                <w:u w:val="single"/>
                <w:shd w:val="clear"/>
              </w:rPr>
              <w:t xml:space="preserve"> 1</w:t>
            </w:r>
            <w:r>
              <w:rPr>
                <w:rFonts w:hint="eastAsia" w:ascii="宋体" w:hAnsi="宋体" w:eastAsia="宋体" w:cs="宋体"/>
                <w:color w:val="auto"/>
                <w:szCs w:val="21"/>
                <w:highlight w:val="none"/>
                <w:shd w:val="clear"/>
              </w:rPr>
              <w:t>份，副本</w:t>
            </w:r>
            <w:r>
              <w:rPr>
                <w:rFonts w:hint="eastAsia" w:ascii="宋体" w:hAnsi="宋体" w:eastAsia="宋体" w:cs="宋体"/>
                <w:color w:val="auto"/>
                <w:szCs w:val="21"/>
                <w:highlight w:val="none"/>
                <w:u w:val="single"/>
                <w:shd w:val="clear"/>
              </w:rPr>
              <w:t>4</w:t>
            </w:r>
            <w:r>
              <w:rPr>
                <w:rFonts w:hint="eastAsia" w:ascii="宋体" w:hAnsi="宋体" w:eastAsia="宋体" w:cs="宋体"/>
                <w:color w:val="auto"/>
                <w:szCs w:val="21"/>
                <w:highlight w:val="none"/>
                <w:shd w:val="clear"/>
              </w:rPr>
              <w:t>份</w:t>
            </w:r>
            <w:r>
              <w:rPr>
                <w:rFonts w:hint="eastAsia" w:ascii="宋体" w:hAnsi="宋体" w:eastAsia="宋体" w:cs="宋体"/>
                <w:color w:val="auto"/>
                <w:szCs w:val="21"/>
                <w:highlight w:val="none"/>
              </w:rPr>
              <w:t>，电子文本</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 xml:space="preserve">份（U盘，参选文件扫描件PDF版本以及可编辑的word或excel版本）。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装订</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需要，分册装订要求：</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文件分</w:t>
            </w:r>
            <w:r>
              <w:rPr>
                <w:rFonts w:hint="eastAsia" w:ascii="宋体" w:hAnsi="宋体" w:eastAsia="宋体" w:cs="宋体"/>
                <w:bCs/>
                <w:color w:val="auto"/>
                <w:szCs w:val="21"/>
                <w:highlight w:val="none"/>
                <w:lang w:eastAsia="zh-CN"/>
              </w:rPr>
              <w:t>资格审查/商务技术/报价文件</w:t>
            </w:r>
            <w:r>
              <w:rPr>
                <w:rFonts w:hint="eastAsia" w:ascii="宋体" w:hAnsi="宋体" w:eastAsia="宋体" w:cs="宋体"/>
                <w:bCs/>
                <w:color w:val="auto"/>
                <w:szCs w:val="21"/>
                <w:highlight w:val="none"/>
                <w:lang w:val="en-US" w:eastAsia="zh-CN"/>
              </w:rPr>
              <w:t>三部分</w:t>
            </w:r>
            <w:r>
              <w:rPr>
                <w:rFonts w:hint="eastAsia" w:ascii="宋体" w:hAnsi="宋体" w:eastAsia="宋体" w:cs="宋体"/>
                <w:color w:val="auto"/>
                <w:szCs w:val="21"/>
                <w:highlight w:val="none"/>
              </w:rPr>
              <w:t>装订并分开密封提交，电子文本单独密封。</w:t>
            </w:r>
          </w:p>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文件格式详见第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封袋上应载明的信息</w:t>
            </w:r>
          </w:p>
        </w:tc>
        <w:tc>
          <w:tcPr>
            <w:tcW w:w="6753" w:type="dxa"/>
            <w:vAlign w:val="center"/>
          </w:tcPr>
          <w:p>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南通轨道交通集团有限公司运营分公司</w:t>
            </w:r>
            <w:r>
              <w:rPr>
                <w:rFonts w:hint="eastAsia" w:ascii="宋体" w:hAnsi="宋体" w:eastAsia="宋体" w:cs="宋体"/>
                <w:bCs/>
                <w:color w:val="auto"/>
                <w:szCs w:val="21"/>
                <w:highlight w:val="none"/>
                <w:lang w:eastAsia="zh-CN"/>
              </w:rPr>
              <w:t>危废品暂存间改造工程</w:t>
            </w:r>
          </w:p>
          <w:p>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参选文件</w:t>
            </w:r>
            <w:r>
              <w:rPr>
                <w:rFonts w:hint="eastAsia" w:ascii="宋体" w:hAnsi="宋体" w:eastAsia="宋体" w:cs="宋体"/>
                <w:bCs/>
                <w:color w:val="auto"/>
                <w:szCs w:val="21"/>
                <w:highlight w:val="none"/>
                <w:lang w:eastAsia="zh-CN"/>
              </w:rPr>
              <w:t>（资格审查/商务技术/报价文件/电子文本）</w:t>
            </w:r>
          </w:p>
          <w:p>
            <w:pPr>
              <w:spacing w:line="360" w:lineRule="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参选人：</w:t>
            </w:r>
            <w:r>
              <w:rPr>
                <w:rFonts w:hint="eastAsia" w:ascii="宋体" w:hAnsi="宋体" w:eastAsia="宋体" w:cs="宋体"/>
                <w:bCs/>
                <w:color w:val="auto"/>
                <w:szCs w:val="21"/>
                <w:highlight w:val="none"/>
                <w:u w:val="single"/>
              </w:rPr>
              <w:t xml:space="preserve">                  （全称、盖章）</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在参选文件递交截止时间前不得开启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递交参选文件</w:t>
            </w:r>
            <w:r>
              <w:rPr>
                <w:rFonts w:hint="eastAsia" w:ascii="宋体" w:hAnsi="宋体" w:eastAsia="宋体" w:cs="宋体"/>
                <w:color w:val="auto"/>
                <w:szCs w:val="21"/>
                <w:highlight w:val="none"/>
                <w:lang w:val="en-US" w:eastAsia="zh-CN"/>
              </w:rPr>
              <w:t>时间和</w:t>
            </w:r>
            <w:r>
              <w:rPr>
                <w:rFonts w:hint="eastAsia" w:ascii="宋体" w:hAnsi="宋体" w:eastAsia="宋体" w:cs="宋体"/>
                <w:color w:val="auto"/>
                <w:szCs w:val="21"/>
                <w:highlight w:val="none"/>
              </w:rPr>
              <w:t>地点</w:t>
            </w:r>
          </w:p>
        </w:tc>
        <w:tc>
          <w:tcPr>
            <w:tcW w:w="6753" w:type="dxa"/>
            <w:vAlign w:val="center"/>
          </w:tcPr>
          <w:p>
            <w:pPr>
              <w:spacing w:before="156" w:after="156" w:line="360" w:lineRule="auto"/>
              <w:jc w:val="left"/>
              <w:rPr>
                <w:rFonts w:hint="eastAsia" w:ascii="宋体" w:hAnsi="宋体" w:eastAsia="宋体" w:cs="宋体"/>
                <w:color w:val="auto"/>
                <w:szCs w:val="21"/>
                <w:highlight w:val="yellow"/>
              </w:rPr>
            </w:pPr>
            <w:r>
              <w:rPr>
                <w:rFonts w:hint="eastAsia" w:ascii="宋体" w:hAnsi="宋体" w:eastAsia="宋体" w:cs="宋体"/>
                <w:b/>
                <w:color w:val="auto"/>
                <w:szCs w:val="21"/>
                <w:highlight w:val="none"/>
              </w:rPr>
              <w:t>时间：</w:t>
            </w:r>
            <w:r>
              <w:rPr>
                <w:rFonts w:hint="eastAsia" w:ascii="宋体" w:hAnsi="宋体" w:eastAsia="宋体" w:cs="宋体"/>
                <w:color w:val="auto"/>
                <w:szCs w:val="21"/>
                <w:highlight w:val="none"/>
              </w:rPr>
              <w:t>2023年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w:t>
            </w:r>
          </w:p>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地点: </w:t>
            </w:r>
            <w:r>
              <w:rPr>
                <w:rFonts w:hint="eastAsia" w:ascii="宋体" w:hAnsi="宋体" w:eastAsia="宋体" w:cs="宋体"/>
                <w:color w:val="auto"/>
                <w:szCs w:val="21"/>
                <w:highlight w:val="none"/>
              </w:rPr>
              <w:t>南通市通州区平潮镇平东车辆段综合楼物资部410办公室。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是否退还参选文件</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比选时间和地点</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比选时间：</w:t>
            </w:r>
            <w:r>
              <w:rPr>
                <w:rFonts w:hint="eastAsia" w:ascii="宋体" w:hAnsi="宋体" w:eastAsia="宋体" w:cs="宋体"/>
                <w:color w:val="auto"/>
                <w:szCs w:val="21"/>
                <w:highlight w:val="none"/>
              </w:rPr>
              <w:t>2023年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w:t>
            </w:r>
          </w:p>
          <w:p>
            <w:pPr>
              <w:spacing w:before="156" w:after="156" w:line="360" w:lineRule="auto"/>
              <w:jc w:val="left"/>
              <w:rPr>
                <w:rFonts w:hint="eastAsia" w:ascii="宋体" w:hAnsi="宋体" w:eastAsia="宋体" w:cs="宋体"/>
                <w:color w:val="auto"/>
                <w:highlight w:val="none"/>
                <w:u w:val="single"/>
              </w:rPr>
            </w:pPr>
            <w:r>
              <w:rPr>
                <w:rFonts w:hint="eastAsia" w:ascii="宋体" w:hAnsi="宋体" w:eastAsia="宋体" w:cs="宋体"/>
                <w:b/>
                <w:color w:val="auto"/>
                <w:szCs w:val="21"/>
                <w:highlight w:val="none"/>
              </w:rPr>
              <w:t xml:space="preserve">比选地点: </w:t>
            </w:r>
            <w:r>
              <w:rPr>
                <w:rFonts w:hint="eastAsia" w:ascii="宋体" w:hAnsi="宋体" w:eastAsia="宋体" w:cs="宋体"/>
                <w:color w:val="auto"/>
                <w:szCs w:val="21"/>
                <w:highlight w:val="none"/>
              </w:rPr>
              <w:t>南通市通州区平潮镇平东车辆段综合楼物资部410办公室。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程序</w:t>
            </w:r>
          </w:p>
        </w:tc>
        <w:tc>
          <w:tcPr>
            <w:tcW w:w="6753" w:type="dxa"/>
            <w:vAlign w:val="center"/>
          </w:tcPr>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（2）公布在参选截止时间前递交参选文件的参选人名称，并点名确认参选人；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（3）检查参选文件的密封情况；</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（4）按参选文件递交时间顺序进行资格审查，在本阶段不符合任何一项资格评审标准的参选人将被比选人拒绝，不得进入下一阶段的评审。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商务技术标部分评审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（1）按参选文件递交时间顺序当众开启商务技术部分参选文件，公布比选项目名称、参选人名称等内容，并记录；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（2）公布商务部分及技术部分的评审结果。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价格标评审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（1）按递交参选文件的顺序当众开启报价部分参选文件，宣读参选人名称、报价等信息，并记录；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（2）公布参选人得分，宣布开标会议结束。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评审委员会的组建</w:t>
            </w:r>
          </w:p>
        </w:tc>
        <w:tc>
          <w:tcPr>
            <w:tcW w:w="6753" w:type="dxa"/>
            <w:vAlign w:val="center"/>
          </w:tcPr>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评审委员会：</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是否授权评审委员会确定成交人</w:t>
            </w:r>
          </w:p>
        </w:tc>
        <w:tc>
          <w:tcPr>
            <w:tcW w:w="6753" w:type="dxa"/>
            <w:vAlign w:val="center"/>
          </w:tcPr>
          <w:p>
            <w:pPr>
              <w:spacing w:before="156" w:after="156"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否,推荐的成交候选人数：</w:t>
            </w:r>
            <w:r>
              <w:rPr>
                <w:rFonts w:hint="eastAsia" w:ascii="宋体" w:hAnsi="宋体" w:eastAsia="宋体" w:cs="宋体"/>
                <w:color w:val="auto"/>
                <w:szCs w:val="21"/>
                <w:highlight w:val="none"/>
                <w:u w:val="singl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3</w:t>
            </w:r>
          </w:p>
        </w:tc>
        <w:tc>
          <w:tcPr>
            <w:tcW w:w="2266"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53" w:type="dxa"/>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本项目无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9019" w:type="dxa"/>
            <w:gridSpan w:val="2"/>
            <w:vAlign w:val="center"/>
          </w:tcPr>
          <w:p>
            <w:pPr>
              <w:spacing w:before="156" w:after="156"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38" w:type="dxa"/>
            <w:vAlign w:val="center"/>
          </w:tcPr>
          <w:p>
            <w:pPr>
              <w:spacing w:before="156" w:after="156"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9019" w:type="dxa"/>
            <w:gridSpan w:val="2"/>
            <w:vAlign w:val="center"/>
          </w:tcPr>
          <w:p>
            <w:pPr>
              <w:spacing w:before="156" w:after="156"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比选人内部监督部门：南通轨道交通集团有限公司运营分公司纪检监督部</w:t>
            </w:r>
          </w:p>
          <w:p>
            <w:pPr>
              <w:spacing w:before="156" w:after="156"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投诉举报电话：0513-69888665</w:t>
            </w:r>
          </w:p>
          <w:p>
            <w:pPr>
              <w:spacing w:before="156" w:after="156"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通信地址：南通市通州区平潮镇平东车辆段综合楼5楼纪检监督部</w:t>
            </w:r>
          </w:p>
        </w:tc>
      </w:tr>
    </w:tbl>
    <w:p>
      <w:pPr>
        <w:pStyle w:val="2"/>
        <w:spacing w:before="156" w:after="156" w:line="360" w:lineRule="auto"/>
        <w:rPr>
          <w:rFonts w:hint="eastAsia" w:ascii="宋体" w:hAnsi="宋体" w:eastAsia="宋体" w:cs="宋体"/>
          <w:color w:val="auto"/>
          <w:sz w:val="21"/>
          <w:szCs w:val="21"/>
          <w:highlight w:val="none"/>
        </w:rPr>
      </w:pPr>
      <w:bookmarkStart w:id="7" w:name="_Toc184635071"/>
      <w:r>
        <w:rPr>
          <w:rFonts w:hint="eastAsia" w:ascii="宋体" w:hAnsi="宋体" w:eastAsia="宋体" w:cs="宋体"/>
          <w:color w:val="auto"/>
          <w:highlight w:val="none"/>
        </w:rPr>
        <w:br w:type="page"/>
      </w:r>
      <w:bookmarkStart w:id="8" w:name="_Toc7309"/>
      <w:r>
        <w:rPr>
          <w:rFonts w:hint="eastAsia" w:ascii="宋体" w:hAnsi="宋体" w:eastAsia="宋体" w:cs="宋体"/>
          <w:bCs w:val="0"/>
          <w:color w:val="auto"/>
          <w:sz w:val="21"/>
          <w:szCs w:val="21"/>
          <w:highlight w:val="none"/>
        </w:rPr>
        <w:t>1 总则</w:t>
      </w:r>
      <w:bookmarkEnd w:id="7"/>
      <w:bookmarkEnd w:id="8"/>
    </w:p>
    <w:p>
      <w:pPr>
        <w:pStyle w:val="4"/>
        <w:spacing w:before="156" w:after="156" w:line="360" w:lineRule="auto"/>
        <w:rPr>
          <w:rFonts w:hint="eastAsia" w:ascii="宋体" w:hAnsi="宋体" w:eastAsia="宋体" w:cs="宋体"/>
          <w:color w:val="auto"/>
          <w:sz w:val="21"/>
          <w:szCs w:val="21"/>
          <w:highlight w:val="none"/>
        </w:rPr>
      </w:pPr>
      <w:bookmarkStart w:id="9" w:name="_Toc28177"/>
      <w:r>
        <w:rPr>
          <w:rFonts w:hint="eastAsia" w:ascii="宋体" w:hAnsi="宋体" w:eastAsia="宋体" w:cs="宋体"/>
          <w:color w:val="auto"/>
          <w:sz w:val="21"/>
          <w:szCs w:val="21"/>
          <w:highlight w:val="none"/>
        </w:rPr>
        <w:t>1.1 项目概况</w:t>
      </w:r>
      <w:bookmarkEnd w:id="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根据有关法律、法规和规章的规定，本比选项目己具备比选条件，现对本项目</w:t>
      </w:r>
      <w:r>
        <w:rPr>
          <w:rFonts w:hint="eastAsia" w:ascii="宋体" w:hAnsi="宋体" w:eastAsia="宋体" w:cs="宋体"/>
          <w:color w:val="auto"/>
          <w:sz w:val="21"/>
          <w:szCs w:val="21"/>
          <w:highlight w:val="none"/>
          <w:shd w:val="clear"/>
        </w:rPr>
        <w:t>采购</w:t>
      </w:r>
      <w:r>
        <w:rPr>
          <w:rFonts w:hint="eastAsia" w:ascii="宋体" w:hAnsi="宋体" w:eastAsia="宋体" w:cs="宋体"/>
          <w:color w:val="auto"/>
          <w:sz w:val="21"/>
          <w:szCs w:val="21"/>
          <w:highlight w:val="none"/>
        </w:rPr>
        <w:t>进行比选。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本比选项目比选人：见参选人须知前附表。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本标段代理人机构：见参选人须知前附表。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本比选项目名称：见参选人须知前附表。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本标段建设地点：见参选人须知前附表。</w:t>
      </w:r>
    </w:p>
    <w:p>
      <w:pPr>
        <w:pStyle w:val="4"/>
        <w:spacing w:before="156" w:after="156" w:line="360" w:lineRule="auto"/>
        <w:rPr>
          <w:rFonts w:hint="eastAsia" w:ascii="宋体" w:hAnsi="宋体" w:eastAsia="宋体" w:cs="宋体"/>
          <w:color w:val="auto"/>
          <w:sz w:val="21"/>
          <w:szCs w:val="21"/>
          <w:highlight w:val="none"/>
        </w:rPr>
      </w:pPr>
      <w:bookmarkStart w:id="10" w:name="_Toc8881"/>
      <w:r>
        <w:rPr>
          <w:rFonts w:hint="eastAsia" w:ascii="宋体" w:hAnsi="宋体" w:eastAsia="宋体" w:cs="宋体"/>
          <w:color w:val="auto"/>
          <w:sz w:val="21"/>
          <w:szCs w:val="21"/>
          <w:highlight w:val="none"/>
        </w:rPr>
        <w:t>1.2 资金来源和落实情况</w:t>
      </w:r>
      <w:bookmarkEnd w:id="1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本比选项目的资金来源：见参选人须知前附表。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本比选项目的出资比例：见参选人须知前附表。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本比选项目的资金落实情况：见参选人须知前附表。</w:t>
      </w:r>
    </w:p>
    <w:p>
      <w:pPr>
        <w:pStyle w:val="4"/>
        <w:spacing w:before="156" w:after="156" w:line="360" w:lineRule="auto"/>
        <w:rPr>
          <w:rFonts w:hint="eastAsia" w:ascii="宋体" w:hAnsi="宋体" w:eastAsia="宋体" w:cs="宋体"/>
          <w:color w:val="auto"/>
          <w:sz w:val="21"/>
          <w:szCs w:val="21"/>
          <w:highlight w:val="none"/>
        </w:rPr>
      </w:pPr>
      <w:bookmarkStart w:id="11" w:name="_Toc3965"/>
      <w:r>
        <w:rPr>
          <w:rFonts w:hint="eastAsia" w:ascii="宋体" w:hAnsi="宋体" w:eastAsia="宋体" w:cs="宋体"/>
          <w:color w:val="auto"/>
          <w:sz w:val="21"/>
          <w:szCs w:val="21"/>
          <w:highlight w:val="none"/>
        </w:rPr>
        <w:t>1.3 比选范围、交货期（或服务期）和质量要求</w:t>
      </w:r>
      <w:bookmarkEnd w:id="1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本次比选范围：详见第四章。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1.3.2本次比选的交货期（或服务期）：详见第四章。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1.3.3本次比选的质量及验收标准：详见第四章。</w:t>
      </w:r>
    </w:p>
    <w:p>
      <w:pPr>
        <w:pStyle w:val="4"/>
        <w:spacing w:before="156" w:after="156" w:line="360" w:lineRule="auto"/>
        <w:rPr>
          <w:rFonts w:hint="eastAsia" w:ascii="宋体" w:hAnsi="宋体" w:eastAsia="宋体" w:cs="宋体"/>
          <w:color w:val="auto"/>
          <w:sz w:val="21"/>
          <w:szCs w:val="21"/>
          <w:highlight w:val="none"/>
        </w:rPr>
      </w:pPr>
      <w:bookmarkStart w:id="12" w:name="_Toc22147"/>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参选人资格要求</w:t>
      </w:r>
      <w:bookmarkEnd w:id="1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p>
    <w:p>
      <w:pPr>
        <w:pStyle w:val="4"/>
        <w:spacing w:before="156" w:after="156" w:line="360" w:lineRule="auto"/>
        <w:rPr>
          <w:rFonts w:hint="eastAsia" w:ascii="宋体" w:hAnsi="宋体" w:eastAsia="宋体" w:cs="宋体"/>
          <w:color w:val="auto"/>
          <w:sz w:val="21"/>
          <w:szCs w:val="21"/>
          <w:highlight w:val="none"/>
          <w:lang w:val="en-US" w:eastAsia="zh-CN"/>
        </w:rPr>
      </w:pPr>
      <w:bookmarkStart w:id="13" w:name="_Toc4323"/>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val="en-US" w:eastAsia="zh-CN"/>
        </w:rPr>
        <w:t>.2 是否接受联合体参选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不接受</w:t>
      </w:r>
    </w:p>
    <w:p>
      <w:pPr>
        <w:pStyle w:val="4"/>
        <w:shd w:val="clear"/>
        <w:spacing w:before="156" w:after="156"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费用承担</w:t>
      </w:r>
      <w:bookmarkEnd w:id="13"/>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参选人准备和参加参选活动发生的费用自理。</w:t>
      </w:r>
    </w:p>
    <w:p>
      <w:pPr>
        <w:pStyle w:val="4"/>
        <w:spacing w:before="156" w:after="156" w:line="360" w:lineRule="auto"/>
        <w:rPr>
          <w:rFonts w:hint="eastAsia" w:ascii="宋体" w:hAnsi="宋体" w:eastAsia="宋体" w:cs="宋体"/>
          <w:color w:val="auto"/>
          <w:sz w:val="21"/>
          <w:szCs w:val="21"/>
          <w:highlight w:val="none"/>
        </w:rPr>
      </w:pPr>
      <w:bookmarkStart w:id="14" w:name="_Toc19550"/>
      <w:r>
        <w:rPr>
          <w:rFonts w:hint="eastAsia" w:ascii="宋体" w:hAnsi="宋体" w:eastAsia="宋体" w:cs="宋体"/>
          <w:color w:val="auto"/>
          <w:sz w:val="21"/>
          <w:szCs w:val="21"/>
          <w:highlight w:val="none"/>
        </w:rPr>
        <w:t>1.6 保密</w:t>
      </w:r>
      <w:bookmarkEnd w:id="1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参选人应对比选文件及比选活动中获知的比选人商业和技术等未公开信息保密，违者应对由此造成的后果承担法律责任。</w:t>
      </w:r>
    </w:p>
    <w:p>
      <w:pPr>
        <w:pStyle w:val="4"/>
        <w:spacing w:before="156" w:after="156" w:line="360" w:lineRule="auto"/>
        <w:rPr>
          <w:rFonts w:hint="eastAsia" w:ascii="宋体" w:hAnsi="宋体" w:eastAsia="宋体" w:cs="宋体"/>
          <w:color w:val="auto"/>
          <w:sz w:val="21"/>
          <w:szCs w:val="21"/>
          <w:highlight w:val="none"/>
        </w:rPr>
      </w:pPr>
      <w:bookmarkStart w:id="15" w:name="_Toc20297"/>
      <w:r>
        <w:rPr>
          <w:rFonts w:hint="eastAsia" w:ascii="宋体" w:hAnsi="宋体" w:eastAsia="宋体" w:cs="宋体"/>
          <w:color w:val="auto"/>
          <w:sz w:val="21"/>
          <w:szCs w:val="21"/>
          <w:highlight w:val="none"/>
        </w:rPr>
        <w:t>1.7 语言文字</w:t>
      </w:r>
      <w:bookmarkEnd w:id="1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pPr>
        <w:pStyle w:val="4"/>
        <w:spacing w:before="156" w:after="156" w:line="360" w:lineRule="auto"/>
        <w:rPr>
          <w:rFonts w:hint="eastAsia" w:ascii="宋体" w:hAnsi="宋体" w:eastAsia="宋体" w:cs="宋体"/>
          <w:color w:val="auto"/>
          <w:sz w:val="21"/>
          <w:szCs w:val="21"/>
          <w:highlight w:val="none"/>
        </w:rPr>
      </w:pPr>
      <w:bookmarkStart w:id="16" w:name="_Toc1761"/>
      <w:r>
        <w:rPr>
          <w:rFonts w:hint="eastAsia" w:ascii="宋体" w:hAnsi="宋体" w:eastAsia="宋体" w:cs="宋体"/>
          <w:color w:val="auto"/>
          <w:sz w:val="21"/>
          <w:szCs w:val="21"/>
          <w:highlight w:val="none"/>
        </w:rPr>
        <w:t>1.8 计量单位</w:t>
      </w:r>
      <w:bookmarkEnd w:id="1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pPr>
        <w:pStyle w:val="4"/>
        <w:spacing w:before="156" w:after="156" w:line="360" w:lineRule="auto"/>
        <w:rPr>
          <w:rFonts w:hint="eastAsia" w:ascii="宋体" w:hAnsi="宋体" w:eastAsia="宋体" w:cs="宋体"/>
          <w:color w:val="auto"/>
          <w:sz w:val="21"/>
          <w:szCs w:val="21"/>
          <w:highlight w:val="none"/>
        </w:rPr>
      </w:pPr>
      <w:bookmarkStart w:id="17" w:name="_Toc15808"/>
      <w:r>
        <w:rPr>
          <w:rFonts w:hint="eastAsia" w:ascii="宋体" w:hAnsi="宋体" w:eastAsia="宋体" w:cs="宋体"/>
          <w:color w:val="auto"/>
          <w:sz w:val="21"/>
          <w:szCs w:val="21"/>
          <w:highlight w:val="none"/>
        </w:rPr>
        <w:t>1.9 踏勘现场</w:t>
      </w:r>
      <w:bookmarkEnd w:id="1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比选人不组织踏勘现场，参选人自行踏勘现场。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参选人踏勘现场发生的费用自理。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参选人自行负责在踏勘现场中所发生的人员伤亡和财产损失等全部责任。</w:t>
      </w:r>
    </w:p>
    <w:p>
      <w:pPr>
        <w:pStyle w:val="4"/>
        <w:spacing w:before="156" w:after="156" w:line="360" w:lineRule="auto"/>
        <w:rPr>
          <w:rFonts w:hint="eastAsia" w:ascii="宋体" w:hAnsi="宋体" w:eastAsia="宋体" w:cs="宋体"/>
          <w:color w:val="auto"/>
          <w:sz w:val="21"/>
          <w:szCs w:val="21"/>
          <w:highlight w:val="none"/>
        </w:rPr>
      </w:pPr>
      <w:bookmarkStart w:id="18" w:name="_Toc25627"/>
      <w:r>
        <w:rPr>
          <w:rFonts w:hint="eastAsia" w:ascii="宋体" w:hAnsi="宋体" w:eastAsia="宋体" w:cs="宋体"/>
          <w:color w:val="auto"/>
          <w:sz w:val="21"/>
          <w:szCs w:val="21"/>
          <w:highlight w:val="none"/>
        </w:rPr>
        <w:t>1.10 参选预备会</w:t>
      </w:r>
      <w:bookmarkEnd w:id="1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不召开参选预备会。</w:t>
      </w:r>
    </w:p>
    <w:p>
      <w:pPr>
        <w:pStyle w:val="4"/>
        <w:spacing w:before="156" w:after="156" w:line="360" w:lineRule="auto"/>
        <w:rPr>
          <w:rFonts w:hint="eastAsia" w:ascii="宋体" w:hAnsi="宋体" w:eastAsia="宋体" w:cs="宋体"/>
          <w:color w:val="auto"/>
          <w:sz w:val="21"/>
          <w:szCs w:val="21"/>
          <w:highlight w:val="none"/>
        </w:rPr>
      </w:pPr>
      <w:bookmarkStart w:id="19" w:name="_Toc9301"/>
      <w:r>
        <w:rPr>
          <w:rFonts w:hint="eastAsia" w:ascii="宋体" w:hAnsi="宋体" w:eastAsia="宋体" w:cs="宋体"/>
          <w:color w:val="auto"/>
          <w:sz w:val="21"/>
          <w:szCs w:val="21"/>
          <w:highlight w:val="none"/>
        </w:rPr>
        <w:t>1.11 分包</w:t>
      </w:r>
      <w:bookmarkEnd w:id="1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不允许参选人在成交后将本项目的任何部分工作进行分包。</w:t>
      </w:r>
    </w:p>
    <w:p>
      <w:pPr>
        <w:pStyle w:val="2"/>
        <w:spacing w:line="360" w:lineRule="auto"/>
        <w:ind w:left="-6" w:leftChars="-3"/>
        <w:rPr>
          <w:rFonts w:hint="eastAsia" w:ascii="宋体" w:hAnsi="宋体" w:eastAsia="宋体" w:cs="宋体"/>
          <w:color w:val="auto"/>
          <w:sz w:val="21"/>
          <w:szCs w:val="21"/>
          <w:highlight w:val="none"/>
        </w:rPr>
      </w:pPr>
      <w:bookmarkStart w:id="20" w:name="_Toc19769"/>
      <w:r>
        <w:rPr>
          <w:rFonts w:hint="eastAsia" w:ascii="宋体" w:hAnsi="宋体" w:eastAsia="宋体" w:cs="宋体"/>
          <w:color w:val="auto"/>
          <w:sz w:val="21"/>
          <w:szCs w:val="21"/>
          <w:highlight w:val="none"/>
        </w:rPr>
        <w:t>2.比选文件</w:t>
      </w:r>
      <w:bookmarkEnd w:id="20"/>
    </w:p>
    <w:p>
      <w:pPr>
        <w:spacing w:before="156" w:after="156" w:line="360" w:lineRule="auto"/>
        <w:ind w:hanging="105"/>
        <w:outlineLvl w:val="2"/>
        <w:rPr>
          <w:rFonts w:hint="eastAsia" w:ascii="宋体" w:hAnsi="宋体" w:eastAsia="宋体" w:cs="宋体"/>
          <w:b/>
          <w:bCs/>
          <w:color w:val="auto"/>
          <w:sz w:val="21"/>
          <w:szCs w:val="21"/>
          <w:highlight w:val="none"/>
        </w:rPr>
      </w:pPr>
      <w:bookmarkStart w:id="21" w:name="_Toc19337"/>
      <w:r>
        <w:rPr>
          <w:rFonts w:hint="eastAsia" w:ascii="宋体" w:hAnsi="宋体" w:eastAsia="宋体" w:cs="宋体"/>
          <w:b/>
          <w:bCs/>
          <w:color w:val="auto"/>
          <w:sz w:val="21"/>
          <w:szCs w:val="21"/>
          <w:highlight w:val="none"/>
        </w:rPr>
        <w:t>2.1比选文件组成</w:t>
      </w:r>
      <w:bookmarkEnd w:id="21"/>
    </w:p>
    <w:p>
      <w:pPr>
        <w:spacing w:line="360" w:lineRule="auto"/>
        <w:ind w:left="-113" w:leftChars="-5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本比选文件内容如下：</w:t>
      </w:r>
    </w:p>
    <w:p>
      <w:pPr>
        <w:spacing w:line="360" w:lineRule="auto"/>
        <w:ind w:left="-113" w:leftChars="-5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比选公告</w:t>
      </w:r>
    </w:p>
    <w:p>
      <w:pPr>
        <w:spacing w:line="360" w:lineRule="auto"/>
        <w:ind w:left="-113" w:leftChars="-5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参选人须知</w:t>
      </w:r>
    </w:p>
    <w:p>
      <w:pPr>
        <w:spacing w:line="360" w:lineRule="auto"/>
        <w:ind w:left="-113" w:leftChars="-5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评选办法</w:t>
      </w:r>
    </w:p>
    <w:p>
      <w:pPr>
        <w:spacing w:line="360" w:lineRule="auto"/>
        <w:ind w:left="-113" w:leftChars="-5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第四章 </w:t>
      </w:r>
      <w:r>
        <w:rPr>
          <w:rFonts w:hint="eastAsia" w:ascii="宋体" w:hAnsi="宋体" w:eastAsia="宋体" w:cs="宋体"/>
          <w:color w:val="auto"/>
          <w:sz w:val="21"/>
          <w:szCs w:val="21"/>
          <w:highlight w:val="none"/>
          <w:lang w:val="en-US" w:eastAsia="zh-CN"/>
        </w:rPr>
        <w:t>项目需求</w:t>
      </w:r>
    </w:p>
    <w:p>
      <w:pPr>
        <w:spacing w:line="360" w:lineRule="auto"/>
        <w:ind w:left="-113" w:leftChars="-5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第五章 </w:t>
      </w:r>
      <w:r>
        <w:rPr>
          <w:rFonts w:hint="eastAsia" w:ascii="宋体" w:hAnsi="宋体" w:eastAsia="宋体" w:cs="宋体"/>
          <w:color w:val="auto"/>
          <w:sz w:val="21"/>
          <w:szCs w:val="21"/>
          <w:highlight w:val="none"/>
          <w:lang w:val="en-US" w:eastAsia="zh-CN"/>
        </w:rPr>
        <w:t>主要</w:t>
      </w:r>
      <w:r>
        <w:rPr>
          <w:rFonts w:hint="eastAsia" w:ascii="宋体" w:hAnsi="宋体" w:eastAsia="宋体" w:cs="宋体"/>
          <w:color w:val="auto"/>
          <w:sz w:val="21"/>
          <w:szCs w:val="21"/>
          <w:highlight w:val="none"/>
        </w:rPr>
        <w:t>合同条款</w:t>
      </w:r>
    </w:p>
    <w:p>
      <w:pPr>
        <w:spacing w:line="360" w:lineRule="auto"/>
        <w:ind w:left="-113" w:leftChars="-5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参选文件格式</w:t>
      </w:r>
    </w:p>
    <w:p>
      <w:pPr>
        <w:spacing w:line="360" w:lineRule="auto"/>
        <w:ind w:left="-113" w:leftChars="-5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应认真阅读比选文件中所有的事项、格式、条款和技术规格等。参选人没有按照比选文件要求提交全部资料，或者参选没有对比选文件在各方面都作出实质性响应是参选人的风险，并可能导致其参选被拒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根据本章第2.2 款和第2.3 款对比选文件所作的澄清、修改，构成比选文件的组成部分。</w:t>
      </w:r>
    </w:p>
    <w:p>
      <w:pPr>
        <w:pStyle w:val="4"/>
        <w:spacing w:before="156" w:after="156" w:line="360" w:lineRule="auto"/>
        <w:rPr>
          <w:rFonts w:hint="eastAsia" w:ascii="宋体" w:hAnsi="宋体" w:eastAsia="宋体" w:cs="宋体"/>
          <w:color w:val="auto"/>
          <w:sz w:val="21"/>
          <w:szCs w:val="21"/>
          <w:highlight w:val="none"/>
        </w:rPr>
      </w:pPr>
      <w:bookmarkStart w:id="22" w:name="_Toc1176"/>
      <w:r>
        <w:rPr>
          <w:rFonts w:hint="eastAsia" w:ascii="宋体" w:hAnsi="宋体" w:eastAsia="宋体" w:cs="宋体"/>
          <w:color w:val="auto"/>
          <w:sz w:val="21"/>
          <w:szCs w:val="21"/>
          <w:highlight w:val="none"/>
        </w:rPr>
        <w:t>2.2 比选文件的澄清</w:t>
      </w:r>
      <w:bookmarkEnd w:id="2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参选人应仔细阅读和检查比选文件的全部内容。如发现缺页或附件不全，应及时向比选人提出，以便补齐。如有疑问，应在参选人须知前附表规定的时间前以书面形式（包括信函、电报、传真等可以有形地表现所载内容的形式，下同），要求比选人对比选文件予以澄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比选文件的澄清将在参选人须知前附表规定的参选截止时间3天前以书面形式发给所有参选人，但不指明澄清问题的来源。如果澄清发出的时间距参选截止时间不足3天，相应延长参选截止时间。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参选人在收到澄清后，应在参选人须知前附表规定的时间内以书面形式通知比选人，确认己收到该澄清。</w:t>
      </w:r>
    </w:p>
    <w:p>
      <w:pPr>
        <w:spacing w:before="156" w:after="156" w:line="360" w:lineRule="auto"/>
        <w:rPr>
          <w:rFonts w:hint="eastAsia" w:ascii="宋体" w:hAnsi="宋体" w:eastAsia="宋体" w:cs="宋体"/>
          <w:color w:val="auto"/>
          <w:sz w:val="21"/>
          <w:szCs w:val="21"/>
          <w:highlight w:val="none"/>
        </w:rPr>
      </w:pPr>
    </w:p>
    <w:p>
      <w:pPr>
        <w:pStyle w:val="4"/>
        <w:spacing w:before="156" w:after="156" w:line="360" w:lineRule="auto"/>
        <w:rPr>
          <w:rFonts w:hint="eastAsia" w:ascii="宋体" w:hAnsi="宋体" w:eastAsia="宋体" w:cs="宋体"/>
          <w:color w:val="auto"/>
          <w:sz w:val="21"/>
          <w:szCs w:val="21"/>
          <w:highlight w:val="none"/>
        </w:rPr>
      </w:pPr>
      <w:bookmarkStart w:id="23" w:name="_Toc8349"/>
      <w:r>
        <w:rPr>
          <w:rFonts w:hint="eastAsia" w:ascii="宋体" w:hAnsi="宋体" w:eastAsia="宋体" w:cs="宋体"/>
          <w:color w:val="auto"/>
          <w:sz w:val="21"/>
          <w:szCs w:val="21"/>
          <w:highlight w:val="none"/>
        </w:rPr>
        <w:t>2.3 比选文件的修改</w:t>
      </w:r>
      <w:bookmarkEnd w:id="2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在参选截止时间3天前，比选人可以书面形式修改比选文件，并通知所有比选文件的参选人。如果修改比选文件的时间距参选截止时间不足3天，相应延长参选截止时间。</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2.3.2 参选人收到修改内容后，应在参选人须知前附表规定的时间内以书面形式通知比选人，确认己收到该修改。</w:t>
      </w:r>
    </w:p>
    <w:p>
      <w:pPr>
        <w:spacing w:line="360" w:lineRule="auto"/>
        <w:ind w:firstLine="210" w:firstLineChars="100"/>
        <w:rPr>
          <w:rFonts w:hint="eastAsia" w:ascii="宋体" w:hAnsi="宋体" w:eastAsia="宋体" w:cs="宋体"/>
          <w:color w:val="auto"/>
          <w:sz w:val="21"/>
          <w:szCs w:val="21"/>
          <w:highlight w:val="none"/>
        </w:rPr>
      </w:pPr>
    </w:p>
    <w:p>
      <w:pPr>
        <w:pStyle w:val="2"/>
        <w:spacing w:line="360" w:lineRule="auto"/>
        <w:ind w:left="-6" w:leftChars="-3"/>
        <w:rPr>
          <w:rFonts w:hint="eastAsia" w:ascii="宋体" w:hAnsi="宋体" w:eastAsia="宋体" w:cs="宋体"/>
          <w:color w:val="auto"/>
          <w:sz w:val="21"/>
          <w:szCs w:val="21"/>
          <w:highlight w:val="none"/>
        </w:rPr>
      </w:pPr>
      <w:bookmarkStart w:id="24" w:name="_Toc3428"/>
      <w:bookmarkStart w:id="25" w:name="_Toc119718089"/>
      <w:r>
        <w:rPr>
          <w:rFonts w:hint="eastAsia" w:ascii="宋体" w:hAnsi="宋体" w:eastAsia="宋体" w:cs="宋体"/>
          <w:color w:val="auto"/>
          <w:sz w:val="21"/>
          <w:szCs w:val="21"/>
          <w:highlight w:val="none"/>
        </w:rPr>
        <w:t>3．参选文件</w:t>
      </w:r>
      <w:bookmarkEnd w:id="24"/>
    </w:p>
    <w:p>
      <w:pPr>
        <w:pStyle w:val="4"/>
        <w:spacing w:line="360" w:lineRule="auto"/>
        <w:ind w:left="-6" w:leftChars="-3"/>
        <w:rPr>
          <w:rFonts w:hint="eastAsia" w:ascii="宋体" w:hAnsi="宋体" w:eastAsia="宋体" w:cs="宋体"/>
          <w:color w:val="auto"/>
          <w:sz w:val="21"/>
          <w:szCs w:val="21"/>
          <w:highlight w:val="none"/>
        </w:rPr>
      </w:pPr>
      <w:bookmarkStart w:id="26" w:name="_Toc314"/>
      <w:r>
        <w:rPr>
          <w:rFonts w:hint="eastAsia" w:ascii="宋体" w:hAnsi="宋体" w:eastAsia="宋体" w:cs="宋体"/>
          <w:color w:val="auto"/>
          <w:sz w:val="21"/>
          <w:szCs w:val="21"/>
          <w:highlight w:val="none"/>
        </w:rPr>
        <w:t>3.1 参选文件</w:t>
      </w:r>
      <w:bookmarkEnd w:id="25"/>
      <w:r>
        <w:rPr>
          <w:rFonts w:hint="eastAsia" w:ascii="宋体" w:hAnsi="宋体" w:eastAsia="宋体" w:cs="宋体"/>
          <w:color w:val="auto"/>
          <w:sz w:val="21"/>
          <w:szCs w:val="21"/>
          <w:highlight w:val="none"/>
        </w:rPr>
        <w:t>组成</w:t>
      </w:r>
      <w:bookmarkEnd w:id="2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参选人编写的参选文件应包括下列部分：内容及格式详见第六章“参选文件格式”。</w:t>
      </w:r>
    </w:p>
    <w:p>
      <w:pPr>
        <w:pStyle w:val="4"/>
        <w:spacing w:before="156" w:after="156" w:line="360" w:lineRule="auto"/>
        <w:rPr>
          <w:rFonts w:hint="eastAsia" w:ascii="宋体" w:hAnsi="宋体" w:eastAsia="宋体" w:cs="宋体"/>
          <w:color w:val="auto"/>
          <w:sz w:val="21"/>
          <w:szCs w:val="21"/>
          <w:highlight w:val="none"/>
        </w:rPr>
      </w:pPr>
      <w:bookmarkStart w:id="27" w:name="_Toc16683"/>
      <w:r>
        <w:rPr>
          <w:rFonts w:hint="eastAsia" w:ascii="宋体" w:hAnsi="宋体" w:eastAsia="宋体" w:cs="宋体"/>
          <w:color w:val="auto"/>
          <w:sz w:val="21"/>
          <w:szCs w:val="21"/>
          <w:highlight w:val="none"/>
        </w:rPr>
        <w:t>3.2 参选报价</w:t>
      </w:r>
      <w:bookmarkEnd w:id="2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参选人在填写参选一览表及价格时，币制要统一；数字、文字清晰，无涂改。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除第3.6款规定的情况外，比选人对每一项参选货物及服务仅接受一个价格。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3.2.3参选人在参选截止时间前修改参选书中的报价，其修改须符合本章第4.3 款的有关要求。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比选人设有最高参选限价的，参选人的参选报价不得超过最高参选限价，最高参选限价在参选人须知前附表中载明。</w:t>
      </w:r>
    </w:p>
    <w:p>
      <w:pPr>
        <w:spacing w:line="360" w:lineRule="auto"/>
        <w:rPr>
          <w:rFonts w:hint="eastAsia" w:ascii="宋体" w:hAnsi="宋体" w:eastAsia="宋体" w:cs="宋体"/>
          <w:color w:val="auto"/>
          <w:sz w:val="21"/>
          <w:szCs w:val="21"/>
          <w:highlight w:val="none"/>
        </w:rPr>
      </w:pPr>
    </w:p>
    <w:p>
      <w:pPr>
        <w:pStyle w:val="4"/>
        <w:spacing w:before="156" w:after="156" w:line="360" w:lineRule="auto"/>
        <w:rPr>
          <w:rFonts w:hint="eastAsia" w:ascii="宋体" w:hAnsi="宋体" w:eastAsia="宋体" w:cs="宋体"/>
          <w:color w:val="auto"/>
          <w:sz w:val="21"/>
          <w:szCs w:val="21"/>
          <w:highlight w:val="none"/>
        </w:rPr>
      </w:pPr>
      <w:bookmarkStart w:id="28" w:name="_Toc4398"/>
      <w:r>
        <w:rPr>
          <w:rFonts w:hint="eastAsia" w:ascii="宋体" w:hAnsi="宋体" w:eastAsia="宋体" w:cs="宋体"/>
          <w:color w:val="auto"/>
          <w:sz w:val="21"/>
          <w:szCs w:val="21"/>
          <w:highlight w:val="none"/>
        </w:rPr>
        <w:t>3.3 参选有效期</w:t>
      </w:r>
      <w:bookmarkEnd w:id="2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在参选人须知前附表规定的参选有效期内，参选人不得要求撤销或修改其参选文件。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参选有效期的，比选人以书面形式通知所有参选人延长参选有效期。参选人同意延长的，应相应延长其参选保证金的有效期，但不得要求或被允许修改或撤销其参选文件；参选人拒绝延长的，其参选失效，但参选人有权收回其参选保证金。</w:t>
      </w:r>
    </w:p>
    <w:p>
      <w:pPr>
        <w:spacing w:line="360" w:lineRule="auto"/>
        <w:rPr>
          <w:rFonts w:hint="eastAsia" w:ascii="宋体" w:hAnsi="宋体" w:eastAsia="宋体" w:cs="宋体"/>
          <w:color w:val="auto"/>
          <w:sz w:val="21"/>
          <w:szCs w:val="21"/>
          <w:highlight w:val="none"/>
        </w:rPr>
      </w:pPr>
    </w:p>
    <w:p>
      <w:pPr>
        <w:pStyle w:val="4"/>
        <w:spacing w:before="156" w:after="156" w:line="360" w:lineRule="auto"/>
        <w:rPr>
          <w:rFonts w:hint="eastAsia" w:ascii="宋体" w:hAnsi="宋体" w:eastAsia="宋体" w:cs="宋体"/>
          <w:color w:val="auto"/>
          <w:sz w:val="21"/>
          <w:szCs w:val="21"/>
          <w:highlight w:val="none"/>
        </w:rPr>
      </w:pPr>
      <w:bookmarkStart w:id="29" w:name="_Toc2830"/>
      <w:r>
        <w:rPr>
          <w:rFonts w:hint="eastAsia" w:ascii="宋体" w:hAnsi="宋体" w:eastAsia="宋体" w:cs="宋体"/>
          <w:color w:val="auto"/>
          <w:sz w:val="21"/>
          <w:szCs w:val="21"/>
          <w:highlight w:val="none"/>
        </w:rPr>
        <w:t>3.4 参选保证金</w:t>
      </w:r>
      <w:bookmarkEnd w:id="2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本项目免收。</w:t>
      </w:r>
    </w:p>
    <w:p>
      <w:pPr>
        <w:pStyle w:val="4"/>
        <w:spacing w:before="156" w:after="156" w:line="360" w:lineRule="auto"/>
        <w:rPr>
          <w:rFonts w:hint="eastAsia" w:ascii="宋体" w:hAnsi="宋体" w:eastAsia="宋体" w:cs="宋体"/>
          <w:color w:val="auto"/>
          <w:sz w:val="21"/>
          <w:szCs w:val="21"/>
          <w:highlight w:val="none"/>
        </w:rPr>
      </w:pPr>
      <w:bookmarkStart w:id="30" w:name="_Toc21348"/>
      <w:r>
        <w:rPr>
          <w:rFonts w:hint="eastAsia" w:ascii="宋体" w:hAnsi="宋体" w:eastAsia="宋体" w:cs="宋体"/>
          <w:color w:val="auto"/>
          <w:sz w:val="21"/>
          <w:szCs w:val="21"/>
          <w:highlight w:val="none"/>
        </w:rPr>
        <w:t>3.5 资格审查资料</w:t>
      </w:r>
      <w:bookmarkEnd w:id="3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资格审查资料应附参选人营业执照副本复印件。</w:t>
      </w:r>
    </w:p>
    <w:p>
      <w:pPr>
        <w:spacing w:line="360" w:lineRule="auto"/>
        <w:ind w:left="-252" w:leftChars="-12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 参选人应提交证明其拟供的合同项下的货物和服务与比选文件的要求相一致的文件，证明文件可以是国家认可的检测单位出具的文字资料或检测报告。</w:t>
      </w:r>
    </w:p>
    <w:p>
      <w:pPr>
        <w:spacing w:line="360" w:lineRule="auto"/>
        <w:rPr>
          <w:rFonts w:hint="eastAsia" w:ascii="宋体" w:hAnsi="宋体" w:eastAsia="宋体" w:cs="宋体"/>
          <w:color w:val="auto"/>
          <w:sz w:val="21"/>
          <w:szCs w:val="21"/>
          <w:highlight w:val="none"/>
        </w:rPr>
      </w:pPr>
    </w:p>
    <w:p>
      <w:pPr>
        <w:pStyle w:val="4"/>
        <w:spacing w:before="156" w:after="156" w:line="360" w:lineRule="auto"/>
        <w:rPr>
          <w:rFonts w:hint="eastAsia" w:ascii="宋体" w:hAnsi="宋体" w:eastAsia="宋体" w:cs="宋体"/>
          <w:color w:val="auto"/>
          <w:sz w:val="21"/>
          <w:szCs w:val="21"/>
          <w:highlight w:val="none"/>
        </w:rPr>
      </w:pPr>
      <w:bookmarkStart w:id="31" w:name="_Toc15733"/>
      <w:r>
        <w:rPr>
          <w:rFonts w:hint="eastAsia" w:ascii="宋体" w:hAnsi="宋体" w:eastAsia="宋体" w:cs="宋体"/>
          <w:color w:val="auto"/>
          <w:sz w:val="21"/>
          <w:szCs w:val="21"/>
          <w:highlight w:val="none"/>
        </w:rPr>
        <w:t>3.6 备选参选方案</w:t>
      </w:r>
      <w:bookmarkEnd w:id="3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参选人不得递交备选参选方案。</w:t>
      </w:r>
    </w:p>
    <w:p>
      <w:pPr>
        <w:spacing w:line="360" w:lineRule="auto"/>
        <w:rPr>
          <w:rFonts w:hint="eastAsia" w:ascii="宋体" w:hAnsi="宋体" w:eastAsia="宋体" w:cs="宋体"/>
          <w:color w:val="auto"/>
          <w:sz w:val="21"/>
          <w:szCs w:val="21"/>
          <w:highlight w:val="none"/>
        </w:rPr>
      </w:pPr>
    </w:p>
    <w:p>
      <w:pPr>
        <w:pStyle w:val="4"/>
        <w:spacing w:before="156" w:after="156" w:line="360" w:lineRule="auto"/>
        <w:rPr>
          <w:rFonts w:hint="eastAsia" w:ascii="宋体" w:hAnsi="宋体" w:eastAsia="宋体" w:cs="宋体"/>
          <w:color w:val="auto"/>
          <w:sz w:val="21"/>
          <w:szCs w:val="21"/>
          <w:highlight w:val="none"/>
        </w:rPr>
      </w:pPr>
      <w:bookmarkStart w:id="32" w:name="_Toc18233"/>
      <w:r>
        <w:rPr>
          <w:rFonts w:hint="eastAsia" w:ascii="宋体" w:hAnsi="宋体" w:eastAsia="宋体" w:cs="宋体"/>
          <w:color w:val="auto"/>
          <w:sz w:val="21"/>
          <w:szCs w:val="21"/>
          <w:highlight w:val="none"/>
        </w:rPr>
        <w:t>3.7 参选文件的编制</w:t>
      </w:r>
      <w:bookmarkEnd w:id="3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 参选文件应按第六章“参选文件格式”进行编写，如有必要，可以增加附页，作为参选文件的组成部分。其中，参选函附录在满足比选文件实质性要求的基础上，可以提出比比选文件要求更有利于比选人的承诺。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参选文件应当对比选文件有关服务期限、参选有效期、质量要求、技术标准和要求、比选范围等实质性内容做出响应。</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纸质参选文件应用不褪色的材料书写或打印，并由参选人的法定代表人或其委托代理人签字或盖单位公章。委托代理人签字的，参选文件应附法定代表人签署的授权委托书。参选文件应尽量避免涂改、行间插字或删除。如果出现上述情况，改动之处应加盖单位章或由参选人的法定代表人或其授权的代理人签字确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签字或盖章的具体要求见参选人须知前附表。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参选文件纸质正本一份，纸质副本及电子文本份数见参选人须知前附表。正本和副本的封面上应清楚地标记“正本”或“副本”的字样。当副本和正本不一致时，以正本为准；在电子辅助评选时，当正本与电子参选文件不一致时，以电子参选文件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参选文件的正本与副本应分别装订成册，并编制目录，具体装订要求见参选人须知前附表规定。</w:t>
      </w:r>
    </w:p>
    <w:p>
      <w:pPr>
        <w:spacing w:line="360" w:lineRule="auto"/>
        <w:rPr>
          <w:rFonts w:hint="eastAsia" w:ascii="宋体" w:hAnsi="宋体" w:eastAsia="宋体" w:cs="宋体"/>
          <w:color w:val="auto"/>
          <w:sz w:val="21"/>
          <w:szCs w:val="21"/>
          <w:highlight w:val="none"/>
        </w:rPr>
      </w:pPr>
      <w:bookmarkStart w:id="33" w:name="_Toc184635074"/>
    </w:p>
    <w:p>
      <w:pPr>
        <w:pStyle w:val="2"/>
        <w:spacing w:before="156" w:after="156" w:line="360" w:lineRule="auto"/>
        <w:rPr>
          <w:rFonts w:hint="eastAsia" w:ascii="宋体" w:hAnsi="宋体" w:eastAsia="宋体" w:cs="宋体"/>
          <w:color w:val="auto"/>
          <w:sz w:val="21"/>
          <w:szCs w:val="21"/>
          <w:highlight w:val="none"/>
        </w:rPr>
      </w:pPr>
      <w:bookmarkStart w:id="34" w:name="_Toc24181"/>
      <w:r>
        <w:rPr>
          <w:rFonts w:hint="eastAsia" w:ascii="宋体" w:hAnsi="宋体" w:eastAsia="宋体" w:cs="宋体"/>
          <w:color w:val="auto"/>
          <w:sz w:val="21"/>
          <w:szCs w:val="21"/>
          <w:highlight w:val="none"/>
        </w:rPr>
        <w:t>4．参选</w:t>
      </w:r>
      <w:bookmarkEnd w:id="33"/>
      <w:bookmarkEnd w:id="34"/>
    </w:p>
    <w:p>
      <w:pPr>
        <w:pStyle w:val="4"/>
        <w:spacing w:before="156" w:after="156" w:line="360" w:lineRule="auto"/>
        <w:rPr>
          <w:rFonts w:hint="eastAsia" w:ascii="宋体" w:hAnsi="宋体" w:eastAsia="宋体" w:cs="宋体"/>
          <w:color w:val="auto"/>
          <w:sz w:val="21"/>
          <w:szCs w:val="21"/>
          <w:highlight w:val="none"/>
        </w:rPr>
      </w:pPr>
      <w:bookmarkStart w:id="35" w:name="_Toc5597"/>
      <w:r>
        <w:rPr>
          <w:rFonts w:hint="eastAsia" w:ascii="宋体" w:hAnsi="宋体" w:eastAsia="宋体" w:cs="宋体"/>
          <w:color w:val="auto"/>
          <w:sz w:val="21"/>
          <w:szCs w:val="21"/>
          <w:highlight w:val="none"/>
        </w:rPr>
        <w:t>4.1 参选文件的密封和标记</w:t>
      </w:r>
      <w:bookmarkEnd w:id="35"/>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参选文件密封递交，封袋上（最外面）都应写明比选人名称、参选单位名称、项目名称，并于封口骑缝处加盖参选单位公章。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未按本章第4.1.1项要求密封和加写标记的参选文件，比选人不予受理。</w:t>
      </w:r>
    </w:p>
    <w:p>
      <w:pPr>
        <w:pStyle w:val="4"/>
        <w:spacing w:before="156" w:after="156" w:line="360" w:lineRule="auto"/>
        <w:rPr>
          <w:rFonts w:hint="eastAsia" w:ascii="宋体" w:hAnsi="宋体" w:eastAsia="宋体" w:cs="宋体"/>
          <w:color w:val="auto"/>
          <w:sz w:val="21"/>
          <w:szCs w:val="21"/>
          <w:highlight w:val="none"/>
        </w:rPr>
      </w:pPr>
      <w:bookmarkStart w:id="36" w:name="_Toc26691"/>
      <w:r>
        <w:rPr>
          <w:rFonts w:hint="eastAsia" w:ascii="宋体" w:hAnsi="宋体" w:eastAsia="宋体" w:cs="宋体"/>
          <w:color w:val="auto"/>
          <w:sz w:val="21"/>
          <w:szCs w:val="21"/>
          <w:highlight w:val="none"/>
        </w:rPr>
        <w:t>4.2 参选文件的递交</w:t>
      </w:r>
      <w:bookmarkEnd w:id="3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参选人应在参选人须知前附表规定的参选截止时间前递交参选文件。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参选人递交参选文件的地点：见参选人须知前附表。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除参选人须知前附表另有规定外，参选人所递交的参选文件不予退还。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逾期送达的或者未送达指定地点的参选文件，比选人不予受理。</w:t>
      </w:r>
    </w:p>
    <w:p>
      <w:pPr>
        <w:pStyle w:val="4"/>
        <w:spacing w:before="156" w:after="156" w:line="360" w:lineRule="auto"/>
        <w:rPr>
          <w:rFonts w:hint="eastAsia" w:ascii="宋体" w:hAnsi="宋体" w:eastAsia="宋体" w:cs="宋体"/>
          <w:color w:val="auto"/>
          <w:sz w:val="21"/>
          <w:szCs w:val="21"/>
          <w:highlight w:val="none"/>
        </w:rPr>
      </w:pPr>
      <w:bookmarkStart w:id="37" w:name="_Toc30566"/>
      <w:r>
        <w:rPr>
          <w:rFonts w:hint="eastAsia" w:ascii="宋体" w:hAnsi="宋体" w:eastAsia="宋体" w:cs="宋体"/>
          <w:color w:val="auto"/>
          <w:sz w:val="21"/>
          <w:szCs w:val="21"/>
          <w:highlight w:val="none"/>
        </w:rPr>
        <w:t>4.3 参选文件的修改与撤回</w:t>
      </w:r>
      <w:bookmarkEnd w:id="3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在规定的参选截止时间前，参选人可以修改或撤回已递交的参选文件，但应以书面形式通知比选人。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参选人修改或撤回已递交参选文件的书面通知应按照本章第3.7.3 项的要求签字或盖章。比选人收到书面通知后，向参选人出具签收凭证。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修改的内容为参选文件的组成部分。修改的参选文件应按照本章第3 条、第4 条规定进行编制、密封、标记和递交，并标明“修改”字样。</w:t>
      </w:r>
    </w:p>
    <w:p>
      <w:pPr>
        <w:pStyle w:val="4"/>
        <w:spacing w:before="156" w:after="156" w:line="360" w:lineRule="auto"/>
        <w:rPr>
          <w:rFonts w:hint="eastAsia" w:ascii="宋体" w:hAnsi="宋体" w:eastAsia="宋体" w:cs="宋体"/>
          <w:color w:val="auto"/>
          <w:sz w:val="21"/>
          <w:szCs w:val="21"/>
          <w:highlight w:val="none"/>
        </w:rPr>
      </w:pPr>
      <w:bookmarkStart w:id="38" w:name="_Toc184635075"/>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参选文件的退还</w:t>
      </w:r>
    </w:p>
    <w:p>
      <w:pPr>
        <w:spacing w:line="360" w:lineRule="auto"/>
        <w:ind w:firstLine="420" w:firstLineChars="200"/>
        <w:rPr>
          <w:rFonts w:hint="eastAsia" w:ascii="宋体" w:hAnsi="宋体" w:eastAsia="宋体" w:cs="宋体"/>
          <w:color w:val="auto"/>
          <w:sz w:val="21"/>
          <w:szCs w:val="21"/>
          <w:highlight w:val="none"/>
        </w:rPr>
      </w:pPr>
      <w:bookmarkStart w:id="39" w:name="_Toc9837"/>
      <w:r>
        <w:rPr>
          <w:rFonts w:hint="eastAsia" w:ascii="宋体" w:hAnsi="宋体" w:eastAsia="宋体" w:cs="宋体"/>
          <w:color w:val="auto"/>
          <w:sz w:val="21"/>
          <w:szCs w:val="21"/>
          <w:highlight w:val="none"/>
        </w:rPr>
        <w:t>见参选人须知前附表规定</w:t>
      </w:r>
    </w:p>
    <w:p>
      <w:pPr>
        <w:pStyle w:val="12"/>
        <w:spacing w:line="360" w:lineRule="auto"/>
        <w:rPr>
          <w:rFonts w:hint="eastAsia" w:ascii="宋体" w:hAnsi="宋体" w:eastAsia="宋体" w:cs="宋体"/>
          <w:color w:val="auto"/>
          <w:sz w:val="21"/>
          <w:szCs w:val="21"/>
          <w:highlight w:val="none"/>
        </w:rPr>
      </w:pPr>
    </w:p>
    <w:p>
      <w:pPr>
        <w:pStyle w:val="2"/>
        <w:spacing w:before="156" w:after="156"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End w:id="38"/>
      <w:bookmarkEnd w:id="39"/>
      <w:r>
        <w:rPr>
          <w:rFonts w:hint="eastAsia" w:ascii="宋体" w:hAnsi="宋体" w:eastAsia="宋体" w:cs="宋体"/>
          <w:color w:val="auto"/>
          <w:sz w:val="21"/>
          <w:szCs w:val="21"/>
          <w:highlight w:val="none"/>
        </w:rPr>
        <w:t>比选</w:t>
      </w:r>
    </w:p>
    <w:p>
      <w:pPr>
        <w:pStyle w:val="4"/>
        <w:spacing w:before="156" w:after="156" w:line="360" w:lineRule="auto"/>
        <w:rPr>
          <w:rFonts w:hint="eastAsia" w:ascii="宋体" w:hAnsi="宋体" w:eastAsia="宋体" w:cs="宋体"/>
          <w:color w:val="auto"/>
          <w:sz w:val="21"/>
          <w:szCs w:val="21"/>
          <w:highlight w:val="none"/>
        </w:rPr>
      </w:pPr>
      <w:bookmarkStart w:id="40" w:name="_Toc30133"/>
      <w:r>
        <w:rPr>
          <w:rFonts w:hint="eastAsia" w:ascii="宋体" w:hAnsi="宋体" w:eastAsia="宋体" w:cs="宋体"/>
          <w:color w:val="auto"/>
          <w:sz w:val="21"/>
          <w:szCs w:val="21"/>
          <w:highlight w:val="none"/>
        </w:rPr>
        <w:t>5.1 比选时间和地点</w:t>
      </w:r>
      <w:bookmarkEnd w:id="4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比选人在参选人须知前附表规定的参选截止时间（开标时间）和参选人须知前附表规定的地点公开开标，并邀请所有参选人的法定代表人或其委托代理人准时参加。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法定代表人或者授权代表须携带有效身份证件以便核查身份，参选人法定代表人或者授权代表未出席开标会的，视为其认同比选结果。</w:t>
      </w:r>
    </w:p>
    <w:p>
      <w:pPr>
        <w:pStyle w:val="4"/>
        <w:spacing w:before="156" w:after="156" w:line="360" w:lineRule="auto"/>
        <w:rPr>
          <w:rFonts w:hint="eastAsia" w:ascii="宋体" w:hAnsi="宋体" w:eastAsia="宋体" w:cs="宋体"/>
          <w:color w:val="auto"/>
          <w:sz w:val="21"/>
          <w:szCs w:val="21"/>
          <w:highlight w:val="none"/>
        </w:rPr>
      </w:pPr>
      <w:bookmarkStart w:id="41" w:name="_Toc23986"/>
      <w:r>
        <w:rPr>
          <w:rFonts w:hint="eastAsia" w:ascii="宋体" w:hAnsi="宋体" w:eastAsia="宋体" w:cs="宋体"/>
          <w:color w:val="auto"/>
          <w:sz w:val="21"/>
          <w:szCs w:val="21"/>
          <w:highlight w:val="none"/>
        </w:rPr>
        <w:t>5.2 比选程序</w:t>
      </w:r>
      <w:bookmarkEnd w:id="4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见参选人须知前附表规定</w:t>
      </w:r>
    </w:p>
    <w:p>
      <w:pPr>
        <w:pStyle w:val="2"/>
        <w:spacing w:before="156" w:after="156" w:line="360" w:lineRule="auto"/>
        <w:rPr>
          <w:rFonts w:hint="eastAsia" w:ascii="宋体" w:hAnsi="宋体" w:eastAsia="宋体" w:cs="宋体"/>
          <w:color w:val="auto"/>
          <w:sz w:val="21"/>
          <w:szCs w:val="21"/>
          <w:highlight w:val="none"/>
        </w:rPr>
      </w:pPr>
      <w:bookmarkStart w:id="42" w:name="_Toc9066"/>
      <w:bookmarkStart w:id="43" w:name="_Toc184635076"/>
      <w:r>
        <w:rPr>
          <w:rFonts w:hint="eastAsia" w:ascii="宋体" w:hAnsi="宋体" w:eastAsia="宋体" w:cs="宋体"/>
          <w:color w:val="auto"/>
          <w:sz w:val="21"/>
          <w:szCs w:val="21"/>
          <w:highlight w:val="none"/>
        </w:rPr>
        <w:t>6．评</w:t>
      </w:r>
      <w:bookmarkEnd w:id="42"/>
      <w:bookmarkEnd w:id="43"/>
      <w:r>
        <w:rPr>
          <w:rFonts w:hint="eastAsia" w:ascii="宋体" w:hAnsi="宋体" w:eastAsia="宋体" w:cs="宋体"/>
          <w:color w:val="auto"/>
          <w:sz w:val="21"/>
          <w:szCs w:val="21"/>
          <w:highlight w:val="none"/>
        </w:rPr>
        <w:t>选</w:t>
      </w:r>
    </w:p>
    <w:p>
      <w:pPr>
        <w:pStyle w:val="4"/>
        <w:spacing w:before="156" w:after="156" w:line="360" w:lineRule="auto"/>
        <w:rPr>
          <w:rFonts w:hint="eastAsia" w:ascii="宋体" w:hAnsi="宋体" w:eastAsia="宋体" w:cs="宋体"/>
          <w:color w:val="auto"/>
          <w:sz w:val="21"/>
          <w:szCs w:val="21"/>
          <w:highlight w:val="none"/>
        </w:rPr>
      </w:pPr>
      <w:bookmarkStart w:id="44" w:name="_Toc7080"/>
      <w:r>
        <w:rPr>
          <w:rFonts w:hint="eastAsia" w:ascii="宋体" w:hAnsi="宋体" w:eastAsia="宋体" w:cs="宋体"/>
          <w:color w:val="auto"/>
          <w:sz w:val="21"/>
          <w:szCs w:val="21"/>
          <w:highlight w:val="none"/>
        </w:rPr>
        <w:t>6.1 评审委员会</w:t>
      </w:r>
      <w:bookmarkEnd w:id="4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评选由比选人依法组建的评审委员会负责。评审委员会由比选人或其委托的代理人机构熟悉相关业务的代表，以及有关技术、经济等方面的专家组成。评审委员会成员人数以及技术、经济等方面专家的确定方式见参选人须知前附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评审委员会成员有下列情形之一的，应当回避：</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(1）比选人或参选人的主要负责人的近亲属；</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(2）项目主管部门或者行政监督部门的人员：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(3）与参选人有经济利益关系，可能影响对参选公正评审的；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(4）曾因在招标/比选、评标以及其他与招标/比选有关活动中从事违法行为而受过行政处罚或刑事处罚的。</w:t>
      </w:r>
    </w:p>
    <w:p>
      <w:pPr>
        <w:pStyle w:val="4"/>
        <w:spacing w:before="156" w:after="156" w:line="360" w:lineRule="auto"/>
        <w:rPr>
          <w:rFonts w:hint="eastAsia" w:ascii="宋体" w:hAnsi="宋体" w:eastAsia="宋体" w:cs="宋体"/>
          <w:color w:val="auto"/>
          <w:sz w:val="21"/>
          <w:szCs w:val="21"/>
          <w:highlight w:val="none"/>
        </w:rPr>
      </w:pPr>
      <w:bookmarkStart w:id="45" w:name="_Toc20333"/>
      <w:r>
        <w:rPr>
          <w:rFonts w:hint="eastAsia" w:ascii="宋体" w:hAnsi="宋体" w:eastAsia="宋体" w:cs="宋体"/>
          <w:color w:val="auto"/>
          <w:sz w:val="21"/>
          <w:szCs w:val="21"/>
          <w:highlight w:val="none"/>
        </w:rPr>
        <w:t>6.2 评选原则</w:t>
      </w:r>
      <w:bookmarkEnd w:id="4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评选活动遵循公平、公正、科学和择优的原则。</w:t>
      </w:r>
    </w:p>
    <w:p>
      <w:pPr>
        <w:pStyle w:val="4"/>
        <w:spacing w:before="156" w:after="156" w:line="360" w:lineRule="auto"/>
        <w:rPr>
          <w:rFonts w:hint="eastAsia" w:ascii="宋体" w:hAnsi="宋体" w:eastAsia="宋体" w:cs="宋体"/>
          <w:color w:val="auto"/>
          <w:sz w:val="21"/>
          <w:szCs w:val="21"/>
          <w:highlight w:val="none"/>
        </w:rPr>
      </w:pPr>
      <w:bookmarkStart w:id="46" w:name="_Toc13463"/>
      <w:r>
        <w:rPr>
          <w:rFonts w:hint="eastAsia" w:ascii="宋体" w:hAnsi="宋体" w:eastAsia="宋体" w:cs="宋体"/>
          <w:color w:val="auto"/>
          <w:sz w:val="21"/>
          <w:szCs w:val="21"/>
          <w:highlight w:val="none"/>
        </w:rPr>
        <w:t>6.3 评选及定标方法</w:t>
      </w:r>
      <w:bookmarkEnd w:id="4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6.3.1采用综合评分法进行评标的，评审委员会按本比选文件</w:t>
      </w:r>
      <w:r>
        <w:rPr>
          <w:rFonts w:hint="eastAsia" w:ascii="宋体" w:hAnsi="宋体" w:eastAsia="宋体" w:cs="宋体"/>
          <w:color w:val="auto"/>
          <w:sz w:val="21"/>
          <w:szCs w:val="21"/>
          <w:highlight w:val="none"/>
          <w:lang w:val="en-US" w:eastAsia="zh-CN"/>
        </w:rPr>
        <w:t>第三章</w:t>
      </w:r>
      <w:r>
        <w:rPr>
          <w:rFonts w:hint="eastAsia" w:ascii="宋体" w:hAnsi="宋体" w:eastAsia="宋体" w:cs="宋体"/>
          <w:color w:val="auto"/>
          <w:sz w:val="21"/>
          <w:szCs w:val="21"/>
          <w:highlight w:val="none"/>
        </w:rPr>
        <w:t>规定的评分细则进行评分。在完成评分后，评审委员会向比选人提出书面评标报告，对各</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按得分高低次序排出名次，并按</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须知前附表规定人数向比选人推荐成交候选人。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采用综合评分法评标的，如果</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的最终评分相同，则参选报价低的</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排名优先，报价也相同的，将通过抽签形式确定成交候选人相同得分</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的排名。</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比选人确定排名第一的成交候选人为成交人。如因成交人放弃中标或丧失中标资格的，比选人有权选择重新比选或者顺延排名后一位的成交候选人为成交人。</w:t>
      </w:r>
    </w:p>
    <w:p>
      <w:pPr>
        <w:pStyle w:val="4"/>
        <w:spacing w:before="156" w:after="156" w:line="360" w:lineRule="auto"/>
        <w:rPr>
          <w:rFonts w:hint="eastAsia" w:ascii="宋体" w:hAnsi="宋体" w:eastAsia="宋体" w:cs="宋体"/>
          <w:color w:val="auto"/>
          <w:sz w:val="21"/>
          <w:szCs w:val="21"/>
          <w:highlight w:val="none"/>
        </w:rPr>
      </w:pPr>
      <w:bookmarkStart w:id="47" w:name="_Toc16860"/>
      <w:r>
        <w:rPr>
          <w:rFonts w:hint="eastAsia" w:ascii="宋体" w:hAnsi="宋体" w:eastAsia="宋体" w:cs="宋体"/>
          <w:color w:val="auto"/>
          <w:sz w:val="21"/>
          <w:szCs w:val="21"/>
          <w:highlight w:val="none"/>
        </w:rPr>
        <w:t>6.4否决参选的判定</w:t>
      </w:r>
      <w:bookmarkEnd w:id="4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6.4.1在评选过程中，评审委员会若发现</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以他人的名义参选、串通参选、以行贿手段谋取中标或者以其他弄虚作假方式参选的，该</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的参选将被否决。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6.4.2</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资格条件不符合国家有关规定和比选文件要求的，或者拒不按照要求对参选文件进行澄清、说明或者补正的，评审委员会可以否决其参选。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6.4.3评审委员会将审查每一参选文件是否对比选文件提出的所有实质性要求和条件做出响应。未能在实质上响应的参选，将被否决。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6.4.4参选文件有下列情况之一的，评审委员会应当否决其参选：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（1）参选文件未密封；或者虽密封，但未按规定，或有明显拆封现象；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（2）不符合</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须知前附表中规定的参选文件的装订要求的；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（3）参选文件未加盖供应商法人章，未经法定代表人或其代理人签署；</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（4）如有授权，未提供合法、有效的授权委托书原件；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（5）未按比选文件规定的格式、内容和要求编制，关键内容字迹潦草、模糊，无法辨认；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（6）未按照比选文件要求的方式、金额提交参选保证金；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在一份参选文件中，对同一比选项目有两个或多个报价，且未书面声明以哪个报价为准；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（8）参选报价超过最高参选限价的；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（9）资格条件不满足第一章和本章前附表要求或者未按第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章要求提供资格证明材料的。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6.4.5否决参选的判定，必须经评审委员会半数以上成员通过。</w:t>
      </w:r>
    </w:p>
    <w:p>
      <w:pPr>
        <w:pStyle w:val="4"/>
        <w:spacing w:before="156" w:after="156" w:line="360" w:lineRule="auto"/>
        <w:rPr>
          <w:rFonts w:hint="eastAsia" w:ascii="宋体" w:hAnsi="宋体" w:eastAsia="宋体" w:cs="宋体"/>
          <w:color w:val="auto"/>
          <w:sz w:val="21"/>
          <w:szCs w:val="21"/>
          <w:highlight w:val="none"/>
        </w:rPr>
      </w:pPr>
      <w:bookmarkStart w:id="48" w:name="_Toc26932"/>
      <w:r>
        <w:rPr>
          <w:rFonts w:hint="eastAsia" w:ascii="宋体" w:hAnsi="宋体" w:eastAsia="宋体" w:cs="宋体"/>
          <w:color w:val="auto"/>
          <w:sz w:val="21"/>
          <w:szCs w:val="21"/>
          <w:highlight w:val="none"/>
        </w:rPr>
        <w:t>6.5参选文件的澄清和补正</w:t>
      </w:r>
      <w:bookmarkEnd w:id="4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6.5.1在评选过程中，评审委员会可以书面形式要求</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对所提交参选文件中不明确的内容进行澄清或说明，或者对细微偏差进行补正，</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应派授权代表及相关人员按评审委员会通知的时间和地点接受询标。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6.5.2评审委员会认为有必要，可要求</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对某些问题作出书面答复。书面答复须由</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法人代表或授权代表签署，并作为参选文件的补充，参与评选。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6.5.3澄清、说明和补正不得改变参选文件的实质性内容（算术性错误修正的除外）。</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的书面澄清、说明和补正属于参选文件的组成部分。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6.5.4评审委员会对</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提交的澄清、说明或补正有疑问的，可以要求</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进一步澄清、说明或补正，直至满足评审委员会的要求。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6.5.5评审委员会不接受</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主动提出的澄清、说明或补正。</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6.5.6并非每个</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都会被询标。如</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未对比选范围内全部内容进行报价，漏报项目视为对全部项目的优惠，</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中标的，仍应完成全部比选范围内的比选内容。</w:t>
      </w:r>
    </w:p>
    <w:p>
      <w:pPr>
        <w:pStyle w:val="4"/>
        <w:spacing w:before="156" w:after="156" w:line="360" w:lineRule="auto"/>
        <w:rPr>
          <w:rFonts w:hint="eastAsia" w:ascii="宋体" w:hAnsi="宋体" w:eastAsia="宋体" w:cs="宋体"/>
          <w:color w:val="auto"/>
          <w:sz w:val="21"/>
          <w:szCs w:val="21"/>
          <w:highlight w:val="none"/>
        </w:rPr>
      </w:pPr>
      <w:bookmarkStart w:id="49" w:name="_Toc13668"/>
      <w:r>
        <w:rPr>
          <w:rFonts w:hint="eastAsia" w:ascii="宋体" w:hAnsi="宋体" w:eastAsia="宋体" w:cs="宋体"/>
          <w:color w:val="auto"/>
          <w:sz w:val="21"/>
          <w:szCs w:val="21"/>
          <w:highlight w:val="none"/>
        </w:rPr>
        <w:t>6.6 价格计算错误的确定</w:t>
      </w:r>
      <w:bookmarkEnd w:id="4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6.6.1评选过程中，对价格计算错误按下述原则修正：</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（1）如果单价乘数量不等于总价，应以单价为准修正总价；</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（2）如果以文字大写表示的数据与数字表示的数据有差别，应以文字为准修正数字；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（3）对不同文字文本参选文件的解释发生异议的，以中文文本为准。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6.6.2若</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不同意以上修正，参选文件将被拒绝。</w:t>
      </w:r>
    </w:p>
    <w:p>
      <w:pPr>
        <w:pStyle w:val="4"/>
        <w:spacing w:before="156" w:after="156" w:line="360" w:lineRule="auto"/>
        <w:rPr>
          <w:rFonts w:hint="eastAsia" w:ascii="宋体" w:hAnsi="宋体" w:eastAsia="宋体" w:cs="宋体"/>
          <w:color w:val="auto"/>
          <w:sz w:val="21"/>
          <w:szCs w:val="21"/>
          <w:highlight w:val="none"/>
        </w:rPr>
      </w:pPr>
      <w:bookmarkStart w:id="50" w:name="_Toc15133"/>
      <w:r>
        <w:rPr>
          <w:rFonts w:hint="eastAsia" w:ascii="宋体" w:hAnsi="宋体" w:eastAsia="宋体" w:cs="宋体"/>
          <w:color w:val="auto"/>
          <w:sz w:val="21"/>
          <w:szCs w:val="21"/>
          <w:highlight w:val="none"/>
        </w:rPr>
        <w:t>6.7 评选过程保密</w:t>
      </w:r>
      <w:bookmarkEnd w:id="5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6.7.1在宣布中标之前，凡属于审查、澄清、评价、比较参选文件和中标意向等有关信息，均不得泄露给任何</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或与评选工作无关的人员。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6.7.2</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不得探听6.7.1条所述信息，不得以任何方式影响评选过程，否则将被否决参选。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6.7.3在评选期间，比选人将指定联络员与</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进行联络。</w:t>
      </w:r>
    </w:p>
    <w:p>
      <w:pPr>
        <w:pStyle w:val="4"/>
        <w:spacing w:before="156" w:after="156" w:line="360" w:lineRule="auto"/>
        <w:rPr>
          <w:rFonts w:hint="eastAsia" w:ascii="宋体" w:hAnsi="宋体" w:eastAsia="宋体" w:cs="宋体"/>
          <w:color w:val="auto"/>
          <w:sz w:val="21"/>
          <w:szCs w:val="21"/>
          <w:highlight w:val="none"/>
        </w:rPr>
      </w:pPr>
      <w:bookmarkStart w:id="51" w:name="_Toc6212"/>
      <w:r>
        <w:rPr>
          <w:rFonts w:hint="eastAsia" w:ascii="宋体" w:hAnsi="宋体" w:eastAsia="宋体" w:cs="宋体"/>
          <w:color w:val="auto"/>
          <w:sz w:val="21"/>
          <w:szCs w:val="21"/>
          <w:highlight w:val="none"/>
        </w:rPr>
        <w:t>6.8 成交无效</w:t>
      </w:r>
      <w:bookmarkEnd w:id="5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6.8.1</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相互串通参选或者与比选人串通参选的，</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以向比选人或者评审委员会成员行贿的手段谋取中标的，成交无效。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6.8.2</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以他人名义参选或者以其他方式弄虚作假，骗取中标的，成交无效，给比选人造成损失的，依法承担赔偿责任。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6.8.3在参选文件的审查、澄清、评价和比较以及合同订立过程中，</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对比选人和评审委员会施加影响的任何行为，都将导致取消其中标资格。</w:t>
      </w:r>
    </w:p>
    <w:p>
      <w:pPr>
        <w:spacing w:line="360" w:lineRule="auto"/>
        <w:outlineLvl w:val="2"/>
        <w:rPr>
          <w:rFonts w:hint="eastAsia" w:ascii="宋体" w:hAnsi="宋体" w:eastAsia="宋体" w:cs="宋体"/>
          <w:b/>
          <w:bCs/>
          <w:color w:val="auto"/>
          <w:kern w:val="0"/>
          <w:sz w:val="21"/>
          <w:szCs w:val="21"/>
          <w:highlight w:val="none"/>
        </w:rPr>
      </w:pPr>
      <w:bookmarkStart w:id="52" w:name="_Toc28229"/>
      <w:r>
        <w:rPr>
          <w:rFonts w:hint="eastAsia" w:ascii="宋体" w:hAnsi="宋体" w:eastAsia="宋体" w:cs="宋体"/>
          <w:b/>
          <w:bCs/>
          <w:color w:val="auto"/>
          <w:kern w:val="0"/>
          <w:sz w:val="21"/>
          <w:szCs w:val="21"/>
          <w:highlight w:val="none"/>
        </w:rPr>
        <w:t>6.9 否决所有参选</w:t>
      </w:r>
      <w:bookmarkEnd w:id="5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6.9.1评审委员会根据规定否决不合格参选后，因有效参选不足三个使得比选明显缺乏竞争的，评审委员会可以否决全部参选文件。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6.9.2比选人保留在授标之前接受任何参选，及拒绝任何或所有参选的权利，而没有向</w:t>
      </w:r>
      <w:r>
        <w:rPr>
          <w:rFonts w:hint="eastAsia" w:ascii="宋体" w:hAnsi="宋体" w:eastAsia="宋体" w:cs="宋体"/>
          <w:color w:val="auto"/>
          <w:sz w:val="21"/>
          <w:szCs w:val="21"/>
          <w:highlight w:val="none"/>
          <w:lang w:val="en-US" w:eastAsia="zh-CN"/>
        </w:rPr>
        <w:t>参选人</w:t>
      </w:r>
      <w:r>
        <w:rPr>
          <w:rFonts w:hint="eastAsia" w:ascii="宋体" w:hAnsi="宋体" w:eastAsia="宋体" w:cs="宋体"/>
          <w:color w:val="auto"/>
          <w:sz w:val="21"/>
          <w:szCs w:val="21"/>
          <w:highlight w:val="none"/>
        </w:rPr>
        <w:t>解释原因的义务。</w:t>
      </w:r>
    </w:p>
    <w:p>
      <w:pPr>
        <w:spacing w:line="360" w:lineRule="auto"/>
        <w:rPr>
          <w:rFonts w:hint="eastAsia" w:ascii="宋体" w:hAnsi="宋体" w:eastAsia="宋体" w:cs="宋体"/>
          <w:color w:val="auto"/>
          <w:sz w:val="21"/>
          <w:szCs w:val="21"/>
          <w:highlight w:val="none"/>
        </w:rPr>
      </w:pPr>
      <w:bookmarkStart w:id="53" w:name="_Toc184635077"/>
    </w:p>
    <w:p>
      <w:pPr>
        <w:pStyle w:val="2"/>
        <w:spacing w:before="156" w:after="156" w:line="360" w:lineRule="auto"/>
        <w:rPr>
          <w:rFonts w:hint="eastAsia" w:ascii="宋体" w:hAnsi="宋体" w:eastAsia="宋体" w:cs="宋体"/>
          <w:color w:val="auto"/>
          <w:sz w:val="21"/>
          <w:szCs w:val="21"/>
          <w:highlight w:val="none"/>
        </w:rPr>
      </w:pPr>
      <w:bookmarkStart w:id="54" w:name="_Toc14994"/>
      <w:r>
        <w:rPr>
          <w:rFonts w:hint="eastAsia" w:ascii="宋体" w:hAnsi="宋体" w:eastAsia="宋体" w:cs="宋体"/>
          <w:color w:val="auto"/>
          <w:sz w:val="21"/>
          <w:szCs w:val="21"/>
          <w:highlight w:val="none"/>
        </w:rPr>
        <w:t>7．合同授予</w:t>
      </w:r>
      <w:bookmarkEnd w:id="53"/>
      <w:bookmarkEnd w:id="54"/>
    </w:p>
    <w:p>
      <w:pPr>
        <w:pStyle w:val="4"/>
        <w:spacing w:before="156" w:after="156" w:line="360" w:lineRule="auto"/>
        <w:rPr>
          <w:rFonts w:hint="eastAsia" w:ascii="宋体" w:hAnsi="宋体" w:eastAsia="宋体" w:cs="宋体"/>
          <w:color w:val="auto"/>
          <w:sz w:val="21"/>
          <w:szCs w:val="21"/>
          <w:highlight w:val="none"/>
        </w:rPr>
      </w:pPr>
      <w:bookmarkStart w:id="55" w:name="_Toc26288"/>
      <w:r>
        <w:rPr>
          <w:rFonts w:hint="eastAsia" w:ascii="宋体" w:hAnsi="宋体" w:eastAsia="宋体" w:cs="宋体"/>
          <w:color w:val="auto"/>
          <w:sz w:val="21"/>
          <w:szCs w:val="21"/>
          <w:highlight w:val="none"/>
        </w:rPr>
        <w:t>7.1 定标方式</w:t>
      </w:r>
      <w:bookmarkEnd w:id="5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比选人依据评审委员会推荐的成交候选人根据相关规定确定成交人，评审委员会推荐成交候选人的人数见参选人须知前附表。</w:t>
      </w:r>
    </w:p>
    <w:p>
      <w:pPr>
        <w:pStyle w:val="4"/>
        <w:spacing w:before="156" w:after="156" w:line="360" w:lineRule="auto"/>
        <w:rPr>
          <w:rFonts w:hint="eastAsia" w:ascii="宋体" w:hAnsi="宋体" w:eastAsia="宋体" w:cs="宋体"/>
          <w:color w:val="auto"/>
          <w:sz w:val="21"/>
          <w:szCs w:val="21"/>
          <w:highlight w:val="none"/>
        </w:rPr>
      </w:pPr>
      <w:bookmarkStart w:id="56" w:name="_Toc31606"/>
      <w:r>
        <w:rPr>
          <w:rFonts w:hint="eastAsia" w:ascii="宋体" w:hAnsi="宋体" w:eastAsia="宋体" w:cs="宋体"/>
          <w:color w:val="auto"/>
          <w:sz w:val="21"/>
          <w:szCs w:val="21"/>
          <w:highlight w:val="none"/>
        </w:rPr>
        <w:t>7.2 成交通知</w:t>
      </w:r>
      <w:bookmarkEnd w:id="5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在本章第3.3 款规定的参选有效期内，比选人以书面形式向成交人发出成交通知书，同时将中标结果通知未中标的参选人。</w:t>
      </w:r>
    </w:p>
    <w:p>
      <w:pPr>
        <w:pStyle w:val="4"/>
        <w:spacing w:before="156" w:after="156" w:line="360" w:lineRule="auto"/>
        <w:rPr>
          <w:rFonts w:hint="eastAsia" w:ascii="宋体" w:hAnsi="宋体" w:eastAsia="宋体" w:cs="宋体"/>
          <w:color w:val="auto"/>
          <w:sz w:val="21"/>
          <w:szCs w:val="21"/>
          <w:highlight w:val="none"/>
        </w:rPr>
      </w:pPr>
      <w:bookmarkStart w:id="57" w:name="_Toc19765"/>
      <w:r>
        <w:rPr>
          <w:rFonts w:hint="eastAsia" w:ascii="宋体" w:hAnsi="宋体" w:eastAsia="宋体" w:cs="宋体"/>
          <w:color w:val="auto"/>
          <w:sz w:val="21"/>
          <w:szCs w:val="21"/>
          <w:highlight w:val="none"/>
        </w:rPr>
        <w:t>7.3 履约保证金</w:t>
      </w:r>
      <w:bookmarkEnd w:id="5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w:t>
      </w:r>
    </w:p>
    <w:p>
      <w:pPr>
        <w:pStyle w:val="4"/>
        <w:spacing w:before="156" w:after="156" w:line="360" w:lineRule="auto"/>
        <w:rPr>
          <w:rFonts w:hint="eastAsia" w:ascii="宋体" w:hAnsi="宋体" w:eastAsia="宋体" w:cs="宋体"/>
          <w:color w:val="auto"/>
          <w:sz w:val="21"/>
          <w:szCs w:val="21"/>
          <w:highlight w:val="none"/>
        </w:rPr>
      </w:pPr>
      <w:bookmarkStart w:id="58" w:name="_Toc21880"/>
      <w:r>
        <w:rPr>
          <w:rFonts w:hint="eastAsia" w:ascii="宋体" w:hAnsi="宋体" w:eastAsia="宋体" w:cs="宋体"/>
          <w:color w:val="auto"/>
          <w:sz w:val="21"/>
          <w:szCs w:val="21"/>
          <w:highlight w:val="none"/>
        </w:rPr>
        <w:t>7.4 签订合同</w:t>
      </w:r>
      <w:bookmarkEnd w:id="5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 比选人和成交人应当自成交通知书发出之日起30 天内，根据比选文件和成交人的参选文件订立书面合同。成交人无正当理由拒签合同的，比选人取消其中标资格，其参选保证金不予退还；给比选人造成的损失超过参选保证金数额的，成交人还应当对超过部分予以赔偿。</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发出成交通知书后，比选人无正当理由拒签合同的，比选人向成交人退还参选保证金；给成交人造成损失的，还应当赔偿损失。</w:t>
      </w:r>
    </w:p>
    <w:p>
      <w:pPr>
        <w:spacing w:line="360" w:lineRule="auto"/>
        <w:rPr>
          <w:rFonts w:hint="eastAsia" w:ascii="宋体" w:hAnsi="宋体" w:eastAsia="宋体" w:cs="宋体"/>
          <w:color w:val="auto"/>
          <w:sz w:val="21"/>
          <w:szCs w:val="21"/>
          <w:highlight w:val="none"/>
        </w:rPr>
      </w:pPr>
      <w:bookmarkStart w:id="59" w:name="_Toc184635078"/>
    </w:p>
    <w:p>
      <w:pPr>
        <w:pStyle w:val="2"/>
        <w:spacing w:before="156" w:after="156" w:line="360" w:lineRule="auto"/>
        <w:rPr>
          <w:rFonts w:hint="eastAsia" w:ascii="宋体" w:hAnsi="宋体" w:eastAsia="宋体" w:cs="宋体"/>
          <w:color w:val="auto"/>
          <w:sz w:val="21"/>
          <w:szCs w:val="21"/>
          <w:highlight w:val="none"/>
        </w:rPr>
      </w:pPr>
      <w:bookmarkStart w:id="60" w:name="_Toc31514"/>
      <w:r>
        <w:rPr>
          <w:rFonts w:hint="eastAsia" w:ascii="宋体" w:hAnsi="宋体" w:eastAsia="宋体" w:cs="宋体"/>
          <w:color w:val="auto"/>
          <w:sz w:val="21"/>
          <w:szCs w:val="21"/>
          <w:highlight w:val="none"/>
        </w:rPr>
        <w:t>8．重新比选和不再</w:t>
      </w:r>
      <w:bookmarkEnd w:id="59"/>
      <w:r>
        <w:rPr>
          <w:rFonts w:hint="eastAsia" w:ascii="宋体" w:hAnsi="宋体" w:eastAsia="宋体" w:cs="宋体"/>
          <w:color w:val="auto"/>
          <w:sz w:val="21"/>
          <w:szCs w:val="21"/>
          <w:highlight w:val="none"/>
        </w:rPr>
        <w:t>比选</w:t>
      </w:r>
      <w:bookmarkEnd w:id="60"/>
    </w:p>
    <w:p>
      <w:pPr>
        <w:pStyle w:val="4"/>
        <w:spacing w:before="156" w:after="156" w:line="360" w:lineRule="auto"/>
        <w:rPr>
          <w:rFonts w:hint="eastAsia" w:ascii="宋体" w:hAnsi="宋体" w:eastAsia="宋体" w:cs="宋体"/>
          <w:color w:val="auto"/>
          <w:sz w:val="21"/>
          <w:szCs w:val="21"/>
          <w:highlight w:val="none"/>
        </w:rPr>
      </w:pPr>
      <w:bookmarkStart w:id="61" w:name="_Toc27166"/>
      <w:r>
        <w:rPr>
          <w:rFonts w:hint="eastAsia" w:ascii="宋体" w:hAnsi="宋体" w:eastAsia="宋体" w:cs="宋体"/>
          <w:color w:val="auto"/>
          <w:sz w:val="21"/>
          <w:szCs w:val="21"/>
          <w:highlight w:val="none"/>
        </w:rPr>
        <w:t>8.1 重新比选</w:t>
      </w:r>
      <w:bookmarkEnd w:id="6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经评审委员会评审后否决所有参选文件的。</w:t>
      </w:r>
    </w:p>
    <w:p>
      <w:pPr>
        <w:pStyle w:val="4"/>
        <w:spacing w:before="156" w:after="156" w:line="360" w:lineRule="auto"/>
        <w:rPr>
          <w:rFonts w:hint="eastAsia" w:ascii="宋体" w:hAnsi="宋体" w:eastAsia="宋体" w:cs="宋体"/>
          <w:color w:val="auto"/>
          <w:sz w:val="21"/>
          <w:szCs w:val="21"/>
          <w:highlight w:val="none"/>
        </w:rPr>
      </w:pPr>
      <w:bookmarkStart w:id="62" w:name="_Toc27593"/>
      <w:r>
        <w:rPr>
          <w:rFonts w:hint="eastAsia" w:ascii="宋体" w:hAnsi="宋体" w:eastAsia="宋体" w:cs="宋体"/>
          <w:color w:val="auto"/>
          <w:sz w:val="21"/>
          <w:szCs w:val="21"/>
          <w:highlight w:val="none"/>
        </w:rPr>
        <w:t>8.2 不再比选</w:t>
      </w:r>
      <w:bookmarkEnd w:id="62"/>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参选人数量少于三个时，</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进入评选程序，本项目</w:t>
      </w:r>
      <w:r>
        <w:rPr>
          <w:rFonts w:hint="eastAsia" w:ascii="宋体" w:hAnsi="宋体" w:eastAsia="宋体" w:cs="宋体"/>
          <w:color w:val="auto"/>
          <w:sz w:val="21"/>
          <w:szCs w:val="21"/>
          <w:highlight w:val="none"/>
          <w:lang w:val="en-US" w:eastAsia="zh-CN"/>
        </w:rPr>
        <w:t>流标，比选人另行组织采购</w:t>
      </w:r>
      <w:r>
        <w:rPr>
          <w:rFonts w:hint="eastAsia" w:ascii="宋体" w:hAnsi="宋体" w:eastAsia="宋体" w:cs="宋体"/>
          <w:color w:val="auto"/>
          <w:sz w:val="21"/>
          <w:szCs w:val="21"/>
          <w:highlight w:val="none"/>
        </w:rPr>
        <w:t>。通过资格审查的参选人数量少于三个的，如评审委员会认为仍有竞争的，可继续进行评选</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color w:val="auto"/>
          <w:sz w:val="21"/>
          <w:szCs w:val="21"/>
          <w:highlight w:val="none"/>
        </w:rPr>
      </w:pPr>
      <w:bookmarkStart w:id="63" w:name="_Toc184635079"/>
    </w:p>
    <w:p>
      <w:pPr>
        <w:pStyle w:val="2"/>
        <w:spacing w:before="156" w:after="156" w:line="360" w:lineRule="auto"/>
        <w:rPr>
          <w:rFonts w:hint="eastAsia" w:ascii="宋体" w:hAnsi="宋体" w:eastAsia="宋体" w:cs="宋体"/>
          <w:color w:val="auto"/>
          <w:sz w:val="21"/>
          <w:szCs w:val="21"/>
          <w:highlight w:val="none"/>
        </w:rPr>
      </w:pPr>
      <w:bookmarkStart w:id="64" w:name="_Toc28503"/>
      <w:r>
        <w:rPr>
          <w:rFonts w:hint="eastAsia" w:ascii="宋体" w:hAnsi="宋体" w:eastAsia="宋体" w:cs="宋体"/>
          <w:color w:val="auto"/>
          <w:sz w:val="21"/>
          <w:szCs w:val="21"/>
          <w:highlight w:val="none"/>
        </w:rPr>
        <w:t>9．纪律和监督</w:t>
      </w:r>
      <w:bookmarkEnd w:id="63"/>
      <w:bookmarkEnd w:id="64"/>
    </w:p>
    <w:p>
      <w:pPr>
        <w:pStyle w:val="4"/>
        <w:spacing w:before="156" w:after="156" w:line="360" w:lineRule="auto"/>
        <w:rPr>
          <w:rFonts w:hint="eastAsia" w:ascii="宋体" w:hAnsi="宋体" w:eastAsia="宋体" w:cs="宋体"/>
          <w:color w:val="auto"/>
          <w:sz w:val="21"/>
          <w:szCs w:val="21"/>
          <w:highlight w:val="none"/>
        </w:rPr>
      </w:pPr>
      <w:bookmarkStart w:id="65" w:name="_Toc11500"/>
      <w:r>
        <w:rPr>
          <w:rFonts w:hint="eastAsia" w:ascii="宋体" w:hAnsi="宋体" w:eastAsia="宋体" w:cs="宋体"/>
          <w:color w:val="auto"/>
          <w:sz w:val="21"/>
          <w:szCs w:val="21"/>
          <w:highlight w:val="none"/>
        </w:rPr>
        <w:t>9.1 对比选人的纪律要求</w:t>
      </w:r>
      <w:bookmarkEnd w:id="6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不得泄漏比选活动中应当保密的未公开信息（对于未公开信息，参选人在向比选人提供时应注明“保密”字样，否则比选人无保密义务），不得与参选人串通损害国家利益、社会公共利益或者他人合法权益。</w:t>
      </w:r>
    </w:p>
    <w:p>
      <w:pPr>
        <w:pStyle w:val="4"/>
        <w:spacing w:before="156" w:after="156" w:line="360" w:lineRule="auto"/>
        <w:rPr>
          <w:rFonts w:hint="eastAsia" w:ascii="宋体" w:hAnsi="宋体" w:eastAsia="宋体" w:cs="宋体"/>
          <w:color w:val="auto"/>
          <w:sz w:val="21"/>
          <w:szCs w:val="21"/>
          <w:highlight w:val="none"/>
        </w:rPr>
      </w:pPr>
      <w:bookmarkStart w:id="66" w:name="_Toc13723"/>
      <w:r>
        <w:rPr>
          <w:rFonts w:hint="eastAsia" w:ascii="宋体" w:hAnsi="宋体" w:eastAsia="宋体" w:cs="宋体"/>
          <w:color w:val="auto"/>
          <w:sz w:val="21"/>
          <w:szCs w:val="21"/>
          <w:highlight w:val="none"/>
        </w:rPr>
        <w:t>9.2 对参选人的纪律要求</w:t>
      </w:r>
      <w:bookmarkEnd w:id="6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参选人不得相互串通参选或者与比选人串通参选，不得向比选人或者评审委员会成员行贿谋取中标，不得以他人名义参选或者以其他方式弄虚作假骗取中标；参选人不得以任何方式干扰、影响评选工作。</w:t>
      </w:r>
    </w:p>
    <w:p>
      <w:pPr>
        <w:pStyle w:val="4"/>
        <w:spacing w:before="156" w:after="156" w:line="360" w:lineRule="auto"/>
        <w:rPr>
          <w:rFonts w:hint="eastAsia" w:ascii="宋体" w:hAnsi="宋体" w:eastAsia="宋体" w:cs="宋体"/>
          <w:color w:val="auto"/>
          <w:sz w:val="21"/>
          <w:szCs w:val="21"/>
          <w:highlight w:val="none"/>
        </w:rPr>
      </w:pPr>
      <w:bookmarkStart w:id="67" w:name="_Toc18614"/>
      <w:r>
        <w:rPr>
          <w:rFonts w:hint="eastAsia" w:ascii="宋体" w:hAnsi="宋体" w:eastAsia="宋体" w:cs="宋体"/>
          <w:color w:val="auto"/>
          <w:sz w:val="21"/>
          <w:szCs w:val="21"/>
          <w:highlight w:val="none"/>
        </w:rPr>
        <w:t>9.3 对评审委员会成员的纪律要求</w:t>
      </w:r>
      <w:bookmarkEnd w:id="6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成员不得收受他人的财物或者其他好处，不得向他人透漏对参选文件的评审和比较、成交候选人的推荐情况以及评选有关的其他情况。在评选活动中，评审委员会成员不得擅离职守，影响评选程序正常进行，不得使用第三章“评选办法”没有规定的评审因素和标准进行评选。</w:t>
      </w:r>
    </w:p>
    <w:p>
      <w:pPr>
        <w:pStyle w:val="4"/>
        <w:spacing w:before="156" w:after="156" w:line="360" w:lineRule="auto"/>
        <w:rPr>
          <w:rFonts w:hint="eastAsia" w:ascii="宋体" w:hAnsi="宋体" w:eastAsia="宋体" w:cs="宋体"/>
          <w:color w:val="auto"/>
          <w:sz w:val="21"/>
          <w:szCs w:val="21"/>
          <w:highlight w:val="none"/>
        </w:rPr>
      </w:pPr>
      <w:bookmarkStart w:id="68" w:name="_Toc29601"/>
      <w:r>
        <w:rPr>
          <w:rFonts w:hint="eastAsia" w:ascii="宋体" w:hAnsi="宋体" w:eastAsia="宋体" w:cs="宋体"/>
          <w:color w:val="auto"/>
          <w:sz w:val="21"/>
          <w:szCs w:val="21"/>
          <w:highlight w:val="none"/>
        </w:rPr>
        <w:t>9.4 对与评选活动有关的工作人员的纪律要求</w:t>
      </w:r>
      <w:bookmarkEnd w:id="6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选活动有关的工作人员不得收受他人的财物或者其他好处，不得向他人透漏对参选文件的评审和比较、成交候选人的推荐情况以及评选有关的其他情况。在评选活动中，与评选活动有关的工作人员不得擅离职守，影响评选程序正常进行。</w:t>
      </w:r>
    </w:p>
    <w:p>
      <w:pPr>
        <w:pStyle w:val="4"/>
        <w:spacing w:before="156" w:after="156" w:line="360" w:lineRule="auto"/>
        <w:rPr>
          <w:rFonts w:hint="eastAsia" w:ascii="宋体" w:hAnsi="宋体" w:eastAsia="宋体" w:cs="宋体"/>
          <w:color w:val="auto"/>
          <w:sz w:val="21"/>
          <w:szCs w:val="21"/>
          <w:highlight w:val="none"/>
        </w:rPr>
      </w:pPr>
      <w:bookmarkStart w:id="69" w:name="_Toc17184"/>
      <w:r>
        <w:rPr>
          <w:rFonts w:hint="eastAsia" w:ascii="宋体" w:hAnsi="宋体" w:eastAsia="宋体" w:cs="宋体"/>
          <w:color w:val="auto"/>
          <w:sz w:val="21"/>
          <w:szCs w:val="21"/>
          <w:highlight w:val="none"/>
        </w:rPr>
        <w:t>9.5 投诉</w:t>
      </w:r>
      <w:bookmarkEnd w:id="6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9.5.1 参选人和其他利害关系人认为本次比选活动违反法律、法规和规章规定的，有权向有关行政监督部门投诉。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9.5.2 参选人或者其他利害关系人认为比选参选活动不符合法律、行政法规规定的，可以自知道或者应当知道之日起 10 日内向有关行政监督部门投诉。投诉应当有明确的请求和必要的证明材料。</w:t>
      </w:r>
    </w:p>
    <w:p>
      <w:pPr>
        <w:pStyle w:val="2"/>
        <w:spacing w:before="156" w:after="156" w:line="360" w:lineRule="auto"/>
        <w:rPr>
          <w:rFonts w:hint="eastAsia" w:ascii="宋体" w:hAnsi="宋体" w:eastAsia="宋体" w:cs="宋体"/>
          <w:color w:val="auto"/>
          <w:sz w:val="21"/>
          <w:szCs w:val="21"/>
          <w:highlight w:val="none"/>
        </w:rPr>
      </w:pPr>
      <w:bookmarkStart w:id="70" w:name="_Toc11537"/>
      <w:bookmarkStart w:id="71" w:name="_Toc184635080"/>
      <w:r>
        <w:rPr>
          <w:rFonts w:hint="eastAsia" w:ascii="宋体" w:hAnsi="宋体" w:eastAsia="宋体" w:cs="宋体"/>
          <w:color w:val="auto"/>
          <w:sz w:val="21"/>
          <w:szCs w:val="21"/>
          <w:highlight w:val="none"/>
        </w:rPr>
        <w:t>10需要补充的其他内容</w:t>
      </w:r>
      <w:bookmarkEnd w:id="70"/>
      <w:bookmarkEnd w:id="7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需要补充的其他内容：见参选人须知前附表。</w:t>
      </w:r>
    </w:p>
    <w:p>
      <w:pPr>
        <w:pStyle w:val="18"/>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10.1比选人内部监督部门</w:t>
      </w:r>
    </w:p>
    <w:p>
      <w:pPr>
        <w:pStyle w:val="19"/>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见参选人须知前附表</w:t>
      </w:r>
    </w:p>
    <w:p>
      <w:pPr>
        <w:tabs>
          <w:tab w:val="left" w:pos="6860"/>
          <w:tab w:val="left" w:pos="7800"/>
        </w:tabs>
        <w:spacing w:line="360" w:lineRule="auto"/>
        <w:ind w:firstLine="560" w:firstLineChars="200"/>
        <w:rPr>
          <w:rFonts w:hint="eastAsia" w:ascii="宋体" w:hAnsi="宋体" w:eastAsia="宋体" w:cs="宋体"/>
          <w:color w:val="auto"/>
          <w:sz w:val="28"/>
          <w:szCs w:val="28"/>
          <w:highlight w:val="none"/>
        </w:rPr>
      </w:pPr>
    </w:p>
    <w:p>
      <w:pPr>
        <w:tabs>
          <w:tab w:val="left" w:pos="6860"/>
          <w:tab w:val="left" w:pos="7800"/>
        </w:tabs>
        <w:spacing w:line="360" w:lineRule="auto"/>
        <w:ind w:firstLine="560" w:firstLineChars="200"/>
        <w:rPr>
          <w:rFonts w:hint="eastAsia" w:ascii="宋体" w:hAnsi="宋体" w:eastAsia="宋体" w:cs="宋体"/>
          <w:color w:val="auto"/>
          <w:sz w:val="28"/>
          <w:szCs w:val="28"/>
          <w:highlight w:val="none"/>
        </w:rPr>
      </w:pPr>
    </w:p>
    <w:p>
      <w:pPr>
        <w:tabs>
          <w:tab w:val="left" w:pos="6860"/>
          <w:tab w:val="left" w:pos="7800"/>
        </w:tabs>
        <w:spacing w:line="360" w:lineRule="auto"/>
        <w:ind w:firstLine="560" w:firstLineChars="200"/>
        <w:rPr>
          <w:rFonts w:hint="eastAsia" w:ascii="宋体" w:hAnsi="宋体" w:eastAsia="宋体" w:cs="宋体"/>
          <w:color w:val="auto"/>
          <w:sz w:val="28"/>
          <w:szCs w:val="28"/>
          <w:highlight w:val="none"/>
        </w:rPr>
      </w:pPr>
    </w:p>
    <w:p>
      <w:pPr>
        <w:rPr>
          <w:rFonts w:hint="eastAsia" w:ascii="宋体" w:hAnsi="宋体" w:eastAsia="宋体" w:cs="宋体"/>
          <w:color w:val="auto"/>
          <w:szCs w:val="32"/>
          <w:highlight w:val="none"/>
        </w:rPr>
      </w:pPr>
      <w:bookmarkStart w:id="72" w:name="_Toc342573630"/>
      <w:bookmarkStart w:id="73" w:name="_Toc342573654"/>
      <w:bookmarkStart w:id="74" w:name="_Toc19043"/>
      <w:bookmarkStart w:id="75" w:name="_Toc342573796"/>
      <w:bookmarkStart w:id="76" w:name="_Toc184635092"/>
      <w:bookmarkStart w:id="77" w:name="_Toc184635093"/>
      <w:r>
        <w:rPr>
          <w:rFonts w:hint="eastAsia" w:ascii="宋体" w:hAnsi="宋体" w:eastAsia="宋体" w:cs="宋体"/>
          <w:color w:val="auto"/>
          <w:szCs w:val="32"/>
          <w:highlight w:val="none"/>
        </w:rPr>
        <w:br w:type="page"/>
      </w:r>
    </w:p>
    <w:p>
      <w:pPr>
        <w:pStyle w:val="3"/>
        <w:spacing w:before="0" w:after="0" w:line="360" w:lineRule="auto"/>
        <w:jc w:val="both"/>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第三章 评选办法（综合评分法）</w:t>
      </w:r>
      <w:bookmarkEnd w:id="72"/>
      <w:bookmarkEnd w:id="73"/>
      <w:bookmarkEnd w:id="74"/>
      <w:bookmarkEnd w:id="75"/>
      <w:bookmarkEnd w:id="76"/>
    </w:p>
    <w:p>
      <w:pPr>
        <w:tabs>
          <w:tab w:val="left" w:pos="3585"/>
        </w:tabs>
        <w:spacing w:line="360" w:lineRule="auto"/>
        <w:rPr>
          <w:rFonts w:hint="eastAsia" w:ascii="宋体" w:hAnsi="宋体" w:eastAsia="宋体" w:cs="宋体"/>
          <w:b/>
          <w:color w:val="auto"/>
          <w:sz w:val="21"/>
          <w:szCs w:val="21"/>
          <w:highlight w:val="none"/>
        </w:rPr>
      </w:pPr>
      <w:bookmarkStart w:id="78" w:name="评标办法前附表"/>
      <w:bookmarkEnd w:id="78"/>
      <w:bookmarkStart w:id="79" w:name="_bookmark58"/>
      <w:bookmarkEnd w:id="79"/>
      <w:r>
        <w:rPr>
          <w:rFonts w:hint="eastAsia" w:ascii="宋体" w:hAnsi="宋体" w:eastAsia="宋体" w:cs="宋体"/>
          <w:b/>
          <w:bCs/>
          <w:color w:val="auto"/>
          <w:sz w:val="21"/>
          <w:szCs w:val="21"/>
          <w:highlight w:val="none"/>
        </w:rPr>
        <w:t>一、</w:t>
      </w:r>
      <w:r>
        <w:rPr>
          <w:rFonts w:hint="eastAsia" w:ascii="宋体" w:hAnsi="宋体" w:eastAsia="宋体" w:cs="宋体"/>
          <w:b/>
          <w:color w:val="auto"/>
          <w:sz w:val="21"/>
          <w:szCs w:val="21"/>
          <w:highlight w:val="none"/>
        </w:rPr>
        <w:t>比选人组织开标</w:t>
      </w:r>
    </w:p>
    <w:p>
      <w:pPr>
        <w:spacing w:line="360" w:lineRule="auto"/>
        <w:ind w:firstLine="570"/>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en-US" w:eastAsia="zh-CN"/>
        </w:rPr>
        <w:t>本项目采取现场开标的形式</w:t>
      </w:r>
      <w:r>
        <w:rPr>
          <w:rFonts w:hint="eastAsia" w:ascii="宋体" w:hAnsi="宋体" w:eastAsia="宋体" w:cs="宋体"/>
          <w:bCs/>
          <w:color w:val="auto"/>
          <w:sz w:val="21"/>
          <w:szCs w:val="21"/>
          <w:highlight w:val="none"/>
          <w:lang w:val="zh-CN"/>
        </w:rPr>
        <w:t>。</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二、评委会由有关专家和</w:t>
      </w:r>
      <w:r>
        <w:rPr>
          <w:rFonts w:hint="eastAsia" w:ascii="宋体" w:hAnsi="宋体" w:eastAsia="宋体" w:cs="宋体"/>
          <w:b/>
          <w:color w:val="auto"/>
          <w:sz w:val="21"/>
          <w:szCs w:val="21"/>
          <w:highlight w:val="none"/>
        </w:rPr>
        <w:t>比选人代表</w:t>
      </w:r>
      <w:r>
        <w:rPr>
          <w:rFonts w:hint="eastAsia" w:ascii="宋体" w:hAnsi="宋体" w:eastAsia="宋体" w:cs="宋体"/>
          <w:b/>
          <w:bCs/>
          <w:color w:val="auto"/>
          <w:sz w:val="21"/>
          <w:szCs w:val="21"/>
          <w:highlight w:val="none"/>
        </w:rPr>
        <w:t>组成</w:t>
      </w:r>
      <w:r>
        <w:rPr>
          <w:rFonts w:hint="eastAsia" w:ascii="宋体" w:hAnsi="宋体" w:eastAsia="宋体" w:cs="宋体"/>
          <w:b/>
          <w:color w:val="auto"/>
          <w:sz w:val="21"/>
          <w:szCs w:val="21"/>
          <w:highlight w:val="none"/>
        </w:rPr>
        <w:t>，按照</w:t>
      </w:r>
      <w:r>
        <w:rPr>
          <w:rFonts w:hint="eastAsia" w:ascii="宋体" w:hAnsi="宋体" w:eastAsia="宋体" w:cs="宋体"/>
          <w:b/>
          <w:bCs/>
          <w:color w:val="auto"/>
          <w:sz w:val="21"/>
          <w:szCs w:val="21"/>
          <w:highlight w:val="none"/>
        </w:rPr>
        <w:t>公平、公正、择优的原则进行</w:t>
      </w:r>
      <w:r>
        <w:rPr>
          <w:rFonts w:hint="eastAsia" w:ascii="宋体" w:hAnsi="宋体" w:eastAsia="宋体" w:cs="宋体"/>
          <w:b/>
          <w:color w:val="auto"/>
          <w:sz w:val="21"/>
          <w:szCs w:val="21"/>
          <w:highlight w:val="none"/>
        </w:rPr>
        <w:t>独立</w:t>
      </w:r>
      <w:r>
        <w:rPr>
          <w:rFonts w:hint="eastAsia" w:ascii="宋体" w:hAnsi="宋体" w:eastAsia="宋体" w:cs="宋体"/>
          <w:b/>
          <w:bCs/>
          <w:color w:val="auto"/>
          <w:sz w:val="21"/>
          <w:szCs w:val="21"/>
          <w:highlight w:val="none"/>
        </w:rPr>
        <w:t>评审</w:t>
      </w:r>
    </w:p>
    <w:p>
      <w:pPr>
        <w:spacing w:line="360" w:lineRule="auto"/>
        <w:ind w:firstLine="57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由评审委员会对参选人资格性、符合性审查，对未通过审查的参选人，现场告知原因。评审委员会对合格参选人的投标文件进行评审。</w:t>
      </w:r>
    </w:p>
    <w:p>
      <w:pPr>
        <w:spacing w:line="360" w:lineRule="auto"/>
        <w:ind w:firstLine="57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（一）评审内容</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参选</w:t>
      </w:r>
      <w:r>
        <w:rPr>
          <w:rFonts w:hint="eastAsia" w:ascii="宋体" w:hAnsi="宋体" w:eastAsia="宋体" w:cs="宋体"/>
          <w:bCs/>
          <w:color w:val="auto"/>
          <w:sz w:val="21"/>
          <w:szCs w:val="21"/>
          <w:highlight w:val="none"/>
        </w:rPr>
        <w:t>资格是否符合；</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参选</w:t>
      </w:r>
      <w:r>
        <w:rPr>
          <w:rFonts w:hint="eastAsia" w:ascii="宋体" w:hAnsi="宋体" w:eastAsia="宋体" w:cs="宋体"/>
          <w:bCs/>
          <w:color w:val="auto"/>
          <w:sz w:val="21"/>
          <w:szCs w:val="21"/>
          <w:highlight w:val="none"/>
        </w:rPr>
        <w:t>文件是否完整；</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参选</w:t>
      </w:r>
      <w:r>
        <w:rPr>
          <w:rFonts w:hint="eastAsia" w:ascii="宋体" w:hAnsi="宋体" w:eastAsia="宋体" w:cs="宋体"/>
          <w:bCs/>
          <w:color w:val="auto"/>
          <w:sz w:val="21"/>
          <w:szCs w:val="21"/>
          <w:highlight w:val="none"/>
        </w:rPr>
        <w:t>文件是否恰当地签署；</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4、是否作出实质性响应（是否有实质性响应，只根据</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文件本身，而不寻求外部证据）；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5、是否有计算错误。</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（二）相应的规定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如果单价汇总金额与总价金额有出入，以单价金额计算结果为准；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2、单价金额小数点有明显错位的，应以总价为准；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3、若文件大写表示的数据与数字表示的有差别，以大写表示的数据为准；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文件中报价表内容与</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文件中其他内容不一致的，以</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报价表为准。</w:t>
      </w:r>
    </w:p>
    <w:p>
      <w:pPr>
        <w:tabs>
          <w:tab w:val="left" w:pos="3585"/>
        </w:tabs>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b/>
          <w:color w:val="auto"/>
          <w:sz w:val="21"/>
          <w:szCs w:val="21"/>
          <w:highlight w:val="none"/>
        </w:rPr>
        <w:t>陈述、演示、</w:t>
      </w:r>
      <w:r>
        <w:rPr>
          <w:rFonts w:hint="eastAsia" w:ascii="宋体" w:hAnsi="宋体" w:eastAsia="宋体" w:cs="宋体"/>
          <w:b/>
          <w:bCs/>
          <w:color w:val="auto"/>
          <w:sz w:val="21"/>
          <w:szCs w:val="21"/>
          <w:highlight w:val="none"/>
        </w:rPr>
        <w:t>答疑、澄清</w:t>
      </w:r>
    </w:p>
    <w:p>
      <w:pPr>
        <w:spacing w:line="360" w:lineRule="auto"/>
        <w:ind w:firstLine="57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shd w:val="clear" w:color="auto" w:fill="FFFFFF"/>
        </w:rPr>
        <w:t>如评委会认为有必要，参选人按评委会的要求作陈述、演示、</w:t>
      </w:r>
      <w:r>
        <w:rPr>
          <w:rFonts w:hint="eastAsia" w:ascii="宋体" w:hAnsi="宋体" w:eastAsia="宋体" w:cs="宋体"/>
          <w:color w:val="auto"/>
          <w:sz w:val="21"/>
          <w:szCs w:val="21"/>
          <w:highlight w:val="none"/>
        </w:rPr>
        <w:t>答疑及澄清其投标内容。时间由评委会掌握。</w:t>
      </w:r>
    </w:p>
    <w:p>
      <w:pPr>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重要澄清答复应是书面的，但不得对</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内容进行实质性修改。</w:t>
      </w:r>
    </w:p>
    <w:p>
      <w:pPr>
        <w:tabs>
          <w:tab w:val="left" w:pos="3585"/>
        </w:tabs>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四、参选人不得存在下列情形之一：</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1、与比选人存在利害关系且可能影响</w:t>
      </w:r>
      <w:r>
        <w:rPr>
          <w:rFonts w:hint="eastAsia" w:ascii="宋体" w:hAnsi="宋体" w:eastAsia="宋体" w:cs="宋体"/>
          <w:bCs/>
          <w:color w:val="auto"/>
          <w:sz w:val="21"/>
          <w:szCs w:val="21"/>
          <w:highlight w:val="none"/>
          <w:lang w:val="en-US" w:eastAsia="zh-CN"/>
        </w:rPr>
        <w:t>比选</w:t>
      </w:r>
      <w:r>
        <w:rPr>
          <w:rFonts w:hint="eastAsia" w:ascii="宋体" w:hAnsi="宋体" w:eastAsia="宋体" w:cs="宋体"/>
          <w:bCs/>
          <w:color w:val="auto"/>
          <w:sz w:val="21"/>
          <w:szCs w:val="21"/>
          <w:highlight w:val="none"/>
        </w:rPr>
        <w:t>公正性；</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2、与本</w:t>
      </w:r>
      <w:r>
        <w:rPr>
          <w:rFonts w:hint="eastAsia" w:ascii="宋体" w:hAnsi="宋体" w:eastAsia="宋体" w:cs="宋体"/>
          <w:bCs/>
          <w:color w:val="auto"/>
          <w:sz w:val="21"/>
          <w:szCs w:val="21"/>
          <w:highlight w:val="none"/>
          <w:lang w:val="en-US" w:eastAsia="zh-CN"/>
        </w:rPr>
        <w:t>比选</w:t>
      </w:r>
      <w:r>
        <w:rPr>
          <w:rFonts w:hint="eastAsia" w:ascii="宋体" w:hAnsi="宋体" w:eastAsia="宋体" w:cs="宋体"/>
          <w:bCs/>
          <w:color w:val="auto"/>
          <w:sz w:val="21"/>
          <w:szCs w:val="21"/>
          <w:highlight w:val="none"/>
        </w:rPr>
        <w:t>项目的其他参选人为同一个单位负责人；</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3、与本</w:t>
      </w:r>
      <w:r>
        <w:rPr>
          <w:rFonts w:hint="eastAsia" w:ascii="宋体" w:hAnsi="宋体" w:eastAsia="宋体" w:cs="宋体"/>
          <w:bCs/>
          <w:color w:val="auto"/>
          <w:sz w:val="21"/>
          <w:szCs w:val="21"/>
          <w:highlight w:val="none"/>
          <w:lang w:val="en-US" w:eastAsia="zh-CN"/>
        </w:rPr>
        <w:t>比选</w:t>
      </w:r>
      <w:r>
        <w:rPr>
          <w:rFonts w:hint="eastAsia" w:ascii="宋体" w:hAnsi="宋体" w:eastAsia="宋体" w:cs="宋体"/>
          <w:bCs/>
          <w:color w:val="auto"/>
          <w:sz w:val="21"/>
          <w:szCs w:val="21"/>
          <w:highlight w:val="none"/>
        </w:rPr>
        <w:t>项目的其他参选人存在控股、管理关系；</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4、与本</w:t>
      </w:r>
      <w:r>
        <w:rPr>
          <w:rFonts w:hint="eastAsia" w:ascii="宋体" w:hAnsi="宋体" w:eastAsia="宋体" w:cs="宋体"/>
          <w:bCs/>
          <w:color w:val="auto"/>
          <w:sz w:val="21"/>
          <w:szCs w:val="21"/>
          <w:highlight w:val="none"/>
          <w:lang w:val="en-US" w:eastAsia="zh-CN"/>
        </w:rPr>
        <w:t>比选</w:t>
      </w:r>
      <w:r>
        <w:rPr>
          <w:rFonts w:hint="eastAsia" w:ascii="宋体" w:hAnsi="宋体" w:eastAsia="宋体" w:cs="宋体"/>
          <w:bCs/>
          <w:color w:val="auto"/>
          <w:sz w:val="21"/>
          <w:szCs w:val="21"/>
          <w:highlight w:val="none"/>
        </w:rPr>
        <w:t>项目的</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bCs/>
          <w:color w:val="auto"/>
          <w:sz w:val="21"/>
          <w:szCs w:val="21"/>
          <w:highlight w:val="none"/>
        </w:rPr>
        <w:t>代理机构存在控股或参股关系；</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、被依法暂停或者取消投标资格；</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、被责令停产停业、暂扣或者吊销许可证、暂扣或者吊销执照；</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、进入清算程序，或被宣告破产，或其他丧失履约能力的情形；</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、在最近三年内有骗取中标或严重违约或重大工程质量、环境、安全问题的；</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shd w:val="clear"/>
        </w:rPr>
        <w:t>通过“信用中国”网站（www.creditchina.gov.cn）、“中国执行信息公开网（http://zxgk.court.gov.cn/）”查询，被列入失信被执行人、重大税收违法案件当事人等名单的；（截止本公告发布之日）</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、法律法规或参选人须知前附表规定的其他情形。</w:t>
      </w:r>
    </w:p>
    <w:p>
      <w:pPr>
        <w:spacing w:line="360" w:lineRule="auto"/>
        <w:ind w:firstLine="57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五、出现下列情形之一的，作无效投标处理：</w:t>
      </w:r>
    </w:p>
    <w:p>
      <w:pPr>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文件的规定提交投标保证金的；</w:t>
      </w:r>
    </w:p>
    <w:p>
      <w:pPr>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文件规定要求签署、签章的；</w:t>
      </w:r>
    </w:p>
    <w:p>
      <w:pPr>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3、未完整上传</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文件电子文档的,或上传的文件打不开的；</w:t>
      </w:r>
    </w:p>
    <w:p>
      <w:pPr>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文件中规定的资格要求的；</w:t>
      </w:r>
    </w:p>
    <w:p>
      <w:pPr>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5、报价超过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文件中规定的预算金额或者最高限价的；</w:t>
      </w:r>
    </w:p>
    <w:p>
      <w:pPr>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文件含有比选人不能接受的附加条件的；</w:t>
      </w:r>
    </w:p>
    <w:p>
      <w:pPr>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7、不符合法律、法规和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文件中规定的其他实质性要求的。</w:t>
      </w:r>
    </w:p>
    <w:p>
      <w:pPr>
        <w:spacing w:line="360" w:lineRule="auto"/>
        <w:ind w:firstLine="57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五、出现下列情形之一的，作废标处理：</w:t>
      </w:r>
    </w:p>
    <w:p>
      <w:pPr>
        <w:spacing w:line="360" w:lineRule="auto"/>
        <w:ind w:firstLine="5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、出现影响</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公正的违法违规行为的；</w:t>
      </w:r>
    </w:p>
    <w:p>
      <w:pPr>
        <w:spacing w:line="360" w:lineRule="auto"/>
        <w:ind w:firstLine="5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、参选人的报价均超过了采购预算，比选人不能支付的；</w:t>
      </w:r>
    </w:p>
    <w:p>
      <w:pPr>
        <w:spacing w:line="360" w:lineRule="auto"/>
        <w:ind w:firstLine="5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、因重大变故，</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任务取消的。</w:t>
      </w:r>
    </w:p>
    <w:p>
      <w:pPr>
        <w:spacing w:line="360" w:lineRule="auto"/>
        <w:ind w:firstLine="5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上述均保留评委会认定可以确定为无效投标或废标的其他情况。</w:t>
      </w:r>
    </w:p>
    <w:p>
      <w:pPr>
        <w:spacing w:line="360" w:lineRule="auto"/>
        <w:ind w:firstLine="55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不再招标和重新招标：</w:t>
      </w:r>
    </w:p>
    <w:p>
      <w:pPr>
        <w:spacing w:line="360" w:lineRule="auto"/>
        <w:ind w:firstLine="5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有下列情形之一的，比选人可重新组织某标段的招标：</w:t>
      </w:r>
    </w:p>
    <w:p>
      <w:pPr>
        <w:spacing w:line="360" w:lineRule="auto"/>
        <w:ind w:firstLine="5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）经评审委员会评审后否决某标段所有投标的；</w:t>
      </w:r>
    </w:p>
    <w:p>
      <w:pPr>
        <w:spacing w:line="360" w:lineRule="auto"/>
        <w:ind w:firstLine="5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）成交人放弃中标或者因被投诉且已查实的，比选人决定重新招标第2次的；</w:t>
      </w:r>
    </w:p>
    <w:p>
      <w:pPr>
        <w:spacing w:line="360" w:lineRule="auto"/>
        <w:ind w:firstLine="5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）评审委员会或主管部门认定的其他原因。</w:t>
      </w:r>
    </w:p>
    <w:p>
      <w:pPr>
        <w:spacing w:line="360" w:lineRule="auto"/>
        <w:ind w:firstLine="55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七、评审方法</w:t>
      </w:r>
    </w:p>
    <w:p>
      <w:pPr>
        <w:spacing w:line="360" w:lineRule="auto"/>
        <w:ind w:firstLine="5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采用综合评分法。分资格审查、商务技术标、价格标三部分评审，总分值为100分。</w:t>
      </w:r>
    </w:p>
    <w:p>
      <w:pPr>
        <w:spacing w:line="360" w:lineRule="auto"/>
        <w:ind w:firstLine="5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首先由评审委员会评审参选人资格性、符合性，对合格的参选人由评委会评审商务技术标，待商务技术标评审结束后，再开启价格标。</w:t>
      </w:r>
    </w:p>
    <w:p>
      <w:pPr>
        <w:widowControl/>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评委在认真审阅投标文件的基础上，根据各</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文件的商务技术部分的响应情况，对各评分项目进行评分，不得统一打分。</w:t>
      </w:r>
    </w:p>
    <w:p>
      <w:pPr>
        <w:spacing w:line="360" w:lineRule="auto"/>
        <w:ind w:firstLine="422" w:firstLineChars="200"/>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（一）评审委员会对参选人资格性、符合性审查。</w:t>
      </w:r>
    </w:p>
    <w:tbl>
      <w:tblPr>
        <w:tblStyle w:val="44"/>
        <w:tblpPr w:leftFromText="180" w:rightFromText="180" w:vertAnchor="text" w:horzAnchor="page" w:tblpX="1788" w:tblpY="140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1029"/>
        <w:gridCol w:w="3519"/>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5" w:type="pct"/>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04" w:type="pct"/>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项目内容</w:t>
            </w:r>
          </w:p>
        </w:tc>
        <w:tc>
          <w:tcPr>
            <w:tcW w:w="2065" w:type="pct"/>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合格条件</w:t>
            </w:r>
          </w:p>
        </w:tc>
        <w:tc>
          <w:tcPr>
            <w:tcW w:w="2065" w:type="pct"/>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需提供的证明材料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0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206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工商行政管理部门颁发的营业执照</w:t>
            </w:r>
          </w:p>
        </w:tc>
        <w:tc>
          <w:tcPr>
            <w:tcW w:w="206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5" w:type="pct"/>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0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参选人履约能力</w:t>
            </w:r>
          </w:p>
        </w:tc>
        <w:tc>
          <w:tcPr>
            <w:tcW w:w="206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未处于被责令停业或者财产被接管、冻结和破产状态。没有因骗取标或者严重违约以及发生安全生产事故等问题，被有关部门暂停投标资格并在暂停期内的。</w:t>
            </w:r>
          </w:p>
        </w:tc>
        <w:tc>
          <w:tcPr>
            <w:tcW w:w="206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符合格式要求的承诺书（见参选文件格式）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5" w:type="pct"/>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0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参选人信用情况</w:t>
            </w:r>
          </w:p>
        </w:tc>
        <w:tc>
          <w:tcPr>
            <w:tcW w:w="3519" w:type="dxa"/>
            <w:vAlign w:val="center"/>
          </w:tcPr>
          <w:p>
            <w:pPr>
              <w:wordWrap w:val="0"/>
              <w:adjustRightInd w:val="0"/>
              <w:snapToGrid w:val="0"/>
              <w:spacing w:line="400" w:lineRule="exact"/>
              <w:ind w:firstLine="0" w:firstLineChars="0"/>
              <w:rPr>
                <w:rFonts w:hint="eastAsia" w:ascii="宋体" w:hAnsi="宋体" w:eastAsia="宋体" w:cs="宋体"/>
              </w:rPr>
            </w:pPr>
            <w:r>
              <w:rPr>
                <w:rFonts w:hint="eastAsia" w:ascii="宋体" w:hAnsi="宋体" w:eastAsia="宋体" w:cs="宋体"/>
              </w:rPr>
              <w:t>供应商通过“信用中国”网站（www.creditchina.gov.cn）、“中国执行信息公开网（http://zxgk.court.gov.cn/）”查询，未被列入失信被执行人、重大税收违法案件当事人等名单的。</w:t>
            </w:r>
          </w:p>
          <w:p>
            <w:pPr>
              <w:wordWrap w:val="0"/>
              <w:adjustRightInd w:val="0"/>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rPr>
              <w:t>以评审小组现场查询结果为准。</w:t>
            </w:r>
          </w:p>
        </w:tc>
        <w:tc>
          <w:tcPr>
            <w:tcW w:w="3519" w:type="dxa"/>
            <w:vAlign w:val="center"/>
          </w:tcPr>
          <w:p>
            <w:pPr>
              <w:wordWrap w:val="0"/>
              <w:adjustRightInd w:val="0"/>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承诺书</w:t>
            </w:r>
            <w:r>
              <w:rPr>
                <w:rFonts w:hint="eastAsia" w:ascii="宋体" w:hAnsi="宋体" w:eastAsia="宋体" w:cs="宋体"/>
                <w:sz w:val="21"/>
                <w:szCs w:val="21"/>
              </w:rPr>
              <w:t>（格式见第六章“响应文件格式”）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5" w:type="pct"/>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60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参选文件符合性审查</w:t>
            </w:r>
          </w:p>
        </w:tc>
        <w:tc>
          <w:tcPr>
            <w:tcW w:w="2065" w:type="pct"/>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是否满足比选文件的实质性要求</w:t>
            </w:r>
          </w:p>
        </w:tc>
        <w:tc>
          <w:tcPr>
            <w:tcW w:w="206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提供响应比选文件实质性要求的参选文件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5" w:type="pct"/>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29" w:type="dxa"/>
            <w:vAlign w:val="center"/>
          </w:tcPr>
          <w:p>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参选人</w:t>
            </w:r>
            <w:r>
              <w:rPr>
                <w:rFonts w:hint="eastAsia" w:ascii="宋体" w:hAnsi="宋体" w:eastAsia="宋体" w:cs="宋体"/>
                <w:sz w:val="21"/>
                <w:szCs w:val="21"/>
                <w:highlight w:val="none"/>
                <w:lang w:val="en-US" w:eastAsia="zh-CN"/>
              </w:rPr>
              <w:t>资质要求</w:t>
            </w:r>
          </w:p>
        </w:tc>
        <w:tc>
          <w:tcPr>
            <w:tcW w:w="3519" w:type="dxa"/>
            <w:vAlign w:val="center"/>
          </w:tcPr>
          <w:p>
            <w:pPr>
              <w:spacing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建筑工程施工总承包三级或建筑装修装饰工程专业承包二级及以上资质（须在有效期内），具备安全生产条件，并取得安全生产许可证</w:t>
            </w:r>
          </w:p>
        </w:tc>
        <w:tc>
          <w:tcPr>
            <w:tcW w:w="3519" w:type="dxa"/>
            <w:vAlign w:val="center"/>
          </w:tcPr>
          <w:p>
            <w:pPr>
              <w:spacing w:line="4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sz w:val="21"/>
                <w:szCs w:val="21"/>
                <w:highlight w:val="none"/>
                <w:lang w:val="en-US" w:eastAsia="zh-CN"/>
              </w:rPr>
              <w:t>提供企业资质证书及安全生产许可证</w:t>
            </w:r>
          </w:p>
        </w:tc>
      </w:tr>
    </w:tbl>
    <w:p>
      <w:pPr>
        <w:pStyle w:val="157"/>
        <w:spacing w:line="360" w:lineRule="auto"/>
        <w:ind w:firstLine="433"/>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参选人资格性不合格的，其</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文件判定为无效</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文件。合格的，评委对其</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w:t>
      </w:r>
    </w:p>
    <w:p>
      <w:pPr>
        <w:pStyle w:val="157"/>
        <w:spacing w:line="360" w:lineRule="auto"/>
        <w:ind w:left="0" w:leftChars="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件继续评审。</w:t>
      </w:r>
    </w:p>
    <w:p>
      <w:pPr>
        <w:widowControl/>
        <w:ind w:firstLine="391" w:firstLineChars="177"/>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 xml:space="preserve"> </w:t>
      </w:r>
    </w:p>
    <w:p>
      <w:pPr>
        <w:spacing w:line="360" w:lineRule="auto"/>
        <w:ind w:firstLine="442" w:firstLineChars="200"/>
        <w:jc w:val="left"/>
        <w:rPr>
          <w:rFonts w:hint="eastAsia" w:ascii="宋体" w:hAnsi="宋体" w:eastAsia="宋体" w:cs="宋体"/>
          <w:b/>
          <w:color w:val="auto"/>
          <w:sz w:val="22"/>
          <w:szCs w:val="22"/>
          <w:highlight w:val="none"/>
          <w:lang w:val="zh-CN"/>
        </w:rPr>
      </w:pPr>
    </w:p>
    <w:p>
      <w:pPr>
        <w:spacing w:line="360" w:lineRule="auto"/>
        <w:ind w:firstLine="442"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rPr>
        <w:t>二</w:t>
      </w:r>
      <w:r>
        <w:rPr>
          <w:rFonts w:hint="eastAsia" w:ascii="宋体" w:hAnsi="宋体" w:eastAsia="宋体" w:cs="宋体"/>
          <w:b/>
          <w:color w:val="auto"/>
          <w:sz w:val="22"/>
          <w:szCs w:val="22"/>
          <w:highlight w:val="none"/>
          <w:lang w:val="zh-CN"/>
        </w:rPr>
        <w:t>)评审因素和标准（总分100分）</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150"/>
        <w:gridCol w:w="5839"/>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30" w:type="pct"/>
            <w:gridSpan w:val="2"/>
            <w:vAlign w:val="center"/>
          </w:tcPr>
          <w:p>
            <w:pPr>
              <w:spacing w:line="360" w:lineRule="auto"/>
              <w:jc w:val="center"/>
              <w:rPr>
                <w:rFonts w:hint="eastAsia" w:ascii="宋体" w:hAnsi="宋体" w:eastAsia="宋体" w:cs="宋体"/>
                <w:color w:val="auto"/>
                <w:highlight w:val="none"/>
              </w:rPr>
            </w:pPr>
            <w:bookmarkStart w:id="80" w:name="_bookmark59"/>
            <w:bookmarkEnd w:id="80"/>
            <w:bookmarkStart w:id="81" w:name="1_评标方法"/>
            <w:bookmarkEnd w:id="81"/>
            <w:r>
              <w:rPr>
                <w:rFonts w:hint="eastAsia" w:ascii="宋体" w:hAnsi="宋体" w:eastAsia="宋体" w:cs="宋体"/>
                <w:color w:val="auto"/>
                <w:highlight w:val="none"/>
              </w:rPr>
              <w:t>分值构成</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(总分100分)</w:t>
            </w:r>
          </w:p>
        </w:tc>
        <w:tc>
          <w:tcPr>
            <w:tcW w:w="3769" w:type="pct"/>
            <w:gridSpan w:val="2"/>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商务：</w:t>
            </w:r>
            <w:r>
              <w:rPr>
                <w:rFonts w:hint="eastAsia" w:ascii="宋体" w:hAnsi="宋体" w:eastAsia="宋体" w:cs="宋体"/>
                <w:color w:val="auto"/>
                <w:highlight w:val="none"/>
                <w:u w:val="single"/>
                <w:lang w:val="en-US" w:eastAsia="zh-CN"/>
              </w:rPr>
              <w:t>4</w:t>
            </w:r>
            <w:r>
              <w:rPr>
                <w:rFonts w:hint="eastAsia" w:ascii="宋体" w:hAnsi="宋体" w:eastAsia="宋体" w:cs="宋体"/>
                <w:color w:val="auto"/>
                <w:highlight w:val="none"/>
              </w:rPr>
              <w:t>分；技术：</w:t>
            </w:r>
            <w:r>
              <w:rPr>
                <w:rFonts w:hint="eastAsia" w:ascii="宋体" w:hAnsi="宋体" w:eastAsia="宋体" w:cs="宋体"/>
                <w:color w:val="auto"/>
                <w:highlight w:val="none"/>
                <w:u w:val="single" w:color="000000"/>
                <w:lang w:val="en-US" w:eastAsia="zh-CN"/>
              </w:rPr>
              <w:t>26</w:t>
            </w:r>
            <w:r>
              <w:rPr>
                <w:rFonts w:hint="eastAsia" w:ascii="宋体" w:hAnsi="宋体" w:eastAsia="宋体" w:cs="宋体"/>
                <w:color w:val="auto"/>
                <w:highlight w:val="none"/>
              </w:rPr>
              <w:t>分；报价：</w:t>
            </w:r>
            <w:r>
              <w:rPr>
                <w:rFonts w:hint="eastAsia" w:ascii="宋体" w:hAnsi="宋体" w:eastAsia="宋体" w:cs="宋体"/>
                <w:color w:val="auto"/>
                <w:highlight w:val="none"/>
                <w:u w:val="single" w:color="000000"/>
                <w:lang w:val="en-US" w:eastAsia="zh-CN"/>
              </w:rPr>
              <w:t>70</w:t>
            </w:r>
            <w:r>
              <w:rPr>
                <w:rFonts w:hint="eastAsia" w:ascii="宋体" w:hAnsi="宋体" w:eastAsia="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55" w:type="pc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b/>
                <w:color w:val="auto"/>
                <w:highlight w:val="none"/>
              </w:rPr>
              <w:t>条款号</w:t>
            </w:r>
          </w:p>
        </w:tc>
        <w:tc>
          <w:tcPr>
            <w:tcW w:w="674" w:type="pc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b/>
                <w:color w:val="auto"/>
                <w:highlight w:val="none"/>
              </w:rPr>
              <w:t>评分因素</w:t>
            </w:r>
          </w:p>
        </w:tc>
        <w:tc>
          <w:tcPr>
            <w:tcW w:w="3426" w:type="pc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b/>
                <w:color w:val="auto"/>
                <w:highlight w:val="none"/>
              </w:rPr>
              <w:t>评分标准</w:t>
            </w:r>
          </w:p>
        </w:tc>
        <w:tc>
          <w:tcPr>
            <w:tcW w:w="343" w:type="pc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55" w:type="pc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商务部分</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p>
        </w:tc>
        <w:tc>
          <w:tcPr>
            <w:tcW w:w="674" w:type="pc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企业业绩</w:t>
            </w:r>
          </w:p>
        </w:tc>
        <w:tc>
          <w:tcPr>
            <w:tcW w:w="3426" w:type="pct"/>
            <w:vAlign w:val="center"/>
          </w:tcPr>
          <w:p>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参选人自20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年1月1日至本项目参选截止之日内每完成过一项合同</w:t>
            </w:r>
            <w:r>
              <w:rPr>
                <w:rFonts w:hint="eastAsia" w:ascii="宋体" w:hAnsi="宋体" w:eastAsia="宋体" w:cs="宋体"/>
                <w:color w:val="auto"/>
                <w:szCs w:val="22"/>
                <w:highlight w:val="none"/>
                <w:lang w:val="en-US" w:eastAsia="zh-CN"/>
              </w:rPr>
              <w:t>金额12万元及以上的房建项目</w:t>
            </w:r>
            <w:r>
              <w:rPr>
                <w:rFonts w:hint="eastAsia" w:ascii="宋体" w:hAnsi="宋体" w:eastAsia="宋体" w:cs="宋体"/>
                <w:color w:val="auto"/>
                <w:highlight w:val="none"/>
                <w:lang w:val="en-US" w:eastAsia="zh-CN"/>
              </w:rPr>
              <w:t>业绩</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p>
          <w:p>
            <w:pPr>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业绩认定须提供资料详见本评标办法备注。</w:t>
            </w:r>
          </w:p>
        </w:tc>
        <w:tc>
          <w:tcPr>
            <w:tcW w:w="343" w:type="pct"/>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55" w:type="pct"/>
            <w:vMerge w:val="restart"/>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26</w:t>
            </w:r>
            <w:r>
              <w:rPr>
                <w:rFonts w:hint="eastAsia" w:ascii="宋体" w:hAnsi="宋体" w:eastAsia="宋体" w:cs="宋体"/>
                <w:color w:val="auto"/>
                <w:highlight w:val="none"/>
              </w:rPr>
              <w:t>分）</w:t>
            </w:r>
          </w:p>
        </w:tc>
        <w:tc>
          <w:tcPr>
            <w:tcW w:w="674" w:type="pct"/>
            <w:vMerge w:val="restart"/>
            <w:vAlign w:val="center"/>
          </w:tcPr>
          <w:p>
            <w:pPr>
              <w:spacing w:line="360" w:lineRule="auto"/>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施工部分</w:t>
            </w:r>
          </w:p>
        </w:tc>
        <w:tc>
          <w:tcPr>
            <w:tcW w:w="5839" w:type="dxa"/>
            <w:vAlign w:val="center"/>
          </w:tcPr>
          <w:p>
            <w:pPr>
              <w:pStyle w:val="41"/>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rPr>
              <w:t>施工组织总体设想及施工部署，方案针对性详细具体、科学管理、组织严谨、能很好地满足本项目要求。若无，得0分，若有，在【10，7】区间内酌情打分</w:t>
            </w:r>
          </w:p>
        </w:tc>
        <w:tc>
          <w:tcPr>
            <w:tcW w:w="585" w:type="dxa"/>
            <w:vAlign w:val="center"/>
          </w:tcPr>
          <w:p>
            <w:pPr>
              <w:pStyle w:val="41"/>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55" w:type="pct"/>
            <w:vMerge w:val="continue"/>
            <w:vAlign w:val="center"/>
          </w:tcPr>
          <w:p>
            <w:pPr>
              <w:spacing w:line="360" w:lineRule="auto"/>
              <w:jc w:val="center"/>
              <w:rPr>
                <w:rFonts w:hint="eastAsia" w:ascii="宋体" w:hAnsi="宋体" w:eastAsia="宋体" w:cs="宋体"/>
                <w:color w:val="auto"/>
                <w:highlight w:val="none"/>
              </w:rPr>
            </w:pPr>
          </w:p>
        </w:tc>
        <w:tc>
          <w:tcPr>
            <w:tcW w:w="674" w:type="pct"/>
            <w:vMerge w:val="continue"/>
            <w:vAlign w:val="center"/>
          </w:tcPr>
          <w:p>
            <w:pPr>
              <w:spacing w:line="360" w:lineRule="auto"/>
              <w:rPr>
                <w:rFonts w:hint="eastAsia" w:ascii="宋体" w:hAnsi="宋体" w:eastAsia="宋体" w:cs="宋体"/>
                <w:color w:val="auto"/>
                <w:kern w:val="0"/>
                <w:highlight w:val="none"/>
              </w:rPr>
            </w:pPr>
          </w:p>
        </w:tc>
        <w:tc>
          <w:tcPr>
            <w:tcW w:w="5839" w:type="dxa"/>
            <w:vAlign w:val="center"/>
          </w:tcPr>
          <w:p>
            <w:pPr>
              <w:pStyle w:val="41"/>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rPr>
              <w:t>施工进度计划和各阶段进度的保证措施，进度计划科学合理、详细具体、节点能很好的满足投标工期要求。若无，得0分，若有，在【10,7】区间内酌情打分</w:t>
            </w:r>
          </w:p>
        </w:tc>
        <w:tc>
          <w:tcPr>
            <w:tcW w:w="585" w:type="dxa"/>
            <w:vAlign w:val="center"/>
          </w:tcPr>
          <w:p>
            <w:pPr>
              <w:pStyle w:val="41"/>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5" w:type="pct"/>
            <w:vMerge w:val="continue"/>
            <w:vAlign w:val="center"/>
          </w:tcPr>
          <w:p>
            <w:pPr>
              <w:spacing w:line="360" w:lineRule="auto"/>
              <w:jc w:val="center"/>
              <w:rPr>
                <w:rFonts w:hint="eastAsia" w:ascii="宋体" w:hAnsi="宋体" w:eastAsia="宋体" w:cs="宋体"/>
                <w:color w:val="auto"/>
                <w:highlight w:val="none"/>
              </w:rPr>
            </w:pPr>
          </w:p>
        </w:tc>
        <w:tc>
          <w:tcPr>
            <w:tcW w:w="674" w:type="pct"/>
            <w:vMerge w:val="continue"/>
            <w:vAlign w:val="center"/>
          </w:tcPr>
          <w:p>
            <w:pPr>
              <w:spacing w:line="360" w:lineRule="auto"/>
              <w:rPr>
                <w:rFonts w:hint="eastAsia" w:ascii="宋体" w:hAnsi="宋体" w:eastAsia="宋体" w:cs="宋体"/>
                <w:color w:val="auto"/>
                <w:kern w:val="0"/>
                <w:highlight w:val="none"/>
              </w:rPr>
            </w:pPr>
          </w:p>
        </w:tc>
        <w:tc>
          <w:tcPr>
            <w:tcW w:w="5839" w:type="dxa"/>
            <w:vAlign w:val="center"/>
          </w:tcPr>
          <w:p>
            <w:pPr>
              <w:pStyle w:val="41"/>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rPr>
              <w:t>安全文明施工管理措施及方案，详细具体、科学合理、措施可靠、全面可行、针对性强。若无，得0分，若有，在【6,4.2】区间内酌情打分</w:t>
            </w:r>
          </w:p>
        </w:tc>
        <w:tc>
          <w:tcPr>
            <w:tcW w:w="585" w:type="dxa"/>
            <w:vAlign w:val="center"/>
          </w:tcPr>
          <w:p>
            <w:pPr>
              <w:pStyle w:val="41"/>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vMerge w:val="restar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报价部分</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70</w:t>
            </w:r>
            <w:r>
              <w:rPr>
                <w:rFonts w:hint="eastAsia" w:ascii="宋体" w:hAnsi="宋体" w:eastAsia="宋体" w:cs="宋体"/>
                <w:color w:val="auto"/>
                <w:highlight w:val="none"/>
              </w:rPr>
              <w:t>分）</w:t>
            </w:r>
          </w:p>
        </w:tc>
        <w:tc>
          <w:tcPr>
            <w:tcW w:w="674" w:type="pc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评标基准价计算方法</w:t>
            </w:r>
          </w:p>
        </w:tc>
        <w:tc>
          <w:tcPr>
            <w:tcW w:w="3769" w:type="pct"/>
            <w:gridSpan w:val="2"/>
            <w:vAlign w:val="center"/>
          </w:tcPr>
          <w:p>
            <w:pPr>
              <w:keepNext/>
              <w:keepLines/>
              <w:spacing w:line="360" w:lineRule="auto"/>
              <w:outlineLvl w:val="1"/>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bidi="ar"/>
              </w:rPr>
              <w:t>计算评标基准价</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 w:val="21"/>
                <w:szCs w:val="21"/>
                <w:highlight w:val="none"/>
                <w:lang w:bidi="ar"/>
              </w:rPr>
              <w:t>以有效投标文件的有效评标价算术平均值为</w:t>
            </w:r>
            <w:r>
              <w:rPr>
                <w:rFonts w:hint="eastAsia" w:ascii="宋体" w:hAnsi="宋体" w:eastAsia="宋体" w:cs="宋体"/>
                <w:color w:val="auto"/>
                <w:kern w:val="0"/>
                <w:szCs w:val="21"/>
                <w:highlight w:val="none"/>
                <w:lang w:bidi="ar"/>
              </w:rPr>
              <w:t>A</w:t>
            </w:r>
            <w:r>
              <w:rPr>
                <w:rFonts w:hint="eastAsia" w:ascii="宋体" w:hAnsi="宋体" w:eastAsia="宋体" w:cs="宋体"/>
                <w:color w:val="auto"/>
                <w:kern w:val="0"/>
                <w:sz w:val="21"/>
                <w:szCs w:val="21"/>
                <w:highlight w:val="none"/>
                <w:lang w:bidi="ar"/>
              </w:rPr>
              <w:t>，评标基准价</w:t>
            </w:r>
            <w:r>
              <w:rPr>
                <w:rFonts w:hint="eastAsia" w:ascii="宋体" w:hAnsi="宋体" w:eastAsia="宋体" w:cs="宋体"/>
                <w:color w:val="auto"/>
                <w:kern w:val="0"/>
                <w:szCs w:val="21"/>
                <w:highlight w:val="none"/>
                <w:lang w:bidi="ar"/>
              </w:rPr>
              <w:t>=A</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 w:val="21"/>
                <w:szCs w:val="21"/>
                <w:highlight w:val="none"/>
                <w:lang w:bidi="ar"/>
              </w:rPr>
              <w:t>计算算术平均值</w:t>
            </w:r>
            <w:r>
              <w:rPr>
                <w:rFonts w:hint="eastAsia" w:ascii="宋体" w:hAnsi="宋体" w:eastAsia="宋体" w:cs="宋体"/>
                <w:color w:val="auto"/>
                <w:kern w:val="0"/>
                <w:szCs w:val="21"/>
                <w:highlight w:val="none"/>
                <w:lang w:bidi="ar"/>
              </w:rPr>
              <w:t>A</w:t>
            </w:r>
            <w:r>
              <w:rPr>
                <w:rFonts w:hint="eastAsia" w:ascii="宋体" w:hAnsi="宋体" w:eastAsia="宋体" w:cs="宋体"/>
                <w:color w:val="auto"/>
                <w:kern w:val="0"/>
                <w:sz w:val="21"/>
                <w:szCs w:val="21"/>
                <w:highlight w:val="none"/>
                <w:lang w:bidi="ar"/>
              </w:rPr>
              <w:t>时，所有有效评标价数量＜</w:t>
            </w:r>
            <w:r>
              <w:rPr>
                <w:rFonts w:hint="eastAsia" w:ascii="宋体" w:hAnsi="宋体" w:eastAsia="宋体" w:cs="宋体"/>
                <w:color w:val="auto"/>
                <w:kern w:val="0"/>
                <w:szCs w:val="21"/>
                <w:highlight w:val="none"/>
                <w:lang w:bidi="ar"/>
              </w:rPr>
              <w:t>5</w:t>
            </w:r>
            <w:r>
              <w:rPr>
                <w:rFonts w:hint="eastAsia" w:ascii="宋体" w:hAnsi="宋体" w:eastAsia="宋体" w:cs="宋体"/>
                <w:color w:val="auto"/>
                <w:kern w:val="0"/>
                <w:sz w:val="21"/>
                <w:szCs w:val="21"/>
                <w:highlight w:val="none"/>
                <w:lang w:bidi="ar"/>
              </w:rPr>
              <w:t>家时，取所有有效评标价的算术平均值；若</w:t>
            </w:r>
            <w:r>
              <w:rPr>
                <w:rFonts w:hint="eastAsia" w:ascii="宋体" w:hAnsi="宋体" w:eastAsia="宋体" w:cs="宋体"/>
                <w:color w:val="auto"/>
                <w:kern w:val="0"/>
                <w:szCs w:val="21"/>
                <w:highlight w:val="none"/>
                <w:lang w:bidi="ar"/>
              </w:rPr>
              <w:t>5</w:t>
            </w:r>
            <w:r>
              <w:rPr>
                <w:rFonts w:hint="eastAsia" w:ascii="宋体" w:hAnsi="宋体" w:eastAsia="宋体" w:cs="宋体"/>
                <w:color w:val="auto"/>
                <w:kern w:val="0"/>
                <w:sz w:val="21"/>
                <w:szCs w:val="21"/>
                <w:highlight w:val="none"/>
                <w:lang w:bidi="ar"/>
              </w:rPr>
              <w:t>家</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 w:val="21"/>
                <w:szCs w:val="21"/>
                <w:highlight w:val="none"/>
                <w:lang w:bidi="ar"/>
              </w:rPr>
              <w:t>所有有效评标价数量</w:t>
            </w:r>
            <w:r>
              <w:rPr>
                <w:rFonts w:hint="eastAsia" w:ascii="宋体" w:hAnsi="宋体" w:eastAsia="宋体" w:cs="宋体"/>
                <w:color w:val="auto"/>
                <w:kern w:val="0"/>
                <w:szCs w:val="21"/>
                <w:highlight w:val="none"/>
                <w:lang w:bidi="ar"/>
              </w:rPr>
              <w:t>≤9</w:t>
            </w:r>
            <w:r>
              <w:rPr>
                <w:rFonts w:hint="eastAsia" w:ascii="宋体" w:hAnsi="宋体" w:eastAsia="宋体" w:cs="宋体"/>
                <w:color w:val="auto"/>
                <w:kern w:val="0"/>
                <w:sz w:val="21"/>
                <w:szCs w:val="21"/>
                <w:highlight w:val="none"/>
                <w:lang w:bidi="ar"/>
              </w:rPr>
              <w:t>家时，去掉其中的</w:t>
            </w: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 w:val="21"/>
                <w:szCs w:val="21"/>
                <w:highlight w:val="none"/>
                <w:lang w:bidi="ar"/>
              </w:rPr>
              <w:t>个最高价和</w:t>
            </w: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 w:val="21"/>
                <w:szCs w:val="21"/>
                <w:highlight w:val="none"/>
                <w:lang w:bidi="ar"/>
              </w:rPr>
              <w:t>个最低价后取算术平均值；若所有有效评标价数量</w:t>
            </w: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家时，去掉</w:t>
            </w: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 w:val="21"/>
                <w:szCs w:val="21"/>
                <w:highlight w:val="none"/>
                <w:lang w:bidi="ar"/>
              </w:rPr>
              <w:t>个最高和</w:t>
            </w: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 w:val="21"/>
                <w:szCs w:val="21"/>
                <w:highlight w:val="none"/>
                <w:lang w:bidi="ar"/>
              </w:rPr>
              <w:t>个最低的报价后取算术平均值。</w:t>
            </w:r>
            <w:r>
              <w:rPr>
                <w:rFonts w:hint="eastAsia" w:ascii="宋体" w:hAnsi="宋体" w:eastAsia="宋体" w:cs="宋体"/>
                <w:color w:val="auto"/>
                <w:kern w:val="0"/>
                <w:szCs w:val="21"/>
                <w:highlight w:val="none"/>
                <w:lang w:bidi="ar"/>
              </w:rPr>
              <w:t xml:space="preserve"> </w:t>
            </w:r>
          </w:p>
          <w:p>
            <w:pPr>
              <w:keepNext/>
              <w:keepLines/>
              <w:spacing w:line="360" w:lineRule="auto"/>
              <w:outlineLvl w:val="1"/>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Cs w:val="21"/>
                <w:highlight w:val="none"/>
                <w:u w:val="single"/>
              </w:rPr>
              <w:t>除</w:t>
            </w:r>
            <w:r>
              <w:rPr>
                <w:rFonts w:hint="eastAsia" w:ascii="宋体" w:hAnsi="宋体" w:eastAsia="宋体" w:cs="宋体"/>
                <w:b/>
                <w:bCs/>
                <w:color w:val="auto"/>
                <w:kern w:val="0"/>
                <w:szCs w:val="21"/>
                <w:highlight w:val="none"/>
              </w:rPr>
              <w:t>确认存在计算错误外，评标基准价不因比选参选当事人质疑、投诉、复议以及其它任何情形而改变。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vMerge w:val="continue"/>
            <w:vAlign w:val="center"/>
          </w:tcPr>
          <w:p>
            <w:pPr>
              <w:spacing w:line="360" w:lineRule="auto"/>
              <w:jc w:val="center"/>
              <w:rPr>
                <w:rFonts w:hint="eastAsia" w:ascii="宋体" w:hAnsi="宋体" w:eastAsia="宋体" w:cs="宋体"/>
                <w:color w:val="auto"/>
                <w:highlight w:val="none"/>
              </w:rPr>
            </w:pPr>
          </w:p>
        </w:tc>
        <w:tc>
          <w:tcPr>
            <w:tcW w:w="674" w:type="pct"/>
            <w:vAlign w:val="center"/>
          </w:tcPr>
          <w:p>
            <w:pPr>
              <w:spacing w:line="360" w:lineRule="auto"/>
              <w:jc w:val="center"/>
              <w:rPr>
                <w:rFonts w:hint="eastAsia" w:ascii="宋体" w:hAnsi="宋体" w:eastAsia="宋体" w:cs="宋体"/>
                <w:color w:val="auto"/>
                <w:kern w:val="0"/>
                <w:highlight w:val="none"/>
                <w:lang w:bidi="ar"/>
              </w:rPr>
            </w:pPr>
            <w:r>
              <w:rPr>
                <w:rFonts w:hint="eastAsia" w:ascii="宋体" w:hAnsi="宋体" w:eastAsia="宋体" w:cs="宋体"/>
                <w:color w:val="auto"/>
                <w:szCs w:val="21"/>
                <w:highlight w:val="none"/>
              </w:rPr>
              <w:t>偏差率计算公式</w:t>
            </w:r>
          </w:p>
        </w:tc>
        <w:tc>
          <w:tcPr>
            <w:tcW w:w="3769" w:type="pct"/>
            <w:gridSpan w:val="2"/>
            <w:vAlign w:val="center"/>
          </w:tcPr>
          <w:p>
            <w:pPr>
              <w:spacing w:line="360" w:lineRule="auto"/>
              <w:rPr>
                <w:rFonts w:hint="eastAsia" w:ascii="宋体" w:hAnsi="宋体" w:eastAsia="宋体" w:cs="宋体"/>
                <w:color w:val="auto"/>
                <w:kern w:val="0"/>
                <w:highlight w:val="none"/>
                <w:lang w:bidi="ar"/>
              </w:rPr>
            </w:pPr>
            <w:r>
              <w:rPr>
                <w:rFonts w:hint="eastAsia" w:ascii="宋体" w:hAnsi="宋体" w:eastAsia="宋体" w:cs="宋体"/>
                <w:color w:val="auto"/>
                <w:szCs w:val="21"/>
                <w:highlight w:val="none"/>
              </w:rPr>
              <w:t>偏差率=100%×（参选人报价－评标基准价）/评标基准价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55" w:type="pct"/>
            <w:vMerge w:val="continue"/>
            <w:vAlign w:val="center"/>
          </w:tcPr>
          <w:p>
            <w:pPr>
              <w:spacing w:line="360" w:lineRule="auto"/>
              <w:jc w:val="center"/>
              <w:rPr>
                <w:rFonts w:hint="eastAsia" w:ascii="宋体" w:hAnsi="宋体" w:eastAsia="宋体" w:cs="宋体"/>
                <w:color w:val="auto"/>
                <w:highlight w:val="none"/>
              </w:rPr>
            </w:pPr>
          </w:p>
        </w:tc>
        <w:tc>
          <w:tcPr>
            <w:tcW w:w="4444" w:type="pct"/>
            <w:gridSpan w:val="3"/>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报价得分计算公式示例：</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（1）如果参选人的报价＞评标基准价，则报价得分=</w:t>
            </w:r>
            <w:r>
              <w:rPr>
                <w:rFonts w:hint="eastAsia" w:ascii="宋体" w:hAnsi="宋体" w:eastAsia="宋体" w:cs="宋体"/>
                <w:color w:val="auto"/>
                <w:szCs w:val="21"/>
                <w:highlight w:val="none"/>
                <w:lang w:val="en-US" w:eastAsia="zh-CN"/>
              </w:rPr>
              <w:t>70</w:t>
            </w:r>
            <w:r>
              <w:rPr>
                <w:rFonts w:hint="eastAsia" w:ascii="宋体" w:hAnsi="宋体" w:eastAsia="宋体" w:cs="宋体"/>
                <w:color w:val="auto"/>
                <w:szCs w:val="21"/>
                <w:highlight w:val="none"/>
              </w:rPr>
              <w:t>-偏差率×100×E1；</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（2）如果参选人的报价≤评标基准价，则报价得分=</w:t>
            </w:r>
            <w:r>
              <w:rPr>
                <w:rFonts w:hint="eastAsia" w:ascii="宋体" w:hAnsi="宋体" w:eastAsia="宋体" w:cs="宋体"/>
                <w:color w:val="auto"/>
                <w:szCs w:val="21"/>
                <w:highlight w:val="none"/>
                <w:lang w:val="en-US" w:eastAsia="zh-CN"/>
              </w:rPr>
              <w:t>70</w:t>
            </w:r>
            <w:r>
              <w:rPr>
                <w:rFonts w:hint="eastAsia" w:ascii="宋体" w:hAnsi="宋体" w:eastAsia="宋体" w:cs="宋体"/>
                <w:color w:val="auto"/>
                <w:szCs w:val="21"/>
                <w:highlight w:val="none"/>
              </w:rPr>
              <w:t>+偏差率×100×E2；</w:t>
            </w:r>
          </w:p>
          <w:p>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其中：E1是评标价每高于评标基准价一个百分点的扣分值；E2是评标价每低于评标基准价一个百分点的扣分值。E1=0.9，E2=0.6，扣完为止。报价得分四舍五入后保留两位小数。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55" w:type="pc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4444" w:type="pct"/>
            <w:gridSpan w:val="3"/>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1.业绩认定</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1.1企业业绩须提供以下材料:合同</w:t>
            </w:r>
            <w:r>
              <w:rPr>
                <w:rFonts w:hint="eastAsia" w:ascii="宋体" w:hAnsi="宋体" w:eastAsia="宋体" w:cs="宋体"/>
                <w:color w:val="auto"/>
                <w:highlight w:val="none"/>
                <w:lang w:val="en-US" w:eastAsia="zh-CN"/>
              </w:rPr>
              <w:t>复印件加盖公章</w:t>
            </w:r>
            <w:r>
              <w:rPr>
                <w:rFonts w:hint="eastAsia" w:ascii="宋体" w:hAnsi="宋体" w:eastAsia="宋体" w:cs="宋体"/>
                <w:color w:val="auto"/>
                <w:highlight w:val="none"/>
              </w:rPr>
              <w:t>；</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1.2业绩完成时间以</w:t>
            </w:r>
            <w:r>
              <w:rPr>
                <w:rFonts w:hint="eastAsia" w:ascii="宋体" w:hAnsi="宋体" w:eastAsia="宋体" w:cs="宋体"/>
                <w:color w:val="auto"/>
                <w:highlight w:val="none"/>
                <w:lang w:val="en-US" w:eastAsia="zh-CN"/>
              </w:rPr>
              <w:t>合同</w:t>
            </w:r>
            <w:r>
              <w:rPr>
                <w:rFonts w:hint="eastAsia" w:ascii="宋体" w:hAnsi="宋体" w:eastAsia="宋体" w:cs="宋体"/>
                <w:color w:val="auto"/>
                <w:highlight w:val="none"/>
              </w:rPr>
              <w:t>中描述的完成时间为准；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1.3同一业绩不重复计分。</w:t>
            </w:r>
          </w:p>
          <w:p>
            <w:pPr>
              <w:spacing w:line="360" w:lineRule="auto"/>
              <w:ind w:firstLine="39" w:firstLineChars="19"/>
              <w:rPr>
                <w:rFonts w:hint="eastAsia" w:ascii="宋体" w:hAnsi="宋体" w:eastAsia="宋体" w:cs="宋体"/>
                <w:color w:val="auto"/>
                <w:highlight w:val="none"/>
                <w:lang w:eastAsia="zh-CN"/>
              </w:rPr>
            </w:pPr>
            <w:r>
              <w:rPr>
                <w:rFonts w:hint="eastAsia" w:ascii="宋体" w:hAnsi="宋体" w:eastAsia="宋体" w:cs="宋体"/>
                <w:color w:val="auto"/>
                <w:highlight w:val="none"/>
              </w:rPr>
              <w:t>1.4参选人提供业绩为联合体业绩的，参选人须为该业绩牵头方。</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技术部分打分：</w:t>
            </w:r>
          </w:p>
          <w:p>
            <w:pPr>
              <w:spacing w:line="360" w:lineRule="auto"/>
              <w:ind w:firstLine="39" w:firstLineChars="19"/>
              <w:rPr>
                <w:rFonts w:hint="eastAsia" w:ascii="宋体" w:hAnsi="宋体" w:eastAsia="宋体" w:cs="宋体"/>
                <w:color w:val="auto"/>
                <w:highlight w:val="none"/>
              </w:rPr>
            </w:pPr>
            <w:r>
              <w:rPr>
                <w:rFonts w:hint="eastAsia" w:ascii="宋体" w:hAnsi="宋体" w:eastAsia="宋体" w:cs="宋体"/>
                <w:color w:val="auto"/>
                <w:highlight w:val="none"/>
              </w:rPr>
              <w:t>1.评标委员会需根据</w:t>
            </w:r>
            <w:r>
              <w:rPr>
                <w:rFonts w:hint="eastAsia" w:ascii="宋体" w:hAnsi="宋体" w:eastAsia="宋体" w:cs="宋体"/>
                <w:color w:val="auto"/>
                <w:highlight w:val="none"/>
                <w:lang w:val="en-US" w:eastAsia="zh-CN"/>
              </w:rPr>
              <w:t>参选文件</w:t>
            </w:r>
            <w:r>
              <w:rPr>
                <w:rFonts w:hint="eastAsia" w:ascii="宋体" w:hAnsi="宋体" w:eastAsia="宋体" w:cs="宋体"/>
                <w:color w:val="auto"/>
                <w:highlight w:val="none"/>
              </w:rPr>
              <w:t>阐述情况在规定分值内打分。</w:t>
            </w:r>
          </w:p>
          <w:p>
            <w:pPr>
              <w:spacing w:line="360" w:lineRule="auto"/>
              <w:ind w:firstLine="39" w:firstLineChars="19"/>
              <w:rPr>
                <w:rFonts w:hint="eastAsia" w:ascii="宋体" w:hAnsi="宋体" w:eastAsia="宋体" w:cs="宋体"/>
                <w:color w:val="auto"/>
                <w:highlight w:val="none"/>
              </w:rPr>
            </w:pPr>
            <w:r>
              <w:rPr>
                <w:rFonts w:hint="eastAsia" w:ascii="宋体" w:hAnsi="宋体" w:eastAsia="宋体" w:cs="宋体"/>
                <w:color w:val="auto"/>
                <w:highlight w:val="none"/>
              </w:rPr>
              <w:t>2.各参选人技术部分各评分点得分为所有评委评分的平均值，平均值计算“四舍五入”</w:t>
            </w:r>
            <w:r>
              <w:rPr>
                <w:rFonts w:hint="eastAsia" w:ascii="宋体" w:hAnsi="宋体" w:eastAsia="宋体" w:cs="宋体"/>
                <w:color w:val="auto"/>
                <w:highlight w:val="none"/>
                <w:lang w:val="en-US" w:eastAsia="zh-CN"/>
              </w:rPr>
              <w:t>后</w:t>
            </w:r>
            <w:r>
              <w:rPr>
                <w:rFonts w:hint="eastAsia" w:ascii="宋体" w:hAnsi="宋体" w:eastAsia="宋体" w:cs="宋体"/>
                <w:color w:val="auto"/>
                <w:highlight w:val="none"/>
              </w:rPr>
              <w:t>保留小数点后两位。</w:t>
            </w:r>
          </w:p>
          <w:p>
            <w:pPr>
              <w:spacing w:line="360" w:lineRule="auto"/>
              <w:ind w:firstLine="40" w:firstLineChars="19"/>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u w:val="single"/>
                <w:lang w:val="en-US" w:eastAsia="zh-CN"/>
              </w:rPr>
              <w:t>报价部分打分：报价部分打分统一按照含税价进行评审，包含计算评标基准价及偏差率的计算统一按照各单位的含税价来计算。</w:t>
            </w:r>
          </w:p>
        </w:tc>
      </w:tr>
    </w:tbl>
    <w:p>
      <w:pPr>
        <w:spacing w:line="360" w:lineRule="auto"/>
        <w:ind w:firstLine="57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八、成交人的确定</w:t>
      </w:r>
    </w:p>
    <w:p>
      <w:pPr>
        <w:spacing w:line="360" w:lineRule="auto"/>
        <w:ind w:firstLine="57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评委对</w:t>
      </w:r>
      <w:r>
        <w:rPr>
          <w:rFonts w:hint="eastAsia" w:ascii="宋体" w:hAnsi="宋体" w:eastAsia="宋体" w:cs="宋体"/>
          <w:bCs/>
          <w:color w:val="auto"/>
          <w:szCs w:val="21"/>
          <w:highlight w:val="none"/>
          <w:lang w:val="en-US" w:eastAsia="zh-CN"/>
        </w:rPr>
        <w:t>参选</w:t>
      </w:r>
      <w:r>
        <w:rPr>
          <w:rFonts w:hint="eastAsia" w:ascii="宋体" w:hAnsi="宋体" w:eastAsia="宋体" w:cs="宋体"/>
          <w:bCs/>
          <w:color w:val="auto"/>
          <w:szCs w:val="21"/>
          <w:highlight w:val="none"/>
          <w:lang w:eastAsia="zh-CN"/>
        </w:rPr>
        <w:t>人</w:t>
      </w:r>
      <w:r>
        <w:rPr>
          <w:rFonts w:hint="eastAsia" w:ascii="宋体" w:hAnsi="宋体" w:eastAsia="宋体" w:cs="宋体"/>
          <w:bCs/>
          <w:color w:val="auto"/>
          <w:szCs w:val="21"/>
          <w:highlight w:val="none"/>
        </w:rPr>
        <w:t>报价表和分项报价表进行审核，应审核</w:t>
      </w:r>
      <w:r>
        <w:rPr>
          <w:rFonts w:hint="eastAsia" w:ascii="宋体" w:hAnsi="宋体" w:eastAsia="宋体" w:cs="宋体"/>
          <w:bCs/>
          <w:color w:val="auto"/>
          <w:szCs w:val="21"/>
          <w:highlight w:val="none"/>
          <w:lang w:val="en-US" w:eastAsia="zh-CN"/>
        </w:rPr>
        <w:t>参选</w:t>
      </w:r>
      <w:r>
        <w:rPr>
          <w:rFonts w:hint="eastAsia" w:ascii="宋体" w:hAnsi="宋体" w:eastAsia="宋体" w:cs="宋体"/>
          <w:bCs/>
          <w:color w:val="auto"/>
          <w:szCs w:val="21"/>
          <w:highlight w:val="none"/>
        </w:rPr>
        <w:t>人</w:t>
      </w:r>
      <w:r>
        <w:rPr>
          <w:rFonts w:hint="eastAsia" w:ascii="宋体" w:hAnsi="宋体" w:eastAsia="宋体" w:cs="宋体"/>
          <w:bCs/>
          <w:color w:val="auto"/>
          <w:szCs w:val="21"/>
          <w:highlight w:val="none"/>
          <w:lang w:val="en-US" w:eastAsia="zh-CN"/>
        </w:rPr>
        <w:t>参选</w:t>
      </w:r>
      <w:r>
        <w:rPr>
          <w:rFonts w:hint="eastAsia" w:ascii="宋体" w:hAnsi="宋体" w:eastAsia="宋体" w:cs="宋体"/>
          <w:bCs/>
          <w:color w:val="auto"/>
          <w:szCs w:val="21"/>
          <w:highlight w:val="none"/>
        </w:rPr>
        <w:t>报价是否前后一致、大小写金额是否一致、总价金额与单价汇总金额是否一致。对过高过低报价的并作为</w:t>
      </w: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的，应重点审核分项报价表有否重大重复报价或漏项报价等情况，一经发现，现场请</w:t>
      </w: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予以澄清，明显过错或不能澄清的，经超半数以上评委认定，有权取消</w:t>
      </w:r>
      <w:r>
        <w:rPr>
          <w:rFonts w:hint="eastAsia" w:ascii="宋体" w:hAnsi="宋体" w:eastAsia="宋体" w:cs="宋体"/>
          <w:bCs/>
          <w:color w:val="auto"/>
          <w:szCs w:val="21"/>
          <w:highlight w:val="none"/>
          <w:lang w:val="en-US" w:eastAsia="zh-CN"/>
        </w:rPr>
        <w:t>成交人</w:t>
      </w:r>
      <w:r>
        <w:rPr>
          <w:rFonts w:hint="eastAsia" w:ascii="宋体" w:hAnsi="宋体" w:eastAsia="宋体" w:cs="宋体"/>
          <w:bCs/>
          <w:color w:val="auto"/>
          <w:szCs w:val="21"/>
          <w:highlight w:val="none"/>
        </w:rPr>
        <w:t>中标资格，以此类推确定</w:t>
      </w: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w:t>
      </w:r>
    </w:p>
    <w:p>
      <w:pPr>
        <w:spacing w:line="360" w:lineRule="auto"/>
        <w:ind w:firstLine="57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会认为参选人的报价明显低于其他通过符合性审查参选人的报价，有可能影响产品质量或者不能诚信履约的，应当要求其在合理的时间内提供书面说明，必要时提交相关证明材料；参选人不能证明其报价合理性的，评委会应当将其作为无效</w:t>
      </w:r>
      <w:r>
        <w:rPr>
          <w:rFonts w:hint="eastAsia" w:ascii="宋体" w:hAnsi="宋体" w:eastAsia="宋体" w:cs="宋体"/>
          <w:bCs/>
          <w:color w:val="auto"/>
          <w:szCs w:val="21"/>
          <w:highlight w:val="none"/>
          <w:lang w:val="en-US" w:eastAsia="zh-CN"/>
        </w:rPr>
        <w:t>参选文件</w:t>
      </w:r>
      <w:r>
        <w:rPr>
          <w:rFonts w:hint="eastAsia" w:ascii="宋体" w:hAnsi="宋体" w:eastAsia="宋体" w:cs="宋体"/>
          <w:bCs/>
          <w:color w:val="auto"/>
          <w:szCs w:val="21"/>
          <w:highlight w:val="none"/>
        </w:rPr>
        <w:t>处理。</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评委会汇总各评委评分后，推荐得分最高的参选人为</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。如出现相同最高分，按</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报价低的推荐为</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；如得分且</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报价相同的，由评委会抽签决定</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w:t>
      </w:r>
    </w:p>
    <w:p>
      <w:pPr>
        <w:spacing w:line="360" w:lineRule="auto"/>
        <w:ind w:firstLine="57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比选人代表宣布评审结果。成交人须提供五份纸质版</w:t>
      </w:r>
      <w:r>
        <w:rPr>
          <w:rFonts w:hint="eastAsia" w:ascii="宋体" w:hAnsi="宋体" w:eastAsia="宋体" w:cs="宋体"/>
          <w:b/>
          <w:color w:val="auto"/>
          <w:szCs w:val="21"/>
          <w:highlight w:val="none"/>
          <w:lang w:val="en-US" w:eastAsia="zh-CN"/>
        </w:rPr>
        <w:t>参选</w:t>
      </w:r>
      <w:r>
        <w:rPr>
          <w:rFonts w:hint="eastAsia" w:ascii="宋体" w:hAnsi="宋体" w:eastAsia="宋体" w:cs="宋体"/>
          <w:b/>
          <w:color w:val="auto"/>
          <w:szCs w:val="21"/>
          <w:highlight w:val="none"/>
        </w:rPr>
        <w:t>文件至比选人，否则不予发放</w:t>
      </w:r>
      <w:r>
        <w:rPr>
          <w:rFonts w:hint="eastAsia" w:ascii="宋体" w:hAnsi="宋体" w:eastAsia="宋体" w:cs="宋体"/>
          <w:b/>
          <w:color w:val="auto"/>
          <w:szCs w:val="21"/>
          <w:highlight w:val="none"/>
          <w:lang w:val="en-US" w:eastAsia="zh-CN"/>
        </w:rPr>
        <w:t>成交</w:t>
      </w:r>
      <w:r>
        <w:rPr>
          <w:rFonts w:hint="eastAsia" w:ascii="宋体" w:hAnsi="宋体" w:eastAsia="宋体" w:cs="宋体"/>
          <w:b/>
          <w:color w:val="auto"/>
          <w:szCs w:val="21"/>
          <w:highlight w:val="none"/>
        </w:rPr>
        <w:t>通知书。</w:t>
      </w:r>
    </w:p>
    <w:p>
      <w:pPr>
        <w:spacing w:line="360" w:lineRule="auto"/>
        <w:ind w:firstLine="417" w:firstLineChars="19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九、注意事项</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1、在投标、开标时间，参选人不得向评委询问情况，不得进行旨在影响评审结果的活动。</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2、评委会不得向参选人解释落标原因。</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3、在投标、评审过程中，如果参选人联合故意抬高报价或出现其他不正当行为，比选人有权中止投标或评审。</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凡在投标、开标过程中，比选人已提示是否异议的事项，参选人当时没有提出异议的，事后参选人不得针对上述事项提出质疑。比如：比选人在开标中提示评委是否回避，参选人现场未提出异议的，事后不得针对评委回避事项提出质疑。</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十、合同授予</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1、成交候选人公示</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比选人在收到评审报告之日起3日内，在南通轨道交通官网上公示成交候选人，公示期不得少于3天。</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2、评审结果异议</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参选人或者其他利害关系人对评审结果有异议的，应当在</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候选人公示期间提出。比选人将在收到异议之日起 3 日内作出答复；作出答复前，将暂停</w:t>
      </w:r>
      <w:r>
        <w:rPr>
          <w:rFonts w:hint="eastAsia" w:ascii="宋体" w:hAnsi="宋体" w:eastAsia="宋体" w:cs="宋体"/>
          <w:color w:val="auto"/>
          <w:szCs w:val="21"/>
          <w:highlight w:val="none"/>
          <w:lang w:val="en-US" w:eastAsia="zh-CN"/>
        </w:rPr>
        <w:t>比选参选</w:t>
      </w:r>
      <w:r>
        <w:rPr>
          <w:rFonts w:hint="eastAsia" w:ascii="宋体" w:hAnsi="宋体" w:eastAsia="宋体" w:cs="宋体"/>
          <w:color w:val="auto"/>
          <w:szCs w:val="21"/>
          <w:highlight w:val="none"/>
        </w:rPr>
        <w:t>活动。</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3、成交通知书</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在本项目的</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有效期内，比选人以书面形式向成交人发出成交通知书，同时将成交结果通知未</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的参选人。</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4、履约保证金（本项目无）</w:t>
      </w:r>
    </w:p>
    <w:p>
      <w:pPr>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5、签订合同</w:t>
      </w:r>
    </w:p>
    <w:p>
      <w:pPr>
        <w:spacing w:line="36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比选人和成交人应当自中</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通知书发出之日起30天内，根据</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文件和成交人的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文件订立书面合同。成交人无正当理由拒签合同的，比选人取消其</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资格；给比选人造成的损失的，成交人还应当予以赔偿。</w:t>
      </w:r>
    </w:p>
    <w:bookmarkEnd w:id="77"/>
    <w:p>
      <w:pPr>
        <w:rPr>
          <w:rFonts w:hint="eastAsia" w:ascii="宋体" w:hAnsi="宋体" w:eastAsia="宋体" w:cs="宋体"/>
          <w:color w:val="auto"/>
          <w:sz w:val="44"/>
          <w:highlight w:val="none"/>
        </w:rPr>
      </w:pPr>
      <w:bookmarkStart w:id="82" w:name="_Toc12974"/>
      <w:bookmarkStart w:id="83" w:name="_Toc342573656"/>
      <w:bookmarkStart w:id="84" w:name="_Toc342573639"/>
      <w:bookmarkStart w:id="85" w:name="_Toc342573798"/>
      <w:r>
        <w:rPr>
          <w:rFonts w:hint="eastAsia" w:ascii="宋体" w:hAnsi="宋体" w:eastAsia="宋体" w:cs="宋体"/>
          <w:color w:val="auto"/>
          <w:sz w:val="44"/>
          <w:highlight w:val="none"/>
        </w:rPr>
        <w:br w:type="page"/>
      </w:r>
    </w:p>
    <w:p>
      <w:pPr>
        <w:pStyle w:val="3"/>
        <w:spacing w:line="360" w:lineRule="auto"/>
        <w:rPr>
          <w:rFonts w:hint="eastAsia" w:ascii="宋体" w:hAnsi="宋体" w:eastAsia="宋体" w:cs="宋体"/>
          <w:color w:val="auto"/>
          <w:sz w:val="44"/>
          <w:highlight w:val="none"/>
        </w:rPr>
      </w:pPr>
      <w:r>
        <w:rPr>
          <w:rFonts w:hint="eastAsia" w:ascii="宋体" w:hAnsi="宋体" w:eastAsia="宋体" w:cs="宋体"/>
          <w:color w:val="auto"/>
          <w:sz w:val="44"/>
          <w:highlight w:val="none"/>
        </w:rPr>
        <w:t xml:space="preserve">第四章 </w:t>
      </w:r>
      <w:bookmarkEnd w:id="82"/>
      <w:bookmarkEnd w:id="83"/>
      <w:bookmarkEnd w:id="84"/>
      <w:bookmarkEnd w:id="85"/>
      <w:r>
        <w:rPr>
          <w:rFonts w:hint="eastAsia" w:ascii="宋体" w:hAnsi="宋体" w:eastAsia="宋体" w:cs="宋体"/>
          <w:color w:val="auto"/>
          <w:sz w:val="44"/>
          <w:highlight w:val="none"/>
        </w:rPr>
        <w:t>项目需求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val="0"/>
          <w:bCs w:val="0"/>
          <w:sz w:val="21"/>
          <w:szCs w:val="21"/>
          <w:highlight w:val="none"/>
          <w:lang w:val="en-US" w:eastAsia="zh-CN"/>
        </w:rPr>
      </w:pPr>
      <w:bookmarkStart w:id="86" w:name="_Toc14650"/>
      <w:r>
        <w:rPr>
          <w:rFonts w:hint="eastAsia" w:ascii="宋体" w:hAnsi="宋体" w:eastAsia="宋体" w:cs="宋体"/>
          <w:b/>
          <w:bCs/>
          <w:sz w:val="21"/>
          <w:szCs w:val="21"/>
          <w:highlight w:val="none"/>
        </w:rPr>
        <w:t>一、</w:t>
      </w:r>
      <w:r>
        <w:rPr>
          <w:rFonts w:hint="eastAsia" w:ascii="宋体" w:hAnsi="宋体" w:eastAsia="宋体" w:cs="宋体"/>
          <w:b/>
          <w:bCs/>
          <w:sz w:val="21"/>
          <w:szCs w:val="21"/>
          <w:highlight w:val="none"/>
          <w:lang w:val="en-US" w:eastAsia="zh-CN"/>
        </w:rPr>
        <w:t>项目概况：</w:t>
      </w:r>
      <w:r>
        <w:rPr>
          <w:rFonts w:hint="eastAsia" w:ascii="宋体" w:hAnsi="宋体" w:eastAsia="宋体" w:cs="宋体"/>
          <w:b w:val="0"/>
          <w:bCs w:val="0"/>
          <w:sz w:val="21"/>
          <w:szCs w:val="21"/>
          <w:highlight w:val="none"/>
          <w:lang w:val="en-US" w:eastAsia="zh-CN"/>
        </w:rPr>
        <w:t>南通轨道交通集团有限公司运营分公司危废品暂存间改造项目1号线危废品暂存间改造项目。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1、本工程为南通市轨道交通1号线工程平东车辆段一个分项:危废品暂存间。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2、危废品暂存间主要为废弃物的仓库用房主要堆放废润滑油、废蓄电池、废旧棉纱、隔油池污泥及其他废弃物，建筑面积为18.1m2。建筑高度为 5.1m( 建筑物室外地面至其女儿墙顶高度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3、危废品暂存间为一层钢筋混凝土框架结构:横向跨度为2.9m,纵向跨度为6</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24m</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4、设计使用年限:50年;建筑结构安全等级:二级;工程抗震设防类别:丙类。工程抗震设防烈度:7度。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5、建筑耐火等级:一级:柱的耐火极限:3 小时。梁的耐火极限;2小时，屋面板的耐火极限:15 小时，墙(房间隔墙)承重构件的耐火极限:0.5 小时。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6、生产的火灾危险性类别:甲类仓库。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7、屋面防水等级:</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级。</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二、采购标的需执行的国家相关标准、行业标准、地方标准或者其他标准、规范；</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按国家现行相关法律法规和行业标准执行。</w:t>
      </w:r>
    </w:p>
    <w:p>
      <w:pPr>
        <w:keepNext w:val="0"/>
        <w:keepLines w:val="0"/>
        <w:pageBreakBefore w:val="0"/>
        <w:tabs>
          <w:tab w:val="left" w:pos="5505"/>
        </w:tabs>
        <w:kinsoku/>
        <w:wordWrap/>
        <w:overflowPunct/>
        <w:topLinePunct w:val="0"/>
        <w:autoSpaceDE/>
        <w:autoSpaceDN/>
        <w:bidi w:val="0"/>
        <w:spacing w:line="360" w:lineRule="auto"/>
        <w:ind w:left="46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（一）、本工程采用的计价规范</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1、《建设工程工程量清单计价规范》GB50500-2013；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2、《江苏省建筑与装饰工程计价表》（2014）；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3、</w:t>
      </w:r>
      <w:r>
        <w:rPr>
          <w:rFonts w:hint="eastAsia" w:ascii="宋体" w:hAnsi="宋体" w:eastAsia="宋体" w:cs="宋体"/>
          <w:sz w:val="21"/>
          <w:szCs w:val="21"/>
          <w:highlight w:val="none"/>
          <w:u w:val="single"/>
        </w:rPr>
        <w:t xml:space="preserve">《江苏省建筑与装饰工程计价表》（2014）；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4、</w:t>
      </w:r>
      <w:r>
        <w:rPr>
          <w:rFonts w:hint="eastAsia" w:ascii="宋体" w:hAnsi="宋体" w:eastAsia="宋体" w:cs="宋体"/>
          <w:sz w:val="21"/>
          <w:szCs w:val="21"/>
          <w:highlight w:val="none"/>
          <w:u w:val="single"/>
        </w:rPr>
        <w:t xml:space="preserve">《江苏省安装工程计价表》（2014）；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5、</w:t>
      </w:r>
      <w:r>
        <w:rPr>
          <w:rFonts w:hint="eastAsia" w:ascii="宋体" w:hAnsi="宋体" w:eastAsia="宋体" w:cs="宋体"/>
          <w:sz w:val="21"/>
          <w:szCs w:val="21"/>
          <w:highlight w:val="none"/>
          <w:u w:val="single"/>
        </w:rPr>
        <w:t xml:space="preserve">《江苏省房屋修缮工程计价表》（2009）；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6、</w:t>
      </w:r>
      <w:r>
        <w:rPr>
          <w:rFonts w:hint="eastAsia" w:ascii="宋体" w:hAnsi="宋体" w:eastAsia="宋体" w:cs="宋体"/>
          <w:sz w:val="21"/>
          <w:szCs w:val="21"/>
          <w:highlight w:val="none"/>
          <w:u w:val="single"/>
        </w:rPr>
        <w:t xml:space="preserve">江苏省、南通市现行的计价文件。               </w:t>
      </w:r>
    </w:p>
    <w:p>
      <w:pPr>
        <w:keepNext w:val="0"/>
        <w:keepLines w:val="0"/>
        <w:pageBreakBefore w:val="0"/>
        <w:tabs>
          <w:tab w:val="left" w:pos="5505"/>
        </w:tabs>
        <w:kinsoku/>
        <w:wordWrap/>
        <w:overflowPunct/>
        <w:topLinePunct w:val="0"/>
        <w:autoSpaceDE/>
        <w:autoSpaceDN/>
        <w:bidi w:val="0"/>
        <w:spacing w:line="360" w:lineRule="auto"/>
        <w:ind w:left="46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（二）、本工程采用的技术规范</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u w:val="single"/>
        </w:rPr>
        <w:t>本工程应按以下规范与标准执行（包括并不限于）。当标准互相矛盾时，以最新和最严格的为准。</w:t>
      </w:r>
      <w:r>
        <w:rPr>
          <w:rFonts w:hint="eastAsia" w:ascii="宋体" w:hAnsi="宋体" w:eastAsia="宋体" w:cs="宋体"/>
          <w:b/>
          <w:bCs/>
          <w:sz w:val="21"/>
          <w:szCs w:val="21"/>
          <w:highlight w:val="none"/>
        </w:rPr>
        <w:tab/>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1、《建筑装饰装修工程质量验收规范》（GB50210-2018） </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2、《建筑工程施工质量验收统一标准》（GB50300-2001） </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3、《建筑内部装修设计防火规范》（GB50222-2017）       </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4、《建筑设计防火规范》（GB50016-2014（2018版）</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5、《城市道路和建筑物无障碍设计规范》GB50763-2012</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6、《建筑照明设计标准》GB50034-2013</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7、《建筑地面设计规范》GB50037-2014</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8、《民用建筑隔声设计规范》GB50118-2010</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9、《公共建筑节能设计标准》GB50189-2015  </w:t>
      </w:r>
    </w:p>
    <w:p>
      <w:pPr>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10、《民用建筑工程室内环境污染控制规范》GB50325-2010(2013版)                  </w:t>
      </w:r>
    </w:p>
    <w:p>
      <w:pPr>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11、其它应执行的相关工程施工、检测、验收的相关规范。</w:t>
      </w:r>
    </w:p>
    <w:p>
      <w:pPr>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pPr>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rPr>
        <w:t>（三）、本工程对施工工艺的特殊要求</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1、施工期间要注意周边环境，尽量避免对周围居民生活的影响。</w:t>
      </w:r>
    </w:p>
    <w:p>
      <w:pPr>
        <w:pageBreakBefore w:val="0"/>
        <w:kinsoku/>
        <w:wordWrap/>
        <w:overflowPunct/>
        <w:topLinePunct w:val="0"/>
        <w:autoSpaceDE/>
        <w:autoSpaceDN/>
        <w:bidi w:val="0"/>
        <w:spacing w:line="360" w:lineRule="auto"/>
        <w:ind w:firstLine="51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2、冬、雨季施工要采取相应的保护措施。</w:t>
      </w:r>
    </w:p>
    <w:p>
      <w:pPr>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（四）、</w:t>
      </w:r>
      <w:r>
        <w:rPr>
          <w:rFonts w:hint="eastAsia" w:ascii="宋体" w:hAnsi="宋体" w:eastAsia="宋体" w:cs="宋体"/>
          <w:b/>
          <w:bCs/>
          <w:sz w:val="21"/>
          <w:szCs w:val="21"/>
          <w:highlight w:val="none"/>
          <w:lang w:val="en-US" w:eastAsia="zh-CN"/>
        </w:rPr>
        <w:t>招</w:t>
      </w:r>
      <w:r>
        <w:rPr>
          <w:rFonts w:hint="eastAsia" w:ascii="宋体" w:hAnsi="宋体" w:eastAsia="宋体" w:cs="宋体"/>
          <w:b/>
          <w:bCs/>
          <w:kern w:val="2"/>
          <w:sz w:val="21"/>
          <w:szCs w:val="21"/>
          <w:highlight w:val="none"/>
        </w:rPr>
        <w:t>标清单及图纸详见附件</w:t>
      </w:r>
    </w:p>
    <w:p>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三、采购标的的其他技术、服务等要求；</w:t>
      </w:r>
    </w:p>
    <w:p>
      <w:pPr>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（一）投标报价</w:t>
      </w:r>
    </w:p>
    <w:p>
      <w:pPr>
        <w:pStyle w:val="4"/>
        <w:pageBreakBefore w:val="0"/>
        <w:kinsoku/>
        <w:wordWrap/>
        <w:overflowPunct/>
        <w:topLinePunct w:val="0"/>
        <w:autoSpaceDE/>
        <w:autoSpaceDN/>
        <w:bidi w:val="0"/>
        <w:spacing w:line="360" w:lineRule="auto"/>
        <w:ind w:firstLine="632" w:firstLineChars="300"/>
        <w:textAlignment w:val="auto"/>
        <w:rPr>
          <w:rStyle w:val="163"/>
          <w:rFonts w:hint="eastAsia" w:ascii="宋体" w:hAnsi="宋体" w:eastAsia="宋体" w:cs="宋体"/>
          <w:b/>
          <w:bCs/>
          <w:color w:val="auto"/>
          <w:sz w:val="21"/>
          <w:szCs w:val="21"/>
          <w:highlight w:val="none"/>
        </w:rPr>
      </w:pPr>
      <w:r>
        <w:rPr>
          <w:rStyle w:val="163"/>
          <w:rFonts w:hint="eastAsia" w:ascii="宋体" w:hAnsi="宋体" w:eastAsia="宋体" w:cs="宋体"/>
          <w:b/>
          <w:bCs/>
          <w:color w:val="auto"/>
          <w:sz w:val="21"/>
          <w:szCs w:val="21"/>
          <w:highlight w:val="none"/>
        </w:rPr>
        <w:t>1、投标报价编制依据</w:t>
      </w:r>
    </w:p>
    <w:p>
      <w:pPr>
        <w:pStyle w:val="15"/>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（1）建设单位提供的施工图纸及编标疑问的回复。</w:t>
      </w:r>
    </w:p>
    <w:p>
      <w:pPr>
        <w:pStyle w:val="15"/>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（2）工程量清单计量依据《建设工程工程量清单计价规范》（GB50500-2013）。</w:t>
      </w:r>
    </w:p>
    <w:p>
      <w:pPr>
        <w:pStyle w:val="15"/>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（3）依据《江苏省建设工程费用定额》（2014）；《江苏省建筑与装饰工程计价表》2014版；《江苏省安装工程计价定额》2014版；《江苏省房屋修缮工程计价表》2009版及配套的费用定额。</w:t>
      </w:r>
    </w:p>
    <w:p>
      <w:pPr>
        <w:pStyle w:val="15"/>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（4）材料价格参照《南通建设工程造价信息》（202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）年第</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期，信息价缺项部分市场询价。</w:t>
      </w:r>
    </w:p>
    <w:p>
      <w:pPr>
        <w:pStyle w:val="15"/>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（5）人工工资单价参照苏建函价</w:t>
      </w:r>
      <w:r>
        <w:rPr>
          <w:rFonts w:hint="eastAsia" w:ascii="宋体" w:hAnsi="宋体" w:eastAsia="宋体" w:cs="宋体"/>
          <w:sz w:val="21"/>
          <w:szCs w:val="21"/>
          <w:highlight w:val="none"/>
          <w:lang w:eastAsia="zh-CN"/>
        </w:rPr>
        <w:t>〔2023〕63</w:t>
      </w:r>
      <w:r>
        <w:rPr>
          <w:rFonts w:hint="eastAsia" w:ascii="宋体" w:hAnsi="宋体" w:eastAsia="宋体" w:cs="宋体"/>
          <w:sz w:val="21"/>
          <w:szCs w:val="21"/>
          <w:highlight w:val="none"/>
        </w:rPr>
        <w:t>号文。</w:t>
      </w:r>
    </w:p>
    <w:p>
      <w:pPr>
        <w:pStyle w:val="15"/>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（6）本工程执行苏建价〔2016〕154号文，采用一般计税法计价；增值税调整办法参照苏建函价〔2019〕178号。</w:t>
      </w:r>
    </w:p>
    <w:p>
      <w:pPr>
        <w:pStyle w:val="15"/>
        <w:pageBreakBefore w:val="0"/>
        <w:kinsoku/>
        <w:wordWrap/>
        <w:overflowPunct/>
        <w:topLinePunct w:val="0"/>
        <w:autoSpaceDE/>
        <w:autoSpaceDN/>
        <w:bidi w:val="0"/>
        <w:snapToGrid w:val="0"/>
        <w:spacing w:line="360" w:lineRule="auto"/>
        <w:textAlignment w:val="auto"/>
        <w:rPr>
          <w:rStyle w:val="163"/>
          <w:rFonts w:hint="eastAsia" w:ascii="宋体" w:hAnsi="宋体" w:eastAsia="宋体" w:cs="宋体"/>
          <w:color w:val="auto"/>
          <w:sz w:val="21"/>
          <w:szCs w:val="21"/>
          <w:highlight w:val="none"/>
        </w:rPr>
      </w:pPr>
      <w:r>
        <w:rPr>
          <w:rFonts w:hint="eastAsia" w:ascii="宋体" w:hAnsi="宋体" w:eastAsia="宋体" w:cs="宋体"/>
          <w:sz w:val="21"/>
          <w:szCs w:val="21"/>
          <w:highlight w:val="none"/>
        </w:rPr>
        <w:t xml:space="preserve">    （7）现行的国家和江苏省有关建筑工程设计、施工、以及验收规范和规定。</w:t>
      </w:r>
    </w:p>
    <w:p>
      <w:pPr>
        <w:pStyle w:val="164"/>
        <w:pageBreakBefore w:val="0"/>
        <w:widowControl w:val="0"/>
        <w:kinsoku/>
        <w:wordWrap/>
        <w:overflowPunct/>
        <w:topLinePunct w:val="0"/>
        <w:autoSpaceDE/>
        <w:autoSpaceDN/>
        <w:bidi w:val="0"/>
        <w:spacing w:line="360" w:lineRule="auto"/>
        <w:ind w:firstLine="422" w:firstLineChars="200"/>
        <w:textAlignment w:val="auto"/>
        <w:rPr>
          <w:rStyle w:val="163"/>
          <w:rFonts w:hint="eastAsia" w:ascii="宋体" w:hAnsi="宋体" w:eastAsia="宋体" w:cs="宋体"/>
          <w:color w:val="auto"/>
          <w:sz w:val="21"/>
          <w:szCs w:val="21"/>
          <w:highlight w:val="none"/>
        </w:rPr>
      </w:pPr>
      <w:r>
        <w:rPr>
          <w:rStyle w:val="163"/>
          <w:rFonts w:hint="eastAsia" w:ascii="宋体" w:hAnsi="宋体" w:eastAsia="宋体" w:cs="宋体"/>
          <w:color w:val="auto"/>
          <w:sz w:val="21"/>
          <w:szCs w:val="21"/>
          <w:highlight w:val="none"/>
        </w:rPr>
        <w:t>（8）有关费用取定：（%）</w:t>
      </w:r>
    </w:p>
    <w:p>
      <w:pPr>
        <w:pStyle w:val="164"/>
        <w:pageBreakBefore w:val="0"/>
        <w:widowControl w:val="0"/>
        <w:kinsoku/>
        <w:wordWrap/>
        <w:overflowPunct/>
        <w:topLinePunct w:val="0"/>
        <w:autoSpaceDE/>
        <w:autoSpaceDN/>
        <w:bidi w:val="0"/>
        <w:spacing w:line="360" w:lineRule="auto"/>
        <w:ind w:firstLine="422" w:firstLineChars="200"/>
        <w:textAlignment w:val="auto"/>
        <w:rPr>
          <w:rStyle w:val="163"/>
          <w:rFonts w:hint="eastAsia" w:ascii="宋体" w:hAnsi="宋体" w:eastAsia="宋体" w:cs="宋体"/>
          <w:color w:val="auto"/>
          <w:sz w:val="21"/>
          <w:szCs w:val="21"/>
          <w:highlight w:val="none"/>
        </w:rPr>
      </w:pPr>
    </w:p>
    <w:tbl>
      <w:tblPr>
        <w:tblStyle w:val="44"/>
        <w:tblpPr w:leftFromText="180" w:rightFromText="180" w:vertAnchor="text" w:horzAnchor="page" w:tblpXSpec="center" w:tblpY="14"/>
        <w:tblOverlap w:val="never"/>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76"/>
        <w:gridCol w:w="2115"/>
        <w:gridCol w:w="1285"/>
        <w:gridCol w:w="1304"/>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7" w:hRule="atLeast"/>
          <w:jc w:val="center"/>
        </w:trPr>
        <w:tc>
          <w:tcPr>
            <w:tcW w:w="1384"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项目名称</w:t>
            </w:r>
          </w:p>
        </w:tc>
        <w:tc>
          <w:tcPr>
            <w:tcW w:w="1776"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安全文明施工基本费</w:t>
            </w:r>
          </w:p>
        </w:tc>
        <w:tc>
          <w:tcPr>
            <w:tcW w:w="2115"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扬尘污染防治增加费</w:t>
            </w:r>
          </w:p>
        </w:tc>
        <w:tc>
          <w:tcPr>
            <w:tcW w:w="1285"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社会保险费</w:t>
            </w:r>
          </w:p>
        </w:tc>
        <w:tc>
          <w:tcPr>
            <w:tcW w:w="1304"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住房公积金</w:t>
            </w:r>
          </w:p>
        </w:tc>
        <w:tc>
          <w:tcPr>
            <w:tcW w:w="659"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土建</w:t>
            </w:r>
            <w:r>
              <w:rPr>
                <w:rFonts w:hint="eastAsia" w:ascii="宋体" w:hAnsi="宋体" w:eastAsia="宋体" w:cs="宋体"/>
                <w:kern w:val="0"/>
                <w:sz w:val="21"/>
                <w:szCs w:val="21"/>
                <w:highlight w:val="none"/>
              </w:rPr>
              <w:t>工程</w:t>
            </w:r>
          </w:p>
        </w:tc>
        <w:tc>
          <w:tcPr>
            <w:tcW w:w="1776"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w:t>
            </w:r>
          </w:p>
        </w:tc>
        <w:tc>
          <w:tcPr>
            <w:tcW w:w="2115"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31</w:t>
            </w:r>
          </w:p>
        </w:tc>
        <w:tc>
          <w:tcPr>
            <w:tcW w:w="1285"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3.2</w:t>
            </w:r>
          </w:p>
        </w:tc>
        <w:tc>
          <w:tcPr>
            <w:tcW w:w="1304"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53</w:t>
            </w:r>
          </w:p>
        </w:tc>
        <w:tc>
          <w:tcPr>
            <w:tcW w:w="659"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安装工程</w:t>
            </w:r>
          </w:p>
        </w:tc>
        <w:tc>
          <w:tcPr>
            <w:tcW w:w="1776"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2115"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0.21</w:t>
            </w:r>
          </w:p>
        </w:tc>
        <w:tc>
          <w:tcPr>
            <w:tcW w:w="1285"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w:t>
            </w:r>
          </w:p>
        </w:tc>
        <w:tc>
          <w:tcPr>
            <w:tcW w:w="1304"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0.42</w:t>
            </w:r>
          </w:p>
        </w:tc>
        <w:tc>
          <w:tcPr>
            <w:tcW w:w="659"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r>
    </w:tbl>
    <w:p>
      <w:pPr>
        <w:pStyle w:val="4"/>
        <w:pageBreakBefore w:val="0"/>
        <w:widowControl w:val="0"/>
        <w:kinsoku/>
        <w:wordWrap/>
        <w:overflowPunct/>
        <w:topLinePunct w:val="0"/>
        <w:autoSpaceDE/>
        <w:autoSpaceDN/>
        <w:bidi w:val="0"/>
        <w:adjustRightInd/>
        <w:snapToGrid/>
        <w:spacing w:line="360" w:lineRule="auto"/>
        <w:textAlignment w:val="auto"/>
        <w:rPr>
          <w:rStyle w:val="163"/>
          <w:rFonts w:hint="eastAsia" w:ascii="宋体" w:hAnsi="宋体" w:eastAsia="宋体" w:cs="宋体"/>
          <w:b/>
          <w:bCs/>
          <w:color w:val="auto"/>
          <w:sz w:val="21"/>
          <w:szCs w:val="21"/>
          <w:highlight w:val="none"/>
        </w:rPr>
      </w:pPr>
      <w:r>
        <w:rPr>
          <w:rStyle w:val="163"/>
          <w:rFonts w:hint="eastAsia" w:ascii="宋体" w:hAnsi="宋体" w:eastAsia="宋体" w:cs="宋体"/>
          <w:b/>
          <w:bCs/>
          <w:color w:val="auto"/>
          <w:sz w:val="21"/>
          <w:szCs w:val="21"/>
          <w:highlight w:val="none"/>
        </w:rPr>
        <w:t>注：施工图未注明施工方法的项目，按照经验及相应规范做法自行组价，列入综合单价内；工程量清单中项目描述未尽事宜结合施工图纸及施工验收规范要求组价。</w:t>
      </w:r>
    </w:p>
    <w:p>
      <w:pPr>
        <w:pStyle w:val="4"/>
        <w:pageBreakBefore w:val="0"/>
        <w:widowControl w:val="0"/>
        <w:numPr>
          <w:ilvl w:val="0"/>
          <w:numId w:val="1"/>
        </w:numPr>
        <w:kinsoku/>
        <w:wordWrap/>
        <w:overflowPunct/>
        <w:topLinePunct w:val="0"/>
        <w:autoSpaceDE/>
        <w:autoSpaceDN/>
        <w:bidi w:val="0"/>
        <w:adjustRightInd/>
        <w:snapToGrid/>
        <w:spacing w:line="360" w:lineRule="auto"/>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投标报价编制要求</w:t>
      </w:r>
    </w:p>
    <w:p>
      <w:pPr>
        <w:pStyle w:val="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2.1投标报价应包括招标文件所确定招标范围内相应图纸及工程量清单的全部内容，以及为按招标文件所确定的工期、质量、安全要求，完成上述内容所必须的附属工程，临时工程，机械设备，材料，劳务，技术措施，施工方法，冬雨季施工措施费，夜间施工增加费，工程定位，复测，点交，场地清理费用，有关材料和构件场内外二次搬运费，垃圾的清理外运所有费（含渣土证费用），现场安全文明施工措施费，赶工措施费，安全生产，文明施工，成品保护，防盗，设计图纸未完善之处的完善、深化，若现场实际施工过程中，招标人、监理单位、政府相关部门等发现施工图纸有与现行规范有出入或不详之处，中标人在征得招标人和建筑设计单位同意后应无条件更改到位，并承担所发生的所有费用，工期也不可顺延。</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2.2投标报价方式：</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2.2.1施工费报价要求</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（1）建设工程施工采用固定单价报价方式，施工费最高限价为人民币</w:t>
      </w:r>
      <w:r>
        <w:rPr>
          <w:rStyle w:val="163"/>
          <w:rFonts w:hint="eastAsia" w:ascii="宋体" w:hAnsi="宋体" w:eastAsia="宋体" w:cs="宋体"/>
          <w:b w:val="0"/>
          <w:bCs w:val="0"/>
          <w:color w:val="auto"/>
          <w:sz w:val="21"/>
          <w:szCs w:val="21"/>
          <w:highlight w:val="none"/>
          <w:lang w:eastAsia="zh-CN"/>
        </w:rPr>
        <w:t>129137.55</w:t>
      </w:r>
      <w:r>
        <w:rPr>
          <w:rStyle w:val="163"/>
          <w:rFonts w:hint="eastAsia" w:ascii="宋体" w:hAnsi="宋体" w:eastAsia="宋体" w:cs="宋体"/>
          <w:b w:val="0"/>
          <w:bCs w:val="0"/>
          <w:color w:val="auto"/>
          <w:sz w:val="21"/>
          <w:szCs w:val="21"/>
          <w:highlight w:val="none"/>
        </w:rPr>
        <w:t>元，报价若违反此规定则按无效标处理。投标人应根据招标单位提供的现有资料，确定工程项目投标报价，投标报价包含本工程施工图图纸范围内的所有工作内容，结算时一律不作调整。</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（2）投标人的投标报价应当与组成工程清单的分部分项工程费、措施项目费、其它项目费和规费、税金的合计金额一致，即不得采用总价让利或以总价百分比让利等办法进行投标报价。</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（3）分部分项工程量清单必须按《计价规范》附录中统一的项目编码、项目名称、项目特征、计量单位、工程量和工程量计算规则进行编制。</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（4）投标文件格式必须表式齐全，不能缺少主要材料价格表等附表，否则评委会可视为该投标函未按招标文件要求提供必要内容，属内容不全。</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（5）总价金额与依据单价计算出的结果不一致的，以单价金额为准修正总价，但单价金额小数点有明显错误、四舍五入原因的除外。</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（6）工程量清单中投标人没有填入单价或价格的子目，其费用视为已分摊在工程量清单中其他子目的单价或价格之中。</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7）本工程采用固定单价报价的方式，报价中包含施工图纸中的所有工程内容及与本工程相关的所有费用，以及为完成上述内容所必须的附属工程、临时工程、材料、劳务、机械、成品保护、脚手架搭设使用、与各工种间的协调配合工作、验收、安全措施、技术措施，作为一名有经验的投标人所应考虑到的各种因素、风险及所需的全部费用。其中应包括材料、设备、存贮、运输、劳务、安装、调试、测试、检测、成品保护、缺陷修补、维护、售后服务、管理、利润、规费、措施费、税金、技术措施、施工方法、甲供材料的下车力资、设备档案、工程档案、合同履行过程中可能发生的风险及所需的全部费用。</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8）投标报价的计价方法：参考《建设工程工程量清单计价规范》（GB50500-2013）；《江苏省建设工程费用定额》（2014）；《江苏省建筑与装饰工程计价表》2014版；《江苏省安装工程计价定额》2014版；《江苏省房屋修缮工程计价表》2009版，配套使用建筑与装饰工程计价定额 (以下简称江苏省计价定额)、费用计算规则和项目指引等，由投标人(承包人)自主报价确定工程造价的计价方式。</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9）投标报价应根据施工图纸和有关要求、施工现场实际情况，依据企业定额和市场价格信息，实行自主报价（已列入不可竞争的项目除外）。投标人所报设备价、材料价如低于同期的省、市的造价信息或低于同期的市场价格信息，视为对招标人的优惠。投标文件中所报设备、材料其规格、尺寸、等级不得低于清单的要求。中标人应根据清单确定的标准、等级、规格组织施工。本工程所选用材料必须符合相关规范及消防部门的要求。</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10）为确保工程按合同工期如期完工的所有赶工费、按质论价费、二次搬运费、特殊条件下施工增加费、冬雨季施工增加费、夜间施工增加费、临时设施费、地上地下设施建筑物的临时保护设施费、已完工程及设备保护费、非夜间施工照明费、施工超高费、高层建筑增加费、脚手架费、垂直运输费等各项措施项目费由各投标人综合考虑自行报价，一次性包定，结算时一律不作调整。</w:t>
      </w:r>
    </w:p>
    <w:p>
      <w:pPr>
        <w:pStyle w:val="164"/>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11）本工程范围内拆除工程、垃圾清理、垂直运输及外运、弃置、运距等自行考虑，费用列入投标报价中，结算时不调整；拆除时不得破坏影响结构安全的承重结构，如施工过程中发现现场图纸拆除范围内有承重结构构件，需经设计单位书面确认后拆除；对拆除过程中造成的噪音、粉尘严格控制，要有相应防控措施方案（不排除需要密闭围挡措施），所需费用列入报价中，结算时不调整；</w:t>
      </w:r>
    </w:p>
    <w:p>
      <w:pPr>
        <w:pStyle w:val="16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（12）投标人在投标报价时应充分考虑施工过程中材料的二次搬运和损耗，并综合考虑在投标报价中，结算时不再另行支付其费用；</w:t>
      </w:r>
    </w:p>
    <w:p>
      <w:pPr>
        <w:pStyle w:val="16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13）投标人在投标报价时应充分考虑施工过程中对原有建筑工程结构及饰面（特别是垃圾清运、材料搬运通道、施工交界面）造成破损及损坏部分进行修复，使其恢复原样等所包含的各项费用，并综合考虑在投标报价中，结算时不再另行支付其费用；</w:t>
      </w:r>
    </w:p>
    <w:p>
      <w:pPr>
        <w:pStyle w:val="16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（1</w:t>
      </w:r>
      <w:r>
        <w:rPr>
          <w:rStyle w:val="163"/>
          <w:rFonts w:hint="eastAsia" w:ascii="宋体" w:hAnsi="宋体" w:eastAsia="宋体" w:cs="宋体"/>
          <w:b w:val="0"/>
          <w:bCs w:val="0"/>
          <w:color w:val="auto"/>
          <w:sz w:val="21"/>
          <w:szCs w:val="21"/>
          <w:highlight w:val="none"/>
          <w:lang w:val="en-US" w:eastAsia="zh-CN"/>
        </w:rPr>
        <w:t>4</w:t>
      </w:r>
      <w:r>
        <w:rPr>
          <w:rStyle w:val="163"/>
          <w:rFonts w:hint="eastAsia" w:ascii="宋体" w:hAnsi="宋体" w:eastAsia="宋体" w:cs="宋体"/>
          <w:b w:val="0"/>
          <w:bCs w:val="0"/>
          <w:color w:val="auto"/>
          <w:sz w:val="21"/>
          <w:szCs w:val="21"/>
          <w:highlight w:val="none"/>
        </w:rPr>
        <w:t>） 投标人应独立、有效的做好该工程周边的有关群众工作，并充分考虑工程实施范围内外的施工单位、个人和其他可能出现阻挠施工等不可预料突发的情况，若因此发生的机械台班停置费、二次机械进退场费、人员窝工、处理周边群众纠纷等费用和损失等，由投标人自行考虑，并列入投标报价，工程结算时不作调整，并无条件接受招标人的管理。作为一个有经验的投标人，应充分估计以上因素对本招标工程施工的影响，排定合理的施工工期，在以后工程实施过程中不得以该因素影响作为工期延误和增加赶工费用的理由。</w:t>
      </w:r>
    </w:p>
    <w:p>
      <w:pPr>
        <w:pStyle w:val="16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（1</w:t>
      </w:r>
      <w:r>
        <w:rPr>
          <w:rStyle w:val="163"/>
          <w:rFonts w:hint="eastAsia" w:ascii="宋体" w:hAnsi="宋体" w:eastAsia="宋体" w:cs="宋体"/>
          <w:b w:val="0"/>
          <w:bCs w:val="0"/>
          <w:color w:val="auto"/>
          <w:sz w:val="21"/>
          <w:szCs w:val="21"/>
          <w:highlight w:val="none"/>
          <w:lang w:val="en-US" w:eastAsia="zh-CN"/>
        </w:rPr>
        <w:t>5</w:t>
      </w:r>
      <w:r>
        <w:rPr>
          <w:rStyle w:val="163"/>
          <w:rFonts w:hint="eastAsia" w:ascii="宋体" w:hAnsi="宋体" w:eastAsia="宋体" w:cs="宋体"/>
          <w:b w:val="0"/>
          <w:bCs w:val="0"/>
          <w:color w:val="auto"/>
          <w:sz w:val="21"/>
          <w:szCs w:val="21"/>
          <w:highlight w:val="none"/>
        </w:rPr>
        <w:t>）投标人应结合招标文件、技术要求、技术规范、施工现场的地形地貌等，考虑本工程各项费用风险，周密调研，理性报价。</w:t>
      </w:r>
    </w:p>
    <w:p>
      <w:pPr>
        <w:pStyle w:val="16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（1</w:t>
      </w:r>
      <w:r>
        <w:rPr>
          <w:rStyle w:val="163"/>
          <w:rFonts w:hint="eastAsia" w:ascii="宋体" w:hAnsi="宋体" w:eastAsia="宋体" w:cs="宋体"/>
          <w:b w:val="0"/>
          <w:bCs w:val="0"/>
          <w:color w:val="auto"/>
          <w:sz w:val="21"/>
          <w:szCs w:val="21"/>
          <w:highlight w:val="none"/>
          <w:lang w:val="en-US" w:eastAsia="zh-CN"/>
        </w:rPr>
        <w:t>6</w:t>
      </w:r>
      <w:r>
        <w:rPr>
          <w:rStyle w:val="163"/>
          <w:rFonts w:hint="eastAsia" w:ascii="宋体" w:hAnsi="宋体" w:eastAsia="宋体" w:cs="宋体"/>
          <w:b w:val="0"/>
          <w:bCs w:val="0"/>
          <w:color w:val="auto"/>
          <w:sz w:val="21"/>
          <w:szCs w:val="21"/>
          <w:highlight w:val="none"/>
        </w:rPr>
        <w:t>）各投标人自行踏勘施工现场并根据工程特点及实际情况，自行拟定切实可行的施工方案，对工程的各项措施项目费自行考虑并计入报价，工程结算时一律不作调整。</w:t>
      </w:r>
    </w:p>
    <w:p>
      <w:pPr>
        <w:pStyle w:val="16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63"/>
          <w:rFonts w:hint="eastAsia" w:ascii="宋体" w:hAnsi="宋体" w:eastAsia="宋体" w:cs="宋体"/>
          <w:b w:val="0"/>
          <w:bCs w:val="0"/>
          <w:color w:val="auto"/>
          <w:sz w:val="21"/>
          <w:szCs w:val="21"/>
          <w:highlight w:val="none"/>
        </w:rPr>
      </w:pPr>
      <w:r>
        <w:rPr>
          <w:rStyle w:val="163"/>
          <w:rFonts w:hint="eastAsia" w:ascii="宋体" w:hAnsi="宋体" w:eastAsia="宋体" w:cs="宋体"/>
          <w:b w:val="0"/>
          <w:bCs w:val="0"/>
          <w:color w:val="auto"/>
          <w:sz w:val="21"/>
          <w:szCs w:val="21"/>
          <w:highlight w:val="none"/>
        </w:rPr>
        <w:t>（</w:t>
      </w:r>
      <w:r>
        <w:rPr>
          <w:rStyle w:val="163"/>
          <w:rFonts w:hint="eastAsia" w:ascii="宋体" w:hAnsi="宋体" w:eastAsia="宋体" w:cs="宋体"/>
          <w:b w:val="0"/>
          <w:bCs w:val="0"/>
          <w:color w:val="auto"/>
          <w:sz w:val="21"/>
          <w:szCs w:val="21"/>
          <w:highlight w:val="none"/>
          <w:lang w:val="en-US" w:eastAsia="zh-CN"/>
        </w:rPr>
        <w:t>17</w:t>
      </w:r>
      <w:r>
        <w:rPr>
          <w:rStyle w:val="163"/>
          <w:rFonts w:hint="eastAsia" w:ascii="宋体" w:hAnsi="宋体" w:eastAsia="宋体" w:cs="宋体"/>
          <w:b w:val="0"/>
          <w:bCs w:val="0"/>
          <w:color w:val="auto"/>
          <w:sz w:val="21"/>
          <w:szCs w:val="21"/>
          <w:highlight w:val="none"/>
        </w:rPr>
        <w:t>）其他未尽事宜在书面答疑中明确。</w:t>
      </w:r>
    </w:p>
    <w:p>
      <w:pPr>
        <w:adjustRightInd w:val="0"/>
        <w:snapToGrid w:val="0"/>
        <w:spacing w:line="500" w:lineRule="exact"/>
        <w:outlineLvl w:val="9"/>
        <w:rPr>
          <w:rFonts w:hint="eastAsia" w:ascii="宋体" w:hAnsi="宋体" w:eastAsia="宋体" w:cs="宋体"/>
          <w:kern w:val="0"/>
          <w:sz w:val="24"/>
          <w:szCs w:val="24"/>
          <w:highlight w:val="none"/>
        </w:rPr>
      </w:pPr>
    </w:p>
    <w:p>
      <w:pPr>
        <w:spacing w:line="360" w:lineRule="auto"/>
        <w:outlineLvl w:val="9"/>
        <w:rPr>
          <w:rFonts w:hint="eastAsia" w:ascii="宋体" w:hAnsi="宋体" w:eastAsia="宋体" w:cs="宋体"/>
          <w:color w:val="auto"/>
          <w:szCs w:val="32"/>
          <w:highlight w:val="none"/>
        </w:rPr>
      </w:pPr>
    </w:p>
    <w:p>
      <w:pPr>
        <w:spacing w:line="360" w:lineRule="auto"/>
        <w:outlineLvl w:val="9"/>
        <w:rPr>
          <w:rFonts w:hint="eastAsia" w:ascii="宋体" w:hAnsi="宋体" w:eastAsia="宋体" w:cs="宋体"/>
          <w:color w:val="auto"/>
          <w:szCs w:val="32"/>
          <w:highlight w:val="none"/>
        </w:rPr>
      </w:pPr>
    </w:p>
    <w:p>
      <w:pPr>
        <w:spacing w:line="360" w:lineRule="auto"/>
        <w:outlineLvl w:val="9"/>
        <w:rPr>
          <w:rFonts w:hint="eastAsia" w:ascii="宋体" w:hAnsi="宋体" w:eastAsia="宋体" w:cs="宋体"/>
          <w:color w:val="auto"/>
          <w:szCs w:val="32"/>
          <w:highlight w:val="none"/>
        </w:rPr>
      </w:pPr>
    </w:p>
    <w:p>
      <w:pPr>
        <w:spacing w:line="360" w:lineRule="auto"/>
        <w:outlineLvl w:val="9"/>
        <w:rPr>
          <w:rFonts w:hint="eastAsia" w:ascii="宋体" w:hAnsi="宋体" w:eastAsia="宋体" w:cs="宋体"/>
          <w:color w:val="auto"/>
          <w:szCs w:val="32"/>
          <w:highlight w:val="none"/>
        </w:rPr>
      </w:pPr>
    </w:p>
    <w:p>
      <w:pPr>
        <w:spacing w:line="360" w:lineRule="auto"/>
        <w:outlineLvl w:val="9"/>
        <w:rPr>
          <w:rFonts w:hint="eastAsia" w:ascii="宋体" w:hAnsi="宋体" w:eastAsia="宋体" w:cs="宋体"/>
          <w:color w:val="auto"/>
          <w:szCs w:val="32"/>
          <w:highlight w:val="none"/>
        </w:rPr>
      </w:pPr>
    </w:p>
    <w:p>
      <w:pPr>
        <w:rPr>
          <w:rFonts w:hint="eastAsia" w:ascii="宋体" w:hAnsi="宋体" w:eastAsia="宋体" w:cs="宋体"/>
          <w:color w:val="auto"/>
          <w:szCs w:val="32"/>
          <w:highlight w:val="none"/>
        </w:rPr>
      </w:pPr>
      <w:r>
        <w:rPr>
          <w:rFonts w:hint="eastAsia" w:ascii="宋体" w:hAnsi="宋体" w:eastAsia="宋体" w:cs="宋体"/>
          <w:color w:val="auto"/>
          <w:szCs w:val="32"/>
          <w:highlight w:val="none"/>
        </w:rPr>
        <w:br w:type="page"/>
      </w:r>
    </w:p>
    <w:p>
      <w:pPr>
        <w:spacing w:line="360" w:lineRule="auto"/>
        <w:outlineLvl w:val="9"/>
        <w:rPr>
          <w:rFonts w:hint="eastAsia" w:ascii="宋体" w:hAnsi="宋体" w:eastAsia="宋体" w:cs="宋体"/>
          <w:color w:val="auto"/>
          <w:szCs w:val="32"/>
          <w:highlight w:val="none"/>
        </w:rPr>
      </w:pPr>
    </w:p>
    <w:p>
      <w:pPr>
        <w:spacing w:line="360" w:lineRule="auto"/>
        <w:outlineLvl w:val="9"/>
        <w:rPr>
          <w:rFonts w:hint="eastAsia" w:ascii="宋体" w:hAnsi="宋体" w:eastAsia="宋体" w:cs="宋体"/>
          <w:color w:val="auto"/>
          <w:szCs w:val="32"/>
          <w:highlight w:val="none"/>
        </w:rPr>
      </w:pPr>
    </w:p>
    <w:p>
      <w:pPr>
        <w:spacing w:line="360" w:lineRule="auto"/>
        <w:outlineLvl w:val="9"/>
        <w:rPr>
          <w:rFonts w:hint="eastAsia" w:ascii="宋体" w:hAnsi="宋体" w:eastAsia="宋体" w:cs="宋体"/>
          <w:color w:val="auto"/>
          <w:szCs w:val="32"/>
          <w:highlight w:val="none"/>
        </w:rPr>
      </w:pPr>
    </w:p>
    <w:p>
      <w:pPr>
        <w:pStyle w:val="3"/>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第五章 主要合同条款</w:t>
      </w:r>
      <w:bookmarkEnd w:id="86"/>
    </w:p>
    <w:p>
      <w:pPr>
        <w:spacing w:after="120" w:line="360" w:lineRule="auto"/>
        <w:jc w:val="center"/>
        <w:rPr>
          <w:rFonts w:hint="eastAsia" w:ascii="宋体" w:hAnsi="宋体" w:eastAsia="宋体" w:cs="宋体"/>
          <w:color w:val="auto"/>
          <w:sz w:val="44"/>
          <w:szCs w:val="48"/>
          <w:highlight w:val="none"/>
        </w:rPr>
      </w:pPr>
      <w:bookmarkStart w:id="87" w:name="_Hlk527460536"/>
      <w:r>
        <w:rPr>
          <w:rFonts w:hint="eastAsia" w:ascii="宋体" w:hAnsi="宋体" w:eastAsia="宋体" w:cs="宋体"/>
          <w:color w:val="auto"/>
          <w:sz w:val="44"/>
          <w:szCs w:val="48"/>
          <w:highlight w:val="none"/>
        </w:rPr>
        <w:t>南通轨道交通集团有限公司运营分公司XXX项目合同</w:t>
      </w:r>
    </w:p>
    <w:p>
      <w:pPr>
        <w:pStyle w:val="31"/>
        <w:rPr>
          <w:rFonts w:hint="eastAsia" w:ascii="宋体" w:hAnsi="宋体" w:eastAsia="宋体" w:cs="宋体"/>
          <w:highlight w:val="none"/>
        </w:rPr>
      </w:pPr>
    </w:p>
    <w:p>
      <w:pPr>
        <w:autoSpaceDE w:val="0"/>
        <w:autoSpaceDN w:val="0"/>
        <w:adjustRightInd w:val="0"/>
        <w:spacing w:line="360" w:lineRule="auto"/>
        <w:ind w:firstLine="2160" w:firstLineChars="600"/>
        <w:rPr>
          <w:rFonts w:hint="eastAsia" w:ascii="宋体" w:hAnsi="宋体" w:eastAsia="宋体" w:cs="宋体"/>
          <w:bCs/>
          <w:color w:val="auto"/>
          <w:sz w:val="36"/>
          <w:szCs w:val="36"/>
          <w:highlight w:val="none"/>
        </w:rPr>
      </w:pPr>
    </w:p>
    <w:p>
      <w:pPr>
        <w:autoSpaceDE w:val="0"/>
        <w:autoSpaceDN w:val="0"/>
        <w:adjustRightInd w:val="0"/>
        <w:spacing w:line="360" w:lineRule="auto"/>
        <w:jc w:val="center"/>
        <w:rPr>
          <w:rFonts w:hint="eastAsia" w:ascii="宋体" w:hAnsi="宋体" w:eastAsia="宋体" w:cs="宋体"/>
          <w:color w:val="auto"/>
          <w:sz w:val="36"/>
          <w:szCs w:val="36"/>
          <w:highlight w:val="none"/>
          <w:u w:val="single"/>
        </w:rPr>
      </w:pPr>
      <w:r>
        <w:rPr>
          <w:rFonts w:hint="eastAsia" w:ascii="宋体" w:hAnsi="宋体" w:eastAsia="宋体" w:cs="宋体"/>
          <w:bCs/>
          <w:color w:val="auto"/>
          <w:sz w:val="36"/>
          <w:szCs w:val="36"/>
          <w:highlight w:val="none"/>
        </w:rPr>
        <w:t>合同编号：NTGY-2023-FW-BX-XXX</w:t>
      </w:r>
    </w:p>
    <w:p>
      <w:pPr>
        <w:autoSpaceDE w:val="0"/>
        <w:autoSpaceDN w:val="0"/>
        <w:adjustRightInd w:val="0"/>
        <w:spacing w:line="360" w:lineRule="auto"/>
        <w:ind w:left="1418"/>
        <w:rPr>
          <w:rFonts w:hint="eastAsia" w:ascii="宋体" w:hAnsi="宋体" w:eastAsia="宋体" w:cs="宋体"/>
          <w:color w:val="auto"/>
          <w:sz w:val="24"/>
          <w:highlight w:val="none"/>
        </w:rPr>
      </w:pPr>
      <w:r>
        <w:rPr>
          <w:rFonts w:hint="eastAsia" w:ascii="宋体" w:hAnsi="宋体" w:eastAsia="宋体" w:cs="宋体"/>
          <w:bCs/>
          <w:color w:val="auto"/>
          <w:sz w:val="32"/>
          <w:szCs w:val="32"/>
          <w:highlight w:val="none"/>
        </w:rPr>
        <w:t>甲    方：南通轨道交通集团有限公司运营分公司</w:t>
      </w:r>
    </w:p>
    <w:p>
      <w:pPr>
        <w:autoSpaceDE w:val="0"/>
        <w:autoSpaceDN w:val="0"/>
        <w:adjustRightInd w:val="0"/>
        <w:spacing w:line="360" w:lineRule="auto"/>
        <w:ind w:left="1418"/>
        <w:rPr>
          <w:rFonts w:hint="eastAsia" w:ascii="宋体" w:hAnsi="宋体" w:eastAsia="宋体" w:cs="宋体"/>
          <w:color w:val="auto"/>
          <w:sz w:val="24"/>
          <w:highlight w:val="none"/>
        </w:rPr>
      </w:pPr>
      <w:r>
        <w:rPr>
          <w:rFonts w:hint="eastAsia" w:ascii="宋体" w:hAnsi="宋体" w:eastAsia="宋体" w:cs="宋体"/>
          <w:bCs/>
          <w:color w:val="auto"/>
          <w:sz w:val="32"/>
          <w:szCs w:val="32"/>
          <w:highlight w:val="none"/>
        </w:rPr>
        <w:t>乙    方：</w:t>
      </w:r>
      <w:r>
        <w:rPr>
          <w:rFonts w:hint="eastAsia" w:ascii="宋体" w:hAnsi="宋体" w:eastAsia="宋体" w:cs="宋体"/>
          <w:bCs/>
          <w:color w:val="auto"/>
          <w:sz w:val="32"/>
          <w:szCs w:val="32"/>
          <w:highlight w:val="none"/>
          <w:u w:val="single"/>
        </w:rPr>
        <w:t xml:space="preserve">                                 </w:t>
      </w:r>
    </w:p>
    <w:p>
      <w:pPr>
        <w:autoSpaceDE w:val="0"/>
        <w:autoSpaceDN w:val="0"/>
        <w:adjustRightInd w:val="0"/>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bCs/>
          <w:color w:val="auto"/>
          <w:sz w:val="31"/>
          <w:szCs w:val="31"/>
          <w:highlight w:val="none"/>
        </w:rPr>
      </w:pPr>
    </w:p>
    <w:bookmarkEnd w:id="87"/>
    <w:p>
      <w:pPr>
        <w:spacing w:line="360" w:lineRule="auto"/>
        <w:jc w:val="center"/>
        <w:rPr>
          <w:rFonts w:hint="eastAsia" w:ascii="宋体" w:hAnsi="宋体" w:eastAsia="宋体" w:cs="宋体"/>
          <w:bCs/>
          <w:color w:val="auto"/>
          <w:sz w:val="31"/>
          <w:szCs w:val="31"/>
          <w:highlight w:val="none"/>
        </w:rPr>
      </w:pPr>
      <w:r>
        <w:rPr>
          <w:rFonts w:hint="eastAsia" w:ascii="宋体" w:hAnsi="宋体" w:eastAsia="宋体" w:cs="宋体"/>
          <w:bCs/>
          <w:color w:val="auto"/>
          <w:sz w:val="31"/>
          <w:szCs w:val="31"/>
          <w:highlight w:val="none"/>
        </w:rPr>
        <w:t>二〇二三年</w:t>
      </w:r>
      <w:r>
        <w:rPr>
          <w:rFonts w:hint="eastAsia" w:ascii="宋体" w:hAnsi="宋体" w:eastAsia="宋体" w:cs="宋体"/>
          <w:bCs/>
          <w:color w:val="auto"/>
          <w:sz w:val="31"/>
          <w:szCs w:val="31"/>
          <w:highlight w:val="none"/>
          <w:lang w:val="en-US" w:eastAsia="zh-CN"/>
        </w:rPr>
        <w:t xml:space="preserve">    </w:t>
      </w:r>
      <w:r>
        <w:rPr>
          <w:rFonts w:hint="eastAsia" w:ascii="宋体" w:hAnsi="宋体" w:eastAsia="宋体" w:cs="宋体"/>
          <w:bCs/>
          <w:color w:val="auto"/>
          <w:sz w:val="31"/>
          <w:szCs w:val="31"/>
          <w:highlight w:val="none"/>
        </w:rPr>
        <w:t>月</w:t>
      </w:r>
    </w:p>
    <w:p>
      <w:pPr>
        <w:spacing w:line="360" w:lineRule="auto"/>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spacing w:line="5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合同条款</w:t>
      </w:r>
    </w:p>
    <w:p>
      <w:pPr>
        <w:spacing w:line="540" w:lineRule="exact"/>
        <w:rPr>
          <w:rFonts w:hint="eastAsia" w:ascii="宋体" w:hAnsi="宋体" w:eastAsia="宋体" w:cs="宋体"/>
          <w:color w:val="auto"/>
          <w:szCs w:val="21"/>
          <w:highlight w:val="none"/>
          <w:u w:val="single"/>
        </w:rPr>
      </w:pPr>
      <w:bookmarkStart w:id="88" w:name="_Toc395885461"/>
      <w:bookmarkStart w:id="89" w:name="_Toc395887990"/>
      <w:bookmarkStart w:id="90" w:name="_Toc395871187"/>
      <w:bookmarkStart w:id="91" w:name="_Toc395885603"/>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rPr>
        <w:t>南通轨道交通集团有限公司运营分公司</w:t>
      </w:r>
    </w:p>
    <w:p>
      <w:pPr>
        <w:spacing w:line="5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乙方： </w:t>
      </w:r>
    </w:p>
    <w:p>
      <w:pPr>
        <w:autoSpaceDE w:val="0"/>
        <w:autoSpaceDN w:val="0"/>
        <w:adjustRightInd w:val="0"/>
        <w:spacing w:line="54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南通轨道交通集团有限公司运营分公司</w:t>
      </w:r>
      <w:r>
        <w:rPr>
          <w:rFonts w:hint="eastAsia" w:ascii="宋体" w:hAnsi="宋体" w:eastAsia="宋体" w:cs="宋体"/>
          <w:color w:val="auto"/>
          <w:kern w:val="0"/>
          <w:szCs w:val="21"/>
          <w:highlight w:val="none"/>
        </w:rPr>
        <w:t>（以下简称“甲方”）委托（以下简称“乙方”）实施。经由甲方和乙方协商一致，共同签订合同，双方共同遵守如下协议。</w:t>
      </w:r>
    </w:p>
    <w:p>
      <w:pPr>
        <w:autoSpaceDE w:val="0"/>
        <w:autoSpaceDN w:val="0"/>
        <w:adjustRightInd w:val="0"/>
        <w:spacing w:line="54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根据《中华人民共和国民法典》及相关法律法规的规定，为明确双方的权利和义务，经协商一致，签订本合同，共同信守。</w:t>
      </w:r>
    </w:p>
    <w:p>
      <w:pPr>
        <w:pStyle w:val="3"/>
        <w:spacing w:before="0" w:after="0" w:line="540" w:lineRule="exact"/>
        <w:jc w:val="left"/>
        <w:rPr>
          <w:rFonts w:hint="eastAsia" w:ascii="宋体" w:hAnsi="宋体" w:eastAsia="宋体" w:cs="宋体"/>
          <w:b/>
          <w:color w:val="auto"/>
          <w:sz w:val="21"/>
          <w:szCs w:val="21"/>
          <w:highlight w:val="none"/>
        </w:rPr>
      </w:pPr>
      <w:bookmarkStart w:id="92" w:name="_Toc469332231"/>
      <w:bookmarkStart w:id="93" w:name="_Toc463008905"/>
      <w:bookmarkStart w:id="94" w:name="_Toc466650279"/>
      <w:bookmarkStart w:id="95" w:name="_Toc6639"/>
      <w:bookmarkStart w:id="96" w:name="_Toc463879565"/>
      <w:bookmarkStart w:id="97" w:name="_Toc465871203"/>
      <w:bookmarkStart w:id="98" w:name="_Toc475539804"/>
      <w:bookmarkStart w:id="99" w:name="_Toc464825078"/>
      <w:bookmarkStart w:id="100" w:name="_Toc466650834"/>
      <w:bookmarkStart w:id="101" w:name="_Toc463607256"/>
      <w:bookmarkStart w:id="102" w:name="_Toc432600600"/>
      <w:bookmarkStart w:id="103" w:name="_Toc393182506"/>
      <w:bookmarkStart w:id="104" w:name="_Toc26285"/>
      <w:bookmarkStart w:id="105" w:name="_Toc14927"/>
      <w:bookmarkStart w:id="106" w:name="_Toc389811264"/>
      <w:r>
        <w:rPr>
          <w:rFonts w:hint="eastAsia" w:ascii="宋体" w:hAnsi="宋体" w:eastAsia="宋体" w:cs="宋体"/>
          <w:b/>
          <w:color w:val="auto"/>
          <w:sz w:val="21"/>
          <w:szCs w:val="21"/>
          <w:highlight w:val="none"/>
        </w:rPr>
        <w:t>1、合同文件的组成及解释顺序</w:t>
      </w:r>
      <w:bookmarkEnd w:id="92"/>
      <w:bookmarkEnd w:id="93"/>
      <w:bookmarkEnd w:id="94"/>
      <w:bookmarkEnd w:id="95"/>
      <w:bookmarkEnd w:id="96"/>
      <w:bookmarkEnd w:id="97"/>
      <w:bookmarkEnd w:id="98"/>
      <w:bookmarkEnd w:id="99"/>
      <w:bookmarkEnd w:id="100"/>
      <w:bookmarkEnd w:id="101"/>
    </w:p>
    <w:p>
      <w:pPr>
        <w:widowControl/>
        <w:spacing w:line="540" w:lineRule="exact"/>
        <w:ind w:firstLine="315" w:firstLineChars="150"/>
        <w:rPr>
          <w:rFonts w:hint="eastAsia" w:ascii="宋体" w:hAnsi="宋体" w:eastAsia="宋体" w:cs="宋体"/>
          <w:color w:val="auto"/>
          <w:kern w:val="0"/>
          <w:szCs w:val="21"/>
          <w:highlight w:val="none"/>
        </w:rPr>
      </w:pPr>
      <w:bookmarkStart w:id="107" w:name="_Toc459994372"/>
      <w:bookmarkStart w:id="108" w:name="_Toc440963919"/>
      <w:bookmarkStart w:id="109" w:name="_Toc433143398"/>
      <w:bookmarkStart w:id="110" w:name="_Toc456704252"/>
      <w:bookmarkStart w:id="111" w:name="_Toc433453643"/>
      <w:bookmarkStart w:id="112" w:name="_Toc442455827"/>
      <w:r>
        <w:rPr>
          <w:rFonts w:hint="eastAsia" w:ascii="宋体" w:hAnsi="宋体" w:eastAsia="宋体" w:cs="宋体"/>
          <w:color w:val="auto"/>
          <w:kern w:val="0"/>
          <w:szCs w:val="21"/>
          <w:highlight w:val="none"/>
        </w:rPr>
        <w:t>1.1</w:t>
      </w:r>
      <w:r>
        <w:rPr>
          <w:rFonts w:hint="eastAsia" w:ascii="宋体" w:hAnsi="宋体" w:eastAsia="宋体" w:cs="宋体"/>
          <w:color w:val="auto"/>
          <w:szCs w:val="21"/>
          <w:highlight w:val="none"/>
        </w:rPr>
        <w:t>下列文件一起构成协议文件</w:t>
      </w:r>
      <w:r>
        <w:rPr>
          <w:rFonts w:hint="eastAsia" w:ascii="宋体" w:hAnsi="宋体" w:eastAsia="宋体" w:cs="宋体"/>
          <w:color w:val="auto"/>
          <w:kern w:val="0"/>
          <w:szCs w:val="21"/>
          <w:highlight w:val="none"/>
        </w:rPr>
        <w:t>；</w:t>
      </w:r>
      <w:bookmarkEnd w:id="107"/>
      <w:bookmarkEnd w:id="108"/>
      <w:bookmarkEnd w:id="109"/>
      <w:bookmarkEnd w:id="110"/>
      <w:bookmarkEnd w:id="111"/>
      <w:bookmarkEnd w:id="112"/>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（1）合同协议书（含澄清文件、会议纪要、合同附件）；</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（2）成交通知书；</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（4）响应申请文件及修改补充文件；</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（5）采购文件及修改等补充文件；</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（6）其他协议文件（包括但不限于甲方的相关管理办法和规定）。</w:t>
      </w:r>
    </w:p>
    <w:p>
      <w:pPr>
        <w:widowControl/>
        <w:spacing w:line="54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1.2上述文件相互补充和解释，如有不明确或不一致之处，以上述次序在先者为准；如文件之间发生矛盾或歧义时，属于同一类内容的文件，应以最新签署的为准。</w:t>
      </w:r>
    </w:p>
    <w:p>
      <w:pPr>
        <w:pStyle w:val="3"/>
        <w:spacing w:before="0" w:after="0" w:line="540" w:lineRule="exact"/>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t>2、工程概况</w:t>
      </w:r>
      <w:bookmarkEnd w:id="102"/>
      <w:bookmarkEnd w:id="103"/>
      <w:bookmarkEnd w:id="104"/>
      <w:bookmarkEnd w:id="105"/>
    </w:p>
    <w:bookmarkEnd w:id="106"/>
    <w:p>
      <w:pPr>
        <w:spacing w:line="540" w:lineRule="exact"/>
        <w:ind w:firstLine="420" w:firstLineChars="200"/>
        <w:rPr>
          <w:rFonts w:hint="eastAsia" w:ascii="宋体" w:hAnsi="宋体" w:eastAsia="宋体" w:cs="宋体"/>
          <w:color w:val="auto"/>
          <w:szCs w:val="21"/>
          <w:highlight w:val="none"/>
        </w:rPr>
      </w:pPr>
      <w:bookmarkStart w:id="113" w:name="_Toc19609"/>
      <w:bookmarkStart w:id="114" w:name="_Toc23841"/>
      <w:bookmarkStart w:id="115" w:name="_Toc393182507"/>
      <w:r>
        <w:rPr>
          <w:rFonts w:hint="eastAsia" w:ascii="宋体" w:hAnsi="宋体" w:eastAsia="宋体" w:cs="宋体"/>
          <w:color w:val="auto"/>
          <w:szCs w:val="21"/>
          <w:highlight w:val="none"/>
        </w:rPr>
        <w:t>2.1 工程名称：                         。</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2.2工程地点：                         。</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2.3工程承包范围：</w:t>
      </w:r>
      <w:r>
        <w:rPr>
          <w:rFonts w:hint="eastAsia" w:ascii="宋体" w:hAnsi="宋体" w:eastAsia="宋体" w:cs="宋体"/>
          <w:color w:val="auto"/>
          <w:szCs w:val="21"/>
          <w:highlight w:val="none"/>
          <w:u w:val="single"/>
        </w:rPr>
        <w:t xml:space="preserve">                         （含建筑施工、电路改造、设备安装配合、验收、质量保修期修复等）。</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具体详见施工图纸、工程量清单及《用户需求书》。</w:t>
      </w:r>
    </w:p>
    <w:p>
      <w:pPr>
        <w:pStyle w:val="3"/>
        <w:spacing w:before="0" w:after="0" w:line="540" w:lineRule="exact"/>
        <w:jc w:val="left"/>
        <w:rPr>
          <w:rFonts w:hint="eastAsia" w:ascii="宋体" w:hAnsi="宋体" w:eastAsia="宋体" w:cs="宋体"/>
          <w:color w:val="auto"/>
          <w:highlight w:val="none"/>
        </w:rPr>
      </w:pPr>
      <w:bookmarkStart w:id="116" w:name="_Toc432600601"/>
      <w:r>
        <w:rPr>
          <w:rFonts w:hint="eastAsia" w:ascii="宋体" w:hAnsi="宋体" w:eastAsia="宋体" w:cs="宋体"/>
          <w:color w:val="auto"/>
          <w:sz w:val="21"/>
          <w:szCs w:val="21"/>
          <w:highlight w:val="none"/>
        </w:rPr>
        <w:t>3、工程期限</w:t>
      </w:r>
      <w:bookmarkEnd w:id="113"/>
      <w:bookmarkEnd w:id="114"/>
      <w:bookmarkEnd w:id="115"/>
      <w:bookmarkEnd w:id="116"/>
    </w:p>
    <w:p>
      <w:pPr>
        <w:autoSpaceDE w:val="0"/>
        <w:autoSpaceDN w:val="0"/>
        <w:adjustRightInd w:val="0"/>
        <w:spacing w:line="540" w:lineRule="exact"/>
        <w:ind w:firstLine="420" w:firstLineChars="200"/>
        <w:jc w:val="left"/>
        <w:rPr>
          <w:rFonts w:hint="eastAsia" w:ascii="宋体" w:hAnsi="宋体" w:eastAsia="宋体" w:cs="宋体"/>
          <w:color w:val="auto"/>
          <w:kern w:val="58"/>
          <w:szCs w:val="21"/>
          <w:highlight w:val="none"/>
        </w:rPr>
      </w:pPr>
      <w:r>
        <w:rPr>
          <w:rFonts w:hint="eastAsia" w:ascii="宋体" w:hAnsi="宋体" w:eastAsia="宋体" w:cs="宋体"/>
          <w:color w:val="auto"/>
          <w:kern w:val="58"/>
          <w:szCs w:val="21"/>
          <w:highlight w:val="none"/>
        </w:rPr>
        <w:t>计划开工日期：2023年</w:t>
      </w:r>
      <w:r>
        <w:rPr>
          <w:rFonts w:hint="eastAsia" w:ascii="宋体" w:hAnsi="宋体" w:eastAsia="宋体" w:cs="宋体"/>
          <w:color w:val="auto"/>
          <w:kern w:val="58"/>
          <w:szCs w:val="21"/>
          <w:highlight w:val="none"/>
          <w:u w:val="single"/>
        </w:rPr>
        <w:t xml:space="preserve"> </w:t>
      </w:r>
      <w:r>
        <w:rPr>
          <w:rFonts w:hint="eastAsia" w:ascii="宋体" w:hAnsi="宋体" w:eastAsia="宋体" w:cs="宋体"/>
          <w:color w:val="auto"/>
          <w:kern w:val="58"/>
          <w:szCs w:val="21"/>
          <w:highlight w:val="none"/>
        </w:rPr>
        <w:t>月</w:t>
      </w:r>
      <w:r>
        <w:rPr>
          <w:rFonts w:hint="eastAsia" w:ascii="宋体" w:hAnsi="宋体" w:eastAsia="宋体" w:cs="宋体"/>
          <w:color w:val="auto"/>
          <w:kern w:val="58"/>
          <w:szCs w:val="21"/>
          <w:highlight w:val="none"/>
          <w:u w:val="single"/>
        </w:rPr>
        <w:t xml:space="preserve"> </w:t>
      </w:r>
      <w:r>
        <w:rPr>
          <w:rFonts w:hint="eastAsia" w:ascii="宋体" w:hAnsi="宋体" w:eastAsia="宋体" w:cs="宋体"/>
          <w:color w:val="auto"/>
          <w:kern w:val="58"/>
          <w:szCs w:val="21"/>
          <w:highlight w:val="none"/>
        </w:rPr>
        <w:t>日。</w:t>
      </w:r>
    </w:p>
    <w:p>
      <w:pPr>
        <w:autoSpaceDE w:val="0"/>
        <w:autoSpaceDN w:val="0"/>
        <w:adjustRightInd w:val="0"/>
        <w:spacing w:line="540" w:lineRule="exact"/>
        <w:ind w:firstLine="420" w:firstLineChars="200"/>
        <w:jc w:val="left"/>
        <w:rPr>
          <w:rFonts w:hint="eastAsia" w:ascii="宋体" w:hAnsi="宋体" w:eastAsia="宋体" w:cs="宋体"/>
          <w:color w:val="auto"/>
          <w:kern w:val="58"/>
          <w:szCs w:val="21"/>
          <w:highlight w:val="none"/>
        </w:rPr>
      </w:pPr>
      <w:r>
        <w:rPr>
          <w:rFonts w:hint="eastAsia" w:ascii="宋体" w:hAnsi="宋体" w:eastAsia="宋体" w:cs="宋体"/>
          <w:color w:val="auto"/>
          <w:kern w:val="58"/>
          <w:szCs w:val="21"/>
          <w:highlight w:val="none"/>
        </w:rPr>
        <w:t>计划竣工日期：2023年</w:t>
      </w:r>
      <w:r>
        <w:rPr>
          <w:rFonts w:hint="eastAsia" w:ascii="宋体" w:hAnsi="宋体" w:eastAsia="宋体" w:cs="宋体"/>
          <w:color w:val="auto"/>
          <w:kern w:val="58"/>
          <w:szCs w:val="21"/>
          <w:highlight w:val="none"/>
          <w:u w:val="single"/>
        </w:rPr>
        <w:t xml:space="preserve"> </w:t>
      </w:r>
      <w:r>
        <w:rPr>
          <w:rFonts w:hint="eastAsia" w:ascii="宋体" w:hAnsi="宋体" w:eastAsia="宋体" w:cs="宋体"/>
          <w:color w:val="auto"/>
          <w:kern w:val="58"/>
          <w:szCs w:val="21"/>
          <w:highlight w:val="none"/>
        </w:rPr>
        <w:t>月</w:t>
      </w:r>
      <w:r>
        <w:rPr>
          <w:rFonts w:hint="eastAsia" w:ascii="宋体" w:hAnsi="宋体" w:eastAsia="宋体" w:cs="宋体"/>
          <w:color w:val="auto"/>
          <w:kern w:val="58"/>
          <w:szCs w:val="21"/>
          <w:highlight w:val="none"/>
          <w:u w:val="single"/>
        </w:rPr>
        <w:t xml:space="preserve"> </w:t>
      </w:r>
      <w:r>
        <w:rPr>
          <w:rFonts w:hint="eastAsia" w:ascii="宋体" w:hAnsi="宋体" w:eastAsia="宋体" w:cs="宋体"/>
          <w:color w:val="auto"/>
          <w:kern w:val="58"/>
          <w:szCs w:val="21"/>
          <w:highlight w:val="none"/>
        </w:rPr>
        <w:t>日。</w:t>
      </w:r>
    </w:p>
    <w:p>
      <w:pPr>
        <w:autoSpaceDE w:val="0"/>
        <w:autoSpaceDN w:val="0"/>
        <w:adjustRightInd w:val="0"/>
        <w:spacing w:line="540" w:lineRule="exact"/>
        <w:ind w:firstLine="420" w:firstLineChars="200"/>
        <w:jc w:val="left"/>
        <w:rPr>
          <w:rFonts w:hint="eastAsia" w:ascii="宋体" w:hAnsi="宋体" w:eastAsia="宋体" w:cs="宋体"/>
          <w:color w:val="auto"/>
          <w:kern w:val="58"/>
          <w:szCs w:val="21"/>
          <w:highlight w:val="none"/>
        </w:rPr>
      </w:pPr>
      <w:r>
        <w:rPr>
          <w:rFonts w:hint="eastAsia" w:ascii="宋体" w:hAnsi="宋体" w:eastAsia="宋体" w:cs="宋体"/>
          <w:color w:val="auto"/>
          <w:kern w:val="58"/>
          <w:szCs w:val="21"/>
          <w:highlight w:val="none"/>
        </w:rPr>
        <w:t>合同工期:</w:t>
      </w:r>
      <w:r>
        <w:rPr>
          <w:rFonts w:hint="eastAsia" w:ascii="宋体" w:hAnsi="宋体" w:eastAsia="宋体" w:cs="宋体"/>
          <w:color w:val="auto"/>
          <w:kern w:val="58"/>
          <w:szCs w:val="21"/>
          <w:highlight w:val="none"/>
          <w:u w:val="single"/>
        </w:rPr>
        <w:t xml:space="preserve">   </w:t>
      </w:r>
      <w:r>
        <w:rPr>
          <w:rFonts w:hint="eastAsia" w:ascii="宋体" w:hAnsi="宋体" w:eastAsia="宋体" w:cs="宋体"/>
          <w:color w:val="auto"/>
          <w:kern w:val="58"/>
          <w:szCs w:val="21"/>
          <w:highlight w:val="none"/>
        </w:rPr>
        <w:t>个月;甲方可根据工程实际进展情况调整工期，具体开工日期以甲方书面通知为准。</w:t>
      </w:r>
    </w:p>
    <w:p>
      <w:pPr>
        <w:pStyle w:val="3"/>
        <w:spacing w:before="0" w:after="0" w:line="540" w:lineRule="exact"/>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t>4、质量标准</w:t>
      </w:r>
    </w:p>
    <w:p>
      <w:pPr>
        <w:autoSpaceDE w:val="0"/>
        <w:autoSpaceDN w:val="0"/>
        <w:adjustRightInd w:val="0"/>
        <w:spacing w:line="540" w:lineRule="exact"/>
        <w:ind w:firstLine="420" w:firstLineChars="200"/>
        <w:jc w:val="left"/>
        <w:rPr>
          <w:rFonts w:hint="eastAsia" w:ascii="宋体" w:hAnsi="宋体" w:eastAsia="宋体" w:cs="宋体"/>
          <w:color w:val="auto"/>
          <w:kern w:val="58"/>
          <w:szCs w:val="21"/>
          <w:highlight w:val="none"/>
        </w:rPr>
      </w:pPr>
      <w:r>
        <w:rPr>
          <w:rFonts w:hint="eastAsia" w:ascii="宋体" w:hAnsi="宋体" w:eastAsia="宋体" w:cs="宋体"/>
          <w:color w:val="auto"/>
          <w:kern w:val="58"/>
          <w:szCs w:val="21"/>
          <w:highlight w:val="none"/>
        </w:rPr>
        <w:t>工程质量符合国家、地方相关技术规范和用户需求书要求，并一次性验收合格。</w:t>
      </w:r>
    </w:p>
    <w:p>
      <w:pPr>
        <w:pStyle w:val="3"/>
        <w:spacing w:before="0" w:after="0" w:line="540" w:lineRule="exact"/>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t>5、合同价款</w:t>
      </w:r>
    </w:p>
    <w:p>
      <w:pPr>
        <w:autoSpaceDE w:val="0"/>
        <w:autoSpaceDN w:val="0"/>
        <w:adjustRightInd w:val="0"/>
        <w:spacing w:line="540" w:lineRule="exact"/>
        <w:ind w:firstLine="420" w:firstLineChars="200"/>
        <w:jc w:val="left"/>
        <w:rPr>
          <w:rFonts w:hint="eastAsia" w:ascii="宋体" w:hAnsi="宋体" w:eastAsia="宋体" w:cs="宋体"/>
          <w:color w:val="auto"/>
          <w:kern w:val="58"/>
          <w:szCs w:val="21"/>
          <w:highlight w:val="none"/>
          <w:lang w:val="en-US" w:eastAsia="zh-CN"/>
        </w:rPr>
      </w:pPr>
      <w:r>
        <w:rPr>
          <w:rFonts w:hint="eastAsia" w:ascii="宋体" w:hAnsi="宋体" w:eastAsia="宋体" w:cs="宋体"/>
          <w:color w:val="auto"/>
          <w:kern w:val="58"/>
          <w:szCs w:val="21"/>
          <w:highlight w:val="none"/>
        </w:rPr>
        <w:t>5.1</w:t>
      </w:r>
      <w:r>
        <w:rPr>
          <w:rFonts w:hint="eastAsia" w:ascii="宋体" w:hAnsi="宋体" w:eastAsia="宋体" w:cs="宋体"/>
          <w:color w:val="auto"/>
          <w:kern w:val="58"/>
          <w:szCs w:val="21"/>
          <w:highlight w:val="none"/>
          <w:lang w:val="en-US" w:eastAsia="zh-CN"/>
        </w:rPr>
        <w:t>本工程采用</w:t>
      </w:r>
      <w:r>
        <w:rPr>
          <w:rFonts w:hint="eastAsia" w:ascii="宋体" w:hAnsi="宋体" w:eastAsia="宋体" w:cs="宋体"/>
          <w:color w:val="auto"/>
          <w:kern w:val="58"/>
          <w:szCs w:val="21"/>
          <w:highlight w:val="none"/>
        </w:rPr>
        <w:t>①</w:t>
      </w:r>
      <w:r>
        <w:rPr>
          <w:rFonts w:hint="eastAsia" w:ascii="宋体" w:hAnsi="宋体" w:eastAsia="宋体" w:cs="宋体"/>
          <w:color w:val="auto"/>
          <w:kern w:val="58"/>
          <w:szCs w:val="21"/>
          <w:highlight w:val="none"/>
          <w:lang w:val="en-US" w:eastAsia="zh-CN"/>
        </w:rPr>
        <w:t>种方式付款</w:t>
      </w:r>
    </w:p>
    <w:p>
      <w:pPr>
        <w:autoSpaceDE w:val="0"/>
        <w:autoSpaceDN w:val="0"/>
        <w:adjustRightInd w:val="0"/>
        <w:spacing w:line="540" w:lineRule="exact"/>
        <w:ind w:firstLine="840" w:firstLineChars="400"/>
        <w:jc w:val="left"/>
        <w:rPr>
          <w:rFonts w:hint="eastAsia" w:ascii="宋体" w:hAnsi="宋体" w:eastAsia="宋体" w:cs="宋体"/>
          <w:color w:val="auto"/>
          <w:kern w:val="58"/>
          <w:szCs w:val="21"/>
          <w:highlight w:val="none"/>
        </w:rPr>
      </w:pPr>
      <w:r>
        <w:rPr>
          <w:rFonts w:hint="eastAsia" w:ascii="宋体" w:hAnsi="宋体" w:eastAsia="宋体" w:cs="宋体"/>
          <w:color w:val="auto"/>
          <w:kern w:val="58"/>
          <w:szCs w:val="21"/>
          <w:highlight w:val="none"/>
        </w:rPr>
        <w:t>①本合同采用固定总价方式：合同总价为（大写</w:t>
      </w:r>
      <w:r>
        <w:rPr>
          <w:rFonts w:hint="eastAsia" w:ascii="宋体" w:hAnsi="宋体" w:eastAsia="宋体" w:cs="宋体"/>
          <w:color w:val="auto"/>
          <w:kern w:val="58"/>
          <w:szCs w:val="21"/>
          <w:highlight w:val="none"/>
          <w:u w:val="single"/>
        </w:rPr>
        <w:t xml:space="preserve">）           </w:t>
      </w:r>
      <w:r>
        <w:rPr>
          <w:rFonts w:hint="eastAsia" w:ascii="宋体" w:hAnsi="宋体" w:eastAsia="宋体" w:cs="宋体"/>
          <w:color w:val="auto"/>
          <w:kern w:val="58"/>
          <w:szCs w:val="21"/>
          <w:highlight w:val="none"/>
        </w:rPr>
        <w:t>元整（¥</w:t>
      </w:r>
      <w:r>
        <w:rPr>
          <w:rFonts w:hint="eastAsia" w:ascii="宋体" w:hAnsi="宋体" w:eastAsia="宋体" w:cs="宋体"/>
          <w:color w:val="auto"/>
          <w:kern w:val="58"/>
          <w:szCs w:val="21"/>
          <w:highlight w:val="none"/>
          <w:u w:val="single"/>
        </w:rPr>
        <w:t xml:space="preserve">        </w:t>
      </w:r>
      <w:r>
        <w:rPr>
          <w:rFonts w:hint="eastAsia" w:ascii="宋体" w:hAnsi="宋体" w:eastAsia="宋体" w:cs="宋体"/>
          <w:color w:val="auto"/>
          <w:kern w:val="58"/>
          <w:szCs w:val="21"/>
          <w:highlight w:val="none"/>
        </w:rPr>
        <w:t>元）。</w:t>
      </w:r>
    </w:p>
    <w:p>
      <w:pPr>
        <w:tabs>
          <w:tab w:val="left" w:pos="0"/>
          <w:tab w:val="left" w:pos="1134"/>
        </w:tabs>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58"/>
          <w:szCs w:val="21"/>
          <w:highlight w:val="none"/>
        </w:rPr>
        <w:t xml:space="preserve">   </w:t>
      </w:r>
      <w:r>
        <w:rPr>
          <w:rFonts w:hint="eastAsia" w:ascii="宋体" w:hAnsi="宋体" w:eastAsia="宋体" w:cs="宋体"/>
          <w:color w:val="auto"/>
          <w:kern w:val="58"/>
          <w:szCs w:val="21"/>
          <w:highlight w:val="none"/>
          <w:lang w:val="en-US" w:eastAsia="zh-CN"/>
        </w:rPr>
        <w:t xml:space="preserve"> </w:t>
      </w:r>
      <w:r>
        <w:rPr>
          <w:rFonts w:hint="eastAsia" w:ascii="宋体" w:hAnsi="宋体" w:eastAsia="宋体" w:cs="宋体"/>
          <w:color w:val="auto"/>
          <w:kern w:val="58"/>
          <w:szCs w:val="21"/>
          <w:highlight w:val="none"/>
        </w:rPr>
        <w:t>②本合同为固定单价和固定总价结合方式，</w:t>
      </w:r>
      <w:r>
        <w:rPr>
          <w:rFonts w:hint="eastAsia" w:ascii="宋体" w:hAnsi="宋体" w:eastAsia="宋体" w:cs="宋体"/>
          <w:color w:val="auto"/>
          <w:kern w:val="0"/>
          <w:szCs w:val="21"/>
          <w:highlight w:val="none"/>
        </w:rPr>
        <w:t>合同分项价</w:t>
      </w:r>
    </w:p>
    <w:p>
      <w:pPr>
        <w:widowControl/>
        <w:numPr>
          <w:ilvl w:val="0"/>
          <w:numId w:val="2"/>
        </w:numPr>
        <w:spacing w:line="360" w:lineRule="auto"/>
        <w:ind w:firstLine="567" w:firstLineChars="27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货物价格：人民币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甲方有权在本项目实施期间增减货物清单中任何一项货物的数量，以及在货物交付前要求乙方延迟交货，根据实际供货的数量进行结算；</w:t>
      </w:r>
    </w:p>
    <w:p>
      <w:pPr>
        <w:widowControl/>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（2）服务价格：人民币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w:t>
      </w:r>
    </w:p>
    <w:p>
      <w:pPr>
        <w:autoSpaceDE w:val="0"/>
        <w:autoSpaceDN w:val="0"/>
        <w:adjustRightInd w:val="0"/>
        <w:spacing w:line="540" w:lineRule="exact"/>
        <w:ind w:firstLine="420" w:firstLineChars="200"/>
        <w:jc w:val="left"/>
        <w:rPr>
          <w:rFonts w:hint="eastAsia" w:ascii="宋体" w:hAnsi="宋体" w:eastAsia="宋体" w:cs="宋体"/>
          <w:color w:val="auto"/>
          <w:kern w:val="58"/>
          <w:szCs w:val="21"/>
          <w:highlight w:val="none"/>
        </w:rPr>
      </w:pPr>
      <w:r>
        <w:rPr>
          <w:rFonts w:hint="eastAsia" w:ascii="宋体" w:hAnsi="宋体" w:eastAsia="宋体" w:cs="宋体"/>
          <w:color w:val="auto"/>
          <w:szCs w:val="21"/>
          <w:highlight w:val="none"/>
        </w:rPr>
        <w:t>5.2 本合同价格包括了乙方履行合同项下供应材料的包装、装卸、运输、安装、保险、现场成品保护、临时脚手架搭拆、竣工清理及现场指导服务等全过</w:t>
      </w:r>
      <w:r>
        <w:rPr>
          <w:rFonts w:hint="eastAsia" w:ascii="宋体" w:hAnsi="宋体" w:eastAsia="宋体" w:cs="宋体"/>
          <w:color w:val="auto"/>
          <w:kern w:val="58"/>
          <w:szCs w:val="21"/>
          <w:highlight w:val="none"/>
        </w:rPr>
        <w:t>程产生的所有费用以及乙方应承担的一切税费。</w:t>
      </w:r>
    </w:p>
    <w:p>
      <w:pPr>
        <w:pStyle w:val="3"/>
        <w:spacing w:before="0" w:after="0" w:line="540" w:lineRule="exact"/>
        <w:jc w:val="left"/>
        <w:rPr>
          <w:rFonts w:hint="eastAsia" w:ascii="宋体" w:hAnsi="宋体" w:eastAsia="宋体" w:cs="宋体"/>
          <w:color w:val="auto"/>
          <w:highlight w:val="none"/>
        </w:rPr>
      </w:pPr>
      <w:bookmarkStart w:id="117" w:name="_Toc20432"/>
      <w:bookmarkStart w:id="118" w:name="_Toc432600603"/>
      <w:bookmarkStart w:id="119" w:name="_Toc393182510"/>
      <w:bookmarkStart w:id="120" w:name="_Toc20847"/>
      <w:r>
        <w:rPr>
          <w:rFonts w:hint="eastAsia" w:ascii="宋体" w:hAnsi="宋体" w:eastAsia="宋体" w:cs="宋体"/>
          <w:color w:val="auto"/>
          <w:sz w:val="21"/>
          <w:szCs w:val="21"/>
          <w:highlight w:val="none"/>
        </w:rPr>
        <w:t>6、图纸和工程资料</w:t>
      </w:r>
      <w:bookmarkEnd w:id="117"/>
      <w:bookmarkEnd w:id="118"/>
      <w:bookmarkEnd w:id="119"/>
      <w:bookmarkEnd w:id="120"/>
    </w:p>
    <w:p>
      <w:pPr>
        <w:spacing w:line="540" w:lineRule="exact"/>
        <w:ind w:firstLine="49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6.1 </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方需向</w:t>
      </w:r>
      <w:r>
        <w:rPr>
          <w:rFonts w:hint="eastAsia" w:ascii="宋体" w:hAnsi="宋体" w:eastAsia="宋体" w:cs="宋体"/>
          <w:color w:val="auto"/>
          <w:szCs w:val="21"/>
          <w:highlight w:val="none"/>
          <w:lang w:val="en-US" w:eastAsia="zh-CN"/>
        </w:rPr>
        <w:t>乙</w:t>
      </w:r>
      <w:r>
        <w:rPr>
          <w:rFonts w:hint="eastAsia" w:ascii="宋体" w:hAnsi="宋体" w:eastAsia="宋体" w:cs="宋体"/>
          <w:color w:val="auto"/>
          <w:szCs w:val="21"/>
          <w:highlight w:val="none"/>
        </w:rPr>
        <w:t>方提供图纸，甲方进行技术交底。</w:t>
      </w:r>
    </w:p>
    <w:p>
      <w:pPr>
        <w:spacing w:line="540" w:lineRule="exact"/>
        <w:ind w:firstLine="495"/>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乙方未经甲方同意，不得为本施工项目以外的目的泄露、公开发表或传给第三人使用。</w:t>
      </w:r>
    </w:p>
    <w:p>
      <w:pPr>
        <w:spacing w:line="540" w:lineRule="exact"/>
        <w:ind w:firstLine="495"/>
        <w:rPr>
          <w:rFonts w:hint="eastAsia" w:ascii="宋体" w:hAnsi="宋体" w:eastAsia="宋体" w:cs="宋体"/>
          <w:color w:val="auto"/>
          <w:szCs w:val="21"/>
          <w:highlight w:val="none"/>
        </w:rPr>
      </w:pPr>
      <w:r>
        <w:rPr>
          <w:rFonts w:hint="eastAsia" w:ascii="宋体" w:hAnsi="宋体" w:eastAsia="宋体" w:cs="宋体"/>
          <w:color w:val="auto"/>
          <w:szCs w:val="21"/>
          <w:highlight w:val="none"/>
        </w:rPr>
        <w:t>6.3 图纸需要修改和补充的，应取得甲方同意后，在该工程或工程相应部位施工前的合理期限内确认修改图或补充图。乙方应按修改或补充后的图纸施工。</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在施工过程中，所涉及的图纸、概算、进料单、施工记录及其他一切甲方认为所需要的资料必须经过甲方确认。</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甲方对图纸及文件的审查确认不减轻和免除乙方的合同责任。</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 乙方应对所有参与该项目的人员加强保密性教育，对在工作过程中接触到的甲方的任何资料,负有为甲方保密的责任，未经甲方同意不得外传甲方任何文件及规章制度。乙方必须严格保密甲方的生产信息，坚决杜绝无事生非，造谣生事现象的出现。由于乙方原因给甲方造成的损失由乙方赔偿，同时追究乙方相应责任。本保密义务在本协议期满、解除或终止后仍然有效。</w:t>
      </w:r>
    </w:p>
    <w:p>
      <w:pPr>
        <w:pStyle w:val="3"/>
        <w:spacing w:before="0" w:after="0" w:line="540" w:lineRule="exact"/>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t>7、材料和设备</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乙方提供的材料和工程设备均由乙方负责采购、运输和保管。乙方应对其采购的材料和工程设备负责。乙方应向甲方提交其负责提供的材料和工程设备的质量证明文件，须满足本合同约定的质量标准。</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对乙方提供的材料和工程设备，由甲乙双方共同书面确认。</w:t>
      </w:r>
    </w:p>
    <w:p>
      <w:pPr>
        <w:pStyle w:val="3"/>
        <w:spacing w:before="0" w:after="0" w:line="540" w:lineRule="exact"/>
        <w:jc w:val="left"/>
        <w:rPr>
          <w:rFonts w:hint="eastAsia" w:ascii="宋体" w:hAnsi="宋体" w:eastAsia="宋体" w:cs="宋体"/>
          <w:color w:val="auto"/>
          <w:highlight w:val="none"/>
        </w:rPr>
      </w:pPr>
      <w:bookmarkStart w:id="121" w:name="_Toc393182512"/>
      <w:bookmarkStart w:id="122" w:name="_Toc7494"/>
      <w:bookmarkStart w:id="123" w:name="_Toc4622"/>
      <w:bookmarkStart w:id="124" w:name="_Toc432600605"/>
      <w:r>
        <w:rPr>
          <w:rFonts w:hint="eastAsia" w:ascii="宋体" w:hAnsi="宋体" w:eastAsia="宋体" w:cs="宋体"/>
          <w:color w:val="auto"/>
          <w:sz w:val="21"/>
          <w:szCs w:val="21"/>
          <w:highlight w:val="none"/>
        </w:rPr>
        <w:t>8、开工和竣工</w:t>
      </w:r>
      <w:bookmarkEnd w:id="121"/>
      <w:bookmarkEnd w:id="122"/>
      <w:bookmarkEnd w:id="123"/>
      <w:bookmarkEnd w:id="124"/>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甲方应在开工前向乙方发出开工报告。工期自甲方书面通知起计算。</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乙方应在合同中约定的工期内完成合同范围内的所有工程。项目竣工验收合格之日起计算质量保修期。</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工期延误</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任何情况下，由于乙方的原因造成工程实际进度落后于“用户需求书”中明确的关键节点工期时，视为乙方工期延误，违约金标准为人民币600元/天（3‰），工期延误时间计算以“用户需求书”中明确的关键节点时间为准。</w:t>
      </w:r>
    </w:p>
    <w:p>
      <w:pPr>
        <w:tabs>
          <w:tab w:val="left" w:pos="714"/>
        </w:tabs>
        <w:spacing w:line="540" w:lineRule="exact"/>
        <w:ind w:firstLine="420" w:firstLineChars="200"/>
        <w:rPr>
          <w:rFonts w:hint="eastAsia" w:ascii="宋体" w:hAnsi="宋体" w:eastAsia="宋体" w:cs="宋体"/>
          <w:color w:val="auto"/>
          <w:kern w:val="52"/>
          <w:szCs w:val="21"/>
          <w:highlight w:val="none"/>
        </w:rPr>
      </w:pPr>
      <w:r>
        <w:rPr>
          <w:rFonts w:hint="eastAsia" w:ascii="宋体" w:hAnsi="宋体" w:eastAsia="宋体" w:cs="宋体"/>
          <w:color w:val="auto"/>
          <w:kern w:val="52"/>
          <w:szCs w:val="21"/>
          <w:highlight w:val="none"/>
        </w:rPr>
        <w:t>工期延误违约金限额：合同价格的10%；累计工期违约金达到合同价格的10%时，甲方可以发出解除合同的通知，合同自通知到达乙方时解除。</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乙方暂停施工的责任</w:t>
      </w:r>
    </w:p>
    <w:p>
      <w:pPr>
        <w:tabs>
          <w:tab w:val="left" w:pos="714"/>
        </w:tabs>
        <w:spacing w:line="5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因下列暂停施工增加的费用和（或）工期延误由乙方承担：</w:t>
      </w:r>
    </w:p>
    <w:p>
      <w:pPr>
        <w:tabs>
          <w:tab w:val="left" w:pos="714"/>
        </w:tabs>
        <w:spacing w:line="5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（1）乙方违约引起的暂停施工；</w:t>
      </w:r>
    </w:p>
    <w:p>
      <w:pPr>
        <w:tabs>
          <w:tab w:val="left" w:pos="714"/>
        </w:tabs>
        <w:spacing w:line="5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（2）为工程合理施工和安全保障所必需的暂停施工；</w:t>
      </w:r>
    </w:p>
    <w:p>
      <w:pPr>
        <w:tabs>
          <w:tab w:val="left" w:pos="714"/>
        </w:tabs>
        <w:spacing w:line="5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（3）乙方擅自暂停施工；</w:t>
      </w:r>
    </w:p>
    <w:p>
      <w:pPr>
        <w:tabs>
          <w:tab w:val="left" w:pos="714"/>
        </w:tabs>
        <w:spacing w:line="5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（4）乙方其他原因引起的暂停施工。</w:t>
      </w:r>
    </w:p>
    <w:p>
      <w:pPr>
        <w:pStyle w:val="3"/>
        <w:spacing w:before="0" w:after="0" w:line="540" w:lineRule="exact"/>
        <w:jc w:val="left"/>
        <w:rPr>
          <w:rFonts w:hint="eastAsia" w:ascii="宋体" w:hAnsi="宋体" w:eastAsia="宋体" w:cs="宋体"/>
          <w:color w:val="auto"/>
          <w:highlight w:val="none"/>
        </w:rPr>
      </w:pPr>
      <w:bookmarkStart w:id="125" w:name="_Toc26641"/>
      <w:bookmarkStart w:id="126" w:name="_Toc432600606"/>
      <w:bookmarkStart w:id="127" w:name="_Toc528"/>
      <w:bookmarkStart w:id="128" w:name="_Toc227910823"/>
      <w:bookmarkStart w:id="129" w:name="_Toc275940310"/>
      <w:bookmarkStart w:id="130" w:name="_Toc219809916"/>
      <w:bookmarkStart w:id="131" w:name="_Toc393182513"/>
      <w:bookmarkStart w:id="132" w:name="_Toc219173757"/>
      <w:r>
        <w:rPr>
          <w:rFonts w:hint="eastAsia" w:ascii="宋体" w:hAnsi="宋体" w:eastAsia="宋体" w:cs="宋体"/>
          <w:color w:val="auto"/>
          <w:sz w:val="21"/>
          <w:szCs w:val="21"/>
          <w:highlight w:val="none"/>
        </w:rPr>
        <w:t>9、工程质量</w:t>
      </w:r>
      <w:bookmarkEnd w:id="125"/>
      <w:bookmarkEnd w:id="126"/>
      <w:bookmarkEnd w:id="127"/>
      <w:bookmarkEnd w:id="128"/>
      <w:bookmarkEnd w:id="129"/>
      <w:bookmarkEnd w:id="130"/>
      <w:bookmarkEnd w:id="131"/>
      <w:bookmarkEnd w:id="132"/>
    </w:p>
    <w:p>
      <w:pPr>
        <w:spacing w:line="540" w:lineRule="exact"/>
        <w:ind w:firstLine="411" w:firstLineChars="196"/>
        <w:rPr>
          <w:rFonts w:hint="eastAsia" w:ascii="宋体" w:hAnsi="宋体" w:eastAsia="宋体" w:cs="宋体"/>
          <w:color w:val="auto"/>
          <w:szCs w:val="21"/>
          <w:highlight w:val="none"/>
        </w:rPr>
      </w:pPr>
      <w:bookmarkStart w:id="133" w:name="_Toc227910824"/>
      <w:bookmarkStart w:id="134" w:name="_Toc219809917"/>
      <w:bookmarkStart w:id="135" w:name="_Toc275940311"/>
      <w:bookmarkStart w:id="136" w:name="_Toc219173758"/>
      <w:r>
        <w:rPr>
          <w:rFonts w:hint="eastAsia" w:ascii="宋体" w:hAnsi="宋体" w:eastAsia="宋体" w:cs="宋体"/>
          <w:color w:val="auto"/>
          <w:szCs w:val="21"/>
          <w:highlight w:val="none"/>
        </w:rPr>
        <w:t>9.1 工程质量要求</w:t>
      </w:r>
      <w:bookmarkEnd w:id="133"/>
      <w:bookmarkEnd w:id="134"/>
      <w:bookmarkEnd w:id="135"/>
      <w:bookmarkEnd w:id="136"/>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9.1.1 工程质量验收按合同约定验收标准执行。</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9.1.2 因乙方原因造成工程质量达不到约定验收标准的，甲方有权要求乙方返工直至符合合同要求为止，由此造成的费用增加和（或）工期延误由乙方承担。</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9.1.3 保证本工程的质量达到合同约定的质量标准是乙方的最起码的合同责任和义务，如乙方不能达到约定的质量标准，甲方可从乙方在本合同约定内，应得的或将得的任何款项中予以抵扣，但该违约金应不超过合同价格的20%。</w:t>
      </w:r>
    </w:p>
    <w:p>
      <w:pPr>
        <w:spacing w:line="540" w:lineRule="exact"/>
        <w:ind w:firstLine="420" w:firstLineChars="200"/>
        <w:rPr>
          <w:rFonts w:hint="eastAsia" w:ascii="宋体" w:hAnsi="宋体" w:eastAsia="宋体" w:cs="宋体"/>
          <w:color w:val="auto"/>
          <w:szCs w:val="21"/>
          <w:highlight w:val="none"/>
        </w:rPr>
      </w:pPr>
      <w:bookmarkStart w:id="137" w:name="_Toc227910827"/>
      <w:bookmarkStart w:id="138" w:name="_Toc219173761"/>
      <w:bookmarkStart w:id="139" w:name="_Toc219809920"/>
      <w:bookmarkStart w:id="140" w:name="_Toc275940314"/>
      <w:r>
        <w:rPr>
          <w:rFonts w:hint="eastAsia" w:ascii="宋体" w:hAnsi="宋体" w:eastAsia="宋体" w:cs="宋体"/>
          <w:color w:val="auto"/>
          <w:szCs w:val="21"/>
          <w:highlight w:val="none"/>
        </w:rPr>
        <w:t>9.2 甲方的质量检查</w:t>
      </w:r>
      <w:bookmarkEnd w:id="137"/>
      <w:bookmarkEnd w:id="138"/>
      <w:bookmarkEnd w:id="139"/>
      <w:bookmarkEnd w:id="140"/>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有权对工程的所有部位及其施工工艺、材料和工程设备进行检查和检验。乙方应为甲方的检查和检验提供方便，包括甲方到施工场地，或制造、加工地点，或合同约定的其他地方进行察看和查阅施工原始记录。乙方还应按甲方指示，进行施工场地取样试验、工程复核测量和设备性能检测，提供试验样品、提交试验报告和测量成果以及甲方要求进行的其他工作。甲方的检查和检验，不免除乙方按合同约定应负的责任。</w:t>
      </w:r>
    </w:p>
    <w:p>
      <w:pPr>
        <w:spacing w:line="540" w:lineRule="exact"/>
        <w:ind w:firstLine="420" w:firstLineChars="200"/>
        <w:rPr>
          <w:rFonts w:hint="eastAsia" w:ascii="宋体" w:hAnsi="宋体" w:eastAsia="宋体" w:cs="宋体"/>
          <w:color w:val="auto"/>
          <w:szCs w:val="21"/>
          <w:highlight w:val="none"/>
        </w:rPr>
      </w:pPr>
      <w:bookmarkStart w:id="141" w:name="_Toc275940315"/>
      <w:bookmarkStart w:id="142" w:name="_Toc227910828"/>
      <w:bookmarkStart w:id="143" w:name="_Toc219809921"/>
      <w:bookmarkStart w:id="144" w:name="_Toc219173762"/>
      <w:r>
        <w:rPr>
          <w:rFonts w:hint="eastAsia" w:ascii="宋体" w:hAnsi="宋体" w:eastAsia="宋体" w:cs="宋体"/>
          <w:color w:val="auto"/>
          <w:szCs w:val="21"/>
          <w:highlight w:val="none"/>
        </w:rPr>
        <w:t>9.3 工程隐蔽部位覆盖前的检查</w:t>
      </w:r>
      <w:bookmarkEnd w:id="141"/>
      <w:bookmarkEnd w:id="142"/>
      <w:bookmarkEnd w:id="143"/>
      <w:bookmarkEnd w:id="144"/>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9.3.1 通知甲方检查</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乙方自检确认的工程隐蔽部位具备覆盖条件后，乙方应通知甲方在约定的期限内检查。乙方的通知应附有自检记录和必要的检查资料。甲方应按时到场检查。经甲方检查确认质量符合隐蔽要求，并在检查记录上签字后，乙方才能进行覆盖。甲方检查确认质量不合格的，乙方应在甲方指示的时间内修整返工后，由甲方重新检查。</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9.3.2 乙方私自覆盖</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乙方未通知甲方到场检查，私自将工程隐蔽部位覆盖的，甲方有权指示乙方钻孔探测或揭开检查，由此增加的费用和（或）工期延误由乙方承担。</w:t>
      </w:r>
    </w:p>
    <w:p>
      <w:pPr>
        <w:spacing w:line="540" w:lineRule="exact"/>
        <w:ind w:firstLine="420" w:firstLineChars="200"/>
        <w:rPr>
          <w:rFonts w:hint="eastAsia" w:ascii="宋体" w:hAnsi="宋体" w:eastAsia="宋体" w:cs="宋体"/>
          <w:color w:val="auto"/>
          <w:szCs w:val="21"/>
          <w:highlight w:val="none"/>
        </w:rPr>
      </w:pPr>
      <w:bookmarkStart w:id="145" w:name="_Toc227910829"/>
      <w:bookmarkStart w:id="146" w:name="_Toc219173763"/>
      <w:bookmarkStart w:id="147" w:name="_Toc219809922"/>
      <w:bookmarkStart w:id="148" w:name="_Toc275940316"/>
      <w:r>
        <w:rPr>
          <w:rFonts w:hint="eastAsia" w:ascii="宋体" w:hAnsi="宋体" w:eastAsia="宋体" w:cs="宋体"/>
          <w:color w:val="auto"/>
          <w:szCs w:val="21"/>
          <w:highlight w:val="none"/>
        </w:rPr>
        <w:t>9.4 清除不合格工程</w:t>
      </w:r>
      <w:bookmarkEnd w:id="145"/>
      <w:bookmarkEnd w:id="146"/>
      <w:bookmarkEnd w:id="147"/>
      <w:bookmarkEnd w:id="148"/>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9.4.1 乙方使用不合格材料、工程设备，或采用不适当的施工工艺，或施工不当，造成工程不合格的，甲方可以随时发出指示，要求乙方立即采取措施进行补救，直至达到合同要求的质量标准，由此增加的费用和（或）工期延误由乙方承担。</w:t>
      </w:r>
    </w:p>
    <w:p>
      <w:pPr>
        <w:pStyle w:val="3"/>
        <w:spacing w:before="0" w:after="0" w:line="5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10、项目负责人</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本工程乙方项目负责人姓名</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 xml:space="preserve"> 身份证号</w:t>
      </w:r>
      <w:r>
        <w:rPr>
          <w:rFonts w:hint="eastAsia" w:ascii="宋体" w:hAnsi="宋体" w:eastAsia="宋体" w:cs="宋体"/>
          <w:color w:val="auto"/>
          <w:szCs w:val="21"/>
          <w:highlight w:val="none"/>
          <w:u w:val="single"/>
        </w:rPr>
        <w:t>：     。</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10.2项目负责人按甲方认可的施工组织设计（施工方案）依据合同发出的开工报告组织施工。</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乙方按约定派出其项目负责人，并在约定的期限内进场。特殊情况下，乙方如因自身需要更换项目负责人，须以书面形式通知提请甲方同意，且指定或调派新的项目负责人不得低于原合同约定的条件。</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10.4乙方应对其项目负责人和其他施工人员进行有效管理。甲方有权要求撤换不能胜任本职工作或因管理混乱履职存在重大失误的人员，承包人应当予以撤换，并承担相应违约责任。</w:t>
      </w:r>
    </w:p>
    <w:p>
      <w:pPr>
        <w:pStyle w:val="3"/>
        <w:spacing w:before="0" w:after="0" w:line="540" w:lineRule="exact"/>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t>11、专利技术</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乙方在使用任何材料、甲方设备、工程设备或采用施工工艺时，因侵犯专利权或其他知识产权所引起的责任，由乙方承担，但由于遵照甲方提供的设计引起的除外。</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11.2乙方在申请文件中采用专利技术的，专利技术的使用费包含在合同价格内。</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乙方的技术秘密和声明需要保密的资料和信息，甲方不得为合同以外的目的泄露给他人。</w:t>
      </w:r>
    </w:p>
    <w:p>
      <w:pPr>
        <w:pStyle w:val="3"/>
        <w:spacing w:before="0" w:after="0" w:line="540" w:lineRule="exact"/>
        <w:jc w:val="left"/>
        <w:rPr>
          <w:rFonts w:hint="eastAsia" w:ascii="宋体" w:hAnsi="宋体" w:eastAsia="宋体" w:cs="宋体"/>
          <w:color w:val="auto"/>
          <w:sz w:val="21"/>
          <w:szCs w:val="21"/>
          <w:highlight w:val="none"/>
        </w:rPr>
      </w:pPr>
      <w:bookmarkStart w:id="149" w:name="_Toc432600608"/>
      <w:r>
        <w:rPr>
          <w:rFonts w:hint="eastAsia" w:ascii="宋体" w:hAnsi="宋体" w:eastAsia="宋体" w:cs="宋体"/>
          <w:color w:val="auto"/>
          <w:sz w:val="21"/>
          <w:szCs w:val="21"/>
          <w:highlight w:val="none"/>
        </w:rPr>
        <w:t>12、履约担保</w:t>
      </w:r>
      <w:bookmarkEnd w:id="149"/>
      <w:bookmarkStart w:id="150" w:name="_Toc275940322"/>
      <w:bookmarkStart w:id="151" w:name="_Toc393182515"/>
      <w:bookmarkStart w:id="152" w:name="_Toc29689"/>
      <w:bookmarkStart w:id="153" w:name="_Toc227910835"/>
      <w:bookmarkStart w:id="154" w:name="_Toc219809927"/>
      <w:bookmarkStart w:id="155" w:name="_Toc15578"/>
      <w:bookmarkStart w:id="156" w:name="_Toc219173768"/>
      <w:r>
        <w:rPr>
          <w:rFonts w:hint="eastAsia" w:ascii="宋体" w:hAnsi="宋体" w:eastAsia="宋体" w:cs="宋体"/>
          <w:color w:val="auto"/>
          <w:sz w:val="21"/>
          <w:szCs w:val="21"/>
          <w:highlight w:val="none"/>
        </w:rPr>
        <w:t>（如有）</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12.1履约担保：乙方在接到甲方成交通知书15个日历天内，向甲方提供履约担保，履约担保金额为合同价款的5%。</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履约担保形式：银行保函或电汇或网银方式提交。如采用银行保函形式，银行保函应由甲方可接受的国有商业银行或股份制银行的支行及其以上级别银行出具，有效期自合同生效之日起至双方约定的验收日期止。如果乙方出具的银行保函有效期早于上述约定日期，乙方应在保函到期日10天之前延长保函的有效期，否则甲方有权延期支付合同价款，并不承担任何违约责任。</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在乙方完成其合同义务包括任何保证义务后30个日历天内，甲方将把履约担保退还乙方，并不计利息。</w:t>
      </w:r>
    </w:p>
    <w:p>
      <w:pPr>
        <w:pStyle w:val="3"/>
        <w:spacing w:before="0" w:after="0" w:line="540" w:lineRule="exact"/>
        <w:jc w:val="left"/>
        <w:rPr>
          <w:rFonts w:hint="eastAsia" w:ascii="宋体" w:hAnsi="宋体" w:eastAsia="宋体" w:cs="宋体"/>
          <w:color w:val="auto"/>
          <w:highlight w:val="none"/>
        </w:rPr>
      </w:pPr>
      <w:bookmarkStart w:id="157" w:name="_Toc432600609"/>
      <w:r>
        <w:rPr>
          <w:rFonts w:hint="eastAsia" w:ascii="宋体" w:hAnsi="宋体" w:eastAsia="宋体" w:cs="宋体"/>
          <w:color w:val="auto"/>
          <w:sz w:val="21"/>
          <w:szCs w:val="21"/>
          <w:highlight w:val="none"/>
        </w:rPr>
        <w:t>13、变更</w:t>
      </w:r>
      <w:bookmarkEnd w:id="150"/>
      <w:bookmarkEnd w:id="151"/>
      <w:bookmarkEnd w:id="152"/>
      <w:bookmarkEnd w:id="153"/>
      <w:bookmarkEnd w:id="154"/>
      <w:bookmarkEnd w:id="155"/>
      <w:bookmarkEnd w:id="156"/>
      <w:bookmarkEnd w:id="157"/>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变更范围</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13.1.1工程建设过程中因周边条件改变，施工不可预见因素，设计缺陷或设计优化提出的修改意见等原因，按照有关工程技术标准、设计规范及施工现场实际情况等，对工程项目任何部分的结构形式、尺寸、质量、等级、数量等做出的修改和补充均属工程变更。</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13.1.2因变更导致合同价款的增减及造成的乙方额外费用，执行甲方合同变更程序，延误的工期相应顺延。</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13.1.3施工中因乙方擅自变更设计发生的费用和由此导致甲方的直接损失，由乙方承担，延误的工期不予顺延。</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13.2变更的估价原则</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除合同条款另有约定外，因变更引起的价格调整按照本款约定处理。</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13.2.1 合同范围内已标价工程量清单中有适用于变更工作的子目的，采用该子目的单价。</w:t>
      </w:r>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13.2.2 合同范围内已标价工程量清单中无适用或类似子目的单价时，须经甲方指定的第三方造价单位确定。</w:t>
      </w:r>
    </w:p>
    <w:p>
      <w:pPr>
        <w:pStyle w:val="3"/>
        <w:spacing w:before="0" w:after="0" w:line="540" w:lineRule="exact"/>
        <w:jc w:val="left"/>
        <w:rPr>
          <w:rFonts w:hint="eastAsia" w:ascii="宋体" w:hAnsi="宋体" w:eastAsia="宋体" w:cs="宋体"/>
          <w:color w:val="auto"/>
          <w:highlight w:val="none"/>
        </w:rPr>
      </w:pPr>
      <w:bookmarkStart w:id="158" w:name="_Toc6962"/>
      <w:bookmarkStart w:id="159" w:name="_Toc432600611"/>
      <w:bookmarkStart w:id="160" w:name="_Toc259093999"/>
      <w:bookmarkStart w:id="161" w:name="_Toc361666490"/>
      <w:bookmarkStart w:id="162" w:name="_Toc83524960"/>
      <w:bookmarkStart w:id="163" w:name="_Toc25006"/>
      <w:bookmarkStart w:id="164" w:name="_Toc177353093"/>
      <w:r>
        <w:rPr>
          <w:rFonts w:hint="eastAsia" w:ascii="宋体" w:hAnsi="宋体" w:eastAsia="宋体" w:cs="宋体"/>
          <w:color w:val="auto"/>
          <w:sz w:val="21"/>
          <w:szCs w:val="21"/>
          <w:highlight w:val="none"/>
        </w:rPr>
        <w:t>14、付款</w:t>
      </w:r>
      <w:bookmarkEnd w:id="158"/>
      <w:bookmarkEnd w:id="159"/>
      <w:bookmarkEnd w:id="160"/>
      <w:bookmarkEnd w:id="161"/>
      <w:bookmarkEnd w:id="162"/>
      <w:bookmarkEnd w:id="163"/>
      <w:bookmarkEnd w:id="164"/>
    </w:p>
    <w:p>
      <w:pPr>
        <w:adjustRightInd w:val="0"/>
        <w:spacing w:line="540" w:lineRule="exact"/>
        <w:ind w:firstLine="420" w:firstLineChars="200"/>
        <w:rPr>
          <w:rFonts w:hint="eastAsia" w:asciiTheme="minorEastAsia" w:hAnsiTheme="minorEastAsia" w:eastAsiaTheme="minorEastAsia" w:cstheme="minorEastAsia"/>
          <w:color w:val="auto"/>
          <w:szCs w:val="21"/>
          <w:highlight w:val="yellow"/>
        </w:rPr>
      </w:pPr>
      <w:r>
        <w:rPr>
          <w:rFonts w:hint="eastAsia" w:ascii="宋体" w:hAnsi="宋体" w:eastAsia="宋体" w:cs="宋体"/>
          <w:color w:val="auto"/>
          <w:szCs w:val="21"/>
          <w:highlight w:val="none"/>
        </w:rPr>
        <w:t>14.1 工程竣工验收合格，承包人递交竣工、结算资料并经发包人认可，付至合同价（扣除暂列金额）的80%；工程结算审计后付至审定价的97%；余款在工程质量缺陷责任期满后一次付清(无息)。承包人在每次收款前，应向发包人开具等额的增值税专用发票（收据无效），发包人收到发票后支付相应款项，如因承包人未能开具有效发票，责任由承包人承担。</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质量保修期满后，甲方应核实乙方是否完成质量保修责任。如乙方没有完成质量保修责任，甲方有权延期支付合同价款，并有权根据约定要求延长质量保修期，直至完成剩余工作为止。</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bookmarkStart w:id="165" w:name="_Toc432600612"/>
      <w:bookmarkStart w:id="166" w:name="_Toc393182517"/>
      <w:bookmarkStart w:id="167" w:name="_Toc18722"/>
      <w:bookmarkStart w:id="168" w:name="_Toc11751"/>
      <w:r>
        <w:rPr>
          <w:rFonts w:hint="eastAsia" w:ascii="宋体" w:hAnsi="宋体" w:eastAsia="宋体" w:cs="宋体"/>
          <w:color w:val="auto"/>
          <w:szCs w:val="21"/>
          <w:highlight w:val="none"/>
        </w:rPr>
        <w:t>14.</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进度付款的修正</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在对以往历次已签发的进度付款审批表进行汇总和复核中发现错、漏或重复的，甲方有权予以修正，乙方也有权提出修正申请。经双方复核同意的修正，应在当期进度付款中支付或扣除。</w:t>
      </w:r>
    </w:p>
    <w:p>
      <w:pPr>
        <w:pStyle w:val="3"/>
        <w:spacing w:before="0" w:after="0" w:line="540" w:lineRule="exact"/>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t>15、双方权利义务</w:t>
      </w:r>
      <w:bookmarkEnd w:id="165"/>
      <w:bookmarkEnd w:id="166"/>
      <w:bookmarkEnd w:id="167"/>
      <w:bookmarkEnd w:id="168"/>
    </w:p>
    <w:p>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 甲方权利与义务</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15.1.1 甲方应按合同的约定向乙方发出开工通知。</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15.1.2 甲方应按合同约定向乙方及时支付合同价款。</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15.1.3 甲方应按合同约定及时组织竣工验收。</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乙方权利与义务</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 乙方应按合同约定以及甲方根据作出的指示，实施、完成全部工程，并修补工程中的任何缺陷。</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15.2.2 乙方应按合同约定采取施工安全措施，确保工程及其人员、材料、设备和设施的安全，防止因工程施工造成的人身伤害和财产损失。</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15.2.3 乙方应按合同约定指派项目负责人，并在约定的期限内到职。未经甲方同意，乙方不得擅自更换项目负责人。</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15.2.4乙方应对其项目负责人和其他人员进行有效管理。甲方要求撤换不能胜任本职工作、行为不端或玩忽职守的乙方项目负责人和其他人员，乙方应予以撤换,造成实际损失的，按照损失情况承担赔偿责任。</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15.2.5保障乙方人员的合法权益。乙方应与其雇佣的人员签订劳动合同，并按时发放工资。按劳动法的规定安排工作时间，保证其雇佣人员享有休息和休假的权利。因工程施工的特殊需要占用休假日或延长工作时间的，应不超过法律规定的限度，并按法律规定给予补休或付酬。为其雇佣人员办理保险。应负责处理其雇佣人员因工伤亡事故的善后事宜。</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15.2.6甲方有权检查乙方安全措施的落实情况，对甲方提出的安全隐患等问题，乙方应立即组织整改，并将处理结果及时反馈。</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15.2.7 乙方在非轨行区作业时不得侵入轨行区限界，不得影响机车、电客车运行或其它设施设备的安全。</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15.2.8 乙方在甲方所属区域内施工若需要使用甲方的设施设备，则对甲方的设施设备应尽到妥善使用的义务，不得破坏甲方设施设备原有状态，否则恢复原状或赔偿损失。</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15.2.9 乙方在现场应配备专职安全员（经甲方认可），专职安全员对轨道交通保护区的施工作业行为、安全防护措施进行专职检查，如项目施工发生异常，需立刻向甲方反馈。</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15.2.10 乙方的特种作业人员的配置必须满足施工需要，并持有效的特种作业证件和操作证，持证上岗。</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15.2.11 乙方应加强人员劳动安全教育，有关人员在未落实安全防护措施前不得进入甲方管辖区域范围内，必须严格执行国家、浙江省等有关人身安全的各项规定，因管理不善或未执行人身安全有关规定而造成的后果由乙方承担全部责任。</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15.2.12 乙方必须为进入甲方管辖区域范围内的现场作业人员按照规定配备必要的个人防护装备。</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15.2.13 乙方在作业过程中应做好防范措施，防止出现漏水、粉尘、坠物等影响甲方正常运营的情况。</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15.2.14 乙方若涉及动火作业,应按要求提前七日申请动火令，经甲方同意后方可实施，并严格按照甲方动火作业要求施工，做好各项防火措施。</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15.2.15 乙方应对进入甲方管辖区域范围内作业的人员明确消防安全责任，建立现场消防安全责任制度，制定各项消防安全管理制度和操作规程，按照有关法律、法规、标准的要求配备灭火器材，现场严禁存放易燃易爆品。</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15.2.16 乙方派出的进入甲方管辖区域范围内作业的人员应坚持文明施工作业，减少现场环境污染，保持现场整洁，做到“工完、料净、脚下清”;</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15.2.17 乙方对相关区域的施工作业要采取有效措施加强对已经建成建筑的保护，及时清理建筑垃圾，规范材料堆放,确保现场安全。</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15.2.18 乙方若将甲方已安装好的消防设施、综合监控系统、相关管线等进行拆除及改造，应按正规流程向甲方提交工作联系单（函），并提供符合设计要求的施工方案，经双方讨论确认后方可实施。在施工结束后乙方应对相关设施进行复原，配合甲方进行验收。</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15.2.19 乙方应加强自我管理，防止其施工作业人员发生任何违法或妨碍治安的行为。</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15.2.20 乙方在作业过程中出现危机轨道交通运营安全情况时，应当立即停止作业，采取相应的安全防护措施，并向甲方报告，以便及时分析原因、制定对策。</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15.2.21 乙方在轨道交通保护区内作业期间因自身原因导致的安全事故、险情由乙方自行负责，与甲方无涉，但事故、险情须及时向甲方报告并说明情况，报告的内容主要有：时间、地点、事故性质、人员伤亡、初步处理情况及报告人的单位、姓名、电话号码等，事故的损失按责论处。</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15.2.22乙方在本合同履行期间，应遵守《中华人民共和国环境保护法》及相关法律法规的规定。</w:t>
      </w:r>
    </w:p>
    <w:p>
      <w:pPr>
        <w:pStyle w:val="3"/>
        <w:spacing w:before="0" w:after="0" w:line="540" w:lineRule="exact"/>
        <w:jc w:val="left"/>
        <w:rPr>
          <w:rFonts w:hint="eastAsia" w:ascii="宋体" w:hAnsi="宋体" w:eastAsia="宋体" w:cs="宋体"/>
          <w:color w:val="auto"/>
          <w:highlight w:val="none"/>
        </w:rPr>
      </w:pPr>
      <w:bookmarkStart w:id="169" w:name="_Toc393182519"/>
      <w:bookmarkStart w:id="170" w:name="_Toc219809944"/>
      <w:bookmarkStart w:id="171" w:name="_Toc275940340"/>
      <w:bookmarkStart w:id="172" w:name="_Toc3073"/>
      <w:bookmarkStart w:id="173" w:name="_Toc432600614"/>
      <w:bookmarkStart w:id="174" w:name="_Toc21514"/>
      <w:bookmarkStart w:id="175" w:name="_Toc219173787"/>
      <w:bookmarkStart w:id="176" w:name="_Toc227910851"/>
      <w:r>
        <w:rPr>
          <w:rFonts w:hint="eastAsia" w:ascii="宋体" w:hAnsi="宋体" w:eastAsia="宋体" w:cs="宋体"/>
          <w:color w:val="auto"/>
          <w:sz w:val="21"/>
          <w:szCs w:val="21"/>
          <w:highlight w:val="none"/>
        </w:rPr>
        <w:t>16、竣工验收</w:t>
      </w:r>
      <w:bookmarkEnd w:id="169"/>
      <w:bookmarkEnd w:id="170"/>
      <w:bookmarkEnd w:id="171"/>
      <w:bookmarkEnd w:id="172"/>
      <w:bookmarkEnd w:id="173"/>
      <w:bookmarkEnd w:id="174"/>
      <w:bookmarkEnd w:id="175"/>
      <w:bookmarkEnd w:id="176"/>
      <w:bookmarkStart w:id="177" w:name="_Toc275940342"/>
      <w:bookmarkStart w:id="178" w:name="_Toc227910853"/>
      <w:bookmarkStart w:id="179" w:name="_Toc219173789"/>
      <w:bookmarkStart w:id="180" w:name="_Toc219809946"/>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16.1 </w:t>
      </w:r>
      <w:bookmarkEnd w:id="177"/>
      <w:bookmarkEnd w:id="178"/>
      <w:bookmarkEnd w:id="179"/>
      <w:bookmarkEnd w:id="180"/>
      <w:r>
        <w:rPr>
          <w:rFonts w:hint="eastAsia" w:ascii="宋体" w:hAnsi="宋体" w:eastAsia="宋体" w:cs="宋体"/>
          <w:color w:val="auto"/>
          <w:szCs w:val="21"/>
          <w:highlight w:val="none"/>
        </w:rPr>
        <w:t>当工程具备以下条件时，乙方即可向甲方报送项目验收申请表：</w:t>
      </w:r>
    </w:p>
    <w:p>
      <w:pPr>
        <w:tabs>
          <w:tab w:val="left" w:pos="714"/>
        </w:tabs>
        <w:adjustRightInd w:val="0"/>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（1）合同范围内的全部单位工程以及有关工作，包括合同要求的试运行以及检验均已完成，并符合合同要求；</w:t>
      </w:r>
    </w:p>
    <w:p>
      <w:pPr>
        <w:tabs>
          <w:tab w:val="left" w:pos="714"/>
        </w:tabs>
        <w:spacing w:line="5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（2）已按合同约定的内容和份数备齐了符合要求的竣工资料；</w:t>
      </w:r>
    </w:p>
    <w:p>
      <w:pPr>
        <w:tabs>
          <w:tab w:val="left" w:pos="714"/>
        </w:tabs>
        <w:spacing w:line="5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（3）甲方要求在竣工验收前应完成的其他工作；</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（4）甲方要求提交的竣工验收资料清单。</w:t>
      </w:r>
    </w:p>
    <w:p>
      <w:pPr>
        <w:tabs>
          <w:tab w:val="left" w:pos="714"/>
        </w:tabs>
        <w:spacing w:line="540" w:lineRule="exact"/>
        <w:ind w:firstLine="480"/>
        <w:rPr>
          <w:rFonts w:hint="eastAsia" w:ascii="宋体" w:hAnsi="宋体" w:eastAsia="宋体" w:cs="宋体"/>
          <w:color w:val="auto"/>
          <w:szCs w:val="21"/>
          <w:highlight w:val="none"/>
        </w:rPr>
      </w:pPr>
      <w:bookmarkStart w:id="181" w:name="_Toc275940343"/>
      <w:bookmarkStart w:id="182" w:name="_Toc219809947"/>
      <w:bookmarkStart w:id="183" w:name="_Toc219173790"/>
      <w:bookmarkStart w:id="184" w:name="_Toc227910854"/>
      <w:r>
        <w:rPr>
          <w:rFonts w:hint="eastAsia" w:ascii="宋体" w:hAnsi="宋体" w:eastAsia="宋体" w:cs="宋体"/>
          <w:color w:val="auto"/>
          <w:szCs w:val="21"/>
          <w:highlight w:val="none"/>
        </w:rPr>
        <w:t>16.2</w:t>
      </w:r>
      <w:bookmarkEnd w:id="181"/>
      <w:bookmarkEnd w:id="182"/>
      <w:bookmarkEnd w:id="183"/>
      <w:bookmarkEnd w:id="184"/>
      <w:r>
        <w:rPr>
          <w:rFonts w:hint="eastAsia" w:ascii="宋体" w:hAnsi="宋体" w:eastAsia="宋体" w:cs="宋体"/>
          <w:color w:val="auto"/>
          <w:szCs w:val="21"/>
          <w:highlight w:val="none"/>
        </w:rPr>
        <w:t>甲方验收后不同意接收工程的，甲方应按验收意见发出指示，要求乙方对不合格工程认真返工重作或进行补救处理，并承担由此产生的费用。</w:t>
      </w:r>
    </w:p>
    <w:p>
      <w:pPr>
        <w:tabs>
          <w:tab w:val="left" w:pos="714"/>
        </w:tabs>
        <w:spacing w:line="5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16.3项目验收报告颁发前，一切工程看管、修复责任均由乙方承担，由此产生的费用已含在综合单价中。项目验收报告颁发后，属于质量保修期内的一切责任由乙方承担，由此产生的费用已含在综合单价中。</w:t>
      </w:r>
    </w:p>
    <w:p>
      <w:pPr>
        <w:tabs>
          <w:tab w:val="left" w:pos="714"/>
        </w:tabs>
        <w:spacing w:line="540" w:lineRule="exact"/>
        <w:ind w:firstLine="420" w:firstLineChars="200"/>
        <w:rPr>
          <w:rFonts w:hint="eastAsia" w:ascii="宋体" w:hAnsi="宋体" w:eastAsia="宋体" w:cs="宋体"/>
          <w:color w:val="auto"/>
          <w:szCs w:val="21"/>
          <w:highlight w:val="none"/>
        </w:rPr>
      </w:pPr>
      <w:bookmarkStart w:id="185" w:name="_Toc219173794"/>
      <w:bookmarkStart w:id="186" w:name="_Toc219809951"/>
      <w:bookmarkStart w:id="187" w:name="_Toc227910858"/>
      <w:bookmarkStart w:id="188" w:name="_Toc275940347"/>
      <w:r>
        <w:rPr>
          <w:rFonts w:hint="eastAsia" w:ascii="宋体" w:hAnsi="宋体" w:eastAsia="宋体" w:cs="宋体"/>
          <w:color w:val="auto"/>
          <w:szCs w:val="21"/>
          <w:highlight w:val="none"/>
        </w:rPr>
        <w:t>16.4</w:t>
      </w:r>
      <w:bookmarkEnd w:id="185"/>
      <w:bookmarkEnd w:id="186"/>
      <w:bookmarkEnd w:id="187"/>
      <w:bookmarkEnd w:id="188"/>
      <w:r>
        <w:rPr>
          <w:rFonts w:hint="eastAsia" w:ascii="宋体" w:hAnsi="宋体" w:eastAsia="宋体" w:cs="宋体"/>
          <w:color w:val="auto"/>
          <w:szCs w:val="21"/>
          <w:highlight w:val="none"/>
        </w:rPr>
        <w:t>除合同另有约定外，项目验收报告颁发后，乙方应对施工场地进行清理，直至甲方检验合格为止。竣工清场费用由乙方承担。</w:t>
      </w:r>
    </w:p>
    <w:p>
      <w:pPr>
        <w:pStyle w:val="3"/>
        <w:spacing w:before="0" w:after="0" w:line="540" w:lineRule="exact"/>
        <w:jc w:val="left"/>
        <w:rPr>
          <w:rFonts w:hint="eastAsia" w:ascii="宋体" w:hAnsi="宋体" w:eastAsia="宋体" w:cs="宋体"/>
          <w:color w:val="auto"/>
          <w:highlight w:val="none"/>
        </w:rPr>
      </w:pPr>
      <w:bookmarkStart w:id="189" w:name="_Toc29929"/>
      <w:bookmarkStart w:id="190" w:name="_Toc432600615"/>
      <w:bookmarkStart w:id="191" w:name="_Toc393182520"/>
      <w:bookmarkStart w:id="192" w:name="_Toc20536"/>
      <w:r>
        <w:rPr>
          <w:rFonts w:hint="eastAsia" w:ascii="宋体" w:hAnsi="宋体" w:eastAsia="宋体" w:cs="宋体"/>
          <w:color w:val="auto"/>
          <w:sz w:val="21"/>
          <w:szCs w:val="21"/>
          <w:highlight w:val="none"/>
        </w:rPr>
        <w:t>17、</w:t>
      </w:r>
      <w:bookmarkEnd w:id="189"/>
      <w:bookmarkEnd w:id="190"/>
      <w:bookmarkEnd w:id="191"/>
      <w:bookmarkEnd w:id="192"/>
      <w:r>
        <w:rPr>
          <w:rFonts w:hint="eastAsia" w:ascii="宋体" w:hAnsi="宋体" w:eastAsia="宋体" w:cs="宋体"/>
          <w:color w:val="auto"/>
          <w:sz w:val="21"/>
          <w:szCs w:val="21"/>
          <w:highlight w:val="none"/>
        </w:rPr>
        <w:t>质量保修期</w:t>
      </w:r>
    </w:p>
    <w:p>
      <w:pPr>
        <w:spacing w:line="540" w:lineRule="exact"/>
        <w:ind w:left="630" w:leftChars="200" w:hanging="210" w:hangingChars="100"/>
        <w:rPr>
          <w:rFonts w:hint="eastAsia" w:ascii="宋体" w:hAnsi="宋体" w:eastAsia="宋体" w:cs="宋体"/>
          <w:color w:val="auto"/>
          <w:szCs w:val="21"/>
          <w:highlight w:val="none"/>
        </w:rPr>
      </w:pPr>
      <w:bookmarkStart w:id="193" w:name="_Toc219173813"/>
      <w:bookmarkStart w:id="194" w:name="_Toc432600618"/>
      <w:bookmarkStart w:id="195" w:name="_Toc4193"/>
      <w:bookmarkStart w:id="196" w:name="_Toc10527"/>
      <w:bookmarkStart w:id="197" w:name="_Toc275940367"/>
      <w:bookmarkStart w:id="198" w:name="_Toc227910878"/>
      <w:bookmarkStart w:id="199" w:name="_Toc219809966"/>
      <w:bookmarkStart w:id="200" w:name="_Toc393182523"/>
      <w:r>
        <w:rPr>
          <w:rFonts w:hint="eastAsia" w:ascii="宋体" w:hAnsi="宋体" w:eastAsia="宋体" w:cs="宋体"/>
          <w:color w:val="auto"/>
          <w:kern w:val="58"/>
          <w:szCs w:val="21"/>
          <w:highlight w:val="none"/>
        </w:rPr>
        <w:t>17.1</w:t>
      </w:r>
      <w:r>
        <w:rPr>
          <w:rFonts w:hint="eastAsia" w:ascii="宋体" w:hAnsi="宋体" w:eastAsia="宋体" w:cs="宋体"/>
          <w:color w:val="auto"/>
          <w:szCs w:val="21"/>
          <w:highlight w:val="none"/>
        </w:rPr>
        <w:t>质量保修期</w:t>
      </w:r>
      <w:r>
        <w:rPr>
          <w:rFonts w:hint="eastAsia" w:ascii="宋体" w:hAnsi="宋体" w:eastAsia="宋体" w:cs="宋体"/>
          <w:color w:val="auto"/>
          <w:kern w:val="58"/>
          <w:szCs w:val="21"/>
          <w:highlight w:val="none"/>
        </w:rPr>
        <w:t>：</w:t>
      </w:r>
      <w:r>
        <w:rPr>
          <w:rFonts w:hint="eastAsia" w:ascii="宋体" w:hAnsi="宋体" w:eastAsia="宋体" w:cs="宋体"/>
          <w:color w:val="auto"/>
          <w:szCs w:val="21"/>
          <w:highlight w:val="none"/>
        </w:rPr>
        <w:t>在正式通过验收合格之日起</w:t>
      </w:r>
      <w:r>
        <w:rPr>
          <w:rFonts w:hint="eastAsia" w:ascii="宋体" w:hAnsi="宋体" w:eastAsia="宋体" w:cs="宋体"/>
          <w:color w:val="auto"/>
          <w:szCs w:val="21"/>
          <w:highlight w:val="none"/>
          <w:u w:val="single"/>
        </w:rPr>
        <w:t xml:space="preserve">  12  </w:t>
      </w:r>
      <w:r>
        <w:rPr>
          <w:rFonts w:hint="eastAsia" w:ascii="宋体" w:hAnsi="宋体" w:eastAsia="宋体" w:cs="宋体"/>
          <w:color w:val="auto"/>
          <w:szCs w:val="21"/>
          <w:highlight w:val="none"/>
        </w:rPr>
        <w:t>个月为质量保修期(包含所有零部件)。</w:t>
      </w:r>
    </w:p>
    <w:p>
      <w:pPr>
        <w:spacing w:line="540" w:lineRule="exact"/>
        <w:ind w:left="630" w:leftChars="200" w:hanging="210" w:hangingChars="100"/>
        <w:rPr>
          <w:rFonts w:hint="eastAsia" w:ascii="宋体" w:hAnsi="宋体" w:eastAsia="宋体" w:cs="宋体"/>
          <w:color w:val="auto"/>
          <w:kern w:val="58"/>
          <w:szCs w:val="21"/>
          <w:highlight w:val="none"/>
        </w:rPr>
      </w:pPr>
      <w:r>
        <w:rPr>
          <w:rFonts w:hint="eastAsia" w:ascii="宋体" w:hAnsi="宋体" w:eastAsia="宋体" w:cs="宋体"/>
          <w:color w:val="auto"/>
          <w:kern w:val="58"/>
          <w:szCs w:val="21"/>
          <w:highlight w:val="none"/>
        </w:rPr>
        <w:t>17.2</w:t>
      </w:r>
      <w:r>
        <w:rPr>
          <w:rFonts w:hint="eastAsia" w:ascii="宋体" w:hAnsi="宋体" w:eastAsia="宋体" w:cs="宋体"/>
          <w:color w:val="auto"/>
          <w:szCs w:val="21"/>
          <w:highlight w:val="none"/>
        </w:rPr>
        <w:t>在质量保修期内，乙方应负责所供货物的免费维修、保养及故障排除，涉及零配件更换的，应免费提供更换。质保期满后，乙方应继续提供优惠维修服务，只收取维修配件成本费、人工费</w:t>
      </w:r>
      <w:r>
        <w:rPr>
          <w:rFonts w:hint="eastAsia" w:ascii="宋体" w:hAnsi="宋体" w:eastAsia="宋体" w:cs="宋体"/>
          <w:color w:val="auto"/>
          <w:kern w:val="58"/>
          <w:szCs w:val="21"/>
          <w:highlight w:val="none"/>
        </w:rPr>
        <w:t>。</w:t>
      </w:r>
    </w:p>
    <w:p>
      <w:pPr>
        <w:tabs>
          <w:tab w:val="left" w:pos="714"/>
        </w:tabs>
        <w:spacing w:line="540" w:lineRule="exact"/>
        <w:ind w:left="630" w:leftChars="20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17.3乙方不能在甲方指示的期限内修复缺陷的，甲方可自行修复或委托其他人修复，由此产生的费用由乙方承担。</w:t>
      </w:r>
    </w:p>
    <w:p>
      <w:pPr>
        <w:tabs>
          <w:tab w:val="left" w:pos="714"/>
        </w:tabs>
        <w:spacing w:line="540" w:lineRule="exact"/>
        <w:ind w:left="630" w:leftChars="20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乙方应在竣工验收之后至质量保修期满期间对已交付使用的工程自费承担修复、重作、更换和维护责任。根据故障情况进行部件更换、维修，维修后的质量保修期，从再次验收后开始重新计算，所发生的一切费用由乙方负担。</w:t>
      </w:r>
    </w:p>
    <w:p>
      <w:pPr>
        <w:spacing w:line="540" w:lineRule="exact"/>
        <w:ind w:left="630" w:leftChars="200" w:hanging="210" w:hangingChars="100"/>
        <w:rPr>
          <w:rFonts w:hint="eastAsia" w:ascii="宋体" w:hAnsi="宋体" w:eastAsia="宋体" w:cs="宋体"/>
          <w:color w:val="auto"/>
          <w:szCs w:val="21"/>
          <w:highlight w:val="none"/>
        </w:rPr>
      </w:pPr>
      <w:r>
        <w:rPr>
          <w:rFonts w:hint="eastAsia" w:ascii="宋体" w:hAnsi="宋体" w:eastAsia="宋体" w:cs="宋体"/>
          <w:color w:val="auto"/>
          <w:kern w:val="58"/>
          <w:szCs w:val="21"/>
          <w:highlight w:val="none"/>
        </w:rPr>
        <w:t>17.</w:t>
      </w:r>
      <w:r>
        <w:rPr>
          <w:rFonts w:hint="eastAsia" w:ascii="宋体" w:hAnsi="宋体" w:eastAsia="宋体" w:cs="宋体"/>
          <w:color w:val="auto"/>
          <w:szCs w:val="21"/>
          <w:highlight w:val="none"/>
        </w:rPr>
        <w:t>5 乙方在接到甲方故障申告后须在2小时内响应,24小时内提供上门维修服务。</w:t>
      </w:r>
    </w:p>
    <w:bookmarkEnd w:id="193"/>
    <w:bookmarkEnd w:id="194"/>
    <w:bookmarkEnd w:id="195"/>
    <w:bookmarkEnd w:id="196"/>
    <w:bookmarkEnd w:id="197"/>
    <w:bookmarkEnd w:id="198"/>
    <w:bookmarkEnd w:id="199"/>
    <w:bookmarkEnd w:id="200"/>
    <w:p>
      <w:pPr>
        <w:pStyle w:val="3"/>
        <w:spacing w:before="0" w:after="0" w:line="540" w:lineRule="exact"/>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t>18、不可抗力</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18.1不可抗力系指甲乙双方在缔结合同时所不能预见的，并且它的发生及其后果是无法避免和无法克服的事件，诸如战争、严重火灾、洪水、台风、地震等。</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受阻方应在不可抗力事件发生后7日内，以书面形式通知另一方并详细描述不可抗力事件的发生原因、情况和可能导致的后果，包括该不可抗力事件发生的日期和预计停止的时间，以及对该方履行在本合同下义务的影响，并在另一方合理要求的时间内提供证明。</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18.3发生不可抗力事件时，双方应各自承担不可抗力事件对其造成的损失。</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18.4若不可抗力发生使合同执行受阻，则合同执行时间根据受影响的时间相应延长，但合同价格不得调整。</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18.5一旦不可抗力事件的影响持续60天以上，双方应通过友好协商在合理的时间内达成一致的处理办法。</w:t>
      </w:r>
    </w:p>
    <w:p>
      <w:pPr>
        <w:tabs>
          <w:tab w:val="left" w:pos="714"/>
        </w:tabs>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18.6 迟延履行期间发生的不可抗力不具有免责效力。</w:t>
      </w:r>
    </w:p>
    <w:p>
      <w:pPr>
        <w:pStyle w:val="3"/>
        <w:spacing w:before="0" w:after="0" w:line="540" w:lineRule="exact"/>
        <w:jc w:val="left"/>
        <w:rPr>
          <w:rFonts w:hint="eastAsia" w:ascii="宋体" w:hAnsi="宋体" w:eastAsia="宋体" w:cs="宋体"/>
          <w:b/>
          <w:color w:val="auto"/>
          <w:sz w:val="21"/>
          <w:szCs w:val="21"/>
          <w:highlight w:val="none"/>
        </w:rPr>
      </w:pPr>
      <w:bookmarkStart w:id="201" w:name="_Toc432600622"/>
      <w:bookmarkStart w:id="202" w:name="_Toc227910887"/>
      <w:bookmarkStart w:id="203" w:name="_Toc14717"/>
      <w:bookmarkStart w:id="204" w:name="_Toc275940376"/>
      <w:bookmarkStart w:id="205" w:name="_Toc13628"/>
      <w:bookmarkStart w:id="206" w:name="_Toc219173822"/>
      <w:bookmarkStart w:id="207" w:name="_Toc219809975"/>
      <w:bookmarkStart w:id="208" w:name="_Toc393182527"/>
      <w:r>
        <w:rPr>
          <w:rFonts w:hint="eastAsia" w:ascii="宋体" w:hAnsi="宋体" w:eastAsia="宋体" w:cs="宋体"/>
          <w:b/>
          <w:color w:val="auto"/>
          <w:sz w:val="21"/>
          <w:szCs w:val="21"/>
          <w:highlight w:val="none"/>
        </w:rPr>
        <w:t>19、争议的解决</w:t>
      </w:r>
      <w:bookmarkEnd w:id="201"/>
      <w:bookmarkEnd w:id="202"/>
      <w:bookmarkEnd w:id="203"/>
      <w:bookmarkEnd w:id="204"/>
      <w:bookmarkEnd w:id="205"/>
      <w:bookmarkEnd w:id="206"/>
      <w:bookmarkEnd w:id="207"/>
      <w:bookmarkEnd w:id="208"/>
    </w:p>
    <w:p>
      <w:pPr>
        <w:widowControl/>
        <w:spacing w:line="540" w:lineRule="exact"/>
        <w:ind w:firstLine="316" w:firstLineChars="150"/>
        <w:outlineLvl w:val="9"/>
        <w:rPr>
          <w:rFonts w:hint="eastAsia" w:ascii="宋体" w:hAnsi="宋体" w:eastAsia="宋体" w:cs="宋体"/>
          <w:b/>
          <w:color w:val="auto"/>
          <w:szCs w:val="21"/>
          <w:highlight w:val="none"/>
        </w:rPr>
      </w:pPr>
      <w:bookmarkStart w:id="209" w:name="_Toc393182528"/>
      <w:bookmarkStart w:id="210" w:name="_Toc5437"/>
      <w:bookmarkStart w:id="211" w:name="_Toc432600623"/>
      <w:bookmarkStart w:id="212" w:name="_Toc4807"/>
      <w:r>
        <w:rPr>
          <w:rFonts w:hint="eastAsia" w:ascii="宋体" w:hAnsi="宋体" w:eastAsia="宋体" w:cs="宋体"/>
          <w:b/>
          <w:color w:val="auto"/>
          <w:szCs w:val="21"/>
          <w:highlight w:val="none"/>
        </w:rPr>
        <w:t xml:space="preserve">19.1 </w:t>
      </w:r>
      <w:r>
        <w:rPr>
          <w:rFonts w:hint="eastAsia" w:ascii="宋体" w:hAnsi="宋体" w:eastAsia="宋体" w:cs="宋体"/>
          <w:color w:val="auto"/>
          <w:szCs w:val="21"/>
          <w:highlight w:val="none"/>
          <w:lang w:val="en-US" w:eastAsia="zh-CN"/>
        </w:rPr>
        <w:t>本合同的效力、履行及任何争议仅适用中华人民共和国法律</w:t>
      </w:r>
      <w:r>
        <w:rPr>
          <w:rFonts w:hint="eastAsia" w:ascii="宋体" w:hAnsi="宋体" w:eastAsia="宋体" w:cs="宋体"/>
          <w:b/>
          <w:color w:val="auto"/>
          <w:szCs w:val="21"/>
          <w:highlight w:val="none"/>
        </w:rPr>
        <w:t>。</w:t>
      </w:r>
    </w:p>
    <w:p>
      <w:pPr>
        <w:widowControl/>
        <w:spacing w:line="540" w:lineRule="exact"/>
        <w:ind w:firstLine="316" w:firstLineChars="15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19.2 </w:t>
      </w:r>
      <w:r>
        <w:rPr>
          <w:rFonts w:hint="eastAsia" w:ascii="宋体" w:hAnsi="宋体" w:eastAsia="宋体" w:cs="宋体"/>
          <w:color w:val="auto"/>
          <w:szCs w:val="21"/>
          <w:highlight w:val="none"/>
          <w:lang w:val="en-US" w:eastAsia="zh-CN"/>
        </w:rPr>
        <w:t>因履行本合同引起的或与本合同有关的争议，买卖双方应通过协商或调解解决，如果协商不成，提交南通仲裁委员会仲裁</w:t>
      </w:r>
      <w:r>
        <w:rPr>
          <w:rFonts w:hint="eastAsia" w:ascii="宋体" w:hAnsi="宋体" w:eastAsia="宋体" w:cs="宋体"/>
          <w:b/>
          <w:color w:val="auto"/>
          <w:szCs w:val="21"/>
          <w:highlight w:val="none"/>
        </w:rPr>
        <w:t>。</w:t>
      </w:r>
    </w:p>
    <w:p>
      <w:pPr>
        <w:pStyle w:val="3"/>
        <w:spacing w:before="0" w:after="0" w:line="540" w:lineRule="exact"/>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t>20、其他约定</w:t>
      </w:r>
      <w:bookmarkEnd w:id="209"/>
      <w:bookmarkEnd w:id="210"/>
      <w:bookmarkEnd w:id="211"/>
      <w:bookmarkEnd w:id="212"/>
    </w:p>
    <w:p>
      <w:pPr>
        <w:spacing w:line="5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20.1本合同在甲方提交有效履约担保及甲、乙双方法定代表人（或其委托代理人）签字或盖章并盖单位章后生效。</w:t>
      </w:r>
    </w:p>
    <w:p>
      <w:pPr>
        <w:spacing w:line="5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20.2下列合同附件为本合同不可分割的部分并与本合同具有同等效力：</w:t>
      </w:r>
    </w:p>
    <w:p>
      <w:pPr>
        <w:spacing w:line="5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1)廉政合同；</w:t>
      </w:r>
    </w:p>
    <w:p>
      <w:pPr>
        <w:spacing w:line="5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2)工程量清单及分项报价表</w:t>
      </w:r>
    </w:p>
    <w:p>
      <w:pPr>
        <w:widowControl/>
        <w:autoSpaceDE w:val="0"/>
        <w:autoSpaceDN w:val="0"/>
        <w:spacing w:line="54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甲方根据乙方签订合同时指定的通讯地址、手机号码等联络信息为其提供服务，对账单、催收单以及相关法律文书、诉讼文件的送达地均以此为准。乙方联络信息如有变更，应及时致电甲方通知甲方办理资料变更手续，否则甲方按乙方指定的通讯地址、手机号码等联络信息送达的文件均为有效送达，由于乙方未及时通知甲方联络信息变更而产生的一切风险和损失由乙方自行承担。</w:t>
      </w:r>
    </w:p>
    <w:p>
      <w:pPr>
        <w:widowControl/>
        <w:autoSpaceDE w:val="0"/>
        <w:autoSpaceDN w:val="0"/>
        <w:spacing w:line="54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20.4 未尽事宜，经双方协商一致，签订补充协议。</w:t>
      </w:r>
    </w:p>
    <w:p>
      <w:pPr>
        <w:widowControl/>
        <w:autoSpaceDE w:val="0"/>
        <w:autoSpaceDN w:val="0"/>
        <w:spacing w:line="54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20.5 </w:t>
      </w:r>
      <w:r>
        <w:rPr>
          <w:rFonts w:hint="eastAsia" w:ascii="宋体" w:hAnsi="宋体" w:eastAsia="宋体" w:cs="宋体"/>
          <w:color w:val="auto"/>
          <w:szCs w:val="21"/>
          <w:highlight w:val="none"/>
          <w:lang w:val="en-US" w:eastAsia="zh-CN"/>
        </w:rPr>
        <w:t>本合同（包括附件）一式拾份，正本贰份，买卖双方各执壹份；副本捌份，甲方执陆份，乙方执贰份，具有同等效力</w:t>
      </w:r>
      <w:r>
        <w:rPr>
          <w:rFonts w:hint="eastAsia" w:ascii="宋体" w:hAnsi="宋体" w:eastAsia="宋体" w:cs="宋体"/>
          <w:color w:val="auto"/>
          <w:kern w:val="0"/>
          <w:szCs w:val="21"/>
          <w:highlight w:val="none"/>
        </w:rPr>
        <w:t>。</w:t>
      </w:r>
    </w:p>
    <w:p>
      <w:pPr>
        <w:tabs>
          <w:tab w:val="left" w:pos="4140"/>
          <w:tab w:val="left" w:pos="4680"/>
        </w:tabs>
        <w:spacing w:line="5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rPr>
        <w:t xml:space="preserve">南通轨道交通集团有限公司运营分公司   </w:t>
      </w:r>
      <w:r>
        <w:rPr>
          <w:rFonts w:hint="eastAsia" w:ascii="宋体" w:hAnsi="宋体" w:eastAsia="宋体" w:cs="宋体"/>
          <w:color w:val="auto"/>
          <w:szCs w:val="21"/>
          <w:highlight w:val="none"/>
        </w:rPr>
        <w:t xml:space="preserve">    乙方： </w:t>
      </w:r>
    </w:p>
    <w:p>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（盖单位章）                                  （盖单位章）         </w:t>
      </w:r>
    </w:p>
    <w:p>
      <w:pPr>
        <w:spacing w:line="5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                                     法定代表人或</w:t>
      </w:r>
    </w:p>
    <w:p>
      <w:pPr>
        <w:tabs>
          <w:tab w:val="left" w:pos="4140"/>
        </w:tabs>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其委托代理人：</w:t>
      </w:r>
      <w:r>
        <w:rPr>
          <w:rFonts w:hint="eastAsia" w:ascii="宋体" w:hAnsi="宋体" w:eastAsia="宋体" w:cs="宋体"/>
          <w:color w:val="auto"/>
          <w:szCs w:val="21"/>
          <w:highlight w:val="none"/>
          <w:u w:val="single"/>
        </w:rPr>
        <w:t xml:space="preserve">       （签字）                </w:t>
      </w:r>
      <w:r>
        <w:rPr>
          <w:rFonts w:hint="eastAsia" w:ascii="宋体" w:hAnsi="宋体" w:eastAsia="宋体" w:cs="宋体"/>
          <w:color w:val="auto"/>
          <w:szCs w:val="21"/>
          <w:highlight w:val="none"/>
        </w:rPr>
        <w:t xml:space="preserve">    其委托代理人：</w:t>
      </w:r>
      <w:r>
        <w:rPr>
          <w:rFonts w:hint="eastAsia" w:ascii="宋体" w:hAnsi="宋体" w:eastAsia="宋体" w:cs="宋体"/>
          <w:color w:val="auto"/>
          <w:szCs w:val="21"/>
          <w:highlight w:val="none"/>
          <w:u w:val="single"/>
        </w:rPr>
        <w:t xml:space="preserve">      （签字）    </w:t>
      </w:r>
    </w:p>
    <w:p>
      <w:pPr>
        <w:spacing w:line="540" w:lineRule="exact"/>
        <w:ind w:left="5880" w:hanging="5880" w:hangingChars="2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pPr>
        <w:spacing w:line="5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电话：                                           电话： </w:t>
      </w:r>
    </w:p>
    <w:p>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                                       邮政编码：</w:t>
      </w:r>
      <w:bookmarkEnd w:id="88"/>
      <w:bookmarkEnd w:id="89"/>
      <w:bookmarkEnd w:id="90"/>
      <w:bookmarkEnd w:id="91"/>
      <w:r>
        <w:rPr>
          <w:rFonts w:hint="eastAsia" w:ascii="宋体" w:hAnsi="宋体" w:eastAsia="宋体" w:cs="宋体"/>
          <w:color w:val="auto"/>
          <w:szCs w:val="21"/>
          <w:highlight w:val="none"/>
        </w:rPr>
        <w:t xml:space="preserve"> </w:t>
      </w:r>
    </w:p>
    <w:p>
      <w:pPr>
        <w:spacing w:line="540" w:lineRule="exact"/>
        <w:rPr>
          <w:rFonts w:hint="eastAsia" w:ascii="宋体" w:hAnsi="宋体" w:eastAsia="宋体" w:cs="宋体"/>
          <w:b/>
          <w:color w:val="auto"/>
          <w:szCs w:val="21"/>
          <w:highlight w:val="none"/>
        </w:rPr>
        <w:sectPr>
          <w:footerReference r:id="rId6" w:type="default"/>
          <w:pgSz w:w="11906" w:h="16838"/>
          <w:pgMar w:top="1440" w:right="1800" w:bottom="1440" w:left="1800" w:header="851" w:footer="992" w:gutter="0"/>
          <w:cols w:space="425" w:num="1"/>
          <w:docGrid w:type="lines" w:linePitch="312" w:charSpace="0"/>
        </w:sectPr>
      </w:pPr>
    </w:p>
    <w:p>
      <w:pPr>
        <w:spacing w:line="5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合同附件一 工程量清单及分项报价表</w:t>
      </w:r>
    </w:p>
    <w:p>
      <w:pPr>
        <w:adjustRightInd w:val="0"/>
        <w:snapToGrid w:val="0"/>
        <w:spacing w:before="156" w:beforeLines="50"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货币单位：</w:t>
      </w:r>
      <w:r>
        <w:rPr>
          <w:rFonts w:hint="eastAsia" w:ascii="宋体" w:hAnsi="宋体" w:eastAsia="宋体" w:cs="宋体"/>
          <w:color w:val="auto"/>
          <w:szCs w:val="21"/>
          <w:highlight w:val="none"/>
          <w:u w:val="single"/>
        </w:rPr>
        <w:t>人民币（元）</w:t>
      </w:r>
    </w:p>
    <w:p>
      <w:pPr>
        <w:spacing w:line="540" w:lineRule="exact"/>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u w:val="single"/>
        </w:rPr>
        <w:br w:type="page"/>
      </w:r>
      <w:r>
        <w:rPr>
          <w:rFonts w:hint="eastAsia" w:ascii="宋体" w:hAnsi="宋体" w:eastAsia="宋体" w:cs="宋体"/>
          <w:b/>
          <w:color w:val="auto"/>
          <w:szCs w:val="21"/>
          <w:highlight w:val="none"/>
        </w:rPr>
        <w:t>合同附件</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 xml:space="preserve"> 廉政合同</w:t>
      </w:r>
    </w:p>
    <w:p>
      <w:pPr>
        <w:spacing w:line="540" w:lineRule="exact"/>
        <w:jc w:val="center"/>
        <w:rPr>
          <w:rFonts w:hint="eastAsia" w:ascii="宋体" w:hAnsi="宋体" w:eastAsia="宋体" w:cs="宋体"/>
          <w:b/>
          <w:color w:val="auto"/>
          <w:szCs w:val="21"/>
          <w:highlight w:val="none"/>
        </w:rPr>
      </w:pPr>
      <w:r>
        <w:rPr>
          <w:rFonts w:hint="eastAsia" w:ascii="宋体" w:hAnsi="宋体" w:eastAsia="宋体" w:cs="宋体"/>
          <w:b/>
          <w:color w:val="auto"/>
          <w:sz w:val="32"/>
          <w:szCs w:val="36"/>
          <w:highlight w:val="none"/>
        </w:rPr>
        <w:t>廉政合同</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南通轨道交通</w:t>
      </w:r>
      <w:r>
        <w:rPr>
          <w:rFonts w:hint="eastAsia" w:ascii="宋体" w:hAnsi="宋体" w:eastAsia="宋体" w:cs="宋体"/>
          <w:color w:val="auto"/>
          <w:highlight w:val="none"/>
          <w:u w:val="single"/>
          <w:lang w:val="en-US" w:eastAsia="zh-CN"/>
        </w:rPr>
        <w:t>集团</w:t>
      </w:r>
      <w:r>
        <w:rPr>
          <w:rFonts w:hint="eastAsia" w:ascii="宋体" w:hAnsi="宋体" w:eastAsia="宋体" w:cs="宋体"/>
          <w:color w:val="auto"/>
          <w:highlight w:val="none"/>
          <w:u w:val="single"/>
        </w:rPr>
        <w:t xml:space="preserve">有限公司运营分公司  </w:t>
      </w:r>
    </w:p>
    <w:p>
      <w:pPr>
        <w:spacing w:line="5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为加强廉政建设，规范甲、乙双方的各项活动，防止发生各种谋取不正当利益的违法违纪行为，保护国家、集体和当事人的合法权益，根据国家有关廉政建设规定，特订立本廉政合同。</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第一条 双方的权利和义务</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 应严格遵守国家关于市场准入、项目招标投标、采购工作、招标代理管理、市场活动的有关法律、法规，相关政策，以及廉政建设的各项规定。</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 严格执行本项目甲、乙双方签订的合同（协议）文件，自觉按合同（协议）办事。</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 业务活动必须坚持公开、公平、公正、诚信、透明的原则（除法律法规和合同文件另有规定者外），双方人员不得获取不正当利益，不得损害国家和集体利益。</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第二条  甲方的责任</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甲方的领导和从事该项目的工作人员，在项目的事前、事中、事后应遵守以下规定：</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 不准向乙方索要或接受回扣、礼金、有价证券、贵重物品和好处费、感谢费等；不准在乙方报销任何由甲方或个人支付的费用。</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 不准参加乙方安排的超标准宴请及健身、娱乐等活动；不得接受乙方提供的通讯工具、交通工具、高档办公用品等。</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 不准要求、暗示和接受乙方为个人装修住房、婚丧嫁娶、配偶子女工作安排以及出国（境）、旅游等提供方便。</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 配偶、子女不得从事与乙方承接本项目工作有关业务活动。</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第三条  乙方责任</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乙方应与甲方保持正常的业务交往，按照有关法律法规和程序开展业务工作，并遵守以下规定：</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 不准以任何理由向甲方及其工作人员行贿或赠送礼金、有价证券、贵重物品。</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 不准以任何名义为甲方及其工作人员报销应由对方或个人支付的费用。</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 不准以任何理由安排甲方工作人员参加的超标准宴请及健身、娱乐和旅游等活动。</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 不准为甲方单位和工作人员购置或提供通讯工具、交通工具、高档办公用品和装修住房等。</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第四条  违约责任</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 甲方工作人员有违反本合同第一、二条责任行为的，按照管理权限，依据有关法律法规和规定给予党纪、政纪处分或组织处理；涉嫌犯罪的，移交司法机关追究刑事责任；给乙方单位造成经济损失的，应予以赔偿。</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 乙方工作人员有违反本合同第一、三条责任行为的，按照管理权限，依据有关法律法规和规定给予党纪、政纪处分或组织处理；涉嫌犯罪的，移交司法机关追究刑事责任；给甲方单位造成经济损失的，应予以赔偿。</w:t>
      </w:r>
    </w:p>
    <w:p>
      <w:pPr>
        <w:spacing w:line="5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第五条  双方约定：本合同由运营分公司纪检监督部负责监督，并对本合同履行情况进行检查。</w:t>
      </w:r>
    </w:p>
    <w:p>
      <w:pPr>
        <w:spacing w:line="540" w:lineRule="exact"/>
        <w:ind w:firstLine="420" w:firstLineChars="200"/>
        <w:rPr>
          <w:rFonts w:hint="eastAsia" w:ascii="宋体" w:hAnsi="宋体" w:eastAsia="宋体" w:cs="宋体"/>
          <w:color w:val="auto"/>
          <w:sz w:val="22"/>
          <w:szCs w:val="20"/>
          <w:highlight w:val="none"/>
        </w:rPr>
      </w:pPr>
      <w:r>
        <w:rPr>
          <w:rFonts w:hint="eastAsia" w:ascii="宋体" w:hAnsi="宋体" w:eastAsia="宋体" w:cs="宋体"/>
          <w:color w:val="auto"/>
          <w:highlight w:val="none"/>
        </w:rPr>
        <w:t>第六条  本合同作为合同的附件，与主合同具有同等法律效力。甲乙双方签署后立即生效。</w:t>
      </w:r>
    </w:p>
    <w:p>
      <w:pPr>
        <w:spacing w:line="540" w:lineRule="exact"/>
        <w:jc w:val="left"/>
        <w:rPr>
          <w:rFonts w:hint="eastAsia" w:ascii="宋体" w:hAnsi="宋体" w:eastAsia="宋体" w:cs="宋体"/>
          <w:color w:val="auto"/>
          <w:sz w:val="22"/>
          <w:szCs w:val="20"/>
          <w:highlight w:val="none"/>
        </w:rPr>
      </w:pPr>
    </w:p>
    <w:p>
      <w:pPr>
        <w:spacing w:line="540" w:lineRule="exact"/>
        <w:rPr>
          <w:rFonts w:hint="eastAsia" w:ascii="宋体" w:hAnsi="宋体" w:eastAsia="宋体" w:cs="宋体"/>
          <w:color w:val="auto"/>
          <w:highlight w:val="none"/>
        </w:rPr>
      </w:pPr>
      <w:r>
        <w:rPr>
          <w:rFonts w:hint="eastAsia" w:ascii="宋体" w:hAnsi="宋体" w:eastAsia="宋体" w:cs="宋体"/>
          <w:color w:val="auto"/>
          <w:highlight w:val="none"/>
        </w:rPr>
        <w:t>甲方（盖章）：</w:t>
      </w:r>
      <w:r>
        <w:rPr>
          <w:rFonts w:hint="eastAsia" w:ascii="宋体" w:hAnsi="宋体" w:eastAsia="宋体" w:cs="宋体"/>
          <w:color w:val="auto"/>
          <w:highlight w:val="none"/>
          <w:u w:val="single"/>
        </w:rPr>
        <w:t>南通轨道交通集团有限公司</w:t>
      </w:r>
      <w:r>
        <w:rPr>
          <w:rFonts w:hint="eastAsia" w:ascii="宋体" w:hAnsi="宋体" w:eastAsia="宋体" w:cs="宋体"/>
          <w:color w:val="auto"/>
          <w:highlight w:val="none"/>
        </w:rPr>
        <w:t xml:space="preserve">    乙方（盖章）：</w:t>
      </w:r>
      <w:r>
        <w:rPr>
          <w:rFonts w:hint="eastAsia" w:ascii="宋体" w:hAnsi="宋体" w:eastAsia="宋体" w:cs="宋体"/>
          <w:color w:val="auto"/>
          <w:highlight w:val="none"/>
          <w:u w:val="single"/>
        </w:rPr>
        <w:t xml:space="preserve">                          </w:t>
      </w:r>
    </w:p>
    <w:p>
      <w:pPr>
        <w:spacing w:line="540" w:lineRule="exact"/>
        <w:ind w:firstLine="1470" w:firstLineChars="700"/>
        <w:rPr>
          <w:rFonts w:hint="eastAsia" w:ascii="宋体" w:hAnsi="宋体" w:eastAsia="宋体" w:cs="宋体"/>
          <w:color w:val="auto"/>
          <w:szCs w:val="21"/>
          <w:highlight w:val="none"/>
        </w:rPr>
      </w:pPr>
      <w:r>
        <w:rPr>
          <w:rFonts w:hint="eastAsia" w:ascii="宋体" w:hAnsi="宋体" w:eastAsia="宋体" w:cs="宋体"/>
          <w:color w:val="auto"/>
          <w:highlight w:val="none"/>
          <w:u w:val="single"/>
        </w:rPr>
        <w:t xml:space="preserve">运营分公司 </w:t>
      </w:r>
    </w:p>
    <w:p>
      <w:pPr>
        <w:rPr>
          <w:rFonts w:hint="eastAsia" w:ascii="宋体" w:hAnsi="宋体" w:eastAsia="宋体" w:cs="宋体"/>
          <w:color w:val="auto"/>
          <w:kern w:val="2"/>
          <w:sz w:val="36"/>
          <w:szCs w:val="36"/>
          <w:highlight w:val="none"/>
          <w:lang w:val="zh-CN"/>
        </w:rPr>
      </w:pPr>
      <w:r>
        <w:rPr>
          <w:rFonts w:hint="eastAsia" w:ascii="宋体" w:hAnsi="宋体" w:eastAsia="宋体" w:cs="宋体"/>
          <w:color w:val="auto"/>
          <w:kern w:val="2"/>
          <w:sz w:val="36"/>
          <w:szCs w:val="36"/>
          <w:highlight w:val="none"/>
          <w:lang w:val="zh-CN"/>
        </w:rPr>
        <w:br w:type="page"/>
      </w:r>
    </w:p>
    <w:p>
      <w:pPr>
        <w:pStyle w:val="3"/>
        <w:spacing w:line="360" w:lineRule="auto"/>
        <w:ind w:firstLine="2168" w:firstLineChars="600"/>
        <w:jc w:val="both"/>
        <w:rPr>
          <w:rFonts w:hint="eastAsia" w:ascii="宋体" w:hAnsi="宋体" w:eastAsia="宋体" w:cs="宋体"/>
          <w:color w:val="auto"/>
          <w:kern w:val="2"/>
          <w:sz w:val="36"/>
          <w:szCs w:val="36"/>
          <w:highlight w:val="none"/>
          <w:lang w:val="zh-CN"/>
        </w:rPr>
      </w:pPr>
      <w:r>
        <w:rPr>
          <w:rFonts w:hint="eastAsia" w:ascii="宋体" w:hAnsi="宋体" w:eastAsia="宋体" w:cs="宋体"/>
          <w:color w:val="auto"/>
          <w:kern w:val="2"/>
          <w:sz w:val="36"/>
          <w:szCs w:val="36"/>
          <w:highlight w:val="none"/>
          <w:lang w:val="zh-CN"/>
        </w:rPr>
        <w:t>第六章 参选文件格式</w:t>
      </w:r>
    </w:p>
    <w:p>
      <w:pPr>
        <w:pStyle w:val="12"/>
        <w:overflowPunct w:val="0"/>
        <w:spacing w:line="360" w:lineRule="auto"/>
        <w:ind w:firstLine="422"/>
        <w:rPr>
          <w:rFonts w:hint="eastAsia" w:ascii="宋体" w:hAnsi="宋体" w:eastAsia="宋体" w:cs="宋体"/>
          <w:b w:val="0"/>
          <w:i/>
          <w:iCs/>
          <w:color w:val="auto"/>
          <w:szCs w:val="24"/>
          <w:highlight w:val="none"/>
        </w:rPr>
      </w:pPr>
      <w:r>
        <w:rPr>
          <w:rFonts w:hint="eastAsia" w:ascii="宋体" w:hAnsi="宋体" w:eastAsia="宋体" w:cs="宋体"/>
          <w:b w:val="0"/>
          <w:i/>
          <w:iCs/>
          <w:color w:val="auto"/>
          <w:szCs w:val="24"/>
          <w:highlight w:val="none"/>
        </w:rPr>
        <w:t>（说明：对本章所有的格式，参选方可根据自身情况进行补充和修改，但补充和修改不得造成与本格式内容有实质性的违背。）</w:t>
      </w:r>
    </w:p>
    <w:p>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pPr>
        <w:pStyle w:val="2"/>
        <w:spacing w:line="360" w:lineRule="auto"/>
        <w:ind w:firstLine="422"/>
        <w:rPr>
          <w:rFonts w:hint="eastAsia" w:ascii="宋体" w:hAnsi="宋体" w:eastAsia="宋体" w:cs="宋体"/>
          <w:color w:val="auto"/>
          <w:highlight w:val="none"/>
        </w:rPr>
      </w:pPr>
      <w:bookmarkStart w:id="213" w:name="_Toc96078135"/>
      <w:r>
        <w:rPr>
          <w:rFonts w:hint="eastAsia" w:ascii="宋体" w:hAnsi="宋体" w:eastAsia="宋体" w:cs="宋体"/>
          <w:color w:val="auto"/>
          <w:highlight w:val="none"/>
        </w:rPr>
        <w:t>参选文件封面（格式）</w:t>
      </w:r>
      <w:bookmarkEnd w:id="213"/>
    </w:p>
    <w:p>
      <w:pPr>
        <w:spacing w:line="360" w:lineRule="auto"/>
        <w:ind w:firstLine="420"/>
        <w:jc w:val="right"/>
        <w:rPr>
          <w:rFonts w:hint="eastAsia" w:ascii="宋体" w:hAnsi="宋体" w:eastAsia="宋体" w:cs="宋体"/>
          <w:color w:val="auto"/>
          <w:sz w:val="24"/>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32"/>
          <w:highlight w:val="none"/>
        </w:rPr>
        <w:t>正本/副本</w:t>
      </w: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pStyle w:val="12"/>
        <w:spacing w:line="360" w:lineRule="auto"/>
        <w:jc w:val="center"/>
        <w:rPr>
          <w:rFonts w:hint="eastAsia" w:ascii="宋体" w:hAnsi="宋体" w:eastAsia="宋体" w:cs="宋体"/>
          <w:color w:val="auto"/>
          <w:highlight w:val="none"/>
          <w:lang w:eastAsia="zh-CN"/>
        </w:rPr>
      </w:pPr>
      <w:r>
        <w:rPr>
          <w:rFonts w:hint="eastAsia" w:ascii="宋体" w:hAnsi="宋体" w:eastAsia="宋体" w:cs="宋体"/>
          <w:bCs/>
          <w:color w:val="auto"/>
          <w:sz w:val="48"/>
          <w:szCs w:val="48"/>
          <w:highlight w:val="none"/>
        </w:rPr>
        <w:t>南通轨道交通集团有限公司运营分公司</w:t>
      </w:r>
      <w:r>
        <w:rPr>
          <w:rFonts w:hint="eastAsia" w:ascii="宋体" w:hAnsi="宋体" w:eastAsia="宋体" w:cs="宋体"/>
          <w:bCs/>
          <w:color w:val="auto"/>
          <w:sz w:val="48"/>
          <w:szCs w:val="48"/>
          <w:highlight w:val="none"/>
          <w:lang w:eastAsia="zh-CN"/>
        </w:rPr>
        <w:t>危废品暂存间改造工程</w:t>
      </w:r>
    </w:p>
    <w:p>
      <w:pPr>
        <w:spacing w:line="360" w:lineRule="auto"/>
        <w:ind w:firstLine="420"/>
        <w:rPr>
          <w:rFonts w:hint="eastAsia" w:ascii="宋体" w:hAnsi="宋体" w:eastAsia="宋体" w:cs="宋体"/>
          <w:color w:val="auto"/>
          <w:highlight w:val="none"/>
        </w:rPr>
      </w:pPr>
    </w:p>
    <w:p>
      <w:pPr>
        <w:spacing w:line="360" w:lineRule="auto"/>
        <w:outlineLvl w:val="9"/>
        <w:rPr>
          <w:rFonts w:hint="eastAsia" w:ascii="宋体" w:hAnsi="宋体" w:eastAsia="宋体" w:cs="宋体"/>
          <w:color w:val="auto"/>
          <w:highlight w:val="none"/>
        </w:rPr>
      </w:pPr>
    </w:p>
    <w:p>
      <w:pPr>
        <w:spacing w:line="360" w:lineRule="auto"/>
        <w:ind w:firstLine="420"/>
        <w:outlineLvl w:val="9"/>
        <w:rPr>
          <w:rFonts w:hint="eastAsia" w:ascii="宋体" w:hAnsi="宋体" w:eastAsia="宋体" w:cs="宋体"/>
          <w:color w:val="auto"/>
          <w:highlight w:val="none"/>
        </w:rPr>
      </w:pPr>
    </w:p>
    <w:p>
      <w:pPr>
        <w:spacing w:line="360" w:lineRule="auto"/>
        <w:ind w:firstLine="422"/>
        <w:outlineLvl w:val="9"/>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参选文件</w:t>
      </w: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参选人：</w:t>
      </w:r>
      <w:r>
        <w:rPr>
          <w:rFonts w:hint="eastAsia" w:ascii="宋体" w:hAnsi="宋体" w:eastAsia="宋体" w:cs="宋体"/>
          <w:color w:val="auto"/>
          <w:highlight w:val="none"/>
          <w:u w:val="single"/>
        </w:rPr>
        <w:t xml:space="preserve">               （全称、盖章）</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
        <w:spacing w:line="360" w:lineRule="auto"/>
        <w:ind w:firstLine="422"/>
        <w:rPr>
          <w:rFonts w:hint="eastAsia" w:ascii="宋体" w:hAnsi="宋体" w:eastAsia="宋体" w:cs="宋体"/>
          <w:color w:val="auto"/>
          <w:highlight w:val="none"/>
        </w:rPr>
      </w:pPr>
      <w:bookmarkStart w:id="214" w:name="_Toc96078136"/>
      <w:r>
        <w:rPr>
          <w:rFonts w:hint="eastAsia" w:ascii="宋体" w:hAnsi="宋体" w:eastAsia="宋体" w:cs="宋体"/>
          <w:color w:val="auto"/>
          <w:highlight w:val="none"/>
        </w:rPr>
        <w:t>资格审查/商务技术/报价文件</w:t>
      </w:r>
      <w:r>
        <w:rPr>
          <w:rFonts w:hint="eastAsia" w:ascii="宋体" w:hAnsi="宋体" w:eastAsia="宋体" w:cs="宋体"/>
          <w:color w:val="auto"/>
          <w:highlight w:val="none"/>
          <w:lang w:val="en-US" w:eastAsia="zh-CN"/>
        </w:rPr>
        <w:t>/电子文本</w:t>
      </w:r>
      <w:r>
        <w:rPr>
          <w:rFonts w:hint="eastAsia" w:ascii="宋体" w:hAnsi="宋体" w:eastAsia="宋体" w:cs="宋体"/>
          <w:color w:val="auto"/>
          <w:highlight w:val="none"/>
        </w:rPr>
        <w:t>封面（格式）</w:t>
      </w:r>
      <w:bookmarkEnd w:id="214"/>
    </w:p>
    <w:p>
      <w:pPr>
        <w:spacing w:line="360" w:lineRule="auto"/>
        <w:ind w:firstLine="480"/>
        <w:jc w:val="right"/>
        <w:rPr>
          <w:rFonts w:hint="eastAsia" w:ascii="宋体" w:hAnsi="宋体" w:eastAsia="宋体" w:cs="宋体"/>
          <w:color w:val="auto"/>
          <w:highlight w:val="none"/>
        </w:rPr>
      </w:pPr>
      <w:r>
        <w:rPr>
          <w:rFonts w:hint="eastAsia" w:ascii="宋体" w:hAnsi="宋体" w:eastAsia="宋体" w:cs="宋体"/>
          <w:color w:val="auto"/>
          <w:sz w:val="24"/>
          <w:szCs w:val="32"/>
          <w:highlight w:val="none"/>
        </w:rPr>
        <w:t>正本/副本</w:t>
      </w: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pStyle w:val="12"/>
        <w:spacing w:line="360" w:lineRule="auto"/>
        <w:jc w:val="center"/>
        <w:rPr>
          <w:rFonts w:hint="eastAsia" w:ascii="宋体" w:hAnsi="宋体" w:eastAsia="宋体" w:cs="宋体"/>
          <w:color w:val="auto"/>
          <w:highlight w:val="none"/>
          <w:lang w:eastAsia="zh-CN"/>
        </w:rPr>
      </w:pPr>
      <w:r>
        <w:rPr>
          <w:rFonts w:hint="eastAsia" w:ascii="宋体" w:hAnsi="宋体" w:eastAsia="宋体" w:cs="宋体"/>
          <w:bCs/>
          <w:color w:val="auto"/>
          <w:sz w:val="48"/>
          <w:szCs w:val="48"/>
          <w:highlight w:val="none"/>
        </w:rPr>
        <w:t>南通轨道交通集团有限公司运营分公司</w:t>
      </w:r>
      <w:r>
        <w:rPr>
          <w:rFonts w:hint="eastAsia" w:ascii="宋体" w:hAnsi="宋体" w:eastAsia="宋体" w:cs="宋体"/>
          <w:bCs/>
          <w:color w:val="auto"/>
          <w:sz w:val="48"/>
          <w:szCs w:val="48"/>
          <w:highlight w:val="none"/>
          <w:lang w:eastAsia="zh-CN"/>
        </w:rPr>
        <w:t>危废品暂存间改造工程</w:t>
      </w: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b/>
          <w:bCs/>
          <w:color w:val="auto"/>
          <w:sz w:val="44"/>
          <w:szCs w:val="44"/>
          <w:highlight w:val="none"/>
        </w:rPr>
        <w:t>资格审查/商务技术/报价文件/</w:t>
      </w:r>
      <w:r>
        <w:rPr>
          <w:rFonts w:hint="eastAsia" w:ascii="宋体" w:hAnsi="宋体" w:eastAsia="宋体" w:cs="宋体"/>
          <w:b/>
          <w:bCs/>
          <w:color w:val="auto"/>
          <w:sz w:val="44"/>
          <w:szCs w:val="44"/>
          <w:highlight w:val="none"/>
          <w:lang w:val="en-US" w:eastAsia="zh-CN"/>
        </w:rPr>
        <w:t>电子文本</w:t>
      </w:r>
    </w:p>
    <w:p>
      <w:pPr>
        <w:spacing w:line="360" w:lineRule="auto"/>
        <w:ind w:firstLine="420"/>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参选人：</w:t>
      </w:r>
      <w:r>
        <w:rPr>
          <w:rFonts w:hint="eastAsia" w:ascii="宋体" w:hAnsi="宋体" w:eastAsia="宋体" w:cs="宋体"/>
          <w:color w:val="auto"/>
          <w:highlight w:val="none"/>
          <w:u w:val="single"/>
        </w:rPr>
        <w:t xml:space="preserve">               （全称、盖章）</w:t>
      </w:r>
    </w:p>
    <w:p>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bookmarkStart w:id="215" w:name="_Toc96078137"/>
      <w:r>
        <w:rPr>
          <w:rFonts w:hint="eastAsia" w:ascii="宋体" w:hAnsi="宋体" w:eastAsia="宋体" w:cs="宋体"/>
          <w:color w:val="auto"/>
          <w:highlight w:val="none"/>
        </w:rPr>
        <w:br w:type="page"/>
      </w:r>
    </w:p>
    <w:p>
      <w:pPr>
        <w:pStyle w:val="2"/>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A资格审查部分</w:t>
      </w:r>
      <w:bookmarkEnd w:id="215"/>
    </w:p>
    <w:p>
      <w:pPr>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一、法定代表人人身份证明书及法定代表人授权委托书（格式见 A1、A2 ）（如无需授权时，只需提供法定代表人资格证明书），法定代表人及被授权人身份证复印件（扫描件）。</w:t>
      </w:r>
    </w:p>
    <w:p>
      <w:pPr>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二、参选人单位合法有效的企业法人营业执照复印件（扫描件）。</w:t>
      </w:r>
    </w:p>
    <w:p>
      <w:pPr>
        <w:pStyle w:val="20"/>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 企业经营状况及履约情况承诺书（格式见 A3）。 </w:t>
      </w:r>
    </w:p>
    <w:p>
      <w:pPr>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、参选人认为需加以说明的其他内容（格式自拟）。</w:t>
      </w:r>
    </w:p>
    <w:p>
      <w:pPr>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、参选人</w:t>
      </w:r>
      <w:r>
        <w:rPr>
          <w:rFonts w:hint="eastAsia" w:ascii="宋体" w:hAnsi="宋体" w:eastAsia="宋体" w:cs="宋体"/>
          <w:color w:val="auto"/>
          <w:sz w:val="22"/>
          <w:szCs w:val="22"/>
          <w:highlight w:val="none"/>
          <w:lang w:val="en-US" w:eastAsia="zh-CN"/>
        </w:rPr>
        <w:t>的资质证书及安全生产许可证</w:t>
      </w:r>
      <w:r>
        <w:rPr>
          <w:rFonts w:hint="eastAsia" w:ascii="宋体" w:hAnsi="宋体" w:eastAsia="宋体" w:cs="宋体"/>
          <w:color w:val="auto"/>
          <w:sz w:val="22"/>
          <w:szCs w:val="22"/>
          <w:highlight w:val="none"/>
        </w:rPr>
        <w:t>。</w:t>
      </w:r>
    </w:p>
    <w:p>
      <w:pPr>
        <w:pStyle w:val="14"/>
        <w:rPr>
          <w:rFonts w:hint="eastAsia" w:ascii="宋体" w:hAnsi="宋体" w:eastAsia="宋体" w:cs="宋体"/>
          <w:highlight w:val="none"/>
        </w:rPr>
      </w:pPr>
    </w:p>
    <w:p>
      <w:pPr>
        <w:pStyle w:val="12"/>
        <w:overflowPunct w:val="0"/>
        <w:spacing w:line="360" w:lineRule="auto"/>
        <w:rPr>
          <w:rFonts w:hint="eastAsia" w:ascii="宋体" w:hAnsi="宋体" w:eastAsia="宋体" w:cs="宋体"/>
          <w:color w:val="auto"/>
          <w:highlight w:val="none"/>
        </w:rPr>
      </w:pPr>
    </w:p>
    <w:p>
      <w:pPr>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highlight w:val="none"/>
        </w:rPr>
        <w:t xml:space="preserve"> </w:t>
      </w:r>
      <w:r>
        <w:rPr>
          <w:rFonts w:hint="eastAsia" w:ascii="宋体" w:hAnsi="宋体" w:eastAsia="宋体" w:cs="宋体"/>
          <w:b/>
          <w:bCs/>
          <w:color w:val="auto"/>
          <w:sz w:val="22"/>
          <w:szCs w:val="22"/>
          <w:highlight w:val="none"/>
        </w:rPr>
        <w:t>以上提供的复印件（扫描件）必须加盖参选人公章。</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spacing w:line="360" w:lineRule="auto"/>
        <w:ind w:firstLine="422"/>
        <w:rPr>
          <w:rFonts w:hint="eastAsia" w:ascii="宋体" w:hAnsi="宋体" w:eastAsia="宋体" w:cs="宋体"/>
          <w:color w:val="auto"/>
          <w:sz w:val="28"/>
          <w:szCs w:val="28"/>
          <w:highlight w:val="none"/>
        </w:rPr>
      </w:pPr>
      <w:r>
        <w:rPr>
          <w:rFonts w:hint="eastAsia" w:ascii="宋体" w:hAnsi="宋体" w:eastAsia="宋体" w:cs="宋体"/>
          <w:color w:val="auto"/>
          <w:highlight w:val="none"/>
        </w:rPr>
        <w:t>A1法定代表人身份证明书</w:t>
      </w:r>
    </w:p>
    <w:p>
      <w:pPr>
        <w:spacing w:line="360" w:lineRule="auto"/>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法定代表人身份证明书</w:t>
      </w:r>
    </w:p>
    <w:p>
      <w:pPr>
        <w:topLinePunct/>
        <w:spacing w:line="360" w:lineRule="auto"/>
        <w:ind w:firstLine="420"/>
        <w:jc w:val="center"/>
        <w:rPr>
          <w:rFonts w:hint="eastAsia" w:ascii="宋体" w:hAnsi="宋体" w:eastAsia="宋体" w:cs="宋体"/>
          <w:color w:val="auto"/>
          <w:szCs w:val="21"/>
          <w:highlight w:val="none"/>
        </w:rPr>
      </w:pPr>
    </w:p>
    <w:p>
      <w:pPr>
        <w:topLinePunct/>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pPr>
        <w:topLinePunct/>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p>
    <w:p>
      <w:pPr>
        <w:topLinePunct/>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pPr>
        <w:topLinePunct/>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topLinePunct/>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pPr>
        <w:topLinePunct/>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系</w:t>
      </w:r>
      <w:r>
        <w:rPr>
          <w:rFonts w:hint="eastAsia" w:ascii="宋体" w:hAnsi="宋体" w:eastAsia="宋体" w:cs="宋体"/>
          <w:i/>
          <w:iCs/>
          <w:color w:val="auto"/>
          <w:szCs w:val="21"/>
          <w:highlight w:val="none"/>
          <w:u w:val="single"/>
        </w:rPr>
        <w:t>（参选人名称）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的法定代表人。</w:t>
      </w:r>
    </w:p>
    <w:p>
      <w:pPr>
        <w:topLinePunct/>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tabs>
          <w:tab w:val="left" w:pos="720"/>
          <w:tab w:val="left" w:pos="900"/>
        </w:tabs>
        <w:topLinePunct/>
        <w:spacing w:line="360" w:lineRule="auto"/>
        <w:ind w:firstLine="420"/>
        <w:rPr>
          <w:rFonts w:hint="eastAsia" w:ascii="宋体" w:hAnsi="宋体" w:eastAsia="宋体" w:cs="宋体"/>
          <w:color w:val="auto"/>
          <w:szCs w:val="21"/>
          <w:highlight w:val="none"/>
        </w:rPr>
      </w:pPr>
    </w:p>
    <w:p>
      <w:pPr>
        <w:tabs>
          <w:tab w:val="left" w:pos="851"/>
        </w:tabs>
        <w:spacing w:line="360" w:lineRule="auto"/>
        <w:ind w:left="420" w:leftChars="200" w:firstLine="4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pPr>
        <w:tabs>
          <w:tab w:val="left" w:pos="851"/>
        </w:tabs>
        <w:spacing w:line="360" w:lineRule="auto"/>
        <w:ind w:left="420" w:leftChars="200" w:firstLine="4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4"/>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A2法定代表人授权委托书</w:t>
      </w:r>
    </w:p>
    <w:p>
      <w:pPr>
        <w:spacing w:line="360" w:lineRule="auto"/>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参选人名称）的法定代表人（单位负责人），现委托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（姓名）为我方代理人，代理人有权签署、澄清确认、递交、撤回、修改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（项目名称）参选文件、签订合同和处理有关事宜，其法律后果由我方承担。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附：法定代表人（单位负责人）身份证复印件及委托代理人身份证复印件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注：本授权委托书需由参选人加盖单位公章并由其法定代表人（单位负责人）和委托代理人签字。</w:t>
      </w:r>
    </w:p>
    <w:tbl>
      <w:tblPr>
        <w:tblStyle w:val="44"/>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8926" w:type="dxa"/>
            <w:vAlign w:val="center"/>
          </w:tcPr>
          <w:p>
            <w:pPr>
              <w:adjustRightInd w:val="0"/>
              <w:snapToGrid w:val="0"/>
              <w:spacing w:line="360" w:lineRule="auto"/>
              <w:ind w:firstLine="21" w:firstLineChars="1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法定代表人（单位负责人）身份证复印件及委托代理人身份证复印件</w:t>
            </w:r>
          </w:p>
        </w:tc>
      </w:tr>
    </w:tbl>
    <w:p>
      <w:pPr>
        <w:spacing w:line="360" w:lineRule="auto"/>
        <w:ind w:right="-88" w:rightChars="-42" w:firstLine="3259" w:firstLineChars="1552"/>
        <w:rPr>
          <w:rFonts w:hint="eastAsia" w:ascii="宋体" w:hAnsi="宋体" w:eastAsia="宋体" w:cs="宋体"/>
          <w:color w:val="auto"/>
          <w:szCs w:val="21"/>
          <w:highlight w:val="none"/>
        </w:rPr>
      </w:pPr>
    </w:p>
    <w:p>
      <w:pPr>
        <w:spacing w:line="360" w:lineRule="auto"/>
        <w:ind w:right="-88" w:rightChars="-4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（公章）</w:t>
      </w:r>
    </w:p>
    <w:p>
      <w:pPr>
        <w:spacing w:line="360" w:lineRule="auto"/>
        <w:ind w:right="-88" w:rightChars="-4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法定代表人（单位负责人）：</w:t>
      </w:r>
      <w:r>
        <w:rPr>
          <w:rFonts w:hint="eastAsia" w:ascii="宋体" w:hAnsi="宋体" w:eastAsia="宋体" w:cs="宋体"/>
          <w:color w:val="auto"/>
          <w:szCs w:val="21"/>
          <w:highlight w:val="none"/>
          <w:u w:val="single"/>
        </w:rPr>
        <w:t xml:space="preserve">                     （签字）</w:t>
      </w:r>
    </w:p>
    <w:p>
      <w:pPr>
        <w:spacing w:line="360" w:lineRule="auto"/>
        <w:ind w:right="-88" w:rightChars="-42"/>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pPr>
        <w:spacing w:line="360" w:lineRule="auto"/>
        <w:ind w:right="-88" w:rightChars="-42"/>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（签字）</w:t>
      </w:r>
    </w:p>
    <w:p>
      <w:pPr>
        <w:spacing w:line="360" w:lineRule="auto"/>
        <w:ind w:right="-88" w:rightChars="-4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pPr>
        <w:spacing w:line="360" w:lineRule="auto"/>
        <w:ind w:right="382"/>
        <w:jc w:val="left"/>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4"/>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16" w:name="_Toc10761"/>
      <w:bookmarkStart w:id="217" w:name="_Toc5093"/>
      <w:bookmarkStart w:id="218" w:name="_Toc15654"/>
      <w:bookmarkStart w:id="219" w:name="_Toc2129"/>
      <w:r>
        <w:rPr>
          <w:rFonts w:hint="eastAsia" w:ascii="宋体" w:hAnsi="宋体" w:eastAsia="宋体" w:cs="宋体"/>
          <w:color w:val="auto"/>
          <w:highlight w:val="none"/>
        </w:rPr>
        <w:t>A3</w:t>
      </w:r>
      <w:bookmarkEnd w:id="216"/>
      <w:bookmarkEnd w:id="217"/>
      <w:bookmarkEnd w:id="218"/>
      <w:bookmarkEnd w:id="219"/>
      <w:r>
        <w:rPr>
          <w:rFonts w:hint="eastAsia" w:ascii="宋体" w:hAnsi="宋体" w:eastAsia="宋体" w:cs="宋体"/>
          <w:color w:val="auto"/>
          <w:highlight w:val="none"/>
        </w:rPr>
        <w:t>企业经营状况及履约情况承诺书</w:t>
      </w:r>
    </w:p>
    <w:p>
      <w:pPr>
        <w:spacing w:line="360" w:lineRule="auto"/>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承 诺 书</w:t>
      </w:r>
    </w:p>
    <w:p>
      <w:pPr>
        <w:spacing w:line="360" w:lineRule="auto"/>
        <w:ind w:leftChars="-67" w:hanging="140" w:hangingChars="6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南通轨道交通集团有限公司运营分公司</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我方在此郑重承诺：</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我方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2.我方没有骗取中选和严重违约引起的合同中止、纠纷、争议、仲裁和诉讼记录等情况；</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我方未与比选人存在利害关系；与参与本项目比选的其他参选单位负责人不为同一人且不存在控股、管理关系；未以他人名义参选；未与比选人、参选人串通参选；我方未提供虚假材料或存在其他弄虚作假行为。</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在参与本次比选活动中，如有上述行为，我方将自动放弃参选或中选资格，已签订合同的项目合同无效。</w:t>
      </w:r>
    </w:p>
    <w:p>
      <w:pPr>
        <w:spacing w:line="360" w:lineRule="auto"/>
        <w:ind w:firstLine="420"/>
        <w:rPr>
          <w:rFonts w:hint="eastAsia" w:ascii="宋体" w:hAnsi="宋体" w:eastAsia="宋体" w:cs="宋体"/>
          <w:color w:val="auto"/>
          <w:szCs w:val="21"/>
          <w:highlight w:val="none"/>
        </w:rPr>
      </w:pPr>
    </w:p>
    <w:p>
      <w:pPr>
        <w:spacing w:line="360" w:lineRule="auto"/>
        <w:ind w:firstLine="403" w:firstLineChars="192"/>
        <w:jc w:val="right"/>
        <w:rPr>
          <w:rFonts w:hint="eastAsia" w:ascii="宋体" w:hAnsi="宋体" w:eastAsia="宋体" w:cs="宋体"/>
          <w:color w:val="auto"/>
          <w:highlight w:val="none"/>
          <w:u w:val="single"/>
        </w:rPr>
      </w:pPr>
      <w:r>
        <w:rPr>
          <w:rFonts w:hint="eastAsia" w:ascii="宋体" w:hAnsi="宋体" w:eastAsia="宋体" w:cs="宋体"/>
          <w:color w:val="auto"/>
          <w:highlight w:val="none"/>
        </w:rPr>
        <w:t>参选人：</w:t>
      </w:r>
      <w:r>
        <w:rPr>
          <w:rFonts w:hint="eastAsia" w:ascii="宋体" w:hAnsi="宋体" w:eastAsia="宋体" w:cs="宋体"/>
          <w:color w:val="auto"/>
          <w:highlight w:val="none"/>
          <w:u w:val="single"/>
        </w:rPr>
        <w:t xml:space="preserve">                     （盖章） </w:t>
      </w:r>
    </w:p>
    <w:p>
      <w:pPr>
        <w:spacing w:line="360" w:lineRule="auto"/>
        <w:ind w:firstLine="403" w:firstLineChars="192"/>
        <w:jc w:val="right"/>
        <w:rPr>
          <w:rFonts w:hint="eastAsia" w:ascii="宋体" w:hAnsi="宋体" w:eastAsia="宋体" w:cs="宋体"/>
          <w:color w:val="auto"/>
          <w:highlight w:val="none"/>
        </w:rPr>
      </w:pPr>
    </w:p>
    <w:p>
      <w:pPr>
        <w:spacing w:line="360" w:lineRule="auto"/>
        <w:ind w:firstLine="403" w:firstLineChars="192"/>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（签字或盖章） </w:t>
      </w:r>
    </w:p>
    <w:p>
      <w:pPr>
        <w:spacing w:line="360" w:lineRule="auto"/>
        <w:ind w:firstLine="403" w:firstLineChars="192"/>
        <w:jc w:val="right"/>
        <w:rPr>
          <w:rFonts w:hint="eastAsia" w:ascii="宋体" w:hAnsi="宋体" w:eastAsia="宋体" w:cs="宋体"/>
          <w:color w:val="auto"/>
          <w:highlight w:val="none"/>
        </w:rPr>
      </w:pPr>
    </w:p>
    <w:p>
      <w:pPr>
        <w:spacing w:line="360" w:lineRule="auto"/>
        <w:ind w:firstLine="5243" w:firstLineChars="2497"/>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A4参选人认为需加以说明的其他内容（包括但不限于</w:t>
      </w:r>
      <w:r>
        <w:rPr>
          <w:rFonts w:hint="eastAsia" w:ascii="宋体" w:hAnsi="宋体" w:eastAsia="宋体" w:cs="宋体"/>
          <w:color w:val="auto"/>
          <w:szCs w:val="22"/>
          <w:highlight w:val="none"/>
        </w:rPr>
        <w:t>通过“信用中国”网站（www.creditchina.gov.cn）、“中国执行信息公开网（http://zxgk.court.gov.cn/）”查询，未被列入失信被执行人、重大税收违法案件当事人等名单的截图</w:t>
      </w:r>
      <w:r>
        <w:rPr>
          <w:rFonts w:hint="eastAsia" w:ascii="宋体" w:hAnsi="宋体" w:eastAsia="宋体" w:cs="宋体"/>
          <w:color w:val="auto"/>
          <w:highlight w:val="none"/>
        </w:rPr>
        <w:t>等）</w:t>
      </w:r>
    </w:p>
    <w:p>
      <w:pPr>
        <w:pStyle w:val="2"/>
        <w:spacing w:line="360" w:lineRule="auto"/>
        <w:ind w:firstLine="321" w:firstLineChars="100"/>
        <w:rPr>
          <w:rFonts w:hint="eastAsia" w:ascii="宋体" w:hAnsi="宋体" w:eastAsia="宋体" w:cs="宋体"/>
          <w:b/>
          <w:bCs/>
          <w:color w:val="auto"/>
          <w:highlight w:val="none"/>
          <w:lang w:val="en-US"/>
        </w:rPr>
      </w:pPr>
      <w:r>
        <w:rPr>
          <w:rFonts w:hint="eastAsia" w:ascii="宋体" w:hAnsi="宋体" w:eastAsia="宋体" w:cs="宋体"/>
          <w:color w:val="auto"/>
          <w:highlight w:val="none"/>
        </w:rPr>
        <w:t>A</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参选人</w:t>
      </w:r>
      <w:r>
        <w:rPr>
          <w:rFonts w:hint="eastAsia" w:ascii="宋体" w:hAnsi="宋体" w:eastAsia="宋体" w:cs="宋体"/>
          <w:color w:val="auto"/>
          <w:highlight w:val="none"/>
          <w:lang w:val="en-US" w:eastAsia="zh-CN"/>
        </w:rPr>
        <w:t>的资质证书及安全生产许可证。</w:t>
      </w:r>
    </w:p>
    <w:p>
      <w:pPr>
        <w:spacing w:line="360" w:lineRule="auto"/>
        <w:ind w:firstLine="422"/>
        <w:outlineLvl w:val="9"/>
        <w:rPr>
          <w:rFonts w:hint="eastAsia" w:ascii="宋体" w:hAnsi="宋体" w:eastAsia="宋体" w:cs="宋体"/>
          <w:color w:val="auto"/>
          <w:highlight w:val="none"/>
        </w:rPr>
      </w:pPr>
      <w:bookmarkStart w:id="220" w:name="_Toc96078138"/>
    </w:p>
    <w:p>
      <w:pPr>
        <w:spacing w:line="360" w:lineRule="auto"/>
        <w:ind w:firstLine="42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pPr>
        <w:spacing w:line="360" w:lineRule="auto"/>
        <w:ind w:firstLine="422"/>
        <w:outlineLvl w:val="9"/>
        <w:rPr>
          <w:rFonts w:hint="eastAsia" w:ascii="宋体" w:hAnsi="宋体" w:eastAsia="宋体" w:cs="宋体"/>
          <w:color w:val="auto"/>
          <w:highlight w:val="none"/>
        </w:rPr>
      </w:pPr>
    </w:p>
    <w:p>
      <w:pPr>
        <w:spacing w:line="360" w:lineRule="auto"/>
        <w:outlineLvl w:val="9"/>
        <w:rPr>
          <w:rFonts w:hint="eastAsia" w:ascii="宋体" w:hAnsi="宋体" w:eastAsia="宋体" w:cs="宋体"/>
          <w:color w:val="auto"/>
          <w:highlight w:val="none"/>
        </w:rPr>
      </w:pPr>
    </w:p>
    <w:p>
      <w:pPr>
        <w:spacing w:line="360" w:lineRule="auto"/>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14"/>
        <w:outlineLvl w:val="9"/>
        <w:rPr>
          <w:rFonts w:hint="eastAsia" w:ascii="宋体" w:hAnsi="宋体" w:eastAsia="宋体" w:cs="宋体"/>
          <w:highlight w:val="none"/>
        </w:rPr>
      </w:pPr>
    </w:p>
    <w:p>
      <w:pPr>
        <w:spacing w:line="360" w:lineRule="auto"/>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31"/>
        <w:outlineLvl w:val="9"/>
        <w:rPr>
          <w:rFonts w:hint="eastAsia" w:ascii="宋体" w:hAnsi="宋体" w:eastAsia="宋体" w:cs="宋体"/>
          <w:color w:val="auto"/>
          <w:highlight w:val="none"/>
        </w:rPr>
      </w:pPr>
    </w:p>
    <w:p>
      <w:pPr>
        <w:pStyle w:val="31"/>
        <w:outlineLvl w:val="9"/>
        <w:rPr>
          <w:rFonts w:hint="eastAsia" w:ascii="宋体" w:hAnsi="宋体" w:eastAsia="宋体" w:cs="宋体"/>
          <w:color w:val="auto"/>
          <w:highlight w:val="none"/>
        </w:rPr>
      </w:pPr>
    </w:p>
    <w:p>
      <w:pPr>
        <w:pStyle w:val="31"/>
        <w:outlineLvl w:val="9"/>
        <w:rPr>
          <w:rFonts w:hint="eastAsia" w:ascii="宋体" w:hAnsi="宋体" w:eastAsia="宋体" w:cs="宋体"/>
          <w:color w:val="auto"/>
          <w:highlight w:val="none"/>
        </w:rPr>
      </w:pPr>
    </w:p>
    <w:p>
      <w:pPr>
        <w:pStyle w:val="31"/>
        <w:outlineLvl w:val="9"/>
        <w:rPr>
          <w:rFonts w:hint="eastAsia" w:ascii="宋体" w:hAnsi="宋体" w:eastAsia="宋体" w:cs="宋体"/>
          <w:color w:val="auto"/>
          <w:highlight w:val="none"/>
        </w:rPr>
      </w:pPr>
    </w:p>
    <w:p>
      <w:pPr>
        <w:pStyle w:val="31"/>
        <w:outlineLvl w:val="9"/>
        <w:rPr>
          <w:rFonts w:hint="eastAsia" w:ascii="宋体" w:hAnsi="宋体" w:eastAsia="宋体" w:cs="宋体"/>
          <w:color w:val="auto"/>
          <w:highlight w:val="none"/>
        </w:rPr>
      </w:pPr>
    </w:p>
    <w:p>
      <w:pPr>
        <w:pStyle w:val="31"/>
        <w:outlineLvl w:val="9"/>
        <w:rPr>
          <w:rFonts w:hint="eastAsia" w:ascii="宋体" w:hAnsi="宋体" w:eastAsia="宋体" w:cs="宋体"/>
          <w:color w:val="auto"/>
          <w:highlight w:val="none"/>
        </w:rPr>
      </w:pPr>
    </w:p>
    <w:p>
      <w:pPr>
        <w:pStyle w:val="31"/>
        <w:outlineLvl w:val="9"/>
        <w:rPr>
          <w:rFonts w:hint="eastAsia" w:ascii="宋体" w:hAnsi="宋体" w:eastAsia="宋体" w:cs="宋体"/>
          <w:color w:val="auto"/>
          <w:highlight w:val="none"/>
        </w:rPr>
      </w:pPr>
    </w:p>
    <w:p>
      <w:pPr>
        <w:pStyle w:val="14"/>
        <w:outlineLvl w:val="9"/>
        <w:rPr>
          <w:rFonts w:hint="eastAsia" w:ascii="宋体" w:hAnsi="宋体" w:eastAsia="宋体" w:cs="宋体"/>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B商务及技术部分</w:t>
      </w:r>
      <w:bookmarkEnd w:id="220"/>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一、参选函（格式见B1）</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二、企业简介（格式见B2）</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三、企业业绩汇总表（格式见B3）</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四、评标办法所涉及的技术方案（格式见B4）</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五、条款偏离表（格式见B5）</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六、对比选文件内容和合同条款内容无保留声明（格式见B6）</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、其他比选文件要求出具的技术文件及参选人人认为需加以说明的内容（格式自拟）</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B1参选函</w:t>
      </w:r>
    </w:p>
    <w:p>
      <w:pPr>
        <w:spacing w:line="360" w:lineRule="auto"/>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  选  函</w:t>
      </w:r>
    </w:p>
    <w:p>
      <w:pPr>
        <w:pStyle w:val="2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i/>
          <w:iCs/>
          <w:color w:val="auto"/>
          <w:sz w:val="21"/>
          <w:szCs w:val="21"/>
          <w:highlight w:val="none"/>
        </w:rPr>
        <w:t>至</w:t>
      </w:r>
      <w:r>
        <w:rPr>
          <w:rFonts w:hint="eastAsia" w:ascii="宋体" w:hAnsi="宋体" w:eastAsia="宋体" w:cs="宋体"/>
          <w:i/>
          <w:iCs/>
          <w:color w:val="auto"/>
          <w:sz w:val="21"/>
          <w:szCs w:val="21"/>
          <w:highlight w:val="none"/>
          <w:u w:val="single"/>
        </w:rPr>
        <w:t>（比选人）</w:t>
      </w:r>
      <w:r>
        <w:rPr>
          <w:rFonts w:hint="eastAsia" w:ascii="宋体" w:hAnsi="宋体" w:eastAsia="宋体" w:cs="宋体"/>
          <w:color w:val="auto"/>
          <w:sz w:val="21"/>
          <w:szCs w:val="21"/>
          <w:highlight w:val="none"/>
        </w:rPr>
        <w:t>：</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根据已收到的</w:t>
      </w:r>
      <w:r>
        <w:rPr>
          <w:rFonts w:hint="eastAsia" w:ascii="宋体" w:hAnsi="宋体" w:eastAsia="宋体" w:cs="宋体"/>
          <w:i/>
          <w:iCs/>
          <w:color w:val="auto"/>
          <w:highlight w:val="none"/>
          <w:u w:val="single"/>
        </w:rPr>
        <w:t>（项目名称）</w:t>
      </w:r>
      <w:r>
        <w:rPr>
          <w:rFonts w:hint="eastAsia" w:ascii="宋体" w:hAnsi="宋体" w:eastAsia="宋体" w:cs="宋体"/>
          <w:color w:val="auto"/>
          <w:highlight w:val="none"/>
        </w:rPr>
        <w:t>比选文件，遵照规定,我方经考察现场和认真研究上述比选文件后，愿承认其全部内容。</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1、我方以报价文件中的参选总报价，按比选文件中的要求承担</w:t>
      </w:r>
      <w:r>
        <w:rPr>
          <w:rFonts w:hint="eastAsia" w:ascii="宋体" w:hAnsi="宋体" w:eastAsia="宋体" w:cs="宋体"/>
          <w:i/>
          <w:iCs/>
          <w:color w:val="auto"/>
          <w:highlight w:val="none"/>
          <w:u w:val="single"/>
        </w:rPr>
        <w:t>（项目名称）</w:t>
      </w:r>
      <w:r>
        <w:rPr>
          <w:rFonts w:hint="eastAsia" w:ascii="宋体" w:hAnsi="宋体" w:eastAsia="宋体" w:cs="宋体"/>
          <w:color w:val="auto"/>
          <w:highlight w:val="none"/>
        </w:rPr>
        <w:t>的全部工作内容。</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2、我方承诺服务周期及参选文件响应比选文件所规定的所有工作完成时间均满足合同条款。</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3、如果贵方接受我方参选，我方在接到</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通知书后将按</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通知书和比选文件的要求及时签订合同。我方保证在</w:t>
      </w:r>
      <w:r>
        <w:rPr>
          <w:rFonts w:hint="eastAsia" w:ascii="宋体" w:hAnsi="宋体" w:eastAsia="宋体" w:cs="宋体"/>
          <w:color w:val="auto"/>
          <w:highlight w:val="none"/>
          <w:lang w:val="en-US" w:eastAsia="zh-CN"/>
        </w:rPr>
        <w:t>比选文件</w:t>
      </w:r>
      <w:r>
        <w:rPr>
          <w:rFonts w:hint="eastAsia" w:ascii="宋体" w:hAnsi="宋体" w:eastAsia="宋体" w:cs="宋体"/>
          <w:color w:val="auto"/>
          <w:highlight w:val="none"/>
        </w:rPr>
        <w:t>中规定的期限内按照要求提交成果。</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4、我方同意在贵方比选文件规定的参选有效期内遵守约定。在该期限期满之前，本参选书对我方始终具有约束力。</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5、我方充分理解贵方比选文件所提出的关于人员、设备、管理等提出的隐性要求，一旦中选，确保能按照贵方要求执行，否则愿意接受贵方对我方的相关处罚。</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6、在正式签订合同协议书之前，本参选书连同贵方的</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通知书应成为约束贵方、我方的合同文件。</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7、我方理解，贵方不一定接受最低标价的参选或可能接受其他任何参选；同时也理解，贵方不负担我单位的任何参选费用。</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8、我方承诺：本参选文件提供的信息、数据、资料或证书均真实有效，否则贵方有权取消我方的参选或</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资格。</w:t>
      </w:r>
    </w:p>
    <w:p>
      <w:pPr>
        <w:tabs>
          <w:tab w:val="left" w:pos="851"/>
        </w:tabs>
        <w:spacing w:line="360" w:lineRule="auto"/>
        <w:ind w:left="420" w:leftChars="200" w:firstLine="4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（公章）</w:t>
      </w:r>
    </w:p>
    <w:p>
      <w:pPr>
        <w:tabs>
          <w:tab w:val="left" w:pos="851"/>
        </w:tabs>
        <w:spacing w:line="360" w:lineRule="auto"/>
        <w:ind w:right="99" w:firstLine="3780" w:firstLineChars="18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（签字或盖章）</w:t>
      </w:r>
    </w:p>
    <w:p>
      <w:pPr>
        <w:tabs>
          <w:tab w:val="left" w:pos="851"/>
        </w:tabs>
        <w:spacing w:line="360" w:lineRule="auto"/>
        <w:ind w:left="420" w:leftChars="200" w:right="99" w:firstLine="4410" w:firstLineChars="2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pPr>
        <w:tabs>
          <w:tab w:val="left" w:pos="851"/>
        </w:tabs>
        <w:spacing w:line="360" w:lineRule="auto"/>
        <w:ind w:left="420" w:leftChars="200" w:right="99"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pPr>
        <w:tabs>
          <w:tab w:val="left" w:pos="851"/>
        </w:tabs>
        <w:spacing w:line="360" w:lineRule="auto"/>
        <w:ind w:right="99" w:firstLine="42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pPr>
        <w:tabs>
          <w:tab w:val="left" w:pos="851"/>
        </w:tabs>
        <w:spacing w:line="360" w:lineRule="auto"/>
        <w:ind w:left="420" w:leftChars="200" w:right="99" w:firstLine="4620" w:firstLineChars="21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br w:type="page"/>
      </w:r>
    </w:p>
    <w:p>
      <w:pPr>
        <w:pStyle w:val="4"/>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B2企业简介</w:t>
      </w:r>
    </w:p>
    <w:p>
      <w:pPr>
        <w:spacing w:line="360" w:lineRule="auto"/>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企业简介</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（格式自拟）</w:t>
      </w:r>
    </w:p>
    <w:p>
      <w:pPr>
        <w:widowControl/>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br w:type="page"/>
      </w:r>
    </w:p>
    <w:p>
      <w:pPr>
        <w:pStyle w:val="4"/>
        <w:spacing w:line="360" w:lineRule="auto"/>
        <w:ind w:firstLine="422"/>
        <w:rPr>
          <w:rFonts w:hint="eastAsia" w:ascii="宋体" w:hAnsi="宋体" w:eastAsia="宋体" w:cs="宋体"/>
          <w:color w:val="auto"/>
          <w:highlight w:val="none"/>
        </w:rPr>
      </w:pPr>
      <w:bookmarkStart w:id="221" w:name="_Toc20039"/>
      <w:bookmarkStart w:id="222" w:name="_Toc18919"/>
      <w:bookmarkStart w:id="223" w:name="_Toc4389"/>
      <w:bookmarkStart w:id="224" w:name="_Toc1151"/>
      <w:bookmarkStart w:id="225" w:name="_Toc521"/>
      <w:bookmarkStart w:id="226" w:name="_Toc26085"/>
      <w:bookmarkStart w:id="227" w:name="_Toc22333"/>
      <w:bookmarkStart w:id="228" w:name="_Toc25880_WPSOffice_Level2"/>
      <w:r>
        <w:rPr>
          <w:rFonts w:hint="eastAsia" w:ascii="宋体" w:hAnsi="宋体" w:eastAsia="宋体" w:cs="宋体"/>
          <w:color w:val="auto"/>
          <w:highlight w:val="none"/>
        </w:rPr>
        <w:t>B3企业业绩汇总表</w:t>
      </w:r>
    </w:p>
    <w:p>
      <w:pPr>
        <w:spacing w:line="360" w:lineRule="auto"/>
        <w:ind w:firstLine="422"/>
        <w:jc w:val="center"/>
        <w:rPr>
          <w:rFonts w:hint="eastAsia" w:ascii="宋体" w:hAnsi="宋体" w:eastAsia="宋体" w:cs="宋体"/>
          <w:b/>
          <w:bCs/>
          <w:color w:val="auto"/>
          <w:highlight w:val="none"/>
        </w:rPr>
      </w:pPr>
      <w:bookmarkStart w:id="229" w:name="_Toc96078139"/>
      <w:r>
        <w:rPr>
          <w:rFonts w:hint="eastAsia" w:ascii="宋体" w:hAnsi="宋体" w:eastAsia="宋体" w:cs="宋体"/>
          <w:b/>
          <w:bCs/>
          <w:color w:val="auto"/>
          <w:highlight w:val="none"/>
        </w:rPr>
        <w:t>企业业绩汇总表</w:t>
      </w:r>
      <w:bookmarkEnd w:id="221"/>
      <w:bookmarkEnd w:id="222"/>
      <w:bookmarkEnd w:id="223"/>
      <w:bookmarkEnd w:id="224"/>
      <w:bookmarkEnd w:id="225"/>
      <w:bookmarkEnd w:id="226"/>
      <w:bookmarkEnd w:id="227"/>
      <w:bookmarkEnd w:id="228"/>
      <w:bookmarkEnd w:id="229"/>
    </w:p>
    <w:p>
      <w:pPr>
        <w:spacing w:line="360" w:lineRule="auto"/>
        <w:ind w:firstLine="42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44"/>
        <w:tblW w:w="8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0"/>
        <w:gridCol w:w="1253"/>
        <w:gridCol w:w="1242"/>
        <w:gridCol w:w="1854"/>
        <w:gridCol w:w="1735"/>
        <w:gridCol w:w="11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2" w:hRule="atLeast"/>
          <w:jc w:val="center"/>
        </w:trPr>
        <w:tc>
          <w:tcPr>
            <w:tcW w:w="679" w:type="dxa"/>
            <w:vAlign w:val="center"/>
          </w:tcPr>
          <w:p>
            <w:pPr>
              <w:spacing w:line="360" w:lineRule="auto"/>
              <w:jc w:val="center"/>
              <w:rPr>
                <w:rFonts w:hint="eastAsia" w:ascii="宋体" w:hAnsi="宋体" w:eastAsia="宋体" w:cs="宋体"/>
                <w:color w:val="auto"/>
                <w:highlight w:val="none"/>
              </w:rPr>
            </w:pPr>
            <w:bookmarkStart w:id="230" w:name="_Toc218710269"/>
            <w:r>
              <w:rPr>
                <w:rFonts w:hint="eastAsia" w:ascii="宋体" w:hAnsi="宋体" w:eastAsia="宋体" w:cs="宋体"/>
                <w:color w:val="auto"/>
                <w:highlight w:val="none"/>
              </w:rPr>
              <w:t>序号</w:t>
            </w:r>
          </w:p>
        </w:tc>
        <w:tc>
          <w:tcPr>
            <w:tcW w:w="1110"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业主名称</w:t>
            </w:r>
          </w:p>
        </w:tc>
        <w:tc>
          <w:tcPr>
            <w:tcW w:w="1253"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24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工作内容</w:t>
            </w:r>
          </w:p>
        </w:tc>
        <w:tc>
          <w:tcPr>
            <w:tcW w:w="185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概况</w:t>
            </w:r>
          </w:p>
        </w:tc>
        <w:tc>
          <w:tcPr>
            <w:tcW w:w="1735"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完成时间</w:t>
            </w:r>
          </w:p>
        </w:tc>
        <w:tc>
          <w:tcPr>
            <w:tcW w:w="1105"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679"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10" w:type="dxa"/>
            <w:vAlign w:val="center"/>
          </w:tcPr>
          <w:p>
            <w:pPr>
              <w:spacing w:line="360" w:lineRule="auto"/>
              <w:ind w:firstLine="420"/>
              <w:jc w:val="center"/>
              <w:rPr>
                <w:rFonts w:hint="eastAsia" w:ascii="宋体" w:hAnsi="宋体" w:eastAsia="宋体" w:cs="宋体"/>
                <w:color w:val="auto"/>
                <w:highlight w:val="none"/>
              </w:rPr>
            </w:pPr>
          </w:p>
        </w:tc>
        <w:tc>
          <w:tcPr>
            <w:tcW w:w="1253" w:type="dxa"/>
            <w:vAlign w:val="center"/>
          </w:tcPr>
          <w:p>
            <w:pPr>
              <w:spacing w:line="360" w:lineRule="auto"/>
              <w:ind w:firstLine="420"/>
              <w:jc w:val="center"/>
              <w:rPr>
                <w:rFonts w:hint="eastAsia" w:ascii="宋体" w:hAnsi="宋体" w:eastAsia="宋体" w:cs="宋体"/>
                <w:color w:val="auto"/>
                <w:highlight w:val="none"/>
              </w:rPr>
            </w:pPr>
          </w:p>
        </w:tc>
        <w:tc>
          <w:tcPr>
            <w:tcW w:w="1242" w:type="dxa"/>
            <w:vAlign w:val="center"/>
          </w:tcPr>
          <w:p>
            <w:pPr>
              <w:spacing w:line="360" w:lineRule="auto"/>
              <w:ind w:firstLine="420"/>
              <w:jc w:val="center"/>
              <w:rPr>
                <w:rFonts w:hint="eastAsia" w:ascii="宋体" w:hAnsi="宋体" w:eastAsia="宋体" w:cs="宋体"/>
                <w:color w:val="auto"/>
                <w:highlight w:val="none"/>
              </w:rPr>
            </w:pPr>
          </w:p>
        </w:tc>
        <w:tc>
          <w:tcPr>
            <w:tcW w:w="1854" w:type="dxa"/>
            <w:vAlign w:val="center"/>
          </w:tcPr>
          <w:p>
            <w:pPr>
              <w:spacing w:line="360" w:lineRule="auto"/>
              <w:ind w:firstLine="420"/>
              <w:jc w:val="center"/>
              <w:rPr>
                <w:rFonts w:hint="eastAsia" w:ascii="宋体" w:hAnsi="宋体" w:eastAsia="宋体" w:cs="宋体"/>
                <w:color w:val="auto"/>
                <w:highlight w:val="none"/>
              </w:rPr>
            </w:pPr>
          </w:p>
        </w:tc>
        <w:tc>
          <w:tcPr>
            <w:tcW w:w="1735" w:type="dxa"/>
            <w:vAlign w:val="center"/>
          </w:tcPr>
          <w:p>
            <w:pPr>
              <w:spacing w:line="360" w:lineRule="auto"/>
              <w:ind w:firstLine="420"/>
              <w:jc w:val="center"/>
              <w:rPr>
                <w:rFonts w:hint="eastAsia" w:ascii="宋体" w:hAnsi="宋体" w:eastAsia="宋体" w:cs="宋体"/>
                <w:color w:val="auto"/>
                <w:highlight w:val="none"/>
              </w:rPr>
            </w:pPr>
          </w:p>
        </w:tc>
        <w:tc>
          <w:tcPr>
            <w:tcW w:w="1105" w:type="dxa"/>
            <w:vAlign w:val="center"/>
          </w:tcPr>
          <w:p>
            <w:pPr>
              <w:spacing w:line="360" w:lineRule="auto"/>
              <w:ind w:firstLine="420"/>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679"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110" w:type="dxa"/>
            <w:vAlign w:val="center"/>
          </w:tcPr>
          <w:p>
            <w:pPr>
              <w:spacing w:line="360" w:lineRule="auto"/>
              <w:ind w:firstLine="420"/>
              <w:jc w:val="center"/>
              <w:rPr>
                <w:rFonts w:hint="eastAsia" w:ascii="宋体" w:hAnsi="宋体" w:eastAsia="宋体" w:cs="宋体"/>
                <w:color w:val="auto"/>
                <w:highlight w:val="none"/>
              </w:rPr>
            </w:pPr>
          </w:p>
        </w:tc>
        <w:tc>
          <w:tcPr>
            <w:tcW w:w="1253" w:type="dxa"/>
            <w:vAlign w:val="center"/>
          </w:tcPr>
          <w:p>
            <w:pPr>
              <w:spacing w:line="360" w:lineRule="auto"/>
              <w:ind w:firstLine="420"/>
              <w:jc w:val="center"/>
              <w:rPr>
                <w:rFonts w:hint="eastAsia" w:ascii="宋体" w:hAnsi="宋体" w:eastAsia="宋体" w:cs="宋体"/>
                <w:color w:val="auto"/>
                <w:highlight w:val="none"/>
              </w:rPr>
            </w:pPr>
          </w:p>
        </w:tc>
        <w:tc>
          <w:tcPr>
            <w:tcW w:w="1242" w:type="dxa"/>
            <w:vAlign w:val="center"/>
          </w:tcPr>
          <w:p>
            <w:pPr>
              <w:spacing w:line="360" w:lineRule="auto"/>
              <w:ind w:firstLine="420"/>
              <w:jc w:val="center"/>
              <w:rPr>
                <w:rFonts w:hint="eastAsia" w:ascii="宋体" w:hAnsi="宋体" w:eastAsia="宋体" w:cs="宋体"/>
                <w:color w:val="auto"/>
                <w:highlight w:val="none"/>
              </w:rPr>
            </w:pPr>
          </w:p>
        </w:tc>
        <w:tc>
          <w:tcPr>
            <w:tcW w:w="1854" w:type="dxa"/>
            <w:vAlign w:val="center"/>
          </w:tcPr>
          <w:p>
            <w:pPr>
              <w:spacing w:line="360" w:lineRule="auto"/>
              <w:ind w:firstLine="420"/>
              <w:jc w:val="center"/>
              <w:rPr>
                <w:rFonts w:hint="eastAsia" w:ascii="宋体" w:hAnsi="宋体" w:eastAsia="宋体" w:cs="宋体"/>
                <w:color w:val="auto"/>
                <w:highlight w:val="none"/>
              </w:rPr>
            </w:pPr>
          </w:p>
        </w:tc>
        <w:tc>
          <w:tcPr>
            <w:tcW w:w="1735" w:type="dxa"/>
            <w:vAlign w:val="center"/>
          </w:tcPr>
          <w:p>
            <w:pPr>
              <w:spacing w:line="360" w:lineRule="auto"/>
              <w:ind w:firstLine="420"/>
              <w:jc w:val="center"/>
              <w:rPr>
                <w:rFonts w:hint="eastAsia" w:ascii="宋体" w:hAnsi="宋体" w:eastAsia="宋体" w:cs="宋体"/>
                <w:color w:val="auto"/>
                <w:highlight w:val="none"/>
              </w:rPr>
            </w:pPr>
          </w:p>
        </w:tc>
        <w:tc>
          <w:tcPr>
            <w:tcW w:w="1105" w:type="dxa"/>
            <w:vAlign w:val="center"/>
          </w:tcPr>
          <w:p>
            <w:pPr>
              <w:spacing w:line="360" w:lineRule="auto"/>
              <w:ind w:firstLine="420"/>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679"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110" w:type="dxa"/>
            <w:vAlign w:val="center"/>
          </w:tcPr>
          <w:p>
            <w:pPr>
              <w:spacing w:line="360" w:lineRule="auto"/>
              <w:ind w:firstLine="420"/>
              <w:jc w:val="center"/>
              <w:rPr>
                <w:rFonts w:hint="eastAsia" w:ascii="宋体" w:hAnsi="宋体" w:eastAsia="宋体" w:cs="宋体"/>
                <w:color w:val="auto"/>
                <w:highlight w:val="none"/>
              </w:rPr>
            </w:pPr>
          </w:p>
        </w:tc>
        <w:tc>
          <w:tcPr>
            <w:tcW w:w="1253" w:type="dxa"/>
            <w:vAlign w:val="center"/>
          </w:tcPr>
          <w:p>
            <w:pPr>
              <w:spacing w:line="360" w:lineRule="auto"/>
              <w:ind w:firstLine="420"/>
              <w:jc w:val="center"/>
              <w:rPr>
                <w:rFonts w:hint="eastAsia" w:ascii="宋体" w:hAnsi="宋体" w:eastAsia="宋体" w:cs="宋体"/>
                <w:color w:val="auto"/>
                <w:highlight w:val="none"/>
              </w:rPr>
            </w:pPr>
          </w:p>
        </w:tc>
        <w:tc>
          <w:tcPr>
            <w:tcW w:w="1242" w:type="dxa"/>
            <w:vAlign w:val="center"/>
          </w:tcPr>
          <w:p>
            <w:pPr>
              <w:spacing w:line="360" w:lineRule="auto"/>
              <w:ind w:firstLine="420"/>
              <w:jc w:val="center"/>
              <w:rPr>
                <w:rFonts w:hint="eastAsia" w:ascii="宋体" w:hAnsi="宋体" w:eastAsia="宋体" w:cs="宋体"/>
                <w:color w:val="auto"/>
                <w:highlight w:val="none"/>
              </w:rPr>
            </w:pPr>
          </w:p>
        </w:tc>
        <w:tc>
          <w:tcPr>
            <w:tcW w:w="1854" w:type="dxa"/>
            <w:vAlign w:val="center"/>
          </w:tcPr>
          <w:p>
            <w:pPr>
              <w:spacing w:line="360" w:lineRule="auto"/>
              <w:ind w:firstLine="420"/>
              <w:jc w:val="center"/>
              <w:rPr>
                <w:rFonts w:hint="eastAsia" w:ascii="宋体" w:hAnsi="宋体" w:eastAsia="宋体" w:cs="宋体"/>
                <w:color w:val="auto"/>
                <w:highlight w:val="none"/>
              </w:rPr>
            </w:pPr>
          </w:p>
        </w:tc>
        <w:tc>
          <w:tcPr>
            <w:tcW w:w="1735" w:type="dxa"/>
            <w:vAlign w:val="center"/>
          </w:tcPr>
          <w:p>
            <w:pPr>
              <w:spacing w:line="360" w:lineRule="auto"/>
              <w:ind w:firstLine="420"/>
              <w:jc w:val="center"/>
              <w:rPr>
                <w:rFonts w:hint="eastAsia" w:ascii="宋体" w:hAnsi="宋体" w:eastAsia="宋体" w:cs="宋体"/>
                <w:color w:val="auto"/>
                <w:highlight w:val="none"/>
              </w:rPr>
            </w:pPr>
          </w:p>
        </w:tc>
        <w:tc>
          <w:tcPr>
            <w:tcW w:w="1105" w:type="dxa"/>
            <w:vAlign w:val="center"/>
          </w:tcPr>
          <w:p>
            <w:pPr>
              <w:spacing w:line="360" w:lineRule="auto"/>
              <w:ind w:firstLine="420"/>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679"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110" w:type="dxa"/>
            <w:vAlign w:val="center"/>
          </w:tcPr>
          <w:p>
            <w:pPr>
              <w:spacing w:line="360" w:lineRule="auto"/>
              <w:ind w:firstLine="420"/>
              <w:jc w:val="center"/>
              <w:rPr>
                <w:rFonts w:hint="eastAsia" w:ascii="宋体" w:hAnsi="宋体" w:eastAsia="宋体" w:cs="宋体"/>
                <w:color w:val="auto"/>
                <w:highlight w:val="none"/>
              </w:rPr>
            </w:pPr>
          </w:p>
        </w:tc>
        <w:tc>
          <w:tcPr>
            <w:tcW w:w="1253" w:type="dxa"/>
            <w:vAlign w:val="center"/>
          </w:tcPr>
          <w:p>
            <w:pPr>
              <w:spacing w:line="360" w:lineRule="auto"/>
              <w:ind w:firstLine="420"/>
              <w:jc w:val="center"/>
              <w:rPr>
                <w:rFonts w:hint="eastAsia" w:ascii="宋体" w:hAnsi="宋体" w:eastAsia="宋体" w:cs="宋体"/>
                <w:color w:val="auto"/>
                <w:highlight w:val="none"/>
              </w:rPr>
            </w:pPr>
          </w:p>
        </w:tc>
        <w:tc>
          <w:tcPr>
            <w:tcW w:w="1242" w:type="dxa"/>
            <w:vAlign w:val="center"/>
          </w:tcPr>
          <w:p>
            <w:pPr>
              <w:spacing w:line="360" w:lineRule="auto"/>
              <w:ind w:firstLine="420"/>
              <w:jc w:val="center"/>
              <w:rPr>
                <w:rFonts w:hint="eastAsia" w:ascii="宋体" w:hAnsi="宋体" w:eastAsia="宋体" w:cs="宋体"/>
                <w:color w:val="auto"/>
                <w:highlight w:val="none"/>
              </w:rPr>
            </w:pPr>
          </w:p>
        </w:tc>
        <w:tc>
          <w:tcPr>
            <w:tcW w:w="1854" w:type="dxa"/>
            <w:vAlign w:val="center"/>
          </w:tcPr>
          <w:p>
            <w:pPr>
              <w:spacing w:line="360" w:lineRule="auto"/>
              <w:ind w:firstLine="420"/>
              <w:jc w:val="center"/>
              <w:rPr>
                <w:rFonts w:hint="eastAsia" w:ascii="宋体" w:hAnsi="宋体" w:eastAsia="宋体" w:cs="宋体"/>
                <w:color w:val="auto"/>
                <w:highlight w:val="none"/>
              </w:rPr>
            </w:pPr>
          </w:p>
        </w:tc>
        <w:tc>
          <w:tcPr>
            <w:tcW w:w="1735" w:type="dxa"/>
            <w:vAlign w:val="center"/>
          </w:tcPr>
          <w:p>
            <w:pPr>
              <w:spacing w:line="360" w:lineRule="auto"/>
              <w:ind w:firstLine="420"/>
              <w:jc w:val="center"/>
              <w:rPr>
                <w:rFonts w:hint="eastAsia" w:ascii="宋体" w:hAnsi="宋体" w:eastAsia="宋体" w:cs="宋体"/>
                <w:color w:val="auto"/>
                <w:highlight w:val="none"/>
              </w:rPr>
            </w:pPr>
          </w:p>
        </w:tc>
        <w:tc>
          <w:tcPr>
            <w:tcW w:w="1105" w:type="dxa"/>
            <w:vAlign w:val="center"/>
          </w:tcPr>
          <w:p>
            <w:pPr>
              <w:spacing w:line="360" w:lineRule="auto"/>
              <w:ind w:firstLine="420"/>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679"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10" w:type="dxa"/>
            <w:vAlign w:val="center"/>
          </w:tcPr>
          <w:p>
            <w:pPr>
              <w:spacing w:line="360" w:lineRule="auto"/>
              <w:ind w:firstLine="420"/>
              <w:jc w:val="center"/>
              <w:rPr>
                <w:rFonts w:hint="eastAsia" w:ascii="宋体" w:hAnsi="宋体" w:eastAsia="宋体" w:cs="宋体"/>
                <w:color w:val="auto"/>
                <w:highlight w:val="none"/>
              </w:rPr>
            </w:pPr>
          </w:p>
        </w:tc>
        <w:tc>
          <w:tcPr>
            <w:tcW w:w="1253" w:type="dxa"/>
            <w:vAlign w:val="center"/>
          </w:tcPr>
          <w:p>
            <w:pPr>
              <w:spacing w:line="360" w:lineRule="auto"/>
              <w:ind w:firstLine="420"/>
              <w:jc w:val="center"/>
              <w:rPr>
                <w:rFonts w:hint="eastAsia" w:ascii="宋体" w:hAnsi="宋体" w:eastAsia="宋体" w:cs="宋体"/>
                <w:color w:val="auto"/>
                <w:highlight w:val="none"/>
              </w:rPr>
            </w:pPr>
          </w:p>
        </w:tc>
        <w:tc>
          <w:tcPr>
            <w:tcW w:w="1242" w:type="dxa"/>
            <w:vAlign w:val="center"/>
          </w:tcPr>
          <w:p>
            <w:pPr>
              <w:spacing w:line="360" w:lineRule="auto"/>
              <w:ind w:firstLine="420"/>
              <w:jc w:val="center"/>
              <w:rPr>
                <w:rFonts w:hint="eastAsia" w:ascii="宋体" w:hAnsi="宋体" w:eastAsia="宋体" w:cs="宋体"/>
                <w:color w:val="auto"/>
                <w:highlight w:val="none"/>
              </w:rPr>
            </w:pPr>
          </w:p>
        </w:tc>
        <w:tc>
          <w:tcPr>
            <w:tcW w:w="1854" w:type="dxa"/>
            <w:vAlign w:val="center"/>
          </w:tcPr>
          <w:p>
            <w:pPr>
              <w:spacing w:line="360" w:lineRule="auto"/>
              <w:ind w:firstLine="420"/>
              <w:jc w:val="center"/>
              <w:rPr>
                <w:rFonts w:hint="eastAsia" w:ascii="宋体" w:hAnsi="宋体" w:eastAsia="宋体" w:cs="宋体"/>
                <w:color w:val="auto"/>
                <w:highlight w:val="none"/>
              </w:rPr>
            </w:pPr>
          </w:p>
        </w:tc>
        <w:tc>
          <w:tcPr>
            <w:tcW w:w="1735" w:type="dxa"/>
            <w:vAlign w:val="center"/>
          </w:tcPr>
          <w:p>
            <w:pPr>
              <w:spacing w:line="360" w:lineRule="auto"/>
              <w:ind w:firstLine="420"/>
              <w:jc w:val="center"/>
              <w:rPr>
                <w:rFonts w:hint="eastAsia" w:ascii="宋体" w:hAnsi="宋体" w:eastAsia="宋体" w:cs="宋体"/>
                <w:color w:val="auto"/>
                <w:highlight w:val="none"/>
              </w:rPr>
            </w:pPr>
          </w:p>
        </w:tc>
        <w:tc>
          <w:tcPr>
            <w:tcW w:w="1105" w:type="dxa"/>
            <w:vAlign w:val="center"/>
          </w:tcPr>
          <w:p>
            <w:pPr>
              <w:spacing w:line="360" w:lineRule="auto"/>
              <w:ind w:firstLine="420"/>
              <w:jc w:val="center"/>
              <w:rPr>
                <w:rFonts w:hint="eastAsia" w:ascii="宋体" w:hAnsi="宋体" w:eastAsia="宋体" w:cs="宋体"/>
                <w:color w:val="auto"/>
                <w:highlight w:val="none"/>
              </w:rPr>
            </w:pPr>
          </w:p>
        </w:tc>
      </w:tr>
    </w:tbl>
    <w:p>
      <w:pPr>
        <w:spacing w:line="360" w:lineRule="auto"/>
        <w:ind w:left="437" w:leftChars="208" w:firstLine="422"/>
        <w:rPr>
          <w:rFonts w:hint="eastAsia" w:ascii="宋体" w:hAnsi="宋体" w:eastAsia="宋体" w:cs="宋体"/>
          <w:b/>
          <w:color w:val="auto"/>
          <w:highlight w:val="none"/>
        </w:rPr>
      </w:pPr>
      <w:r>
        <w:rPr>
          <w:rFonts w:hint="eastAsia" w:ascii="宋体" w:hAnsi="宋体" w:eastAsia="宋体" w:cs="宋体"/>
          <w:b/>
          <w:color w:val="auto"/>
          <w:highlight w:val="none"/>
        </w:rPr>
        <w:t>注：本页可续表。</w:t>
      </w:r>
    </w:p>
    <w:p>
      <w:pPr>
        <w:spacing w:line="360" w:lineRule="auto"/>
        <w:ind w:left="437" w:leftChars="208" w:firstLine="422"/>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rPr>
        <w:t>附：合同</w:t>
      </w:r>
      <w:r>
        <w:rPr>
          <w:rFonts w:hint="eastAsia" w:ascii="宋体" w:hAnsi="宋体" w:eastAsia="宋体" w:cs="宋体"/>
          <w:b/>
          <w:color w:val="auto"/>
          <w:highlight w:val="none"/>
          <w:lang w:val="en-US" w:eastAsia="zh-CN"/>
        </w:rPr>
        <w:t>复印件加盖公章</w:t>
      </w:r>
    </w:p>
    <w:p>
      <w:pPr>
        <w:spacing w:line="360" w:lineRule="auto"/>
        <w:ind w:firstLine="403" w:firstLineChars="192"/>
        <w:rPr>
          <w:rFonts w:hint="eastAsia" w:ascii="宋体" w:hAnsi="宋体" w:eastAsia="宋体" w:cs="宋体"/>
          <w:color w:val="auto"/>
          <w:highlight w:val="none"/>
        </w:rPr>
      </w:pPr>
    </w:p>
    <w:p>
      <w:pPr>
        <w:pStyle w:val="4"/>
        <w:spacing w:line="360" w:lineRule="auto"/>
        <w:ind w:firstLine="482"/>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End w:id="230"/>
      <w:bookmarkStart w:id="231" w:name="_Toc16889"/>
      <w:bookmarkStart w:id="232" w:name="_Toc420"/>
      <w:bookmarkStart w:id="233" w:name="_Toc13113"/>
      <w:bookmarkStart w:id="234" w:name="_Toc5618"/>
      <w:bookmarkStart w:id="235" w:name="_Toc2919"/>
      <w:bookmarkStart w:id="236" w:name="_Toc18046"/>
      <w:bookmarkStart w:id="237" w:name="_Toc11784_WPSOffice_Level2"/>
      <w:bookmarkStart w:id="238" w:name="_Toc3873"/>
      <w:r>
        <w:rPr>
          <w:rFonts w:hint="eastAsia" w:ascii="宋体" w:hAnsi="宋体" w:eastAsia="宋体" w:cs="宋体"/>
          <w:color w:val="auto"/>
          <w:highlight w:val="none"/>
        </w:rPr>
        <w:t>B4评标办法所涉及的技术方案（格式自拟）</w:t>
      </w:r>
    </w:p>
    <w:bookmarkEnd w:id="231"/>
    <w:bookmarkEnd w:id="232"/>
    <w:bookmarkEnd w:id="233"/>
    <w:bookmarkEnd w:id="234"/>
    <w:bookmarkEnd w:id="235"/>
    <w:bookmarkEnd w:id="236"/>
    <w:bookmarkEnd w:id="237"/>
    <w:p>
      <w:pPr>
        <w:spacing w:line="360" w:lineRule="auto"/>
        <w:ind w:left="439" w:hanging="438" w:hangingChars="209"/>
        <w:rPr>
          <w:rFonts w:hint="eastAsia" w:ascii="宋体" w:hAnsi="宋体" w:eastAsia="宋体" w:cs="宋体"/>
          <w:color w:val="auto"/>
          <w:highlight w:val="none"/>
        </w:rPr>
      </w:pPr>
    </w:p>
    <w:bookmarkEnd w:id="238"/>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4"/>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B5条款偏离表</w:t>
      </w:r>
    </w:p>
    <w:p>
      <w:pPr>
        <w:spacing w:line="360" w:lineRule="auto"/>
        <w:ind w:firstLine="562"/>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条款偏离表</w:t>
      </w:r>
    </w:p>
    <w:p>
      <w:pPr>
        <w:spacing w:line="360" w:lineRule="auto"/>
        <w:ind w:right="-365" w:rightChars="-174" w:firstLine="535" w:firstLineChars="25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项目名称：南通轨道交通集团有限公司运营分公司</w:t>
      </w:r>
      <w:r>
        <w:rPr>
          <w:rFonts w:hint="eastAsia" w:ascii="宋体" w:hAnsi="宋体" w:eastAsia="宋体" w:cs="宋体"/>
          <w:color w:val="auto"/>
          <w:szCs w:val="21"/>
          <w:highlight w:val="none"/>
          <w:lang w:eastAsia="zh-CN"/>
        </w:rPr>
        <w:t>危废品暂存间改造工程</w:t>
      </w:r>
    </w:p>
    <w:tbl>
      <w:tblPr>
        <w:tblStyle w:val="44"/>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44"/>
        <w:gridCol w:w="2240"/>
        <w:gridCol w:w="240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4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比选文件</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条目号</w:t>
            </w:r>
          </w:p>
        </w:tc>
        <w:tc>
          <w:tcPr>
            <w:tcW w:w="2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比选文件的条款</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参选文件的条款</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5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5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5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5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5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5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5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5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5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Cs w:val="21"/>
                <w:highlight w:val="none"/>
              </w:rPr>
            </w:pPr>
          </w:p>
        </w:tc>
      </w:tr>
    </w:tbl>
    <w:p>
      <w:pPr>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我方承诺：除上表中的偏离外，完全响应比选文件的其他条款。</w:t>
      </w: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tabs>
          <w:tab w:val="left" w:pos="851"/>
        </w:tabs>
        <w:spacing w:line="360" w:lineRule="auto"/>
        <w:ind w:left="420" w:leftChars="200" w:firstLine="4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pPr>
        <w:tabs>
          <w:tab w:val="left" w:pos="851"/>
        </w:tabs>
        <w:spacing w:line="360" w:lineRule="auto"/>
        <w:ind w:left="420" w:leftChars="200" w:firstLine="4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pPr>
        <w:tabs>
          <w:tab w:val="left" w:pos="851"/>
        </w:tabs>
        <w:spacing w:line="360" w:lineRule="auto"/>
        <w:ind w:left="420" w:leftChars="200" w:firstLine="4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B6对比选文件内容和合同条款内容无保留声明</w:t>
      </w:r>
    </w:p>
    <w:p>
      <w:pPr>
        <w:spacing w:line="360" w:lineRule="auto"/>
        <w:ind w:firstLine="420"/>
        <w:rPr>
          <w:rFonts w:hint="eastAsia" w:ascii="宋体" w:hAnsi="宋体" w:eastAsia="宋体" w:cs="宋体"/>
          <w:color w:val="auto"/>
          <w:highlight w:val="none"/>
        </w:rPr>
      </w:pPr>
    </w:p>
    <w:p>
      <w:pPr>
        <w:spacing w:line="360" w:lineRule="auto"/>
        <w:ind w:firstLine="562"/>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对比选文件内容和合同条款内容无保留声明</w:t>
      </w:r>
    </w:p>
    <w:p>
      <w:pPr>
        <w:spacing w:line="360" w:lineRule="auto"/>
        <w:ind w:firstLine="480"/>
        <w:rPr>
          <w:rFonts w:hint="eastAsia" w:ascii="宋体" w:hAnsi="宋体" w:eastAsia="宋体" w:cs="宋体"/>
          <w:color w:val="auto"/>
          <w:sz w:val="24"/>
          <w:szCs w:val="32"/>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南通轨道交通集团有限公司运营分公司：</w:t>
      </w: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我方全面研究了</w:t>
      </w:r>
      <w:r>
        <w:rPr>
          <w:rFonts w:hint="eastAsia" w:ascii="宋体" w:hAnsi="宋体" w:eastAsia="宋体" w:cs="宋体"/>
          <w:i/>
          <w:iCs/>
          <w:color w:val="auto"/>
          <w:szCs w:val="21"/>
          <w:highlight w:val="none"/>
          <w:u w:val="single"/>
        </w:rPr>
        <w:t>（项目名称）</w:t>
      </w:r>
      <w:r>
        <w:rPr>
          <w:rFonts w:hint="eastAsia" w:ascii="宋体" w:hAnsi="宋体" w:eastAsia="宋体" w:cs="宋体"/>
          <w:color w:val="auto"/>
          <w:szCs w:val="21"/>
          <w:highlight w:val="none"/>
        </w:rPr>
        <w:t>项目比选文件，对比选文件和合同条款内容无异议，愿意无条件承担比选文件和合同条款规定的责任、权利和义务。</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spacing w:line="360" w:lineRule="auto"/>
        <w:ind w:firstLine="420"/>
        <w:rPr>
          <w:rFonts w:hint="eastAsia" w:ascii="宋体" w:hAnsi="宋体" w:eastAsia="宋体" w:cs="宋体"/>
          <w:color w:val="auto"/>
          <w:highlight w:val="none"/>
        </w:rPr>
      </w:pPr>
    </w:p>
    <w:p>
      <w:pPr>
        <w:spacing w:line="360" w:lineRule="auto"/>
        <w:ind w:firstLine="424"/>
        <w:rPr>
          <w:rFonts w:hint="eastAsia" w:ascii="宋体" w:hAnsi="宋体" w:eastAsia="宋体" w:cs="宋体"/>
          <w:color w:val="auto"/>
          <w:spacing w:val="2"/>
          <w:highlight w:val="none"/>
        </w:rPr>
      </w:pPr>
    </w:p>
    <w:p>
      <w:pPr>
        <w:spacing w:line="360" w:lineRule="auto"/>
        <w:ind w:firstLine="424"/>
        <w:rPr>
          <w:rFonts w:hint="eastAsia" w:ascii="宋体" w:hAnsi="宋体" w:eastAsia="宋体" w:cs="宋体"/>
          <w:color w:val="auto"/>
          <w:spacing w:val="2"/>
          <w:highlight w:val="none"/>
        </w:rPr>
      </w:pPr>
    </w:p>
    <w:p>
      <w:pPr>
        <w:spacing w:line="360" w:lineRule="auto"/>
        <w:ind w:firstLine="424"/>
        <w:rPr>
          <w:rFonts w:hint="eastAsia" w:ascii="宋体" w:hAnsi="宋体" w:eastAsia="宋体" w:cs="宋体"/>
          <w:color w:val="auto"/>
          <w:spacing w:val="2"/>
          <w:highlight w:val="none"/>
        </w:rPr>
      </w:pPr>
    </w:p>
    <w:p>
      <w:pPr>
        <w:spacing w:line="360" w:lineRule="auto"/>
        <w:ind w:firstLine="424"/>
        <w:rPr>
          <w:rFonts w:hint="eastAsia" w:ascii="宋体" w:hAnsi="宋体" w:eastAsia="宋体" w:cs="宋体"/>
          <w:color w:val="auto"/>
          <w:spacing w:val="2"/>
          <w:highlight w:val="none"/>
        </w:rPr>
      </w:pPr>
    </w:p>
    <w:p>
      <w:pPr>
        <w:wordWrap w:val="0"/>
        <w:spacing w:before="69" w:line="360" w:lineRule="auto"/>
        <w:jc w:val="right"/>
        <w:rPr>
          <w:rFonts w:hint="eastAsia" w:ascii="宋体" w:hAnsi="宋体" w:eastAsia="宋体" w:cs="宋体"/>
          <w:color w:val="auto"/>
          <w:highlight w:val="none"/>
          <w:u w:val="single"/>
        </w:rPr>
      </w:pPr>
      <w:r>
        <w:rPr>
          <w:rFonts w:hint="eastAsia" w:ascii="宋体" w:hAnsi="宋体" w:eastAsia="宋体" w:cs="宋体"/>
          <w:color w:val="auto"/>
          <w:spacing w:val="2"/>
          <w:szCs w:val="21"/>
          <w:highlight w:val="none"/>
        </w:rPr>
        <w:t>参选人：</w:t>
      </w:r>
      <w:r>
        <w:rPr>
          <w:rFonts w:hint="eastAsia" w:ascii="宋体" w:hAnsi="宋体" w:eastAsia="宋体" w:cs="宋体"/>
          <w:color w:val="auto"/>
          <w:spacing w:val="2"/>
          <w:szCs w:val="21"/>
          <w:highlight w:val="none"/>
          <w:u w:val="single"/>
        </w:rPr>
        <w:t xml:space="preserve">                         （公章</w:t>
      </w:r>
      <w:r>
        <w:rPr>
          <w:rFonts w:hint="eastAsia" w:ascii="宋体" w:hAnsi="宋体" w:eastAsia="宋体" w:cs="宋体"/>
          <w:color w:val="auto"/>
          <w:spacing w:val="-56"/>
          <w:szCs w:val="21"/>
          <w:highlight w:val="none"/>
          <w:u w:val="single"/>
        </w:rPr>
        <w:t>）</w:t>
      </w:r>
      <w:r>
        <w:rPr>
          <w:rFonts w:hint="eastAsia" w:ascii="宋体" w:hAnsi="宋体" w:eastAsia="宋体" w:cs="宋体"/>
          <w:color w:val="auto"/>
          <w:spacing w:val="-18"/>
          <w:szCs w:val="21"/>
          <w:highlight w:val="none"/>
          <w:u w:val="single"/>
        </w:rPr>
        <w:t xml:space="preserve"> </w:t>
      </w:r>
      <w:r>
        <w:rPr>
          <w:rFonts w:hint="eastAsia" w:ascii="宋体" w:hAnsi="宋体" w:eastAsia="宋体" w:cs="宋体"/>
          <w:color w:val="auto"/>
          <w:spacing w:val="-56"/>
          <w:szCs w:val="21"/>
          <w:highlight w:val="none"/>
          <w:u w:val="single"/>
        </w:rPr>
        <w:t xml:space="preserve">       </w:t>
      </w:r>
      <w:r>
        <w:rPr>
          <w:rFonts w:hint="eastAsia" w:ascii="宋体" w:hAnsi="宋体" w:eastAsia="宋体" w:cs="宋体"/>
          <w:color w:val="auto"/>
          <w:spacing w:val="-56"/>
          <w:szCs w:val="21"/>
          <w:highlight w:val="none"/>
        </w:rPr>
        <w:t xml:space="preserve">  </w:t>
      </w:r>
    </w:p>
    <w:p>
      <w:pPr>
        <w:spacing w:before="251" w:line="360" w:lineRule="auto"/>
        <w:ind w:firstLine="4818" w:firstLineChars="2273"/>
        <w:jc w:val="left"/>
        <w:rPr>
          <w:rFonts w:hint="eastAsia" w:ascii="宋体" w:hAnsi="宋体" w:eastAsia="宋体" w:cs="宋体"/>
          <w:color w:val="auto"/>
          <w:spacing w:val="1"/>
          <w:szCs w:val="21"/>
          <w:highlight w:val="none"/>
        </w:rPr>
      </w:pPr>
    </w:p>
    <w:p>
      <w:pPr>
        <w:spacing w:before="251" w:line="360" w:lineRule="auto"/>
        <w:ind w:firstLine="3816" w:firstLineChars="1800"/>
        <w:jc w:val="left"/>
        <w:rPr>
          <w:rFonts w:hint="eastAsia" w:ascii="宋体" w:hAnsi="宋体" w:eastAsia="宋体" w:cs="宋体"/>
          <w:color w:val="auto"/>
          <w:highlight w:val="none"/>
        </w:rPr>
      </w:pPr>
      <w:r>
        <w:rPr>
          <w:rFonts w:hint="eastAsia" w:ascii="宋体" w:hAnsi="宋体" w:eastAsia="宋体" w:cs="宋体"/>
          <w:color w:val="auto"/>
          <w:spacing w:val="1"/>
          <w:szCs w:val="21"/>
          <w:highlight w:val="none"/>
        </w:rPr>
        <w:t>法定代表人或其委托代理人：</w:t>
      </w:r>
      <w:r>
        <w:rPr>
          <w:rFonts w:hint="eastAsia" w:ascii="宋体" w:hAnsi="宋体" w:eastAsia="宋体" w:cs="宋体"/>
          <w:color w:val="auto"/>
          <w:spacing w:val="1"/>
          <w:szCs w:val="21"/>
          <w:highlight w:val="none"/>
          <w:u w:val="single"/>
        </w:rPr>
        <w:t xml:space="preserve"> （签字或盖章）</w:t>
      </w:r>
      <w:r>
        <w:rPr>
          <w:rFonts w:hint="eastAsia" w:ascii="宋体" w:hAnsi="宋体" w:eastAsia="宋体" w:cs="宋体"/>
          <w:color w:val="auto"/>
          <w:spacing w:val="-16"/>
          <w:szCs w:val="21"/>
          <w:highlight w:val="none"/>
          <w:u w:val="single"/>
        </w:rPr>
        <w:t xml:space="preserve"> </w:t>
      </w:r>
    </w:p>
    <w:p>
      <w:pPr>
        <w:spacing w:before="251" w:line="360" w:lineRule="auto"/>
        <w:ind w:firstLine="4818" w:firstLineChars="2273"/>
        <w:jc w:val="left"/>
        <w:rPr>
          <w:rFonts w:hint="eastAsia" w:ascii="宋体" w:hAnsi="宋体" w:eastAsia="宋体" w:cs="宋体"/>
          <w:color w:val="auto"/>
          <w:spacing w:val="1"/>
          <w:szCs w:val="21"/>
          <w:highlight w:val="none"/>
        </w:rPr>
      </w:pPr>
    </w:p>
    <w:p>
      <w:pPr>
        <w:spacing w:before="251" w:line="360" w:lineRule="auto"/>
        <w:ind w:firstLine="4818" w:firstLineChars="2273"/>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日期：    年     月     日</w:t>
      </w:r>
    </w:p>
    <w:p>
      <w:pPr>
        <w:pStyle w:val="12"/>
        <w:overflowPunct w:val="0"/>
        <w:spacing w:line="360" w:lineRule="auto"/>
        <w:ind w:firstLine="803" w:firstLineChars="200"/>
        <w:jc w:val="right"/>
        <w:rPr>
          <w:rFonts w:hint="eastAsia" w:ascii="宋体" w:hAnsi="宋体" w:eastAsia="宋体" w:cs="宋体"/>
          <w:color w:val="auto"/>
          <w:sz w:val="40"/>
          <w:szCs w:val="40"/>
          <w:highlight w:val="none"/>
        </w:rPr>
      </w:pPr>
    </w:p>
    <w:p>
      <w:pPr>
        <w:pStyle w:val="12"/>
        <w:overflowPunct w:val="0"/>
        <w:spacing w:line="360" w:lineRule="auto"/>
        <w:ind w:firstLine="803" w:firstLineChars="200"/>
        <w:jc w:val="right"/>
        <w:rPr>
          <w:rFonts w:hint="eastAsia" w:ascii="宋体" w:hAnsi="宋体" w:eastAsia="宋体" w:cs="宋体"/>
          <w:color w:val="auto"/>
          <w:sz w:val="40"/>
          <w:szCs w:val="40"/>
          <w:highlight w:val="none"/>
        </w:rPr>
      </w:pPr>
    </w:p>
    <w:p>
      <w:pPr>
        <w:pStyle w:val="12"/>
        <w:overflowPunct w:val="0"/>
        <w:spacing w:line="360" w:lineRule="auto"/>
        <w:ind w:firstLine="803" w:firstLineChars="200"/>
        <w:jc w:val="right"/>
        <w:rPr>
          <w:rFonts w:hint="eastAsia" w:ascii="宋体" w:hAnsi="宋体" w:eastAsia="宋体" w:cs="宋体"/>
          <w:color w:val="auto"/>
          <w:sz w:val="40"/>
          <w:szCs w:val="40"/>
          <w:highlight w:val="none"/>
        </w:rPr>
      </w:pPr>
    </w:p>
    <w:p>
      <w:pPr>
        <w:pStyle w:val="12"/>
        <w:overflowPunct w:val="0"/>
        <w:spacing w:line="360" w:lineRule="auto"/>
        <w:ind w:firstLine="803" w:firstLineChars="200"/>
        <w:jc w:val="right"/>
        <w:rPr>
          <w:rFonts w:hint="eastAsia" w:ascii="宋体" w:hAnsi="宋体" w:eastAsia="宋体" w:cs="宋体"/>
          <w:color w:val="auto"/>
          <w:sz w:val="40"/>
          <w:szCs w:val="40"/>
          <w:highlight w:val="none"/>
        </w:rPr>
      </w:pPr>
    </w:p>
    <w:p>
      <w:pPr>
        <w:pStyle w:val="12"/>
        <w:overflowPunct w:val="0"/>
        <w:spacing w:line="360" w:lineRule="auto"/>
        <w:ind w:firstLine="803" w:firstLineChars="200"/>
        <w:jc w:val="right"/>
        <w:rPr>
          <w:rFonts w:hint="eastAsia" w:ascii="宋体" w:hAnsi="宋体" w:eastAsia="宋体" w:cs="宋体"/>
          <w:color w:val="auto"/>
          <w:sz w:val="40"/>
          <w:szCs w:val="40"/>
          <w:highlight w:val="none"/>
        </w:rPr>
      </w:pPr>
    </w:p>
    <w:p>
      <w:pPr>
        <w:spacing w:line="360" w:lineRule="auto"/>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B7其他比选文件要求出具的技术文件及参选人人认为需加以说明的内容（格式自拟）</w:t>
      </w:r>
    </w:p>
    <w:p>
      <w:pPr>
        <w:pStyle w:val="12"/>
        <w:overflowPunct w:val="0"/>
        <w:spacing w:line="360" w:lineRule="auto"/>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sz w:val="40"/>
          <w:szCs w:val="40"/>
          <w:highlight w:val="none"/>
        </w:rPr>
        <w:br w:type="page"/>
      </w:r>
    </w:p>
    <w:p>
      <w:pPr>
        <w:pStyle w:val="2"/>
        <w:spacing w:line="360" w:lineRule="auto"/>
        <w:ind w:firstLine="422"/>
        <w:rPr>
          <w:rFonts w:hint="eastAsia" w:ascii="宋体" w:hAnsi="宋体" w:eastAsia="宋体" w:cs="宋体"/>
          <w:color w:val="auto"/>
          <w:highlight w:val="none"/>
        </w:rPr>
      </w:pPr>
      <w:bookmarkStart w:id="239" w:name="_Toc96078143"/>
      <w:r>
        <w:rPr>
          <w:rFonts w:hint="eastAsia" w:ascii="宋体" w:hAnsi="宋体" w:eastAsia="宋体" w:cs="宋体"/>
          <w:color w:val="auto"/>
          <w:highlight w:val="none"/>
        </w:rPr>
        <w:t>C价格部分</w:t>
      </w:r>
      <w:bookmarkEnd w:id="239"/>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一、报价函（格式见C1）</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（格式见C2）</w:t>
      </w:r>
    </w:p>
    <w:p>
      <w:pPr>
        <w:widowControl/>
        <w:spacing w:line="360" w:lineRule="auto"/>
        <w:jc w:val="left"/>
        <w:rPr>
          <w:rFonts w:hint="eastAsia" w:ascii="宋体" w:hAnsi="宋体" w:eastAsia="宋体" w:cs="宋体"/>
          <w:b/>
          <w:color w:val="auto"/>
          <w:sz w:val="24"/>
          <w:szCs w:val="20"/>
          <w:highlight w:val="none"/>
        </w:rPr>
      </w:pPr>
      <w:r>
        <w:rPr>
          <w:rFonts w:hint="eastAsia" w:ascii="宋体" w:hAnsi="宋体" w:eastAsia="宋体" w:cs="宋体"/>
          <w:color w:val="auto"/>
          <w:highlight w:val="none"/>
        </w:rPr>
        <w:br w:type="page"/>
      </w:r>
    </w:p>
    <w:p>
      <w:pPr>
        <w:pStyle w:val="4"/>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C1报价函</w:t>
      </w:r>
    </w:p>
    <w:p>
      <w:pPr>
        <w:spacing w:line="360" w:lineRule="auto"/>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函</w:t>
      </w:r>
    </w:p>
    <w:p>
      <w:pPr>
        <w:pStyle w:val="12"/>
        <w:spacing w:line="360" w:lineRule="auto"/>
        <w:ind w:right="-199" w:rightChars="-95" w:firstLine="0"/>
        <w:rPr>
          <w:rFonts w:hint="eastAsia" w:ascii="宋体" w:hAnsi="宋体" w:eastAsia="宋体" w:cs="宋体"/>
          <w:b w:val="0"/>
          <w:bCs/>
          <w:color w:val="auto"/>
          <w:sz w:val="21"/>
          <w:szCs w:val="21"/>
          <w:highlight w:val="none"/>
          <w:u w:val="single"/>
        </w:rPr>
      </w:pPr>
      <w:r>
        <w:rPr>
          <w:rFonts w:hint="eastAsia" w:ascii="宋体" w:hAnsi="宋体" w:eastAsia="宋体" w:cs="宋体"/>
          <w:color w:val="auto"/>
          <w:szCs w:val="28"/>
          <w:highlight w:val="none"/>
        </w:rPr>
        <w:t xml:space="preserve"> </w:t>
      </w:r>
      <w:r>
        <w:rPr>
          <w:rFonts w:hint="eastAsia" w:ascii="宋体" w:hAnsi="宋体" w:eastAsia="宋体" w:cs="宋体"/>
          <w:b w:val="0"/>
          <w:bCs/>
          <w:color w:val="auto"/>
          <w:sz w:val="21"/>
          <w:szCs w:val="21"/>
          <w:highlight w:val="none"/>
          <w:u w:val="single"/>
        </w:rPr>
        <w:t>南通轨道交通集团有限公司运营分公司：</w:t>
      </w:r>
    </w:p>
    <w:p>
      <w:pPr>
        <w:pStyle w:val="12"/>
        <w:numPr>
          <w:ilvl w:val="0"/>
          <w:numId w:val="3"/>
        </w:numPr>
        <w:spacing w:line="360" w:lineRule="auto"/>
        <w:ind w:right="-199" w:rightChars="-95"/>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根据已收到的</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的比选文件，我单位将遵照《中华人民共和国招标投标法》等有关规定并根据比选文件的规定，经考察现场和研究比选文件后，愿以人民币(大写)</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元）的总价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含税</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，按比选文件的要求承包本项目比选范围内的全部</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，我单位承诺，该费用全部投入用于本</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，不作为利润或挪作它用。</w:t>
      </w:r>
    </w:p>
    <w:p>
      <w:pPr>
        <w:pStyle w:val="12"/>
        <w:spacing w:line="360" w:lineRule="auto"/>
        <w:ind w:right="-199" w:rightChars="-95"/>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（二）我单位保证在收到贵单位发出的书面开工令后立即开工，并按业主要求的时间竣工。</w:t>
      </w:r>
    </w:p>
    <w:p>
      <w:pPr>
        <w:pStyle w:val="12"/>
        <w:spacing w:line="360" w:lineRule="auto"/>
        <w:ind w:right="-199" w:rightChars="-95"/>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（三）我单位保证本</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质量达到</w:t>
      </w:r>
      <w:r>
        <w:rPr>
          <w:rFonts w:hint="eastAsia" w:ascii="宋体" w:hAnsi="宋体" w:eastAsia="宋体" w:cs="宋体"/>
          <w:b w:val="0"/>
          <w:bCs/>
          <w:color w:val="auto"/>
          <w:sz w:val="21"/>
          <w:szCs w:val="21"/>
          <w:highlight w:val="none"/>
          <w:u w:val="single"/>
        </w:rPr>
        <w:t>合格标准</w:t>
      </w:r>
      <w:r>
        <w:rPr>
          <w:rFonts w:hint="eastAsia" w:ascii="宋体" w:hAnsi="宋体" w:eastAsia="宋体" w:cs="宋体"/>
          <w:b w:val="0"/>
          <w:bCs/>
          <w:color w:val="auto"/>
          <w:sz w:val="21"/>
          <w:szCs w:val="21"/>
          <w:highlight w:val="none"/>
        </w:rPr>
        <w:t>。</w:t>
      </w:r>
    </w:p>
    <w:p>
      <w:pPr>
        <w:pStyle w:val="12"/>
        <w:spacing w:line="360" w:lineRule="auto"/>
        <w:ind w:right="-199" w:rightChars="-95"/>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（四）比选文件中的其他实质性要求以及合同条款我方均响应。</w:t>
      </w:r>
    </w:p>
    <w:p>
      <w:pPr>
        <w:pStyle w:val="12"/>
        <w:spacing w:line="360" w:lineRule="auto"/>
        <w:ind w:right="-199" w:rightChars="-95"/>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（五）贵单位的比选文件、成交通知书和本参选文件将构成约束我们双方的合同。</w:t>
      </w:r>
    </w:p>
    <w:p>
      <w:pPr>
        <w:pStyle w:val="12"/>
        <w:spacing w:line="360" w:lineRule="auto"/>
        <w:ind w:right="-199" w:rightChars="-95" w:firstLineChars="200"/>
        <w:rPr>
          <w:rFonts w:hint="eastAsia" w:ascii="宋体" w:hAnsi="宋体" w:eastAsia="宋体" w:cs="宋体"/>
          <w:b w:val="0"/>
          <w:bCs/>
          <w:color w:val="auto"/>
          <w:sz w:val="21"/>
          <w:szCs w:val="21"/>
          <w:highlight w:val="none"/>
        </w:rPr>
      </w:pPr>
    </w:p>
    <w:p>
      <w:pPr>
        <w:spacing w:line="360" w:lineRule="auto"/>
        <w:ind w:firstLine="403" w:firstLineChars="192"/>
        <w:jc w:val="right"/>
        <w:rPr>
          <w:rFonts w:hint="eastAsia" w:ascii="宋体" w:hAnsi="宋体" w:eastAsia="宋体" w:cs="宋体"/>
          <w:color w:val="auto"/>
          <w:highlight w:val="none"/>
          <w:u w:val="single"/>
        </w:rPr>
      </w:pPr>
      <w:bookmarkStart w:id="240" w:name="_Toc7546"/>
      <w:bookmarkStart w:id="241" w:name="_Toc27078"/>
      <w:bookmarkStart w:id="242" w:name="_Toc26332"/>
      <w:bookmarkStart w:id="243" w:name="_Toc9630"/>
      <w:r>
        <w:rPr>
          <w:rFonts w:hint="eastAsia" w:ascii="宋体" w:hAnsi="宋体" w:eastAsia="宋体" w:cs="宋体"/>
          <w:color w:val="auto"/>
          <w:highlight w:val="none"/>
        </w:rPr>
        <w:t>参选人：</w:t>
      </w:r>
      <w:r>
        <w:rPr>
          <w:rFonts w:hint="eastAsia" w:ascii="宋体" w:hAnsi="宋体" w:eastAsia="宋体" w:cs="宋体"/>
          <w:color w:val="auto"/>
          <w:highlight w:val="none"/>
          <w:u w:val="single"/>
        </w:rPr>
        <w:t xml:space="preserve">                      （盖章）  </w:t>
      </w:r>
    </w:p>
    <w:p>
      <w:pPr>
        <w:spacing w:line="360" w:lineRule="auto"/>
        <w:ind w:firstLine="403" w:firstLineChars="192"/>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（签字或盖章） </w:t>
      </w:r>
      <w:r>
        <w:rPr>
          <w:rFonts w:hint="eastAsia" w:ascii="宋体" w:hAnsi="宋体" w:eastAsia="宋体" w:cs="宋体"/>
          <w:color w:val="auto"/>
          <w:highlight w:val="none"/>
        </w:rPr>
        <w:t xml:space="preserve"> </w:t>
      </w:r>
    </w:p>
    <w:p>
      <w:pPr>
        <w:spacing w:line="360" w:lineRule="auto"/>
        <w:ind w:firstLine="403" w:firstLineChars="192"/>
        <w:jc w:val="right"/>
        <w:rPr>
          <w:rFonts w:hint="eastAsia" w:ascii="宋体" w:hAnsi="宋体" w:eastAsia="宋体" w:cs="宋体"/>
          <w:color w:val="auto"/>
          <w:sz w:val="24"/>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4"/>
        <w:spacing w:line="360" w:lineRule="auto"/>
        <w:ind w:firstLine="422"/>
        <w:rPr>
          <w:rFonts w:hint="eastAsia" w:ascii="宋体" w:hAnsi="宋体" w:eastAsia="宋体" w:cs="宋体"/>
          <w:kern w:val="0"/>
          <w:sz w:val="24"/>
          <w:szCs w:val="24"/>
          <w:highlight w:val="none"/>
          <w:lang w:val="zh-CN"/>
        </w:rPr>
      </w:pPr>
      <w:r>
        <w:rPr>
          <w:rFonts w:hint="eastAsia" w:ascii="宋体" w:hAnsi="宋体" w:eastAsia="宋体" w:cs="宋体"/>
          <w:bCs w:val="0"/>
          <w:color w:val="auto"/>
          <w:szCs w:val="28"/>
          <w:highlight w:val="none"/>
        </w:rPr>
        <w:br w:type="page"/>
      </w:r>
      <w:bookmarkEnd w:id="240"/>
      <w:bookmarkEnd w:id="241"/>
      <w:bookmarkEnd w:id="242"/>
      <w:bookmarkEnd w:id="243"/>
      <w:r>
        <w:rPr>
          <w:rFonts w:hint="eastAsia" w:ascii="宋体" w:hAnsi="宋体" w:eastAsia="宋体" w:cs="宋体"/>
          <w:kern w:val="0"/>
          <w:sz w:val="24"/>
          <w:szCs w:val="24"/>
          <w:highlight w:val="none"/>
        </w:rPr>
        <w:t>C2已标价工程量清单，包括：投标总价封面、投标总价扉页、工程计价总说明、投标报价汇总表、单项工程投标报价汇总表、单位工程投标报价汇总表、分部分项工程和单价措施项目清单与计价表、综合单价分析表、总价措施项目清单</w:t>
      </w:r>
      <w:r>
        <w:rPr>
          <w:rFonts w:hint="eastAsia" w:ascii="宋体" w:hAnsi="宋体" w:eastAsia="宋体" w:cs="宋体"/>
          <w:kern w:val="0"/>
          <w:sz w:val="24"/>
          <w:szCs w:val="24"/>
          <w:highlight w:val="none"/>
          <w:lang w:val="zh-CN"/>
        </w:rPr>
        <w:t>与计价表、其他项目清单与计价汇总表、暂列金额明细表、材料（工程设备）暂估单价及调整表、专业工程暂估价及结算价表、计日工表、总包服务费计价表、规费、税金项目计价表、总价项目进度款支付分解表、发包人提供主要材料和工程设备一览表、承包人提供主要材料和工程设备一览表（按采购文件要求提供）；</w:t>
      </w:r>
    </w:p>
    <w:p>
      <w:pP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br w:type="page"/>
      </w:r>
    </w:p>
    <w:p>
      <w:pPr>
        <w:tabs>
          <w:tab w:val="left" w:pos="6860"/>
          <w:tab w:val="left" w:pos="7800"/>
        </w:tabs>
        <w:ind w:firstLine="0" w:firstLineChars="0"/>
        <w:outlineLvl w:val="9"/>
        <w:rPr>
          <w:rFonts w:hint="eastAsia" w:ascii="宋体" w:hAnsi="宋体" w:eastAsia="宋体" w:cs="宋体"/>
          <w:sz w:val="28"/>
          <w:szCs w:val="28"/>
        </w:rPr>
      </w:pPr>
      <w:r>
        <w:rPr>
          <w:rFonts w:hint="eastAsia" w:ascii="宋体" w:hAnsi="宋体" w:eastAsia="宋体" w:cs="宋体"/>
          <w:sz w:val="28"/>
          <w:szCs w:val="28"/>
        </w:rPr>
        <w:t>附件二：参选人要求澄清比选文件的格式</w:t>
      </w:r>
    </w:p>
    <w:p>
      <w:pPr>
        <w:ind w:firstLine="0" w:firstLineChars="0"/>
        <w:rPr>
          <w:rFonts w:hint="eastAsia" w:ascii="宋体" w:hAnsi="宋体" w:eastAsia="宋体" w:cs="宋体"/>
          <w:b/>
          <w:kern w:val="1"/>
          <w:sz w:val="24"/>
          <w:u w:val="single"/>
        </w:rPr>
      </w:pPr>
    </w:p>
    <w:tbl>
      <w:tblPr>
        <w:tblStyle w:val="44"/>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523"/>
        <w:gridCol w:w="2480"/>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blHeader/>
          <w:jc w:val="center"/>
        </w:trPr>
        <w:tc>
          <w:tcPr>
            <w:tcW w:w="1014" w:type="dxa"/>
            <w:vAlign w:val="center"/>
          </w:tcPr>
          <w:p>
            <w:pPr>
              <w:ind w:firstLine="0" w:firstLineChars="0"/>
              <w:jc w:val="center"/>
              <w:rPr>
                <w:rFonts w:hint="eastAsia" w:ascii="宋体" w:hAnsi="宋体" w:eastAsia="宋体" w:cs="宋体"/>
                <w:b/>
                <w:bCs/>
                <w:szCs w:val="21"/>
              </w:rPr>
            </w:pPr>
            <w:r>
              <w:rPr>
                <w:rFonts w:hint="eastAsia" w:ascii="宋体" w:hAnsi="宋体" w:eastAsia="宋体" w:cs="宋体"/>
                <w:b/>
                <w:bCs/>
                <w:szCs w:val="21"/>
              </w:rPr>
              <w:t>序号</w:t>
            </w:r>
          </w:p>
        </w:tc>
        <w:tc>
          <w:tcPr>
            <w:tcW w:w="2523" w:type="dxa"/>
            <w:vAlign w:val="center"/>
          </w:tcPr>
          <w:p>
            <w:pPr>
              <w:tabs>
                <w:tab w:val="left" w:pos="5115"/>
              </w:tabs>
              <w:ind w:firstLine="0" w:firstLineChars="0"/>
              <w:jc w:val="center"/>
              <w:rPr>
                <w:rFonts w:hint="eastAsia" w:ascii="宋体" w:hAnsi="宋体" w:eastAsia="宋体" w:cs="宋体"/>
                <w:b/>
                <w:bCs/>
                <w:szCs w:val="21"/>
              </w:rPr>
            </w:pPr>
            <w:r>
              <w:rPr>
                <w:rFonts w:hint="eastAsia" w:ascii="宋体" w:hAnsi="宋体" w:eastAsia="宋体" w:cs="宋体"/>
                <w:b/>
                <w:bCs/>
                <w:caps/>
                <w:kern w:val="1"/>
                <w:szCs w:val="21"/>
              </w:rPr>
              <w:t>比选文件条款号及页码</w:t>
            </w:r>
          </w:p>
        </w:tc>
        <w:tc>
          <w:tcPr>
            <w:tcW w:w="2480" w:type="dxa"/>
            <w:vAlign w:val="center"/>
          </w:tcPr>
          <w:p>
            <w:pPr>
              <w:tabs>
                <w:tab w:val="left" w:pos="5115"/>
              </w:tabs>
              <w:ind w:firstLine="0" w:firstLineChars="0"/>
              <w:jc w:val="center"/>
              <w:rPr>
                <w:rFonts w:hint="eastAsia" w:ascii="宋体" w:hAnsi="宋体" w:eastAsia="宋体" w:cs="宋体"/>
                <w:b/>
                <w:bCs/>
                <w:kern w:val="1"/>
                <w:szCs w:val="21"/>
                <w:lang w:eastAsia="ja-JP"/>
              </w:rPr>
            </w:pPr>
            <w:r>
              <w:rPr>
                <w:rFonts w:hint="eastAsia" w:ascii="宋体" w:hAnsi="宋体" w:eastAsia="宋体" w:cs="宋体"/>
                <w:b/>
                <w:bCs/>
                <w:caps/>
                <w:kern w:val="1"/>
                <w:szCs w:val="21"/>
              </w:rPr>
              <w:t>原文内容</w:t>
            </w:r>
          </w:p>
        </w:tc>
        <w:tc>
          <w:tcPr>
            <w:tcW w:w="3322" w:type="dxa"/>
            <w:vAlign w:val="center"/>
          </w:tcPr>
          <w:p>
            <w:pPr>
              <w:tabs>
                <w:tab w:val="left" w:pos="5115"/>
              </w:tabs>
              <w:ind w:firstLine="0" w:firstLineChars="0"/>
              <w:jc w:val="center"/>
              <w:rPr>
                <w:rFonts w:hint="eastAsia" w:ascii="宋体" w:hAnsi="宋体" w:eastAsia="宋体" w:cs="宋体"/>
                <w:b/>
                <w:bCs/>
                <w:kern w:val="1"/>
                <w:szCs w:val="21"/>
              </w:rPr>
            </w:pPr>
            <w:r>
              <w:rPr>
                <w:rFonts w:hint="eastAsia" w:ascii="宋体" w:hAnsi="宋体" w:eastAsia="宋体" w:cs="宋体"/>
                <w:b/>
                <w:bCs/>
                <w:caps/>
                <w:kern w:val="1"/>
                <w:szCs w:val="21"/>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14" w:type="dxa"/>
            <w:vAlign w:val="center"/>
          </w:tcPr>
          <w:p>
            <w:pPr>
              <w:ind w:firstLine="0" w:firstLineChars="0"/>
              <w:jc w:val="center"/>
              <w:rPr>
                <w:rFonts w:hint="eastAsia" w:ascii="宋体" w:hAnsi="宋体" w:eastAsia="宋体" w:cs="宋体"/>
                <w:b/>
                <w:bCs/>
                <w:szCs w:val="21"/>
              </w:rPr>
            </w:pPr>
            <w:r>
              <w:rPr>
                <w:rFonts w:hint="eastAsia" w:ascii="宋体" w:hAnsi="宋体" w:eastAsia="宋体" w:cs="宋体"/>
                <w:b/>
                <w:bCs/>
                <w:szCs w:val="21"/>
              </w:rPr>
              <w:t>1</w:t>
            </w:r>
          </w:p>
        </w:tc>
        <w:tc>
          <w:tcPr>
            <w:tcW w:w="2523" w:type="dxa"/>
            <w:vAlign w:val="center"/>
          </w:tcPr>
          <w:p>
            <w:pPr>
              <w:ind w:firstLine="0" w:firstLineChars="0"/>
              <w:rPr>
                <w:rFonts w:hint="eastAsia" w:ascii="宋体" w:hAnsi="宋体" w:eastAsia="宋体" w:cs="宋体"/>
                <w:b/>
                <w:bCs/>
                <w:kern w:val="1"/>
                <w:szCs w:val="21"/>
              </w:rPr>
            </w:pPr>
          </w:p>
        </w:tc>
        <w:tc>
          <w:tcPr>
            <w:tcW w:w="2480" w:type="dxa"/>
            <w:vAlign w:val="center"/>
          </w:tcPr>
          <w:p>
            <w:pPr>
              <w:ind w:firstLine="0" w:firstLineChars="0"/>
              <w:rPr>
                <w:rFonts w:hint="eastAsia" w:ascii="宋体" w:hAnsi="宋体" w:eastAsia="宋体" w:cs="宋体"/>
                <w:b/>
                <w:bCs/>
                <w:kern w:val="1"/>
                <w:szCs w:val="21"/>
              </w:rPr>
            </w:pPr>
          </w:p>
        </w:tc>
        <w:tc>
          <w:tcPr>
            <w:tcW w:w="3322" w:type="dxa"/>
            <w:vAlign w:val="center"/>
          </w:tcPr>
          <w:p>
            <w:pPr>
              <w:ind w:firstLine="0" w:firstLineChars="0"/>
              <w:rPr>
                <w:rFonts w:hint="eastAsia" w:ascii="宋体" w:hAnsi="宋体" w:eastAsia="宋体" w:cs="宋体"/>
                <w:b/>
                <w:bCs/>
                <w:kern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14" w:type="dxa"/>
            <w:vAlign w:val="center"/>
          </w:tcPr>
          <w:p>
            <w:pPr>
              <w:ind w:firstLine="0" w:firstLineChars="0"/>
              <w:jc w:val="center"/>
              <w:rPr>
                <w:rFonts w:hint="eastAsia" w:ascii="宋体" w:hAnsi="宋体" w:eastAsia="宋体" w:cs="宋体"/>
                <w:b/>
                <w:bCs/>
                <w:szCs w:val="21"/>
              </w:rPr>
            </w:pPr>
            <w:r>
              <w:rPr>
                <w:rFonts w:hint="eastAsia" w:ascii="宋体" w:hAnsi="宋体" w:eastAsia="宋体" w:cs="宋体"/>
                <w:b/>
                <w:bCs/>
                <w:szCs w:val="21"/>
              </w:rPr>
              <w:t>2</w:t>
            </w:r>
          </w:p>
        </w:tc>
        <w:tc>
          <w:tcPr>
            <w:tcW w:w="2523" w:type="dxa"/>
            <w:vAlign w:val="center"/>
          </w:tcPr>
          <w:p>
            <w:pPr>
              <w:ind w:firstLine="0" w:firstLineChars="0"/>
              <w:rPr>
                <w:rFonts w:hint="eastAsia" w:ascii="宋体" w:hAnsi="宋体" w:eastAsia="宋体" w:cs="宋体"/>
                <w:b/>
                <w:bCs/>
                <w:szCs w:val="21"/>
              </w:rPr>
            </w:pPr>
          </w:p>
        </w:tc>
        <w:tc>
          <w:tcPr>
            <w:tcW w:w="2480" w:type="dxa"/>
            <w:vAlign w:val="center"/>
          </w:tcPr>
          <w:p>
            <w:pPr>
              <w:ind w:firstLine="0" w:firstLineChars="0"/>
              <w:rPr>
                <w:rFonts w:hint="eastAsia" w:ascii="宋体" w:hAnsi="宋体" w:eastAsia="宋体" w:cs="宋体"/>
                <w:b/>
                <w:bCs/>
                <w:szCs w:val="21"/>
              </w:rPr>
            </w:pPr>
          </w:p>
        </w:tc>
        <w:tc>
          <w:tcPr>
            <w:tcW w:w="3322" w:type="dxa"/>
            <w:vAlign w:val="center"/>
          </w:tcPr>
          <w:p>
            <w:pPr>
              <w:ind w:firstLine="0" w:firstLineChars="0"/>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14" w:type="dxa"/>
            <w:vAlign w:val="center"/>
          </w:tcPr>
          <w:p>
            <w:pPr>
              <w:ind w:firstLine="0" w:firstLineChars="0"/>
              <w:jc w:val="center"/>
              <w:rPr>
                <w:rFonts w:hint="eastAsia" w:ascii="宋体" w:hAnsi="宋体" w:eastAsia="宋体" w:cs="宋体"/>
                <w:b/>
                <w:bCs/>
                <w:szCs w:val="21"/>
              </w:rPr>
            </w:pPr>
            <w:r>
              <w:rPr>
                <w:rFonts w:hint="eastAsia" w:ascii="宋体" w:hAnsi="宋体" w:eastAsia="宋体" w:cs="宋体"/>
                <w:b/>
                <w:bCs/>
                <w:szCs w:val="21"/>
              </w:rPr>
              <w:t>3</w:t>
            </w:r>
          </w:p>
        </w:tc>
        <w:tc>
          <w:tcPr>
            <w:tcW w:w="2523" w:type="dxa"/>
            <w:vAlign w:val="center"/>
          </w:tcPr>
          <w:p>
            <w:pPr>
              <w:ind w:firstLine="0" w:firstLineChars="0"/>
              <w:rPr>
                <w:rFonts w:hint="eastAsia" w:ascii="宋体" w:hAnsi="宋体" w:eastAsia="宋体" w:cs="宋体"/>
                <w:b/>
                <w:bCs/>
                <w:szCs w:val="21"/>
              </w:rPr>
            </w:pPr>
          </w:p>
        </w:tc>
        <w:tc>
          <w:tcPr>
            <w:tcW w:w="2480" w:type="dxa"/>
            <w:vAlign w:val="center"/>
          </w:tcPr>
          <w:p>
            <w:pPr>
              <w:ind w:firstLine="0" w:firstLineChars="0"/>
              <w:rPr>
                <w:rFonts w:hint="eastAsia" w:ascii="宋体" w:hAnsi="宋体" w:eastAsia="宋体" w:cs="宋体"/>
                <w:b/>
                <w:bCs/>
                <w:szCs w:val="21"/>
              </w:rPr>
            </w:pPr>
          </w:p>
        </w:tc>
        <w:tc>
          <w:tcPr>
            <w:tcW w:w="3322" w:type="dxa"/>
            <w:vAlign w:val="center"/>
          </w:tcPr>
          <w:p>
            <w:pPr>
              <w:ind w:firstLine="0" w:firstLineChars="0"/>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14" w:type="dxa"/>
            <w:vAlign w:val="center"/>
          </w:tcPr>
          <w:p>
            <w:pPr>
              <w:ind w:firstLine="0" w:firstLineChars="0"/>
              <w:jc w:val="center"/>
              <w:rPr>
                <w:rFonts w:hint="eastAsia" w:ascii="宋体" w:hAnsi="宋体" w:eastAsia="宋体" w:cs="宋体"/>
                <w:b/>
                <w:bCs/>
                <w:szCs w:val="21"/>
              </w:rPr>
            </w:pPr>
            <w:r>
              <w:rPr>
                <w:rFonts w:hint="eastAsia" w:ascii="宋体" w:hAnsi="宋体" w:eastAsia="宋体" w:cs="宋体"/>
                <w:b/>
                <w:bCs/>
                <w:szCs w:val="21"/>
              </w:rPr>
              <w:t>4</w:t>
            </w:r>
          </w:p>
        </w:tc>
        <w:tc>
          <w:tcPr>
            <w:tcW w:w="2523" w:type="dxa"/>
            <w:vAlign w:val="center"/>
          </w:tcPr>
          <w:p>
            <w:pPr>
              <w:ind w:firstLine="0" w:firstLineChars="0"/>
              <w:rPr>
                <w:rFonts w:hint="eastAsia" w:ascii="宋体" w:hAnsi="宋体" w:eastAsia="宋体" w:cs="宋体"/>
                <w:b/>
                <w:bCs/>
                <w:szCs w:val="21"/>
              </w:rPr>
            </w:pPr>
          </w:p>
        </w:tc>
        <w:tc>
          <w:tcPr>
            <w:tcW w:w="2480" w:type="dxa"/>
            <w:vAlign w:val="center"/>
          </w:tcPr>
          <w:p>
            <w:pPr>
              <w:ind w:firstLine="0" w:firstLineChars="0"/>
              <w:rPr>
                <w:rFonts w:hint="eastAsia" w:ascii="宋体" w:hAnsi="宋体" w:eastAsia="宋体" w:cs="宋体"/>
                <w:b/>
                <w:bCs/>
                <w:szCs w:val="21"/>
              </w:rPr>
            </w:pPr>
          </w:p>
        </w:tc>
        <w:tc>
          <w:tcPr>
            <w:tcW w:w="3322" w:type="dxa"/>
            <w:vAlign w:val="center"/>
          </w:tcPr>
          <w:p>
            <w:pPr>
              <w:ind w:firstLine="0" w:firstLineChars="0"/>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14" w:type="dxa"/>
            <w:vAlign w:val="center"/>
          </w:tcPr>
          <w:p>
            <w:pPr>
              <w:ind w:firstLine="0" w:firstLineChars="0"/>
              <w:jc w:val="center"/>
              <w:rPr>
                <w:rFonts w:hint="eastAsia" w:ascii="宋体" w:hAnsi="宋体" w:eastAsia="宋体" w:cs="宋体"/>
                <w:szCs w:val="21"/>
              </w:rPr>
            </w:pPr>
            <w:r>
              <w:rPr>
                <w:rFonts w:hint="eastAsia" w:ascii="宋体" w:hAnsi="宋体" w:eastAsia="宋体" w:cs="宋体"/>
                <w:szCs w:val="21"/>
              </w:rPr>
              <w:t>…</w:t>
            </w:r>
          </w:p>
        </w:tc>
        <w:tc>
          <w:tcPr>
            <w:tcW w:w="2523" w:type="dxa"/>
            <w:vAlign w:val="center"/>
          </w:tcPr>
          <w:p>
            <w:pPr>
              <w:ind w:firstLine="0" w:firstLineChars="0"/>
              <w:rPr>
                <w:rFonts w:hint="eastAsia" w:ascii="宋体" w:hAnsi="宋体" w:eastAsia="宋体" w:cs="宋体"/>
                <w:b/>
                <w:bCs/>
                <w:szCs w:val="21"/>
              </w:rPr>
            </w:pPr>
          </w:p>
        </w:tc>
        <w:tc>
          <w:tcPr>
            <w:tcW w:w="2480" w:type="dxa"/>
            <w:vAlign w:val="center"/>
          </w:tcPr>
          <w:p>
            <w:pPr>
              <w:ind w:firstLine="0" w:firstLineChars="0"/>
              <w:rPr>
                <w:rFonts w:hint="eastAsia" w:ascii="宋体" w:hAnsi="宋体" w:eastAsia="宋体" w:cs="宋体"/>
                <w:b/>
                <w:bCs/>
                <w:szCs w:val="21"/>
              </w:rPr>
            </w:pPr>
          </w:p>
        </w:tc>
        <w:tc>
          <w:tcPr>
            <w:tcW w:w="3322" w:type="dxa"/>
            <w:vAlign w:val="center"/>
          </w:tcPr>
          <w:p>
            <w:pPr>
              <w:ind w:firstLine="0" w:firstLineChars="0"/>
              <w:rPr>
                <w:rFonts w:hint="eastAsia" w:ascii="宋体" w:hAnsi="宋体" w:eastAsia="宋体" w:cs="宋体"/>
                <w:b/>
                <w:bCs/>
                <w:szCs w:val="21"/>
              </w:rPr>
            </w:pPr>
          </w:p>
        </w:tc>
      </w:tr>
    </w:tbl>
    <w:p>
      <w:pPr>
        <w:ind w:firstLine="0" w:firstLineChars="0"/>
        <w:rPr>
          <w:rFonts w:hint="eastAsia" w:ascii="宋体" w:hAnsi="宋体" w:eastAsia="宋体" w:cs="宋体"/>
          <w:sz w:val="24"/>
        </w:rPr>
      </w:pPr>
    </w:p>
    <w:p>
      <w:pPr>
        <w:ind w:firstLine="0" w:firstLineChars="0"/>
        <w:rPr>
          <w:rFonts w:hint="eastAsia" w:ascii="宋体" w:hAnsi="宋体" w:eastAsia="宋体" w:cs="宋体"/>
          <w:sz w:val="24"/>
        </w:rPr>
      </w:pPr>
    </w:p>
    <w:p>
      <w:pPr>
        <w:tabs>
          <w:tab w:val="left" w:pos="851"/>
        </w:tabs>
        <w:ind w:left="420" w:leftChars="200" w:firstLine="0" w:firstLineChars="0"/>
        <w:jc w:val="right"/>
        <w:rPr>
          <w:rFonts w:hint="eastAsia" w:ascii="宋体" w:hAnsi="宋体" w:eastAsia="宋体" w:cs="宋体"/>
          <w:szCs w:val="21"/>
        </w:rPr>
      </w:pPr>
      <w:r>
        <w:rPr>
          <w:rFonts w:hint="eastAsia" w:ascii="宋体" w:hAnsi="宋体" w:eastAsia="宋体" w:cs="宋体"/>
          <w:szCs w:val="21"/>
        </w:rPr>
        <w:t>参选人：</w:t>
      </w:r>
      <w:r>
        <w:rPr>
          <w:rFonts w:hint="eastAsia" w:ascii="宋体" w:hAnsi="宋体" w:eastAsia="宋体" w:cs="宋体"/>
          <w:szCs w:val="21"/>
          <w:u w:val="single"/>
        </w:rPr>
        <w:t xml:space="preserve">                   </w:t>
      </w:r>
      <w:r>
        <w:rPr>
          <w:rFonts w:hint="eastAsia" w:ascii="宋体" w:hAnsi="宋体" w:eastAsia="宋体" w:cs="宋体"/>
          <w:szCs w:val="21"/>
        </w:rPr>
        <w:t>（盖单位公章）</w:t>
      </w:r>
    </w:p>
    <w:p>
      <w:pPr>
        <w:tabs>
          <w:tab w:val="left" w:pos="851"/>
        </w:tabs>
        <w:ind w:left="420" w:leftChars="200" w:firstLine="0" w:firstLineChars="0"/>
        <w:jc w:val="right"/>
        <w:rPr>
          <w:rFonts w:hint="eastAsia" w:ascii="宋体" w:hAnsi="宋体" w:eastAsia="宋体" w:cs="宋体"/>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rPr>
          <w:rFonts w:hint="eastAsia" w:ascii="宋体" w:hAnsi="宋体" w:eastAsia="宋体" w:cs="宋体"/>
          <w:lang w:val="en-US" w:eastAsia="zh-CN"/>
        </w:rPr>
      </w:pPr>
    </w:p>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金山简魏碑">
    <w:altName w:val="宋体"/>
    <w:panose1 w:val="00000000000000000000"/>
    <w:charset w:val="86"/>
    <w:family w:val="roma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jc w:val="center"/>
                          </w:pPr>
                          <w:r>
                            <w:fldChar w:fldCharType="begin"/>
                          </w:r>
                          <w:r>
                            <w:instrText xml:space="preserve">PAGE   \* MERGEFORMAT</w:instrText>
                          </w:r>
                          <w:r>
                            <w:fldChar w:fldCharType="separate"/>
                          </w:r>
                          <w:r>
                            <w:rPr>
                              <w:lang w:val="zh-CN"/>
                            </w:rP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31"/>
                      <w:jc w:val="center"/>
                    </w:pPr>
                    <w:r>
                      <w:fldChar w:fldCharType="begin"/>
                    </w:r>
                    <w:r>
                      <w:instrText xml:space="preserve">PAGE   \* MERGEFORMAT</w:instrText>
                    </w:r>
                    <w:r>
                      <w:fldChar w:fldCharType="separate"/>
                    </w:r>
                    <w:r>
                      <w:rPr>
                        <w:lang w:val="zh-CN"/>
                      </w:rP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1"/>
                            <w:rPr>
                              <w:rFonts w:eastAsia="仿宋"/>
                            </w:rPr>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wps:txbx>
                    <wps:bodyPr wrap="none" lIns="0" tIns="0" rIns="0" bIns="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9eAKjLAQAAlwMAAA4AAABkcnMvZTJvRG9jLnhtbK1TzY7TMBC+I/EO&#10;lu802aJd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LK+zPn2ABtPuAyam4Z0fcGvme8DLTHtQ0eYvEiIYR3VPF3XlkIjIj1bL1arGkMDY7CB+9fg8REjv&#10;pbckG4xGHF9RlR8/QhpT55Rczfk7bUwZoXGkZ/Tm9XVdHlwiCG4c1sgkxmazlYbdMDHb+faExHpc&#10;AUYdbjwl5oNDhfO2zEacjd1k5OoQ3h4SdlAay6gj1FQM51WoTbuVF+Jvv2Q9/k+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vXgCoywEAAJcDAAAOAAAAAAAAAAEAIAAAAB8BAABkcnMvZTJv&#10;RG9jLnhtbFBLBQYAAAAABgAGAFkBAABcBQAAAAA=&#10;">
              <v:fill on="f" focussize="0,0"/>
              <v:stroke on="f" weight="0.5pt"/>
              <v:imagedata o:title=""/>
              <o:lock v:ext="edit" aspectratio="f"/>
              <v:textbox inset="0mm,0mm,0mm,0mm" style="mso-fit-shape-to-text:t;">
                <w:txbxContent>
                  <w:p>
                    <w:pPr>
                      <w:pStyle w:val="31"/>
                      <w:rPr>
                        <w:rFonts w:eastAsia="仿宋"/>
                      </w:rPr>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6474D"/>
    <w:multiLevelType w:val="singleLevel"/>
    <w:tmpl w:val="CB16474D"/>
    <w:lvl w:ilvl="0" w:tentative="0">
      <w:start w:val="2"/>
      <w:numFmt w:val="decimal"/>
      <w:suff w:val="nothing"/>
      <w:lvlText w:val="%1、"/>
      <w:lvlJc w:val="left"/>
    </w:lvl>
  </w:abstractNum>
  <w:abstractNum w:abstractNumId="1">
    <w:nsid w:val="396792B1"/>
    <w:multiLevelType w:val="singleLevel"/>
    <w:tmpl w:val="396792B1"/>
    <w:lvl w:ilvl="0" w:tentative="0">
      <w:start w:val="1"/>
      <w:numFmt w:val="chineseCounting"/>
      <w:suff w:val="nothing"/>
      <w:lvlText w:val="（%1）"/>
      <w:lvlJc w:val="left"/>
      <w:rPr>
        <w:rFonts w:hint="eastAsia"/>
      </w:rPr>
    </w:lvl>
  </w:abstractNum>
  <w:abstractNum w:abstractNumId="2">
    <w:nsid w:val="7A8B7C6E"/>
    <w:multiLevelType w:val="singleLevel"/>
    <w:tmpl w:val="7A8B7C6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mNWI0NjBjMGZiOTVhNWU5NTA0Yjc4NDZjNjUwZWIifQ=="/>
  </w:docVars>
  <w:rsids>
    <w:rsidRoot w:val="00B770E8"/>
    <w:rsid w:val="00005570"/>
    <w:rsid w:val="00015813"/>
    <w:rsid w:val="0002648A"/>
    <w:rsid w:val="000336FF"/>
    <w:rsid w:val="00042935"/>
    <w:rsid w:val="00043EF6"/>
    <w:rsid w:val="00044602"/>
    <w:rsid w:val="00045029"/>
    <w:rsid w:val="00055C0D"/>
    <w:rsid w:val="00062CFF"/>
    <w:rsid w:val="00064BEB"/>
    <w:rsid w:val="000654DB"/>
    <w:rsid w:val="000673F3"/>
    <w:rsid w:val="00075816"/>
    <w:rsid w:val="00083825"/>
    <w:rsid w:val="0008543B"/>
    <w:rsid w:val="0009013A"/>
    <w:rsid w:val="0009481E"/>
    <w:rsid w:val="0009492B"/>
    <w:rsid w:val="000B2DA4"/>
    <w:rsid w:val="000B449F"/>
    <w:rsid w:val="000B5345"/>
    <w:rsid w:val="000B6A8E"/>
    <w:rsid w:val="000C5F0D"/>
    <w:rsid w:val="000D24A0"/>
    <w:rsid w:val="000E16CB"/>
    <w:rsid w:val="000E2042"/>
    <w:rsid w:val="000E45C1"/>
    <w:rsid w:val="000E5E03"/>
    <w:rsid w:val="000F1199"/>
    <w:rsid w:val="000F1E60"/>
    <w:rsid w:val="000F2826"/>
    <w:rsid w:val="000F3F87"/>
    <w:rsid w:val="000F4B12"/>
    <w:rsid w:val="000F5B8B"/>
    <w:rsid w:val="000F6ED6"/>
    <w:rsid w:val="00115A87"/>
    <w:rsid w:val="00125E40"/>
    <w:rsid w:val="00132E2F"/>
    <w:rsid w:val="0013312B"/>
    <w:rsid w:val="00133571"/>
    <w:rsid w:val="001415AC"/>
    <w:rsid w:val="00143D76"/>
    <w:rsid w:val="0014556B"/>
    <w:rsid w:val="00153253"/>
    <w:rsid w:val="00154C10"/>
    <w:rsid w:val="00161448"/>
    <w:rsid w:val="00167656"/>
    <w:rsid w:val="0017107E"/>
    <w:rsid w:val="00175A82"/>
    <w:rsid w:val="001829DF"/>
    <w:rsid w:val="00182D0A"/>
    <w:rsid w:val="00182FC3"/>
    <w:rsid w:val="001926EB"/>
    <w:rsid w:val="001934AB"/>
    <w:rsid w:val="001A1F9E"/>
    <w:rsid w:val="001A5DBA"/>
    <w:rsid w:val="001B6748"/>
    <w:rsid w:val="001B7D54"/>
    <w:rsid w:val="001C6ED6"/>
    <w:rsid w:val="001D653D"/>
    <w:rsid w:val="001E0244"/>
    <w:rsid w:val="001E1C09"/>
    <w:rsid w:val="001E1F47"/>
    <w:rsid w:val="001F2170"/>
    <w:rsid w:val="001F2DFD"/>
    <w:rsid w:val="001F3562"/>
    <w:rsid w:val="00207502"/>
    <w:rsid w:val="00207815"/>
    <w:rsid w:val="002104F5"/>
    <w:rsid w:val="0021067C"/>
    <w:rsid w:val="00212679"/>
    <w:rsid w:val="00214465"/>
    <w:rsid w:val="00217568"/>
    <w:rsid w:val="00217680"/>
    <w:rsid w:val="0022524C"/>
    <w:rsid w:val="0024128E"/>
    <w:rsid w:val="00245AB3"/>
    <w:rsid w:val="00246B22"/>
    <w:rsid w:val="00247517"/>
    <w:rsid w:val="002511F0"/>
    <w:rsid w:val="00266760"/>
    <w:rsid w:val="002714DD"/>
    <w:rsid w:val="00272247"/>
    <w:rsid w:val="00285B80"/>
    <w:rsid w:val="00287B6D"/>
    <w:rsid w:val="002A7363"/>
    <w:rsid w:val="002A7789"/>
    <w:rsid w:val="002B0B06"/>
    <w:rsid w:val="002B292F"/>
    <w:rsid w:val="002B7D97"/>
    <w:rsid w:val="002C3B88"/>
    <w:rsid w:val="002C401C"/>
    <w:rsid w:val="002C70E0"/>
    <w:rsid w:val="002D31DE"/>
    <w:rsid w:val="002D5FF5"/>
    <w:rsid w:val="002D6556"/>
    <w:rsid w:val="002D71E3"/>
    <w:rsid w:val="002D7BD1"/>
    <w:rsid w:val="002E7065"/>
    <w:rsid w:val="002F036A"/>
    <w:rsid w:val="002F0DF3"/>
    <w:rsid w:val="002F5251"/>
    <w:rsid w:val="0030164F"/>
    <w:rsid w:val="003021E1"/>
    <w:rsid w:val="003230C9"/>
    <w:rsid w:val="00326C00"/>
    <w:rsid w:val="00327162"/>
    <w:rsid w:val="0033255F"/>
    <w:rsid w:val="00332D7B"/>
    <w:rsid w:val="00341F5F"/>
    <w:rsid w:val="00343679"/>
    <w:rsid w:val="00353C9D"/>
    <w:rsid w:val="00357DBA"/>
    <w:rsid w:val="00363E68"/>
    <w:rsid w:val="003653B6"/>
    <w:rsid w:val="00366518"/>
    <w:rsid w:val="003710FA"/>
    <w:rsid w:val="00371E82"/>
    <w:rsid w:val="0037331E"/>
    <w:rsid w:val="003948C8"/>
    <w:rsid w:val="00394F87"/>
    <w:rsid w:val="00395421"/>
    <w:rsid w:val="003A1B95"/>
    <w:rsid w:val="003A6E31"/>
    <w:rsid w:val="003B074A"/>
    <w:rsid w:val="003B5812"/>
    <w:rsid w:val="003B5CA7"/>
    <w:rsid w:val="003B6367"/>
    <w:rsid w:val="003C386A"/>
    <w:rsid w:val="003D25B1"/>
    <w:rsid w:val="003D7D01"/>
    <w:rsid w:val="003F2D66"/>
    <w:rsid w:val="00404A23"/>
    <w:rsid w:val="00405B20"/>
    <w:rsid w:val="00410137"/>
    <w:rsid w:val="00412C29"/>
    <w:rsid w:val="00415FDA"/>
    <w:rsid w:val="00423755"/>
    <w:rsid w:val="0043267B"/>
    <w:rsid w:val="00433FC9"/>
    <w:rsid w:val="0043767C"/>
    <w:rsid w:val="00440A05"/>
    <w:rsid w:val="00444841"/>
    <w:rsid w:val="00444FF3"/>
    <w:rsid w:val="0044627C"/>
    <w:rsid w:val="00452802"/>
    <w:rsid w:val="00453D9A"/>
    <w:rsid w:val="00464BC0"/>
    <w:rsid w:val="00466AB9"/>
    <w:rsid w:val="004718D5"/>
    <w:rsid w:val="00472BE9"/>
    <w:rsid w:val="0047486B"/>
    <w:rsid w:val="004758CD"/>
    <w:rsid w:val="0047591E"/>
    <w:rsid w:val="00477C6B"/>
    <w:rsid w:val="00490DB8"/>
    <w:rsid w:val="00491889"/>
    <w:rsid w:val="00491B96"/>
    <w:rsid w:val="004937EC"/>
    <w:rsid w:val="00494F63"/>
    <w:rsid w:val="00497F91"/>
    <w:rsid w:val="004A2924"/>
    <w:rsid w:val="004B48A4"/>
    <w:rsid w:val="004B5152"/>
    <w:rsid w:val="004C6295"/>
    <w:rsid w:val="004D2033"/>
    <w:rsid w:val="004D2BF4"/>
    <w:rsid w:val="004D2D83"/>
    <w:rsid w:val="004D3F90"/>
    <w:rsid w:val="004D5DCF"/>
    <w:rsid w:val="004E5951"/>
    <w:rsid w:val="004F1F1C"/>
    <w:rsid w:val="004F6D9B"/>
    <w:rsid w:val="005014A9"/>
    <w:rsid w:val="00502BF0"/>
    <w:rsid w:val="005077EB"/>
    <w:rsid w:val="005203DB"/>
    <w:rsid w:val="0052045E"/>
    <w:rsid w:val="00522BCA"/>
    <w:rsid w:val="00527174"/>
    <w:rsid w:val="00530392"/>
    <w:rsid w:val="00531E90"/>
    <w:rsid w:val="00533004"/>
    <w:rsid w:val="00534880"/>
    <w:rsid w:val="00545EB6"/>
    <w:rsid w:val="0054778B"/>
    <w:rsid w:val="005527A9"/>
    <w:rsid w:val="00555332"/>
    <w:rsid w:val="00556D2C"/>
    <w:rsid w:val="00581FDA"/>
    <w:rsid w:val="0058208D"/>
    <w:rsid w:val="005871B1"/>
    <w:rsid w:val="005A11FC"/>
    <w:rsid w:val="005A3EEE"/>
    <w:rsid w:val="005A4CE2"/>
    <w:rsid w:val="005B7867"/>
    <w:rsid w:val="005C43C8"/>
    <w:rsid w:val="005C45FE"/>
    <w:rsid w:val="005C474C"/>
    <w:rsid w:val="005D1F94"/>
    <w:rsid w:val="005D4121"/>
    <w:rsid w:val="005D41B3"/>
    <w:rsid w:val="005E3010"/>
    <w:rsid w:val="005E3F1C"/>
    <w:rsid w:val="005E42D0"/>
    <w:rsid w:val="005E579A"/>
    <w:rsid w:val="005F075A"/>
    <w:rsid w:val="005F0A33"/>
    <w:rsid w:val="005F24E7"/>
    <w:rsid w:val="005F24F1"/>
    <w:rsid w:val="005F3D57"/>
    <w:rsid w:val="005F507D"/>
    <w:rsid w:val="00600EEB"/>
    <w:rsid w:val="00606CF6"/>
    <w:rsid w:val="006139F6"/>
    <w:rsid w:val="0062053F"/>
    <w:rsid w:val="006231F4"/>
    <w:rsid w:val="006246D5"/>
    <w:rsid w:val="0062473B"/>
    <w:rsid w:val="006270FB"/>
    <w:rsid w:val="00627A94"/>
    <w:rsid w:val="00627B67"/>
    <w:rsid w:val="006327EE"/>
    <w:rsid w:val="00634E90"/>
    <w:rsid w:val="00635503"/>
    <w:rsid w:val="00646817"/>
    <w:rsid w:val="00647C93"/>
    <w:rsid w:val="00655CE7"/>
    <w:rsid w:val="00660DDB"/>
    <w:rsid w:val="00662BCE"/>
    <w:rsid w:val="00662EDB"/>
    <w:rsid w:val="00673E8F"/>
    <w:rsid w:val="00680741"/>
    <w:rsid w:val="00681A45"/>
    <w:rsid w:val="006937BF"/>
    <w:rsid w:val="00696866"/>
    <w:rsid w:val="006A1D38"/>
    <w:rsid w:val="006A5DB7"/>
    <w:rsid w:val="006A7BE7"/>
    <w:rsid w:val="006B2234"/>
    <w:rsid w:val="006C53C5"/>
    <w:rsid w:val="006C5754"/>
    <w:rsid w:val="006C5E51"/>
    <w:rsid w:val="006C699C"/>
    <w:rsid w:val="006D362C"/>
    <w:rsid w:val="006D54A6"/>
    <w:rsid w:val="006D7E1A"/>
    <w:rsid w:val="006E3563"/>
    <w:rsid w:val="006E3E4D"/>
    <w:rsid w:val="006F01C5"/>
    <w:rsid w:val="007022AA"/>
    <w:rsid w:val="00703837"/>
    <w:rsid w:val="00703C31"/>
    <w:rsid w:val="0071261F"/>
    <w:rsid w:val="00715CFA"/>
    <w:rsid w:val="00736BFE"/>
    <w:rsid w:val="0074647F"/>
    <w:rsid w:val="0075434F"/>
    <w:rsid w:val="0075490C"/>
    <w:rsid w:val="00754EA3"/>
    <w:rsid w:val="0075712D"/>
    <w:rsid w:val="00760E97"/>
    <w:rsid w:val="00767929"/>
    <w:rsid w:val="00773B1F"/>
    <w:rsid w:val="007768C0"/>
    <w:rsid w:val="007801ED"/>
    <w:rsid w:val="00782DA7"/>
    <w:rsid w:val="00783A39"/>
    <w:rsid w:val="00785907"/>
    <w:rsid w:val="00795EA1"/>
    <w:rsid w:val="007A0E2C"/>
    <w:rsid w:val="007A76DE"/>
    <w:rsid w:val="007B1957"/>
    <w:rsid w:val="007B6308"/>
    <w:rsid w:val="007B76A0"/>
    <w:rsid w:val="007B7B34"/>
    <w:rsid w:val="007C3A77"/>
    <w:rsid w:val="007C3FA2"/>
    <w:rsid w:val="007C4062"/>
    <w:rsid w:val="007C5988"/>
    <w:rsid w:val="007C6213"/>
    <w:rsid w:val="007D0C0A"/>
    <w:rsid w:val="007D141D"/>
    <w:rsid w:val="007D2111"/>
    <w:rsid w:val="007D33DF"/>
    <w:rsid w:val="007D3C8F"/>
    <w:rsid w:val="007E08C7"/>
    <w:rsid w:val="007F0751"/>
    <w:rsid w:val="007F1CD2"/>
    <w:rsid w:val="008116C3"/>
    <w:rsid w:val="00813EE9"/>
    <w:rsid w:val="008170B5"/>
    <w:rsid w:val="008176F4"/>
    <w:rsid w:val="00820832"/>
    <w:rsid w:val="008242A8"/>
    <w:rsid w:val="00830150"/>
    <w:rsid w:val="00832ED7"/>
    <w:rsid w:val="00836513"/>
    <w:rsid w:val="00841449"/>
    <w:rsid w:val="00843108"/>
    <w:rsid w:val="0084670C"/>
    <w:rsid w:val="00850E15"/>
    <w:rsid w:val="00851EF2"/>
    <w:rsid w:val="00856BF1"/>
    <w:rsid w:val="0085792C"/>
    <w:rsid w:val="0086074D"/>
    <w:rsid w:val="008615C4"/>
    <w:rsid w:val="00865963"/>
    <w:rsid w:val="00866FB8"/>
    <w:rsid w:val="008737BE"/>
    <w:rsid w:val="008744C3"/>
    <w:rsid w:val="00874EA8"/>
    <w:rsid w:val="008758C4"/>
    <w:rsid w:val="008773B8"/>
    <w:rsid w:val="0088000C"/>
    <w:rsid w:val="00880225"/>
    <w:rsid w:val="0088391A"/>
    <w:rsid w:val="00883A03"/>
    <w:rsid w:val="00883EBB"/>
    <w:rsid w:val="008857C0"/>
    <w:rsid w:val="00897766"/>
    <w:rsid w:val="008977CE"/>
    <w:rsid w:val="008A124F"/>
    <w:rsid w:val="008A1ABE"/>
    <w:rsid w:val="008A6628"/>
    <w:rsid w:val="008B5C90"/>
    <w:rsid w:val="008C3899"/>
    <w:rsid w:val="008C3E02"/>
    <w:rsid w:val="008C4B20"/>
    <w:rsid w:val="008C65B6"/>
    <w:rsid w:val="008C6AA9"/>
    <w:rsid w:val="008D7C4D"/>
    <w:rsid w:val="008E191B"/>
    <w:rsid w:val="008E36FD"/>
    <w:rsid w:val="008E5C44"/>
    <w:rsid w:val="008F2B8A"/>
    <w:rsid w:val="009011CF"/>
    <w:rsid w:val="0090434F"/>
    <w:rsid w:val="00906077"/>
    <w:rsid w:val="009065DC"/>
    <w:rsid w:val="0092572E"/>
    <w:rsid w:val="00930E28"/>
    <w:rsid w:val="00930E3B"/>
    <w:rsid w:val="00935467"/>
    <w:rsid w:val="00936CB5"/>
    <w:rsid w:val="009422C5"/>
    <w:rsid w:val="009471DC"/>
    <w:rsid w:val="009630D5"/>
    <w:rsid w:val="00964345"/>
    <w:rsid w:val="009719B7"/>
    <w:rsid w:val="00975AB0"/>
    <w:rsid w:val="00975EAA"/>
    <w:rsid w:val="00977672"/>
    <w:rsid w:val="00977E82"/>
    <w:rsid w:val="00981524"/>
    <w:rsid w:val="0098356D"/>
    <w:rsid w:val="00983E5B"/>
    <w:rsid w:val="00984F2F"/>
    <w:rsid w:val="00987B03"/>
    <w:rsid w:val="009962EB"/>
    <w:rsid w:val="009967B8"/>
    <w:rsid w:val="009A535B"/>
    <w:rsid w:val="009A56E6"/>
    <w:rsid w:val="009B3463"/>
    <w:rsid w:val="009B6581"/>
    <w:rsid w:val="009C3F6F"/>
    <w:rsid w:val="009C5D05"/>
    <w:rsid w:val="009C6895"/>
    <w:rsid w:val="009C7C7F"/>
    <w:rsid w:val="009C7F4F"/>
    <w:rsid w:val="009D4E00"/>
    <w:rsid w:val="009D55E4"/>
    <w:rsid w:val="009E16AD"/>
    <w:rsid w:val="009E33BD"/>
    <w:rsid w:val="009E5BF3"/>
    <w:rsid w:val="009E643B"/>
    <w:rsid w:val="009F3E53"/>
    <w:rsid w:val="009F733B"/>
    <w:rsid w:val="00A05A4B"/>
    <w:rsid w:val="00A1744F"/>
    <w:rsid w:val="00A4022F"/>
    <w:rsid w:val="00A42AA9"/>
    <w:rsid w:val="00A442A9"/>
    <w:rsid w:val="00A44959"/>
    <w:rsid w:val="00A45705"/>
    <w:rsid w:val="00A57078"/>
    <w:rsid w:val="00A84FA6"/>
    <w:rsid w:val="00A86014"/>
    <w:rsid w:val="00A90F89"/>
    <w:rsid w:val="00A97E43"/>
    <w:rsid w:val="00AA084C"/>
    <w:rsid w:val="00AA1E0F"/>
    <w:rsid w:val="00AA281E"/>
    <w:rsid w:val="00AA701E"/>
    <w:rsid w:val="00AB1027"/>
    <w:rsid w:val="00AB3F0A"/>
    <w:rsid w:val="00AB6F82"/>
    <w:rsid w:val="00AB7371"/>
    <w:rsid w:val="00AC1DAE"/>
    <w:rsid w:val="00AC4065"/>
    <w:rsid w:val="00AC419C"/>
    <w:rsid w:val="00AC5CCD"/>
    <w:rsid w:val="00AD0E1E"/>
    <w:rsid w:val="00AD2A44"/>
    <w:rsid w:val="00AD38DD"/>
    <w:rsid w:val="00AD44CF"/>
    <w:rsid w:val="00AF2495"/>
    <w:rsid w:val="00AF3181"/>
    <w:rsid w:val="00AF3FF8"/>
    <w:rsid w:val="00AF44F6"/>
    <w:rsid w:val="00B21ECF"/>
    <w:rsid w:val="00B27479"/>
    <w:rsid w:val="00B30F7A"/>
    <w:rsid w:val="00B31352"/>
    <w:rsid w:val="00B41949"/>
    <w:rsid w:val="00B44CB7"/>
    <w:rsid w:val="00B55F1A"/>
    <w:rsid w:val="00B57656"/>
    <w:rsid w:val="00B60B9E"/>
    <w:rsid w:val="00B66E1B"/>
    <w:rsid w:val="00B7171F"/>
    <w:rsid w:val="00B72108"/>
    <w:rsid w:val="00B770E8"/>
    <w:rsid w:val="00B81DDF"/>
    <w:rsid w:val="00B851E4"/>
    <w:rsid w:val="00B91AB1"/>
    <w:rsid w:val="00B95AAE"/>
    <w:rsid w:val="00B966EA"/>
    <w:rsid w:val="00B96754"/>
    <w:rsid w:val="00BA32D9"/>
    <w:rsid w:val="00BA3DC9"/>
    <w:rsid w:val="00BA486C"/>
    <w:rsid w:val="00BB18F6"/>
    <w:rsid w:val="00BB75A1"/>
    <w:rsid w:val="00BC6741"/>
    <w:rsid w:val="00BD13E6"/>
    <w:rsid w:val="00BE7946"/>
    <w:rsid w:val="00BE7CD0"/>
    <w:rsid w:val="00BF31F7"/>
    <w:rsid w:val="00BF5BEE"/>
    <w:rsid w:val="00BF607F"/>
    <w:rsid w:val="00C00E01"/>
    <w:rsid w:val="00C01216"/>
    <w:rsid w:val="00C03B1A"/>
    <w:rsid w:val="00C07A12"/>
    <w:rsid w:val="00C12725"/>
    <w:rsid w:val="00C21DCD"/>
    <w:rsid w:val="00C33C03"/>
    <w:rsid w:val="00C4363C"/>
    <w:rsid w:val="00C440BD"/>
    <w:rsid w:val="00C46EA4"/>
    <w:rsid w:val="00C55A9C"/>
    <w:rsid w:val="00C56933"/>
    <w:rsid w:val="00C73FB7"/>
    <w:rsid w:val="00C7432C"/>
    <w:rsid w:val="00C804E4"/>
    <w:rsid w:val="00C8418C"/>
    <w:rsid w:val="00C9318A"/>
    <w:rsid w:val="00CA0377"/>
    <w:rsid w:val="00CA0F51"/>
    <w:rsid w:val="00CA3325"/>
    <w:rsid w:val="00CA617D"/>
    <w:rsid w:val="00CB17BD"/>
    <w:rsid w:val="00CB308B"/>
    <w:rsid w:val="00CB526D"/>
    <w:rsid w:val="00CD435C"/>
    <w:rsid w:val="00CD639E"/>
    <w:rsid w:val="00CE7C5F"/>
    <w:rsid w:val="00CF55F1"/>
    <w:rsid w:val="00D01E6F"/>
    <w:rsid w:val="00D0210F"/>
    <w:rsid w:val="00D062F9"/>
    <w:rsid w:val="00D232B9"/>
    <w:rsid w:val="00D24951"/>
    <w:rsid w:val="00D271D6"/>
    <w:rsid w:val="00D2797F"/>
    <w:rsid w:val="00D3064C"/>
    <w:rsid w:val="00D33FE9"/>
    <w:rsid w:val="00D37B94"/>
    <w:rsid w:val="00D42941"/>
    <w:rsid w:val="00D46978"/>
    <w:rsid w:val="00D50446"/>
    <w:rsid w:val="00D51832"/>
    <w:rsid w:val="00D55713"/>
    <w:rsid w:val="00D57029"/>
    <w:rsid w:val="00D70107"/>
    <w:rsid w:val="00D71E67"/>
    <w:rsid w:val="00D72F66"/>
    <w:rsid w:val="00D73BB2"/>
    <w:rsid w:val="00D74DA8"/>
    <w:rsid w:val="00D86DC0"/>
    <w:rsid w:val="00D86E54"/>
    <w:rsid w:val="00D92908"/>
    <w:rsid w:val="00D97728"/>
    <w:rsid w:val="00D97826"/>
    <w:rsid w:val="00DA150B"/>
    <w:rsid w:val="00DA37B7"/>
    <w:rsid w:val="00DA3D9A"/>
    <w:rsid w:val="00DA5223"/>
    <w:rsid w:val="00DA686E"/>
    <w:rsid w:val="00DB0D06"/>
    <w:rsid w:val="00DB3411"/>
    <w:rsid w:val="00DB6E16"/>
    <w:rsid w:val="00DB75E3"/>
    <w:rsid w:val="00DC273F"/>
    <w:rsid w:val="00DD5C34"/>
    <w:rsid w:val="00DE6CD2"/>
    <w:rsid w:val="00E05C9D"/>
    <w:rsid w:val="00E06962"/>
    <w:rsid w:val="00E079D0"/>
    <w:rsid w:val="00E10F67"/>
    <w:rsid w:val="00E1102F"/>
    <w:rsid w:val="00E11401"/>
    <w:rsid w:val="00E145B1"/>
    <w:rsid w:val="00E15840"/>
    <w:rsid w:val="00E16C18"/>
    <w:rsid w:val="00E22626"/>
    <w:rsid w:val="00E35AC0"/>
    <w:rsid w:val="00E433B9"/>
    <w:rsid w:val="00E51327"/>
    <w:rsid w:val="00E63836"/>
    <w:rsid w:val="00E671A6"/>
    <w:rsid w:val="00E81AD6"/>
    <w:rsid w:val="00E834D7"/>
    <w:rsid w:val="00E9477A"/>
    <w:rsid w:val="00E96223"/>
    <w:rsid w:val="00EA13AB"/>
    <w:rsid w:val="00EA13B1"/>
    <w:rsid w:val="00EB7784"/>
    <w:rsid w:val="00EC6A5D"/>
    <w:rsid w:val="00ED47C7"/>
    <w:rsid w:val="00EE3E96"/>
    <w:rsid w:val="00EF0136"/>
    <w:rsid w:val="00EF4C02"/>
    <w:rsid w:val="00EF5967"/>
    <w:rsid w:val="00F00D8C"/>
    <w:rsid w:val="00F0609A"/>
    <w:rsid w:val="00F10E0C"/>
    <w:rsid w:val="00F20C47"/>
    <w:rsid w:val="00F25CE0"/>
    <w:rsid w:val="00F26667"/>
    <w:rsid w:val="00F34D1F"/>
    <w:rsid w:val="00F35260"/>
    <w:rsid w:val="00F42FE5"/>
    <w:rsid w:val="00F53382"/>
    <w:rsid w:val="00F60E6D"/>
    <w:rsid w:val="00F61DF3"/>
    <w:rsid w:val="00F6294D"/>
    <w:rsid w:val="00F644FE"/>
    <w:rsid w:val="00F71936"/>
    <w:rsid w:val="00F742EF"/>
    <w:rsid w:val="00F80AD0"/>
    <w:rsid w:val="00F81D39"/>
    <w:rsid w:val="00F8403E"/>
    <w:rsid w:val="00F84A35"/>
    <w:rsid w:val="00F84B3C"/>
    <w:rsid w:val="00F85648"/>
    <w:rsid w:val="00F868A8"/>
    <w:rsid w:val="00F86BBE"/>
    <w:rsid w:val="00F9230E"/>
    <w:rsid w:val="00F96E71"/>
    <w:rsid w:val="00FA1129"/>
    <w:rsid w:val="00FB534D"/>
    <w:rsid w:val="00FC66E3"/>
    <w:rsid w:val="00FC72D1"/>
    <w:rsid w:val="00FD0E6D"/>
    <w:rsid w:val="00FD241A"/>
    <w:rsid w:val="00FD2B6E"/>
    <w:rsid w:val="00FD585A"/>
    <w:rsid w:val="00FE13D1"/>
    <w:rsid w:val="00FE2105"/>
    <w:rsid w:val="00FE2F07"/>
    <w:rsid w:val="00FE38F4"/>
    <w:rsid w:val="00FF549F"/>
    <w:rsid w:val="00FF6310"/>
    <w:rsid w:val="00FF64F2"/>
    <w:rsid w:val="019B016F"/>
    <w:rsid w:val="01E14967"/>
    <w:rsid w:val="025B60BB"/>
    <w:rsid w:val="04300C28"/>
    <w:rsid w:val="04A22266"/>
    <w:rsid w:val="05DA1C9D"/>
    <w:rsid w:val="08AF3B15"/>
    <w:rsid w:val="09012B50"/>
    <w:rsid w:val="09857C3F"/>
    <w:rsid w:val="09E12241"/>
    <w:rsid w:val="0A431AE3"/>
    <w:rsid w:val="0B625DB4"/>
    <w:rsid w:val="0E755928"/>
    <w:rsid w:val="0E7F3A09"/>
    <w:rsid w:val="0FD043AF"/>
    <w:rsid w:val="10C744EE"/>
    <w:rsid w:val="10FC7667"/>
    <w:rsid w:val="135550CF"/>
    <w:rsid w:val="139E63F2"/>
    <w:rsid w:val="148A32B8"/>
    <w:rsid w:val="16F8756A"/>
    <w:rsid w:val="176D1ABA"/>
    <w:rsid w:val="17A471A8"/>
    <w:rsid w:val="182B6DEE"/>
    <w:rsid w:val="1A0221FB"/>
    <w:rsid w:val="1B903B2E"/>
    <w:rsid w:val="1C241AEE"/>
    <w:rsid w:val="1F0957CA"/>
    <w:rsid w:val="1FD825E3"/>
    <w:rsid w:val="2074607E"/>
    <w:rsid w:val="217106B5"/>
    <w:rsid w:val="22000E4B"/>
    <w:rsid w:val="22C56747"/>
    <w:rsid w:val="23FA1CFB"/>
    <w:rsid w:val="24837FA8"/>
    <w:rsid w:val="259A5799"/>
    <w:rsid w:val="2833593F"/>
    <w:rsid w:val="2835341C"/>
    <w:rsid w:val="289A78F2"/>
    <w:rsid w:val="294C297E"/>
    <w:rsid w:val="2986395B"/>
    <w:rsid w:val="2A823DD2"/>
    <w:rsid w:val="2B492ACF"/>
    <w:rsid w:val="2B5E4E07"/>
    <w:rsid w:val="2CDA0BF7"/>
    <w:rsid w:val="2D046219"/>
    <w:rsid w:val="2DA73EF2"/>
    <w:rsid w:val="2E346FDA"/>
    <w:rsid w:val="2E500108"/>
    <w:rsid w:val="2EED29C4"/>
    <w:rsid w:val="2FDA630F"/>
    <w:rsid w:val="30FE3095"/>
    <w:rsid w:val="3197698D"/>
    <w:rsid w:val="31C524F4"/>
    <w:rsid w:val="31C56C82"/>
    <w:rsid w:val="31F279DB"/>
    <w:rsid w:val="32040F25"/>
    <w:rsid w:val="32610813"/>
    <w:rsid w:val="34B15BC4"/>
    <w:rsid w:val="35B94239"/>
    <w:rsid w:val="36266C3D"/>
    <w:rsid w:val="365B2C7E"/>
    <w:rsid w:val="37EB0768"/>
    <w:rsid w:val="3A2C0A0E"/>
    <w:rsid w:val="3A326B98"/>
    <w:rsid w:val="3AD71A51"/>
    <w:rsid w:val="3B2E3A81"/>
    <w:rsid w:val="3C3C04B6"/>
    <w:rsid w:val="3C616FB7"/>
    <w:rsid w:val="3CFB392B"/>
    <w:rsid w:val="3DA14D9D"/>
    <w:rsid w:val="3DB04291"/>
    <w:rsid w:val="3E584F94"/>
    <w:rsid w:val="3ED57A55"/>
    <w:rsid w:val="3EE820D9"/>
    <w:rsid w:val="3F4E2B33"/>
    <w:rsid w:val="3FAB3833"/>
    <w:rsid w:val="4050500F"/>
    <w:rsid w:val="40514B74"/>
    <w:rsid w:val="41DE2E53"/>
    <w:rsid w:val="43926FB8"/>
    <w:rsid w:val="43EA01FB"/>
    <w:rsid w:val="446A416C"/>
    <w:rsid w:val="46E42955"/>
    <w:rsid w:val="47E167E4"/>
    <w:rsid w:val="486A4F30"/>
    <w:rsid w:val="49256934"/>
    <w:rsid w:val="4AFA3878"/>
    <w:rsid w:val="4B564987"/>
    <w:rsid w:val="4B967E49"/>
    <w:rsid w:val="4C516F03"/>
    <w:rsid w:val="4D2B02C4"/>
    <w:rsid w:val="4DDD55BA"/>
    <w:rsid w:val="4E497357"/>
    <w:rsid w:val="4F182946"/>
    <w:rsid w:val="502F604F"/>
    <w:rsid w:val="508B3150"/>
    <w:rsid w:val="52156C93"/>
    <w:rsid w:val="52C86461"/>
    <w:rsid w:val="54B6276D"/>
    <w:rsid w:val="56D64E18"/>
    <w:rsid w:val="58222A49"/>
    <w:rsid w:val="588E15DF"/>
    <w:rsid w:val="59FB3654"/>
    <w:rsid w:val="5A484937"/>
    <w:rsid w:val="5A9E2EF1"/>
    <w:rsid w:val="5AD326AB"/>
    <w:rsid w:val="5AE64A95"/>
    <w:rsid w:val="5C626621"/>
    <w:rsid w:val="5D1D22C5"/>
    <w:rsid w:val="5E4A2CDD"/>
    <w:rsid w:val="5F094637"/>
    <w:rsid w:val="5F695C70"/>
    <w:rsid w:val="60F201EE"/>
    <w:rsid w:val="61F84F1D"/>
    <w:rsid w:val="620B2D72"/>
    <w:rsid w:val="626C473C"/>
    <w:rsid w:val="627634E0"/>
    <w:rsid w:val="63492D68"/>
    <w:rsid w:val="639E5E08"/>
    <w:rsid w:val="640C382E"/>
    <w:rsid w:val="646567BD"/>
    <w:rsid w:val="64BA670A"/>
    <w:rsid w:val="64C844DF"/>
    <w:rsid w:val="663F68BB"/>
    <w:rsid w:val="67BC236A"/>
    <w:rsid w:val="681A2DEC"/>
    <w:rsid w:val="69110F2F"/>
    <w:rsid w:val="69F17A7D"/>
    <w:rsid w:val="6AC91AB8"/>
    <w:rsid w:val="6BAF0950"/>
    <w:rsid w:val="6BCF5ADA"/>
    <w:rsid w:val="6D1B4F25"/>
    <w:rsid w:val="6D9814AF"/>
    <w:rsid w:val="6E3B7774"/>
    <w:rsid w:val="6F3E36A1"/>
    <w:rsid w:val="6FFD4C5D"/>
    <w:rsid w:val="70977EAC"/>
    <w:rsid w:val="7235337D"/>
    <w:rsid w:val="73922B2C"/>
    <w:rsid w:val="740779EB"/>
    <w:rsid w:val="76037E52"/>
    <w:rsid w:val="76D53F31"/>
    <w:rsid w:val="76D8168B"/>
    <w:rsid w:val="785217E6"/>
    <w:rsid w:val="791C57F0"/>
    <w:rsid w:val="794E3D84"/>
    <w:rsid w:val="799F60E4"/>
    <w:rsid w:val="79B5269F"/>
    <w:rsid w:val="7A1416C3"/>
    <w:rsid w:val="7AF51E26"/>
    <w:rsid w:val="7B6232FC"/>
    <w:rsid w:val="7C1C1C6D"/>
    <w:rsid w:val="7F0157ED"/>
    <w:rsid w:val="7F5F2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9"/>
    <w:pPr>
      <w:keepNext/>
      <w:keepLines/>
      <w:spacing w:before="340" w:after="330" w:line="578" w:lineRule="auto"/>
      <w:jc w:val="center"/>
      <w:outlineLvl w:val="0"/>
    </w:pPr>
    <w:rPr>
      <w:b/>
      <w:bCs/>
      <w:kern w:val="44"/>
      <w:sz w:val="52"/>
      <w:szCs w:val="44"/>
    </w:rPr>
  </w:style>
  <w:style w:type="paragraph" w:styleId="2">
    <w:name w:val="heading 2"/>
    <w:basedOn w:val="1"/>
    <w:next w:val="1"/>
    <w:link w:val="54"/>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56"/>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7"/>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8"/>
    <w:qFormat/>
    <w:uiPriority w:val="0"/>
    <w:pPr>
      <w:keepNext/>
      <w:tabs>
        <w:tab w:val="left" w:pos="1140"/>
      </w:tabs>
      <w:spacing w:line="360" w:lineRule="auto"/>
      <w:ind w:left="1140" w:hanging="720"/>
      <w:outlineLvl w:val="4"/>
    </w:pPr>
    <w:rPr>
      <w:rFonts w:ascii="Arial" w:hAnsi="Arial"/>
      <w:b/>
      <w:bCs/>
      <w:color w:val="000000"/>
      <w:spacing w:val="20"/>
      <w:kern w:val="0"/>
      <w:sz w:val="24"/>
    </w:rPr>
  </w:style>
  <w:style w:type="paragraph" w:styleId="7">
    <w:name w:val="heading 6"/>
    <w:basedOn w:val="1"/>
    <w:next w:val="1"/>
    <w:link w:val="59"/>
    <w:qFormat/>
    <w:uiPriority w:val="0"/>
    <w:pPr>
      <w:keepNext/>
      <w:spacing w:line="500" w:lineRule="atLeast"/>
      <w:ind w:firstLine="560" w:firstLineChars="200"/>
      <w:outlineLvl w:val="5"/>
    </w:pPr>
    <w:rPr>
      <w:rFonts w:ascii="Arial" w:hAnsi="Arial"/>
      <w:kern w:val="0"/>
      <w:sz w:val="28"/>
      <w:szCs w:val="28"/>
    </w:rPr>
  </w:style>
  <w:style w:type="paragraph" w:styleId="8">
    <w:name w:val="heading 7"/>
    <w:basedOn w:val="1"/>
    <w:next w:val="1"/>
    <w:link w:val="60"/>
    <w:qFormat/>
    <w:uiPriority w:val="0"/>
    <w:pPr>
      <w:keepNext/>
      <w:keepLines/>
      <w:spacing w:before="240" w:after="64" w:line="320" w:lineRule="auto"/>
      <w:outlineLvl w:val="6"/>
    </w:pPr>
    <w:rPr>
      <w:b/>
      <w:bCs/>
      <w:kern w:val="0"/>
      <w:sz w:val="24"/>
    </w:rPr>
  </w:style>
  <w:style w:type="paragraph" w:styleId="9">
    <w:name w:val="heading 8"/>
    <w:basedOn w:val="1"/>
    <w:next w:val="1"/>
    <w:link w:val="61"/>
    <w:qFormat/>
    <w:uiPriority w:val="0"/>
    <w:pPr>
      <w:keepNext/>
      <w:keepLines/>
      <w:spacing w:before="240" w:after="64" w:line="320" w:lineRule="auto"/>
      <w:outlineLvl w:val="7"/>
    </w:pPr>
    <w:rPr>
      <w:rFonts w:ascii="Cambria" w:hAnsi="Cambria"/>
      <w:kern w:val="0"/>
      <w:sz w:val="24"/>
    </w:rPr>
  </w:style>
  <w:style w:type="paragraph" w:styleId="10">
    <w:name w:val="heading 9"/>
    <w:basedOn w:val="1"/>
    <w:next w:val="1"/>
    <w:link w:val="62"/>
    <w:qFormat/>
    <w:uiPriority w:val="0"/>
    <w:pPr>
      <w:keepNext/>
      <w:keepLines/>
      <w:spacing w:before="240" w:after="64" w:line="320" w:lineRule="auto"/>
      <w:outlineLvl w:val="8"/>
    </w:pPr>
    <w:rPr>
      <w:rFonts w:ascii="Cambria" w:hAnsi="Cambria"/>
      <w:kern w:val="0"/>
      <w:sz w:val="2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ascii="Calibri" w:hAnsi="Calibri" w:cs="Calibri"/>
      <w:sz w:val="20"/>
      <w:szCs w:val="20"/>
    </w:rPr>
  </w:style>
  <w:style w:type="paragraph" w:styleId="12">
    <w:name w:val="Normal Indent"/>
    <w:basedOn w:val="1"/>
    <w:link w:val="63"/>
    <w:qFormat/>
    <w:uiPriority w:val="0"/>
    <w:pPr>
      <w:ind w:firstLine="420"/>
    </w:pPr>
    <w:rPr>
      <w:b/>
      <w:kern w:val="0"/>
      <w:sz w:val="24"/>
      <w:szCs w:val="20"/>
    </w:rPr>
  </w:style>
  <w:style w:type="paragraph" w:styleId="13">
    <w:name w:val="Document Map"/>
    <w:basedOn w:val="1"/>
    <w:link w:val="64"/>
    <w:qFormat/>
    <w:uiPriority w:val="99"/>
    <w:pPr>
      <w:shd w:val="clear" w:color="auto" w:fill="000080"/>
    </w:pPr>
    <w:rPr>
      <w:kern w:val="0"/>
      <w:sz w:val="20"/>
    </w:rPr>
  </w:style>
  <w:style w:type="paragraph" w:styleId="14">
    <w:name w:val="toa heading"/>
    <w:basedOn w:val="1"/>
    <w:next w:val="1"/>
    <w:unhideWhenUsed/>
    <w:qFormat/>
    <w:uiPriority w:val="99"/>
    <w:pPr>
      <w:spacing w:before="120"/>
    </w:pPr>
    <w:rPr>
      <w:rFonts w:ascii="Cambria" w:hAnsi="Cambria"/>
      <w:sz w:val="24"/>
    </w:rPr>
  </w:style>
  <w:style w:type="paragraph" w:styleId="15">
    <w:name w:val="annotation text"/>
    <w:basedOn w:val="1"/>
    <w:link w:val="65"/>
    <w:unhideWhenUsed/>
    <w:qFormat/>
    <w:uiPriority w:val="99"/>
    <w:pPr>
      <w:jc w:val="left"/>
    </w:pPr>
    <w:rPr>
      <w:kern w:val="0"/>
      <w:sz w:val="20"/>
    </w:rPr>
  </w:style>
  <w:style w:type="paragraph" w:styleId="16">
    <w:name w:val="Salutation"/>
    <w:basedOn w:val="1"/>
    <w:next w:val="1"/>
    <w:link w:val="66"/>
    <w:unhideWhenUsed/>
    <w:qFormat/>
    <w:uiPriority w:val="0"/>
    <w:rPr>
      <w:kern w:val="0"/>
      <w:sz w:val="30"/>
      <w:szCs w:val="20"/>
    </w:rPr>
  </w:style>
  <w:style w:type="paragraph" w:styleId="17">
    <w:name w:val="Body Text 3"/>
    <w:basedOn w:val="1"/>
    <w:link w:val="67"/>
    <w:qFormat/>
    <w:uiPriority w:val="0"/>
    <w:pPr>
      <w:spacing w:line="360" w:lineRule="auto"/>
    </w:pPr>
    <w:rPr>
      <w:rFonts w:ascii="宋体"/>
      <w:kern w:val="0"/>
      <w:sz w:val="24"/>
      <w:szCs w:val="20"/>
    </w:rPr>
  </w:style>
  <w:style w:type="paragraph" w:styleId="18">
    <w:name w:val="Body Text"/>
    <w:basedOn w:val="1"/>
    <w:next w:val="19"/>
    <w:link w:val="68"/>
    <w:qFormat/>
    <w:uiPriority w:val="99"/>
    <w:rPr>
      <w:rFonts w:ascii="宋体"/>
      <w:kern w:val="0"/>
      <w:sz w:val="28"/>
      <w:szCs w:val="20"/>
    </w:rPr>
  </w:style>
  <w:style w:type="paragraph" w:styleId="19">
    <w:name w:val="Title"/>
    <w:basedOn w:val="1"/>
    <w:next w:val="1"/>
    <w:link w:val="79"/>
    <w:qFormat/>
    <w:uiPriority w:val="0"/>
    <w:pPr>
      <w:spacing w:line="360" w:lineRule="auto"/>
      <w:jc w:val="left"/>
      <w:outlineLvl w:val="2"/>
    </w:pPr>
    <w:rPr>
      <w:rFonts w:ascii="宋体" w:hAnsi="宋体"/>
      <w:kern w:val="0"/>
      <w:sz w:val="28"/>
      <w:szCs w:val="32"/>
    </w:rPr>
  </w:style>
  <w:style w:type="paragraph" w:styleId="20">
    <w:name w:val="Body Text Indent"/>
    <w:basedOn w:val="1"/>
    <w:next w:val="21"/>
    <w:link w:val="69"/>
    <w:qFormat/>
    <w:uiPriority w:val="99"/>
    <w:pPr>
      <w:spacing w:line="360" w:lineRule="auto"/>
      <w:ind w:firstLine="420"/>
    </w:pPr>
    <w:rPr>
      <w:rFonts w:ascii="宋体"/>
      <w:kern w:val="0"/>
      <w:sz w:val="24"/>
      <w:szCs w:val="20"/>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840" w:hanging="420"/>
    </w:pPr>
    <w:rPr>
      <w:sz w:val="28"/>
      <w:szCs w:val="20"/>
    </w:rPr>
  </w:style>
  <w:style w:type="paragraph" w:styleId="23">
    <w:name w:val="Block Text"/>
    <w:basedOn w:val="1"/>
    <w:qFormat/>
    <w:uiPriority w:val="99"/>
    <w:pPr>
      <w:spacing w:line="360" w:lineRule="auto"/>
      <w:ind w:left="735" w:leftChars="328" w:right="-332" w:rightChars="-158" w:hanging="46" w:hangingChars="19"/>
    </w:pPr>
    <w:rPr>
      <w:rFonts w:ascii="宋体"/>
      <w:bCs/>
      <w:color w:val="000000"/>
      <w:sz w:val="24"/>
      <w:szCs w:val="20"/>
    </w:rPr>
  </w:style>
  <w:style w:type="paragraph" w:styleId="24">
    <w:name w:val="toc 5"/>
    <w:basedOn w:val="1"/>
    <w:next w:val="1"/>
    <w:unhideWhenUsed/>
    <w:qFormat/>
    <w:uiPriority w:val="39"/>
    <w:pPr>
      <w:ind w:left="630"/>
      <w:jc w:val="left"/>
    </w:pPr>
    <w:rPr>
      <w:rFonts w:ascii="Calibri" w:hAnsi="Calibri" w:cs="Calibri"/>
      <w:sz w:val="20"/>
      <w:szCs w:val="20"/>
    </w:rPr>
  </w:style>
  <w:style w:type="paragraph" w:styleId="25">
    <w:name w:val="toc 3"/>
    <w:basedOn w:val="1"/>
    <w:next w:val="1"/>
    <w:qFormat/>
    <w:uiPriority w:val="39"/>
    <w:pPr>
      <w:ind w:left="840" w:leftChars="400"/>
    </w:pPr>
  </w:style>
  <w:style w:type="paragraph" w:styleId="26">
    <w:name w:val="Plain Text"/>
    <w:basedOn w:val="1"/>
    <w:link w:val="70"/>
    <w:qFormat/>
    <w:uiPriority w:val="0"/>
    <w:rPr>
      <w:rFonts w:ascii="宋体" w:hAnsi="Courier New"/>
      <w:kern w:val="0"/>
      <w:sz w:val="20"/>
      <w:szCs w:val="20"/>
    </w:rPr>
  </w:style>
  <w:style w:type="paragraph" w:styleId="27">
    <w:name w:val="toc 8"/>
    <w:basedOn w:val="1"/>
    <w:next w:val="1"/>
    <w:unhideWhenUsed/>
    <w:qFormat/>
    <w:uiPriority w:val="39"/>
    <w:pPr>
      <w:ind w:left="1260"/>
      <w:jc w:val="left"/>
    </w:pPr>
    <w:rPr>
      <w:rFonts w:ascii="Calibri" w:hAnsi="Calibri" w:cs="Calibri"/>
      <w:sz w:val="20"/>
      <w:szCs w:val="20"/>
    </w:rPr>
  </w:style>
  <w:style w:type="paragraph" w:styleId="28">
    <w:name w:val="Date"/>
    <w:basedOn w:val="1"/>
    <w:next w:val="1"/>
    <w:link w:val="71"/>
    <w:qFormat/>
    <w:uiPriority w:val="0"/>
    <w:pPr>
      <w:adjustRightInd w:val="0"/>
      <w:spacing w:line="312" w:lineRule="atLeast"/>
      <w:jc w:val="right"/>
      <w:textAlignment w:val="baseline"/>
    </w:pPr>
    <w:rPr>
      <w:rFonts w:ascii="Book Antiqua" w:hAnsi="Book Antiqua"/>
      <w:kern w:val="0"/>
      <w:sz w:val="20"/>
      <w:szCs w:val="20"/>
    </w:rPr>
  </w:style>
  <w:style w:type="paragraph" w:styleId="29">
    <w:name w:val="Body Text Indent 2"/>
    <w:basedOn w:val="1"/>
    <w:link w:val="72"/>
    <w:qFormat/>
    <w:uiPriority w:val="0"/>
    <w:pPr>
      <w:spacing w:line="420" w:lineRule="exact"/>
      <w:ind w:firstLine="525"/>
    </w:pPr>
    <w:rPr>
      <w:rFonts w:ascii="宋体"/>
      <w:kern w:val="0"/>
      <w:sz w:val="20"/>
      <w:szCs w:val="20"/>
    </w:rPr>
  </w:style>
  <w:style w:type="paragraph" w:styleId="30">
    <w:name w:val="Balloon Text"/>
    <w:basedOn w:val="1"/>
    <w:link w:val="73"/>
    <w:qFormat/>
    <w:uiPriority w:val="0"/>
    <w:rPr>
      <w:kern w:val="0"/>
      <w:sz w:val="18"/>
      <w:szCs w:val="18"/>
    </w:rPr>
  </w:style>
  <w:style w:type="paragraph" w:styleId="31">
    <w:name w:val="footer"/>
    <w:basedOn w:val="1"/>
    <w:link w:val="74"/>
    <w:unhideWhenUsed/>
    <w:qFormat/>
    <w:uiPriority w:val="99"/>
    <w:pPr>
      <w:tabs>
        <w:tab w:val="center" w:pos="4153"/>
        <w:tab w:val="right" w:pos="8306"/>
      </w:tabs>
      <w:snapToGrid w:val="0"/>
      <w:jc w:val="left"/>
    </w:pPr>
    <w:rPr>
      <w:kern w:val="0"/>
      <w:sz w:val="18"/>
      <w:szCs w:val="18"/>
    </w:rPr>
  </w:style>
  <w:style w:type="paragraph" w:styleId="32">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rPr>
      <w:rFonts w:ascii="Arial" w:hAnsi="Arial" w:cs="Arial"/>
      <w:sz w:val="28"/>
    </w:rPr>
  </w:style>
  <w:style w:type="paragraph" w:styleId="34">
    <w:name w:val="toc 4"/>
    <w:basedOn w:val="1"/>
    <w:next w:val="1"/>
    <w:unhideWhenUsed/>
    <w:qFormat/>
    <w:uiPriority w:val="39"/>
    <w:pPr>
      <w:ind w:left="420"/>
      <w:jc w:val="left"/>
    </w:pPr>
    <w:rPr>
      <w:rFonts w:ascii="Calibri" w:hAnsi="Calibri" w:cs="Calibri"/>
      <w:sz w:val="20"/>
      <w:szCs w:val="20"/>
    </w:rPr>
  </w:style>
  <w:style w:type="paragraph" w:styleId="35">
    <w:name w:val="toc 6"/>
    <w:basedOn w:val="1"/>
    <w:next w:val="1"/>
    <w:unhideWhenUsed/>
    <w:qFormat/>
    <w:uiPriority w:val="39"/>
    <w:pPr>
      <w:ind w:left="840"/>
      <w:jc w:val="left"/>
    </w:pPr>
    <w:rPr>
      <w:rFonts w:ascii="Calibri" w:hAnsi="Calibri" w:cs="Calibri"/>
      <w:sz w:val="20"/>
      <w:szCs w:val="20"/>
    </w:rPr>
  </w:style>
  <w:style w:type="paragraph" w:styleId="36">
    <w:name w:val="Body Text Indent 3"/>
    <w:basedOn w:val="1"/>
    <w:link w:val="76"/>
    <w:unhideWhenUsed/>
    <w:qFormat/>
    <w:uiPriority w:val="0"/>
    <w:pPr>
      <w:spacing w:after="120"/>
      <w:ind w:left="420" w:leftChars="200"/>
    </w:pPr>
    <w:rPr>
      <w:kern w:val="0"/>
      <w:sz w:val="16"/>
      <w:szCs w:val="16"/>
    </w:rPr>
  </w:style>
  <w:style w:type="paragraph" w:styleId="37">
    <w:name w:val="toc 2"/>
    <w:basedOn w:val="1"/>
    <w:next w:val="1"/>
    <w:unhideWhenUsed/>
    <w:qFormat/>
    <w:uiPriority w:val="39"/>
    <w:pPr>
      <w:spacing w:before="240"/>
      <w:jc w:val="left"/>
    </w:pPr>
    <w:rPr>
      <w:rFonts w:ascii="Calibri" w:hAnsi="Calibri" w:cs="Calibri"/>
      <w:b/>
      <w:bCs/>
      <w:sz w:val="20"/>
      <w:szCs w:val="20"/>
    </w:rPr>
  </w:style>
  <w:style w:type="paragraph" w:styleId="38">
    <w:name w:val="toc 9"/>
    <w:basedOn w:val="1"/>
    <w:next w:val="1"/>
    <w:unhideWhenUsed/>
    <w:qFormat/>
    <w:uiPriority w:val="39"/>
    <w:pPr>
      <w:ind w:left="1470"/>
      <w:jc w:val="left"/>
    </w:pPr>
    <w:rPr>
      <w:rFonts w:ascii="Calibri" w:hAnsi="Calibri" w:cs="Calibri"/>
      <w:sz w:val="20"/>
      <w:szCs w:val="20"/>
    </w:rPr>
  </w:style>
  <w:style w:type="paragraph" w:styleId="39">
    <w:name w:val="Body Text 2"/>
    <w:basedOn w:val="1"/>
    <w:link w:val="77"/>
    <w:unhideWhenUsed/>
    <w:qFormat/>
    <w:uiPriority w:val="99"/>
    <w:pPr>
      <w:spacing w:after="120" w:line="480" w:lineRule="auto"/>
    </w:pPr>
    <w:rPr>
      <w:kern w:val="0"/>
      <w:sz w:val="20"/>
    </w:rPr>
  </w:style>
  <w:style w:type="paragraph" w:styleId="40">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ascii="_x000B__x000C_" w:hAnsi="_x000B__x000C_" w:eastAsia="黑体"/>
      <w:kern w:val="0"/>
      <w:sz w:val="18"/>
      <w:szCs w:val="20"/>
    </w:rPr>
  </w:style>
  <w:style w:type="paragraph" w:styleId="41">
    <w:name w:val="Normal (Web)"/>
    <w:basedOn w:val="1"/>
    <w:qFormat/>
    <w:uiPriority w:val="0"/>
    <w:pPr>
      <w:widowControl/>
      <w:spacing w:before="100" w:beforeAutospacing="1" w:after="100" w:afterAutospacing="1"/>
      <w:jc w:val="left"/>
    </w:pPr>
    <w:rPr>
      <w:rFonts w:ascii="Arial Unicode MS" w:hAnsi="Arial Unicode MS" w:eastAsia="Arial Unicode MS"/>
      <w:color w:val="000000"/>
      <w:kern w:val="0"/>
      <w:sz w:val="24"/>
    </w:rPr>
  </w:style>
  <w:style w:type="paragraph" w:styleId="42">
    <w:name w:val="annotation subject"/>
    <w:basedOn w:val="15"/>
    <w:next w:val="15"/>
    <w:link w:val="80"/>
    <w:unhideWhenUsed/>
    <w:qFormat/>
    <w:uiPriority w:val="99"/>
    <w:rPr>
      <w:b/>
      <w:bCs/>
    </w:rPr>
  </w:style>
  <w:style w:type="paragraph" w:styleId="43">
    <w:name w:val="Body Text First Indent"/>
    <w:basedOn w:val="1"/>
    <w:link w:val="81"/>
    <w:qFormat/>
    <w:uiPriority w:val="0"/>
    <w:pPr>
      <w:spacing w:after="120"/>
      <w:ind w:firstLine="420"/>
    </w:p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99"/>
  </w:style>
  <w:style w:type="character" w:styleId="49">
    <w:name w:val="FollowedHyperlink"/>
    <w:unhideWhenUsed/>
    <w:qFormat/>
    <w:uiPriority w:val="99"/>
    <w:rPr>
      <w:color w:val="800080"/>
      <w:u w:val="single"/>
    </w:rPr>
  </w:style>
  <w:style w:type="character" w:styleId="50">
    <w:name w:val="Emphasis"/>
    <w:qFormat/>
    <w:uiPriority w:val="0"/>
  </w:style>
  <w:style w:type="character" w:styleId="51">
    <w:name w:val="Hyperlink"/>
    <w:qFormat/>
    <w:uiPriority w:val="99"/>
    <w:rPr>
      <w:color w:val="0000FF"/>
      <w:u w:val="single"/>
    </w:rPr>
  </w:style>
  <w:style w:type="character" w:styleId="52">
    <w:name w:val="annotation reference"/>
    <w:unhideWhenUsed/>
    <w:qFormat/>
    <w:uiPriority w:val="99"/>
    <w:rPr>
      <w:sz w:val="21"/>
      <w:szCs w:val="21"/>
    </w:rPr>
  </w:style>
  <w:style w:type="paragraph" w:customStyle="1" w:styleId="53">
    <w:name w:val="正文样式"/>
    <w:qFormat/>
    <w:uiPriority w:val="0"/>
    <w:pPr>
      <w:widowControl w:val="0"/>
      <w:spacing w:line="360" w:lineRule="auto"/>
      <w:ind w:firstLine="482"/>
      <w:jc w:val="both"/>
    </w:pPr>
    <w:rPr>
      <w:rFonts w:ascii="宋体" w:hAnsi="Times New Roman" w:eastAsia="宋体" w:cs="Times New Roman"/>
      <w:kern w:val="2"/>
      <w:sz w:val="24"/>
      <w:lang w:val="en-US" w:eastAsia="zh-CN" w:bidi="ar-SA"/>
    </w:rPr>
  </w:style>
  <w:style w:type="character" w:customStyle="1" w:styleId="54">
    <w:name w:val="标题 2 字符"/>
    <w:link w:val="2"/>
    <w:qFormat/>
    <w:uiPriority w:val="99"/>
    <w:rPr>
      <w:rFonts w:ascii="Cambria" w:hAnsi="Cambria" w:eastAsia="宋体" w:cs="Times New Roman"/>
      <w:b/>
      <w:bCs/>
      <w:sz w:val="32"/>
      <w:szCs w:val="32"/>
    </w:rPr>
  </w:style>
  <w:style w:type="character" w:customStyle="1" w:styleId="55">
    <w:name w:val="标题 1 字符"/>
    <w:link w:val="3"/>
    <w:qFormat/>
    <w:uiPriority w:val="9"/>
    <w:rPr>
      <w:rFonts w:ascii="Times New Roman" w:hAnsi="Times New Roman" w:eastAsia="宋体" w:cs="Times New Roman"/>
      <w:b/>
      <w:bCs/>
      <w:kern w:val="44"/>
      <w:sz w:val="52"/>
      <w:szCs w:val="44"/>
    </w:rPr>
  </w:style>
  <w:style w:type="character" w:customStyle="1" w:styleId="56">
    <w:name w:val="标题 3 字符"/>
    <w:basedOn w:val="46"/>
    <w:link w:val="4"/>
    <w:qFormat/>
    <w:uiPriority w:val="0"/>
    <w:rPr>
      <w:rFonts w:ascii="Times New Roman" w:hAnsi="Times New Roman" w:eastAsia="宋体" w:cs="Times New Roman"/>
      <w:b/>
      <w:bCs/>
      <w:kern w:val="0"/>
      <w:sz w:val="32"/>
      <w:szCs w:val="32"/>
    </w:rPr>
  </w:style>
  <w:style w:type="character" w:customStyle="1" w:styleId="57">
    <w:name w:val="标题 4 字符"/>
    <w:link w:val="5"/>
    <w:qFormat/>
    <w:uiPriority w:val="0"/>
    <w:rPr>
      <w:rFonts w:ascii="Cambria" w:hAnsi="Cambria" w:eastAsia="宋体" w:cs="Times New Roman"/>
      <w:b/>
      <w:bCs/>
      <w:kern w:val="0"/>
      <w:sz w:val="28"/>
      <w:szCs w:val="28"/>
    </w:rPr>
  </w:style>
  <w:style w:type="character" w:customStyle="1" w:styleId="58">
    <w:name w:val="标题 5 字符"/>
    <w:link w:val="6"/>
    <w:qFormat/>
    <w:uiPriority w:val="0"/>
    <w:rPr>
      <w:rFonts w:ascii="Arial" w:hAnsi="Arial"/>
      <w:b/>
      <w:bCs/>
      <w:color w:val="000000"/>
      <w:spacing w:val="20"/>
      <w:sz w:val="24"/>
      <w:szCs w:val="24"/>
    </w:rPr>
  </w:style>
  <w:style w:type="character" w:customStyle="1" w:styleId="59">
    <w:name w:val="标题 6 字符"/>
    <w:link w:val="7"/>
    <w:qFormat/>
    <w:uiPriority w:val="0"/>
    <w:rPr>
      <w:rFonts w:ascii="Arial" w:hAnsi="Arial" w:eastAsia="宋体" w:cs="Times New Roman"/>
      <w:sz w:val="28"/>
      <w:szCs w:val="28"/>
    </w:rPr>
  </w:style>
  <w:style w:type="character" w:customStyle="1" w:styleId="60">
    <w:name w:val="标题 7 字符"/>
    <w:link w:val="8"/>
    <w:qFormat/>
    <w:uiPriority w:val="0"/>
    <w:rPr>
      <w:rFonts w:ascii="Times New Roman" w:hAnsi="Times New Roman" w:eastAsia="宋体" w:cs="Times New Roman"/>
      <w:b/>
      <w:bCs/>
      <w:sz w:val="24"/>
      <w:szCs w:val="24"/>
    </w:rPr>
  </w:style>
  <w:style w:type="character" w:customStyle="1" w:styleId="61">
    <w:name w:val="标题 8 字符"/>
    <w:link w:val="9"/>
    <w:qFormat/>
    <w:uiPriority w:val="0"/>
    <w:rPr>
      <w:rFonts w:ascii="Cambria" w:hAnsi="Cambria" w:eastAsia="宋体" w:cs="Times New Roman"/>
      <w:sz w:val="24"/>
      <w:szCs w:val="24"/>
    </w:rPr>
  </w:style>
  <w:style w:type="character" w:customStyle="1" w:styleId="62">
    <w:name w:val="标题 9 字符"/>
    <w:link w:val="10"/>
    <w:qFormat/>
    <w:uiPriority w:val="0"/>
    <w:rPr>
      <w:rFonts w:ascii="Cambria" w:hAnsi="Cambria" w:eastAsia="宋体" w:cs="Times New Roman"/>
      <w:szCs w:val="21"/>
    </w:rPr>
  </w:style>
  <w:style w:type="character" w:customStyle="1" w:styleId="63">
    <w:name w:val="正文缩进 字符"/>
    <w:link w:val="12"/>
    <w:qFormat/>
    <w:uiPriority w:val="0"/>
    <w:rPr>
      <w:rFonts w:ascii="Times New Roman" w:hAnsi="Times New Roman" w:eastAsia="宋体" w:cs="Times New Roman"/>
      <w:b/>
      <w:sz w:val="24"/>
      <w:szCs w:val="20"/>
    </w:rPr>
  </w:style>
  <w:style w:type="character" w:customStyle="1" w:styleId="64">
    <w:name w:val="文档结构图 字符"/>
    <w:link w:val="13"/>
    <w:qFormat/>
    <w:uiPriority w:val="99"/>
    <w:rPr>
      <w:rFonts w:ascii="Times New Roman" w:hAnsi="Times New Roman" w:eastAsia="宋体" w:cs="Times New Roman"/>
      <w:kern w:val="0"/>
      <w:sz w:val="20"/>
      <w:szCs w:val="24"/>
      <w:shd w:val="clear" w:color="auto" w:fill="000080"/>
    </w:rPr>
  </w:style>
  <w:style w:type="character" w:customStyle="1" w:styleId="65">
    <w:name w:val="批注文字 字符"/>
    <w:link w:val="15"/>
    <w:qFormat/>
    <w:uiPriority w:val="99"/>
    <w:rPr>
      <w:rFonts w:ascii="Times New Roman" w:hAnsi="Times New Roman" w:eastAsia="宋体" w:cs="Times New Roman"/>
      <w:szCs w:val="24"/>
    </w:rPr>
  </w:style>
  <w:style w:type="character" w:customStyle="1" w:styleId="66">
    <w:name w:val="称呼 字符"/>
    <w:link w:val="16"/>
    <w:semiHidden/>
    <w:qFormat/>
    <w:uiPriority w:val="0"/>
    <w:rPr>
      <w:rFonts w:ascii="Times New Roman" w:hAnsi="Times New Roman"/>
      <w:sz w:val="30"/>
    </w:rPr>
  </w:style>
  <w:style w:type="character" w:customStyle="1" w:styleId="67">
    <w:name w:val="正文文本 3 字符"/>
    <w:link w:val="17"/>
    <w:qFormat/>
    <w:uiPriority w:val="0"/>
    <w:rPr>
      <w:rFonts w:ascii="宋体" w:hAnsi="Times New Roman" w:eastAsia="宋体" w:cs="Times New Roman"/>
      <w:sz w:val="24"/>
      <w:szCs w:val="20"/>
    </w:rPr>
  </w:style>
  <w:style w:type="character" w:customStyle="1" w:styleId="68">
    <w:name w:val="正文文本 字符"/>
    <w:link w:val="18"/>
    <w:qFormat/>
    <w:uiPriority w:val="99"/>
    <w:rPr>
      <w:rFonts w:ascii="宋体" w:hAnsi="Times New Roman" w:eastAsia="宋体" w:cs="Times New Roman"/>
      <w:sz w:val="28"/>
      <w:szCs w:val="20"/>
    </w:rPr>
  </w:style>
  <w:style w:type="character" w:customStyle="1" w:styleId="69">
    <w:name w:val="正文文本缩进 字符"/>
    <w:link w:val="20"/>
    <w:qFormat/>
    <w:uiPriority w:val="99"/>
    <w:rPr>
      <w:rFonts w:ascii="宋体" w:hAnsi="Times New Roman" w:eastAsia="宋体" w:cs="Times New Roman"/>
      <w:sz w:val="24"/>
      <w:szCs w:val="20"/>
    </w:rPr>
  </w:style>
  <w:style w:type="character" w:customStyle="1" w:styleId="70">
    <w:name w:val="纯文本 字符"/>
    <w:link w:val="26"/>
    <w:qFormat/>
    <w:uiPriority w:val="0"/>
    <w:rPr>
      <w:rFonts w:ascii="宋体" w:hAnsi="Courier New" w:eastAsia="宋体" w:cs="Times New Roman"/>
      <w:kern w:val="0"/>
      <w:sz w:val="20"/>
      <w:szCs w:val="20"/>
    </w:rPr>
  </w:style>
  <w:style w:type="character" w:customStyle="1" w:styleId="71">
    <w:name w:val="日期 字符"/>
    <w:link w:val="28"/>
    <w:qFormat/>
    <w:uiPriority w:val="0"/>
    <w:rPr>
      <w:rFonts w:ascii="Book Antiqua" w:hAnsi="Book Antiqua" w:eastAsia="宋体" w:cs="Times New Roman"/>
      <w:kern w:val="0"/>
      <w:szCs w:val="20"/>
    </w:rPr>
  </w:style>
  <w:style w:type="character" w:customStyle="1" w:styleId="72">
    <w:name w:val="正文文本缩进 2 字符"/>
    <w:link w:val="29"/>
    <w:qFormat/>
    <w:uiPriority w:val="0"/>
    <w:rPr>
      <w:rFonts w:ascii="宋体" w:hAnsi="Times New Roman" w:eastAsia="宋体" w:cs="Times New Roman"/>
      <w:szCs w:val="20"/>
    </w:rPr>
  </w:style>
  <w:style w:type="character" w:customStyle="1" w:styleId="73">
    <w:name w:val="批注框文本 字符"/>
    <w:link w:val="30"/>
    <w:qFormat/>
    <w:uiPriority w:val="0"/>
    <w:rPr>
      <w:rFonts w:ascii="Times New Roman" w:hAnsi="Times New Roman" w:eastAsia="宋体" w:cs="Times New Roman"/>
      <w:sz w:val="18"/>
      <w:szCs w:val="18"/>
    </w:rPr>
  </w:style>
  <w:style w:type="character" w:customStyle="1" w:styleId="74">
    <w:name w:val="页脚 字符"/>
    <w:link w:val="31"/>
    <w:qFormat/>
    <w:uiPriority w:val="99"/>
    <w:rPr>
      <w:rFonts w:ascii="Times New Roman" w:hAnsi="Times New Roman" w:eastAsia="宋体" w:cs="Times New Roman"/>
      <w:kern w:val="0"/>
      <w:sz w:val="18"/>
      <w:szCs w:val="18"/>
    </w:rPr>
  </w:style>
  <w:style w:type="character" w:customStyle="1" w:styleId="75">
    <w:name w:val="页眉 字符"/>
    <w:link w:val="32"/>
    <w:qFormat/>
    <w:uiPriority w:val="99"/>
    <w:rPr>
      <w:rFonts w:ascii="Times New Roman" w:hAnsi="Times New Roman" w:eastAsia="宋体" w:cs="Times New Roman"/>
      <w:kern w:val="0"/>
      <w:sz w:val="18"/>
      <w:szCs w:val="18"/>
    </w:rPr>
  </w:style>
  <w:style w:type="character" w:customStyle="1" w:styleId="76">
    <w:name w:val="正文文本缩进 3 字符"/>
    <w:link w:val="36"/>
    <w:qFormat/>
    <w:uiPriority w:val="0"/>
    <w:rPr>
      <w:rFonts w:ascii="Times New Roman" w:hAnsi="Times New Roman" w:eastAsia="宋体" w:cs="Times New Roman"/>
      <w:sz w:val="16"/>
      <w:szCs w:val="16"/>
    </w:rPr>
  </w:style>
  <w:style w:type="character" w:customStyle="1" w:styleId="77">
    <w:name w:val="正文文本 2 字符"/>
    <w:link w:val="39"/>
    <w:qFormat/>
    <w:uiPriority w:val="99"/>
    <w:rPr>
      <w:rFonts w:ascii="Times New Roman" w:hAnsi="Times New Roman" w:eastAsia="宋体" w:cs="Times New Roman"/>
      <w:szCs w:val="24"/>
    </w:rPr>
  </w:style>
  <w:style w:type="character" w:customStyle="1" w:styleId="78">
    <w:name w:val="HTML 预设格式 字符"/>
    <w:link w:val="40"/>
    <w:qFormat/>
    <w:uiPriority w:val="0"/>
    <w:rPr>
      <w:rFonts w:ascii="_x000B__x000C_" w:hAnsi="_x000B__x000C_" w:eastAsia="黑体" w:cs="Times New Roman"/>
      <w:kern w:val="0"/>
      <w:sz w:val="18"/>
      <w:szCs w:val="20"/>
    </w:rPr>
  </w:style>
  <w:style w:type="character" w:customStyle="1" w:styleId="79">
    <w:name w:val="标题 字符"/>
    <w:link w:val="19"/>
    <w:qFormat/>
    <w:uiPriority w:val="0"/>
    <w:rPr>
      <w:rFonts w:ascii="宋体" w:hAnsi="宋体" w:eastAsia="宋体" w:cs="Times New Roman"/>
      <w:b/>
      <w:bCs/>
      <w:sz w:val="28"/>
      <w:szCs w:val="32"/>
    </w:rPr>
  </w:style>
  <w:style w:type="character" w:customStyle="1" w:styleId="80">
    <w:name w:val="批注主题 字符"/>
    <w:link w:val="42"/>
    <w:qFormat/>
    <w:uiPriority w:val="99"/>
    <w:rPr>
      <w:rFonts w:ascii="Times New Roman" w:hAnsi="Times New Roman" w:eastAsia="宋体" w:cs="Times New Roman"/>
      <w:b/>
      <w:bCs/>
      <w:szCs w:val="24"/>
    </w:rPr>
  </w:style>
  <w:style w:type="character" w:customStyle="1" w:styleId="81">
    <w:name w:val="正文文本首行缩进 字符"/>
    <w:link w:val="43"/>
    <w:qFormat/>
    <w:uiPriority w:val="0"/>
  </w:style>
  <w:style w:type="paragraph" w:customStyle="1" w:styleId="82">
    <w:name w:val="段"/>
    <w:next w:val="1"/>
    <w:qFormat/>
    <w:uiPriority w:val="0"/>
    <w:pPr>
      <w:ind w:firstLine="200" w:firstLineChars="200"/>
      <w:jc w:val="both"/>
    </w:pPr>
    <w:rPr>
      <w:rFonts w:ascii="宋体" w:hAnsi="Times New Roman" w:eastAsia="Times New Roman" w:cs="Times New Roman"/>
      <w:sz w:val="21"/>
      <w:szCs w:val="24"/>
      <w:lang w:val="en-US" w:eastAsia="zh-CN" w:bidi="ar-SA"/>
    </w:rPr>
  </w:style>
  <w:style w:type="character" w:customStyle="1" w:styleId="83">
    <w:name w:val="正文首行缩进 Char1"/>
    <w:qFormat/>
    <w:uiPriority w:val="0"/>
  </w:style>
  <w:style w:type="character" w:customStyle="1" w:styleId="84">
    <w:name w:val="font01"/>
    <w:qFormat/>
    <w:uiPriority w:val="0"/>
    <w:rPr>
      <w:rFonts w:hint="eastAsia" w:ascii="宋体" w:hAnsi="宋体" w:eastAsia="宋体" w:cs="宋体"/>
      <w:color w:val="000000"/>
      <w:sz w:val="24"/>
      <w:szCs w:val="24"/>
      <w:u w:val="none"/>
    </w:rPr>
  </w:style>
  <w:style w:type="character" w:customStyle="1" w:styleId="85">
    <w:name w:val="font11"/>
    <w:qFormat/>
    <w:uiPriority w:val="0"/>
    <w:rPr>
      <w:rFonts w:hint="eastAsia" w:ascii="宋体" w:hAnsi="宋体" w:eastAsia="宋体" w:cs="宋体"/>
      <w:color w:val="000000"/>
      <w:sz w:val="22"/>
      <w:szCs w:val="22"/>
      <w:u w:val="none"/>
    </w:rPr>
  </w:style>
  <w:style w:type="character" w:customStyle="1" w:styleId="86">
    <w:name w:val="txt1"/>
    <w:qFormat/>
    <w:uiPriority w:val="0"/>
    <w:rPr>
      <w:color w:val="000099"/>
      <w:sz w:val="20"/>
      <w:szCs w:val="20"/>
      <w:u w:val="none"/>
    </w:rPr>
  </w:style>
  <w:style w:type="character" w:customStyle="1" w:styleId="87">
    <w:name w:val="chword"/>
    <w:qFormat/>
    <w:uiPriority w:val="0"/>
  </w:style>
  <w:style w:type="character" w:customStyle="1" w:styleId="88">
    <w:name w:val="font31"/>
    <w:qFormat/>
    <w:uiPriority w:val="0"/>
    <w:rPr>
      <w:rFonts w:hint="eastAsia" w:ascii="宋体" w:hAnsi="宋体" w:eastAsia="宋体" w:cs="宋体"/>
      <w:color w:val="000000"/>
      <w:sz w:val="24"/>
      <w:szCs w:val="24"/>
      <w:u w:val="none"/>
    </w:rPr>
  </w:style>
  <w:style w:type="character" w:customStyle="1" w:styleId="89">
    <w:name w:val="tree-title2"/>
    <w:qFormat/>
    <w:uiPriority w:val="0"/>
    <w:rPr>
      <w:u w:val="none"/>
    </w:rPr>
  </w:style>
  <w:style w:type="character" w:customStyle="1" w:styleId="90">
    <w:name w:val="wen Char1"/>
    <w:link w:val="91"/>
    <w:qFormat/>
    <w:uiPriority w:val="0"/>
    <w:rPr>
      <w:rFonts w:ascii="宋体" w:hAnsi="Arial"/>
      <w:sz w:val="24"/>
    </w:rPr>
  </w:style>
  <w:style w:type="paragraph" w:customStyle="1" w:styleId="91">
    <w:name w:val="wen"/>
    <w:basedOn w:val="1"/>
    <w:link w:val="90"/>
    <w:qFormat/>
    <w:uiPriority w:val="0"/>
    <w:pPr>
      <w:tabs>
        <w:tab w:val="left" w:pos="900"/>
      </w:tabs>
      <w:adjustRightInd w:val="0"/>
      <w:snapToGrid w:val="0"/>
      <w:spacing w:line="360" w:lineRule="auto"/>
      <w:ind w:left="900" w:hanging="420"/>
    </w:pPr>
    <w:rPr>
      <w:rFonts w:ascii="宋体" w:hAnsi="Arial"/>
      <w:kern w:val="0"/>
      <w:sz w:val="24"/>
      <w:szCs w:val="20"/>
    </w:rPr>
  </w:style>
  <w:style w:type="character" w:customStyle="1" w:styleId="92">
    <w:name w:val="font21"/>
    <w:qFormat/>
    <w:uiPriority w:val="0"/>
    <w:rPr>
      <w:rFonts w:hint="eastAsia" w:ascii="宋体" w:hAnsi="宋体" w:eastAsia="宋体" w:cs="宋体"/>
      <w:color w:val="000000"/>
      <w:sz w:val="22"/>
      <w:szCs w:val="22"/>
      <w:u w:val="none"/>
    </w:rPr>
  </w:style>
  <w:style w:type="character" w:customStyle="1" w:styleId="93">
    <w:name w:val="textcontents"/>
    <w:qFormat/>
    <w:uiPriority w:val="0"/>
  </w:style>
  <w:style w:type="character" w:customStyle="1" w:styleId="94">
    <w:name w:val="Char Char"/>
    <w:qFormat/>
    <w:uiPriority w:val="0"/>
    <w:rPr>
      <w:rFonts w:ascii="宋体" w:hAnsi="Courier New" w:eastAsia="宋体" w:cs="金山简魏碑"/>
      <w:kern w:val="2"/>
      <w:sz w:val="21"/>
      <w:szCs w:val="21"/>
      <w:lang w:val="en-US" w:eastAsia="zh-CN" w:bidi="ar-SA"/>
    </w:rPr>
  </w:style>
  <w:style w:type="character" w:customStyle="1" w:styleId="95">
    <w:name w:val="文章正文 Char Char"/>
    <w:link w:val="96"/>
    <w:qFormat/>
    <w:uiPriority w:val="0"/>
    <w:rPr>
      <w:szCs w:val="21"/>
    </w:rPr>
  </w:style>
  <w:style w:type="paragraph" w:customStyle="1" w:styleId="96">
    <w:name w:val="文章正文"/>
    <w:basedOn w:val="1"/>
    <w:link w:val="95"/>
    <w:qFormat/>
    <w:uiPriority w:val="0"/>
    <w:pPr>
      <w:adjustRightInd w:val="0"/>
      <w:snapToGrid w:val="0"/>
      <w:spacing w:line="360" w:lineRule="auto"/>
      <w:ind w:firstLine="420" w:firstLineChars="200"/>
    </w:pPr>
    <w:rPr>
      <w:kern w:val="0"/>
      <w:sz w:val="20"/>
      <w:szCs w:val="21"/>
    </w:rPr>
  </w:style>
  <w:style w:type="character" w:customStyle="1" w:styleId="97">
    <w:name w:val="Char Char1"/>
    <w:qFormat/>
    <w:uiPriority w:val="0"/>
    <w:rPr>
      <w:rFonts w:ascii="宋体" w:hAnsi="Courier New" w:eastAsia="宋体" w:cs="金山简魏碑"/>
      <w:kern w:val="2"/>
      <w:sz w:val="21"/>
      <w:szCs w:val="21"/>
      <w:lang w:val="en-US" w:eastAsia="zh-CN" w:bidi="ar-SA"/>
    </w:rPr>
  </w:style>
  <w:style w:type="character" w:customStyle="1" w:styleId="98">
    <w:name w:val="标题 Char1"/>
    <w:qFormat/>
    <w:uiPriority w:val="10"/>
    <w:rPr>
      <w:rFonts w:ascii="Cambria" w:hAnsi="Cambria" w:cs="Times New Roman"/>
      <w:b/>
      <w:bCs/>
      <w:kern w:val="2"/>
      <w:sz w:val="32"/>
      <w:szCs w:val="32"/>
    </w:rPr>
  </w:style>
  <w:style w:type="paragraph" w:customStyle="1" w:styleId="99">
    <w:name w:val="Char"/>
    <w:basedOn w:val="1"/>
    <w:qFormat/>
    <w:uiPriority w:val="0"/>
    <w:rPr>
      <w:szCs w:val="20"/>
    </w:rPr>
  </w:style>
  <w:style w:type="paragraph" w:customStyle="1" w:styleId="100">
    <w:name w:val="表格"/>
    <w:basedOn w:val="1"/>
    <w:qFormat/>
    <w:uiPriority w:val="0"/>
    <w:pPr>
      <w:jc w:val="center"/>
      <w:textAlignment w:val="center"/>
    </w:pPr>
    <w:rPr>
      <w:rFonts w:ascii="华文细黑" w:hAnsi="华文细黑"/>
      <w:kern w:val="0"/>
      <w:szCs w:val="20"/>
    </w:rPr>
  </w:style>
  <w:style w:type="paragraph" w:customStyle="1" w:styleId="101">
    <w:name w:val="1"/>
    <w:basedOn w:val="1"/>
    <w:next w:val="26"/>
    <w:qFormat/>
    <w:uiPriority w:val="0"/>
    <w:rPr>
      <w:rFonts w:ascii="宋体" w:hAnsi="Courier New" w:cs="金山简魏碑"/>
      <w:szCs w:val="21"/>
    </w:rPr>
  </w:style>
  <w:style w:type="paragraph" w:customStyle="1" w:styleId="102">
    <w:name w:val="b-b5"/>
    <w:basedOn w:val="6"/>
    <w:next w:val="1"/>
    <w:qFormat/>
    <w:uiPriority w:val="0"/>
    <w:pPr>
      <w:keepNext w:val="0"/>
      <w:spacing w:before="40" w:after="40" w:line="400" w:lineRule="exact"/>
      <w:ind w:left="540" w:firstLine="301"/>
      <w:jc w:val="left"/>
    </w:pPr>
    <w:rPr>
      <w:rFonts w:ascii="Times New Roman" w:hAnsi="Times New Roman"/>
      <w:b w:val="0"/>
      <w:iCs/>
      <w:spacing w:val="0"/>
      <w:szCs w:val="28"/>
      <w:lang w:val="en-GB"/>
    </w:rPr>
  </w:style>
  <w:style w:type="paragraph" w:customStyle="1" w:styleId="103">
    <w:name w:val="xl3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04">
    <w:name w:val="xl36"/>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2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06">
    <w:name w:val="b-b1"/>
    <w:basedOn w:val="3"/>
    <w:next w:val="1"/>
    <w:qFormat/>
    <w:uiPriority w:val="0"/>
    <w:pPr>
      <w:keepNext w:val="0"/>
      <w:keepLines w:val="0"/>
      <w:autoSpaceDE w:val="0"/>
      <w:autoSpaceDN w:val="0"/>
      <w:adjustRightInd w:val="0"/>
      <w:snapToGrid w:val="0"/>
      <w:spacing w:before="160" w:after="160" w:line="400" w:lineRule="exact"/>
      <w:ind w:left="540"/>
      <w:jc w:val="left"/>
      <w:textAlignment w:val="baseline"/>
    </w:pPr>
    <w:rPr>
      <w:rFonts w:ascii="黑体" w:eastAsia="黑体"/>
      <w:b w:val="0"/>
      <w:bCs w:val="0"/>
      <w:color w:val="000000"/>
      <w:sz w:val="28"/>
      <w:szCs w:val="20"/>
    </w:rPr>
  </w:style>
  <w:style w:type="paragraph" w:customStyle="1" w:styleId="107">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8">
    <w:name w:val="Char Char 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109">
    <w:name w:val="_Style 2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Char1"/>
    <w:basedOn w:val="1"/>
    <w:qFormat/>
    <w:uiPriority w:val="0"/>
    <w:rPr>
      <w:szCs w:val="20"/>
    </w:rPr>
  </w:style>
  <w:style w:type="paragraph" w:customStyle="1" w:styleId="11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2">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13">
    <w:name w:val="xl37"/>
    <w:basedOn w:val="1"/>
    <w:qFormat/>
    <w:uiPriority w:val="0"/>
    <w:pPr>
      <w:widowControl/>
      <w:pBdr>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4">
    <w:name w:val="标书---正文 Char Char"/>
    <w:qFormat/>
    <w:uiPriority w:val="0"/>
    <w:pPr>
      <w:spacing w:line="276" w:lineRule="auto"/>
      <w:ind w:firstLine="200" w:firstLineChars="200"/>
    </w:pPr>
    <w:rPr>
      <w:rFonts w:ascii="宋体" w:hAnsi="Times New Roman" w:eastAsia="宋体" w:cs="Times New Roman"/>
      <w:kern w:val="2"/>
      <w:sz w:val="21"/>
      <w:szCs w:val="21"/>
      <w:lang w:val="en-US" w:eastAsia="zh-CN" w:bidi="ar-SA"/>
    </w:rPr>
  </w:style>
  <w:style w:type="paragraph" w:customStyle="1" w:styleId="11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6">
    <w:name w:val="b-b3"/>
    <w:basedOn w:val="4"/>
    <w:next w:val="1"/>
    <w:qFormat/>
    <w:uiPriority w:val="0"/>
    <w:pPr>
      <w:keepNext w:val="0"/>
      <w:keepLines w:val="0"/>
      <w:snapToGrid w:val="0"/>
      <w:spacing w:before="80" w:after="80" w:line="440" w:lineRule="atLeast"/>
      <w:ind w:left="540"/>
      <w:textAlignment w:val="baseline"/>
    </w:pPr>
    <w:rPr>
      <w:rFonts w:hAnsi="宋体" w:eastAsia="黑体"/>
      <w:sz w:val="28"/>
      <w:szCs w:val="20"/>
    </w:rPr>
  </w:style>
  <w:style w:type="paragraph" w:customStyle="1" w:styleId="117">
    <w:name w:val="font8"/>
    <w:basedOn w:val="1"/>
    <w:qFormat/>
    <w:uiPriority w:val="0"/>
    <w:pPr>
      <w:widowControl/>
      <w:spacing w:before="100" w:beforeAutospacing="1" w:after="100" w:afterAutospacing="1"/>
      <w:jc w:val="left"/>
    </w:pPr>
    <w:rPr>
      <w:kern w:val="0"/>
      <w:sz w:val="32"/>
      <w:szCs w:val="32"/>
    </w:rPr>
  </w:style>
  <w:style w:type="paragraph" w:customStyle="1" w:styleId="118">
    <w:name w:val="Char Char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19">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20">
    <w:name w:val="xl28"/>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21">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22">
    <w:name w:val="xl2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23">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125">
    <w:name w:val="Char Char Char Char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126">
    <w:name w:val="b-b2"/>
    <w:basedOn w:val="2"/>
    <w:next w:val="1"/>
    <w:qFormat/>
    <w:uiPriority w:val="0"/>
    <w:pPr>
      <w:keepNext w:val="0"/>
      <w:keepLines w:val="0"/>
      <w:tabs>
        <w:tab w:val="left" w:pos="900"/>
      </w:tabs>
      <w:adjustRightInd w:val="0"/>
      <w:snapToGrid w:val="0"/>
      <w:spacing w:before="0" w:after="0" w:line="480" w:lineRule="atLeast"/>
      <w:ind w:left="900" w:hanging="720"/>
      <w:jc w:val="left"/>
      <w:textAlignment w:val="baseline"/>
    </w:pPr>
    <w:rPr>
      <w:rFonts w:ascii="宋体" w:hAnsi="宋体" w:eastAsia="黑体"/>
      <w:sz w:val="24"/>
      <w:szCs w:val="24"/>
    </w:rPr>
  </w:style>
  <w:style w:type="paragraph" w:customStyle="1" w:styleId="127">
    <w:name w:val="正文文本 21"/>
    <w:basedOn w:val="1"/>
    <w:qFormat/>
    <w:uiPriority w:val="0"/>
    <w:pPr>
      <w:adjustRightInd w:val="0"/>
      <w:spacing w:line="312" w:lineRule="atLeast"/>
      <w:ind w:firstLine="425"/>
      <w:textAlignment w:val="baseline"/>
    </w:pPr>
    <w:rPr>
      <w:rFonts w:ascii="宋体"/>
      <w:color w:val="000000"/>
      <w:kern w:val="0"/>
      <w:szCs w:val="20"/>
    </w:rPr>
  </w:style>
  <w:style w:type="paragraph" w:customStyle="1" w:styleId="128">
    <w:name w:val="font6"/>
    <w:basedOn w:val="1"/>
    <w:qFormat/>
    <w:uiPriority w:val="0"/>
    <w:pPr>
      <w:widowControl/>
      <w:spacing w:before="100" w:beforeAutospacing="1" w:after="100" w:afterAutospacing="1"/>
      <w:jc w:val="left"/>
    </w:pPr>
    <w:rPr>
      <w:kern w:val="0"/>
      <w:sz w:val="24"/>
    </w:rPr>
  </w:style>
  <w:style w:type="paragraph" w:customStyle="1" w:styleId="129">
    <w:name w:val="Char Char Char Char1"/>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0">
    <w:name w:val="xl29"/>
    <w:basedOn w:val="1"/>
    <w:qFormat/>
    <w:uiPriority w:val="0"/>
    <w:pPr>
      <w:widowControl/>
      <w:pBdr>
        <w:top w:val="single" w:color="auto" w:sz="4" w:space="0"/>
      </w:pBdr>
      <w:spacing w:before="100" w:beforeAutospacing="1" w:after="100" w:afterAutospacing="1"/>
      <w:jc w:val="center"/>
      <w:textAlignment w:val="center"/>
    </w:pPr>
    <w:rPr>
      <w:rFonts w:ascii="宋体" w:hAnsi="宋体"/>
      <w:kern w:val="0"/>
      <w:sz w:val="24"/>
    </w:rPr>
  </w:style>
  <w:style w:type="paragraph" w:customStyle="1" w:styleId="131">
    <w:name w:val="Char Char1 Char Char Char Char1 Char Char Char Char Char Char"/>
    <w:basedOn w:val="1"/>
    <w:qFormat/>
    <w:uiPriority w:val="0"/>
  </w:style>
  <w:style w:type="paragraph" w:customStyle="1" w:styleId="13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3">
    <w:name w:val="List Paragraph"/>
    <w:basedOn w:val="1"/>
    <w:qFormat/>
    <w:uiPriority w:val="34"/>
    <w:pPr>
      <w:ind w:firstLine="420" w:firstLineChars="200"/>
    </w:pPr>
  </w:style>
  <w:style w:type="paragraph" w:customStyle="1" w:styleId="134">
    <w:name w:val="目录文字"/>
    <w:basedOn w:val="1"/>
    <w:qFormat/>
    <w:uiPriority w:val="0"/>
    <w:pPr>
      <w:widowControl/>
      <w:spacing w:line="480" w:lineRule="auto"/>
      <w:jc w:val="left"/>
    </w:pPr>
    <w:rPr>
      <w:rFonts w:ascii="宋体" w:hAnsi="宋体"/>
      <w:kern w:val="0"/>
      <w:sz w:val="24"/>
      <w:szCs w:val="20"/>
    </w:rPr>
  </w:style>
  <w:style w:type="paragraph" w:customStyle="1" w:styleId="135">
    <w:name w:val="xl32"/>
    <w:basedOn w:val="1"/>
    <w:qFormat/>
    <w:uiPriority w:val="0"/>
    <w:pPr>
      <w:widowControl/>
      <w:pBdr>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6">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137">
    <w:name w:val="Char Char Char Char Char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8">
    <w:name w:val="xl44"/>
    <w:basedOn w:val="1"/>
    <w:qFormat/>
    <w:uiPriority w:val="0"/>
    <w:pPr>
      <w:widowControl/>
      <w:spacing w:before="100" w:beforeAutospacing="1" w:after="100" w:afterAutospacing="1"/>
      <w:jc w:val="center"/>
      <w:textAlignment w:val="center"/>
    </w:pPr>
    <w:rPr>
      <w:rFonts w:ascii="宋体" w:hAnsi="宋体"/>
      <w:kern w:val="0"/>
      <w:sz w:val="32"/>
      <w:szCs w:val="32"/>
    </w:rPr>
  </w:style>
  <w:style w:type="paragraph" w:customStyle="1" w:styleId="139">
    <w:name w:val="_Style 138"/>
    <w:semiHidden/>
    <w:qFormat/>
    <w:uiPriority w:val="99"/>
    <w:rPr>
      <w:rFonts w:ascii="Times New Roman" w:hAnsi="Times New Roman" w:eastAsia="宋体" w:cs="Times New Roman"/>
      <w:kern w:val="2"/>
      <w:sz w:val="21"/>
      <w:szCs w:val="22"/>
      <w:lang w:val="en-US" w:eastAsia="zh-CN" w:bidi="ar-SA"/>
    </w:rPr>
  </w:style>
  <w:style w:type="paragraph" w:customStyle="1" w:styleId="140">
    <w:name w:val="xl30"/>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1">
    <w:name w:val="xl35"/>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2">
    <w:name w:val="xl43"/>
    <w:basedOn w:val="1"/>
    <w:qFormat/>
    <w:uiPriority w:val="0"/>
    <w:pPr>
      <w:widowControl/>
      <w:spacing w:before="100" w:beforeAutospacing="1" w:after="100" w:afterAutospacing="1"/>
      <w:jc w:val="center"/>
      <w:textAlignment w:val="center"/>
    </w:pPr>
    <w:rPr>
      <w:rFonts w:hint="eastAsia" w:ascii="隶书" w:hAnsi="宋体" w:eastAsia="隶书"/>
      <w:kern w:val="0"/>
      <w:sz w:val="36"/>
      <w:szCs w:val="36"/>
    </w:rPr>
  </w:style>
  <w:style w:type="paragraph" w:customStyle="1" w:styleId="143">
    <w:name w:val="Char Char Char Char Char Char Char1"/>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44">
    <w:name w:val="xl4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5">
    <w:name w:val="Char2"/>
    <w:basedOn w:val="1"/>
    <w:qFormat/>
    <w:uiPriority w:val="0"/>
    <w:rPr>
      <w:sz w:val="28"/>
      <w:szCs w:val="21"/>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xl2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font7"/>
    <w:basedOn w:val="1"/>
    <w:qFormat/>
    <w:uiPriority w:val="0"/>
    <w:pPr>
      <w:widowControl/>
      <w:spacing w:before="100" w:beforeAutospacing="1" w:after="100" w:afterAutospacing="1"/>
      <w:jc w:val="left"/>
    </w:pPr>
    <w:rPr>
      <w:rFonts w:hint="eastAsia" w:ascii="宋体" w:hAnsi="宋体"/>
      <w:kern w:val="0"/>
      <w:sz w:val="32"/>
      <w:szCs w:val="32"/>
    </w:rPr>
  </w:style>
  <w:style w:type="paragraph" w:customStyle="1" w:styleId="149">
    <w:name w:val="p15"/>
    <w:basedOn w:val="1"/>
    <w:qFormat/>
    <w:uiPriority w:val="0"/>
    <w:pPr>
      <w:widowControl/>
      <w:spacing w:before="100" w:after="100"/>
      <w:jc w:val="left"/>
    </w:pPr>
    <w:rPr>
      <w:kern w:val="0"/>
      <w:sz w:val="24"/>
    </w:rPr>
  </w:style>
  <w:style w:type="paragraph" w:customStyle="1" w:styleId="150">
    <w:name w:val="xl34"/>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1">
    <w:name w:val="b-b4"/>
    <w:basedOn w:val="5"/>
    <w:next w:val="1"/>
    <w:qFormat/>
    <w:uiPriority w:val="0"/>
    <w:pPr>
      <w:keepNext w:val="0"/>
      <w:keepLines w:val="0"/>
      <w:tabs>
        <w:tab w:val="left" w:pos="540"/>
      </w:tabs>
      <w:spacing w:before="60" w:after="60" w:line="400" w:lineRule="exact"/>
      <w:ind w:left="162" w:firstLine="198"/>
      <w:jc w:val="left"/>
    </w:pPr>
    <w:rPr>
      <w:rFonts w:ascii="黑体" w:hAnsi="宋体"/>
      <w:b w:val="0"/>
      <w:bCs w:val="0"/>
      <w:sz w:val="24"/>
      <w:szCs w:val="24"/>
    </w:rPr>
  </w:style>
  <w:style w:type="paragraph" w:customStyle="1" w:styleId="152">
    <w:name w:val="样式1"/>
    <w:basedOn w:val="1"/>
    <w:next w:val="5"/>
    <w:qFormat/>
    <w:uiPriority w:val="0"/>
    <w:pPr>
      <w:spacing w:line="360" w:lineRule="auto"/>
      <w:ind w:firstLine="420" w:firstLineChars="200"/>
    </w:pPr>
    <w:rPr>
      <w:rFonts w:ascii="宋体" w:hAnsi="宋体"/>
      <w:szCs w:val="21"/>
    </w:rPr>
  </w:style>
  <w:style w:type="character" w:customStyle="1" w:styleId="153">
    <w:name w:val="纯文本 Char5"/>
    <w:qFormat/>
    <w:uiPriority w:val="0"/>
    <w:rPr>
      <w:rFonts w:ascii="宋体" w:hAnsi="Courier New"/>
      <w:szCs w:val="21"/>
    </w:rPr>
  </w:style>
  <w:style w:type="paragraph" w:customStyle="1" w:styleId="154">
    <w:name w:val="Table Paragraph"/>
    <w:basedOn w:val="1"/>
    <w:qFormat/>
    <w:uiPriority w:val="1"/>
    <w:rPr>
      <w:u w:val="single" w:color="000000"/>
    </w:rPr>
  </w:style>
  <w:style w:type="paragraph" w:customStyle="1" w:styleId="155">
    <w:name w:val="纯文本1"/>
    <w:basedOn w:val="1"/>
    <w:qFormat/>
    <w:uiPriority w:val="0"/>
    <w:rPr>
      <w:rFonts w:ascii="宋体" w:hAnsi="Courier New"/>
      <w:sz w:val="28"/>
    </w:rPr>
  </w:style>
  <w:style w:type="paragraph" w:customStyle="1" w:styleId="156">
    <w:name w:val="列出段落2"/>
    <w:basedOn w:val="1"/>
    <w:qFormat/>
    <w:uiPriority w:val="0"/>
    <w:pPr>
      <w:widowControl/>
      <w:spacing w:line="360" w:lineRule="auto"/>
      <w:ind w:left="708" w:leftChars="150" w:firstLine="420" w:firstLineChars="200"/>
      <w:jc w:val="left"/>
    </w:pPr>
    <w:rPr>
      <w:szCs w:val="21"/>
    </w:rPr>
  </w:style>
  <w:style w:type="paragraph" w:customStyle="1" w:styleId="157">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158">
    <w:name w:val="表格文字"/>
    <w:qFormat/>
    <w:uiPriority w:val="0"/>
    <w:pPr>
      <w:adjustRightInd w:val="0"/>
      <w:snapToGrid w:val="0"/>
      <w:spacing w:line="400" w:lineRule="exact"/>
    </w:pPr>
    <w:rPr>
      <w:rFonts w:ascii="宋体" w:hAnsi="宋体" w:eastAsia="宋体" w:cs="宋体"/>
      <w:kern w:val="2"/>
      <w:sz w:val="21"/>
      <w:szCs w:val="21"/>
      <w:lang w:val="en-US" w:eastAsia="zh-CN" w:bidi="ar-SA"/>
    </w:rPr>
  </w:style>
  <w:style w:type="paragraph" w:customStyle="1" w:styleId="159">
    <w:name w:val="列出段落1"/>
    <w:basedOn w:val="1"/>
    <w:qFormat/>
    <w:uiPriority w:val="0"/>
    <w:pPr>
      <w:ind w:firstLine="420"/>
    </w:pPr>
  </w:style>
  <w:style w:type="paragraph" w:customStyle="1" w:styleId="160">
    <w:name w:val="Fließtext"/>
    <w:qFormat/>
    <w:uiPriority w:val="99"/>
    <w:pPr>
      <w:widowControl w:val="0"/>
      <w:tabs>
        <w:tab w:val="left" w:pos="560"/>
        <w:tab w:val="right" w:leader="middleDot" w:pos="8400"/>
      </w:tabs>
      <w:overflowPunct w:val="0"/>
      <w:autoSpaceDE w:val="0"/>
      <w:autoSpaceDN w:val="0"/>
      <w:jc w:val="both"/>
      <w:textAlignment w:val="baseline"/>
    </w:pPr>
    <w:rPr>
      <w:rFonts w:ascii="Calibri" w:hAnsi="Calibri" w:eastAsia="宋体" w:cs="Times New Roman"/>
      <w:kern w:val="28"/>
      <w:sz w:val="21"/>
      <w:lang w:val="en-US" w:eastAsia="zh-CN" w:bidi="ar-SA"/>
    </w:rPr>
  </w:style>
  <w:style w:type="paragraph" w:customStyle="1" w:styleId="161">
    <w:name w:val="纯文本11"/>
    <w:basedOn w:val="1"/>
    <w:qFormat/>
    <w:uiPriority w:val="0"/>
    <w:rPr>
      <w:rFonts w:hAnsi="Courier New"/>
      <w:sz w:val="28"/>
    </w:rPr>
  </w:style>
  <w:style w:type="character" w:customStyle="1" w:styleId="162">
    <w:name w:val="font41"/>
    <w:basedOn w:val="46"/>
    <w:qFormat/>
    <w:uiPriority w:val="0"/>
    <w:rPr>
      <w:rFonts w:hint="default" w:ascii="Times New Roman" w:hAnsi="Times New Roman" w:cs="Times New Roman"/>
      <w:color w:val="000000"/>
      <w:sz w:val="21"/>
      <w:szCs w:val="21"/>
      <w:u w:val="none"/>
    </w:rPr>
  </w:style>
  <w:style w:type="character" w:customStyle="1" w:styleId="163">
    <w:name w:val="NormalCharacter"/>
    <w:semiHidden/>
    <w:qFormat/>
    <w:uiPriority w:val="0"/>
    <w:rPr>
      <w:b/>
      <w:bCs/>
      <w:color w:val="FF0000"/>
    </w:rPr>
  </w:style>
  <w:style w:type="paragraph" w:customStyle="1" w:styleId="164">
    <w:name w:val="UserStyle_18"/>
    <w:qFormat/>
    <w:uiPriority w:val="0"/>
    <w:rPr>
      <w:rFonts w:ascii="MS Mincho" w:hAnsi="等线 Light"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27201</Words>
  <Characters>28956</Characters>
  <Lines>298</Lines>
  <Paragraphs>83</Paragraphs>
  <TotalTime>8</TotalTime>
  <ScaleCrop>false</ScaleCrop>
  <LinksUpToDate>false</LinksUpToDate>
  <CharactersWithSpaces>30972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2023-04-10T11:02:00Z</dcterms:created>
  <dc:creator>Administrator</dc:creator>
  <cp:lastModifiedBy>Gu xiao chun</cp:lastModifiedBy>
  <cp:lastPrinted>2023-05-24T15:23:00Z</cp:lastPrinted>
  <dcterms:modified xsi:type="dcterms:W3CDTF">2023-05-26T05:43:59Z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E8A45E6CF664458F9AAEFD383EB04428_13</vt:lpwstr>
  </property>
</Properties>
</file>