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szCs w:val="44"/>
        </w:rPr>
      </w:pPr>
      <w:bookmarkStart w:id="1755" w:name="_GoBack"/>
      <w:bookmarkEnd w:id="1755"/>
    </w:p>
    <w:p>
      <w:pPr>
        <w:jc w:val="center"/>
        <w:rPr>
          <w:sz w:val="44"/>
          <w:szCs w:val="44"/>
        </w:rPr>
      </w:pPr>
    </w:p>
    <w:p>
      <w:pPr>
        <w:spacing w:line="720" w:lineRule="auto"/>
        <w:jc w:val="center"/>
        <w:rPr>
          <w:rFonts w:hint="eastAsia" w:eastAsia="黑体"/>
          <w:b/>
          <w:sz w:val="44"/>
          <w:szCs w:val="44"/>
        </w:rPr>
      </w:pPr>
      <w:r>
        <w:rPr>
          <w:rFonts w:hint="eastAsia" w:eastAsia="黑体"/>
          <w:b/>
          <w:sz w:val="44"/>
          <w:szCs w:val="44"/>
        </w:rPr>
        <w:t>南通轨道交通集团有限公司运营分公司2024年1、2号线接触网车辆段增设可视化接地装置采购项目</w:t>
      </w:r>
    </w:p>
    <w:p>
      <w:pPr>
        <w:jc w:val="center"/>
        <w:rPr>
          <w:rFonts w:eastAsia="宋体"/>
          <w:b/>
          <w:sz w:val="44"/>
          <w:szCs w:val="44"/>
        </w:rPr>
      </w:pPr>
    </w:p>
    <w:p>
      <w:pPr>
        <w:tabs>
          <w:tab w:val="left" w:pos="6100"/>
        </w:tabs>
        <w:jc w:val="center"/>
        <w:rPr>
          <w:rFonts w:hint="eastAsia" w:eastAsia="宋体"/>
          <w:sz w:val="20"/>
          <w:szCs w:val="20"/>
        </w:rPr>
      </w:pPr>
      <w:r>
        <w:rPr>
          <w:rFonts w:eastAsia="宋体"/>
          <w:sz w:val="28"/>
          <w:szCs w:val="28"/>
        </w:rPr>
        <w:t>招标编号：</w:t>
      </w:r>
      <w:r>
        <w:rPr>
          <w:rFonts w:hint="eastAsia" w:eastAsia="宋体"/>
          <w:sz w:val="28"/>
          <w:szCs w:val="28"/>
        </w:rPr>
        <w:t xml:space="preserve">NTGY-2024-HW-ZB-002 </w:t>
      </w:r>
    </w:p>
    <w:p>
      <w:pPr>
        <w:jc w:val="center"/>
        <w:rPr>
          <w:rFonts w:eastAsia="宋体"/>
          <w:sz w:val="44"/>
          <w:szCs w:val="44"/>
        </w:rPr>
      </w:pPr>
    </w:p>
    <w:p>
      <w:pPr>
        <w:jc w:val="center"/>
        <w:rPr>
          <w:rFonts w:eastAsia="宋体"/>
          <w:sz w:val="44"/>
          <w:szCs w:val="44"/>
        </w:rPr>
      </w:pPr>
    </w:p>
    <w:p>
      <w:pPr>
        <w:jc w:val="center"/>
        <w:rPr>
          <w:rFonts w:ascii="黑体" w:hAnsi="黑体" w:eastAsia="黑体"/>
          <w:b/>
          <w:sz w:val="84"/>
          <w:szCs w:val="72"/>
        </w:rPr>
      </w:pPr>
      <w:r>
        <w:rPr>
          <w:rFonts w:ascii="黑体" w:hAnsi="黑体" w:eastAsia="黑体"/>
          <w:b/>
          <w:sz w:val="84"/>
          <w:szCs w:val="72"/>
        </w:rPr>
        <w:t>招标文件</w:t>
      </w:r>
    </w:p>
    <w:p>
      <w:pPr>
        <w:jc w:val="center"/>
        <w:rPr>
          <w:rFonts w:eastAsia="宋体"/>
          <w:b/>
          <w:sz w:val="72"/>
          <w:szCs w:val="72"/>
        </w:rPr>
      </w:pPr>
      <w:r>
        <w:rPr>
          <w:rFonts w:eastAsia="宋体"/>
          <w:b/>
          <w:sz w:val="72"/>
          <w:szCs w:val="72"/>
        </w:rPr>
        <w:drawing>
          <wp:anchor distT="0" distB="0" distL="114300" distR="114300" simplePos="0" relativeHeight="251659264" behindDoc="1" locked="0" layoutInCell="1" allowOverlap="1">
            <wp:simplePos x="0" y="0"/>
            <wp:positionH relativeFrom="column">
              <wp:posOffset>2040255</wp:posOffset>
            </wp:positionH>
            <wp:positionV relativeFrom="paragraph">
              <wp:posOffset>536575</wp:posOffset>
            </wp:positionV>
            <wp:extent cx="1531620" cy="1259840"/>
            <wp:effectExtent l="0" t="0" r="0" b="16510"/>
            <wp:wrapNone/>
            <wp:docPr id="1" name="图片 2" descr="t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timg"/>
                    <pic:cNvPicPr>
                      <a:picLocks noChangeAspect="1"/>
                    </pic:cNvPicPr>
                  </pic:nvPicPr>
                  <pic:blipFill>
                    <a:blip r:embed="rId10">
                      <a:clrChange>
                        <a:clrFrom>
                          <a:srgbClr val="FFFFFF"/>
                        </a:clrFrom>
                        <a:clrTo>
                          <a:srgbClr val="FFFFFF">
                            <a:alpha val="0"/>
                          </a:srgbClr>
                        </a:clrTo>
                      </a:clrChange>
                    </a:blip>
                    <a:stretch>
                      <a:fillRect/>
                    </a:stretch>
                  </pic:blipFill>
                  <pic:spPr>
                    <a:xfrm>
                      <a:off x="0" y="0"/>
                      <a:ext cx="1531620" cy="1259840"/>
                    </a:xfrm>
                    <a:prstGeom prst="rect">
                      <a:avLst/>
                    </a:prstGeom>
                    <a:noFill/>
                    <a:ln>
                      <a:noFill/>
                    </a:ln>
                  </pic:spPr>
                </pic:pic>
              </a:graphicData>
            </a:graphic>
          </wp:anchor>
        </w:drawing>
      </w:r>
    </w:p>
    <w:p>
      <w:pPr>
        <w:jc w:val="center"/>
        <w:rPr>
          <w:rFonts w:eastAsia="宋体"/>
          <w:b/>
          <w:sz w:val="72"/>
          <w:szCs w:val="72"/>
        </w:rPr>
      </w:pPr>
    </w:p>
    <w:p>
      <w:pPr>
        <w:jc w:val="center"/>
        <w:rPr>
          <w:rFonts w:hint="eastAsia" w:eastAsia="宋体"/>
          <w:b/>
          <w:sz w:val="72"/>
          <w:szCs w:val="72"/>
        </w:rPr>
      </w:pPr>
    </w:p>
    <w:p>
      <w:pPr>
        <w:jc w:val="center"/>
        <w:rPr>
          <w:rFonts w:eastAsia="宋体"/>
          <w:b/>
          <w:sz w:val="72"/>
          <w:szCs w:val="72"/>
        </w:rPr>
      </w:pPr>
    </w:p>
    <w:p>
      <w:pPr>
        <w:jc w:val="center"/>
        <w:rPr>
          <w:rFonts w:eastAsia="宋体"/>
          <w:b/>
          <w:sz w:val="72"/>
          <w:szCs w:val="72"/>
        </w:rPr>
      </w:pPr>
    </w:p>
    <w:p>
      <w:pPr>
        <w:tabs>
          <w:tab w:val="left" w:pos="6200"/>
        </w:tabs>
        <w:spacing w:line="360" w:lineRule="auto"/>
        <w:jc w:val="center"/>
        <w:rPr>
          <w:rFonts w:ascii="黑体" w:hAnsi="黑体" w:eastAsia="黑体"/>
          <w:sz w:val="32"/>
          <w:szCs w:val="32"/>
        </w:rPr>
      </w:pPr>
      <w:r>
        <w:rPr>
          <w:rFonts w:ascii="黑体" w:hAnsi="黑体" w:eastAsia="黑体"/>
          <w:sz w:val="32"/>
          <w:szCs w:val="32"/>
        </w:rPr>
        <w:t>招标人：</w:t>
      </w:r>
      <w:r>
        <w:rPr>
          <w:rFonts w:hint="eastAsia" w:ascii="黑体" w:hAnsi="黑体" w:eastAsia="黑体"/>
          <w:sz w:val="32"/>
          <w:szCs w:val="32"/>
        </w:rPr>
        <w:t>南通轨道交通集团有限公司运营分公司</w:t>
      </w:r>
    </w:p>
    <w:p>
      <w:pPr>
        <w:tabs>
          <w:tab w:val="left" w:pos="6200"/>
        </w:tabs>
        <w:spacing w:line="360" w:lineRule="auto"/>
        <w:jc w:val="center"/>
        <w:rPr>
          <w:rFonts w:hint="eastAsia" w:ascii="黑体" w:hAnsi="黑体" w:eastAsia="黑体"/>
          <w:sz w:val="32"/>
          <w:szCs w:val="32"/>
        </w:rPr>
      </w:pPr>
      <w:r>
        <w:rPr>
          <w:rFonts w:hint="eastAsia" w:ascii="黑体" w:hAnsi="黑体" w:eastAsia="黑体"/>
          <w:sz w:val="32"/>
          <w:szCs w:val="32"/>
        </w:rPr>
        <w:t>招标代理机构：苏世建设管理集团有限公司</w:t>
      </w:r>
    </w:p>
    <w:p>
      <w:pPr>
        <w:tabs>
          <w:tab w:val="left" w:pos="6200"/>
        </w:tabs>
        <w:spacing w:line="360" w:lineRule="auto"/>
        <w:jc w:val="center"/>
        <w:rPr>
          <w:rFonts w:ascii="黑体" w:hAnsi="黑体" w:eastAsia="黑体"/>
          <w:sz w:val="32"/>
          <w:szCs w:val="32"/>
        </w:rPr>
      </w:pPr>
      <w:r>
        <w:rPr>
          <w:rFonts w:hint="eastAsia" w:ascii="黑体" w:hAnsi="黑体" w:eastAsia="黑体"/>
          <w:sz w:val="32"/>
          <w:szCs w:val="32"/>
        </w:rPr>
        <w:t>日  期：二〇二四年五月</w:t>
      </w:r>
    </w:p>
    <w:p>
      <w:pPr>
        <w:tabs>
          <w:tab w:val="left" w:pos="3760"/>
          <w:tab w:val="left" w:pos="5900"/>
        </w:tabs>
        <w:spacing w:line="360" w:lineRule="auto"/>
        <w:jc w:val="both"/>
        <w:rPr>
          <w:rFonts w:ascii="宋体" w:hAnsi="宋体" w:eastAsia="宋体"/>
          <w:sz w:val="20"/>
          <w:szCs w:val="20"/>
        </w:rPr>
        <w:sectPr>
          <w:headerReference r:id="rId4" w:type="first"/>
          <w:footerReference r:id="rId5" w:type="default"/>
          <w:headerReference r:id="rId3" w:type="even"/>
          <w:footerReference r:id="rId6" w:type="even"/>
          <w:pgSz w:w="11907" w:h="16840"/>
          <w:pgMar w:top="1418" w:right="1418" w:bottom="1418" w:left="1418" w:header="1021" w:footer="737" w:gutter="0"/>
          <w:cols w:space="720" w:num="1"/>
          <w:titlePg/>
          <w:docGrid w:type="lines" w:linePitch="302" w:charSpace="-205"/>
        </w:sectPr>
      </w:pPr>
    </w:p>
    <w:p>
      <w:pPr>
        <w:pStyle w:val="273"/>
        <w:numPr>
          <w:ilvl w:val="0"/>
          <w:numId w:val="0"/>
        </w:numPr>
        <w:spacing w:before="0" w:line="360" w:lineRule="auto"/>
        <w:jc w:val="center"/>
        <w:rPr>
          <w:rFonts w:hint="eastAsia" w:ascii="黑体" w:hAnsi="黑体" w:eastAsia="黑体"/>
          <w:b/>
          <w:color w:val="auto"/>
          <w:lang w:val="zh-CN"/>
        </w:rPr>
      </w:pPr>
      <w:bookmarkStart w:id="0" w:name="_Toc1397"/>
      <w:bookmarkStart w:id="1" w:name="_Toc26107"/>
      <w:bookmarkStart w:id="2" w:name="_Toc16638"/>
      <w:bookmarkStart w:id="3" w:name="_Toc23766"/>
      <w:bookmarkStart w:id="4" w:name="_Toc13529"/>
      <w:bookmarkStart w:id="5" w:name="_Toc6616"/>
      <w:bookmarkStart w:id="6" w:name="_Toc26187"/>
      <w:bookmarkStart w:id="7" w:name="_Toc12661"/>
      <w:bookmarkStart w:id="8" w:name="_Toc20036"/>
      <w:bookmarkStart w:id="9" w:name="_Toc15106"/>
      <w:bookmarkStart w:id="10" w:name="_Toc24843"/>
      <w:bookmarkStart w:id="11" w:name="_Toc21364"/>
      <w:bookmarkStart w:id="12" w:name="_Toc29184"/>
      <w:bookmarkStart w:id="13" w:name="_Toc3975"/>
      <w:bookmarkStart w:id="14" w:name="_Toc16436"/>
      <w:bookmarkStart w:id="15" w:name="_Toc6199"/>
      <w:bookmarkStart w:id="16" w:name="_Toc841"/>
      <w:bookmarkStart w:id="17" w:name="_Toc12976"/>
      <w:bookmarkStart w:id="18" w:name="_Toc2028"/>
      <w:bookmarkStart w:id="19" w:name="_Toc30288"/>
      <w:r>
        <w:rPr>
          <w:rFonts w:ascii="黑体" w:hAnsi="黑体" w:eastAsia="黑体"/>
          <w:b/>
          <w:color w:val="auto"/>
          <w:lang w:val="zh-CN"/>
        </w:rPr>
        <w:t>目</w:t>
      </w:r>
      <w:r>
        <w:rPr>
          <w:rFonts w:hint="eastAsia" w:ascii="黑体" w:hAnsi="黑体" w:eastAsia="黑体"/>
          <w:b/>
          <w:color w:val="auto"/>
          <w:lang w:val="zh-CN"/>
        </w:rPr>
        <w:t xml:space="preserve">   </w:t>
      </w:r>
      <w:r>
        <w:rPr>
          <w:rFonts w:ascii="黑体" w:hAnsi="黑体" w:eastAsia="黑体"/>
          <w:b/>
          <w:color w:val="auto"/>
          <w:lang w:val="zh-CN"/>
        </w:rPr>
        <w:t>录</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pPr>
        <w:pStyle w:val="42"/>
        <w:tabs>
          <w:tab w:val="right" w:leader="dot" w:pos="9071"/>
          <w:tab w:val="clear" w:pos="8030"/>
        </w:tabs>
        <w:ind w:left="411" w:hanging="411"/>
      </w:pPr>
      <w:r>
        <w:rPr>
          <w:sz w:val="22"/>
          <w:szCs w:val="22"/>
        </w:rPr>
        <w:fldChar w:fldCharType="begin"/>
      </w:r>
      <w:r>
        <w:rPr>
          <w:sz w:val="22"/>
          <w:szCs w:val="22"/>
        </w:rPr>
        <w:instrText xml:space="preserve">TOC \o "1-2" \h \u </w:instrText>
      </w:r>
      <w:r>
        <w:rPr>
          <w:sz w:val="22"/>
          <w:szCs w:val="22"/>
        </w:rPr>
        <w:fldChar w:fldCharType="separate"/>
      </w:r>
      <w:r>
        <w:rPr>
          <w:szCs w:val="22"/>
        </w:rPr>
        <w:fldChar w:fldCharType="begin"/>
      </w:r>
      <w:r>
        <w:rPr>
          <w:szCs w:val="22"/>
        </w:rPr>
        <w:instrText xml:space="preserve"> HYPERLINK \l _Toc29184 </w:instrText>
      </w:r>
      <w:r>
        <w:rPr>
          <w:szCs w:val="22"/>
        </w:rPr>
        <w:fldChar w:fldCharType="separate"/>
      </w:r>
      <w:r>
        <w:rPr>
          <w:rFonts w:ascii="黑体" w:hAnsi="黑体" w:eastAsia="黑体"/>
          <w:lang w:val="zh-CN"/>
        </w:rPr>
        <w:t>目</w:t>
      </w:r>
      <w:r>
        <w:rPr>
          <w:rFonts w:hint="eastAsia" w:ascii="黑体" w:hAnsi="黑体" w:eastAsia="黑体"/>
          <w:lang w:val="zh-CN"/>
        </w:rPr>
        <w:t xml:space="preserve">   </w:t>
      </w:r>
      <w:r>
        <w:rPr>
          <w:rFonts w:ascii="黑体" w:hAnsi="黑体" w:eastAsia="黑体"/>
          <w:lang w:val="zh-CN"/>
        </w:rPr>
        <w:t>录</w:t>
      </w:r>
      <w:r>
        <w:tab/>
      </w:r>
      <w:r>
        <w:fldChar w:fldCharType="begin"/>
      </w:r>
      <w:r>
        <w:instrText xml:space="preserve"> PAGEREF _Toc29184 \h </w:instrText>
      </w:r>
      <w:r>
        <w:fldChar w:fldCharType="separate"/>
      </w:r>
      <w:r>
        <w:t>2</w:t>
      </w:r>
      <w:r>
        <w:fldChar w:fldCharType="end"/>
      </w:r>
      <w:r>
        <w:rPr>
          <w:szCs w:val="22"/>
        </w:rPr>
        <w:fldChar w:fldCharType="end"/>
      </w:r>
    </w:p>
    <w:p>
      <w:pPr>
        <w:pStyle w:val="42"/>
        <w:tabs>
          <w:tab w:val="right" w:leader="dot" w:pos="9071"/>
          <w:tab w:val="clear" w:pos="8030"/>
        </w:tabs>
        <w:ind w:left="393" w:hanging="393"/>
      </w:pPr>
      <w:r>
        <w:rPr>
          <w:szCs w:val="22"/>
        </w:rPr>
        <w:fldChar w:fldCharType="begin"/>
      </w:r>
      <w:r>
        <w:rPr>
          <w:szCs w:val="22"/>
        </w:rPr>
        <w:instrText xml:space="preserve"> HYPERLINK \l _Toc16345 </w:instrText>
      </w:r>
      <w:r>
        <w:rPr>
          <w:szCs w:val="22"/>
        </w:rPr>
        <w:fldChar w:fldCharType="separate"/>
      </w:r>
      <w:r>
        <w:rPr>
          <w:rFonts w:ascii="宋体" w:hAnsi="宋体" w:cs="宋体"/>
        </w:rPr>
        <w:t>第一章 招标公告</w:t>
      </w:r>
      <w:r>
        <w:tab/>
      </w:r>
      <w:r>
        <w:fldChar w:fldCharType="begin"/>
      </w:r>
      <w:r>
        <w:instrText xml:space="preserve"> PAGEREF _Toc16345 \h </w:instrText>
      </w:r>
      <w:r>
        <w:fldChar w:fldCharType="separate"/>
      </w:r>
      <w:r>
        <w:t>4</w:t>
      </w:r>
      <w:r>
        <w:fldChar w:fldCharType="end"/>
      </w:r>
      <w:r>
        <w:rPr>
          <w:szCs w:val="22"/>
        </w:rPr>
        <w:fldChar w:fldCharType="end"/>
      </w:r>
    </w:p>
    <w:p>
      <w:pPr>
        <w:pStyle w:val="52"/>
        <w:tabs>
          <w:tab w:val="right" w:leader="dot" w:pos="9071"/>
          <w:tab w:val="clear" w:pos="8030"/>
        </w:tabs>
        <w:ind w:left="840" w:hanging="420"/>
      </w:pPr>
      <w:r>
        <w:rPr>
          <w:szCs w:val="22"/>
        </w:rPr>
        <w:fldChar w:fldCharType="begin"/>
      </w:r>
      <w:r>
        <w:rPr>
          <w:szCs w:val="22"/>
        </w:rPr>
        <w:instrText xml:space="preserve"> HYPERLINK \l _Toc14772 </w:instrText>
      </w:r>
      <w:r>
        <w:rPr>
          <w:szCs w:val="22"/>
        </w:rPr>
        <w:fldChar w:fldCharType="separate"/>
      </w:r>
      <w:r>
        <w:rPr>
          <w:rFonts w:ascii="Times New Roman" w:hAnsi="Times New Roman" w:eastAsia="Times New Roman"/>
          <w:bCs w:val="0"/>
        </w:rPr>
        <w:t xml:space="preserve">1. </w:t>
      </w:r>
      <w:r>
        <w:rPr>
          <w:rFonts w:ascii="Times New Roman" w:hAnsi="Times New Roman" w:eastAsia="黑体"/>
          <w:bCs w:val="0"/>
        </w:rPr>
        <w:t>招标条件</w:t>
      </w:r>
      <w:r>
        <w:tab/>
      </w:r>
      <w:r>
        <w:fldChar w:fldCharType="begin"/>
      </w:r>
      <w:r>
        <w:instrText xml:space="preserve"> PAGEREF _Toc14772 \h </w:instrText>
      </w:r>
      <w:r>
        <w:fldChar w:fldCharType="separate"/>
      </w:r>
      <w:r>
        <w:t>4</w:t>
      </w:r>
      <w:r>
        <w:fldChar w:fldCharType="end"/>
      </w:r>
      <w:r>
        <w:rPr>
          <w:szCs w:val="22"/>
        </w:rPr>
        <w:fldChar w:fldCharType="end"/>
      </w:r>
    </w:p>
    <w:p>
      <w:pPr>
        <w:pStyle w:val="52"/>
        <w:tabs>
          <w:tab w:val="right" w:leader="dot" w:pos="9071"/>
          <w:tab w:val="clear" w:pos="8030"/>
        </w:tabs>
        <w:ind w:left="840" w:hanging="420"/>
      </w:pPr>
      <w:r>
        <w:rPr>
          <w:szCs w:val="22"/>
        </w:rPr>
        <w:fldChar w:fldCharType="begin"/>
      </w:r>
      <w:r>
        <w:rPr>
          <w:szCs w:val="22"/>
        </w:rPr>
        <w:instrText xml:space="preserve"> HYPERLINK \l _Toc7459 </w:instrText>
      </w:r>
      <w:r>
        <w:rPr>
          <w:szCs w:val="22"/>
        </w:rPr>
        <w:fldChar w:fldCharType="separate"/>
      </w:r>
      <w:r>
        <w:rPr>
          <w:rFonts w:ascii="Times New Roman" w:hAnsi="Times New Roman" w:eastAsia="黑体"/>
          <w:bCs w:val="0"/>
        </w:rPr>
        <w:t>2. 项目概况与招标范围</w:t>
      </w:r>
      <w:r>
        <w:tab/>
      </w:r>
      <w:r>
        <w:fldChar w:fldCharType="begin"/>
      </w:r>
      <w:r>
        <w:instrText xml:space="preserve"> PAGEREF _Toc7459 \h </w:instrText>
      </w:r>
      <w:r>
        <w:fldChar w:fldCharType="separate"/>
      </w:r>
      <w:r>
        <w:t>4</w:t>
      </w:r>
      <w:r>
        <w:fldChar w:fldCharType="end"/>
      </w:r>
      <w:r>
        <w:rPr>
          <w:szCs w:val="22"/>
        </w:rPr>
        <w:fldChar w:fldCharType="end"/>
      </w:r>
    </w:p>
    <w:p>
      <w:pPr>
        <w:pStyle w:val="52"/>
        <w:tabs>
          <w:tab w:val="right" w:leader="dot" w:pos="9071"/>
          <w:tab w:val="clear" w:pos="8030"/>
        </w:tabs>
        <w:ind w:left="840" w:hanging="420"/>
      </w:pPr>
      <w:r>
        <w:rPr>
          <w:szCs w:val="22"/>
        </w:rPr>
        <w:fldChar w:fldCharType="begin"/>
      </w:r>
      <w:r>
        <w:rPr>
          <w:szCs w:val="22"/>
        </w:rPr>
        <w:instrText xml:space="preserve"> HYPERLINK \l _Toc20035 </w:instrText>
      </w:r>
      <w:r>
        <w:rPr>
          <w:szCs w:val="22"/>
        </w:rPr>
        <w:fldChar w:fldCharType="separate"/>
      </w:r>
      <w:r>
        <w:rPr>
          <w:rFonts w:ascii="Times New Roman" w:hAnsi="Times New Roman" w:eastAsia="黑体"/>
          <w:bCs w:val="0"/>
        </w:rPr>
        <w:t>3. 投标人资格要求</w:t>
      </w:r>
      <w:r>
        <w:tab/>
      </w:r>
      <w:r>
        <w:fldChar w:fldCharType="begin"/>
      </w:r>
      <w:r>
        <w:instrText xml:space="preserve"> PAGEREF _Toc20035 \h </w:instrText>
      </w:r>
      <w:r>
        <w:fldChar w:fldCharType="separate"/>
      </w:r>
      <w:r>
        <w:t>4</w:t>
      </w:r>
      <w:r>
        <w:fldChar w:fldCharType="end"/>
      </w:r>
      <w:r>
        <w:rPr>
          <w:szCs w:val="22"/>
        </w:rPr>
        <w:fldChar w:fldCharType="end"/>
      </w:r>
    </w:p>
    <w:p>
      <w:pPr>
        <w:pStyle w:val="52"/>
        <w:tabs>
          <w:tab w:val="right" w:leader="dot" w:pos="9071"/>
          <w:tab w:val="clear" w:pos="8030"/>
        </w:tabs>
        <w:ind w:left="840" w:hanging="420"/>
      </w:pPr>
      <w:r>
        <w:rPr>
          <w:szCs w:val="22"/>
        </w:rPr>
        <w:fldChar w:fldCharType="begin"/>
      </w:r>
      <w:r>
        <w:rPr>
          <w:szCs w:val="22"/>
        </w:rPr>
        <w:instrText xml:space="preserve"> HYPERLINK \l _Toc32076 </w:instrText>
      </w:r>
      <w:r>
        <w:rPr>
          <w:szCs w:val="22"/>
        </w:rPr>
        <w:fldChar w:fldCharType="separate"/>
      </w:r>
      <w:r>
        <w:rPr>
          <w:rFonts w:ascii="Times New Roman" w:hAnsi="Times New Roman" w:eastAsia="黑体"/>
          <w:bCs w:val="0"/>
        </w:rPr>
        <w:t>4. 招标文件的获取</w:t>
      </w:r>
      <w:r>
        <w:tab/>
      </w:r>
      <w:r>
        <w:fldChar w:fldCharType="begin"/>
      </w:r>
      <w:r>
        <w:instrText xml:space="preserve"> PAGEREF _Toc32076 \h </w:instrText>
      </w:r>
      <w:r>
        <w:fldChar w:fldCharType="separate"/>
      </w:r>
      <w:r>
        <w:t>5</w:t>
      </w:r>
      <w:r>
        <w:fldChar w:fldCharType="end"/>
      </w:r>
      <w:r>
        <w:rPr>
          <w:szCs w:val="22"/>
        </w:rPr>
        <w:fldChar w:fldCharType="end"/>
      </w:r>
    </w:p>
    <w:p>
      <w:pPr>
        <w:pStyle w:val="52"/>
        <w:tabs>
          <w:tab w:val="right" w:leader="dot" w:pos="9071"/>
          <w:tab w:val="clear" w:pos="8030"/>
        </w:tabs>
        <w:ind w:left="840" w:hanging="420"/>
      </w:pPr>
      <w:r>
        <w:rPr>
          <w:szCs w:val="22"/>
        </w:rPr>
        <w:fldChar w:fldCharType="begin"/>
      </w:r>
      <w:r>
        <w:rPr>
          <w:szCs w:val="22"/>
        </w:rPr>
        <w:instrText xml:space="preserve"> HYPERLINK \l _Toc27370 </w:instrText>
      </w:r>
      <w:r>
        <w:rPr>
          <w:szCs w:val="22"/>
        </w:rPr>
        <w:fldChar w:fldCharType="separate"/>
      </w:r>
      <w:r>
        <w:rPr>
          <w:rFonts w:hint="eastAsia" w:ascii="Times New Roman" w:hAnsi="Times New Roman" w:eastAsia="黑体"/>
        </w:rPr>
        <w:t xml:space="preserve">5. </w:t>
      </w:r>
      <w:r>
        <w:rPr>
          <w:rFonts w:ascii="Times New Roman" w:hAnsi="Times New Roman" w:eastAsia="黑体"/>
        </w:rPr>
        <w:t>投标截止时间和开标时间</w:t>
      </w:r>
      <w:r>
        <w:tab/>
      </w:r>
      <w:r>
        <w:fldChar w:fldCharType="begin"/>
      </w:r>
      <w:r>
        <w:instrText xml:space="preserve"> PAGEREF _Toc27370 \h </w:instrText>
      </w:r>
      <w:r>
        <w:fldChar w:fldCharType="separate"/>
      </w:r>
      <w:r>
        <w:t>5</w:t>
      </w:r>
      <w:r>
        <w:fldChar w:fldCharType="end"/>
      </w:r>
      <w:r>
        <w:rPr>
          <w:szCs w:val="22"/>
        </w:rPr>
        <w:fldChar w:fldCharType="end"/>
      </w:r>
    </w:p>
    <w:p>
      <w:pPr>
        <w:pStyle w:val="52"/>
        <w:tabs>
          <w:tab w:val="right" w:leader="dot" w:pos="9071"/>
          <w:tab w:val="clear" w:pos="8030"/>
        </w:tabs>
        <w:ind w:left="840" w:hanging="420"/>
      </w:pPr>
      <w:r>
        <w:rPr>
          <w:szCs w:val="22"/>
        </w:rPr>
        <w:fldChar w:fldCharType="begin"/>
      </w:r>
      <w:r>
        <w:rPr>
          <w:szCs w:val="22"/>
        </w:rPr>
        <w:instrText xml:space="preserve"> HYPERLINK \l _Toc11285 </w:instrText>
      </w:r>
      <w:r>
        <w:rPr>
          <w:szCs w:val="22"/>
        </w:rPr>
        <w:fldChar w:fldCharType="separate"/>
      </w:r>
      <w:r>
        <w:rPr>
          <w:rFonts w:ascii="Times New Roman" w:hAnsi="Times New Roman" w:eastAsia="黑体"/>
        </w:rPr>
        <w:t>6. 投标文件递交地点及开标地点</w:t>
      </w:r>
      <w:r>
        <w:tab/>
      </w:r>
      <w:r>
        <w:fldChar w:fldCharType="begin"/>
      </w:r>
      <w:r>
        <w:instrText xml:space="preserve"> PAGEREF _Toc11285 \h </w:instrText>
      </w:r>
      <w:r>
        <w:fldChar w:fldCharType="separate"/>
      </w:r>
      <w:r>
        <w:t>5</w:t>
      </w:r>
      <w:r>
        <w:fldChar w:fldCharType="end"/>
      </w:r>
      <w:r>
        <w:rPr>
          <w:szCs w:val="22"/>
        </w:rPr>
        <w:fldChar w:fldCharType="end"/>
      </w:r>
    </w:p>
    <w:p>
      <w:pPr>
        <w:pStyle w:val="52"/>
        <w:tabs>
          <w:tab w:val="right" w:leader="dot" w:pos="9071"/>
          <w:tab w:val="clear" w:pos="8030"/>
        </w:tabs>
        <w:ind w:left="840" w:hanging="420"/>
      </w:pPr>
      <w:r>
        <w:rPr>
          <w:szCs w:val="22"/>
        </w:rPr>
        <w:fldChar w:fldCharType="begin"/>
      </w:r>
      <w:r>
        <w:rPr>
          <w:szCs w:val="22"/>
        </w:rPr>
        <w:instrText xml:space="preserve"> HYPERLINK \l _Toc7155 </w:instrText>
      </w:r>
      <w:r>
        <w:rPr>
          <w:szCs w:val="22"/>
        </w:rPr>
        <w:fldChar w:fldCharType="separate"/>
      </w:r>
      <w:r>
        <w:rPr>
          <w:rFonts w:ascii="Times New Roman" w:hAnsi="Times New Roman" w:eastAsia="黑体"/>
          <w:bCs w:val="0"/>
        </w:rPr>
        <w:t>7. 发布公告的媒介</w:t>
      </w:r>
      <w:r>
        <w:tab/>
      </w:r>
      <w:r>
        <w:fldChar w:fldCharType="begin"/>
      </w:r>
      <w:r>
        <w:instrText xml:space="preserve"> PAGEREF _Toc7155 \h </w:instrText>
      </w:r>
      <w:r>
        <w:fldChar w:fldCharType="separate"/>
      </w:r>
      <w:r>
        <w:t>5</w:t>
      </w:r>
      <w:r>
        <w:fldChar w:fldCharType="end"/>
      </w:r>
      <w:r>
        <w:rPr>
          <w:szCs w:val="22"/>
        </w:rPr>
        <w:fldChar w:fldCharType="end"/>
      </w:r>
    </w:p>
    <w:p>
      <w:pPr>
        <w:pStyle w:val="52"/>
        <w:tabs>
          <w:tab w:val="right" w:leader="dot" w:pos="9071"/>
          <w:tab w:val="clear" w:pos="8030"/>
        </w:tabs>
        <w:ind w:left="840" w:hanging="420"/>
      </w:pPr>
      <w:r>
        <w:rPr>
          <w:szCs w:val="22"/>
        </w:rPr>
        <w:fldChar w:fldCharType="begin"/>
      </w:r>
      <w:r>
        <w:rPr>
          <w:szCs w:val="22"/>
        </w:rPr>
        <w:instrText xml:space="preserve"> HYPERLINK \l _Toc32235 </w:instrText>
      </w:r>
      <w:r>
        <w:rPr>
          <w:szCs w:val="22"/>
        </w:rPr>
        <w:fldChar w:fldCharType="separate"/>
      </w:r>
      <w:r>
        <w:rPr>
          <w:rFonts w:ascii="Times New Roman" w:hAnsi="Times New Roman" w:eastAsia="黑体"/>
          <w:bCs w:val="0"/>
        </w:rPr>
        <w:t>8. 联系方式</w:t>
      </w:r>
      <w:r>
        <w:tab/>
      </w:r>
      <w:r>
        <w:fldChar w:fldCharType="begin"/>
      </w:r>
      <w:r>
        <w:instrText xml:space="preserve"> PAGEREF _Toc32235 \h </w:instrText>
      </w:r>
      <w:r>
        <w:fldChar w:fldCharType="separate"/>
      </w:r>
      <w:r>
        <w:t>6</w:t>
      </w:r>
      <w:r>
        <w:fldChar w:fldCharType="end"/>
      </w:r>
      <w:r>
        <w:rPr>
          <w:szCs w:val="22"/>
        </w:rPr>
        <w:fldChar w:fldCharType="end"/>
      </w:r>
    </w:p>
    <w:p>
      <w:pPr>
        <w:pStyle w:val="42"/>
        <w:tabs>
          <w:tab w:val="right" w:leader="dot" w:pos="9071"/>
          <w:tab w:val="clear" w:pos="8030"/>
        </w:tabs>
        <w:ind w:left="393" w:hanging="393"/>
      </w:pPr>
      <w:r>
        <w:rPr>
          <w:szCs w:val="22"/>
        </w:rPr>
        <w:fldChar w:fldCharType="begin"/>
      </w:r>
      <w:r>
        <w:rPr>
          <w:szCs w:val="22"/>
        </w:rPr>
        <w:instrText xml:space="preserve"> HYPERLINK \l _Toc8250 </w:instrText>
      </w:r>
      <w:r>
        <w:rPr>
          <w:szCs w:val="22"/>
        </w:rPr>
        <w:fldChar w:fldCharType="separate"/>
      </w:r>
      <w:r>
        <w:rPr>
          <w:rFonts w:ascii="宋体" w:hAnsi="宋体" w:cs="宋体"/>
        </w:rPr>
        <w:t xml:space="preserve">第二章 </w:t>
      </w:r>
      <w:r>
        <w:rPr>
          <w:rFonts w:hint="eastAsia" w:ascii="宋体" w:hAnsi="宋体" w:cs="宋体"/>
        </w:rPr>
        <w:t>投标人须知</w:t>
      </w:r>
      <w:r>
        <w:tab/>
      </w:r>
      <w:r>
        <w:fldChar w:fldCharType="begin"/>
      </w:r>
      <w:r>
        <w:instrText xml:space="preserve"> PAGEREF _Toc8250 \h </w:instrText>
      </w:r>
      <w:r>
        <w:fldChar w:fldCharType="separate"/>
      </w:r>
      <w:r>
        <w:t>7</w:t>
      </w:r>
      <w:r>
        <w:fldChar w:fldCharType="end"/>
      </w:r>
      <w:r>
        <w:rPr>
          <w:szCs w:val="22"/>
        </w:rPr>
        <w:fldChar w:fldCharType="end"/>
      </w:r>
    </w:p>
    <w:p>
      <w:pPr>
        <w:pStyle w:val="52"/>
        <w:tabs>
          <w:tab w:val="right" w:leader="dot" w:pos="9071"/>
          <w:tab w:val="clear" w:pos="8030"/>
        </w:tabs>
        <w:ind w:left="840" w:hanging="420"/>
      </w:pPr>
      <w:r>
        <w:rPr>
          <w:szCs w:val="22"/>
        </w:rPr>
        <w:fldChar w:fldCharType="begin"/>
      </w:r>
      <w:r>
        <w:rPr>
          <w:szCs w:val="22"/>
        </w:rPr>
        <w:instrText xml:space="preserve"> HYPERLINK \l _Toc2517 </w:instrText>
      </w:r>
      <w:r>
        <w:rPr>
          <w:szCs w:val="22"/>
        </w:rPr>
        <w:fldChar w:fldCharType="separate"/>
      </w:r>
      <w:r>
        <w:rPr>
          <w:rFonts w:hint="eastAsia" w:ascii="黑体" w:hAnsi="黑体" w:eastAsia="黑体" w:cs="宋体"/>
        </w:rPr>
        <w:t>投标须知前附表</w:t>
      </w:r>
      <w:r>
        <w:tab/>
      </w:r>
      <w:r>
        <w:fldChar w:fldCharType="begin"/>
      </w:r>
      <w:r>
        <w:instrText xml:space="preserve"> PAGEREF _Toc2517 \h </w:instrText>
      </w:r>
      <w:r>
        <w:fldChar w:fldCharType="separate"/>
      </w:r>
      <w:r>
        <w:t>7</w:t>
      </w:r>
      <w:r>
        <w:fldChar w:fldCharType="end"/>
      </w:r>
      <w:r>
        <w:rPr>
          <w:szCs w:val="22"/>
        </w:rPr>
        <w:fldChar w:fldCharType="end"/>
      </w:r>
    </w:p>
    <w:p>
      <w:pPr>
        <w:pStyle w:val="42"/>
        <w:tabs>
          <w:tab w:val="right" w:leader="dot" w:pos="9071"/>
          <w:tab w:val="clear" w:pos="8030"/>
        </w:tabs>
        <w:ind w:left="393" w:hanging="393"/>
        <w:rPr>
          <w:rFonts w:hint="eastAsia"/>
        </w:rPr>
      </w:pPr>
      <w:r>
        <w:rPr>
          <w:szCs w:val="22"/>
        </w:rPr>
        <w:fldChar w:fldCharType="begin"/>
      </w:r>
      <w:r>
        <w:rPr>
          <w:szCs w:val="22"/>
        </w:rPr>
        <w:instrText xml:space="preserve"> HYPERLINK \l _Toc8160 </w:instrText>
      </w:r>
      <w:r>
        <w:rPr>
          <w:szCs w:val="22"/>
        </w:rPr>
        <w:fldChar w:fldCharType="separate"/>
      </w:r>
      <w:r>
        <w:rPr>
          <w:rFonts w:hint="eastAsia"/>
          <w:szCs w:val="22"/>
        </w:rPr>
        <w:t xml:space="preserve">    </w:t>
      </w:r>
      <w:r>
        <w:rPr>
          <w:rFonts w:hint="eastAsia" w:ascii="宋体" w:hAnsi="宋体" w:cs="宋体"/>
          <w:szCs w:val="21"/>
        </w:rPr>
        <w:t>1.总则</w:t>
      </w:r>
      <w:r>
        <w:tab/>
      </w:r>
      <w:r>
        <w:rPr>
          <w:rFonts w:hint="eastAsia"/>
        </w:rPr>
        <w:t>2</w:t>
      </w:r>
      <w:r>
        <w:rPr>
          <w:szCs w:val="22"/>
        </w:rPr>
        <w:fldChar w:fldCharType="end"/>
      </w:r>
      <w:r>
        <w:rPr>
          <w:rFonts w:hint="eastAsia"/>
          <w:szCs w:val="22"/>
        </w:rPr>
        <w:t>3</w:t>
      </w:r>
    </w:p>
    <w:p>
      <w:pPr>
        <w:pStyle w:val="52"/>
        <w:tabs>
          <w:tab w:val="right" w:leader="dot" w:pos="9071"/>
          <w:tab w:val="clear" w:pos="8030"/>
        </w:tabs>
        <w:ind w:left="840" w:hanging="420"/>
      </w:pPr>
      <w:r>
        <w:rPr>
          <w:szCs w:val="22"/>
        </w:rPr>
        <w:fldChar w:fldCharType="begin"/>
      </w:r>
      <w:r>
        <w:rPr>
          <w:szCs w:val="22"/>
        </w:rPr>
        <w:instrText xml:space="preserve"> HYPERLINK \l _Toc22489 </w:instrText>
      </w:r>
      <w:r>
        <w:rPr>
          <w:szCs w:val="22"/>
        </w:rPr>
        <w:fldChar w:fldCharType="separate"/>
      </w:r>
      <w:r>
        <w:rPr>
          <w:rFonts w:eastAsia="黑体"/>
          <w:bCs w:val="0"/>
          <w:szCs w:val="32"/>
        </w:rPr>
        <w:t xml:space="preserve">2. </w:t>
      </w:r>
      <w:r>
        <w:rPr>
          <w:rFonts w:eastAsia="黑体"/>
          <w:szCs w:val="32"/>
        </w:rPr>
        <w:t>招标文件</w:t>
      </w:r>
      <w:r>
        <w:tab/>
      </w:r>
      <w:r>
        <w:fldChar w:fldCharType="begin"/>
      </w:r>
      <w:r>
        <w:instrText xml:space="preserve"> PAGEREF _Toc22489 \h </w:instrText>
      </w:r>
      <w:r>
        <w:fldChar w:fldCharType="separate"/>
      </w:r>
      <w:r>
        <w:t>25</w:t>
      </w:r>
      <w:r>
        <w:fldChar w:fldCharType="end"/>
      </w:r>
      <w:r>
        <w:rPr>
          <w:szCs w:val="22"/>
        </w:rPr>
        <w:fldChar w:fldCharType="end"/>
      </w:r>
    </w:p>
    <w:p>
      <w:pPr>
        <w:pStyle w:val="52"/>
        <w:tabs>
          <w:tab w:val="right" w:leader="dot" w:pos="9071"/>
          <w:tab w:val="clear" w:pos="8030"/>
        </w:tabs>
        <w:ind w:left="840" w:hanging="420"/>
      </w:pPr>
      <w:r>
        <w:rPr>
          <w:szCs w:val="22"/>
        </w:rPr>
        <w:fldChar w:fldCharType="begin"/>
      </w:r>
      <w:r>
        <w:rPr>
          <w:szCs w:val="22"/>
        </w:rPr>
        <w:instrText xml:space="preserve"> HYPERLINK \l _Toc10643 </w:instrText>
      </w:r>
      <w:r>
        <w:rPr>
          <w:szCs w:val="22"/>
        </w:rPr>
        <w:fldChar w:fldCharType="separate"/>
      </w:r>
      <w:r>
        <w:rPr>
          <w:rFonts w:eastAsia="黑体"/>
          <w:bCs w:val="0"/>
          <w:szCs w:val="32"/>
        </w:rPr>
        <w:t xml:space="preserve">3. </w:t>
      </w:r>
      <w:r>
        <w:rPr>
          <w:rFonts w:eastAsia="黑体"/>
          <w:szCs w:val="32"/>
        </w:rPr>
        <w:t>投标文件</w:t>
      </w:r>
      <w:r>
        <w:tab/>
      </w:r>
      <w:r>
        <w:fldChar w:fldCharType="begin"/>
      </w:r>
      <w:r>
        <w:instrText xml:space="preserve"> PAGEREF _Toc10643 \h </w:instrText>
      </w:r>
      <w:r>
        <w:fldChar w:fldCharType="separate"/>
      </w:r>
      <w:r>
        <w:t>26</w:t>
      </w:r>
      <w:r>
        <w:fldChar w:fldCharType="end"/>
      </w:r>
      <w:r>
        <w:rPr>
          <w:szCs w:val="22"/>
        </w:rPr>
        <w:fldChar w:fldCharType="end"/>
      </w:r>
    </w:p>
    <w:p>
      <w:pPr>
        <w:pStyle w:val="52"/>
        <w:tabs>
          <w:tab w:val="right" w:leader="dot" w:pos="9071"/>
          <w:tab w:val="clear" w:pos="8030"/>
        </w:tabs>
        <w:ind w:left="840" w:hanging="420"/>
      </w:pPr>
      <w:r>
        <w:rPr>
          <w:szCs w:val="22"/>
        </w:rPr>
        <w:fldChar w:fldCharType="begin"/>
      </w:r>
      <w:r>
        <w:rPr>
          <w:szCs w:val="22"/>
        </w:rPr>
        <w:instrText xml:space="preserve"> HYPERLINK \l _Toc20391 </w:instrText>
      </w:r>
      <w:r>
        <w:rPr>
          <w:szCs w:val="22"/>
        </w:rPr>
        <w:fldChar w:fldCharType="separate"/>
      </w:r>
      <w:r>
        <w:rPr>
          <w:rFonts w:eastAsia="黑体"/>
          <w:bCs w:val="0"/>
          <w:szCs w:val="32"/>
        </w:rPr>
        <w:t xml:space="preserve">4. </w:t>
      </w:r>
      <w:r>
        <w:rPr>
          <w:rFonts w:eastAsia="黑体"/>
          <w:szCs w:val="32"/>
        </w:rPr>
        <w:t>投标</w:t>
      </w:r>
      <w:r>
        <w:tab/>
      </w:r>
      <w:r>
        <w:fldChar w:fldCharType="begin"/>
      </w:r>
      <w:r>
        <w:instrText xml:space="preserve"> PAGEREF _Toc20391 \h </w:instrText>
      </w:r>
      <w:r>
        <w:fldChar w:fldCharType="separate"/>
      </w:r>
      <w:r>
        <w:t>29</w:t>
      </w:r>
      <w:r>
        <w:fldChar w:fldCharType="end"/>
      </w:r>
      <w:r>
        <w:rPr>
          <w:szCs w:val="22"/>
        </w:rPr>
        <w:fldChar w:fldCharType="end"/>
      </w:r>
    </w:p>
    <w:p>
      <w:pPr>
        <w:pStyle w:val="52"/>
        <w:tabs>
          <w:tab w:val="right" w:leader="dot" w:pos="9071"/>
          <w:tab w:val="clear" w:pos="8030"/>
        </w:tabs>
        <w:ind w:left="840" w:hanging="420"/>
      </w:pPr>
      <w:r>
        <w:rPr>
          <w:szCs w:val="22"/>
        </w:rPr>
        <w:fldChar w:fldCharType="begin"/>
      </w:r>
      <w:r>
        <w:rPr>
          <w:szCs w:val="22"/>
        </w:rPr>
        <w:instrText xml:space="preserve"> HYPERLINK \l _Toc13074 </w:instrText>
      </w:r>
      <w:r>
        <w:rPr>
          <w:szCs w:val="22"/>
        </w:rPr>
        <w:fldChar w:fldCharType="separate"/>
      </w:r>
      <w:r>
        <w:rPr>
          <w:rFonts w:eastAsia="黑体"/>
          <w:bCs w:val="0"/>
          <w:szCs w:val="32"/>
        </w:rPr>
        <w:t xml:space="preserve">5. </w:t>
      </w:r>
      <w:r>
        <w:rPr>
          <w:rFonts w:eastAsia="黑体"/>
          <w:szCs w:val="32"/>
        </w:rPr>
        <w:t>开标</w:t>
      </w:r>
      <w:r>
        <w:tab/>
      </w:r>
      <w:r>
        <w:fldChar w:fldCharType="begin"/>
      </w:r>
      <w:r>
        <w:instrText xml:space="preserve"> PAGEREF _Toc13074 \h </w:instrText>
      </w:r>
      <w:r>
        <w:fldChar w:fldCharType="separate"/>
      </w:r>
      <w:r>
        <w:t>30</w:t>
      </w:r>
      <w:r>
        <w:fldChar w:fldCharType="end"/>
      </w:r>
      <w:r>
        <w:rPr>
          <w:szCs w:val="22"/>
        </w:rPr>
        <w:fldChar w:fldCharType="end"/>
      </w:r>
    </w:p>
    <w:p>
      <w:pPr>
        <w:pStyle w:val="52"/>
        <w:tabs>
          <w:tab w:val="right" w:leader="dot" w:pos="9071"/>
          <w:tab w:val="clear" w:pos="8030"/>
        </w:tabs>
        <w:ind w:left="840" w:hanging="420"/>
      </w:pPr>
      <w:r>
        <w:rPr>
          <w:szCs w:val="22"/>
        </w:rPr>
        <w:fldChar w:fldCharType="begin"/>
      </w:r>
      <w:r>
        <w:rPr>
          <w:szCs w:val="22"/>
        </w:rPr>
        <w:instrText xml:space="preserve"> HYPERLINK \l _Toc20878 </w:instrText>
      </w:r>
      <w:r>
        <w:rPr>
          <w:szCs w:val="22"/>
        </w:rPr>
        <w:fldChar w:fldCharType="separate"/>
      </w:r>
      <w:r>
        <w:rPr>
          <w:rFonts w:eastAsia="黑体"/>
          <w:bCs w:val="0"/>
          <w:szCs w:val="32"/>
        </w:rPr>
        <w:t xml:space="preserve">6. </w:t>
      </w:r>
      <w:r>
        <w:rPr>
          <w:rFonts w:eastAsia="黑体"/>
          <w:szCs w:val="32"/>
        </w:rPr>
        <w:t>评标</w:t>
      </w:r>
      <w:r>
        <w:tab/>
      </w:r>
      <w:r>
        <w:fldChar w:fldCharType="begin"/>
      </w:r>
      <w:r>
        <w:instrText xml:space="preserve"> PAGEREF _Toc20878 \h </w:instrText>
      </w:r>
      <w:r>
        <w:fldChar w:fldCharType="separate"/>
      </w:r>
      <w:r>
        <w:t>31</w:t>
      </w:r>
      <w:r>
        <w:fldChar w:fldCharType="end"/>
      </w:r>
      <w:r>
        <w:rPr>
          <w:szCs w:val="22"/>
        </w:rPr>
        <w:fldChar w:fldCharType="end"/>
      </w:r>
    </w:p>
    <w:p>
      <w:pPr>
        <w:pStyle w:val="52"/>
        <w:tabs>
          <w:tab w:val="right" w:leader="dot" w:pos="9071"/>
          <w:tab w:val="clear" w:pos="8030"/>
        </w:tabs>
        <w:ind w:left="840" w:hanging="420"/>
      </w:pPr>
      <w:r>
        <w:rPr>
          <w:szCs w:val="22"/>
        </w:rPr>
        <w:fldChar w:fldCharType="begin"/>
      </w:r>
      <w:r>
        <w:rPr>
          <w:szCs w:val="22"/>
        </w:rPr>
        <w:instrText xml:space="preserve"> HYPERLINK \l _Toc32470 </w:instrText>
      </w:r>
      <w:r>
        <w:rPr>
          <w:szCs w:val="22"/>
        </w:rPr>
        <w:fldChar w:fldCharType="separate"/>
      </w:r>
      <w:r>
        <w:rPr>
          <w:rFonts w:eastAsia="黑体"/>
          <w:bCs w:val="0"/>
          <w:szCs w:val="32"/>
        </w:rPr>
        <w:t xml:space="preserve">7. </w:t>
      </w:r>
      <w:r>
        <w:rPr>
          <w:rFonts w:eastAsia="黑体"/>
          <w:szCs w:val="32"/>
        </w:rPr>
        <w:t>合同授予</w:t>
      </w:r>
      <w:r>
        <w:tab/>
      </w:r>
      <w:r>
        <w:fldChar w:fldCharType="begin"/>
      </w:r>
      <w:r>
        <w:instrText xml:space="preserve"> PAGEREF _Toc32470 \h </w:instrText>
      </w:r>
      <w:r>
        <w:fldChar w:fldCharType="separate"/>
      </w:r>
      <w:r>
        <w:t>31</w:t>
      </w:r>
      <w:r>
        <w:fldChar w:fldCharType="end"/>
      </w:r>
      <w:r>
        <w:rPr>
          <w:szCs w:val="22"/>
        </w:rPr>
        <w:fldChar w:fldCharType="end"/>
      </w:r>
    </w:p>
    <w:p>
      <w:pPr>
        <w:pStyle w:val="52"/>
        <w:tabs>
          <w:tab w:val="right" w:leader="dot" w:pos="9071"/>
          <w:tab w:val="clear" w:pos="8030"/>
        </w:tabs>
        <w:ind w:left="840" w:hanging="420"/>
      </w:pPr>
      <w:r>
        <w:rPr>
          <w:szCs w:val="22"/>
        </w:rPr>
        <w:fldChar w:fldCharType="begin"/>
      </w:r>
      <w:r>
        <w:rPr>
          <w:szCs w:val="22"/>
        </w:rPr>
        <w:instrText xml:space="preserve"> HYPERLINK \l _Toc29690 </w:instrText>
      </w:r>
      <w:r>
        <w:rPr>
          <w:szCs w:val="22"/>
        </w:rPr>
        <w:fldChar w:fldCharType="separate"/>
      </w:r>
      <w:r>
        <w:rPr>
          <w:rFonts w:eastAsia="黑体"/>
          <w:bCs w:val="0"/>
          <w:szCs w:val="32"/>
        </w:rPr>
        <w:t xml:space="preserve">8. </w:t>
      </w:r>
      <w:r>
        <w:rPr>
          <w:rFonts w:eastAsia="黑体"/>
          <w:szCs w:val="32"/>
        </w:rPr>
        <w:t>纪律和监督</w:t>
      </w:r>
      <w:r>
        <w:tab/>
      </w:r>
      <w:r>
        <w:fldChar w:fldCharType="begin"/>
      </w:r>
      <w:r>
        <w:instrText xml:space="preserve"> PAGEREF _Toc29690 \h </w:instrText>
      </w:r>
      <w:r>
        <w:fldChar w:fldCharType="separate"/>
      </w:r>
      <w:r>
        <w:t>33</w:t>
      </w:r>
      <w:r>
        <w:fldChar w:fldCharType="end"/>
      </w:r>
      <w:r>
        <w:rPr>
          <w:szCs w:val="22"/>
        </w:rPr>
        <w:fldChar w:fldCharType="end"/>
      </w:r>
    </w:p>
    <w:p>
      <w:pPr>
        <w:pStyle w:val="52"/>
        <w:tabs>
          <w:tab w:val="right" w:leader="dot" w:pos="9071"/>
          <w:tab w:val="clear" w:pos="8030"/>
        </w:tabs>
        <w:ind w:left="840" w:hanging="420"/>
      </w:pPr>
      <w:r>
        <w:rPr>
          <w:szCs w:val="22"/>
        </w:rPr>
        <w:fldChar w:fldCharType="begin"/>
      </w:r>
      <w:r>
        <w:rPr>
          <w:szCs w:val="22"/>
        </w:rPr>
        <w:instrText xml:space="preserve"> HYPERLINK \l _Toc6154 </w:instrText>
      </w:r>
      <w:r>
        <w:rPr>
          <w:szCs w:val="22"/>
        </w:rPr>
        <w:fldChar w:fldCharType="separate"/>
      </w:r>
      <w:r>
        <w:rPr>
          <w:rFonts w:eastAsia="黑体"/>
          <w:bCs w:val="0"/>
          <w:szCs w:val="32"/>
        </w:rPr>
        <w:t xml:space="preserve">9. </w:t>
      </w:r>
      <w:r>
        <w:rPr>
          <w:rFonts w:eastAsia="黑体"/>
          <w:szCs w:val="32"/>
        </w:rPr>
        <w:t>是否采用电子招标投标</w:t>
      </w:r>
      <w:r>
        <w:tab/>
      </w:r>
      <w:r>
        <w:fldChar w:fldCharType="begin"/>
      </w:r>
      <w:r>
        <w:instrText xml:space="preserve"> PAGEREF _Toc6154 \h </w:instrText>
      </w:r>
      <w:r>
        <w:fldChar w:fldCharType="separate"/>
      </w:r>
      <w:r>
        <w:t>33</w:t>
      </w:r>
      <w:r>
        <w:fldChar w:fldCharType="end"/>
      </w:r>
      <w:r>
        <w:rPr>
          <w:szCs w:val="22"/>
        </w:rPr>
        <w:fldChar w:fldCharType="end"/>
      </w:r>
    </w:p>
    <w:p>
      <w:pPr>
        <w:pStyle w:val="52"/>
        <w:tabs>
          <w:tab w:val="right" w:leader="dot" w:pos="9071"/>
          <w:tab w:val="clear" w:pos="8030"/>
        </w:tabs>
        <w:ind w:left="840" w:hanging="420"/>
      </w:pPr>
      <w:r>
        <w:rPr>
          <w:szCs w:val="22"/>
        </w:rPr>
        <w:fldChar w:fldCharType="begin"/>
      </w:r>
      <w:r>
        <w:rPr>
          <w:szCs w:val="22"/>
        </w:rPr>
        <w:instrText xml:space="preserve"> HYPERLINK \l _Toc29203 </w:instrText>
      </w:r>
      <w:r>
        <w:rPr>
          <w:szCs w:val="22"/>
        </w:rPr>
        <w:fldChar w:fldCharType="separate"/>
      </w:r>
      <w:r>
        <w:rPr>
          <w:rFonts w:eastAsia="黑体"/>
          <w:bCs w:val="0"/>
          <w:szCs w:val="32"/>
        </w:rPr>
        <w:t xml:space="preserve">10. </w:t>
      </w:r>
      <w:r>
        <w:rPr>
          <w:rFonts w:eastAsia="黑体"/>
          <w:szCs w:val="32"/>
        </w:rPr>
        <w:t>需要补充的其他内容</w:t>
      </w:r>
      <w:r>
        <w:tab/>
      </w:r>
      <w:r>
        <w:fldChar w:fldCharType="begin"/>
      </w:r>
      <w:r>
        <w:instrText xml:space="preserve"> PAGEREF _Toc29203 \h </w:instrText>
      </w:r>
      <w:r>
        <w:fldChar w:fldCharType="separate"/>
      </w:r>
      <w:r>
        <w:t>34</w:t>
      </w:r>
      <w:r>
        <w:fldChar w:fldCharType="end"/>
      </w:r>
      <w:r>
        <w:rPr>
          <w:szCs w:val="22"/>
        </w:rPr>
        <w:fldChar w:fldCharType="end"/>
      </w:r>
    </w:p>
    <w:p>
      <w:pPr>
        <w:pStyle w:val="42"/>
        <w:tabs>
          <w:tab w:val="right" w:leader="dot" w:pos="9071"/>
          <w:tab w:val="clear" w:pos="8030"/>
        </w:tabs>
        <w:ind w:left="393" w:hanging="393"/>
      </w:pPr>
      <w:r>
        <w:rPr>
          <w:szCs w:val="22"/>
        </w:rPr>
        <w:fldChar w:fldCharType="begin"/>
      </w:r>
      <w:r>
        <w:rPr>
          <w:szCs w:val="22"/>
        </w:rPr>
        <w:instrText xml:space="preserve"> HYPERLINK \l _Toc24375 </w:instrText>
      </w:r>
      <w:r>
        <w:rPr>
          <w:szCs w:val="22"/>
        </w:rPr>
        <w:fldChar w:fldCharType="separate"/>
      </w:r>
      <w:r>
        <w:rPr>
          <w:rFonts w:ascii="宋体" w:hAnsi="宋体" w:cs="宋体"/>
        </w:rPr>
        <w:t xml:space="preserve">第三章 </w:t>
      </w:r>
      <w:r>
        <w:rPr>
          <w:rFonts w:hint="eastAsia" w:ascii="宋体" w:hAnsi="宋体" w:cs="宋体"/>
        </w:rPr>
        <w:t>评标办法（综合评估法）</w:t>
      </w:r>
      <w:r>
        <w:tab/>
      </w:r>
      <w:r>
        <w:fldChar w:fldCharType="begin"/>
      </w:r>
      <w:r>
        <w:instrText xml:space="preserve"> PAGEREF _Toc24375 \h </w:instrText>
      </w:r>
      <w:r>
        <w:fldChar w:fldCharType="separate"/>
      </w:r>
      <w:r>
        <w:t>38</w:t>
      </w:r>
      <w:r>
        <w:fldChar w:fldCharType="end"/>
      </w:r>
      <w:r>
        <w:rPr>
          <w:szCs w:val="22"/>
        </w:rPr>
        <w:fldChar w:fldCharType="end"/>
      </w:r>
    </w:p>
    <w:p>
      <w:pPr>
        <w:pStyle w:val="52"/>
        <w:tabs>
          <w:tab w:val="right" w:leader="dot" w:pos="9071"/>
          <w:tab w:val="clear" w:pos="8030"/>
        </w:tabs>
        <w:ind w:left="840" w:hanging="420"/>
      </w:pPr>
      <w:r>
        <w:rPr>
          <w:szCs w:val="22"/>
        </w:rPr>
        <w:fldChar w:fldCharType="begin"/>
      </w:r>
      <w:r>
        <w:rPr>
          <w:szCs w:val="22"/>
        </w:rPr>
        <w:instrText xml:space="preserve"> HYPERLINK \l _Toc31804 </w:instrText>
      </w:r>
      <w:r>
        <w:rPr>
          <w:szCs w:val="22"/>
        </w:rPr>
        <w:fldChar w:fldCharType="separate"/>
      </w:r>
      <w:r>
        <w:rPr>
          <w:rFonts w:ascii="黑体" w:hAnsi="黑体" w:eastAsia="黑体" w:cs="宋体"/>
        </w:rPr>
        <w:t>评标办法前附表</w:t>
      </w:r>
      <w:r>
        <w:tab/>
      </w:r>
      <w:r>
        <w:fldChar w:fldCharType="begin"/>
      </w:r>
      <w:r>
        <w:instrText xml:space="preserve"> PAGEREF _Toc31804 \h </w:instrText>
      </w:r>
      <w:r>
        <w:fldChar w:fldCharType="separate"/>
      </w:r>
      <w:r>
        <w:t>38</w:t>
      </w:r>
      <w:r>
        <w:fldChar w:fldCharType="end"/>
      </w:r>
      <w:r>
        <w:rPr>
          <w:szCs w:val="22"/>
        </w:rPr>
        <w:fldChar w:fldCharType="end"/>
      </w:r>
    </w:p>
    <w:p>
      <w:pPr>
        <w:pStyle w:val="52"/>
        <w:tabs>
          <w:tab w:val="right" w:leader="dot" w:pos="9071"/>
          <w:tab w:val="clear" w:pos="8030"/>
        </w:tabs>
        <w:ind w:left="840" w:hanging="420"/>
      </w:pPr>
      <w:r>
        <w:rPr>
          <w:szCs w:val="22"/>
        </w:rPr>
        <w:fldChar w:fldCharType="begin"/>
      </w:r>
      <w:r>
        <w:rPr>
          <w:szCs w:val="22"/>
        </w:rPr>
        <w:instrText xml:space="preserve"> HYPERLINK \l _Toc13643 </w:instrText>
      </w:r>
      <w:r>
        <w:rPr>
          <w:szCs w:val="22"/>
        </w:rPr>
        <w:fldChar w:fldCharType="separate"/>
      </w:r>
      <w:r>
        <w:rPr>
          <w:rFonts w:hint="eastAsia" w:eastAsia="黑体"/>
          <w:bCs w:val="0"/>
          <w:szCs w:val="32"/>
        </w:rPr>
        <w:t xml:space="preserve">1. </w:t>
      </w:r>
      <w:r>
        <w:rPr>
          <w:rFonts w:eastAsia="黑体"/>
          <w:szCs w:val="32"/>
        </w:rPr>
        <w:t>评标方法</w:t>
      </w:r>
      <w:r>
        <w:tab/>
      </w:r>
      <w:r>
        <w:fldChar w:fldCharType="begin"/>
      </w:r>
      <w:r>
        <w:instrText xml:space="preserve"> PAGEREF _Toc13643 \h </w:instrText>
      </w:r>
      <w:r>
        <w:fldChar w:fldCharType="separate"/>
      </w:r>
      <w:r>
        <w:t>42</w:t>
      </w:r>
      <w:r>
        <w:fldChar w:fldCharType="end"/>
      </w:r>
      <w:r>
        <w:rPr>
          <w:szCs w:val="22"/>
        </w:rPr>
        <w:fldChar w:fldCharType="end"/>
      </w:r>
    </w:p>
    <w:p>
      <w:pPr>
        <w:pStyle w:val="52"/>
        <w:tabs>
          <w:tab w:val="right" w:leader="dot" w:pos="9071"/>
          <w:tab w:val="clear" w:pos="8030"/>
        </w:tabs>
        <w:ind w:left="840" w:hanging="420"/>
      </w:pPr>
      <w:r>
        <w:rPr>
          <w:szCs w:val="22"/>
        </w:rPr>
        <w:fldChar w:fldCharType="begin"/>
      </w:r>
      <w:r>
        <w:rPr>
          <w:szCs w:val="22"/>
        </w:rPr>
        <w:instrText xml:space="preserve"> HYPERLINK \l _Toc24949 </w:instrText>
      </w:r>
      <w:r>
        <w:rPr>
          <w:szCs w:val="22"/>
        </w:rPr>
        <w:fldChar w:fldCharType="separate"/>
      </w:r>
      <w:r>
        <w:rPr>
          <w:rFonts w:hint="eastAsia" w:eastAsia="黑体"/>
          <w:bCs w:val="0"/>
          <w:szCs w:val="32"/>
        </w:rPr>
        <w:t xml:space="preserve">2. </w:t>
      </w:r>
      <w:r>
        <w:rPr>
          <w:rFonts w:eastAsia="黑体"/>
          <w:szCs w:val="32"/>
        </w:rPr>
        <w:t>评审标准</w:t>
      </w:r>
      <w:r>
        <w:tab/>
      </w:r>
      <w:r>
        <w:fldChar w:fldCharType="begin"/>
      </w:r>
      <w:r>
        <w:instrText xml:space="preserve"> PAGEREF _Toc24949 \h </w:instrText>
      </w:r>
      <w:r>
        <w:fldChar w:fldCharType="separate"/>
      </w:r>
      <w:r>
        <w:t>42</w:t>
      </w:r>
      <w:r>
        <w:fldChar w:fldCharType="end"/>
      </w:r>
      <w:r>
        <w:rPr>
          <w:szCs w:val="22"/>
        </w:rPr>
        <w:fldChar w:fldCharType="end"/>
      </w:r>
    </w:p>
    <w:p>
      <w:pPr>
        <w:pStyle w:val="52"/>
        <w:tabs>
          <w:tab w:val="right" w:leader="dot" w:pos="9071"/>
          <w:tab w:val="clear" w:pos="8030"/>
        </w:tabs>
        <w:ind w:left="840" w:hanging="420"/>
      </w:pPr>
      <w:r>
        <w:rPr>
          <w:szCs w:val="22"/>
        </w:rPr>
        <w:fldChar w:fldCharType="begin"/>
      </w:r>
      <w:r>
        <w:rPr>
          <w:szCs w:val="22"/>
        </w:rPr>
        <w:instrText xml:space="preserve"> HYPERLINK \l _Toc32743 </w:instrText>
      </w:r>
      <w:r>
        <w:rPr>
          <w:szCs w:val="22"/>
        </w:rPr>
        <w:fldChar w:fldCharType="separate"/>
      </w:r>
      <w:r>
        <w:rPr>
          <w:rFonts w:hint="eastAsia" w:eastAsia="黑体"/>
          <w:bCs w:val="0"/>
          <w:szCs w:val="32"/>
        </w:rPr>
        <w:t xml:space="preserve">3. </w:t>
      </w:r>
      <w:r>
        <w:rPr>
          <w:rFonts w:eastAsia="黑体"/>
          <w:szCs w:val="32"/>
        </w:rPr>
        <w:t>评标程序</w:t>
      </w:r>
      <w:r>
        <w:tab/>
      </w:r>
      <w:r>
        <w:fldChar w:fldCharType="begin"/>
      </w:r>
      <w:r>
        <w:instrText xml:space="preserve"> PAGEREF _Toc32743 \h </w:instrText>
      </w:r>
      <w:r>
        <w:fldChar w:fldCharType="separate"/>
      </w:r>
      <w:r>
        <w:t>42</w:t>
      </w:r>
      <w:r>
        <w:fldChar w:fldCharType="end"/>
      </w:r>
      <w:r>
        <w:rPr>
          <w:szCs w:val="22"/>
        </w:rPr>
        <w:fldChar w:fldCharType="end"/>
      </w:r>
    </w:p>
    <w:p>
      <w:pPr>
        <w:pStyle w:val="42"/>
        <w:tabs>
          <w:tab w:val="right" w:leader="dot" w:pos="9071"/>
          <w:tab w:val="clear" w:pos="8030"/>
        </w:tabs>
        <w:ind w:left="393" w:hanging="393"/>
      </w:pPr>
      <w:r>
        <w:rPr>
          <w:szCs w:val="22"/>
        </w:rPr>
        <w:fldChar w:fldCharType="begin"/>
      </w:r>
      <w:r>
        <w:rPr>
          <w:szCs w:val="22"/>
        </w:rPr>
        <w:instrText xml:space="preserve"> HYPERLINK \l _Toc22809 </w:instrText>
      </w:r>
      <w:r>
        <w:rPr>
          <w:szCs w:val="22"/>
        </w:rPr>
        <w:fldChar w:fldCharType="separate"/>
      </w:r>
      <w:r>
        <w:rPr>
          <w:rFonts w:ascii="宋体" w:hAnsi="宋体" w:cs="宋体"/>
        </w:rPr>
        <w:t xml:space="preserve">第四章 </w:t>
      </w:r>
      <w:r>
        <w:rPr>
          <w:rFonts w:hint="eastAsia" w:ascii="宋体" w:hAnsi="宋体" w:cs="宋体"/>
        </w:rPr>
        <w:t>合同条款及格式</w:t>
      </w:r>
      <w:r>
        <w:tab/>
      </w:r>
      <w:r>
        <w:fldChar w:fldCharType="begin"/>
      </w:r>
      <w:r>
        <w:instrText xml:space="preserve"> PAGEREF _Toc22809 \h </w:instrText>
      </w:r>
      <w:r>
        <w:fldChar w:fldCharType="separate"/>
      </w:r>
      <w:r>
        <w:t>45</w:t>
      </w:r>
      <w:r>
        <w:fldChar w:fldCharType="end"/>
      </w:r>
      <w:r>
        <w:rPr>
          <w:szCs w:val="22"/>
        </w:rPr>
        <w:fldChar w:fldCharType="end"/>
      </w:r>
    </w:p>
    <w:p>
      <w:pPr>
        <w:pStyle w:val="52"/>
        <w:tabs>
          <w:tab w:val="right" w:leader="dot" w:pos="9071"/>
          <w:tab w:val="clear" w:pos="8030"/>
        </w:tabs>
        <w:ind w:left="840" w:hanging="420"/>
      </w:pPr>
      <w:r>
        <w:rPr>
          <w:szCs w:val="22"/>
        </w:rPr>
        <w:fldChar w:fldCharType="begin"/>
      </w:r>
      <w:r>
        <w:rPr>
          <w:szCs w:val="22"/>
        </w:rPr>
        <w:instrText xml:space="preserve"> HYPERLINK \l _Toc11636 </w:instrText>
      </w:r>
      <w:r>
        <w:rPr>
          <w:szCs w:val="22"/>
        </w:rPr>
        <w:fldChar w:fldCharType="separate"/>
      </w:r>
      <w:r>
        <w:rPr>
          <w:rFonts w:hint="eastAsia" w:cs="Microsoft JhengHei"/>
          <w:szCs w:val="32"/>
        </w:rPr>
        <w:t>第一部分 合同协议书</w:t>
      </w:r>
      <w:r>
        <w:tab/>
      </w:r>
      <w:r>
        <w:fldChar w:fldCharType="begin"/>
      </w:r>
      <w:r>
        <w:instrText xml:space="preserve"> PAGEREF _Toc11636 \h </w:instrText>
      </w:r>
      <w:r>
        <w:fldChar w:fldCharType="separate"/>
      </w:r>
      <w:r>
        <w:t>45</w:t>
      </w:r>
      <w:r>
        <w:fldChar w:fldCharType="end"/>
      </w:r>
      <w:r>
        <w:rPr>
          <w:szCs w:val="22"/>
        </w:rPr>
        <w:fldChar w:fldCharType="end"/>
      </w:r>
    </w:p>
    <w:p>
      <w:pPr>
        <w:pStyle w:val="52"/>
        <w:tabs>
          <w:tab w:val="right" w:leader="dot" w:pos="9071"/>
          <w:tab w:val="clear" w:pos="8030"/>
        </w:tabs>
        <w:ind w:left="840" w:hanging="420"/>
      </w:pPr>
      <w:r>
        <w:rPr>
          <w:szCs w:val="22"/>
        </w:rPr>
        <w:fldChar w:fldCharType="begin"/>
      </w:r>
      <w:r>
        <w:rPr>
          <w:szCs w:val="22"/>
        </w:rPr>
        <w:instrText xml:space="preserve"> HYPERLINK \l _Toc3568 </w:instrText>
      </w:r>
      <w:r>
        <w:rPr>
          <w:szCs w:val="22"/>
        </w:rPr>
        <w:fldChar w:fldCharType="separate"/>
      </w:r>
      <w:r>
        <w:rPr>
          <w:rFonts w:hint="eastAsia" w:cs="Microsoft JhengHei"/>
          <w:szCs w:val="32"/>
        </w:rPr>
        <w:t>第二部分 中标通知书</w:t>
      </w:r>
      <w:r>
        <w:tab/>
      </w:r>
      <w:r>
        <w:fldChar w:fldCharType="begin"/>
      </w:r>
      <w:r>
        <w:instrText xml:space="preserve"> PAGEREF _Toc3568 \h </w:instrText>
      </w:r>
      <w:r>
        <w:fldChar w:fldCharType="separate"/>
      </w:r>
      <w:r>
        <w:t>46</w:t>
      </w:r>
      <w:r>
        <w:fldChar w:fldCharType="end"/>
      </w:r>
      <w:r>
        <w:rPr>
          <w:szCs w:val="22"/>
        </w:rPr>
        <w:fldChar w:fldCharType="end"/>
      </w:r>
    </w:p>
    <w:p>
      <w:pPr>
        <w:pStyle w:val="52"/>
        <w:tabs>
          <w:tab w:val="right" w:leader="dot" w:pos="9071"/>
          <w:tab w:val="clear" w:pos="8030"/>
        </w:tabs>
        <w:ind w:left="840" w:hanging="420"/>
      </w:pPr>
      <w:r>
        <w:rPr>
          <w:szCs w:val="22"/>
        </w:rPr>
        <w:fldChar w:fldCharType="begin"/>
      </w:r>
      <w:r>
        <w:rPr>
          <w:szCs w:val="22"/>
        </w:rPr>
        <w:instrText xml:space="preserve"> HYPERLINK \l _Toc14346 </w:instrText>
      </w:r>
      <w:r>
        <w:rPr>
          <w:szCs w:val="22"/>
        </w:rPr>
        <w:fldChar w:fldCharType="separate"/>
      </w:r>
      <w:r>
        <w:rPr>
          <w:rFonts w:hint="eastAsia" w:cs="Microsoft JhengHei"/>
          <w:szCs w:val="32"/>
        </w:rPr>
        <w:t>第三部分 合同条款</w:t>
      </w:r>
      <w:r>
        <w:tab/>
      </w:r>
      <w:r>
        <w:fldChar w:fldCharType="begin"/>
      </w:r>
      <w:r>
        <w:instrText xml:space="preserve"> PAGEREF _Toc14346 \h </w:instrText>
      </w:r>
      <w:r>
        <w:fldChar w:fldCharType="separate"/>
      </w:r>
      <w:r>
        <w:t>47</w:t>
      </w:r>
      <w:r>
        <w:fldChar w:fldCharType="end"/>
      </w:r>
      <w:r>
        <w:rPr>
          <w:szCs w:val="22"/>
        </w:rPr>
        <w:fldChar w:fldCharType="end"/>
      </w:r>
    </w:p>
    <w:p>
      <w:pPr>
        <w:pStyle w:val="52"/>
        <w:tabs>
          <w:tab w:val="right" w:leader="dot" w:pos="9071"/>
          <w:tab w:val="clear" w:pos="8030"/>
        </w:tabs>
        <w:ind w:left="840" w:hanging="420"/>
      </w:pPr>
      <w:r>
        <w:rPr>
          <w:szCs w:val="22"/>
        </w:rPr>
        <w:fldChar w:fldCharType="begin"/>
      </w:r>
      <w:r>
        <w:rPr>
          <w:szCs w:val="22"/>
        </w:rPr>
        <w:instrText xml:space="preserve"> HYPERLINK \l _Toc27265 </w:instrText>
      </w:r>
      <w:r>
        <w:rPr>
          <w:szCs w:val="22"/>
        </w:rPr>
        <w:fldChar w:fldCharType="separate"/>
      </w:r>
      <w:r>
        <w:rPr>
          <w:rFonts w:hint="eastAsia" w:cs="Microsoft JhengHei"/>
          <w:szCs w:val="32"/>
        </w:rPr>
        <w:t>第四部分 报价表</w:t>
      </w:r>
      <w:r>
        <w:tab/>
      </w:r>
      <w:r>
        <w:fldChar w:fldCharType="begin"/>
      </w:r>
      <w:r>
        <w:instrText xml:space="preserve"> PAGEREF _Toc27265 \h </w:instrText>
      </w:r>
      <w:r>
        <w:fldChar w:fldCharType="separate"/>
      </w:r>
      <w:r>
        <w:t>54</w:t>
      </w:r>
      <w:r>
        <w:fldChar w:fldCharType="end"/>
      </w:r>
      <w:r>
        <w:rPr>
          <w:szCs w:val="22"/>
        </w:rPr>
        <w:fldChar w:fldCharType="end"/>
      </w:r>
    </w:p>
    <w:p>
      <w:pPr>
        <w:pStyle w:val="52"/>
        <w:tabs>
          <w:tab w:val="right" w:leader="dot" w:pos="9071"/>
          <w:tab w:val="clear" w:pos="8030"/>
        </w:tabs>
        <w:ind w:left="840" w:hanging="420"/>
      </w:pPr>
      <w:r>
        <w:rPr>
          <w:szCs w:val="22"/>
        </w:rPr>
        <w:fldChar w:fldCharType="begin"/>
      </w:r>
      <w:r>
        <w:rPr>
          <w:szCs w:val="22"/>
        </w:rPr>
        <w:instrText xml:space="preserve"> HYPERLINK \l _Toc18043 </w:instrText>
      </w:r>
      <w:r>
        <w:rPr>
          <w:szCs w:val="22"/>
        </w:rPr>
        <w:fldChar w:fldCharType="separate"/>
      </w:r>
      <w:r>
        <w:rPr>
          <w:rFonts w:hint="eastAsia" w:cs="Microsoft JhengHei"/>
          <w:szCs w:val="32"/>
        </w:rPr>
        <w:t>第五部分 用户需求书</w:t>
      </w:r>
      <w:r>
        <w:tab/>
      </w:r>
      <w:r>
        <w:fldChar w:fldCharType="begin"/>
      </w:r>
      <w:r>
        <w:instrText xml:space="preserve"> PAGEREF _Toc18043 \h </w:instrText>
      </w:r>
      <w:r>
        <w:fldChar w:fldCharType="separate"/>
      </w:r>
      <w:r>
        <w:t>55</w:t>
      </w:r>
      <w:r>
        <w:fldChar w:fldCharType="end"/>
      </w:r>
      <w:r>
        <w:rPr>
          <w:szCs w:val="22"/>
        </w:rPr>
        <w:fldChar w:fldCharType="end"/>
      </w:r>
    </w:p>
    <w:p>
      <w:pPr>
        <w:pStyle w:val="52"/>
        <w:tabs>
          <w:tab w:val="right" w:leader="dot" w:pos="9071"/>
          <w:tab w:val="clear" w:pos="8030"/>
        </w:tabs>
        <w:ind w:left="840" w:hanging="420"/>
      </w:pPr>
      <w:r>
        <w:rPr>
          <w:szCs w:val="22"/>
        </w:rPr>
        <w:fldChar w:fldCharType="begin"/>
      </w:r>
      <w:r>
        <w:rPr>
          <w:szCs w:val="22"/>
        </w:rPr>
        <w:instrText xml:space="preserve"> HYPERLINK \l _Toc1888 </w:instrText>
      </w:r>
      <w:r>
        <w:rPr>
          <w:szCs w:val="22"/>
        </w:rPr>
        <w:fldChar w:fldCharType="separate"/>
      </w:r>
      <w:r>
        <w:rPr>
          <w:rFonts w:hint="eastAsia" w:cs="Microsoft JhengHei"/>
          <w:szCs w:val="32"/>
        </w:rPr>
        <w:t>第六部分 合同附件（廉政合同）</w:t>
      </w:r>
      <w:r>
        <w:tab/>
      </w:r>
      <w:r>
        <w:fldChar w:fldCharType="begin"/>
      </w:r>
      <w:r>
        <w:instrText xml:space="preserve"> PAGEREF _Toc1888 \h </w:instrText>
      </w:r>
      <w:r>
        <w:fldChar w:fldCharType="separate"/>
      </w:r>
      <w:r>
        <w:t>56</w:t>
      </w:r>
      <w:r>
        <w:fldChar w:fldCharType="end"/>
      </w:r>
      <w:r>
        <w:rPr>
          <w:szCs w:val="22"/>
        </w:rPr>
        <w:fldChar w:fldCharType="end"/>
      </w:r>
    </w:p>
    <w:p>
      <w:pPr>
        <w:pStyle w:val="42"/>
        <w:tabs>
          <w:tab w:val="right" w:leader="dot" w:pos="9071"/>
          <w:tab w:val="clear" w:pos="8030"/>
        </w:tabs>
        <w:ind w:left="393" w:hanging="393"/>
      </w:pPr>
      <w:r>
        <w:rPr>
          <w:szCs w:val="22"/>
        </w:rPr>
        <w:fldChar w:fldCharType="begin"/>
      </w:r>
      <w:r>
        <w:rPr>
          <w:szCs w:val="22"/>
        </w:rPr>
        <w:instrText xml:space="preserve"> HYPERLINK \l _Toc31080 </w:instrText>
      </w:r>
      <w:r>
        <w:rPr>
          <w:szCs w:val="22"/>
        </w:rPr>
        <w:fldChar w:fldCharType="separate"/>
      </w:r>
      <w:r>
        <w:rPr>
          <w:rFonts w:ascii="宋体" w:hAnsi="宋体" w:cs="宋体"/>
        </w:rPr>
        <w:t xml:space="preserve">第五章 </w:t>
      </w:r>
      <w:r>
        <w:rPr>
          <w:rFonts w:hint="eastAsia" w:ascii="宋体" w:hAnsi="宋体" w:cs="宋体"/>
        </w:rPr>
        <w:t>项目要求</w:t>
      </w:r>
      <w:r>
        <w:tab/>
      </w:r>
      <w:r>
        <w:fldChar w:fldCharType="begin"/>
      </w:r>
      <w:r>
        <w:instrText xml:space="preserve"> PAGEREF _Toc31080 \h </w:instrText>
      </w:r>
      <w:r>
        <w:fldChar w:fldCharType="separate"/>
      </w:r>
      <w:r>
        <w:t>59</w:t>
      </w:r>
      <w:r>
        <w:fldChar w:fldCharType="end"/>
      </w:r>
      <w:r>
        <w:rPr>
          <w:szCs w:val="22"/>
        </w:rPr>
        <w:fldChar w:fldCharType="end"/>
      </w:r>
    </w:p>
    <w:p>
      <w:pPr>
        <w:pStyle w:val="52"/>
        <w:tabs>
          <w:tab w:val="right" w:leader="dot" w:pos="9071"/>
          <w:tab w:val="clear" w:pos="8030"/>
        </w:tabs>
        <w:ind w:left="0" w:leftChars="0" w:firstLine="0" w:firstLineChars="0"/>
      </w:pPr>
      <w:r>
        <w:rPr>
          <w:szCs w:val="22"/>
        </w:rPr>
        <w:fldChar w:fldCharType="begin"/>
      </w:r>
      <w:r>
        <w:rPr>
          <w:szCs w:val="22"/>
        </w:rPr>
        <w:instrText xml:space="preserve"> HYPERLINK \l _Toc11161 </w:instrText>
      </w:r>
      <w:r>
        <w:rPr>
          <w:szCs w:val="22"/>
        </w:rPr>
        <w:fldChar w:fldCharType="separate"/>
      </w:r>
      <w:r>
        <w:rPr>
          <w:rFonts w:hint="eastAsia" w:cs="宋体"/>
          <w:bCs w:val="0"/>
          <w:szCs w:val="21"/>
        </w:rPr>
        <w:t>一、</w:t>
      </w:r>
      <w:r>
        <w:rPr>
          <w:rFonts w:hint="eastAsia" w:cs="宋体"/>
          <w:szCs w:val="21"/>
        </w:rPr>
        <w:t>项目概况</w:t>
      </w:r>
      <w:r>
        <w:tab/>
      </w:r>
      <w:r>
        <w:fldChar w:fldCharType="begin"/>
      </w:r>
      <w:r>
        <w:instrText xml:space="preserve"> PAGEREF _Toc11161 \h </w:instrText>
      </w:r>
      <w:r>
        <w:fldChar w:fldCharType="separate"/>
      </w:r>
      <w:r>
        <w:t>59</w:t>
      </w:r>
      <w:r>
        <w:fldChar w:fldCharType="end"/>
      </w:r>
      <w:r>
        <w:rPr>
          <w:szCs w:val="22"/>
        </w:rPr>
        <w:fldChar w:fldCharType="end"/>
      </w:r>
    </w:p>
    <w:p>
      <w:pPr>
        <w:pStyle w:val="52"/>
        <w:tabs>
          <w:tab w:val="right" w:leader="dot" w:pos="9071"/>
          <w:tab w:val="clear" w:pos="8030"/>
        </w:tabs>
        <w:ind w:left="840" w:hanging="420"/>
      </w:pPr>
      <w:r>
        <w:rPr>
          <w:szCs w:val="22"/>
        </w:rPr>
        <w:fldChar w:fldCharType="begin"/>
      </w:r>
      <w:r>
        <w:rPr>
          <w:szCs w:val="22"/>
        </w:rPr>
        <w:instrText xml:space="preserve"> HYPERLINK \l _Toc28937 </w:instrText>
      </w:r>
      <w:r>
        <w:rPr>
          <w:szCs w:val="22"/>
        </w:rPr>
        <w:fldChar w:fldCharType="separate"/>
      </w:r>
      <w:r>
        <w:rPr>
          <w:rFonts w:hint="eastAsia" w:cs="宋体"/>
          <w:szCs w:val="21"/>
        </w:rPr>
        <w:t>二、项目需求一览表</w:t>
      </w:r>
      <w:r>
        <w:tab/>
      </w:r>
      <w:r>
        <w:fldChar w:fldCharType="begin"/>
      </w:r>
      <w:r>
        <w:instrText xml:space="preserve"> PAGEREF _Toc28937 \h </w:instrText>
      </w:r>
      <w:r>
        <w:fldChar w:fldCharType="separate"/>
      </w:r>
      <w:r>
        <w:t>59</w:t>
      </w:r>
      <w:r>
        <w:fldChar w:fldCharType="end"/>
      </w:r>
      <w:r>
        <w:rPr>
          <w:szCs w:val="22"/>
        </w:rPr>
        <w:fldChar w:fldCharType="end"/>
      </w:r>
    </w:p>
    <w:p>
      <w:pPr>
        <w:pStyle w:val="52"/>
        <w:tabs>
          <w:tab w:val="right" w:leader="dot" w:pos="9071"/>
          <w:tab w:val="clear" w:pos="8030"/>
        </w:tabs>
        <w:ind w:left="840" w:hanging="420"/>
      </w:pPr>
      <w:r>
        <w:rPr>
          <w:szCs w:val="22"/>
        </w:rPr>
        <w:fldChar w:fldCharType="begin"/>
      </w:r>
      <w:r>
        <w:rPr>
          <w:szCs w:val="22"/>
        </w:rPr>
        <w:instrText xml:space="preserve"> HYPERLINK \l _Toc26141 </w:instrText>
      </w:r>
      <w:r>
        <w:rPr>
          <w:szCs w:val="22"/>
        </w:rPr>
        <w:fldChar w:fldCharType="separate"/>
      </w:r>
      <w:r>
        <w:rPr>
          <w:rFonts w:hint="eastAsia" w:cs="宋体"/>
          <w:szCs w:val="21"/>
        </w:rPr>
        <w:t>三、技术要求</w:t>
      </w:r>
      <w:r>
        <w:tab/>
      </w:r>
      <w:r>
        <w:fldChar w:fldCharType="begin"/>
      </w:r>
      <w:r>
        <w:instrText xml:space="preserve"> PAGEREF _Toc26141 \h </w:instrText>
      </w:r>
      <w:r>
        <w:fldChar w:fldCharType="separate"/>
      </w:r>
      <w:r>
        <w:t>60</w:t>
      </w:r>
      <w:r>
        <w:fldChar w:fldCharType="end"/>
      </w:r>
      <w:r>
        <w:rPr>
          <w:szCs w:val="22"/>
        </w:rPr>
        <w:fldChar w:fldCharType="end"/>
      </w:r>
    </w:p>
    <w:p>
      <w:pPr>
        <w:pStyle w:val="52"/>
        <w:tabs>
          <w:tab w:val="right" w:leader="dot" w:pos="9071"/>
          <w:tab w:val="clear" w:pos="8030"/>
        </w:tabs>
        <w:ind w:left="840" w:hanging="420"/>
      </w:pPr>
      <w:r>
        <w:rPr>
          <w:szCs w:val="22"/>
        </w:rPr>
        <w:fldChar w:fldCharType="begin"/>
      </w:r>
      <w:r>
        <w:rPr>
          <w:szCs w:val="22"/>
        </w:rPr>
        <w:instrText xml:space="preserve"> HYPERLINK \l _Toc9032 </w:instrText>
      </w:r>
      <w:r>
        <w:rPr>
          <w:szCs w:val="22"/>
        </w:rPr>
        <w:fldChar w:fldCharType="separate"/>
      </w:r>
      <w:r>
        <w:rPr>
          <w:rFonts w:hint="eastAsia" w:cs="宋体"/>
          <w:szCs w:val="21"/>
        </w:rPr>
        <w:t>四、一般要求及关键技术参数</w:t>
      </w:r>
      <w:r>
        <w:tab/>
      </w:r>
      <w:r>
        <w:fldChar w:fldCharType="begin"/>
      </w:r>
      <w:r>
        <w:instrText xml:space="preserve"> PAGEREF _Toc9032 \h </w:instrText>
      </w:r>
      <w:r>
        <w:fldChar w:fldCharType="separate"/>
      </w:r>
      <w:r>
        <w:t>62</w:t>
      </w:r>
      <w:r>
        <w:fldChar w:fldCharType="end"/>
      </w:r>
      <w:r>
        <w:rPr>
          <w:szCs w:val="22"/>
        </w:rPr>
        <w:fldChar w:fldCharType="end"/>
      </w:r>
    </w:p>
    <w:p>
      <w:pPr>
        <w:pStyle w:val="52"/>
        <w:tabs>
          <w:tab w:val="right" w:leader="dot" w:pos="9071"/>
          <w:tab w:val="clear" w:pos="8030"/>
        </w:tabs>
        <w:ind w:left="840" w:hanging="420"/>
      </w:pPr>
      <w:r>
        <w:rPr>
          <w:szCs w:val="22"/>
        </w:rPr>
        <w:fldChar w:fldCharType="begin"/>
      </w:r>
      <w:r>
        <w:rPr>
          <w:szCs w:val="22"/>
        </w:rPr>
        <w:instrText xml:space="preserve"> HYPERLINK \l _Toc30660 </w:instrText>
      </w:r>
      <w:r>
        <w:rPr>
          <w:szCs w:val="22"/>
        </w:rPr>
        <w:fldChar w:fldCharType="separate"/>
      </w:r>
      <w:r>
        <w:rPr>
          <w:rFonts w:hint="eastAsia" w:cs="宋体"/>
          <w:szCs w:val="21"/>
        </w:rPr>
        <w:t>五、施工安装技术要求</w:t>
      </w:r>
      <w:r>
        <w:tab/>
      </w:r>
      <w:r>
        <w:fldChar w:fldCharType="begin"/>
      </w:r>
      <w:r>
        <w:instrText xml:space="preserve"> PAGEREF _Toc30660 \h </w:instrText>
      </w:r>
      <w:r>
        <w:fldChar w:fldCharType="separate"/>
      </w:r>
      <w:r>
        <w:t>65</w:t>
      </w:r>
      <w:r>
        <w:fldChar w:fldCharType="end"/>
      </w:r>
      <w:r>
        <w:rPr>
          <w:szCs w:val="22"/>
        </w:rPr>
        <w:fldChar w:fldCharType="end"/>
      </w:r>
    </w:p>
    <w:p>
      <w:pPr>
        <w:pStyle w:val="52"/>
        <w:tabs>
          <w:tab w:val="right" w:leader="dot" w:pos="9071"/>
          <w:tab w:val="clear" w:pos="8030"/>
        </w:tabs>
        <w:ind w:left="840" w:hanging="420"/>
      </w:pPr>
      <w:r>
        <w:rPr>
          <w:szCs w:val="22"/>
        </w:rPr>
        <w:fldChar w:fldCharType="begin"/>
      </w:r>
      <w:r>
        <w:rPr>
          <w:szCs w:val="22"/>
        </w:rPr>
        <w:instrText xml:space="preserve"> HYPERLINK \l _Toc29386 </w:instrText>
      </w:r>
      <w:r>
        <w:rPr>
          <w:szCs w:val="22"/>
        </w:rPr>
        <w:fldChar w:fldCharType="separate"/>
      </w:r>
      <w:r>
        <w:rPr>
          <w:rFonts w:hint="eastAsia" w:cs="宋体"/>
          <w:szCs w:val="21"/>
        </w:rPr>
        <w:t>六、质保期</w:t>
      </w:r>
      <w:r>
        <w:tab/>
      </w:r>
      <w:r>
        <w:fldChar w:fldCharType="begin"/>
      </w:r>
      <w:r>
        <w:instrText xml:space="preserve"> PAGEREF _Toc29386 \h </w:instrText>
      </w:r>
      <w:r>
        <w:fldChar w:fldCharType="separate"/>
      </w:r>
      <w:r>
        <w:t>67</w:t>
      </w:r>
      <w:r>
        <w:fldChar w:fldCharType="end"/>
      </w:r>
      <w:r>
        <w:rPr>
          <w:szCs w:val="22"/>
        </w:rPr>
        <w:fldChar w:fldCharType="end"/>
      </w:r>
    </w:p>
    <w:p>
      <w:pPr>
        <w:pStyle w:val="52"/>
        <w:tabs>
          <w:tab w:val="right" w:leader="dot" w:pos="9071"/>
          <w:tab w:val="clear" w:pos="8030"/>
        </w:tabs>
        <w:ind w:left="840" w:hanging="420"/>
      </w:pPr>
      <w:r>
        <w:rPr>
          <w:szCs w:val="22"/>
        </w:rPr>
        <w:fldChar w:fldCharType="begin"/>
      </w:r>
      <w:r>
        <w:rPr>
          <w:szCs w:val="22"/>
        </w:rPr>
        <w:instrText xml:space="preserve"> HYPERLINK \l _Toc758 </w:instrText>
      </w:r>
      <w:r>
        <w:rPr>
          <w:szCs w:val="22"/>
        </w:rPr>
        <w:fldChar w:fldCharType="separate"/>
      </w:r>
      <w:r>
        <w:rPr>
          <w:rFonts w:hint="eastAsia" w:cs="宋体"/>
          <w:szCs w:val="21"/>
        </w:rPr>
        <w:t>七、项目培训</w:t>
      </w:r>
      <w:r>
        <w:tab/>
      </w:r>
      <w:r>
        <w:fldChar w:fldCharType="begin"/>
      </w:r>
      <w:r>
        <w:instrText xml:space="preserve"> PAGEREF _Toc758 \h </w:instrText>
      </w:r>
      <w:r>
        <w:fldChar w:fldCharType="separate"/>
      </w:r>
      <w:r>
        <w:t>68</w:t>
      </w:r>
      <w:r>
        <w:fldChar w:fldCharType="end"/>
      </w:r>
      <w:r>
        <w:rPr>
          <w:szCs w:val="22"/>
        </w:rPr>
        <w:fldChar w:fldCharType="end"/>
      </w:r>
    </w:p>
    <w:p>
      <w:pPr>
        <w:pStyle w:val="52"/>
        <w:tabs>
          <w:tab w:val="right" w:leader="dot" w:pos="9071"/>
          <w:tab w:val="clear" w:pos="8030"/>
        </w:tabs>
        <w:ind w:left="840" w:hanging="420"/>
      </w:pPr>
      <w:r>
        <w:rPr>
          <w:szCs w:val="22"/>
        </w:rPr>
        <w:fldChar w:fldCharType="begin"/>
      </w:r>
      <w:r>
        <w:rPr>
          <w:szCs w:val="22"/>
        </w:rPr>
        <w:instrText xml:space="preserve"> HYPERLINK \l _Toc20133 </w:instrText>
      </w:r>
      <w:r>
        <w:rPr>
          <w:szCs w:val="22"/>
        </w:rPr>
        <w:fldChar w:fldCharType="separate"/>
      </w:r>
      <w:r>
        <w:rPr>
          <w:rFonts w:hint="eastAsia" w:cs="宋体"/>
          <w:szCs w:val="21"/>
        </w:rPr>
        <w:t>八、项目验收</w:t>
      </w:r>
      <w:r>
        <w:tab/>
      </w:r>
      <w:r>
        <w:fldChar w:fldCharType="begin"/>
      </w:r>
      <w:r>
        <w:instrText xml:space="preserve"> PAGEREF _Toc20133 \h </w:instrText>
      </w:r>
      <w:r>
        <w:fldChar w:fldCharType="separate"/>
      </w:r>
      <w:r>
        <w:t>69</w:t>
      </w:r>
      <w:r>
        <w:fldChar w:fldCharType="end"/>
      </w:r>
      <w:r>
        <w:rPr>
          <w:szCs w:val="22"/>
        </w:rPr>
        <w:fldChar w:fldCharType="end"/>
      </w:r>
    </w:p>
    <w:p>
      <w:pPr>
        <w:pStyle w:val="42"/>
        <w:tabs>
          <w:tab w:val="right" w:leader="dot" w:pos="9071"/>
          <w:tab w:val="clear" w:pos="8030"/>
        </w:tabs>
        <w:ind w:left="393" w:hanging="393"/>
      </w:pPr>
      <w:r>
        <w:rPr>
          <w:szCs w:val="22"/>
        </w:rPr>
        <w:fldChar w:fldCharType="begin"/>
      </w:r>
      <w:r>
        <w:rPr>
          <w:szCs w:val="22"/>
        </w:rPr>
        <w:instrText xml:space="preserve"> HYPERLINK \l _Toc14130 </w:instrText>
      </w:r>
      <w:r>
        <w:rPr>
          <w:szCs w:val="22"/>
        </w:rPr>
        <w:fldChar w:fldCharType="separate"/>
      </w:r>
      <w:r>
        <w:t>第六章 投标文件格式</w:t>
      </w:r>
      <w:r>
        <w:tab/>
      </w:r>
      <w:r>
        <w:fldChar w:fldCharType="begin"/>
      </w:r>
      <w:r>
        <w:instrText xml:space="preserve"> PAGEREF _Toc14130 \h </w:instrText>
      </w:r>
      <w:r>
        <w:fldChar w:fldCharType="separate"/>
      </w:r>
      <w:r>
        <w:t>71</w:t>
      </w:r>
      <w:r>
        <w:fldChar w:fldCharType="end"/>
      </w:r>
      <w:r>
        <w:rPr>
          <w:szCs w:val="22"/>
        </w:rPr>
        <w:fldChar w:fldCharType="end"/>
      </w:r>
    </w:p>
    <w:p>
      <w:pPr>
        <w:pStyle w:val="52"/>
        <w:tabs>
          <w:tab w:val="right" w:leader="dot" w:pos="9071"/>
          <w:tab w:val="clear" w:pos="8030"/>
        </w:tabs>
        <w:ind w:left="840" w:hanging="420"/>
      </w:pPr>
      <w:r>
        <w:rPr>
          <w:szCs w:val="22"/>
        </w:rPr>
        <w:fldChar w:fldCharType="begin"/>
      </w:r>
      <w:r>
        <w:rPr>
          <w:szCs w:val="22"/>
        </w:rPr>
        <w:instrText xml:space="preserve"> HYPERLINK \l _Toc6702 </w:instrText>
      </w:r>
      <w:r>
        <w:rPr>
          <w:szCs w:val="22"/>
        </w:rPr>
        <w:fldChar w:fldCharType="separate"/>
      </w:r>
      <w:r>
        <w:rPr>
          <w:rFonts w:ascii="Times New Roman" w:hAnsi="Times New Roman"/>
        </w:rPr>
        <w:t>A.《商务（含资格审查）部分》册投标文件格式</w:t>
      </w:r>
      <w:r>
        <w:tab/>
      </w:r>
      <w:r>
        <w:fldChar w:fldCharType="begin"/>
      </w:r>
      <w:r>
        <w:instrText xml:space="preserve"> PAGEREF _Toc6702 \h </w:instrText>
      </w:r>
      <w:r>
        <w:fldChar w:fldCharType="separate"/>
      </w:r>
      <w:r>
        <w:t>73</w:t>
      </w:r>
      <w:r>
        <w:fldChar w:fldCharType="end"/>
      </w:r>
      <w:r>
        <w:rPr>
          <w:szCs w:val="22"/>
        </w:rPr>
        <w:fldChar w:fldCharType="end"/>
      </w:r>
    </w:p>
    <w:p>
      <w:pPr>
        <w:pStyle w:val="52"/>
        <w:tabs>
          <w:tab w:val="right" w:leader="dot" w:pos="9071"/>
          <w:tab w:val="clear" w:pos="8030"/>
        </w:tabs>
        <w:ind w:left="840" w:hanging="420"/>
      </w:pPr>
      <w:r>
        <w:rPr>
          <w:szCs w:val="22"/>
        </w:rPr>
        <w:fldChar w:fldCharType="begin"/>
      </w:r>
      <w:r>
        <w:rPr>
          <w:szCs w:val="22"/>
        </w:rPr>
        <w:instrText xml:space="preserve"> HYPERLINK \l _Toc23805 </w:instrText>
      </w:r>
      <w:r>
        <w:rPr>
          <w:szCs w:val="22"/>
        </w:rPr>
        <w:fldChar w:fldCharType="separate"/>
      </w:r>
      <w:r>
        <w:rPr>
          <w:rFonts w:ascii="Times New Roman" w:hAnsi="Times New Roman"/>
        </w:rPr>
        <w:t>B.《技术部分》册投标文件格式</w:t>
      </w:r>
      <w:r>
        <w:tab/>
      </w:r>
      <w:r>
        <w:fldChar w:fldCharType="begin"/>
      </w:r>
      <w:r>
        <w:instrText xml:space="preserve"> PAGEREF _Toc23805 \h </w:instrText>
      </w:r>
      <w:r>
        <w:fldChar w:fldCharType="separate"/>
      </w:r>
      <w:r>
        <w:t>84</w:t>
      </w:r>
      <w:r>
        <w:fldChar w:fldCharType="end"/>
      </w:r>
      <w:r>
        <w:rPr>
          <w:szCs w:val="22"/>
        </w:rPr>
        <w:fldChar w:fldCharType="end"/>
      </w:r>
    </w:p>
    <w:p>
      <w:pPr>
        <w:pStyle w:val="52"/>
        <w:tabs>
          <w:tab w:val="right" w:leader="dot" w:pos="9071"/>
          <w:tab w:val="clear" w:pos="8030"/>
        </w:tabs>
        <w:ind w:left="840" w:hanging="420"/>
      </w:pPr>
      <w:r>
        <w:rPr>
          <w:szCs w:val="22"/>
        </w:rPr>
        <w:fldChar w:fldCharType="begin"/>
      </w:r>
      <w:r>
        <w:rPr>
          <w:szCs w:val="22"/>
        </w:rPr>
        <w:instrText xml:space="preserve"> HYPERLINK \l _Toc19514 </w:instrText>
      </w:r>
      <w:r>
        <w:rPr>
          <w:szCs w:val="22"/>
        </w:rPr>
        <w:fldChar w:fldCharType="separate"/>
      </w:r>
      <w:r>
        <w:rPr>
          <w:rFonts w:ascii="Times New Roman" w:hAnsi="Times New Roman"/>
        </w:rPr>
        <w:t>C.《价格部分》册投标文件格式</w:t>
      </w:r>
      <w:r>
        <w:tab/>
      </w:r>
      <w:r>
        <w:fldChar w:fldCharType="begin"/>
      </w:r>
      <w:r>
        <w:instrText xml:space="preserve"> PAGEREF _Toc19514 \h </w:instrText>
      </w:r>
      <w:r>
        <w:fldChar w:fldCharType="separate"/>
      </w:r>
      <w:r>
        <w:t>91</w:t>
      </w:r>
      <w:r>
        <w:fldChar w:fldCharType="end"/>
      </w:r>
      <w:r>
        <w:rPr>
          <w:szCs w:val="22"/>
        </w:rPr>
        <w:fldChar w:fldCharType="end"/>
      </w:r>
    </w:p>
    <w:p>
      <w:pPr>
        <w:pStyle w:val="30"/>
        <w:tabs>
          <w:tab w:val="right" w:leader="dot" w:pos="9071"/>
        </w:tabs>
        <w:ind w:left="0" w:leftChars="0" w:firstLine="0" w:firstLineChars="0"/>
        <w:rPr>
          <w:sz w:val="22"/>
          <w:szCs w:val="22"/>
          <w:lang/>
        </w:rPr>
      </w:pPr>
      <w:r>
        <w:rPr>
          <w:szCs w:val="22"/>
        </w:rPr>
        <w:fldChar w:fldCharType="end"/>
      </w:r>
    </w:p>
    <w:p>
      <w:pPr>
        <w:pStyle w:val="30"/>
        <w:tabs>
          <w:tab w:val="right" w:leader="dot" w:pos="9071"/>
        </w:tabs>
        <w:ind w:left="852" w:leftChars="219"/>
        <w:rPr>
          <w:rFonts w:hint="eastAsia" w:cs="宋体"/>
          <w:lang/>
        </w:rPr>
      </w:pPr>
    </w:p>
    <w:p>
      <w:pPr>
        <w:pStyle w:val="42"/>
        <w:tabs>
          <w:tab w:val="left" w:pos="902"/>
          <w:tab w:val="right" w:leader="dot" w:pos="9356"/>
          <w:tab w:val="clear" w:pos="8030"/>
        </w:tabs>
        <w:spacing w:line="360" w:lineRule="auto"/>
        <w:ind w:left="393" w:hanging="393"/>
        <w:rPr>
          <w:rFonts w:hint="eastAsia" w:ascii="宋体" w:hAnsi="宋体" w:cs="宋体"/>
          <w:szCs w:val="21"/>
        </w:rPr>
      </w:pPr>
    </w:p>
    <w:p>
      <w:pPr>
        <w:rPr>
          <w:rFonts w:ascii="宋体" w:hAnsi="宋体" w:eastAsia="宋体"/>
          <w:szCs w:val="21"/>
        </w:rPr>
      </w:pPr>
      <w:r>
        <w:rPr>
          <w:b/>
          <w:bCs/>
          <w:lang w:val="zh-CN"/>
        </w:rPr>
        <w:br w:type="page"/>
      </w:r>
    </w:p>
    <w:p>
      <w:pPr>
        <w:spacing w:line="10" w:lineRule="exact"/>
        <w:rPr>
          <w:sz w:val="20"/>
          <w:szCs w:val="20"/>
        </w:rPr>
      </w:pPr>
      <w:bookmarkStart w:id="20" w:name="page8"/>
      <w:bookmarkEnd w:id="20"/>
      <w:bookmarkStart w:id="21" w:name="page9"/>
      <w:bookmarkEnd w:id="21"/>
    </w:p>
    <w:p>
      <w:pPr>
        <w:pStyle w:val="2"/>
        <w:numPr>
          <w:ilvl w:val="0"/>
          <w:numId w:val="2"/>
        </w:numPr>
        <w:tabs>
          <w:tab w:val="left" w:pos="1701"/>
        </w:tabs>
        <w:ind w:left="0" w:firstLine="0"/>
        <w:rPr>
          <w:rFonts w:hint="eastAsia" w:ascii="宋体" w:hAnsi="宋体" w:cs="宋体"/>
        </w:rPr>
      </w:pPr>
      <w:bookmarkStart w:id="22" w:name="_Toc4520"/>
      <w:bookmarkStart w:id="23" w:name="_Toc24525"/>
      <w:bookmarkStart w:id="24" w:name="_Toc20583"/>
      <w:bookmarkStart w:id="25" w:name="_Toc32680"/>
      <w:bookmarkStart w:id="26" w:name="_Toc23652"/>
      <w:bookmarkStart w:id="27" w:name="_Toc22977"/>
      <w:bookmarkStart w:id="28" w:name="_Toc514430344"/>
      <w:bookmarkStart w:id="29" w:name="_Toc27856"/>
      <w:bookmarkStart w:id="30" w:name="_Toc13299"/>
      <w:bookmarkStart w:id="31" w:name="_Toc15785"/>
      <w:bookmarkStart w:id="32" w:name="_Toc25902"/>
      <w:bookmarkStart w:id="33" w:name="_Toc16345"/>
      <w:bookmarkStart w:id="34" w:name="_Toc19959"/>
      <w:bookmarkStart w:id="35" w:name="_Toc26405"/>
      <w:bookmarkStart w:id="36" w:name="_Toc13224"/>
      <w:r>
        <w:rPr>
          <w:rFonts w:ascii="宋体" w:hAnsi="宋体" w:cs="宋体"/>
        </w:rPr>
        <w:t>招标公告</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pPr>
        <w:spacing w:line="360" w:lineRule="auto"/>
        <w:jc w:val="center"/>
        <w:rPr>
          <w:szCs w:val="21"/>
        </w:rPr>
      </w:pPr>
    </w:p>
    <w:p>
      <w:pPr>
        <w:spacing w:line="360" w:lineRule="auto"/>
        <w:jc w:val="center"/>
        <w:rPr>
          <w:rFonts w:eastAsia="黑体"/>
          <w:sz w:val="28"/>
          <w:szCs w:val="28"/>
        </w:rPr>
      </w:pPr>
      <w:r>
        <w:rPr>
          <w:rFonts w:hint="eastAsia" w:eastAsia="黑体"/>
          <w:sz w:val="28"/>
          <w:szCs w:val="28"/>
        </w:rPr>
        <w:t>南通轨道交通集团有限公司运营分公司2024年1、2号线接触网车辆段增设可视化接地装置采购项目</w:t>
      </w:r>
      <w:r>
        <w:rPr>
          <w:rFonts w:eastAsia="黑体"/>
          <w:sz w:val="28"/>
          <w:szCs w:val="28"/>
        </w:rPr>
        <w:t>招标公告</w:t>
      </w:r>
    </w:p>
    <w:p>
      <w:pPr>
        <w:pStyle w:val="3"/>
        <w:numPr>
          <w:ilvl w:val="0"/>
          <w:numId w:val="3"/>
        </w:numPr>
        <w:tabs>
          <w:tab w:val="left" w:pos="426"/>
        </w:tabs>
        <w:spacing w:before="151" w:beforeLines="50" w:after="151" w:afterLines="50" w:line="360" w:lineRule="auto"/>
        <w:ind w:left="0" w:firstLine="0"/>
        <w:rPr>
          <w:rFonts w:ascii="Times New Roman" w:hAnsi="Times New Roman" w:eastAsia="Times New Roman"/>
          <w:bCs w:val="0"/>
        </w:rPr>
      </w:pPr>
      <w:bookmarkStart w:id="37" w:name="_Toc20523"/>
      <w:bookmarkStart w:id="38" w:name="_Toc514430345"/>
      <w:bookmarkStart w:id="39" w:name="_Toc18291"/>
      <w:bookmarkStart w:id="40" w:name="_Toc22062"/>
      <w:bookmarkStart w:id="41" w:name="_Toc9272"/>
      <w:bookmarkStart w:id="42" w:name="_Toc9924"/>
      <w:bookmarkStart w:id="43" w:name="_Toc17788"/>
      <w:bookmarkStart w:id="44" w:name="_Toc20043"/>
      <w:bookmarkStart w:id="45" w:name="_Toc12455"/>
      <w:bookmarkStart w:id="46" w:name="_Toc9368"/>
      <w:bookmarkStart w:id="47" w:name="_Toc7575"/>
      <w:bookmarkStart w:id="48" w:name="_Toc3768"/>
      <w:bookmarkStart w:id="49" w:name="_Toc14772"/>
      <w:bookmarkStart w:id="50" w:name="_Toc2152"/>
      <w:bookmarkStart w:id="51" w:name="_Toc21177"/>
      <w:r>
        <w:rPr>
          <w:rFonts w:ascii="Times New Roman" w:hAnsi="Times New Roman" w:eastAsia="黑体"/>
          <w:bCs w:val="0"/>
        </w:rPr>
        <w:t>招标条件</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pPr>
        <w:spacing w:line="360" w:lineRule="auto"/>
        <w:ind w:firstLine="420" w:firstLineChars="200"/>
        <w:rPr>
          <w:rFonts w:eastAsia="宋体"/>
          <w:szCs w:val="21"/>
        </w:rPr>
      </w:pPr>
      <w:r>
        <w:rPr>
          <w:rFonts w:hint="eastAsia" w:eastAsia="宋体"/>
          <w:szCs w:val="21"/>
          <w:u w:val="single"/>
        </w:rPr>
        <w:t>南通轨道交通集团有限公司运营分公司2024年1、2号线接触网车辆段增设可视化接地装置采购项目</w:t>
      </w:r>
      <w:r>
        <w:rPr>
          <w:rFonts w:eastAsia="宋体"/>
          <w:szCs w:val="21"/>
        </w:rPr>
        <w:t>已</w:t>
      </w:r>
      <w:r>
        <w:rPr>
          <w:rFonts w:hint="eastAsia" w:eastAsia="宋体"/>
          <w:szCs w:val="21"/>
        </w:rPr>
        <w:t>批准实施</w:t>
      </w:r>
      <w:r>
        <w:rPr>
          <w:rFonts w:eastAsia="宋体"/>
          <w:szCs w:val="21"/>
        </w:rPr>
        <w:t>，</w:t>
      </w:r>
      <w:r>
        <w:rPr>
          <w:rFonts w:hint="eastAsia" w:eastAsia="宋体"/>
          <w:szCs w:val="21"/>
        </w:rPr>
        <w:t>项目业主为</w:t>
      </w:r>
      <w:r>
        <w:rPr>
          <w:rFonts w:hint="eastAsia" w:eastAsia="宋体"/>
          <w:szCs w:val="21"/>
          <w:u w:val="single"/>
        </w:rPr>
        <w:t>南通轨道交通集团有限公司运营分公司</w:t>
      </w:r>
      <w:r>
        <w:rPr>
          <w:rFonts w:hint="eastAsia" w:eastAsia="宋体"/>
          <w:szCs w:val="21"/>
        </w:rPr>
        <w:t>，资金来源为</w:t>
      </w:r>
      <w:r>
        <w:rPr>
          <w:rFonts w:hint="eastAsia" w:eastAsia="宋体"/>
          <w:szCs w:val="21"/>
          <w:u w:val="single"/>
        </w:rPr>
        <w:t>企业自筹</w:t>
      </w:r>
      <w:r>
        <w:rPr>
          <w:rFonts w:hint="eastAsia" w:eastAsia="宋体"/>
          <w:szCs w:val="21"/>
        </w:rPr>
        <w:t>，招标人为</w:t>
      </w:r>
      <w:r>
        <w:rPr>
          <w:rFonts w:hint="eastAsia" w:eastAsia="宋体"/>
          <w:szCs w:val="21"/>
          <w:u w:val="single"/>
        </w:rPr>
        <w:t>南通轨道交通集团有限公司运营分公司</w:t>
      </w:r>
      <w:r>
        <w:rPr>
          <w:rFonts w:hint="eastAsia" w:eastAsia="宋体"/>
          <w:szCs w:val="21"/>
        </w:rPr>
        <w:t>。项目已具备招标条件，现对</w:t>
      </w:r>
      <w:r>
        <w:rPr>
          <w:rFonts w:hint="eastAsia" w:eastAsia="宋体"/>
          <w:szCs w:val="21"/>
          <w:u w:val="single"/>
        </w:rPr>
        <w:t>南通轨道交通集团有限公司运营分公司2024年1、2号线接触网车辆段增设可视化接地装置采购项目</w:t>
      </w:r>
      <w:r>
        <w:rPr>
          <w:rFonts w:hint="eastAsia" w:eastAsia="宋体"/>
          <w:szCs w:val="21"/>
        </w:rPr>
        <w:t>进行公开招标</w:t>
      </w:r>
      <w:r>
        <w:rPr>
          <w:rFonts w:eastAsia="宋体"/>
          <w:szCs w:val="21"/>
        </w:rPr>
        <w:t>。</w:t>
      </w:r>
    </w:p>
    <w:p>
      <w:pPr>
        <w:pStyle w:val="3"/>
        <w:numPr>
          <w:ilvl w:val="0"/>
          <w:numId w:val="3"/>
        </w:numPr>
        <w:tabs>
          <w:tab w:val="left" w:pos="426"/>
        </w:tabs>
        <w:spacing w:before="151" w:beforeLines="50" w:after="151" w:afterLines="50" w:line="360" w:lineRule="auto"/>
        <w:ind w:left="0" w:firstLine="0"/>
        <w:rPr>
          <w:rFonts w:ascii="Times New Roman" w:hAnsi="Times New Roman" w:eastAsia="黑体"/>
          <w:bCs w:val="0"/>
        </w:rPr>
      </w:pPr>
      <w:bookmarkStart w:id="52" w:name="_Toc15228"/>
      <w:bookmarkStart w:id="53" w:name="_Toc11957"/>
      <w:bookmarkStart w:id="54" w:name="_Toc28201"/>
      <w:bookmarkStart w:id="55" w:name="_Toc724"/>
      <w:bookmarkStart w:id="56" w:name="_Toc25712"/>
      <w:bookmarkStart w:id="57" w:name="_Toc7459"/>
      <w:bookmarkStart w:id="58" w:name="_Toc12754"/>
      <w:bookmarkStart w:id="59" w:name="_Toc24841"/>
      <w:bookmarkStart w:id="60" w:name="_Toc11650"/>
      <w:bookmarkStart w:id="61" w:name="_Toc11408"/>
      <w:bookmarkStart w:id="62" w:name="_Toc30397"/>
      <w:bookmarkStart w:id="63" w:name="_Toc24806"/>
      <w:bookmarkStart w:id="64" w:name="_Toc27024"/>
      <w:bookmarkStart w:id="65" w:name="_Toc514430346"/>
      <w:bookmarkStart w:id="66" w:name="_Toc22257"/>
      <w:r>
        <w:rPr>
          <w:rFonts w:ascii="Times New Roman" w:hAnsi="Times New Roman" w:eastAsia="黑体"/>
          <w:bCs w:val="0"/>
        </w:rPr>
        <w:t>项目概况与招标范围</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pPr>
        <w:pStyle w:val="252"/>
        <w:numPr>
          <w:ilvl w:val="1"/>
          <w:numId w:val="3"/>
        </w:numPr>
        <w:tabs>
          <w:tab w:val="left" w:pos="993"/>
        </w:tabs>
        <w:spacing w:line="360" w:lineRule="auto"/>
        <w:ind w:left="0" w:firstLine="420"/>
        <w:rPr>
          <w:rFonts w:hint="eastAsia" w:eastAsia="宋体"/>
          <w:szCs w:val="21"/>
          <w:highlight w:val="none"/>
        </w:rPr>
      </w:pPr>
      <w:r>
        <w:rPr>
          <w:rFonts w:hint="eastAsia" w:eastAsia="宋体"/>
          <w:szCs w:val="21"/>
          <w:highlight w:val="none"/>
        </w:rPr>
        <w:t>招标范围： 南通轨道交通1号线平东车辆段设计供电分区6个（1D01-1D06），小海停车场设计供电分区3个(1P01-1P03)，2号线幸福车辆段设计供电分区5个（2D01-2D05），现已设置26台可视化自动接地装置，分布在各个分区上网隔离开关及出入段、场联络线处，并在场段牵混所内设置一台站级可视化监控主机，控制中心设置两台中央级可视化接地系统分别监控1、2号线全部可视化接地装置。</w:t>
      </w:r>
    </w:p>
    <w:p>
      <w:pPr>
        <w:pStyle w:val="252"/>
        <w:numPr>
          <w:ilvl w:val="1"/>
          <w:numId w:val="3"/>
        </w:numPr>
        <w:tabs>
          <w:tab w:val="left" w:pos="993"/>
        </w:tabs>
        <w:spacing w:line="360" w:lineRule="auto"/>
        <w:ind w:left="0" w:firstLine="420"/>
        <w:rPr>
          <w:rFonts w:hint="eastAsia" w:eastAsia="宋体"/>
          <w:szCs w:val="21"/>
          <w:highlight w:val="none"/>
        </w:rPr>
      </w:pPr>
      <w:r>
        <w:rPr>
          <w:rFonts w:hint="eastAsia" w:eastAsia="宋体"/>
          <w:szCs w:val="21"/>
          <w:highlight w:val="none"/>
        </w:rPr>
        <w:t>本项目工程需在南通地铁1、2号线场段各分区间分段绝缘器两侧加装可视化接地系统，并接入原有可视化系统。</w:t>
      </w:r>
    </w:p>
    <w:p>
      <w:pPr>
        <w:pStyle w:val="252"/>
        <w:numPr>
          <w:ilvl w:val="1"/>
          <w:numId w:val="3"/>
        </w:numPr>
        <w:tabs>
          <w:tab w:val="left" w:pos="993"/>
        </w:tabs>
        <w:spacing w:line="360" w:lineRule="auto"/>
        <w:ind w:left="0" w:firstLine="420"/>
        <w:rPr>
          <w:rFonts w:hint="eastAsia" w:eastAsia="宋体"/>
          <w:szCs w:val="21"/>
          <w:highlight w:val="none"/>
        </w:rPr>
      </w:pPr>
      <w:r>
        <w:rPr>
          <w:rFonts w:eastAsia="宋体"/>
          <w:szCs w:val="21"/>
          <w:highlight w:val="none"/>
        </w:rPr>
        <w:t>计划</w:t>
      </w:r>
      <w:r>
        <w:rPr>
          <w:rFonts w:hint="eastAsia" w:eastAsia="宋体"/>
          <w:szCs w:val="21"/>
          <w:highlight w:val="none"/>
        </w:rPr>
        <w:t>服务</w:t>
      </w:r>
      <w:r>
        <w:rPr>
          <w:rFonts w:eastAsia="宋体"/>
          <w:szCs w:val="21"/>
          <w:highlight w:val="none"/>
        </w:rPr>
        <w:t xml:space="preserve">期： </w:t>
      </w:r>
      <w:r>
        <w:rPr>
          <w:rFonts w:hint="eastAsia" w:eastAsia="宋体"/>
          <w:szCs w:val="21"/>
          <w:highlight w:val="none"/>
        </w:rPr>
        <w:t>自合同签订之日起，一年内有效。</w:t>
      </w:r>
    </w:p>
    <w:p>
      <w:pPr>
        <w:pStyle w:val="252"/>
        <w:numPr>
          <w:ilvl w:val="1"/>
          <w:numId w:val="3"/>
        </w:numPr>
        <w:tabs>
          <w:tab w:val="left" w:pos="993"/>
        </w:tabs>
        <w:spacing w:line="360" w:lineRule="auto"/>
        <w:ind w:left="0" w:firstLine="420"/>
        <w:rPr>
          <w:rFonts w:eastAsia="宋体"/>
          <w:szCs w:val="21"/>
          <w:highlight w:val="none"/>
        </w:rPr>
      </w:pPr>
      <w:r>
        <w:rPr>
          <w:rFonts w:eastAsia="宋体"/>
          <w:szCs w:val="21"/>
          <w:highlight w:val="none"/>
        </w:rPr>
        <w:t>本次招标资格审查方式为：资格后审。</w:t>
      </w:r>
    </w:p>
    <w:p>
      <w:pPr>
        <w:pStyle w:val="3"/>
        <w:numPr>
          <w:ilvl w:val="0"/>
          <w:numId w:val="3"/>
        </w:numPr>
        <w:tabs>
          <w:tab w:val="left" w:pos="426"/>
        </w:tabs>
        <w:spacing w:before="151" w:beforeLines="50" w:after="151" w:afterLines="50" w:line="360" w:lineRule="auto"/>
        <w:ind w:left="0" w:firstLine="0"/>
        <w:rPr>
          <w:rFonts w:ascii="Times New Roman" w:hAnsi="Times New Roman" w:eastAsia="黑体"/>
          <w:bCs w:val="0"/>
          <w:highlight w:val="none"/>
        </w:rPr>
      </w:pPr>
      <w:bookmarkStart w:id="67" w:name="_Toc2239"/>
      <w:bookmarkStart w:id="68" w:name="_Toc20035"/>
      <w:bookmarkStart w:id="69" w:name="_Toc8361"/>
      <w:bookmarkStart w:id="70" w:name="_Toc945"/>
      <w:bookmarkStart w:id="71" w:name="_Toc4135"/>
      <w:bookmarkStart w:id="72" w:name="_Toc10503"/>
      <w:bookmarkStart w:id="73" w:name="_Toc26442"/>
      <w:bookmarkStart w:id="74" w:name="_Toc25255"/>
      <w:bookmarkStart w:id="75" w:name="_Toc29536"/>
      <w:bookmarkStart w:id="76" w:name="_Toc14097"/>
      <w:bookmarkStart w:id="77" w:name="_Toc514430347"/>
      <w:bookmarkStart w:id="78" w:name="_Toc23390"/>
      <w:bookmarkStart w:id="79" w:name="_Toc15811"/>
      <w:bookmarkStart w:id="80" w:name="_Toc31040"/>
      <w:bookmarkStart w:id="81" w:name="_Toc13454"/>
      <w:r>
        <w:rPr>
          <w:rFonts w:ascii="Times New Roman" w:hAnsi="Times New Roman" w:eastAsia="黑体"/>
          <w:bCs w:val="0"/>
          <w:highlight w:val="none"/>
        </w:rPr>
        <w:t>投标人资格要求</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pPr>
        <w:pStyle w:val="252"/>
        <w:numPr>
          <w:ilvl w:val="1"/>
          <w:numId w:val="3"/>
        </w:numPr>
        <w:tabs>
          <w:tab w:val="left" w:pos="993"/>
        </w:tabs>
        <w:spacing w:line="360" w:lineRule="auto"/>
        <w:ind w:left="0" w:firstLine="420"/>
        <w:rPr>
          <w:rFonts w:hint="eastAsia" w:eastAsia="宋体"/>
          <w:szCs w:val="21"/>
          <w:highlight w:val="none"/>
        </w:rPr>
      </w:pPr>
      <w:r>
        <w:rPr>
          <w:rFonts w:hint="eastAsia" w:eastAsia="宋体"/>
          <w:szCs w:val="21"/>
          <w:highlight w:val="none"/>
        </w:rPr>
        <w:t>本次招标要求</w:t>
      </w:r>
      <w:r>
        <w:rPr>
          <w:rFonts w:eastAsia="宋体"/>
          <w:szCs w:val="21"/>
          <w:highlight w:val="none"/>
        </w:rPr>
        <w:t>投标人必须</w:t>
      </w:r>
      <w:r>
        <w:rPr>
          <w:rFonts w:hint="eastAsia" w:eastAsia="宋体"/>
          <w:szCs w:val="21"/>
          <w:highlight w:val="none"/>
        </w:rPr>
        <w:t>具备如下资质，并具有与本招标项目相应的服务能力；</w:t>
      </w:r>
    </w:p>
    <w:p>
      <w:pPr>
        <w:pStyle w:val="252"/>
        <w:numPr>
          <w:ilvl w:val="2"/>
          <w:numId w:val="3"/>
        </w:numPr>
        <w:tabs>
          <w:tab w:val="left" w:pos="993"/>
        </w:tabs>
        <w:spacing w:line="360" w:lineRule="auto"/>
        <w:ind w:left="0" w:firstLine="420"/>
        <w:rPr>
          <w:rFonts w:eastAsia="宋体"/>
          <w:szCs w:val="21"/>
          <w:highlight w:val="none"/>
        </w:rPr>
      </w:pPr>
      <w:r>
        <w:rPr>
          <w:rFonts w:hint="eastAsia" w:eastAsia="宋体"/>
          <w:szCs w:val="21"/>
          <w:highlight w:val="none"/>
        </w:rPr>
        <w:t>投标人必须是注册于中华人民共和国境内，具有独立承担民事责任能力的企业法人或事业单位法人，持有有效的企业营业执照或事业单位法人证书。</w:t>
      </w:r>
    </w:p>
    <w:p>
      <w:pPr>
        <w:pStyle w:val="252"/>
        <w:numPr>
          <w:ilvl w:val="2"/>
          <w:numId w:val="3"/>
        </w:numPr>
        <w:tabs>
          <w:tab w:val="left" w:pos="993"/>
        </w:tabs>
        <w:spacing w:line="360" w:lineRule="auto"/>
        <w:ind w:left="0" w:firstLine="420"/>
        <w:rPr>
          <w:rFonts w:hint="eastAsia" w:eastAsia="宋体"/>
          <w:szCs w:val="21"/>
          <w:highlight w:val="none"/>
        </w:rPr>
      </w:pPr>
      <w:r>
        <w:rPr>
          <w:rFonts w:hint="eastAsia" w:eastAsia="宋体"/>
          <w:szCs w:val="21"/>
          <w:highlight w:val="none"/>
        </w:rPr>
        <w:t>投标人同时具有以下：</w:t>
      </w:r>
    </w:p>
    <w:p>
      <w:pPr>
        <w:pStyle w:val="252"/>
        <w:tabs>
          <w:tab w:val="left" w:pos="993"/>
        </w:tabs>
        <w:spacing w:line="360" w:lineRule="auto"/>
        <w:ind w:left="420" w:leftChars="200" w:firstLine="0" w:firstLineChars="0"/>
        <w:rPr>
          <w:rFonts w:hint="eastAsia" w:eastAsia="宋体"/>
          <w:szCs w:val="21"/>
          <w:highlight w:val="none"/>
        </w:rPr>
      </w:pPr>
      <w:r>
        <w:rPr>
          <w:rFonts w:hint="eastAsia" w:eastAsia="宋体"/>
          <w:szCs w:val="21"/>
          <w:highlight w:val="none"/>
        </w:rPr>
        <w:t>①具有铁路电气化工程专业承包三级及以上资质或承装（修、试）电力设施许可证五级及以上电力设施许可证（须在有效期内）；</w:t>
      </w:r>
    </w:p>
    <w:p>
      <w:pPr>
        <w:pStyle w:val="252"/>
        <w:tabs>
          <w:tab w:val="left" w:pos="993"/>
        </w:tabs>
        <w:spacing w:line="360" w:lineRule="auto"/>
        <w:ind w:left="420" w:leftChars="200" w:firstLine="0" w:firstLineChars="0"/>
        <w:rPr>
          <w:rFonts w:eastAsia="宋体"/>
          <w:szCs w:val="21"/>
          <w:highlight w:val="none"/>
        </w:rPr>
      </w:pPr>
      <w:r>
        <w:rPr>
          <w:rFonts w:hint="eastAsia" w:eastAsia="宋体"/>
          <w:szCs w:val="21"/>
          <w:highlight w:val="none"/>
        </w:rPr>
        <w:t>②具有有效的安全生产许可证。</w:t>
      </w:r>
    </w:p>
    <w:p>
      <w:pPr>
        <w:pStyle w:val="252"/>
        <w:numPr>
          <w:ilvl w:val="2"/>
          <w:numId w:val="3"/>
        </w:numPr>
        <w:tabs>
          <w:tab w:val="left" w:pos="993"/>
        </w:tabs>
        <w:spacing w:line="360" w:lineRule="auto"/>
        <w:ind w:left="0" w:firstLine="420"/>
        <w:rPr>
          <w:rFonts w:hint="eastAsia" w:eastAsia="宋体"/>
          <w:szCs w:val="21"/>
          <w:highlight w:val="none"/>
        </w:rPr>
      </w:pPr>
      <w:r>
        <w:rPr>
          <w:rFonts w:hint="eastAsia" w:eastAsia="宋体"/>
          <w:szCs w:val="21"/>
          <w:highlight w:val="none"/>
        </w:rPr>
        <w:t>项目经理（项目负责人）资格：二级及以上注册建造师（机电工程专业）资质，并具备安全考核合格证书（B类证）。</w:t>
      </w:r>
    </w:p>
    <w:p>
      <w:pPr>
        <w:pStyle w:val="252"/>
        <w:numPr>
          <w:ilvl w:val="2"/>
          <w:numId w:val="3"/>
        </w:numPr>
        <w:tabs>
          <w:tab w:val="left" w:pos="993"/>
        </w:tabs>
        <w:spacing w:line="360" w:lineRule="auto"/>
        <w:ind w:left="0" w:firstLine="420"/>
        <w:rPr>
          <w:rFonts w:hint="eastAsia" w:eastAsia="宋体"/>
          <w:szCs w:val="21"/>
          <w:highlight w:val="none"/>
        </w:rPr>
      </w:pPr>
      <w:r>
        <w:rPr>
          <w:rFonts w:hint="eastAsia" w:eastAsia="宋体"/>
          <w:szCs w:val="21"/>
          <w:highlight w:val="none"/>
        </w:rPr>
        <w:t>通过“信用中国”网站（www.creditchina.gov.cn）、“中国执行信息公开网（http://zxgk.court.gov.cn/）”查询，未被查询为失信被执行人、重大税收违法案件当事人等不良行为的；</w:t>
      </w:r>
    </w:p>
    <w:p>
      <w:pPr>
        <w:pStyle w:val="252"/>
        <w:numPr>
          <w:ilvl w:val="2"/>
          <w:numId w:val="3"/>
        </w:numPr>
        <w:tabs>
          <w:tab w:val="left" w:pos="993"/>
        </w:tabs>
        <w:spacing w:line="360" w:lineRule="auto"/>
        <w:ind w:left="0" w:firstLine="420"/>
        <w:rPr>
          <w:rFonts w:hint="eastAsia" w:eastAsia="宋体"/>
          <w:szCs w:val="21"/>
          <w:highlight w:val="none"/>
        </w:rPr>
      </w:pPr>
      <w:r>
        <w:rPr>
          <w:rFonts w:hint="eastAsia" w:eastAsia="宋体"/>
          <w:szCs w:val="21"/>
          <w:highlight w:val="none"/>
        </w:rPr>
        <w:t>单位负责人为同一人或者存在控股、管理关系的不同单位，不得参加同一标段或者未划分标段的同一项目的招标活动；</w:t>
      </w:r>
    </w:p>
    <w:p>
      <w:pPr>
        <w:pStyle w:val="252"/>
        <w:numPr>
          <w:ilvl w:val="2"/>
          <w:numId w:val="3"/>
        </w:numPr>
        <w:tabs>
          <w:tab w:val="left" w:pos="993"/>
        </w:tabs>
        <w:spacing w:line="360" w:lineRule="auto"/>
        <w:ind w:left="0" w:firstLine="420"/>
        <w:rPr>
          <w:rFonts w:eastAsia="宋体"/>
          <w:szCs w:val="21"/>
          <w:highlight w:val="none"/>
        </w:rPr>
      </w:pPr>
      <w:r>
        <w:rPr>
          <w:rFonts w:hint="eastAsia" w:eastAsia="宋体"/>
          <w:szCs w:val="21"/>
          <w:highlight w:val="none"/>
        </w:rPr>
        <w:t>与招标人存在利害关系可能影响公正性的法人、其他组织或者个人，不得参加本次招标。</w:t>
      </w:r>
    </w:p>
    <w:p>
      <w:pPr>
        <w:pStyle w:val="252"/>
        <w:numPr>
          <w:ilvl w:val="1"/>
          <w:numId w:val="3"/>
        </w:numPr>
        <w:tabs>
          <w:tab w:val="left" w:pos="993"/>
        </w:tabs>
        <w:spacing w:line="360" w:lineRule="auto"/>
        <w:ind w:left="0" w:firstLine="420"/>
        <w:rPr>
          <w:rFonts w:eastAsia="宋体"/>
          <w:szCs w:val="21"/>
          <w:highlight w:val="none"/>
        </w:rPr>
      </w:pPr>
      <w:r>
        <w:rPr>
          <w:rFonts w:eastAsia="宋体"/>
          <w:szCs w:val="21"/>
          <w:highlight w:val="none"/>
        </w:rPr>
        <w:t>本次招标不接受联合体投标。</w:t>
      </w:r>
    </w:p>
    <w:p>
      <w:pPr>
        <w:pStyle w:val="3"/>
        <w:numPr>
          <w:ilvl w:val="0"/>
          <w:numId w:val="3"/>
        </w:numPr>
        <w:tabs>
          <w:tab w:val="left" w:pos="426"/>
        </w:tabs>
        <w:spacing w:before="151" w:beforeLines="50" w:after="151" w:afterLines="50" w:line="360" w:lineRule="auto"/>
        <w:ind w:left="0" w:firstLine="0"/>
        <w:rPr>
          <w:rFonts w:ascii="Times New Roman" w:hAnsi="Times New Roman" w:eastAsia="黑体"/>
          <w:bCs w:val="0"/>
          <w:highlight w:val="none"/>
        </w:rPr>
      </w:pPr>
      <w:bookmarkStart w:id="82" w:name="_Toc27876"/>
      <w:bookmarkStart w:id="83" w:name="_Toc11735"/>
      <w:bookmarkStart w:id="84" w:name="_Toc32076"/>
      <w:bookmarkStart w:id="85" w:name="_Toc32424"/>
      <w:bookmarkStart w:id="86" w:name="_Toc18245"/>
      <w:bookmarkStart w:id="87" w:name="_Toc24676"/>
      <w:bookmarkStart w:id="88" w:name="_Toc6264"/>
      <w:bookmarkStart w:id="89" w:name="_Toc14757"/>
      <w:bookmarkStart w:id="90" w:name="_Toc21119"/>
      <w:bookmarkStart w:id="91" w:name="_Toc31171"/>
      <w:bookmarkStart w:id="92" w:name="_Toc30639"/>
      <w:bookmarkStart w:id="93" w:name="_Toc12389"/>
      <w:bookmarkStart w:id="94" w:name="_Toc18175"/>
      <w:bookmarkStart w:id="95" w:name="_Toc514430348"/>
      <w:bookmarkStart w:id="96" w:name="_Toc23898"/>
      <w:r>
        <w:rPr>
          <w:rFonts w:ascii="Times New Roman" w:hAnsi="Times New Roman" w:eastAsia="黑体"/>
          <w:bCs w:val="0"/>
          <w:highlight w:val="none"/>
        </w:rPr>
        <w:t>招标文件的获取</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pPr>
        <w:pStyle w:val="252"/>
        <w:tabs>
          <w:tab w:val="left" w:pos="993"/>
        </w:tabs>
        <w:spacing w:line="360" w:lineRule="auto"/>
        <w:rPr>
          <w:rFonts w:eastAsia="宋体"/>
          <w:szCs w:val="21"/>
          <w:highlight w:val="none"/>
        </w:rPr>
      </w:pPr>
      <w:bookmarkStart w:id="97" w:name="_Toc375224981"/>
      <w:bookmarkEnd w:id="97"/>
      <w:bookmarkStart w:id="98" w:name="_Toc382404416"/>
      <w:bookmarkEnd w:id="98"/>
      <w:bookmarkStart w:id="99" w:name="_Toc371259686"/>
      <w:bookmarkEnd w:id="99"/>
      <w:bookmarkStart w:id="100" w:name="_Toc382346717"/>
      <w:bookmarkEnd w:id="100"/>
      <w:bookmarkStart w:id="101" w:name="_Toc1999"/>
      <w:bookmarkStart w:id="102" w:name="_Toc455"/>
      <w:bookmarkStart w:id="103" w:name="_Toc2856"/>
      <w:bookmarkStart w:id="104" w:name="_Toc24444"/>
      <w:bookmarkStart w:id="105" w:name="_Toc12339"/>
      <w:bookmarkStart w:id="106" w:name="_Toc2586"/>
      <w:bookmarkStart w:id="107" w:name="_Toc29320"/>
      <w:bookmarkStart w:id="108" w:name="_Toc514430350"/>
      <w:bookmarkStart w:id="109" w:name="_Toc20086"/>
      <w:bookmarkStart w:id="110" w:name="_Toc25516"/>
      <w:bookmarkStart w:id="111" w:name="_Toc6069"/>
      <w:bookmarkStart w:id="112" w:name="_Toc8686"/>
      <w:r>
        <w:rPr>
          <w:rFonts w:eastAsia="宋体"/>
          <w:szCs w:val="21"/>
          <w:highlight w:val="none"/>
        </w:rPr>
        <w:t>凡有意参加</w:t>
      </w:r>
      <w:r>
        <w:rPr>
          <w:rFonts w:hint="eastAsia" w:eastAsia="宋体"/>
          <w:szCs w:val="21"/>
          <w:highlight w:val="none"/>
        </w:rPr>
        <w:t>投标</w:t>
      </w:r>
      <w:r>
        <w:rPr>
          <w:rFonts w:eastAsia="宋体"/>
          <w:szCs w:val="21"/>
          <w:highlight w:val="none"/>
        </w:rPr>
        <w:t>者，请于2024年</w:t>
      </w:r>
      <w:r>
        <w:rPr>
          <w:rFonts w:hint="eastAsia" w:eastAsia="宋体"/>
          <w:szCs w:val="21"/>
          <w:highlight w:val="none"/>
        </w:rPr>
        <w:t>0</w:t>
      </w:r>
      <w:r>
        <w:rPr>
          <w:rFonts w:eastAsia="宋体"/>
          <w:szCs w:val="21"/>
          <w:highlight w:val="none"/>
        </w:rPr>
        <w:t>5</w:t>
      </w:r>
      <w:r>
        <w:rPr>
          <w:rFonts w:hint="eastAsia" w:eastAsia="宋体"/>
          <w:szCs w:val="21"/>
          <w:highlight w:val="none"/>
        </w:rPr>
        <w:t>月0</w:t>
      </w:r>
      <w:r>
        <w:rPr>
          <w:rFonts w:eastAsia="宋体"/>
          <w:szCs w:val="21"/>
          <w:highlight w:val="none"/>
        </w:rPr>
        <w:t>9</w:t>
      </w:r>
      <w:r>
        <w:rPr>
          <w:rFonts w:hint="eastAsia" w:eastAsia="宋体"/>
          <w:szCs w:val="21"/>
          <w:highlight w:val="none"/>
        </w:rPr>
        <w:t>日</w:t>
      </w:r>
      <w:r>
        <w:rPr>
          <w:rFonts w:eastAsia="宋体"/>
          <w:szCs w:val="21"/>
          <w:highlight w:val="none"/>
        </w:rPr>
        <w:t>09时00分至2024年</w:t>
      </w:r>
      <w:r>
        <w:rPr>
          <w:rFonts w:hint="eastAsia" w:eastAsia="宋体"/>
          <w:szCs w:val="21"/>
          <w:highlight w:val="none"/>
          <w:lang w:eastAsia="zh-CN"/>
        </w:rPr>
        <w:t>05月31日</w:t>
      </w:r>
      <w:r>
        <w:rPr>
          <w:rFonts w:eastAsia="宋体"/>
          <w:szCs w:val="21"/>
          <w:highlight w:val="none"/>
        </w:rPr>
        <w:t>14时30分(北京时间，下同)，在南通市公共资源交易网-其他交易、</w:t>
      </w:r>
      <w:r>
        <w:rPr>
          <w:rFonts w:hint="eastAsia" w:eastAsia="宋体"/>
          <w:szCs w:val="21"/>
          <w:highlight w:val="none"/>
        </w:rPr>
        <w:t>江苏省招标投标公共服务平台、 南通轨道交通官方网站</w:t>
      </w:r>
      <w:r>
        <w:rPr>
          <w:rFonts w:eastAsia="宋体"/>
          <w:szCs w:val="21"/>
          <w:highlight w:val="none"/>
        </w:rPr>
        <w:t>直接下载获取电子招标文件</w:t>
      </w:r>
      <w:r>
        <w:rPr>
          <w:rFonts w:hint="eastAsia" w:eastAsia="宋体"/>
          <w:szCs w:val="21"/>
          <w:highlight w:val="none"/>
        </w:rPr>
        <w:t>，如有不一致以</w:t>
      </w:r>
      <w:r>
        <w:rPr>
          <w:rFonts w:eastAsia="宋体"/>
          <w:szCs w:val="21"/>
          <w:highlight w:val="none"/>
        </w:rPr>
        <w:t>南通市公共资源交易网-其他交易</w:t>
      </w:r>
      <w:r>
        <w:rPr>
          <w:rFonts w:hint="eastAsia" w:eastAsia="宋体"/>
          <w:szCs w:val="21"/>
          <w:highlight w:val="none"/>
        </w:rPr>
        <w:t>为准</w:t>
      </w:r>
      <w:r>
        <w:rPr>
          <w:rFonts w:eastAsia="宋体"/>
          <w:szCs w:val="21"/>
          <w:highlight w:val="none"/>
        </w:rPr>
        <w:t>。</w:t>
      </w:r>
    </w:p>
    <w:p>
      <w:pPr>
        <w:pStyle w:val="3"/>
        <w:numPr>
          <w:ilvl w:val="0"/>
          <w:numId w:val="3"/>
        </w:numPr>
        <w:tabs>
          <w:tab w:val="left" w:pos="426"/>
        </w:tabs>
        <w:spacing w:before="151" w:beforeLines="50" w:after="151" w:afterLines="50" w:line="360" w:lineRule="auto"/>
        <w:ind w:left="0" w:firstLine="0"/>
        <w:rPr>
          <w:rFonts w:hint="eastAsia" w:ascii="Times New Roman" w:hAnsi="Times New Roman" w:eastAsia="黑体"/>
          <w:highlight w:val="none"/>
        </w:rPr>
      </w:pPr>
      <w:bookmarkStart w:id="113" w:name="_Toc9022"/>
      <w:bookmarkStart w:id="114" w:name="_Toc29165"/>
      <w:bookmarkStart w:id="115" w:name="_Toc27370"/>
      <w:r>
        <w:rPr>
          <w:rFonts w:ascii="Times New Roman" w:hAnsi="Times New Roman" w:eastAsia="黑体"/>
          <w:highlight w:val="none"/>
        </w:rPr>
        <w:t>投标截止时间和开标时间</w:t>
      </w:r>
      <w:bookmarkEnd w:id="113"/>
      <w:bookmarkEnd w:id="114"/>
      <w:bookmarkEnd w:id="115"/>
    </w:p>
    <w:p>
      <w:pPr>
        <w:pStyle w:val="55"/>
        <w:spacing w:after="120"/>
        <w:rPr>
          <w:kern w:val="0"/>
          <w:sz w:val="21"/>
          <w:szCs w:val="21"/>
          <w:highlight w:val="none"/>
        </w:rPr>
      </w:pPr>
      <w:r>
        <w:rPr>
          <w:rFonts w:hint="eastAsia"/>
          <w:kern w:val="0"/>
          <w:sz w:val="21"/>
          <w:szCs w:val="21"/>
          <w:highlight w:val="none"/>
        </w:rPr>
        <w:t>投标截止时间：</w:t>
      </w:r>
      <w:r>
        <w:rPr>
          <w:kern w:val="0"/>
          <w:sz w:val="21"/>
          <w:szCs w:val="21"/>
          <w:highlight w:val="none"/>
        </w:rPr>
        <w:t>20</w:t>
      </w:r>
      <w:r>
        <w:rPr>
          <w:rFonts w:hint="eastAsia"/>
          <w:kern w:val="0"/>
          <w:sz w:val="21"/>
          <w:szCs w:val="21"/>
          <w:highlight w:val="none"/>
        </w:rPr>
        <w:t>24年</w:t>
      </w:r>
      <w:r>
        <w:rPr>
          <w:rFonts w:hint="eastAsia"/>
          <w:kern w:val="0"/>
          <w:sz w:val="21"/>
          <w:szCs w:val="21"/>
          <w:highlight w:val="none"/>
          <w:lang w:eastAsia="zh-CN"/>
        </w:rPr>
        <w:t>05月31日</w:t>
      </w:r>
      <w:r>
        <w:rPr>
          <w:rFonts w:hint="eastAsia"/>
          <w:kern w:val="0"/>
          <w:sz w:val="21"/>
          <w:szCs w:val="21"/>
          <w:highlight w:val="none"/>
        </w:rPr>
        <w:t> </w:t>
      </w:r>
      <w:r>
        <w:rPr>
          <w:kern w:val="0"/>
          <w:sz w:val="21"/>
          <w:szCs w:val="21"/>
          <w:highlight w:val="none"/>
        </w:rPr>
        <w:t>14</w:t>
      </w:r>
      <w:r>
        <w:rPr>
          <w:rFonts w:hint="eastAsia"/>
          <w:kern w:val="0"/>
          <w:sz w:val="21"/>
          <w:szCs w:val="21"/>
          <w:highlight w:val="none"/>
        </w:rPr>
        <w:t>时</w:t>
      </w:r>
      <w:r>
        <w:rPr>
          <w:kern w:val="0"/>
          <w:sz w:val="21"/>
          <w:szCs w:val="21"/>
          <w:highlight w:val="none"/>
        </w:rPr>
        <w:t>30</w:t>
      </w:r>
      <w:r>
        <w:rPr>
          <w:rFonts w:hint="eastAsia"/>
          <w:kern w:val="0"/>
          <w:sz w:val="21"/>
          <w:szCs w:val="21"/>
          <w:highlight w:val="none"/>
        </w:rPr>
        <w:t>分（北京时间）。</w:t>
      </w:r>
    </w:p>
    <w:p>
      <w:pPr>
        <w:pStyle w:val="55"/>
        <w:spacing w:after="120"/>
        <w:rPr>
          <w:kern w:val="0"/>
          <w:sz w:val="21"/>
          <w:szCs w:val="21"/>
          <w:highlight w:val="none"/>
        </w:rPr>
      </w:pPr>
      <w:r>
        <w:rPr>
          <w:rFonts w:hint="eastAsia"/>
          <w:kern w:val="0"/>
          <w:sz w:val="21"/>
          <w:szCs w:val="21"/>
          <w:highlight w:val="none"/>
        </w:rPr>
        <w:t>开标时间：</w:t>
      </w:r>
      <w:r>
        <w:rPr>
          <w:kern w:val="0"/>
          <w:sz w:val="21"/>
          <w:szCs w:val="21"/>
          <w:highlight w:val="none"/>
        </w:rPr>
        <w:t>20</w:t>
      </w:r>
      <w:r>
        <w:rPr>
          <w:rFonts w:hint="eastAsia"/>
          <w:kern w:val="0"/>
          <w:sz w:val="21"/>
          <w:szCs w:val="21"/>
          <w:highlight w:val="none"/>
        </w:rPr>
        <w:t>24年</w:t>
      </w:r>
      <w:r>
        <w:rPr>
          <w:rFonts w:hint="eastAsia"/>
          <w:kern w:val="0"/>
          <w:sz w:val="21"/>
          <w:szCs w:val="21"/>
          <w:highlight w:val="none"/>
          <w:lang w:eastAsia="zh-CN"/>
        </w:rPr>
        <w:t>05月31日</w:t>
      </w:r>
      <w:r>
        <w:rPr>
          <w:rFonts w:hint="eastAsia"/>
          <w:kern w:val="0"/>
          <w:sz w:val="21"/>
          <w:szCs w:val="21"/>
          <w:highlight w:val="none"/>
        </w:rPr>
        <w:t> </w:t>
      </w:r>
      <w:r>
        <w:rPr>
          <w:kern w:val="0"/>
          <w:sz w:val="21"/>
          <w:szCs w:val="21"/>
          <w:highlight w:val="none"/>
        </w:rPr>
        <w:t>14</w:t>
      </w:r>
      <w:r>
        <w:rPr>
          <w:rFonts w:hint="eastAsia"/>
          <w:kern w:val="0"/>
          <w:sz w:val="21"/>
          <w:szCs w:val="21"/>
          <w:highlight w:val="none"/>
        </w:rPr>
        <w:t>时</w:t>
      </w:r>
      <w:r>
        <w:rPr>
          <w:kern w:val="0"/>
          <w:sz w:val="21"/>
          <w:szCs w:val="21"/>
          <w:highlight w:val="none"/>
        </w:rPr>
        <w:t>30</w:t>
      </w:r>
      <w:r>
        <w:rPr>
          <w:rFonts w:hint="eastAsia"/>
          <w:kern w:val="0"/>
          <w:sz w:val="21"/>
          <w:szCs w:val="21"/>
          <w:highlight w:val="none"/>
        </w:rPr>
        <w:t>分（北京时间）。</w:t>
      </w:r>
    </w:p>
    <w:p>
      <w:pPr>
        <w:pStyle w:val="3"/>
        <w:numPr>
          <w:ilvl w:val="0"/>
          <w:numId w:val="3"/>
        </w:numPr>
        <w:tabs>
          <w:tab w:val="left" w:pos="426"/>
        </w:tabs>
        <w:spacing w:before="151" w:beforeLines="50" w:after="151" w:afterLines="50" w:line="360" w:lineRule="auto"/>
        <w:ind w:left="0" w:firstLine="0"/>
        <w:rPr>
          <w:rFonts w:ascii="Times New Roman" w:hAnsi="Times New Roman" w:eastAsia="黑体"/>
          <w:highlight w:val="none"/>
        </w:rPr>
      </w:pPr>
      <w:bookmarkStart w:id="116" w:name="_Toc24927"/>
      <w:bookmarkStart w:id="117" w:name="_Toc11285"/>
      <w:bookmarkStart w:id="118" w:name="_Toc2672"/>
      <w:r>
        <w:rPr>
          <w:rFonts w:ascii="Times New Roman" w:hAnsi="Times New Roman" w:eastAsia="黑体"/>
          <w:highlight w:val="none"/>
        </w:rPr>
        <w:t>投标文件递交地点及开标地点</w:t>
      </w:r>
      <w:bookmarkEnd w:id="116"/>
      <w:bookmarkEnd w:id="117"/>
      <w:bookmarkEnd w:id="118"/>
    </w:p>
    <w:p>
      <w:pPr>
        <w:pStyle w:val="55"/>
        <w:spacing w:after="120"/>
        <w:ind w:left="7" w:leftChars="0" w:firstLine="306" w:firstLineChars="146"/>
        <w:rPr>
          <w:kern w:val="0"/>
          <w:sz w:val="21"/>
          <w:szCs w:val="21"/>
          <w:highlight w:val="none"/>
        </w:rPr>
      </w:pPr>
      <w:r>
        <w:rPr>
          <w:rFonts w:hint="eastAsia"/>
          <w:kern w:val="0"/>
          <w:sz w:val="21"/>
          <w:szCs w:val="21"/>
          <w:highlight w:val="none"/>
        </w:rPr>
        <w:t>投标文件递交地点：南通市通州区平潮镇南通轨道交通平东车辆段综合楼物资部410会议室（如有变动，另行通知）。逾期送达或者未送达指定地点的招标文件，招标人不予受理。</w:t>
      </w:r>
    </w:p>
    <w:p>
      <w:pPr>
        <w:pStyle w:val="55"/>
        <w:spacing w:after="120"/>
        <w:rPr>
          <w:kern w:val="0"/>
          <w:sz w:val="21"/>
          <w:szCs w:val="21"/>
          <w:highlight w:val="none"/>
        </w:rPr>
      </w:pPr>
      <w:r>
        <w:rPr>
          <w:rFonts w:hint="eastAsia"/>
          <w:kern w:val="0"/>
          <w:sz w:val="21"/>
          <w:szCs w:val="21"/>
          <w:highlight w:val="none"/>
        </w:rPr>
        <w:t>开标地点：同投标文件递交地点。</w:t>
      </w:r>
    </w:p>
    <w:p>
      <w:pPr>
        <w:pStyle w:val="3"/>
        <w:numPr>
          <w:ilvl w:val="0"/>
          <w:numId w:val="3"/>
        </w:numPr>
        <w:tabs>
          <w:tab w:val="left" w:pos="426"/>
        </w:tabs>
        <w:spacing w:before="151" w:beforeLines="50" w:after="151" w:afterLines="50" w:line="360" w:lineRule="auto"/>
        <w:ind w:left="0" w:firstLine="0"/>
        <w:rPr>
          <w:rFonts w:ascii="Times New Roman" w:hAnsi="Times New Roman" w:eastAsia="黑体"/>
          <w:bCs w:val="0"/>
          <w:highlight w:val="none"/>
        </w:rPr>
      </w:pPr>
      <w:bookmarkStart w:id="119" w:name="_Toc7155"/>
      <w:bookmarkStart w:id="120" w:name="_Toc23928"/>
      <w:bookmarkStart w:id="121" w:name="_Toc9801"/>
      <w:r>
        <w:rPr>
          <w:rFonts w:ascii="Times New Roman" w:hAnsi="Times New Roman" w:eastAsia="黑体"/>
          <w:bCs w:val="0"/>
          <w:highlight w:val="none"/>
        </w:rPr>
        <w:t>发布公告的媒介</w:t>
      </w:r>
      <w:bookmarkEnd w:id="101"/>
      <w:bookmarkEnd w:id="102"/>
      <w:bookmarkEnd w:id="103"/>
      <w:bookmarkEnd w:id="104"/>
      <w:bookmarkEnd w:id="105"/>
      <w:bookmarkEnd w:id="106"/>
      <w:bookmarkEnd w:id="107"/>
      <w:bookmarkEnd w:id="108"/>
      <w:bookmarkEnd w:id="109"/>
      <w:bookmarkEnd w:id="110"/>
      <w:bookmarkEnd w:id="111"/>
      <w:bookmarkEnd w:id="112"/>
      <w:bookmarkEnd w:id="119"/>
      <w:bookmarkEnd w:id="120"/>
      <w:bookmarkEnd w:id="121"/>
    </w:p>
    <w:p>
      <w:pPr>
        <w:spacing w:line="360" w:lineRule="auto"/>
        <w:ind w:firstLine="420" w:firstLineChars="200"/>
        <w:jc w:val="both"/>
        <w:rPr>
          <w:rFonts w:eastAsia="宋体"/>
          <w:szCs w:val="21"/>
          <w:highlight w:val="none"/>
        </w:rPr>
      </w:pPr>
      <w:r>
        <w:rPr>
          <w:rFonts w:hint="eastAsia" w:eastAsia="宋体"/>
          <w:szCs w:val="21"/>
          <w:highlight w:val="none"/>
        </w:rPr>
        <w:t>本次招标公告同时在南通市公共资源交易网</w:t>
      </w:r>
      <w:r>
        <w:rPr>
          <w:rFonts w:eastAsia="宋体"/>
          <w:szCs w:val="21"/>
          <w:highlight w:val="none"/>
        </w:rPr>
        <w:t>-其他交易</w:t>
      </w:r>
      <w:r>
        <w:rPr>
          <w:rFonts w:hint="eastAsia" w:eastAsia="宋体"/>
          <w:szCs w:val="21"/>
          <w:highlight w:val="none"/>
        </w:rPr>
        <w:t>、江苏省招标投标公共服务平台、 南通轨道交通官方网站发布，如有不一致以</w:t>
      </w:r>
      <w:r>
        <w:rPr>
          <w:rFonts w:eastAsia="宋体"/>
          <w:szCs w:val="21"/>
          <w:highlight w:val="none"/>
        </w:rPr>
        <w:t>南通市公共资源交易网-其他交易</w:t>
      </w:r>
      <w:r>
        <w:rPr>
          <w:rFonts w:hint="eastAsia" w:eastAsia="宋体"/>
          <w:szCs w:val="21"/>
          <w:highlight w:val="none"/>
        </w:rPr>
        <w:t>为准</w:t>
      </w:r>
      <w:r>
        <w:rPr>
          <w:rFonts w:eastAsia="宋体"/>
          <w:szCs w:val="21"/>
          <w:highlight w:val="none"/>
        </w:rPr>
        <w:t>。</w:t>
      </w:r>
    </w:p>
    <w:p>
      <w:pPr>
        <w:pStyle w:val="3"/>
        <w:numPr>
          <w:ilvl w:val="0"/>
          <w:numId w:val="3"/>
        </w:numPr>
        <w:tabs>
          <w:tab w:val="left" w:pos="426"/>
        </w:tabs>
        <w:spacing w:before="151" w:beforeLines="50" w:after="151" w:afterLines="50" w:line="360" w:lineRule="auto"/>
        <w:ind w:left="0" w:firstLine="0"/>
        <w:rPr>
          <w:rFonts w:ascii="Times New Roman" w:hAnsi="Times New Roman" w:eastAsia="黑体"/>
          <w:bCs w:val="0"/>
          <w:highlight w:val="none"/>
        </w:rPr>
      </w:pPr>
      <w:bookmarkStart w:id="122" w:name="_Toc31840"/>
      <w:bookmarkStart w:id="123" w:name="_Toc32235"/>
      <w:r>
        <w:rPr>
          <w:rFonts w:ascii="Times New Roman" w:hAnsi="Times New Roman" w:eastAsia="黑体"/>
          <w:bCs w:val="0"/>
          <w:highlight w:val="none"/>
        </w:rPr>
        <w:t>联系方式</w:t>
      </w:r>
      <w:bookmarkEnd w:id="122"/>
      <w:bookmarkEnd w:id="123"/>
    </w:p>
    <w:tbl>
      <w:tblPr>
        <w:tblStyle w:val="60"/>
        <w:tblW w:w="0" w:type="auto"/>
        <w:jc w:val="center"/>
        <w:tblLayout w:type="fixed"/>
        <w:tblCellMar>
          <w:top w:w="0" w:type="dxa"/>
          <w:left w:w="108" w:type="dxa"/>
          <w:bottom w:w="0" w:type="dxa"/>
          <w:right w:w="108" w:type="dxa"/>
        </w:tblCellMar>
      </w:tblPr>
      <w:tblGrid>
        <w:gridCol w:w="4643"/>
        <w:gridCol w:w="4644"/>
      </w:tblGrid>
      <w:tr>
        <w:tblPrEx>
          <w:tblCellMar>
            <w:top w:w="0" w:type="dxa"/>
            <w:left w:w="108" w:type="dxa"/>
            <w:bottom w:w="0" w:type="dxa"/>
            <w:right w:w="108" w:type="dxa"/>
          </w:tblCellMar>
        </w:tblPrEx>
        <w:trPr>
          <w:jc w:val="center"/>
        </w:trPr>
        <w:tc>
          <w:tcPr>
            <w:tcW w:w="4643" w:type="dxa"/>
            <w:noWrap w:val="0"/>
            <w:vAlign w:val="top"/>
          </w:tcPr>
          <w:p>
            <w:pPr>
              <w:tabs>
                <w:tab w:val="left" w:pos="4820"/>
              </w:tabs>
              <w:spacing w:line="360" w:lineRule="auto"/>
              <w:rPr>
                <w:rFonts w:eastAsia="宋体"/>
                <w:szCs w:val="21"/>
                <w:highlight w:val="none"/>
              </w:rPr>
            </w:pPr>
            <w:r>
              <w:rPr>
                <w:rFonts w:hint="eastAsia" w:eastAsia="宋体"/>
                <w:szCs w:val="21"/>
                <w:highlight w:val="none"/>
              </w:rPr>
              <w:t>招 标 人：南通轨道交通集团有限公司运营分公司</w:t>
            </w:r>
          </w:p>
        </w:tc>
        <w:tc>
          <w:tcPr>
            <w:tcW w:w="4644" w:type="dxa"/>
            <w:noWrap w:val="0"/>
            <w:vAlign w:val="top"/>
          </w:tcPr>
          <w:p>
            <w:pPr>
              <w:tabs>
                <w:tab w:val="left" w:pos="4820"/>
              </w:tabs>
              <w:spacing w:line="360" w:lineRule="auto"/>
              <w:rPr>
                <w:rFonts w:hint="eastAsia" w:eastAsia="宋体"/>
                <w:szCs w:val="21"/>
                <w:highlight w:val="none"/>
              </w:rPr>
            </w:pPr>
            <w:r>
              <w:rPr>
                <w:rFonts w:hint="eastAsia" w:eastAsia="宋体"/>
                <w:szCs w:val="21"/>
                <w:highlight w:val="none"/>
              </w:rPr>
              <w:t>招标代理机构：苏世建设管理集团有限公司</w:t>
            </w:r>
          </w:p>
        </w:tc>
      </w:tr>
      <w:tr>
        <w:tblPrEx>
          <w:tblCellMar>
            <w:top w:w="0" w:type="dxa"/>
            <w:left w:w="108" w:type="dxa"/>
            <w:bottom w:w="0" w:type="dxa"/>
            <w:right w:w="108" w:type="dxa"/>
          </w:tblCellMar>
        </w:tblPrEx>
        <w:trPr>
          <w:jc w:val="center"/>
        </w:trPr>
        <w:tc>
          <w:tcPr>
            <w:tcW w:w="4643" w:type="dxa"/>
            <w:noWrap w:val="0"/>
            <w:vAlign w:val="top"/>
          </w:tcPr>
          <w:p>
            <w:pPr>
              <w:tabs>
                <w:tab w:val="left" w:pos="4820"/>
              </w:tabs>
              <w:spacing w:line="360" w:lineRule="auto"/>
              <w:rPr>
                <w:rFonts w:hint="eastAsia" w:eastAsia="宋体"/>
                <w:szCs w:val="21"/>
                <w:highlight w:val="none"/>
              </w:rPr>
            </w:pPr>
            <w:r>
              <w:rPr>
                <w:rFonts w:hint="eastAsia" w:eastAsia="宋体"/>
                <w:szCs w:val="21"/>
                <w:highlight w:val="none"/>
              </w:rPr>
              <w:t>地    址：南通市通州区平潮镇南通轨道交通平东车辆段</w:t>
            </w:r>
          </w:p>
        </w:tc>
        <w:tc>
          <w:tcPr>
            <w:tcW w:w="4644" w:type="dxa"/>
            <w:noWrap w:val="0"/>
            <w:vAlign w:val="top"/>
          </w:tcPr>
          <w:p>
            <w:pPr>
              <w:tabs>
                <w:tab w:val="left" w:pos="4820"/>
              </w:tabs>
              <w:spacing w:line="360" w:lineRule="auto"/>
              <w:rPr>
                <w:rFonts w:hint="eastAsia" w:eastAsia="宋体"/>
                <w:szCs w:val="21"/>
                <w:highlight w:val="none"/>
              </w:rPr>
            </w:pPr>
            <w:r>
              <w:rPr>
                <w:rFonts w:hint="eastAsia" w:eastAsia="宋体"/>
                <w:szCs w:val="21"/>
                <w:highlight w:val="none"/>
              </w:rPr>
              <w:t>地    址：南通市崇川区北大街88号威斯汀铂晶商业广场</w:t>
            </w:r>
          </w:p>
        </w:tc>
      </w:tr>
      <w:tr>
        <w:tblPrEx>
          <w:tblCellMar>
            <w:top w:w="0" w:type="dxa"/>
            <w:left w:w="108" w:type="dxa"/>
            <w:bottom w:w="0" w:type="dxa"/>
            <w:right w:w="108" w:type="dxa"/>
          </w:tblCellMar>
        </w:tblPrEx>
        <w:trPr>
          <w:jc w:val="center"/>
        </w:trPr>
        <w:tc>
          <w:tcPr>
            <w:tcW w:w="4643" w:type="dxa"/>
            <w:noWrap w:val="0"/>
            <w:vAlign w:val="top"/>
          </w:tcPr>
          <w:p>
            <w:pPr>
              <w:tabs>
                <w:tab w:val="left" w:pos="4820"/>
              </w:tabs>
              <w:spacing w:line="360" w:lineRule="auto"/>
              <w:rPr>
                <w:rFonts w:hint="eastAsia" w:eastAsia="宋体"/>
                <w:szCs w:val="21"/>
                <w:highlight w:val="none"/>
              </w:rPr>
            </w:pPr>
            <w:r>
              <w:rPr>
                <w:rFonts w:hint="eastAsia" w:eastAsia="宋体"/>
                <w:szCs w:val="21"/>
                <w:highlight w:val="none"/>
              </w:rPr>
              <w:t xml:space="preserve">邮    编： </w:t>
            </w:r>
            <w:r>
              <w:rPr>
                <w:rFonts w:eastAsia="宋体"/>
                <w:szCs w:val="21"/>
                <w:highlight w:val="none"/>
              </w:rPr>
              <w:t>226400</w:t>
            </w:r>
          </w:p>
        </w:tc>
        <w:tc>
          <w:tcPr>
            <w:tcW w:w="4644" w:type="dxa"/>
            <w:noWrap w:val="0"/>
            <w:vAlign w:val="top"/>
          </w:tcPr>
          <w:p>
            <w:pPr>
              <w:tabs>
                <w:tab w:val="left" w:pos="4820"/>
              </w:tabs>
              <w:spacing w:line="360" w:lineRule="auto"/>
              <w:rPr>
                <w:rFonts w:hint="eastAsia" w:eastAsia="宋体"/>
                <w:szCs w:val="21"/>
                <w:highlight w:val="none"/>
              </w:rPr>
            </w:pPr>
            <w:r>
              <w:rPr>
                <w:rFonts w:hint="eastAsia" w:eastAsia="宋体"/>
                <w:szCs w:val="21"/>
                <w:highlight w:val="none"/>
              </w:rPr>
              <w:t>邮    编：226011</w:t>
            </w:r>
          </w:p>
        </w:tc>
      </w:tr>
      <w:tr>
        <w:trPr>
          <w:jc w:val="center"/>
        </w:trPr>
        <w:tc>
          <w:tcPr>
            <w:tcW w:w="4643" w:type="dxa"/>
            <w:noWrap w:val="0"/>
            <w:vAlign w:val="top"/>
          </w:tcPr>
          <w:p>
            <w:pPr>
              <w:tabs>
                <w:tab w:val="left" w:pos="4820"/>
              </w:tabs>
              <w:spacing w:line="360" w:lineRule="auto"/>
              <w:rPr>
                <w:rFonts w:hint="eastAsia" w:eastAsia="宋体"/>
                <w:szCs w:val="21"/>
                <w:highlight w:val="none"/>
              </w:rPr>
            </w:pPr>
            <w:r>
              <w:rPr>
                <w:rFonts w:hint="eastAsia" w:eastAsia="宋体"/>
                <w:szCs w:val="21"/>
                <w:highlight w:val="none"/>
              </w:rPr>
              <w:t>联 系 人：宗先生</w:t>
            </w:r>
          </w:p>
        </w:tc>
        <w:tc>
          <w:tcPr>
            <w:tcW w:w="4644" w:type="dxa"/>
            <w:noWrap w:val="0"/>
            <w:vAlign w:val="top"/>
          </w:tcPr>
          <w:p>
            <w:pPr>
              <w:tabs>
                <w:tab w:val="left" w:pos="4820"/>
              </w:tabs>
              <w:spacing w:line="360" w:lineRule="auto"/>
              <w:rPr>
                <w:rFonts w:hint="eastAsia" w:eastAsia="宋体"/>
                <w:szCs w:val="21"/>
                <w:highlight w:val="none"/>
              </w:rPr>
            </w:pPr>
            <w:r>
              <w:rPr>
                <w:rFonts w:hint="eastAsia" w:eastAsia="宋体"/>
                <w:szCs w:val="21"/>
                <w:highlight w:val="none"/>
              </w:rPr>
              <w:t>联 系 人：孙女士</w:t>
            </w:r>
          </w:p>
        </w:tc>
      </w:tr>
      <w:tr>
        <w:tblPrEx>
          <w:tblCellMar>
            <w:top w:w="0" w:type="dxa"/>
            <w:left w:w="108" w:type="dxa"/>
            <w:bottom w:w="0" w:type="dxa"/>
            <w:right w:w="108" w:type="dxa"/>
          </w:tblCellMar>
        </w:tblPrEx>
        <w:trPr>
          <w:trHeight w:val="573" w:hRule="atLeast"/>
          <w:jc w:val="center"/>
        </w:trPr>
        <w:tc>
          <w:tcPr>
            <w:tcW w:w="4643" w:type="dxa"/>
            <w:noWrap w:val="0"/>
            <w:vAlign w:val="top"/>
          </w:tcPr>
          <w:p>
            <w:pPr>
              <w:tabs>
                <w:tab w:val="left" w:pos="4820"/>
              </w:tabs>
              <w:spacing w:line="360" w:lineRule="auto"/>
              <w:rPr>
                <w:rFonts w:hint="eastAsia" w:eastAsia="宋体"/>
                <w:szCs w:val="21"/>
                <w:highlight w:val="none"/>
              </w:rPr>
            </w:pPr>
            <w:r>
              <w:rPr>
                <w:rFonts w:hint="eastAsia" w:eastAsia="宋体"/>
                <w:szCs w:val="21"/>
                <w:highlight w:val="none"/>
              </w:rPr>
              <w:t xml:space="preserve">电    话： </w:t>
            </w:r>
            <w:r>
              <w:rPr>
                <w:highlight w:val="none"/>
                <w:u w:val="single"/>
              </w:rPr>
              <w:t>0513-6988868</w:t>
            </w:r>
            <w:r>
              <w:rPr>
                <w:rFonts w:hint="eastAsia"/>
                <w:highlight w:val="none"/>
                <w:u w:val="single"/>
              </w:rPr>
              <w:t>0</w:t>
            </w:r>
          </w:p>
        </w:tc>
        <w:tc>
          <w:tcPr>
            <w:tcW w:w="4644" w:type="dxa"/>
            <w:noWrap w:val="0"/>
            <w:vAlign w:val="top"/>
          </w:tcPr>
          <w:p>
            <w:pPr>
              <w:tabs>
                <w:tab w:val="left" w:pos="4820"/>
              </w:tabs>
              <w:spacing w:line="360" w:lineRule="auto"/>
              <w:rPr>
                <w:rFonts w:eastAsia="宋体"/>
                <w:szCs w:val="21"/>
                <w:highlight w:val="none"/>
              </w:rPr>
            </w:pPr>
            <w:r>
              <w:rPr>
                <w:rFonts w:hint="eastAsia" w:eastAsia="宋体"/>
                <w:szCs w:val="21"/>
                <w:highlight w:val="none"/>
              </w:rPr>
              <w:t>电    话：13773600529</w:t>
            </w:r>
          </w:p>
        </w:tc>
      </w:tr>
      <w:tr>
        <w:tblPrEx>
          <w:tblCellMar>
            <w:top w:w="0" w:type="dxa"/>
            <w:left w:w="108" w:type="dxa"/>
            <w:bottom w:w="0" w:type="dxa"/>
            <w:right w:w="108" w:type="dxa"/>
          </w:tblCellMar>
        </w:tblPrEx>
        <w:trPr>
          <w:jc w:val="center"/>
        </w:trPr>
        <w:tc>
          <w:tcPr>
            <w:tcW w:w="4643" w:type="dxa"/>
            <w:noWrap w:val="0"/>
            <w:vAlign w:val="top"/>
          </w:tcPr>
          <w:p>
            <w:pPr>
              <w:tabs>
                <w:tab w:val="left" w:pos="4820"/>
              </w:tabs>
              <w:spacing w:line="360" w:lineRule="auto"/>
              <w:rPr>
                <w:rFonts w:hint="eastAsia" w:eastAsia="宋体"/>
                <w:szCs w:val="21"/>
                <w:highlight w:val="none"/>
              </w:rPr>
            </w:pPr>
            <w:r>
              <w:rPr>
                <w:rFonts w:hint="eastAsia" w:eastAsia="宋体"/>
                <w:szCs w:val="21"/>
                <w:highlight w:val="none"/>
              </w:rPr>
              <w:t>电子邮件：/</w:t>
            </w:r>
          </w:p>
        </w:tc>
        <w:tc>
          <w:tcPr>
            <w:tcW w:w="4644" w:type="dxa"/>
            <w:noWrap w:val="0"/>
            <w:vAlign w:val="top"/>
          </w:tcPr>
          <w:p>
            <w:pPr>
              <w:tabs>
                <w:tab w:val="left" w:pos="4820"/>
              </w:tabs>
              <w:spacing w:line="360" w:lineRule="auto"/>
              <w:rPr>
                <w:rFonts w:eastAsia="宋体"/>
                <w:szCs w:val="21"/>
                <w:highlight w:val="none"/>
              </w:rPr>
            </w:pPr>
            <w:r>
              <w:rPr>
                <w:rFonts w:hint="eastAsia" w:eastAsia="宋体"/>
                <w:szCs w:val="21"/>
                <w:highlight w:val="none"/>
              </w:rPr>
              <w:t>电子邮件：115400033@qq.com</w:t>
            </w:r>
          </w:p>
        </w:tc>
      </w:tr>
    </w:tbl>
    <w:p>
      <w:pPr>
        <w:tabs>
          <w:tab w:val="left" w:pos="4820"/>
        </w:tabs>
        <w:spacing w:line="360" w:lineRule="auto"/>
        <w:rPr>
          <w:rFonts w:hint="eastAsia" w:eastAsia="宋体"/>
          <w:szCs w:val="21"/>
          <w:highlight w:val="none"/>
        </w:rPr>
      </w:pPr>
    </w:p>
    <w:p>
      <w:pPr>
        <w:tabs>
          <w:tab w:val="left" w:pos="4820"/>
        </w:tabs>
        <w:spacing w:line="360" w:lineRule="auto"/>
        <w:ind w:firstLine="420" w:firstLineChars="200"/>
        <w:jc w:val="right"/>
        <w:rPr>
          <w:rFonts w:eastAsia="宋体"/>
          <w:szCs w:val="21"/>
          <w:highlight w:val="none"/>
        </w:rPr>
      </w:pPr>
      <w:r>
        <w:rPr>
          <w:rFonts w:hint="eastAsia" w:eastAsia="宋体"/>
          <w:szCs w:val="21"/>
          <w:highlight w:val="none"/>
        </w:rPr>
        <w:t>2024年0</w:t>
      </w:r>
      <w:r>
        <w:rPr>
          <w:rFonts w:eastAsia="宋体"/>
          <w:szCs w:val="21"/>
          <w:highlight w:val="none"/>
        </w:rPr>
        <w:t>5</w:t>
      </w:r>
      <w:r>
        <w:rPr>
          <w:rFonts w:hint="eastAsia" w:eastAsia="宋体"/>
          <w:szCs w:val="21"/>
          <w:highlight w:val="none"/>
        </w:rPr>
        <w:t>月</w:t>
      </w:r>
      <w:r>
        <w:rPr>
          <w:rFonts w:eastAsia="宋体"/>
          <w:szCs w:val="21"/>
          <w:highlight w:val="none"/>
        </w:rPr>
        <w:t>09</w:t>
      </w:r>
      <w:r>
        <w:rPr>
          <w:rFonts w:hint="eastAsia" w:eastAsia="宋体"/>
          <w:szCs w:val="21"/>
          <w:highlight w:val="none"/>
        </w:rPr>
        <w:t>日</w:t>
      </w:r>
    </w:p>
    <w:p>
      <w:pPr>
        <w:rPr>
          <w:rFonts w:hint="eastAsia" w:ascii="宋体" w:hAnsi="宋体" w:cs="宋体"/>
          <w:szCs w:val="21"/>
        </w:rPr>
      </w:pPr>
      <w:r>
        <w:rPr>
          <w:rFonts w:ascii="宋体" w:hAnsi="宋体" w:eastAsia="宋体"/>
          <w:szCs w:val="21"/>
        </w:rPr>
        <w:br w:type="page"/>
      </w:r>
    </w:p>
    <w:p>
      <w:pPr>
        <w:pStyle w:val="2"/>
        <w:numPr>
          <w:ilvl w:val="0"/>
          <w:numId w:val="2"/>
        </w:numPr>
        <w:tabs>
          <w:tab w:val="left" w:pos="1701"/>
        </w:tabs>
        <w:ind w:left="0" w:firstLine="0"/>
        <w:rPr>
          <w:rFonts w:ascii="宋体" w:hAnsi="宋体" w:cs="宋体"/>
        </w:rPr>
      </w:pPr>
      <w:bookmarkStart w:id="124" w:name="page11"/>
      <w:bookmarkEnd w:id="124"/>
      <w:bookmarkStart w:id="125" w:name="page14"/>
      <w:bookmarkEnd w:id="125"/>
      <w:bookmarkStart w:id="126" w:name="_Toc8250"/>
      <w:bookmarkStart w:id="127" w:name="_Toc10399"/>
      <w:bookmarkStart w:id="128" w:name="_Toc467764178"/>
      <w:bookmarkStart w:id="129" w:name="_Toc9954"/>
      <w:bookmarkStart w:id="130" w:name="_Toc32238"/>
      <w:bookmarkStart w:id="131" w:name="_Toc4334"/>
      <w:bookmarkStart w:id="132" w:name="_Toc514430352"/>
      <w:bookmarkStart w:id="133" w:name="_Toc18271"/>
      <w:bookmarkStart w:id="134" w:name="_Toc25440"/>
      <w:bookmarkStart w:id="135" w:name="_Toc21066"/>
      <w:bookmarkStart w:id="136" w:name="_Toc16201"/>
      <w:bookmarkStart w:id="137" w:name="_Toc17942"/>
      <w:bookmarkStart w:id="138" w:name="_Toc20466"/>
      <w:bookmarkStart w:id="139" w:name="_Toc681"/>
      <w:bookmarkStart w:id="140" w:name="_Toc31191"/>
      <w:bookmarkStart w:id="141" w:name="_Toc5581"/>
      <w:r>
        <w:rPr>
          <w:rFonts w:hint="eastAsia" w:ascii="宋体" w:hAnsi="宋体" w:cs="宋体"/>
        </w:rPr>
        <w:t>投标人须知</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pPr>
        <w:pStyle w:val="3"/>
        <w:numPr>
          <w:ilvl w:val="0"/>
          <w:numId w:val="0"/>
        </w:numPr>
        <w:spacing w:before="0" w:after="0" w:line="360" w:lineRule="auto"/>
        <w:jc w:val="center"/>
        <w:rPr>
          <w:rFonts w:hint="eastAsia" w:ascii="黑体" w:hAnsi="黑体" w:eastAsia="黑体" w:cs="宋体"/>
        </w:rPr>
      </w:pPr>
      <w:bookmarkStart w:id="142" w:name="_Toc22128"/>
      <w:bookmarkStart w:id="143" w:name="_Toc19198"/>
      <w:bookmarkStart w:id="144" w:name="_Toc7554"/>
      <w:bookmarkStart w:id="145" w:name="_Toc22770"/>
      <w:bookmarkStart w:id="146" w:name="_Toc13284"/>
      <w:bookmarkStart w:id="147" w:name="_Toc13956"/>
      <w:bookmarkStart w:id="148" w:name="_Toc2517"/>
      <w:bookmarkStart w:id="149" w:name="_Toc514430353"/>
      <w:bookmarkStart w:id="150" w:name="_Toc26886"/>
      <w:bookmarkStart w:id="151" w:name="_Toc5463"/>
      <w:bookmarkStart w:id="152" w:name="_Toc3"/>
      <w:bookmarkStart w:id="153" w:name="_Toc17248"/>
      <w:bookmarkStart w:id="154" w:name="_Toc29564"/>
      <w:bookmarkStart w:id="155" w:name="_Toc10540"/>
      <w:bookmarkStart w:id="156" w:name="_Toc19669"/>
      <w:bookmarkStart w:id="157" w:name="_Toc467764179"/>
      <w:r>
        <w:rPr>
          <w:rFonts w:hint="eastAsia" w:ascii="黑体" w:hAnsi="黑体" w:eastAsia="黑体" w:cs="宋体"/>
        </w:rPr>
        <w:t>投标须知前附表</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tbl>
      <w:tblPr>
        <w:tblStyle w:val="60"/>
        <w:tblW w:w="9397" w:type="dxa"/>
        <w:jc w:val="center"/>
        <w:tblLayout w:type="autofit"/>
        <w:tblCellMar>
          <w:top w:w="0" w:type="dxa"/>
          <w:left w:w="108" w:type="dxa"/>
          <w:bottom w:w="0" w:type="dxa"/>
          <w:right w:w="108" w:type="dxa"/>
        </w:tblCellMar>
      </w:tblPr>
      <w:tblGrid>
        <w:gridCol w:w="1007"/>
        <w:gridCol w:w="2929"/>
        <w:gridCol w:w="5461"/>
      </w:tblGrid>
      <w:tr>
        <w:tblPrEx>
          <w:tblCellMar>
            <w:top w:w="0" w:type="dxa"/>
            <w:left w:w="108" w:type="dxa"/>
            <w:bottom w:w="0" w:type="dxa"/>
            <w:right w:w="108" w:type="dxa"/>
          </w:tblCellMar>
        </w:tblPrEx>
        <w:trPr>
          <w:trHeight w:val="20" w:hRule="atLeast"/>
          <w:tblHeader/>
          <w:jc w:val="center"/>
        </w:trPr>
        <w:tc>
          <w:tcPr>
            <w:tcW w:w="1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rPr>
            </w:pPr>
            <w:r>
              <w:rPr>
                <w:rFonts w:hint="eastAsia" w:ascii="宋体" w:hAnsi="宋体" w:eastAsia="宋体" w:cs="宋体"/>
                <w:b/>
              </w:rPr>
              <w:t>条款号</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rPr>
            </w:pPr>
            <w:r>
              <w:rPr>
                <w:rFonts w:hint="eastAsia" w:ascii="宋体" w:hAnsi="宋体" w:eastAsia="宋体" w:cs="宋体"/>
                <w:b/>
              </w:rPr>
              <w:t>条款名称</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rPr>
            </w:pPr>
            <w:r>
              <w:rPr>
                <w:rFonts w:hint="eastAsia" w:ascii="宋体" w:hAnsi="宋体" w:eastAsia="宋体" w:cs="宋体"/>
                <w:b/>
              </w:rPr>
              <w:t>编列内容</w:t>
            </w:r>
          </w:p>
        </w:tc>
      </w:tr>
      <w:tr>
        <w:tblPrEx>
          <w:tblCellMar>
            <w:top w:w="0" w:type="dxa"/>
            <w:left w:w="108" w:type="dxa"/>
            <w:bottom w:w="0" w:type="dxa"/>
            <w:right w:w="108" w:type="dxa"/>
          </w:tblCellMar>
        </w:tblPrEx>
        <w:trPr>
          <w:trHeight w:val="20" w:hRule="atLeast"/>
          <w:jc w:val="center"/>
        </w:trPr>
        <w:tc>
          <w:tcPr>
            <w:tcW w:w="1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1.1.2</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招标人</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eastAsia="宋体" w:cs="宋体"/>
                <w:szCs w:val="21"/>
              </w:rPr>
            </w:pPr>
            <w:r>
              <w:rPr>
                <w:rFonts w:hint="eastAsia" w:ascii="宋体" w:hAnsi="宋体" w:eastAsia="宋体" w:cs="宋体"/>
                <w:szCs w:val="21"/>
              </w:rPr>
              <w:t>名  称：南通轨道交通集团有限公司运营分公司</w:t>
            </w:r>
          </w:p>
          <w:p>
            <w:pPr>
              <w:spacing w:line="360" w:lineRule="auto"/>
              <w:rPr>
                <w:rFonts w:hint="eastAsia" w:ascii="宋体" w:hAnsi="宋体" w:eastAsia="宋体" w:cs="宋体"/>
                <w:szCs w:val="21"/>
              </w:rPr>
            </w:pPr>
            <w:r>
              <w:rPr>
                <w:rFonts w:hint="eastAsia" w:ascii="宋体" w:hAnsi="宋体" w:eastAsia="宋体" w:cs="宋体"/>
                <w:szCs w:val="21"/>
              </w:rPr>
              <w:t>地  址：</w:t>
            </w:r>
            <w:r>
              <w:rPr>
                <w:rFonts w:hint="eastAsia" w:eastAsia="宋体"/>
                <w:szCs w:val="21"/>
              </w:rPr>
              <w:t>南通市通州区平潮镇南通轨道交通平东车辆段</w:t>
            </w:r>
          </w:p>
          <w:p>
            <w:pPr>
              <w:spacing w:line="360" w:lineRule="auto"/>
              <w:rPr>
                <w:rFonts w:hint="eastAsia" w:ascii="宋体" w:hAnsi="宋体" w:eastAsia="宋体" w:cs="宋体"/>
                <w:szCs w:val="21"/>
              </w:rPr>
            </w:pPr>
            <w:r>
              <w:rPr>
                <w:rFonts w:hint="eastAsia" w:ascii="宋体" w:hAnsi="宋体" w:eastAsia="宋体" w:cs="宋体"/>
                <w:szCs w:val="21"/>
              </w:rPr>
              <w:t>联系人：宗先生</w:t>
            </w:r>
          </w:p>
          <w:p>
            <w:pPr>
              <w:spacing w:line="360" w:lineRule="auto"/>
              <w:rPr>
                <w:rFonts w:hint="eastAsia" w:ascii="宋体" w:hAnsi="宋体" w:eastAsia="宋体" w:cs="宋体"/>
                <w:szCs w:val="21"/>
              </w:rPr>
            </w:pPr>
            <w:r>
              <w:rPr>
                <w:rFonts w:hint="eastAsia" w:ascii="宋体" w:hAnsi="宋体" w:eastAsia="宋体" w:cs="宋体"/>
                <w:szCs w:val="21"/>
              </w:rPr>
              <w:t>电  话： 0513-69888680</w:t>
            </w:r>
          </w:p>
        </w:tc>
      </w:tr>
      <w:tr>
        <w:tblPrEx>
          <w:tblCellMar>
            <w:top w:w="0" w:type="dxa"/>
            <w:left w:w="108" w:type="dxa"/>
            <w:bottom w:w="0" w:type="dxa"/>
            <w:right w:w="108" w:type="dxa"/>
          </w:tblCellMar>
        </w:tblPrEx>
        <w:trPr>
          <w:trHeight w:val="20" w:hRule="atLeast"/>
          <w:jc w:val="center"/>
        </w:trPr>
        <w:tc>
          <w:tcPr>
            <w:tcW w:w="1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1.1.3</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招标代理机构</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Cs w:val="21"/>
              </w:rPr>
            </w:pPr>
            <w:r>
              <w:rPr>
                <w:rFonts w:hint="eastAsia" w:ascii="宋体" w:hAnsi="宋体" w:eastAsia="宋体" w:cs="宋体"/>
                <w:szCs w:val="21"/>
              </w:rPr>
              <w:t>名  称：苏世建设管理集团有限公司</w:t>
            </w:r>
          </w:p>
          <w:p>
            <w:pPr>
              <w:spacing w:line="360" w:lineRule="auto"/>
              <w:rPr>
                <w:rFonts w:hint="eastAsia" w:ascii="宋体" w:hAnsi="宋体" w:eastAsia="宋体" w:cs="宋体"/>
                <w:szCs w:val="21"/>
              </w:rPr>
            </w:pPr>
            <w:r>
              <w:rPr>
                <w:rFonts w:hint="eastAsia" w:ascii="宋体" w:hAnsi="宋体" w:eastAsia="宋体" w:cs="宋体"/>
                <w:szCs w:val="21"/>
              </w:rPr>
              <w:t>地  址：南通市崇川区北大街88号威斯汀铂晶商业广场</w:t>
            </w:r>
          </w:p>
          <w:p>
            <w:pPr>
              <w:spacing w:line="360" w:lineRule="auto"/>
              <w:rPr>
                <w:rFonts w:hint="eastAsia" w:ascii="宋体" w:hAnsi="宋体" w:eastAsia="宋体" w:cs="宋体"/>
                <w:szCs w:val="21"/>
              </w:rPr>
            </w:pPr>
            <w:r>
              <w:rPr>
                <w:rFonts w:hint="eastAsia" w:ascii="宋体" w:hAnsi="宋体" w:eastAsia="宋体" w:cs="宋体"/>
                <w:szCs w:val="21"/>
              </w:rPr>
              <w:t>联系人：孙女士</w:t>
            </w:r>
          </w:p>
          <w:p>
            <w:pPr>
              <w:tabs>
                <w:tab w:val="left" w:pos="4820"/>
              </w:tabs>
              <w:spacing w:line="360" w:lineRule="auto"/>
              <w:rPr>
                <w:rFonts w:ascii="宋体" w:hAnsi="宋体" w:eastAsia="宋体" w:cs="宋体"/>
                <w:szCs w:val="21"/>
              </w:rPr>
            </w:pPr>
            <w:r>
              <w:rPr>
                <w:rFonts w:hint="eastAsia" w:ascii="宋体" w:hAnsi="宋体" w:eastAsia="宋体" w:cs="宋体"/>
                <w:szCs w:val="21"/>
              </w:rPr>
              <w:t>电  话：13773600529</w:t>
            </w:r>
          </w:p>
        </w:tc>
      </w:tr>
      <w:tr>
        <w:tblPrEx>
          <w:tblCellMar>
            <w:top w:w="0" w:type="dxa"/>
            <w:left w:w="108" w:type="dxa"/>
            <w:bottom w:w="0" w:type="dxa"/>
            <w:right w:w="108" w:type="dxa"/>
          </w:tblCellMar>
        </w:tblPrEx>
        <w:trPr>
          <w:trHeight w:val="20" w:hRule="atLeast"/>
          <w:jc w:val="center"/>
        </w:trPr>
        <w:tc>
          <w:tcPr>
            <w:tcW w:w="1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1.1.4</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招标项目名称</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Cs w:val="21"/>
              </w:rPr>
            </w:pPr>
            <w:r>
              <w:rPr>
                <w:rFonts w:hint="eastAsia" w:ascii="宋体" w:hAnsi="宋体" w:eastAsia="宋体" w:cs="宋体"/>
                <w:szCs w:val="21"/>
              </w:rPr>
              <w:t>南通轨道交通集团有限公司运营分公司2024年1、2号线接触网车辆段增设可视化接地装置采购项目</w:t>
            </w:r>
          </w:p>
        </w:tc>
      </w:tr>
      <w:tr>
        <w:tblPrEx>
          <w:tblCellMar>
            <w:top w:w="0" w:type="dxa"/>
            <w:left w:w="108" w:type="dxa"/>
            <w:bottom w:w="0" w:type="dxa"/>
            <w:right w:w="108" w:type="dxa"/>
          </w:tblCellMar>
        </w:tblPrEx>
        <w:trPr>
          <w:trHeight w:val="20" w:hRule="atLeast"/>
          <w:jc w:val="center"/>
        </w:trPr>
        <w:tc>
          <w:tcPr>
            <w:tcW w:w="1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1.2.2</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资金来源及比例</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Cs w:val="21"/>
                <w:u w:val="single"/>
              </w:rPr>
            </w:pPr>
            <w:r>
              <w:rPr>
                <w:rFonts w:hint="eastAsia" w:ascii="宋体" w:hAnsi="宋体" w:eastAsia="宋体" w:cs="宋体"/>
                <w:szCs w:val="21"/>
              </w:rPr>
              <w:t>自筹，比例为</w:t>
            </w:r>
            <w:r>
              <w:rPr>
                <w:rFonts w:hint="eastAsia" w:ascii="宋体" w:hAnsi="宋体" w:eastAsia="宋体" w:cs="宋体"/>
                <w:szCs w:val="21"/>
                <w:u w:val="single"/>
              </w:rPr>
              <w:t xml:space="preserve"> 100% </w:t>
            </w:r>
          </w:p>
        </w:tc>
      </w:tr>
      <w:tr>
        <w:tblPrEx>
          <w:tblCellMar>
            <w:top w:w="0" w:type="dxa"/>
            <w:left w:w="108" w:type="dxa"/>
            <w:bottom w:w="0" w:type="dxa"/>
            <w:right w:w="108" w:type="dxa"/>
          </w:tblCellMar>
        </w:tblPrEx>
        <w:trPr>
          <w:trHeight w:val="20" w:hRule="atLeast"/>
          <w:jc w:val="center"/>
        </w:trPr>
        <w:tc>
          <w:tcPr>
            <w:tcW w:w="1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1.2.2</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资金落实情况</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Cs w:val="21"/>
              </w:rPr>
            </w:pPr>
            <w:r>
              <w:rPr>
                <w:rFonts w:hint="eastAsia" w:ascii="宋体" w:hAnsi="宋体" w:eastAsia="宋体" w:cs="宋体"/>
                <w:szCs w:val="21"/>
              </w:rPr>
              <w:t>已落实</w:t>
            </w:r>
          </w:p>
        </w:tc>
      </w:tr>
      <w:tr>
        <w:tblPrEx>
          <w:tblCellMar>
            <w:top w:w="0" w:type="dxa"/>
            <w:left w:w="108" w:type="dxa"/>
            <w:bottom w:w="0" w:type="dxa"/>
            <w:right w:w="108" w:type="dxa"/>
          </w:tblCellMar>
        </w:tblPrEx>
        <w:trPr>
          <w:trHeight w:val="20" w:hRule="atLeast"/>
          <w:jc w:val="center"/>
        </w:trPr>
        <w:tc>
          <w:tcPr>
            <w:tcW w:w="1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1.3.1</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招标范围</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pStyle w:val="252"/>
              <w:tabs>
                <w:tab w:val="left" w:pos="993"/>
              </w:tabs>
              <w:spacing w:line="360" w:lineRule="auto"/>
              <w:ind w:firstLine="0" w:firstLineChars="0"/>
              <w:rPr>
                <w:rFonts w:hint="eastAsia" w:ascii="宋体" w:hAnsi="宋体" w:eastAsia="宋体" w:cs="宋体"/>
                <w:szCs w:val="21"/>
              </w:rPr>
            </w:pPr>
            <w:r>
              <w:rPr>
                <w:rFonts w:hint="eastAsia" w:ascii="宋体" w:hAnsi="宋体" w:eastAsia="宋体" w:cs="宋体"/>
                <w:szCs w:val="21"/>
              </w:rPr>
              <w:t>南通轨道交通1号线平东车辆段设计供电分区6个（1D01-1D06），小海停车场设计供电分区3个(1P01-1P03)，2号线幸福车辆段设计供电分区5个（2D01-2D05），现已设置26台可视化自动接地装置，分布在各个分区上网隔离开关及出入段、场联络线处，并在场段牵混所内设置一台站级可视化监控主机，控制中心设置两台中央级可视化接地系统分别监控1、2号线全部可视化接地装置。</w:t>
            </w:r>
          </w:p>
          <w:p>
            <w:pPr>
              <w:pStyle w:val="252"/>
              <w:tabs>
                <w:tab w:val="left" w:pos="993"/>
              </w:tabs>
              <w:spacing w:line="360" w:lineRule="auto"/>
              <w:ind w:firstLine="0" w:firstLineChars="0"/>
              <w:rPr>
                <w:rFonts w:hint="eastAsia" w:ascii="宋体" w:hAnsi="宋体" w:eastAsia="宋体" w:cs="宋体"/>
                <w:szCs w:val="21"/>
              </w:rPr>
            </w:pPr>
            <w:r>
              <w:rPr>
                <w:rFonts w:hint="eastAsia" w:ascii="宋体" w:hAnsi="宋体" w:eastAsia="宋体" w:cs="宋体"/>
                <w:szCs w:val="21"/>
              </w:rPr>
              <w:t>本项目工程需在南通地铁1、2号线场段各分区间分段绝缘器两侧加装可视化接地系统，并接入原有可视化系统。</w:t>
            </w:r>
          </w:p>
        </w:tc>
      </w:tr>
      <w:tr>
        <w:tblPrEx>
          <w:tblCellMar>
            <w:top w:w="0" w:type="dxa"/>
            <w:left w:w="108" w:type="dxa"/>
            <w:bottom w:w="0" w:type="dxa"/>
            <w:right w:w="108" w:type="dxa"/>
          </w:tblCellMar>
        </w:tblPrEx>
        <w:trPr>
          <w:trHeight w:val="677" w:hRule="atLeast"/>
          <w:jc w:val="center"/>
        </w:trPr>
        <w:tc>
          <w:tcPr>
            <w:tcW w:w="1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1.3.2</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服务期</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Cs w:val="21"/>
              </w:rPr>
            </w:pPr>
            <w:r>
              <w:rPr>
                <w:rFonts w:hint="eastAsia" w:ascii="宋体" w:hAnsi="宋体" w:eastAsia="宋体" w:cs="宋体"/>
                <w:szCs w:val="21"/>
              </w:rPr>
              <w:t>自合同签订之日起，一年内有效。</w:t>
            </w:r>
          </w:p>
        </w:tc>
      </w:tr>
      <w:tr>
        <w:tblPrEx>
          <w:tblCellMar>
            <w:top w:w="0" w:type="dxa"/>
            <w:left w:w="108" w:type="dxa"/>
            <w:bottom w:w="0" w:type="dxa"/>
            <w:right w:w="108" w:type="dxa"/>
          </w:tblCellMar>
        </w:tblPrEx>
        <w:trPr>
          <w:trHeight w:val="20" w:hRule="atLeast"/>
          <w:jc w:val="center"/>
        </w:trPr>
        <w:tc>
          <w:tcPr>
            <w:tcW w:w="1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1.3.3</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工程地点</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Cs w:val="21"/>
              </w:rPr>
            </w:pPr>
            <w:r>
              <w:rPr>
                <w:rFonts w:hint="eastAsia" w:ascii="宋体" w:hAnsi="宋体" w:eastAsia="宋体" w:cs="宋体"/>
                <w:szCs w:val="21"/>
              </w:rPr>
              <w:t>招标人指定的地点。</w:t>
            </w:r>
          </w:p>
        </w:tc>
      </w:tr>
      <w:tr>
        <w:tblPrEx>
          <w:tblCellMar>
            <w:top w:w="0" w:type="dxa"/>
            <w:left w:w="108" w:type="dxa"/>
            <w:bottom w:w="0" w:type="dxa"/>
            <w:right w:w="108" w:type="dxa"/>
          </w:tblCellMar>
        </w:tblPrEx>
        <w:trPr>
          <w:trHeight w:val="20" w:hRule="atLeast"/>
          <w:jc w:val="center"/>
        </w:trPr>
        <w:tc>
          <w:tcPr>
            <w:tcW w:w="1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1.3.4</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技术性能指标</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Cs w:val="21"/>
              </w:rPr>
            </w:pPr>
            <w:r>
              <w:rPr>
                <w:rFonts w:hint="eastAsia" w:ascii="宋体" w:hAnsi="宋体" w:eastAsia="宋体" w:cs="宋体"/>
                <w:szCs w:val="21"/>
              </w:rPr>
              <w:t>详见用户需求书</w:t>
            </w:r>
          </w:p>
        </w:tc>
      </w:tr>
      <w:tr>
        <w:tblPrEx>
          <w:tblCellMar>
            <w:top w:w="0" w:type="dxa"/>
            <w:left w:w="108" w:type="dxa"/>
            <w:bottom w:w="0" w:type="dxa"/>
            <w:right w:w="108" w:type="dxa"/>
          </w:tblCellMar>
        </w:tblPrEx>
        <w:trPr>
          <w:trHeight w:val="20" w:hRule="atLeast"/>
          <w:jc w:val="center"/>
        </w:trPr>
        <w:tc>
          <w:tcPr>
            <w:tcW w:w="1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1.4.1</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pStyle w:val="252"/>
              <w:spacing w:line="360" w:lineRule="auto"/>
              <w:ind w:firstLine="0" w:firstLineChars="0"/>
              <w:rPr>
                <w:rFonts w:hint="eastAsia" w:ascii="宋体" w:hAnsi="宋体" w:eastAsia="宋体" w:cs="宋体"/>
                <w:szCs w:val="21"/>
              </w:rPr>
            </w:pPr>
            <w:r>
              <w:rPr>
                <w:rFonts w:hint="eastAsia" w:ascii="宋体" w:hAnsi="宋体" w:eastAsia="宋体" w:cs="宋体"/>
                <w:szCs w:val="21"/>
              </w:rPr>
              <w:t>投标人资质条件、能力、</w:t>
            </w:r>
            <w:r>
              <w:rPr>
                <w:rFonts w:hint="eastAsia" w:ascii="宋体" w:hAnsi="宋体" w:eastAsia="宋体" w:cs="宋体"/>
                <w:bCs/>
                <w:szCs w:val="21"/>
              </w:rPr>
              <w:t>信誉</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pStyle w:val="252"/>
              <w:numPr>
                <w:ilvl w:val="3"/>
                <w:numId w:val="4"/>
              </w:numPr>
              <w:spacing w:line="360" w:lineRule="auto"/>
              <w:ind w:left="0" w:firstLine="0" w:firstLineChars="0"/>
              <w:jc w:val="both"/>
              <w:rPr>
                <w:rFonts w:hint="eastAsia" w:ascii="宋体" w:hAnsi="宋体" w:eastAsia="宋体" w:cs="宋体"/>
                <w:szCs w:val="21"/>
              </w:rPr>
            </w:pPr>
            <w:r>
              <w:rPr>
                <w:rFonts w:hint="eastAsia" w:ascii="宋体" w:hAnsi="宋体" w:eastAsia="宋体" w:cs="宋体"/>
                <w:bCs/>
                <w:szCs w:val="21"/>
              </w:rPr>
              <w:t>资质要求：</w:t>
            </w:r>
          </w:p>
          <w:p>
            <w:pPr>
              <w:pStyle w:val="252"/>
              <w:spacing w:line="360" w:lineRule="auto"/>
              <w:ind w:firstLine="0" w:firstLineChars="0"/>
              <w:jc w:val="both"/>
              <w:rPr>
                <w:rFonts w:hint="eastAsia" w:ascii="宋体" w:hAnsi="宋体" w:eastAsia="宋体" w:cs="宋体"/>
                <w:b/>
                <w:szCs w:val="21"/>
              </w:rPr>
            </w:pPr>
            <w:r>
              <w:rPr>
                <w:rFonts w:hint="eastAsia" w:ascii="宋体" w:hAnsi="宋体" w:eastAsia="宋体" w:cs="宋体"/>
                <w:szCs w:val="21"/>
              </w:rPr>
              <w:t>1.1投标人必须是注册于中华人民共和国境内，具有独立承担民事责任能力的企业法人或事业单位法人，持有有效的企业营业执照或事业单位法人证书；</w:t>
            </w:r>
            <w:r>
              <w:rPr>
                <w:rFonts w:hint="eastAsia" w:ascii="宋体" w:hAnsi="宋体" w:eastAsia="宋体" w:cs="宋体"/>
                <w:b/>
                <w:bCs/>
                <w:szCs w:val="21"/>
              </w:rPr>
              <w:t>须</w:t>
            </w:r>
            <w:r>
              <w:rPr>
                <w:rFonts w:hint="eastAsia" w:ascii="宋体" w:hAnsi="宋体" w:eastAsia="宋体" w:cs="宋体"/>
                <w:b/>
                <w:szCs w:val="21"/>
              </w:rPr>
              <w:t>提供企业营业执照或事业单位法人证书复印件加盖投标单位公章。</w:t>
            </w:r>
          </w:p>
          <w:p>
            <w:pPr>
              <w:pStyle w:val="252"/>
              <w:tabs>
                <w:tab w:val="left" w:pos="993"/>
              </w:tabs>
              <w:spacing w:line="360" w:lineRule="auto"/>
              <w:ind w:firstLine="0" w:firstLineChars="0"/>
              <w:rPr>
                <w:rFonts w:hint="eastAsia" w:eastAsia="宋体"/>
                <w:szCs w:val="21"/>
              </w:rPr>
            </w:pPr>
            <w:r>
              <w:rPr>
                <w:rFonts w:hint="eastAsia" w:ascii="宋体" w:hAnsi="宋体" w:eastAsia="宋体" w:cs="宋体"/>
                <w:szCs w:val="21"/>
              </w:rPr>
              <w:t>1.2</w:t>
            </w:r>
            <w:r>
              <w:rPr>
                <w:rFonts w:hint="eastAsia" w:eastAsia="宋体"/>
                <w:szCs w:val="21"/>
              </w:rPr>
              <w:t>投标人同时具有以下：</w:t>
            </w:r>
          </w:p>
          <w:p>
            <w:pPr>
              <w:pStyle w:val="252"/>
              <w:tabs>
                <w:tab w:val="left" w:pos="993"/>
              </w:tabs>
              <w:spacing w:line="360" w:lineRule="auto"/>
              <w:ind w:firstLine="0" w:firstLineChars="0"/>
              <w:rPr>
                <w:rFonts w:hint="eastAsia" w:eastAsia="宋体"/>
                <w:szCs w:val="21"/>
              </w:rPr>
            </w:pPr>
            <w:r>
              <w:rPr>
                <w:rFonts w:hint="eastAsia" w:eastAsia="宋体"/>
                <w:szCs w:val="21"/>
              </w:rPr>
              <w:t>①具有铁路电气化工程专业承包三级及以上资质或承装（修、试）电力设施许可证五级及以上电力设施许可证（须在有效期内）；</w:t>
            </w:r>
          </w:p>
          <w:p>
            <w:pPr>
              <w:pStyle w:val="252"/>
              <w:spacing w:line="360" w:lineRule="auto"/>
              <w:ind w:firstLine="0" w:firstLineChars="0"/>
              <w:jc w:val="both"/>
              <w:rPr>
                <w:rFonts w:hint="eastAsia" w:ascii="宋体" w:hAnsi="宋体" w:eastAsia="宋体" w:cs="宋体"/>
                <w:b/>
                <w:szCs w:val="21"/>
              </w:rPr>
            </w:pPr>
            <w:r>
              <w:rPr>
                <w:rFonts w:hint="eastAsia" w:eastAsia="宋体"/>
                <w:szCs w:val="21"/>
              </w:rPr>
              <w:t>②具有有效的安全生产许可证。</w:t>
            </w:r>
          </w:p>
          <w:p>
            <w:pPr>
              <w:pStyle w:val="252"/>
              <w:numPr>
                <w:ilvl w:val="3"/>
                <w:numId w:val="4"/>
              </w:numPr>
              <w:spacing w:line="360" w:lineRule="auto"/>
              <w:ind w:left="0" w:firstLine="0" w:firstLineChars="0"/>
              <w:jc w:val="both"/>
              <w:rPr>
                <w:rFonts w:hint="eastAsia" w:ascii="宋体" w:hAnsi="宋体" w:eastAsia="宋体" w:cs="宋体"/>
                <w:bCs/>
                <w:szCs w:val="21"/>
              </w:rPr>
            </w:pPr>
            <w:r>
              <w:rPr>
                <w:rFonts w:hint="eastAsia" w:ascii="宋体" w:hAnsi="宋体" w:eastAsia="宋体" w:cs="宋体"/>
                <w:bCs/>
                <w:szCs w:val="21"/>
              </w:rPr>
              <w:t>信誉要求：</w:t>
            </w:r>
          </w:p>
          <w:p>
            <w:pPr>
              <w:pStyle w:val="252"/>
              <w:tabs>
                <w:tab w:val="left" w:pos="993"/>
              </w:tabs>
              <w:spacing w:line="360" w:lineRule="auto"/>
              <w:ind w:firstLine="0" w:firstLineChars="0"/>
              <w:rPr>
                <w:rFonts w:hint="eastAsia" w:eastAsia="宋体"/>
                <w:szCs w:val="21"/>
              </w:rPr>
            </w:pPr>
            <w:r>
              <w:rPr>
                <w:rFonts w:hint="eastAsia" w:eastAsia="宋体"/>
                <w:szCs w:val="21"/>
              </w:rPr>
              <w:t>通过“信用中国”网站（www.creditchina.gov.cn）、“中国执行信息公开网（http://zxgk.court.gov.cn/）”查询，未被查询为失信被执行人、重大税收违法案件当事人等不良行为的；提供符合“投标文件格式”要求的承诺函。</w:t>
            </w:r>
          </w:p>
          <w:p>
            <w:pPr>
              <w:pStyle w:val="252"/>
              <w:numPr>
                <w:ilvl w:val="3"/>
                <w:numId w:val="4"/>
              </w:numPr>
              <w:spacing w:line="360" w:lineRule="auto"/>
              <w:ind w:left="0" w:firstLine="0" w:firstLineChars="0"/>
              <w:jc w:val="both"/>
              <w:rPr>
                <w:rFonts w:hint="eastAsia" w:ascii="宋体" w:hAnsi="宋体" w:eastAsia="宋体" w:cs="宋体"/>
                <w:szCs w:val="21"/>
              </w:rPr>
            </w:pPr>
            <w:r>
              <w:rPr>
                <w:rFonts w:hint="eastAsia" w:ascii="宋体" w:hAnsi="宋体" w:eastAsia="宋体" w:cs="宋体"/>
                <w:szCs w:val="21"/>
              </w:rPr>
              <w:t>人员要求：</w:t>
            </w:r>
          </w:p>
          <w:p>
            <w:pPr>
              <w:pStyle w:val="252"/>
              <w:spacing w:line="360" w:lineRule="auto"/>
              <w:ind w:firstLine="0" w:firstLineChars="0"/>
              <w:jc w:val="both"/>
              <w:rPr>
                <w:rFonts w:ascii="宋体" w:hAnsi="宋体" w:eastAsia="宋体" w:cs="宋体"/>
                <w:szCs w:val="21"/>
              </w:rPr>
            </w:pPr>
            <w:r>
              <w:rPr>
                <w:rFonts w:hint="eastAsia" w:eastAsia="宋体"/>
                <w:szCs w:val="21"/>
              </w:rPr>
              <w:t>项目经理（项目负责人）资格：二级及以上注册建造师（机电工程专业）资质，并具备安全考核合格证书（B类证）</w:t>
            </w:r>
            <w:r>
              <w:rPr>
                <w:rFonts w:hint="eastAsia" w:ascii="宋体" w:hAnsi="宋体" w:eastAsia="宋体" w:cs="宋体"/>
                <w:b/>
                <w:bCs/>
                <w:szCs w:val="21"/>
              </w:rPr>
              <w:t>（提供近2024年内三个月社保证明及资格证书复印件加盖投标单位公章）</w:t>
            </w:r>
          </w:p>
          <w:p>
            <w:pPr>
              <w:pStyle w:val="252"/>
              <w:tabs>
                <w:tab w:val="left" w:pos="993"/>
              </w:tabs>
              <w:spacing w:line="360" w:lineRule="auto"/>
              <w:ind w:firstLine="0" w:firstLineChars="0"/>
              <w:rPr>
                <w:rFonts w:hint="eastAsia" w:ascii="宋体" w:hAnsi="宋体" w:eastAsia="宋体" w:cs="宋体"/>
                <w:szCs w:val="21"/>
              </w:rPr>
            </w:pPr>
            <w:r>
              <w:rPr>
                <w:rFonts w:hint="eastAsia" w:ascii="宋体" w:hAnsi="宋体" w:eastAsia="宋体" w:cs="宋体"/>
                <w:bCs/>
                <w:szCs w:val="21"/>
              </w:rPr>
              <w:t>4.其他要求：/</w:t>
            </w:r>
          </w:p>
        </w:tc>
      </w:tr>
      <w:tr>
        <w:tblPrEx>
          <w:tblCellMar>
            <w:top w:w="0" w:type="dxa"/>
            <w:left w:w="108" w:type="dxa"/>
            <w:bottom w:w="0" w:type="dxa"/>
            <w:right w:w="108" w:type="dxa"/>
          </w:tblCellMar>
        </w:tblPrEx>
        <w:trPr>
          <w:trHeight w:val="20" w:hRule="atLeast"/>
          <w:jc w:val="center"/>
        </w:trPr>
        <w:tc>
          <w:tcPr>
            <w:tcW w:w="1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1.4.2</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是否接受联合体投标</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pStyle w:val="22"/>
              <w:topLinePunct/>
              <w:spacing w:line="370" w:lineRule="auto"/>
              <w:jc w:val="left"/>
              <w:rPr>
                <w:rFonts w:hint="eastAsia" w:hAnsi="宋体" w:cs="宋体"/>
                <w:sz w:val="21"/>
                <w:szCs w:val="21"/>
              </w:rPr>
            </w:pPr>
            <w:bookmarkStart w:id="158" w:name="联合体投标_不接受"/>
            <w:r>
              <w:rPr>
                <w:rFonts w:hint="eastAsia" w:hAnsi="宋体" w:cs="宋体"/>
                <w:sz w:val="21"/>
                <w:szCs w:val="21"/>
              </w:rPr>
              <w:sym w:font="Wingdings 2" w:char="F052"/>
            </w:r>
            <w:r>
              <w:rPr>
                <w:rFonts w:hint="eastAsia" w:hAnsi="宋体" w:cs="宋体"/>
                <w:sz w:val="21"/>
                <w:szCs w:val="21"/>
              </w:rPr>
              <w:t>不接受</w:t>
            </w:r>
            <w:bookmarkEnd w:id="158"/>
            <w:r>
              <w:rPr>
                <w:rFonts w:hint="eastAsia" w:hAnsi="宋体" w:cs="宋体"/>
                <w:sz w:val="21"/>
                <w:szCs w:val="21"/>
              </w:rPr>
              <w:t xml:space="preserve">    □接受，应满足下列要求：</w:t>
            </w:r>
          </w:p>
        </w:tc>
      </w:tr>
      <w:tr>
        <w:tblPrEx>
          <w:tblCellMar>
            <w:top w:w="0" w:type="dxa"/>
            <w:left w:w="108" w:type="dxa"/>
            <w:bottom w:w="0" w:type="dxa"/>
            <w:right w:w="108" w:type="dxa"/>
          </w:tblCellMar>
        </w:tblPrEx>
        <w:trPr>
          <w:trHeight w:val="20" w:hRule="atLeast"/>
          <w:jc w:val="center"/>
        </w:trPr>
        <w:tc>
          <w:tcPr>
            <w:tcW w:w="1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1.4.3</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投标人不得存在的其他情形</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pStyle w:val="252"/>
              <w:tabs>
                <w:tab w:val="left" w:pos="993"/>
              </w:tabs>
              <w:spacing w:line="360" w:lineRule="auto"/>
              <w:ind w:firstLine="0" w:firstLineChars="0"/>
              <w:rPr>
                <w:rFonts w:hint="eastAsia" w:eastAsia="宋体"/>
                <w:szCs w:val="21"/>
              </w:rPr>
            </w:pPr>
            <w:r>
              <w:rPr>
                <w:rFonts w:hint="eastAsia" w:eastAsia="宋体"/>
                <w:szCs w:val="21"/>
              </w:rPr>
              <w:t>1.单位负责人为同一人或者存在控股、管理关系的不同单位，不得参加同一标段或者未划分标段的同一项目的招标活动；</w:t>
            </w:r>
          </w:p>
          <w:p>
            <w:pPr>
              <w:pStyle w:val="22"/>
              <w:topLinePunct/>
              <w:spacing w:line="360" w:lineRule="auto"/>
              <w:jc w:val="left"/>
              <w:rPr>
                <w:rFonts w:hint="eastAsia" w:hAnsi="宋体" w:cs="宋体"/>
                <w:szCs w:val="21"/>
              </w:rPr>
            </w:pPr>
            <w:r>
              <w:rPr>
                <w:rFonts w:hint="eastAsia" w:hAnsi="宋体" w:cs="宋体"/>
                <w:sz w:val="21"/>
                <w:szCs w:val="21"/>
              </w:rPr>
              <w:t>2.与招标人存在利害关系可能影响公正性的法人、其他组织或者个人，不得参加本次招标。</w:t>
            </w:r>
          </w:p>
        </w:tc>
      </w:tr>
      <w:tr>
        <w:tblPrEx>
          <w:tblCellMar>
            <w:top w:w="0" w:type="dxa"/>
            <w:left w:w="108" w:type="dxa"/>
            <w:bottom w:w="0" w:type="dxa"/>
            <w:right w:w="108" w:type="dxa"/>
          </w:tblCellMar>
        </w:tblPrEx>
        <w:trPr>
          <w:trHeight w:val="20" w:hRule="atLeast"/>
          <w:jc w:val="center"/>
        </w:trPr>
        <w:tc>
          <w:tcPr>
            <w:tcW w:w="1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1.9.1</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投标预备会</w:t>
            </w:r>
          </w:p>
        </w:tc>
        <w:tc>
          <w:tcPr>
            <w:tcW w:w="5461" w:type="dxa"/>
            <w:tcBorders>
              <w:top w:val="single" w:color="auto" w:sz="4" w:space="0"/>
              <w:left w:val="single" w:color="auto" w:sz="4" w:space="0"/>
              <w:bottom w:val="single" w:color="auto" w:sz="4" w:space="0"/>
              <w:right w:val="single" w:color="auto" w:sz="4" w:space="0"/>
            </w:tcBorders>
            <w:noWrap w:val="0"/>
            <w:vAlign w:val="bottom"/>
          </w:tcPr>
          <w:p>
            <w:pPr>
              <w:spacing w:line="370" w:lineRule="auto"/>
              <w:rPr>
                <w:rFonts w:hint="eastAsia" w:ascii="宋体" w:hAnsi="宋体" w:eastAsia="宋体" w:cs="宋体"/>
                <w:szCs w:val="21"/>
              </w:rPr>
            </w:pPr>
            <w:r>
              <w:rPr>
                <w:rFonts w:hint="eastAsia" w:ascii="宋体" w:hAnsi="宋体" w:eastAsia="宋体" w:cs="宋体"/>
                <w:szCs w:val="21"/>
              </w:rPr>
              <w:sym w:font="Wingdings 2" w:char="F052"/>
            </w:r>
            <w:r>
              <w:rPr>
                <w:rFonts w:hint="eastAsia" w:ascii="宋体" w:hAnsi="宋体" w:eastAsia="宋体" w:cs="宋体"/>
                <w:szCs w:val="21"/>
              </w:rPr>
              <w:t>不召开</w:t>
            </w:r>
          </w:p>
          <w:p>
            <w:pPr>
              <w:spacing w:line="370" w:lineRule="auto"/>
              <w:rPr>
                <w:rFonts w:hint="eastAsia" w:ascii="宋体" w:hAnsi="宋体" w:eastAsia="宋体" w:cs="宋体"/>
                <w:szCs w:val="21"/>
              </w:rPr>
            </w:pPr>
            <w:r>
              <w:rPr>
                <w:rFonts w:hint="eastAsia" w:ascii="宋体" w:hAnsi="宋体" w:eastAsia="宋体" w:cs="宋体"/>
                <w:szCs w:val="21"/>
              </w:rPr>
              <w:t>□召开，召开时间：</w:t>
            </w:r>
          </w:p>
          <w:p>
            <w:pPr>
              <w:spacing w:line="370" w:lineRule="auto"/>
              <w:rPr>
                <w:rFonts w:hint="eastAsia" w:ascii="宋体" w:hAnsi="宋体" w:eastAsia="宋体" w:cs="宋体"/>
                <w:szCs w:val="21"/>
              </w:rPr>
            </w:pPr>
            <w:r>
              <w:rPr>
                <w:rFonts w:hint="eastAsia" w:ascii="宋体" w:hAnsi="宋体" w:eastAsia="宋体" w:cs="宋体"/>
                <w:szCs w:val="21"/>
              </w:rPr>
              <w:t>召开地点</w:t>
            </w:r>
          </w:p>
        </w:tc>
      </w:tr>
      <w:tr>
        <w:tblPrEx>
          <w:tblCellMar>
            <w:top w:w="0" w:type="dxa"/>
            <w:left w:w="108" w:type="dxa"/>
            <w:bottom w:w="0" w:type="dxa"/>
            <w:right w:w="108" w:type="dxa"/>
          </w:tblCellMar>
        </w:tblPrEx>
        <w:trPr>
          <w:trHeight w:val="20" w:hRule="atLeast"/>
          <w:jc w:val="center"/>
        </w:trPr>
        <w:tc>
          <w:tcPr>
            <w:tcW w:w="1007"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1.9.2</w:t>
            </w:r>
          </w:p>
        </w:tc>
        <w:tc>
          <w:tcPr>
            <w:tcW w:w="2929"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投标人在投标预备会前提出问题</w:t>
            </w:r>
          </w:p>
        </w:tc>
        <w:tc>
          <w:tcPr>
            <w:tcW w:w="5461" w:type="dxa"/>
            <w:tcBorders>
              <w:top w:val="single" w:color="auto" w:sz="4" w:space="0"/>
              <w:left w:val="single" w:color="auto" w:sz="4" w:space="0"/>
              <w:bottom w:val="single" w:color="auto" w:sz="4" w:space="0"/>
              <w:right w:val="single" w:color="auto" w:sz="4" w:space="0"/>
            </w:tcBorders>
            <w:noWrap w:val="0"/>
            <w:vAlign w:val="bottom"/>
          </w:tcPr>
          <w:p>
            <w:pPr>
              <w:spacing w:line="370" w:lineRule="auto"/>
              <w:rPr>
                <w:rFonts w:hint="eastAsia" w:ascii="宋体" w:hAnsi="宋体" w:eastAsia="宋体" w:cs="宋体"/>
                <w:szCs w:val="21"/>
              </w:rPr>
            </w:pPr>
            <w:r>
              <w:rPr>
                <w:rFonts w:hint="eastAsia" w:ascii="宋体" w:hAnsi="宋体" w:eastAsia="宋体" w:cs="宋体"/>
                <w:szCs w:val="21"/>
              </w:rPr>
              <w:t>时间：/</w:t>
            </w:r>
          </w:p>
        </w:tc>
      </w:tr>
      <w:tr>
        <w:tblPrEx>
          <w:tblCellMar>
            <w:top w:w="0" w:type="dxa"/>
            <w:left w:w="108" w:type="dxa"/>
            <w:bottom w:w="0" w:type="dxa"/>
            <w:right w:w="108" w:type="dxa"/>
          </w:tblCellMar>
        </w:tblPrEx>
        <w:trPr>
          <w:trHeight w:val="20" w:hRule="atLeast"/>
          <w:jc w:val="center"/>
        </w:trPr>
        <w:tc>
          <w:tcPr>
            <w:tcW w:w="1007" w:type="dxa"/>
            <w:vMerge w:val="continue"/>
            <w:tcBorders>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p>
        </w:tc>
        <w:tc>
          <w:tcPr>
            <w:tcW w:w="2929" w:type="dxa"/>
            <w:vMerge w:val="continue"/>
            <w:tcBorders>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p>
        </w:tc>
        <w:tc>
          <w:tcPr>
            <w:tcW w:w="5461" w:type="dxa"/>
            <w:tcBorders>
              <w:top w:val="single" w:color="auto" w:sz="4" w:space="0"/>
              <w:left w:val="single" w:color="auto" w:sz="4" w:space="0"/>
              <w:bottom w:val="single" w:color="auto" w:sz="4" w:space="0"/>
              <w:right w:val="single" w:color="auto" w:sz="4" w:space="0"/>
            </w:tcBorders>
            <w:noWrap w:val="0"/>
            <w:vAlign w:val="bottom"/>
          </w:tcPr>
          <w:p>
            <w:pPr>
              <w:spacing w:line="370" w:lineRule="auto"/>
              <w:rPr>
                <w:rFonts w:hint="eastAsia" w:ascii="宋体" w:hAnsi="宋体" w:eastAsia="宋体" w:cs="宋体"/>
                <w:szCs w:val="21"/>
              </w:rPr>
            </w:pPr>
            <w:r>
              <w:rPr>
                <w:rFonts w:hint="eastAsia" w:ascii="宋体" w:hAnsi="宋体" w:eastAsia="宋体" w:cs="宋体"/>
                <w:szCs w:val="21"/>
              </w:rPr>
              <w:t>形式：/</w:t>
            </w:r>
          </w:p>
        </w:tc>
      </w:tr>
      <w:tr>
        <w:tblPrEx>
          <w:tblCellMar>
            <w:top w:w="0" w:type="dxa"/>
            <w:left w:w="108" w:type="dxa"/>
            <w:bottom w:w="0" w:type="dxa"/>
            <w:right w:w="108" w:type="dxa"/>
          </w:tblCellMar>
        </w:tblPrEx>
        <w:trPr>
          <w:trHeight w:val="20" w:hRule="atLeast"/>
          <w:jc w:val="center"/>
        </w:trPr>
        <w:tc>
          <w:tcPr>
            <w:tcW w:w="1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1.9.3</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招标文件澄清发出的形式</w:t>
            </w:r>
          </w:p>
        </w:tc>
        <w:tc>
          <w:tcPr>
            <w:tcW w:w="5461" w:type="dxa"/>
            <w:tcBorders>
              <w:top w:val="single" w:color="auto" w:sz="4" w:space="0"/>
              <w:left w:val="single" w:color="auto" w:sz="4" w:space="0"/>
              <w:bottom w:val="single" w:color="auto" w:sz="4" w:space="0"/>
              <w:right w:val="single" w:color="auto" w:sz="4" w:space="0"/>
            </w:tcBorders>
            <w:noWrap w:val="0"/>
            <w:vAlign w:val="bottom"/>
          </w:tcPr>
          <w:p>
            <w:pPr>
              <w:spacing w:line="370" w:lineRule="auto"/>
              <w:rPr>
                <w:rFonts w:hint="eastAsia" w:ascii="宋体" w:hAnsi="宋体" w:eastAsia="宋体" w:cs="宋体"/>
                <w:szCs w:val="21"/>
              </w:rPr>
            </w:pPr>
            <w:r>
              <w:rPr>
                <w:rFonts w:hint="eastAsia" w:ascii="宋体" w:hAnsi="宋体" w:eastAsia="宋体" w:cs="宋体"/>
                <w:szCs w:val="21"/>
              </w:rPr>
              <w:t>/</w:t>
            </w:r>
          </w:p>
        </w:tc>
      </w:tr>
      <w:tr>
        <w:tblPrEx>
          <w:tblCellMar>
            <w:top w:w="0" w:type="dxa"/>
            <w:left w:w="108" w:type="dxa"/>
            <w:bottom w:w="0" w:type="dxa"/>
            <w:right w:w="108" w:type="dxa"/>
          </w:tblCellMar>
        </w:tblPrEx>
        <w:trPr>
          <w:trHeight w:val="20" w:hRule="atLeast"/>
          <w:jc w:val="center"/>
        </w:trPr>
        <w:tc>
          <w:tcPr>
            <w:tcW w:w="1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1.10.1</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分包</w:t>
            </w:r>
          </w:p>
        </w:tc>
        <w:tc>
          <w:tcPr>
            <w:tcW w:w="5461" w:type="dxa"/>
            <w:tcBorders>
              <w:top w:val="single" w:color="auto" w:sz="4" w:space="0"/>
              <w:left w:val="single" w:color="auto" w:sz="4" w:space="0"/>
              <w:bottom w:val="single" w:color="auto" w:sz="4" w:space="0"/>
              <w:right w:val="single" w:color="auto" w:sz="4" w:space="0"/>
            </w:tcBorders>
            <w:noWrap w:val="0"/>
            <w:vAlign w:val="bottom"/>
          </w:tcPr>
          <w:p>
            <w:pPr>
              <w:spacing w:line="370" w:lineRule="auto"/>
              <w:rPr>
                <w:rFonts w:hint="eastAsia" w:ascii="宋体" w:hAnsi="宋体" w:eastAsia="宋体" w:cs="宋体"/>
                <w:szCs w:val="21"/>
              </w:rPr>
            </w:pPr>
            <w:r>
              <w:rPr>
                <w:rFonts w:hint="eastAsia" w:ascii="宋体" w:hAnsi="宋体" w:eastAsia="宋体" w:cs="宋体"/>
                <w:szCs w:val="21"/>
              </w:rPr>
              <w:sym w:font="Wingdings 2" w:char="F052"/>
            </w:r>
            <w:r>
              <w:rPr>
                <w:rFonts w:hint="eastAsia" w:ascii="宋体" w:hAnsi="宋体" w:eastAsia="宋体" w:cs="宋体"/>
                <w:szCs w:val="21"/>
              </w:rPr>
              <w:t>不允许</w:t>
            </w:r>
          </w:p>
          <w:p>
            <w:pPr>
              <w:spacing w:line="370" w:lineRule="auto"/>
              <w:rPr>
                <w:rFonts w:hint="eastAsia" w:ascii="宋体" w:hAnsi="宋体" w:eastAsia="宋体" w:cs="宋体"/>
                <w:szCs w:val="21"/>
              </w:rPr>
            </w:pPr>
            <w:r>
              <w:rPr>
                <w:rFonts w:hint="eastAsia" w:ascii="宋体" w:hAnsi="宋体" w:eastAsia="宋体" w:cs="宋体"/>
                <w:szCs w:val="21"/>
              </w:rPr>
              <w:t>□允许</w:t>
            </w:r>
          </w:p>
        </w:tc>
      </w:tr>
      <w:tr>
        <w:tblPrEx>
          <w:tblCellMar>
            <w:top w:w="0" w:type="dxa"/>
            <w:left w:w="108" w:type="dxa"/>
            <w:bottom w:w="0" w:type="dxa"/>
            <w:right w:w="108" w:type="dxa"/>
          </w:tblCellMar>
        </w:tblPrEx>
        <w:trPr>
          <w:trHeight w:val="20" w:hRule="atLeast"/>
          <w:jc w:val="center"/>
        </w:trPr>
        <w:tc>
          <w:tcPr>
            <w:tcW w:w="1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1.11.1</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实质性要求和条件</w:t>
            </w:r>
          </w:p>
        </w:tc>
        <w:tc>
          <w:tcPr>
            <w:tcW w:w="5461" w:type="dxa"/>
            <w:tcBorders>
              <w:top w:val="single" w:color="auto" w:sz="4" w:space="0"/>
              <w:left w:val="single" w:color="auto" w:sz="4" w:space="0"/>
              <w:bottom w:val="single" w:color="auto" w:sz="4" w:space="0"/>
              <w:right w:val="single" w:color="auto" w:sz="4" w:space="0"/>
            </w:tcBorders>
            <w:noWrap w:val="0"/>
            <w:vAlign w:val="bottom"/>
          </w:tcPr>
          <w:p>
            <w:pPr>
              <w:spacing w:line="370" w:lineRule="auto"/>
              <w:ind w:left="-210" w:leftChars="-100" w:right="-210" w:rightChars="-100" w:firstLine="190" w:firstLineChars="100"/>
              <w:jc w:val="both"/>
              <w:rPr>
                <w:rFonts w:hint="eastAsia" w:ascii="宋体" w:hAnsi="宋体" w:eastAsia="宋体" w:cs="宋体"/>
                <w:spacing w:val="-10"/>
                <w:szCs w:val="21"/>
              </w:rPr>
            </w:pPr>
            <w:r>
              <w:rPr>
                <w:rFonts w:hint="eastAsia" w:ascii="宋体" w:hAnsi="宋体" w:eastAsia="宋体" w:cs="宋体"/>
                <w:spacing w:val="-10"/>
                <w:szCs w:val="21"/>
              </w:rPr>
              <w:t>详见第三章评标办法3.1款“初步评审”</w:t>
            </w:r>
          </w:p>
        </w:tc>
      </w:tr>
      <w:tr>
        <w:tblPrEx>
          <w:tblCellMar>
            <w:top w:w="0" w:type="dxa"/>
            <w:left w:w="108" w:type="dxa"/>
            <w:bottom w:w="0" w:type="dxa"/>
            <w:right w:w="108" w:type="dxa"/>
          </w:tblCellMar>
        </w:tblPrEx>
        <w:trPr>
          <w:trHeight w:val="20" w:hRule="atLeast"/>
          <w:jc w:val="center"/>
        </w:trPr>
        <w:tc>
          <w:tcPr>
            <w:tcW w:w="1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1.11.3</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210" w:leftChars="-100" w:right="-210" w:rightChars="-100"/>
              <w:jc w:val="center"/>
              <w:rPr>
                <w:rFonts w:hint="eastAsia" w:ascii="宋体" w:hAnsi="宋体" w:eastAsia="宋体" w:cs="宋体"/>
                <w:spacing w:val="-10"/>
                <w:szCs w:val="21"/>
              </w:rPr>
            </w:pPr>
            <w:r>
              <w:rPr>
                <w:rFonts w:hint="eastAsia" w:ascii="宋体" w:hAnsi="宋体" w:eastAsia="宋体" w:cs="宋体"/>
                <w:spacing w:val="-10"/>
                <w:szCs w:val="21"/>
              </w:rPr>
              <w:t>其他可以被接受的技术支持资料</w:t>
            </w:r>
          </w:p>
        </w:tc>
        <w:tc>
          <w:tcPr>
            <w:tcW w:w="5461" w:type="dxa"/>
            <w:tcBorders>
              <w:top w:val="single" w:color="auto" w:sz="4" w:space="0"/>
              <w:left w:val="single" w:color="auto" w:sz="4" w:space="0"/>
              <w:bottom w:val="single" w:color="auto" w:sz="4" w:space="0"/>
              <w:right w:val="single" w:color="auto" w:sz="4" w:space="0"/>
            </w:tcBorders>
            <w:noWrap w:val="0"/>
            <w:vAlign w:val="bottom"/>
          </w:tcPr>
          <w:p>
            <w:pPr>
              <w:spacing w:line="370" w:lineRule="auto"/>
              <w:ind w:left="-210" w:leftChars="-100" w:right="-210" w:rightChars="-100" w:firstLine="190" w:firstLineChars="100"/>
              <w:jc w:val="both"/>
              <w:rPr>
                <w:rFonts w:hint="eastAsia" w:ascii="宋体" w:hAnsi="宋体" w:eastAsia="宋体" w:cs="宋体"/>
                <w:spacing w:val="-10"/>
                <w:szCs w:val="21"/>
              </w:rPr>
            </w:pPr>
            <w:r>
              <w:rPr>
                <w:rFonts w:hint="eastAsia" w:ascii="宋体" w:hAnsi="宋体" w:eastAsia="宋体" w:cs="宋体"/>
                <w:spacing w:val="-10"/>
                <w:szCs w:val="21"/>
              </w:rPr>
              <w:t>按照用户需求书要求执行</w:t>
            </w:r>
          </w:p>
        </w:tc>
      </w:tr>
      <w:tr>
        <w:tblPrEx>
          <w:tblCellMar>
            <w:top w:w="0" w:type="dxa"/>
            <w:left w:w="108" w:type="dxa"/>
            <w:bottom w:w="0" w:type="dxa"/>
            <w:right w:w="108" w:type="dxa"/>
          </w:tblCellMar>
        </w:tblPrEx>
        <w:trPr>
          <w:trHeight w:val="20" w:hRule="atLeast"/>
          <w:jc w:val="center"/>
        </w:trPr>
        <w:tc>
          <w:tcPr>
            <w:tcW w:w="1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1.11.4</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偏差</w:t>
            </w:r>
          </w:p>
        </w:tc>
        <w:tc>
          <w:tcPr>
            <w:tcW w:w="5461" w:type="dxa"/>
            <w:tcBorders>
              <w:top w:val="single" w:color="auto" w:sz="4" w:space="0"/>
              <w:left w:val="single" w:color="auto" w:sz="4" w:space="0"/>
              <w:bottom w:val="single" w:color="auto" w:sz="4" w:space="0"/>
              <w:right w:val="single" w:color="auto" w:sz="4" w:space="0"/>
            </w:tcBorders>
            <w:noWrap w:val="0"/>
            <w:vAlign w:val="bottom"/>
          </w:tcPr>
          <w:p>
            <w:pPr>
              <w:spacing w:line="370" w:lineRule="auto"/>
              <w:rPr>
                <w:rFonts w:hint="eastAsia" w:ascii="宋体" w:hAnsi="宋体" w:eastAsia="宋体" w:cs="宋体"/>
                <w:szCs w:val="21"/>
              </w:rPr>
            </w:pPr>
            <w:r>
              <w:rPr>
                <w:rFonts w:hint="eastAsia" w:ascii="宋体" w:hAnsi="宋体" w:eastAsia="宋体" w:cs="宋体"/>
                <w:szCs w:val="21"/>
              </w:rPr>
              <w:sym w:font="Wingdings 2" w:char="F052"/>
            </w:r>
            <w:r>
              <w:rPr>
                <w:rFonts w:hint="eastAsia" w:ascii="宋体" w:hAnsi="宋体" w:eastAsia="宋体" w:cs="宋体"/>
                <w:szCs w:val="21"/>
              </w:rPr>
              <w:t>不允许星号条款负偏离</w:t>
            </w:r>
          </w:p>
          <w:p>
            <w:pPr>
              <w:spacing w:line="370" w:lineRule="auto"/>
              <w:rPr>
                <w:rFonts w:hint="eastAsia" w:ascii="宋体" w:hAnsi="宋体" w:eastAsia="宋体" w:cs="宋体"/>
                <w:szCs w:val="21"/>
              </w:rPr>
            </w:pPr>
            <w:r>
              <w:rPr>
                <w:rFonts w:hint="eastAsia" w:ascii="宋体" w:hAnsi="宋体" w:eastAsia="宋体" w:cs="宋体"/>
                <w:szCs w:val="21"/>
              </w:rPr>
              <w:t>□允许，偏差范围：        最高项数：</w:t>
            </w:r>
          </w:p>
        </w:tc>
      </w:tr>
      <w:tr>
        <w:tblPrEx>
          <w:tblCellMar>
            <w:top w:w="0" w:type="dxa"/>
            <w:left w:w="108" w:type="dxa"/>
            <w:bottom w:w="0" w:type="dxa"/>
            <w:right w:w="108" w:type="dxa"/>
          </w:tblCellMar>
        </w:tblPrEx>
        <w:trPr>
          <w:trHeight w:val="20" w:hRule="atLeast"/>
          <w:jc w:val="center"/>
        </w:trPr>
        <w:tc>
          <w:tcPr>
            <w:tcW w:w="1007" w:type="dxa"/>
            <w:tcBorders>
              <w:top w:val="single" w:color="auto" w:sz="4" w:space="0"/>
              <w:left w:val="single" w:color="auto" w:sz="4" w:space="0"/>
              <w:bottom w:val="single" w:color="auto" w:sz="4" w:space="0"/>
              <w:right w:val="single" w:color="auto" w:sz="4" w:space="0"/>
            </w:tcBorders>
            <w:noWrap w:val="0"/>
            <w:vAlign w:val="center"/>
          </w:tcPr>
          <w:p>
            <w:pPr>
              <w:spacing w:line="348" w:lineRule="auto"/>
              <w:jc w:val="center"/>
              <w:rPr>
                <w:rFonts w:hint="eastAsia" w:ascii="宋体" w:hAnsi="宋体" w:eastAsia="宋体" w:cs="宋体"/>
                <w:szCs w:val="21"/>
              </w:rPr>
            </w:pPr>
            <w:r>
              <w:rPr>
                <w:rFonts w:hint="eastAsia" w:ascii="宋体" w:hAnsi="宋体" w:eastAsia="宋体" w:cs="宋体"/>
                <w:szCs w:val="21"/>
              </w:rPr>
              <w:t>2.1</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spacing w:line="348" w:lineRule="auto"/>
              <w:jc w:val="center"/>
              <w:rPr>
                <w:rFonts w:hint="eastAsia" w:ascii="宋体" w:hAnsi="宋体" w:eastAsia="宋体" w:cs="宋体"/>
                <w:szCs w:val="21"/>
              </w:rPr>
            </w:pPr>
            <w:r>
              <w:rPr>
                <w:rFonts w:hint="eastAsia" w:ascii="宋体" w:hAnsi="宋体" w:eastAsia="宋体" w:cs="宋体"/>
                <w:szCs w:val="21"/>
              </w:rPr>
              <w:t>构成招标文件的其他材料</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spacing w:line="370" w:lineRule="auto"/>
              <w:rPr>
                <w:rFonts w:hint="eastAsia" w:ascii="宋体" w:hAnsi="宋体" w:eastAsia="宋体" w:cs="宋体"/>
                <w:szCs w:val="21"/>
              </w:rPr>
            </w:pPr>
            <w:r>
              <w:rPr>
                <w:rFonts w:hint="eastAsia" w:ascii="宋体" w:hAnsi="宋体" w:eastAsia="宋体" w:cs="宋体"/>
                <w:szCs w:val="21"/>
              </w:rPr>
              <w:t>《用户需求书》。</w:t>
            </w:r>
          </w:p>
        </w:tc>
      </w:tr>
      <w:tr>
        <w:tblPrEx>
          <w:tblCellMar>
            <w:top w:w="0" w:type="dxa"/>
            <w:left w:w="108" w:type="dxa"/>
            <w:bottom w:w="0" w:type="dxa"/>
            <w:right w:w="108" w:type="dxa"/>
          </w:tblCellMar>
        </w:tblPrEx>
        <w:trPr>
          <w:trHeight w:val="20" w:hRule="atLeast"/>
          <w:jc w:val="center"/>
        </w:trPr>
        <w:tc>
          <w:tcPr>
            <w:tcW w:w="1007" w:type="dxa"/>
            <w:vMerge w:val="restart"/>
            <w:tcBorders>
              <w:top w:val="single" w:color="auto" w:sz="4" w:space="0"/>
              <w:left w:val="single" w:color="auto" w:sz="4" w:space="0"/>
              <w:right w:val="single" w:color="auto" w:sz="4" w:space="0"/>
            </w:tcBorders>
            <w:noWrap w:val="0"/>
            <w:vAlign w:val="center"/>
          </w:tcPr>
          <w:p>
            <w:pPr>
              <w:spacing w:line="348" w:lineRule="auto"/>
              <w:jc w:val="center"/>
              <w:rPr>
                <w:rFonts w:hint="eastAsia" w:ascii="宋体" w:hAnsi="宋体" w:eastAsia="宋体" w:cs="宋体"/>
                <w:szCs w:val="21"/>
              </w:rPr>
            </w:pPr>
            <w:r>
              <w:rPr>
                <w:rFonts w:hint="eastAsia" w:ascii="宋体" w:hAnsi="宋体" w:eastAsia="宋体" w:cs="宋体"/>
                <w:szCs w:val="21"/>
              </w:rPr>
              <w:t>2.2.1</w:t>
            </w:r>
          </w:p>
        </w:tc>
        <w:tc>
          <w:tcPr>
            <w:tcW w:w="2929" w:type="dxa"/>
            <w:vMerge w:val="restart"/>
            <w:tcBorders>
              <w:top w:val="single" w:color="auto" w:sz="4" w:space="0"/>
              <w:left w:val="single" w:color="auto" w:sz="4" w:space="0"/>
              <w:right w:val="single" w:color="auto" w:sz="4" w:space="0"/>
            </w:tcBorders>
            <w:noWrap w:val="0"/>
            <w:vAlign w:val="center"/>
          </w:tcPr>
          <w:p>
            <w:pPr>
              <w:spacing w:line="348" w:lineRule="auto"/>
              <w:jc w:val="center"/>
              <w:rPr>
                <w:rFonts w:hint="eastAsia" w:ascii="宋体" w:hAnsi="宋体" w:eastAsia="宋体" w:cs="宋体"/>
                <w:szCs w:val="21"/>
              </w:rPr>
            </w:pPr>
            <w:r>
              <w:rPr>
                <w:rFonts w:hint="eastAsia" w:ascii="宋体" w:hAnsi="宋体" w:eastAsia="宋体" w:cs="宋体"/>
                <w:szCs w:val="21"/>
              </w:rPr>
              <w:t>投标人要求澄清招标文件</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spacing w:line="370" w:lineRule="auto"/>
              <w:rPr>
                <w:rFonts w:hint="eastAsia" w:ascii="宋体" w:hAnsi="宋体" w:eastAsia="宋体" w:cs="宋体"/>
                <w:szCs w:val="21"/>
              </w:rPr>
            </w:pPr>
            <w:r>
              <w:rPr>
                <w:rFonts w:hint="eastAsia" w:ascii="宋体" w:hAnsi="宋体" w:eastAsia="宋体" w:cs="宋体"/>
                <w:szCs w:val="21"/>
              </w:rPr>
              <w:t>时间：</w:t>
            </w:r>
            <w:r>
              <w:rPr>
                <w:rFonts w:hint="eastAsia" w:ascii="宋体" w:hAnsi="宋体" w:eastAsia="宋体" w:cs="宋体"/>
                <w:szCs w:val="21"/>
                <w:highlight w:val="none"/>
              </w:rPr>
              <w:t>2024年</w:t>
            </w:r>
            <w:r>
              <w:rPr>
                <w:rFonts w:hint="eastAsia" w:ascii="宋体" w:hAnsi="宋体" w:eastAsia="宋体" w:cs="宋体"/>
                <w:szCs w:val="21"/>
                <w:highlight w:val="none"/>
                <w:u w:val="single"/>
              </w:rPr>
              <w:t>05</w:t>
            </w:r>
            <w:r>
              <w:rPr>
                <w:rFonts w:hint="eastAsia" w:ascii="宋体" w:hAnsi="宋体" w:eastAsia="宋体" w:cs="宋体"/>
                <w:szCs w:val="21"/>
                <w:highlight w:val="none"/>
              </w:rPr>
              <w:t>月</w:t>
            </w:r>
            <w:r>
              <w:rPr>
                <w:rFonts w:ascii="宋体" w:hAnsi="宋体" w:eastAsia="宋体" w:cs="宋体"/>
                <w:szCs w:val="21"/>
                <w:highlight w:val="none"/>
                <w:u w:val="single"/>
              </w:rPr>
              <w:t>20</w:t>
            </w:r>
            <w:r>
              <w:rPr>
                <w:rFonts w:hint="eastAsia" w:ascii="宋体" w:hAnsi="宋体" w:eastAsia="宋体" w:cs="宋体"/>
                <w:szCs w:val="21"/>
                <w:highlight w:val="none"/>
              </w:rPr>
              <w:t>日10时00分前</w:t>
            </w:r>
          </w:p>
        </w:tc>
      </w:tr>
      <w:tr>
        <w:tblPrEx>
          <w:tblCellMar>
            <w:top w:w="0" w:type="dxa"/>
            <w:left w:w="108" w:type="dxa"/>
            <w:bottom w:w="0" w:type="dxa"/>
            <w:right w:w="108" w:type="dxa"/>
          </w:tblCellMar>
        </w:tblPrEx>
        <w:trPr>
          <w:trHeight w:val="20" w:hRule="atLeast"/>
          <w:jc w:val="center"/>
        </w:trPr>
        <w:tc>
          <w:tcPr>
            <w:tcW w:w="1007" w:type="dxa"/>
            <w:vMerge w:val="continue"/>
            <w:tcBorders>
              <w:left w:val="single" w:color="auto" w:sz="4" w:space="0"/>
              <w:bottom w:val="single" w:color="auto" w:sz="4" w:space="0"/>
              <w:right w:val="single" w:color="auto" w:sz="4" w:space="0"/>
            </w:tcBorders>
            <w:noWrap w:val="0"/>
            <w:vAlign w:val="center"/>
          </w:tcPr>
          <w:p>
            <w:pPr>
              <w:spacing w:line="348" w:lineRule="auto"/>
              <w:jc w:val="center"/>
              <w:rPr>
                <w:rFonts w:hint="eastAsia" w:ascii="宋体" w:hAnsi="宋体" w:eastAsia="宋体" w:cs="宋体"/>
                <w:szCs w:val="21"/>
              </w:rPr>
            </w:pPr>
          </w:p>
        </w:tc>
        <w:tc>
          <w:tcPr>
            <w:tcW w:w="2929" w:type="dxa"/>
            <w:vMerge w:val="continue"/>
            <w:tcBorders>
              <w:left w:val="single" w:color="auto" w:sz="4" w:space="0"/>
              <w:bottom w:val="single" w:color="auto" w:sz="4" w:space="0"/>
              <w:right w:val="single" w:color="auto" w:sz="4" w:space="0"/>
            </w:tcBorders>
            <w:noWrap w:val="0"/>
            <w:vAlign w:val="center"/>
          </w:tcPr>
          <w:p>
            <w:pPr>
              <w:spacing w:line="348" w:lineRule="auto"/>
              <w:jc w:val="center"/>
              <w:rPr>
                <w:rFonts w:hint="eastAsia" w:ascii="宋体" w:hAnsi="宋体" w:eastAsia="宋体" w:cs="宋体"/>
                <w:szCs w:val="21"/>
              </w:rPr>
            </w:pPr>
          </w:p>
        </w:tc>
        <w:tc>
          <w:tcPr>
            <w:tcW w:w="54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szCs w:val="21"/>
              </w:rPr>
            </w:pPr>
            <w:r>
              <w:rPr>
                <w:rFonts w:hint="eastAsia" w:ascii="宋体" w:hAnsi="宋体" w:eastAsia="宋体" w:cs="宋体"/>
                <w:szCs w:val="21"/>
              </w:rPr>
              <w:t>形式：投标人必须以</w:t>
            </w:r>
            <w:r>
              <w:rPr>
                <w:rFonts w:hint="eastAsia" w:ascii="宋体" w:hAnsi="宋体" w:eastAsia="宋体" w:cs="宋体"/>
                <w:b/>
                <w:bCs/>
                <w:szCs w:val="21"/>
              </w:rPr>
              <w:t>附件二“投标人要求澄清招标文件的格式</w:t>
            </w:r>
            <w:r>
              <w:rPr>
                <w:rFonts w:hint="eastAsia" w:ascii="宋体" w:hAnsi="宋体" w:eastAsia="宋体" w:cs="宋体"/>
                <w:szCs w:val="21"/>
              </w:rPr>
              <w:t>”以邮件形式（盖章复印件及word版）发送至招标代理机构电子邮箱</w:t>
            </w:r>
            <w:r>
              <w:rPr>
                <w:rFonts w:hint="eastAsia" w:ascii="宋体" w:hAnsi="宋体" w:eastAsia="宋体" w:cs="宋体"/>
                <w:szCs w:val="21"/>
              </w:rPr>
              <w:fldChar w:fldCharType="begin"/>
            </w:r>
            <w:r>
              <w:rPr>
                <w:rFonts w:hint="eastAsia" w:ascii="宋体" w:hAnsi="宋体" w:eastAsia="宋体" w:cs="宋体"/>
                <w:szCs w:val="21"/>
              </w:rPr>
              <w:instrText xml:space="preserve"> HYPERLINK "mailto:xiajun@gtc.genertec.com.cn" </w:instrText>
            </w:r>
            <w:r>
              <w:rPr>
                <w:rFonts w:hint="eastAsia" w:ascii="宋体" w:hAnsi="宋体" w:eastAsia="宋体" w:cs="宋体"/>
                <w:szCs w:val="21"/>
              </w:rPr>
              <w:fldChar w:fldCharType="separate"/>
            </w:r>
            <w:r>
              <w:rPr>
                <w:rStyle w:val="69"/>
                <w:rFonts w:hint="eastAsia" w:ascii="宋体" w:hAnsi="宋体" w:eastAsia="宋体" w:cs="宋体"/>
                <w:color w:val="auto"/>
                <w:szCs w:val="21"/>
                <w:u w:val="none"/>
              </w:rPr>
              <w:t>115400033@qq.com</w:t>
            </w:r>
            <w:r>
              <w:rPr>
                <w:rFonts w:hint="eastAsia" w:ascii="宋体" w:hAnsi="宋体" w:eastAsia="宋体" w:cs="宋体"/>
                <w:szCs w:val="21"/>
              </w:rPr>
              <w:fldChar w:fldCharType="end"/>
            </w:r>
            <w:r>
              <w:rPr>
                <w:rFonts w:hint="eastAsia" w:ascii="宋体" w:hAnsi="宋体" w:eastAsia="宋体" w:cs="宋体"/>
                <w:szCs w:val="21"/>
              </w:rPr>
              <w:t>，以便招标人澄清。招标人不回答投标人在上述时间以后所提出的任何问题。</w:t>
            </w:r>
          </w:p>
          <w:p>
            <w:pPr>
              <w:spacing w:line="360" w:lineRule="auto"/>
              <w:jc w:val="both"/>
              <w:rPr>
                <w:rFonts w:hint="eastAsia" w:ascii="宋体" w:hAnsi="宋体" w:eastAsia="宋体" w:cs="宋体"/>
                <w:szCs w:val="21"/>
              </w:rPr>
            </w:pPr>
            <w:r>
              <w:rPr>
                <w:rFonts w:hint="eastAsia" w:ascii="宋体" w:hAnsi="宋体" w:eastAsia="宋体" w:cs="宋体"/>
                <w:b/>
                <w:bCs/>
                <w:szCs w:val="21"/>
              </w:rPr>
              <w:t>备注：投标人对招标人提供的招标文件自行做出的推论、解释和结论，招标人概不负责。投标人由于对招标文件以及依据招标人及招标代理机构对有关问题的口头解释而自行做出的任何推论和误解所造成的后果，均由投标人自负。</w:t>
            </w:r>
          </w:p>
        </w:tc>
      </w:tr>
      <w:tr>
        <w:tblPrEx>
          <w:tblCellMar>
            <w:top w:w="0" w:type="dxa"/>
            <w:left w:w="108" w:type="dxa"/>
            <w:bottom w:w="0" w:type="dxa"/>
            <w:right w:w="108" w:type="dxa"/>
          </w:tblCellMar>
        </w:tblPrEx>
        <w:trPr>
          <w:trHeight w:val="20" w:hRule="atLeast"/>
          <w:jc w:val="center"/>
        </w:trPr>
        <w:tc>
          <w:tcPr>
            <w:tcW w:w="1007" w:type="dxa"/>
            <w:tcBorders>
              <w:top w:val="single" w:color="auto" w:sz="4" w:space="0"/>
              <w:left w:val="single" w:color="auto" w:sz="4" w:space="0"/>
              <w:bottom w:val="single" w:color="auto" w:sz="4" w:space="0"/>
              <w:right w:val="single" w:color="auto" w:sz="4" w:space="0"/>
            </w:tcBorders>
            <w:noWrap w:val="0"/>
            <w:vAlign w:val="center"/>
          </w:tcPr>
          <w:p>
            <w:pPr>
              <w:spacing w:line="348" w:lineRule="auto"/>
              <w:jc w:val="center"/>
              <w:rPr>
                <w:rFonts w:hint="eastAsia" w:ascii="宋体" w:hAnsi="宋体" w:eastAsia="宋体" w:cs="宋体"/>
                <w:szCs w:val="21"/>
              </w:rPr>
            </w:pPr>
            <w:r>
              <w:rPr>
                <w:rFonts w:hint="eastAsia" w:ascii="宋体" w:hAnsi="宋体" w:eastAsia="宋体" w:cs="宋体"/>
                <w:szCs w:val="21"/>
              </w:rPr>
              <w:t>2.2.2</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spacing w:line="348" w:lineRule="auto"/>
              <w:jc w:val="center"/>
              <w:rPr>
                <w:rFonts w:hint="eastAsia" w:ascii="宋体" w:hAnsi="宋体" w:eastAsia="宋体" w:cs="宋体"/>
                <w:szCs w:val="21"/>
              </w:rPr>
            </w:pPr>
            <w:r>
              <w:rPr>
                <w:rFonts w:hint="eastAsia" w:ascii="宋体" w:hAnsi="宋体" w:eastAsia="宋体" w:cs="宋体"/>
                <w:szCs w:val="21"/>
              </w:rPr>
              <w:t>招标文件的澄清的发出形式</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szCs w:val="21"/>
              </w:rPr>
            </w:pPr>
            <w:r>
              <w:rPr>
                <w:rFonts w:hint="eastAsia" w:ascii="宋体" w:hAnsi="宋体" w:eastAsia="宋体" w:cs="宋体"/>
                <w:szCs w:val="21"/>
              </w:rPr>
              <w:t>通过</w:t>
            </w:r>
            <w:r>
              <w:rPr>
                <w:rFonts w:hint="eastAsia" w:eastAsia="宋体"/>
                <w:szCs w:val="21"/>
              </w:rPr>
              <w:t>南通市公共资源交易网</w:t>
            </w:r>
            <w:r>
              <w:rPr>
                <w:rFonts w:eastAsia="宋体"/>
                <w:szCs w:val="21"/>
              </w:rPr>
              <w:t>-其他交易</w:t>
            </w:r>
            <w:r>
              <w:rPr>
                <w:rFonts w:hint="eastAsia" w:eastAsia="宋体"/>
                <w:szCs w:val="21"/>
              </w:rPr>
              <w:t>、江苏省招标投标公共服务平台、 南通轨道交通官方网</w:t>
            </w:r>
            <w:r>
              <w:rPr>
                <w:rFonts w:hint="eastAsia" w:ascii="宋体" w:hAnsi="宋体" w:eastAsia="宋体" w:cs="宋体"/>
                <w:szCs w:val="21"/>
              </w:rPr>
              <w:t>发布</w:t>
            </w:r>
            <w:r>
              <w:rPr>
                <w:rFonts w:hint="eastAsia" w:eastAsia="宋体"/>
                <w:szCs w:val="21"/>
              </w:rPr>
              <w:t>，如有不一致以</w:t>
            </w:r>
            <w:r>
              <w:rPr>
                <w:rFonts w:eastAsia="宋体"/>
                <w:szCs w:val="21"/>
              </w:rPr>
              <w:t>南通市公共资源交易网-其他交易</w:t>
            </w:r>
            <w:r>
              <w:rPr>
                <w:rFonts w:hint="eastAsia" w:eastAsia="宋体"/>
                <w:szCs w:val="21"/>
              </w:rPr>
              <w:t>为准</w:t>
            </w:r>
            <w:r>
              <w:rPr>
                <w:rFonts w:eastAsia="宋体"/>
                <w:szCs w:val="21"/>
              </w:rPr>
              <w:t>。</w:t>
            </w:r>
          </w:p>
        </w:tc>
      </w:tr>
      <w:tr>
        <w:tblPrEx>
          <w:tblCellMar>
            <w:top w:w="0" w:type="dxa"/>
            <w:left w:w="108" w:type="dxa"/>
            <w:bottom w:w="0" w:type="dxa"/>
            <w:right w:w="108" w:type="dxa"/>
          </w:tblCellMar>
        </w:tblPrEx>
        <w:trPr>
          <w:trHeight w:val="20" w:hRule="atLeast"/>
          <w:jc w:val="center"/>
        </w:trPr>
        <w:tc>
          <w:tcPr>
            <w:tcW w:w="1007" w:type="dxa"/>
            <w:vMerge w:val="restart"/>
            <w:tcBorders>
              <w:top w:val="single" w:color="auto" w:sz="4" w:space="0"/>
              <w:left w:val="single" w:color="auto" w:sz="4" w:space="0"/>
              <w:right w:val="single" w:color="auto" w:sz="4" w:space="0"/>
            </w:tcBorders>
            <w:noWrap w:val="0"/>
            <w:vAlign w:val="center"/>
          </w:tcPr>
          <w:p>
            <w:pPr>
              <w:spacing w:line="348" w:lineRule="auto"/>
              <w:jc w:val="center"/>
              <w:rPr>
                <w:rFonts w:hint="eastAsia" w:ascii="宋体" w:hAnsi="宋体" w:eastAsia="宋体" w:cs="宋体"/>
                <w:szCs w:val="21"/>
              </w:rPr>
            </w:pPr>
            <w:r>
              <w:rPr>
                <w:rFonts w:hint="eastAsia" w:ascii="宋体" w:hAnsi="宋体" w:eastAsia="宋体" w:cs="宋体"/>
                <w:szCs w:val="21"/>
              </w:rPr>
              <w:t>2.2.3</w:t>
            </w:r>
          </w:p>
        </w:tc>
        <w:tc>
          <w:tcPr>
            <w:tcW w:w="2929" w:type="dxa"/>
            <w:vMerge w:val="restart"/>
            <w:tcBorders>
              <w:top w:val="single" w:color="auto" w:sz="4" w:space="0"/>
              <w:left w:val="single" w:color="auto" w:sz="4" w:space="0"/>
              <w:right w:val="single" w:color="auto" w:sz="4" w:space="0"/>
            </w:tcBorders>
            <w:noWrap w:val="0"/>
            <w:vAlign w:val="center"/>
          </w:tcPr>
          <w:p>
            <w:pPr>
              <w:spacing w:line="348" w:lineRule="auto"/>
              <w:ind w:left="-105" w:leftChars="-50" w:right="-105" w:rightChars="-50"/>
              <w:jc w:val="center"/>
              <w:rPr>
                <w:rFonts w:hint="eastAsia" w:ascii="宋体" w:hAnsi="宋体" w:eastAsia="宋体" w:cs="宋体"/>
                <w:szCs w:val="21"/>
              </w:rPr>
            </w:pPr>
            <w:r>
              <w:rPr>
                <w:rFonts w:hint="eastAsia" w:ascii="宋体" w:hAnsi="宋体" w:eastAsia="宋体" w:cs="宋体"/>
                <w:szCs w:val="21"/>
              </w:rPr>
              <w:t>投标人确认收到招标文件澄清</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szCs w:val="21"/>
              </w:rPr>
            </w:pPr>
            <w:r>
              <w:rPr>
                <w:rFonts w:hint="eastAsia" w:ascii="宋体" w:hAnsi="宋体" w:eastAsia="宋体" w:cs="宋体"/>
                <w:szCs w:val="21"/>
              </w:rPr>
              <w:t>时间：收到澄清后24小时内</w:t>
            </w:r>
          </w:p>
        </w:tc>
      </w:tr>
      <w:tr>
        <w:tblPrEx>
          <w:tblCellMar>
            <w:top w:w="0" w:type="dxa"/>
            <w:left w:w="108" w:type="dxa"/>
            <w:bottom w:w="0" w:type="dxa"/>
            <w:right w:w="108" w:type="dxa"/>
          </w:tblCellMar>
        </w:tblPrEx>
        <w:trPr>
          <w:trHeight w:val="90" w:hRule="atLeast"/>
          <w:jc w:val="center"/>
        </w:trPr>
        <w:tc>
          <w:tcPr>
            <w:tcW w:w="1007" w:type="dxa"/>
            <w:vMerge w:val="continue"/>
            <w:tcBorders>
              <w:left w:val="single" w:color="auto" w:sz="4" w:space="0"/>
              <w:bottom w:val="single" w:color="auto" w:sz="4" w:space="0"/>
              <w:right w:val="single" w:color="auto" w:sz="4" w:space="0"/>
            </w:tcBorders>
            <w:noWrap w:val="0"/>
            <w:vAlign w:val="center"/>
          </w:tcPr>
          <w:p>
            <w:pPr>
              <w:spacing w:line="348" w:lineRule="auto"/>
              <w:jc w:val="center"/>
              <w:rPr>
                <w:rFonts w:hint="eastAsia" w:ascii="宋体" w:hAnsi="宋体" w:eastAsia="宋体" w:cs="宋体"/>
                <w:szCs w:val="21"/>
              </w:rPr>
            </w:pPr>
          </w:p>
        </w:tc>
        <w:tc>
          <w:tcPr>
            <w:tcW w:w="2929" w:type="dxa"/>
            <w:vMerge w:val="continue"/>
            <w:tcBorders>
              <w:left w:val="single" w:color="auto" w:sz="4" w:space="0"/>
              <w:bottom w:val="single" w:color="auto" w:sz="4" w:space="0"/>
              <w:right w:val="single" w:color="auto" w:sz="4" w:space="0"/>
            </w:tcBorders>
            <w:noWrap w:val="0"/>
            <w:vAlign w:val="center"/>
          </w:tcPr>
          <w:p>
            <w:pPr>
              <w:spacing w:line="348" w:lineRule="auto"/>
              <w:jc w:val="center"/>
              <w:rPr>
                <w:rFonts w:hint="eastAsia" w:ascii="宋体" w:hAnsi="宋体" w:eastAsia="宋体" w:cs="宋体"/>
                <w:szCs w:val="21"/>
              </w:rPr>
            </w:pPr>
          </w:p>
        </w:tc>
        <w:tc>
          <w:tcPr>
            <w:tcW w:w="54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szCs w:val="21"/>
              </w:rPr>
            </w:pPr>
            <w:r>
              <w:rPr>
                <w:rFonts w:hint="eastAsia" w:ascii="宋体" w:hAnsi="宋体" w:eastAsia="宋体" w:cs="宋体"/>
                <w:szCs w:val="21"/>
              </w:rPr>
              <w:t>形式：在</w:t>
            </w:r>
            <w:r>
              <w:rPr>
                <w:rFonts w:hint="eastAsia" w:eastAsia="宋体"/>
                <w:szCs w:val="21"/>
              </w:rPr>
              <w:t>南通市公共资源交易网</w:t>
            </w:r>
            <w:r>
              <w:rPr>
                <w:rFonts w:eastAsia="宋体"/>
                <w:szCs w:val="21"/>
              </w:rPr>
              <w:t>-其他交易</w:t>
            </w:r>
            <w:r>
              <w:rPr>
                <w:rFonts w:hint="eastAsia" w:eastAsia="宋体"/>
                <w:szCs w:val="21"/>
              </w:rPr>
              <w:t>、江苏省招标投标公共服务平台、 南通轨道交通官方网站</w:t>
            </w:r>
            <w:r>
              <w:rPr>
                <w:rFonts w:hint="eastAsia" w:ascii="宋体" w:hAnsi="宋体" w:eastAsia="宋体" w:cs="宋体"/>
                <w:szCs w:val="21"/>
              </w:rPr>
              <w:t>自行下载</w:t>
            </w:r>
            <w:r>
              <w:rPr>
                <w:rFonts w:hint="eastAsia" w:eastAsia="宋体"/>
                <w:szCs w:val="21"/>
              </w:rPr>
              <w:t>，如有不一致以</w:t>
            </w:r>
            <w:r>
              <w:rPr>
                <w:rFonts w:eastAsia="宋体"/>
                <w:szCs w:val="21"/>
              </w:rPr>
              <w:t>南通市公共资源交易网-其他交易</w:t>
            </w:r>
            <w:r>
              <w:rPr>
                <w:rFonts w:hint="eastAsia" w:eastAsia="宋体"/>
                <w:szCs w:val="21"/>
              </w:rPr>
              <w:t>为准</w:t>
            </w:r>
            <w:r>
              <w:rPr>
                <w:rFonts w:eastAsia="宋体"/>
                <w:szCs w:val="21"/>
              </w:rPr>
              <w:t>。</w:t>
            </w:r>
          </w:p>
        </w:tc>
      </w:tr>
      <w:tr>
        <w:tblPrEx>
          <w:tblCellMar>
            <w:top w:w="0" w:type="dxa"/>
            <w:left w:w="108" w:type="dxa"/>
            <w:bottom w:w="0" w:type="dxa"/>
            <w:right w:w="108" w:type="dxa"/>
          </w:tblCellMar>
        </w:tblPrEx>
        <w:trPr>
          <w:trHeight w:val="20" w:hRule="atLeast"/>
          <w:jc w:val="center"/>
        </w:trPr>
        <w:tc>
          <w:tcPr>
            <w:tcW w:w="1007" w:type="dxa"/>
            <w:tcBorders>
              <w:top w:val="single" w:color="auto" w:sz="4" w:space="0"/>
              <w:left w:val="single" w:color="auto" w:sz="4" w:space="0"/>
              <w:bottom w:val="single" w:color="auto" w:sz="4" w:space="0"/>
              <w:right w:val="single" w:color="auto" w:sz="4" w:space="0"/>
            </w:tcBorders>
            <w:noWrap w:val="0"/>
            <w:vAlign w:val="center"/>
          </w:tcPr>
          <w:p>
            <w:pPr>
              <w:spacing w:line="348" w:lineRule="auto"/>
              <w:jc w:val="center"/>
              <w:rPr>
                <w:rFonts w:hint="eastAsia" w:ascii="宋体" w:hAnsi="宋体" w:eastAsia="宋体" w:cs="宋体"/>
                <w:szCs w:val="21"/>
              </w:rPr>
            </w:pPr>
            <w:r>
              <w:rPr>
                <w:rFonts w:hint="eastAsia" w:ascii="宋体" w:hAnsi="宋体" w:eastAsia="宋体" w:cs="宋体"/>
                <w:szCs w:val="21"/>
              </w:rPr>
              <w:t>2.3.1</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spacing w:line="348" w:lineRule="auto"/>
              <w:jc w:val="center"/>
              <w:rPr>
                <w:rFonts w:hint="eastAsia" w:ascii="宋体" w:hAnsi="宋体" w:eastAsia="宋体" w:cs="宋体"/>
                <w:szCs w:val="21"/>
              </w:rPr>
            </w:pPr>
            <w:r>
              <w:rPr>
                <w:rFonts w:hint="eastAsia" w:ascii="宋体" w:hAnsi="宋体" w:eastAsia="宋体" w:cs="宋体"/>
                <w:szCs w:val="21"/>
              </w:rPr>
              <w:t>招标文件修改发出的形式</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szCs w:val="21"/>
              </w:rPr>
            </w:pPr>
            <w:r>
              <w:rPr>
                <w:rFonts w:hint="eastAsia" w:ascii="宋体" w:hAnsi="宋体" w:eastAsia="宋体" w:cs="宋体"/>
                <w:szCs w:val="21"/>
              </w:rPr>
              <w:t>同2.2.2</w:t>
            </w:r>
          </w:p>
        </w:tc>
      </w:tr>
      <w:tr>
        <w:tblPrEx>
          <w:tblCellMar>
            <w:top w:w="0" w:type="dxa"/>
            <w:left w:w="108" w:type="dxa"/>
            <w:bottom w:w="0" w:type="dxa"/>
            <w:right w:w="108" w:type="dxa"/>
          </w:tblCellMar>
        </w:tblPrEx>
        <w:trPr>
          <w:trHeight w:val="20" w:hRule="atLeast"/>
          <w:jc w:val="center"/>
        </w:trPr>
        <w:tc>
          <w:tcPr>
            <w:tcW w:w="1007" w:type="dxa"/>
            <w:tcBorders>
              <w:top w:val="single" w:color="auto" w:sz="4" w:space="0"/>
              <w:left w:val="single" w:color="auto" w:sz="4" w:space="0"/>
              <w:bottom w:val="single" w:color="auto" w:sz="4" w:space="0"/>
              <w:right w:val="single" w:color="auto" w:sz="4" w:space="0"/>
            </w:tcBorders>
            <w:noWrap w:val="0"/>
            <w:vAlign w:val="center"/>
          </w:tcPr>
          <w:p>
            <w:pPr>
              <w:spacing w:line="348" w:lineRule="auto"/>
              <w:jc w:val="center"/>
              <w:rPr>
                <w:rFonts w:hint="eastAsia" w:ascii="宋体" w:hAnsi="宋体" w:eastAsia="宋体" w:cs="宋体"/>
                <w:szCs w:val="21"/>
              </w:rPr>
            </w:pPr>
            <w:r>
              <w:rPr>
                <w:rFonts w:hint="eastAsia" w:ascii="宋体" w:hAnsi="宋体" w:eastAsia="宋体" w:cs="宋体"/>
                <w:szCs w:val="21"/>
              </w:rPr>
              <w:t>2.3.2</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spacing w:line="348" w:lineRule="auto"/>
              <w:ind w:left="-105" w:leftChars="-50" w:right="-105" w:rightChars="-50"/>
              <w:jc w:val="center"/>
              <w:rPr>
                <w:rFonts w:hint="eastAsia" w:ascii="宋体" w:hAnsi="宋体" w:eastAsia="宋体" w:cs="宋体"/>
                <w:szCs w:val="21"/>
              </w:rPr>
            </w:pPr>
            <w:r>
              <w:rPr>
                <w:rFonts w:hint="eastAsia" w:ascii="宋体" w:hAnsi="宋体" w:eastAsia="宋体" w:cs="宋体"/>
                <w:szCs w:val="21"/>
              </w:rPr>
              <w:t>投标人确认收到招标文件修改</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szCs w:val="21"/>
              </w:rPr>
            </w:pPr>
            <w:r>
              <w:rPr>
                <w:rFonts w:hint="eastAsia" w:ascii="宋体" w:hAnsi="宋体" w:eastAsia="宋体" w:cs="宋体"/>
                <w:szCs w:val="21"/>
              </w:rPr>
              <w:t>同2.2.3</w:t>
            </w:r>
          </w:p>
        </w:tc>
      </w:tr>
      <w:tr>
        <w:tblPrEx>
          <w:tblCellMar>
            <w:top w:w="0" w:type="dxa"/>
            <w:left w:w="108" w:type="dxa"/>
            <w:bottom w:w="0" w:type="dxa"/>
            <w:right w:w="108" w:type="dxa"/>
          </w:tblCellMar>
        </w:tblPrEx>
        <w:trPr>
          <w:trHeight w:val="20" w:hRule="atLeast"/>
          <w:jc w:val="center"/>
        </w:trPr>
        <w:tc>
          <w:tcPr>
            <w:tcW w:w="1007" w:type="dxa"/>
            <w:tcBorders>
              <w:top w:val="single" w:color="auto" w:sz="4" w:space="0"/>
              <w:left w:val="single" w:color="auto" w:sz="4" w:space="0"/>
              <w:bottom w:val="single" w:color="auto" w:sz="4" w:space="0"/>
              <w:right w:val="single" w:color="auto" w:sz="4" w:space="0"/>
            </w:tcBorders>
            <w:noWrap w:val="0"/>
            <w:vAlign w:val="center"/>
          </w:tcPr>
          <w:p>
            <w:pPr>
              <w:spacing w:line="348" w:lineRule="auto"/>
              <w:jc w:val="center"/>
              <w:rPr>
                <w:rFonts w:hint="eastAsia" w:ascii="宋体" w:hAnsi="宋体" w:eastAsia="宋体" w:cs="宋体"/>
                <w:szCs w:val="21"/>
              </w:rPr>
            </w:pPr>
            <w:r>
              <w:rPr>
                <w:rFonts w:hint="eastAsia" w:ascii="宋体" w:hAnsi="宋体" w:eastAsia="宋体" w:cs="宋体"/>
                <w:szCs w:val="21"/>
              </w:rPr>
              <w:t>3.1.1</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spacing w:line="348" w:lineRule="auto"/>
              <w:jc w:val="center"/>
              <w:rPr>
                <w:rFonts w:hint="eastAsia" w:ascii="宋体" w:hAnsi="宋体" w:eastAsia="宋体" w:cs="宋体"/>
                <w:szCs w:val="21"/>
              </w:rPr>
            </w:pPr>
            <w:r>
              <w:rPr>
                <w:rFonts w:hint="eastAsia" w:ascii="宋体" w:hAnsi="宋体" w:eastAsia="宋体" w:cs="宋体"/>
                <w:szCs w:val="21"/>
              </w:rPr>
              <w:t>构成投标文件的其他资料</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szCs w:val="21"/>
              </w:rPr>
            </w:pPr>
            <w:r>
              <w:rPr>
                <w:rFonts w:hint="eastAsia" w:ascii="宋体" w:hAnsi="宋体" w:eastAsia="宋体" w:cs="宋体"/>
                <w:szCs w:val="21"/>
              </w:rPr>
              <w:t>（1）商务部分册：</w:t>
            </w:r>
          </w:p>
          <w:p>
            <w:pPr>
              <w:spacing w:line="360" w:lineRule="auto"/>
              <w:ind w:firstLine="420" w:firstLineChars="200"/>
              <w:jc w:val="both"/>
              <w:rPr>
                <w:rFonts w:hint="eastAsia" w:ascii="宋体" w:hAnsi="宋体" w:eastAsia="宋体" w:cs="宋体"/>
                <w:szCs w:val="21"/>
              </w:rPr>
            </w:pPr>
            <w:r>
              <w:rPr>
                <w:rFonts w:hint="eastAsia" w:ascii="宋体" w:hAnsi="宋体" w:eastAsia="宋体" w:cs="宋体"/>
                <w:szCs w:val="21"/>
              </w:rPr>
              <w:t>按招标文件第六章“投标文件格式”格式要求填写的投标函；</w:t>
            </w:r>
          </w:p>
          <w:p>
            <w:pPr>
              <w:spacing w:line="360" w:lineRule="auto"/>
              <w:ind w:firstLine="420" w:firstLineChars="200"/>
              <w:jc w:val="both"/>
              <w:rPr>
                <w:rFonts w:hint="eastAsia" w:ascii="宋体" w:hAnsi="宋体" w:eastAsia="宋体" w:cs="宋体"/>
                <w:szCs w:val="21"/>
              </w:rPr>
            </w:pPr>
            <w:r>
              <w:rPr>
                <w:rFonts w:hint="eastAsia" w:ascii="宋体" w:hAnsi="宋体" w:eastAsia="宋体" w:cs="宋体"/>
                <w:szCs w:val="21"/>
              </w:rPr>
              <w:t>按照招标文件第六章“投标文件格式”提交的法定代表人授权书或法定代表人身份证明；</w:t>
            </w:r>
          </w:p>
          <w:p>
            <w:pPr>
              <w:spacing w:line="360" w:lineRule="auto"/>
              <w:ind w:firstLine="420" w:firstLineChars="200"/>
              <w:jc w:val="both"/>
              <w:rPr>
                <w:rFonts w:hint="eastAsia" w:ascii="宋体" w:hAnsi="宋体" w:eastAsia="宋体" w:cs="宋体"/>
                <w:szCs w:val="21"/>
              </w:rPr>
            </w:pPr>
            <w:r>
              <w:rPr>
                <w:rFonts w:hint="eastAsia" w:ascii="宋体" w:hAnsi="宋体" w:eastAsia="宋体" w:cs="宋体"/>
                <w:szCs w:val="21"/>
              </w:rPr>
              <w:t>按招标文件第六章“投标文件格式”格式要求填写的商务偏差表；</w:t>
            </w:r>
          </w:p>
          <w:p>
            <w:pPr>
              <w:spacing w:line="360" w:lineRule="auto"/>
              <w:ind w:firstLine="420" w:firstLineChars="200"/>
              <w:jc w:val="both"/>
              <w:rPr>
                <w:rFonts w:hint="eastAsia" w:ascii="宋体" w:hAnsi="宋体" w:eastAsia="宋体" w:cs="宋体"/>
                <w:szCs w:val="21"/>
              </w:rPr>
            </w:pPr>
            <w:r>
              <w:rPr>
                <w:rFonts w:hint="eastAsia" w:ascii="宋体" w:hAnsi="宋体" w:eastAsia="宋体" w:cs="宋体"/>
                <w:szCs w:val="21"/>
              </w:rPr>
              <w:t>按照招标文件第六章“投标文件格式”要求递交资格审查资料；</w:t>
            </w:r>
          </w:p>
          <w:p>
            <w:pPr>
              <w:spacing w:line="360" w:lineRule="auto"/>
              <w:ind w:firstLine="420" w:firstLineChars="200"/>
              <w:jc w:val="both"/>
              <w:rPr>
                <w:rFonts w:hint="eastAsia" w:ascii="宋体" w:hAnsi="宋体" w:eastAsia="宋体" w:cs="宋体"/>
                <w:szCs w:val="21"/>
              </w:rPr>
            </w:pPr>
            <w:r>
              <w:rPr>
                <w:rFonts w:hint="eastAsia" w:ascii="宋体" w:hAnsi="宋体" w:eastAsia="宋体" w:cs="宋体"/>
                <w:szCs w:val="21"/>
              </w:rPr>
              <w:t>招标文件中要求投标人递交的其它文件，以及投标人主动递交的文件；</w:t>
            </w:r>
          </w:p>
          <w:p>
            <w:pPr>
              <w:spacing w:line="360" w:lineRule="auto"/>
              <w:jc w:val="both"/>
              <w:rPr>
                <w:rFonts w:hint="eastAsia" w:ascii="宋体" w:hAnsi="宋体" w:eastAsia="宋体" w:cs="宋体"/>
                <w:szCs w:val="21"/>
              </w:rPr>
            </w:pPr>
            <w:r>
              <w:rPr>
                <w:rFonts w:hint="eastAsia" w:ascii="宋体" w:hAnsi="宋体" w:eastAsia="宋体" w:cs="宋体"/>
                <w:szCs w:val="21"/>
              </w:rPr>
              <w:t>（2）技术部分册：</w:t>
            </w:r>
          </w:p>
          <w:p>
            <w:pPr>
              <w:spacing w:line="360" w:lineRule="auto"/>
              <w:ind w:firstLine="420" w:firstLineChars="200"/>
              <w:jc w:val="both"/>
              <w:rPr>
                <w:rFonts w:hint="eastAsia" w:ascii="宋体" w:hAnsi="宋体" w:eastAsia="宋体" w:cs="宋体"/>
                <w:szCs w:val="21"/>
              </w:rPr>
            </w:pPr>
            <w:r>
              <w:rPr>
                <w:rFonts w:hint="eastAsia" w:ascii="宋体" w:hAnsi="宋体" w:eastAsia="宋体" w:cs="宋体"/>
                <w:szCs w:val="21"/>
              </w:rPr>
              <w:t>充分响应招标文件的完整、系统的技术建议书，按照招标文件第六章“投标文件格式”技术部分的格式要求提供的方案资料等。</w:t>
            </w:r>
          </w:p>
          <w:p>
            <w:pPr>
              <w:spacing w:line="360" w:lineRule="auto"/>
              <w:ind w:firstLine="420" w:firstLineChars="200"/>
              <w:jc w:val="both"/>
              <w:rPr>
                <w:rFonts w:hint="eastAsia" w:ascii="宋体" w:hAnsi="宋体" w:eastAsia="宋体" w:cs="宋体"/>
                <w:szCs w:val="21"/>
              </w:rPr>
            </w:pPr>
            <w:r>
              <w:rPr>
                <w:rFonts w:hint="eastAsia" w:ascii="宋体" w:hAnsi="宋体" w:eastAsia="宋体" w:cs="宋体"/>
                <w:szCs w:val="21"/>
              </w:rPr>
              <w:t>招标文件中要求投标人递交的其它文件，以及投标人主动递交的文件。</w:t>
            </w:r>
          </w:p>
          <w:p>
            <w:pPr>
              <w:spacing w:line="360" w:lineRule="auto"/>
              <w:jc w:val="both"/>
              <w:rPr>
                <w:rFonts w:hint="eastAsia" w:ascii="宋体" w:hAnsi="宋体" w:eastAsia="宋体" w:cs="宋体"/>
                <w:szCs w:val="21"/>
              </w:rPr>
            </w:pPr>
            <w:r>
              <w:rPr>
                <w:rFonts w:hint="eastAsia" w:ascii="宋体" w:hAnsi="宋体" w:eastAsia="宋体" w:cs="宋体"/>
                <w:szCs w:val="21"/>
              </w:rPr>
              <w:t>（3）价格部分册：</w:t>
            </w:r>
          </w:p>
          <w:p>
            <w:pPr>
              <w:spacing w:line="360" w:lineRule="auto"/>
              <w:ind w:firstLine="420" w:firstLineChars="200"/>
              <w:jc w:val="both"/>
              <w:rPr>
                <w:rFonts w:hint="eastAsia" w:ascii="宋体" w:hAnsi="宋体" w:eastAsia="宋体" w:cs="宋体"/>
                <w:szCs w:val="21"/>
              </w:rPr>
            </w:pPr>
            <w:r>
              <w:rPr>
                <w:rFonts w:hint="eastAsia" w:ascii="宋体" w:hAnsi="宋体" w:eastAsia="宋体" w:cs="宋体"/>
                <w:szCs w:val="21"/>
              </w:rPr>
              <w:t>按照招标文件第六章“投标文件格式”格式要求填写的投标函、分项报价表；</w:t>
            </w:r>
          </w:p>
          <w:p>
            <w:pPr>
              <w:spacing w:line="360" w:lineRule="auto"/>
              <w:ind w:firstLine="420" w:firstLineChars="200"/>
              <w:jc w:val="both"/>
              <w:rPr>
                <w:rFonts w:hint="eastAsia" w:ascii="宋体" w:hAnsi="宋体" w:eastAsia="宋体" w:cs="宋体"/>
                <w:szCs w:val="21"/>
              </w:rPr>
            </w:pPr>
            <w:r>
              <w:rPr>
                <w:rFonts w:hint="eastAsia" w:ascii="宋体" w:hAnsi="宋体" w:eastAsia="宋体" w:cs="宋体"/>
                <w:szCs w:val="21"/>
              </w:rPr>
              <w:t>投标人在评标过程中作出的符合法律法规和招标文件规定的澄清确认，构成投标文件的组成部分（如有）。</w:t>
            </w:r>
          </w:p>
        </w:tc>
      </w:tr>
      <w:tr>
        <w:tblPrEx>
          <w:tblCellMar>
            <w:top w:w="0" w:type="dxa"/>
            <w:left w:w="108" w:type="dxa"/>
            <w:bottom w:w="0" w:type="dxa"/>
            <w:right w:w="108" w:type="dxa"/>
          </w:tblCellMar>
        </w:tblPrEx>
        <w:trPr>
          <w:trHeight w:val="20" w:hRule="atLeast"/>
          <w:jc w:val="center"/>
        </w:trPr>
        <w:tc>
          <w:tcPr>
            <w:tcW w:w="1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3.2.1</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增值税税金的计算方法</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Cs w:val="21"/>
              </w:rPr>
            </w:pPr>
            <w:r>
              <w:rPr>
                <w:rFonts w:hint="eastAsia" w:ascii="宋体" w:hAnsi="宋体" w:eastAsia="宋体" w:cs="宋体"/>
                <w:szCs w:val="21"/>
              </w:rPr>
              <w:t>按国家的规定计算</w:t>
            </w:r>
          </w:p>
        </w:tc>
      </w:tr>
      <w:tr>
        <w:tblPrEx>
          <w:tblCellMar>
            <w:top w:w="0" w:type="dxa"/>
            <w:left w:w="108" w:type="dxa"/>
            <w:bottom w:w="0" w:type="dxa"/>
            <w:right w:w="108" w:type="dxa"/>
          </w:tblCellMar>
        </w:tblPrEx>
        <w:trPr>
          <w:trHeight w:val="20" w:hRule="atLeast"/>
          <w:jc w:val="center"/>
        </w:trPr>
        <w:tc>
          <w:tcPr>
            <w:tcW w:w="1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3.2.4</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最高投标限价</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Cs w:val="21"/>
              </w:rPr>
            </w:pPr>
            <w:r>
              <w:rPr>
                <w:rFonts w:hint="eastAsia" w:ascii="宋体" w:hAnsi="宋体" w:eastAsia="宋体" w:cs="宋体"/>
                <w:szCs w:val="21"/>
              </w:rPr>
              <w:t>□无</w:t>
            </w:r>
          </w:p>
          <w:p>
            <w:pPr>
              <w:spacing w:line="360" w:lineRule="auto"/>
              <w:rPr>
                <w:rFonts w:hint="eastAsia" w:ascii="宋体" w:hAnsi="宋体" w:eastAsia="宋体" w:cs="宋体"/>
                <w:szCs w:val="21"/>
              </w:rPr>
            </w:pPr>
            <w:r>
              <w:rPr>
                <w:rFonts w:hint="eastAsia" w:ascii="宋体" w:hAnsi="宋体" w:eastAsia="宋体" w:cs="宋体"/>
                <w:szCs w:val="21"/>
              </w:rPr>
              <w:sym w:font="Wingdings 2" w:char="F052"/>
            </w:r>
            <w:r>
              <w:rPr>
                <w:rFonts w:hint="eastAsia" w:ascii="宋体" w:hAnsi="宋体" w:eastAsia="宋体" w:cs="宋体"/>
                <w:szCs w:val="21"/>
              </w:rPr>
              <w:t>有，</w:t>
            </w:r>
            <w:r>
              <w:rPr>
                <w:rFonts w:hint="eastAsia" w:ascii="宋体" w:hAnsi="宋体" w:eastAsia="宋体" w:cs="宋体"/>
                <w:b/>
                <w:bCs/>
                <w:szCs w:val="21"/>
              </w:rPr>
              <w:t>最高投标限价：</w:t>
            </w:r>
            <w:r>
              <w:rPr>
                <w:rFonts w:hint="eastAsia" w:ascii="宋体" w:hAnsi="宋体" w:eastAsia="宋体" w:cs="宋体"/>
                <w:b/>
                <w:bCs/>
                <w:szCs w:val="21"/>
                <w:u w:val="single"/>
              </w:rPr>
              <w:t>184</w:t>
            </w:r>
            <w:r>
              <w:rPr>
                <w:rFonts w:hint="eastAsia" w:ascii="宋体" w:hAnsi="宋体" w:eastAsia="宋体" w:cs="宋体"/>
                <w:b/>
                <w:bCs/>
                <w:szCs w:val="21"/>
              </w:rPr>
              <w:t>万元</w:t>
            </w:r>
            <w:r>
              <w:rPr>
                <w:rFonts w:hint="eastAsia" w:ascii="宋体" w:hAnsi="宋体" w:eastAsia="宋体" w:cs="宋体"/>
                <w:szCs w:val="21"/>
              </w:rPr>
              <w:t xml:space="preserve"> </w:t>
            </w:r>
          </w:p>
          <w:p>
            <w:pPr>
              <w:spacing w:line="360" w:lineRule="auto"/>
              <w:rPr>
                <w:rFonts w:hint="eastAsia" w:ascii="宋体" w:hAnsi="宋体" w:eastAsia="宋体" w:cs="宋体"/>
                <w:szCs w:val="21"/>
                <w:u w:val="single"/>
              </w:rPr>
            </w:pPr>
            <w:r>
              <w:rPr>
                <w:rFonts w:hint="eastAsia" w:ascii="宋体" w:hAnsi="宋体" w:eastAsia="宋体" w:cs="宋体"/>
                <w:szCs w:val="21"/>
              </w:rPr>
              <w:t>若投标人的投标报价高于招标控制价的，将作为否决性投标处理。</w:t>
            </w:r>
          </w:p>
        </w:tc>
      </w:tr>
      <w:tr>
        <w:tblPrEx>
          <w:tblCellMar>
            <w:top w:w="0" w:type="dxa"/>
            <w:left w:w="108" w:type="dxa"/>
            <w:bottom w:w="0" w:type="dxa"/>
            <w:right w:w="108" w:type="dxa"/>
          </w:tblCellMar>
        </w:tblPrEx>
        <w:trPr>
          <w:trHeight w:val="20" w:hRule="atLeast"/>
          <w:jc w:val="center"/>
        </w:trPr>
        <w:tc>
          <w:tcPr>
            <w:tcW w:w="1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3.2.5</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投标报价的其他要求</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szCs w:val="21"/>
              </w:rPr>
            </w:pPr>
            <w:r>
              <w:rPr>
                <w:rFonts w:hint="eastAsia" w:ascii="宋体" w:hAnsi="宋体" w:eastAsia="宋体" w:cs="宋体"/>
                <w:szCs w:val="21"/>
              </w:rPr>
              <w:t>1.投标人报价以投标文件《价格部分》册中“投标函”中“投标总价”为准。</w:t>
            </w:r>
          </w:p>
          <w:p>
            <w:pPr>
              <w:spacing w:line="360" w:lineRule="auto"/>
              <w:jc w:val="both"/>
              <w:rPr>
                <w:rFonts w:hint="eastAsia" w:ascii="宋体" w:hAnsi="宋体" w:eastAsia="宋体" w:cs="宋体"/>
                <w:szCs w:val="21"/>
              </w:rPr>
            </w:pPr>
            <w:r>
              <w:rPr>
                <w:rFonts w:hint="eastAsia" w:ascii="宋体" w:hAnsi="宋体" w:eastAsia="宋体" w:cs="宋体"/>
                <w:szCs w:val="21"/>
              </w:rPr>
              <w:t>2.投标人应在投标分项报价表上标明本合同拟提供服务物和服务的单价（如适用）和总价。投标总价中不得包含招标文件要求以外的内容，否则，在评标时不予核减。投标总价中也不得缺漏招标文件所要求的内容，否则，评标时将有效投标中该项内容的最高价计入其投标总价。投标人的投标报价中，投标单价与总价计算失误所造成的投标风险由投标人承担。</w:t>
            </w:r>
          </w:p>
          <w:p>
            <w:pPr>
              <w:spacing w:line="360" w:lineRule="auto"/>
              <w:jc w:val="both"/>
              <w:rPr>
                <w:rFonts w:hint="eastAsia" w:ascii="宋体" w:hAnsi="宋体" w:eastAsia="宋体" w:cs="宋体"/>
                <w:szCs w:val="21"/>
              </w:rPr>
            </w:pPr>
            <w:r>
              <w:rPr>
                <w:rFonts w:hint="eastAsia" w:ascii="宋体" w:hAnsi="宋体" w:eastAsia="宋体" w:cs="宋体"/>
                <w:szCs w:val="21"/>
              </w:rPr>
              <w:t>3.投标人根据本须知及本招标文件相关章节的规定将投标价格分成几部分，只是为了方便招标人对投标文件进行比较，并不限制招标人以上述任何条件订立合同的权利。</w:t>
            </w:r>
          </w:p>
          <w:p>
            <w:pPr>
              <w:spacing w:line="360" w:lineRule="auto"/>
              <w:jc w:val="both"/>
              <w:rPr>
                <w:rFonts w:hint="eastAsia" w:ascii="宋体" w:hAnsi="宋体" w:eastAsia="宋体" w:cs="宋体"/>
                <w:szCs w:val="21"/>
              </w:rPr>
            </w:pPr>
            <w:r>
              <w:rPr>
                <w:rFonts w:hint="eastAsia" w:ascii="宋体" w:hAnsi="宋体" w:eastAsia="宋体" w:cs="宋体"/>
                <w:szCs w:val="21"/>
              </w:rPr>
              <w:t>4.投标报价应包括所投设备的采购制造﹑出厂检验、包装、运输、保险﹑装卸、仓储、开箱检查、试验调试、验收﹑培训等履行合同标的全过程产生的一切成本、费用和国家规定的所有税金以及投标人的合理利润。</w:t>
            </w:r>
          </w:p>
          <w:p>
            <w:pPr>
              <w:spacing w:line="360" w:lineRule="auto"/>
              <w:jc w:val="both"/>
              <w:rPr>
                <w:rFonts w:hint="eastAsia" w:ascii="宋体" w:hAnsi="宋体" w:eastAsia="宋体" w:cs="宋体"/>
                <w:szCs w:val="21"/>
              </w:rPr>
            </w:pPr>
            <w:r>
              <w:rPr>
                <w:rFonts w:hint="eastAsia" w:ascii="宋体" w:hAnsi="宋体" w:eastAsia="宋体" w:cs="宋体"/>
                <w:szCs w:val="21"/>
              </w:rPr>
              <w:t>5除非招标文件合同条款中另有规定，投标人所报的投标价在合同执行过程中是总价固定不变的，不得以任何理由予以变更。任何包含价格调整要求的投标被认为是非实质性响应投标而予以拒绝。</w:t>
            </w:r>
          </w:p>
          <w:p>
            <w:pPr>
              <w:spacing w:line="360" w:lineRule="auto"/>
              <w:jc w:val="both"/>
              <w:rPr>
                <w:rFonts w:hint="eastAsia" w:ascii="宋体" w:hAnsi="宋体" w:eastAsia="宋体" w:cs="宋体"/>
                <w:szCs w:val="21"/>
              </w:rPr>
            </w:pPr>
            <w:r>
              <w:rPr>
                <w:rFonts w:hint="eastAsia" w:ascii="宋体" w:hAnsi="宋体" w:eastAsia="宋体" w:cs="宋体"/>
                <w:szCs w:val="21"/>
              </w:rPr>
              <w:t>6投标人（如中标）在投标文件中提供的服务清单和报价将是签订合同依据，其报价在本次招标有效期内不能发生改变，如有改变，招标人将拒绝与其签订合同。</w:t>
            </w:r>
          </w:p>
          <w:p>
            <w:pPr>
              <w:spacing w:line="360" w:lineRule="auto"/>
              <w:jc w:val="both"/>
              <w:rPr>
                <w:rFonts w:hint="eastAsia" w:ascii="宋体" w:hAnsi="宋体" w:eastAsia="宋体" w:cs="宋体"/>
                <w:szCs w:val="21"/>
              </w:rPr>
            </w:pPr>
            <w:r>
              <w:rPr>
                <w:rFonts w:hint="eastAsia" w:ascii="宋体" w:hAnsi="宋体" w:eastAsia="宋体" w:cs="宋体"/>
                <w:szCs w:val="21"/>
              </w:rPr>
              <w:t>7投标人对每种服务只允许有一个报价，招标人不接受有任何选择的报价。</w:t>
            </w:r>
          </w:p>
          <w:p>
            <w:pPr>
              <w:spacing w:line="360" w:lineRule="auto"/>
              <w:jc w:val="both"/>
              <w:rPr>
                <w:rFonts w:hint="eastAsia" w:ascii="宋体" w:hAnsi="宋体" w:eastAsia="宋体" w:cs="宋体"/>
                <w:szCs w:val="21"/>
              </w:rPr>
            </w:pPr>
            <w:r>
              <w:rPr>
                <w:rFonts w:hint="eastAsia" w:ascii="宋体" w:hAnsi="宋体" w:eastAsia="宋体" w:cs="宋体"/>
                <w:szCs w:val="21"/>
              </w:rPr>
              <w:t>8所有根据合同或其它原因应由投标人支付的税款和其它应交纳的费用都要包括在投标人提交的投标价格中。</w:t>
            </w:r>
          </w:p>
          <w:p>
            <w:pPr>
              <w:spacing w:line="360" w:lineRule="auto"/>
              <w:jc w:val="both"/>
              <w:rPr>
                <w:rFonts w:hint="eastAsia" w:ascii="宋体" w:hAnsi="宋体" w:eastAsia="宋体" w:cs="宋体"/>
                <w:szCs w:val="21"/>
              </w:rPr>
            </w:pPr>
            <w:r>
              <w:rPr>
                <w:rFonts w:hint="eastAsia" w:ascii="宋体" w:hAnsi="宋体" w:eastAsia="宋体" w:cs="宋体"/>
                <w:szCs w:val="21"/>
              </w:rPr>
              <w:t>9投标人不得以低于成本的报价竞标，并不得以明显高于正常市场价格报价扰乱招标工作，否则，经评标委员会评审认定为低于成本的或明显高于正常市场价格的，将作为否决性投标处理。</w:t>
            </w:r>
          </w:p>
          <w:p>
            <w:pPr>
              <w:spacing w:line="360" w:lineRule="auto"/>
              <w:jc w:val="both"/>
              <w:rPr>
                <w:rFonts w:hint="eastAsia" w:ascii="宋体" w:hAnsi="宋体" w:eastAsia="宋体" w:cs="宋体"/>
                <w:szCs w:val="21"/>
              </w:rPr>
            </w:pPr>
            <w:r>
              <w:rPr>
                <w:rFonts w:hint="eastAsia" w:ascii="宋体" w:hAnsi="宋体" w:eastAsia="宋体" w:cs="宋体"/>
                <w:szCs w:val="21"/>
              </w:rPr>
              <w:t>10投标人在投标报价时应尽量避免算术性错误和其他错误，如发生上述错误或类似情形，按第三章评标办法执行。</w:t>
            </w:r>
          </w:p>
        </w:tc>
      </w:tr>
      <w:tr>
        <w:tblPrEx>
          <w:tblCellMar>
            <w:top w:w="0" w:type="dxa"/>
            <w:left w:w="108" w:type="dxa"/>
            <w:bottom w:w="0" w:type="dxa"/>
            <w:right w:w="108" w:type="dxa"/>
          </w:tblCellMar>
        </w:tblPrEx>
        <w:trPr>
          <w:trHeight w:val="20" w:hRule="atLeast"/>
          <w:jc w:val="center"/>
        </w:trPr>
        <w:tc>
          <w:tcPr>
            <w:tcW w:w="1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3.3.1</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投标有效期</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Cs w:val="21"/>
              </w:rPr>
            </w:pPr>
            <w:r>
              <w:rPr>
                <w:rFonts w:hint="eastAsia" w:ascii="宋体" w:hAnsi="宋体" w:eastAsia="宋体" w:cs="宋体"/>
                <w:szCs w:val="21"/>
              </w:rPr>
              <w:t>投标有效期为90日历天（从投标文件递交截止时间开始）</w:t>
            </w:r>
          </w:p>
        </w:tc>
      </w:tr>
      <w:tr>
        <w:tblPrEx>
          <w:tblCellMar>
            <w:top w:w="0" w:type="dxa"/>
            <w:left w:w="108" w:type="dxa"/>
            <w:bottom w:w="0" w:type="dxa"/>
            <w:right w:w="108" w:type="dxa"/>
          </w:tblCellMar>
        </w:tblPrEx>
        <w:trPr>
          <w:trHeight w:val="1213" w:hRule="atLeast"/>
          <w:jc w:val="center"/>
        </w:trPr>
        <w:tc>
          <w:tcPr>
            <w:tcW w:w="1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3.4.1</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投标保证金</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szCs w:val="21"/>
              </w:rPr>
            </w:pPr>
            <w:r>
              <w:rPr>
                <w:rFonts w:hint="eastAsia" w:ascii="宋体" w:hAnsi="宋体" w:eastAsia="宋体" w:cs="宋体"/>
                <w:szCs w:val="21"/>
              </w:rPr>
              <w:t>是否要求投标人递交投标保证金：</w:t>
            </w:r>
          </w:p>
          <w:p>
            <w:pPr>
              <w:pStyle w:val="57"/>
              <w:ind w:left="0" w:leftChars="0" w:firstLine="0" w:firstLineChars="0"/>
              <w:jc w:val="both"/>
              <w:rPr>
                <w:rFonts w:hint="eastAsia" w:ascii="宋体" w:hAnsi="宋体" w:eastAsia="宋体" w:cs="宋体"/>
                <w:b w:val="0"/>
                <w:bCs w:val="0"/>
                <w:szCs w:val="21"/>
              </w:rPr>
            </w:pPr>
            <w:bookmarkStart w:id="159" w:name="_Toc19684"/>
            <w:bookmarkStart w:id="160" w:name="_Toc8160"/>
            <w:r>
              <w:rPr>
                <w:rFonts w:hint="eastAsia" w:ascii="宋体" w:hAnsi="宋体" w:eastAsia="宋体" w:cs="宋体"/>
                <w:b w:val="0"/>
                <w:sz w:val="21"/>
                <w:szCs w:val="21"/>
              </w:rPr>
              <w:sym w:font="Wingdings 2" w:char="F052"/>
            </w:r>
            <w:r>
              <w:rPr>
                <w:rFonts w:hint="eastAsia" w:ascii="宋体" w:hAnsi="宋体" w:eastAsia="宋体" w:cs="宋体"/>
                <w:b w:val="0"/>
                <w:sz w:val="21"/>
                <w:szCs w:val="21"/>
              </w:rPr>
              <w:t>不要求</w:t>
            </w:r>
            <w:bookmarkEnd w:id="159"/>
            <w:bookmarkEnd w:id="160"/>
          </w:p>
        </w:tc>
      </w:tr>
      <w:tr>
        <w:tblPrEx>
          <w:tblCellMar>
            <w:top w:w="0" w:type="dxa"/>
            <w:left w:w="108" w:type="dxa"/>
            <w:bottom w:w="0" w:type="dxa"/>
            <w:right w:w="108" w:type="dxa"/>
          </w:tblCellMar>
        </w:tblPrEx>
        <w:trPr>
          <w:trHeight w:val="20" w:hRule="atLeast"/>
          <w:jc w:val="center"/>
        </w:trPr>
        <w:tc>
          <w:tcPr>
            <w:tcW w:w="1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3.4.4</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210" w:leftChars="-100" w:right="-210" w:rightChars="-100"/>
              <w:jc w:val="center"/>
              <w:rPr>
                <w:rFonts w:hint="eastAsia" w:ascii="宋体" w:hAnsi="宋体" w:eastAsia="宋体" w:cs="宋体"/>
                <w:spacing w:val="-10"/>
                <w:szCs w:val="21"/>
              </w:rPr>
            </w:pPr>
            <w:r>
              <w:rPr>
                <w:rFonts w:hint="eastAsia" w:ascii="宋体" w:hAnsi="宋体" w:eastAsia="宋体" w:cs="宋体"/>
                <w:spacing w:val="-10"/>
                <w:szCs w:val="21"/>
              </w:rPr>
              <w:t>其他可以不予退还保证金的情形</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spacing w:line="384" w:lineRule="auto"/>
              <w:rPr>
                <w:rFonts w:hint="eastAsia" w:ascii="宋体" w:hAnsi="宋体" w:eastAsia="宋体" w:cs="宋体"/>
                <w:szCs w:val="21"/>
              </w:rPr>
            </w:pPr>
            <w:r>
              <w:rPr>
                <w:rFonts w:hint="eastAsia" w:ascii="宋体" w:hAnsi="宋体" w:eastAsia="宋体" w:cs="宋体"/>
                <w:szCs w:val="21"/>
              </w:rPr>
              <w:t>/</w:t>
            </w:r>
          </w:p>
        </w:tc>
      </w:tr>
      <w:tr>
        <w:tblPrEx>
          <w:tblCellMar>
            <w:top w:w="0" w:type="dxa"/>
            <w:left w:w="108" w:type="dxa"/>
            <w:bottom w:w="0" w:type="dxa"/>
            <w:right w:w="108" w:type="dxa"/>
          </w:tblCellMar>
        </w:tblPrEx>
        <w:trPr>
          <w:trHeight w:val="20" w:hRule="atLeast"/>
          <w:jc w:val="center"/>
        </w:trPr>
        <w:tc>
          <w:tcPr>
            <w:tcW w:w="1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3.5</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资格审查资料的特殊要求</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spacing w:line="384" w:lineRule="auto"/>
              <w:jc w:val="both"/>
              <w:rPr>
                <w:rFonts w:hint="eastAsia" w:ascii="宋体" w:hAnsi="宋体" w:eastAsia="宋体" w:cs="宋体"/>
                <w:szCs w:val="21"/>
              </w:rPr>
            </w:pPr>
            <w:r>
              <w:rPr>
                <w:rFonts w:hint="eastAsia" w:ascii="宋体" w:hAnsi="宋体" w:eastAsia="宋体" w:cs="宋体"/>
                <w:szCs w:val="21"/>
              </w:rPr>
              <w:sym w:font="Wingdings 2" w:char="00A3"/>
            </w:r>
            <w:r>
              <w:rPr>
                <w:rFonts w:hint="eastAsia" w:ascii="宋体" w:hAnsi="宋体" w:eastAsia="宋体" w:cs="宋体"/>
                <w:szCs w:val="21"/>
              </w:rPr>
              <w:t xml:space="preserve">无         </w:t>
            </w:r>
            <w:r>
              <w:rPr>
                <w:rFonts w:hint="eastAsia" w:ascii="宋体" w:hAnsi="宋体" w:eastAsia="宋体" w:cs="宋体"/>
                <w:szCs w:val="21"/>
              </w:rPr>
              <w:sym w:font="Wingdings 2" w:char="0052"/>
            </w:r>
            <w:r>
              <w:rPr>
                <w:rFonts w:hint="eastAsia" w:ascii="宋体" w:hAnsi="宋体" w:eastAsia="宋体" w:cs="宋体"/>
                <w:szCs w:val="21"/>
              </w:rPr>
              <w:t>有，具体要求：</w:t>
            </w:r>
          </w:p>
          <w:p>
            <w:pPr>
              <w:numPr>
                <w:ilvl w:val="0"/>
                <w:numId w:val="5"/>
              </w:numPr>
              <w:spacing w:line="384" w:lineRule="auto"/>
              <w:jc w:val="both"/>
              <w:rPr>
                <w:rFonts w:hint="eastAsia" w:eastAsia="宋体"/>
                <w:szCs w:val="21"/>
              </w:rPr>
            </w:pPr>
            <w:r>
              <w:rPr>
                <w:rFonts w:hint="eastAsia" w:ascii="宋体" w:hAnsi="宋体" w:eastAsia="宋体" w:cs="宋体"/>
                <w:szCs w:val="21"/>
              </w:rPr>
              <w:t xml:space="preserve"> 投标人须提供有效的企业营业执照或事业单位法人证书复印件加盖投标单位公章；</w:t>
            </w:r>
          </w:p>
          <w:p>
            <w:pPr>
              <w:numPr>
                <w:ilvl w:val="0"/>
                <w:numId w:val="5"/>
              </w:numPr>
              <w:spacing w:line="384" w:lineRule="auto"/>
              <w:jc w:val="both"/>
              <w:rPr>
                <w:rFonts w:hint="eastAsia" w:eastAsia="宋体"/>
                <w:szCs w:val="21"/>
              </w:rPr>
            </w:pPr>
            <w:r>
              <w:rPr>
                <w:rFonts w:hint="eastAsia" w:eastAsia="宋体"/>
                <w:szCs w:val="21"/>
              </w:rPr>
              <w:t>投标人同时具有以下：</w:t>
            </w:r>
          </w:p>
          <w:p>
            <w:pPr>
              <w:pStyle w:val="252"/>
              <w:tabs>
                <w:tab w:val="left" w:pos="993"/>
              </w:tabs>
              <w:spacing w:line="360" w:lineRule="auto"/>
              <w:ind w:firstLine="0" w:firstLineChars="0"/>
              <w:rPr>
                <w:rFonts w:hint="eastAsia" w:eastAsia="宋体"/>
                <w:szCs w:val="21"/>
              </w:rPr>
            </w:pPr>
            <w:r>
              <w:rPr>
                <w:rFonts w:hint="eastAsia" w:eastAsia="宋体"/>
                <w:szCs w:val="21"/>
              </w:rPr>
              <w:t>①具有铁路电气化工程专业承包三级及以上资质或承装（修、试）电力设施许可证五级及以上电力设施许可证（须在有效期内）（</w:t>
            </w:r>
            <w:r>
              <w:rPr>
                <w:rFonts w:hint="eastAsia" w:ascii="宋体" w:hAnsi="宋体" w:eastAsia="宋体" w:cs="宋体"/>
                <w:szCs w:val="21"/>
              </w:rPr>
              <w:t>证书复印件加盖投标单位公章</w:t>
            </w:r>
            <w:r>
              <w:rPr>
                <w:rFonts w:hint="eastAsia" w:eastAsia="宋体"/>
                <w:szCs w:val="21"/>
              </w:rPr>
              <w:t>）；</w:t>
            </w:r>
          </w:p>
          <w:p>
            <w:pPr>
              <w:spacing w:line="384" w:lineRule="auto"/>
              <w:jc w:val="both"/>
              <w:rPr>
                <w:rFonts w:hint="eastAsia" w:ascii="宋体" w:hAnsi="宋体" w:eastAsia="宋体" w:cs="宋体"/>
                <w:szCs w:val="21"/>
              </w:rPr>
            </w:pPr>
            <w:r>
              <w:rPr>
                <w:rFonts w:hint="eastAsia" w:eastAsia="宋体"/>
                <w:szCs w:val="21"/>
              </w:rPr>
              <w:t>②具有有效的安全生产许可证（</w:t>
            </w:r>
            <w:r>
              <w:rPr>
                <w:rFonts w:hint="eastAsia" w:ascii="宋体" w:hAnsi="宋体" w:eastAsia="宋体" w:cs="宋体"/>
                <w:szCs w:val="21"/>
              </w:rPr>
              <w:t>证书复印件加盖投标单位公章</w:t>
            </w:r>
            <w:r>
              <w:rPr>
                <w:rFonts w:hint="eastAsia" w:eastAsia="宋体"/>
                <w:szCs w:val="21"/>
              </w:rPr>
              <w:t>）</w:t>
            </w:r>
          </w:p>
          <w:p>
            <w:pPr>
              <w:numPr>
                <w:ilvl w:val="0"/>
                <w:numId w:val="5"/>
              </w:numPr>
              <w:wordWrap w:val="0"/>
              <w:spacing w:line="384" w:lineRule="auto"/>
              <w:ind w:left="0" w:firstLine="0"/>
              <w:rPr>
                <w:rFonts w:hint="eastAsia" w:ascii="宋体" w:hAnsi="宋体" w:eastAsia="宋体" w:cs="宋体"/>
                <w:szCs w:val="21"/>
              </w:rPr>
            </w:pPr>
            <w:r>
              <w:rPr>
                <w:rFonts w:hint="eastAsia" w:ascii="宋体" w:hAnsi="宋体" w:eastAsia="宋体" w:cs="宋体"/>
                <w:szCs w:val="21"/>
              </w:rPr>
              <w:t xml:space="preserve">    通过“信用中国”网站（www.creditchina.gov.cn）、“中国执行信息公开网（http://zxgk.court.gov.cn/）”查询，未被查询为失信被执行人、重大税收违法案件当事人等不良行为的；提供符合“投标文件格式”要求的承诺函。</w:t>
            </w:r>
          </w:p>
          <w:p>
            <w:pPr>
              <w:spacing w:line="384" w:lineRule="auto"/>
              <w:jc w:val="both"/>
              <w:rPr>
                <w:rFonts w:hint="eastAsia" w:ascii="宋体" w:hAnsi="宋体" w:eastAsia="宋体" w:cs="宋体"/>
                <w:szCs w:val="21"/>
              </w:rPr>
            </w:pPr>
            <w:r>
              <w:rPr>
                <w:rFonts w:hint="eastAsia" w:ascii="宋体" w:hAnsi="宋体" w:eastAsia="宋体" w:cs="宋体"/>
                <w:szCs w:val="21"/>
              </w:rPr>
              <w:t>（4）拟投入本项目的</w:t>
            </w:r>
            <w:r>
              <w:rPr>
                <w:rFonts w:hint="eastAsia" w:eastAsia="宋体"/>
                <w:szCs w:val="21"/>
              </w:rPr>
              <w:t>项目经理（项目负责人）资格：二级及以上注册建造师（机电工程专业）资质，并具备安全考核合格证书（B类证）（</w:t>
            </w:r>
            <w:r>
              <w:rPr>
                <w:rFonts w:hint="eastAsia" w:ascii="宋体" w:hAnsi="宋体" w:eastAsia="宋体" w:cs="宋体"/>
                <w:szCs w:val="21"/>
              </w:rPr>
              <w:t>证书复印件加盖投标单位公章</w:t>
            </w:r>
            <w:r>
              <w:rPr>
                <w:rFonts w:hint="eastAsia" w:eastAsia="宋体"/>
                <w:szCs w:val="21"/>
              </w:rPr>
              <w:t>）</w:t>
            </w:r>
            <w:r>
              <w:rPr>
                <w:rFonts w:hint="eastAsia" w:ascii="宋体" w:hAnsi="宋体" w:eastAsia="宋体" w:cs="宋体"/>
                <w:szCs w:val="21"/>
              </w:rPr>
              <w:t>（提供近2024年内三个月社保证明及资质证书复印件加盖投标单位公章）</w:t>
            </w:r>
          </w:p>
        </w:tc>
      </w:tr>
      <w:tr>
        <w:tblPrEx>
          <w:tblCellMar>
            <w:top w:w="0" w:type="dxa"/>
            <w:left w:w="108" w:type="dxa"/>
            <w:bottom w:w="0" w:type="dxa"/>
            <w:right w:w="108" w:type="dxa"/>
          </w:tblCellMar>
        </w:tblPrEx>
        <w:trPr>
          <w:trHeight w:val="20" w:hRule="atLeast"/>
          <w:jc w:val="center"/>
        </w:trPr>
        <w:tc>
          <w:tcPr>
            <w:tcW w:w="1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3.5.2</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近年财务状况的年份要求</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spacing w:line="384" w:lineRule="auto"/>
              <w:ind w:firstLine="210" w:firstLineChars="100"/>
              <w:rPr>
                <w:rFonts w:hint="eastAsia" w:ascii="宋体" w:hAnsi="宋体" w:eastAsia="宋体" w:cs="宋体"/>
                <w:kern w:val="2"/>
                <w:szCs w:val="21"/>
              </w:rPr>
            </w:pPr>
            <w:r>
              <w:rPr>
                <w:rFonts w:hint="eastAsia" w:ascii="宋体" w:hAnsi="宋体" w:eastAsia="宋体" w:cs="宋体"/>
                <w:kern w:val="2"/>
                <w:szCs w:val="21"/>
                <w:u w:val="single"/>
              </w:rPr>
              <w:t>/</w:t>
            </w:r>
            <w:r>
              <w:rPr>
                <w:rFonts w:hint="eastAsia" w:ascii="宋体" w:hAnsi="宋体" w:eastAsia="宋体" w:cs="宋体"/>
                <w:kern w:val="2"/>
                <w:szCs w:val="21"/>
              </w:rPr>
              <w:t>年，/。</w:t>
            </w:r>
          </w:p>
        </w:tc>
      </w:tr>
      <w:tr>
        <w:tblPrEx>
          <w:tblCellMar>
            <w:top w:w="0" w:type="dxa"/>
            <w:left w:w="108" w:type="dxa"/>
            <w:bottom w:w="0" w:type="dxa"/>
            <w:right w:w="108" w:type="dxa"/>
          </w:tblCellMar>
        </w:tblPrEx>
        <w:trPr>
          <w:trHeight w:val="20" w:hRule="atLeast"/>
          <w:jc w:val="center"/>
        </w:trPr>
        <w:tc>
          <w:tcPr>
            <w:tcW w:w="1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3.5.3</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近年完成的类似项目情况的时间要求</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spacing w:line="384" w:lineRule="auto"/>
              <w:rPr>
                <w:rFonts w:hint="eastAsia" w:ascii="宋体" w:hAnsi="宋体" w:eastAsia="宋体" w:cs="宋体"/>
                <w:kern w:val="2"/>
                <w:szCs w:val="21"/>
              </w:rPr>
            </w:pPr>
            <w:r>
              <w:rPr>
                <w:rFonts w:hint="eastAsia" w:ascii="宋体" w:hAnsi="宋体" w:eastAsia="宋体" w:cs="宋体"/>
                <w:kern w:val="2"/>
                <w:szCs w:val="21"/>
              </w:rPr>
              <w:t>指2019年1月1日至投标截止时间。</w:t>
            </w:r>
          </w:p>
        </w:tc>
      </w:tr>
      <w:tr>
        <w:tblPrEx>
          <w:tblCellMar>
            <w:top w:w="0" w:type="dxa"/>
            <w:left w:w="108" w:type="dxa"/>
            <w:bottom w:w="0" w:type="dxa"/>
            <w:right w:w="108" w:type="dxa"/>
          </w:tblCellMar>
        </w:tblPrEx>
        <w:trPr>
          <w:trHeight w:val="20" w:hRule="atLeast"/>
          <w:jc w:val="center"/>
        </w:trPr>
        <w:tc>
          <w:tcPr>
            <w:tcW w:w="1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3.5.5</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近年发生的诉讼及仲裁情况时间要求</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spacing w:line="384" w:lineRule="auto"/>
              <w:ind w:firstLine="210" w:firstLineChars="100"/>
              <w:rPr>
                <w:rFonts w:hint="eastAsia" w:ascii="宋体" w:hAnsi="宋体" w:eastAsia="宋体" w:cs="宋体"/>
                <w:kern w:val="2"/>
                <w:szCs w:val="21"/>
              </w:rPr>
            </w:pPr>
            <w:r>
              <w:rPr>
                <w:rFonts w:hint="eastAsia" w:ascii="宋体" w:hAnsi="宋体" w:eastAsia="宋体" w:cs="宋体"/>
                <w:kern w:val="2"/>
                <w:szCs w:val="21"/>
                <w:u w:val="single"/>
              </w:rPr>
              <w:t>/</w:t>
            </w:r>
            <w:r>
              <w:rPr>
                <w:rFonts w:hint="eastAsia" w:ascii="宋体" w:hAnsi="宋体" w:eastAsia="宋体" w:cs="宋体"/>
                <w:kern w:val="2"/>
                <w:szCs w:val="21"/>
              </w:rPr>
              <w:t>年，/。</w:t>
            </w:r>
          </w:p>
        </w:tc>
      </w:tr>
      <w:tr>
        <w:tblPrEx>
          <w:tblCellMar>
            <w:top w:w="0" w:type="dxa"/>
            <w:left w:w="108" w:type="dxa"/>
            <w:bottom w:w="0" w:type="dxa"/>
            <w:right w:w="108" w:type="dxa"/>
          </w:tblCellMar>
        </w:tblPrEx>
        <w:trPr>
          <w:trHeight w:val="20" w:hRule="atLeast"/>
          <w:jc w:val="center"/>
        </w:trPr>
        <w:tc>
          <w:tcPr>
            <w:tcW w:w="1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3.6.1</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是否允许递交备选投标方案</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pStyle w:val="22"/>
              <w:topLinePunct/>
              <w:spacing w:line="360" w:lineRule="auto"/>
              <w:rPr>
                <w:rFonts w:hint="eastAsia" w:hAnsi="宋体" w:cs="宋体"/>
                <w:sz w:val="21"/>
                <w:szCs w:val="21"/>
              </w:rPr>
            </w:pPr>
            <w:bookmarkStart w:id="161" w:name="是否允许递交备选投标方案_不允许"/>
            <w:r>
              <w:rPr>
                <w:rFonts w:hint="eastAsia" w:hAnsi="宋体" w:cs="宋体"/>
                <w:sz w:val="21"/>
                <w:szCs w:val="21"/>
              </w:rPr>
              <w:sym w:font="Wingdings 2" w:char="F052"/>
            </w:r>
            <w:r>
              <w:rPr>
                <w:rFonts w:hint="eastAsia" w:hAnsi="宋体" w:cs="宋体"/>
                <w:sz w:val="21"/>
                <w:szCs w:val="21"/>
              </w:rPr>
              <w:t>不允许</w:t>
            </w:r>
            <w:bookmarkEnd w:id="161"/>
            <w:r>
              <w:rPr>
                <w:rFonts w:hint="eastAsia" w:hAnsi="宋体" w:cs="宋体"/>
                <w:sz w:val="21"/>
                <w:szCs w:val="21"/>
              </w:rPr>
              <w:t xml:space="preserve">         </w:t>
            </w:r>
            <w:r>
              <w:rPr>
                <w:rFonts w:hint="eastAsia" w:hAnsi="宋体" w:cs="宋体"/>
                <w:sz w:val="32"/>
                <w:szCs w:val="32"/>
              </w:rPr>
              <w:t>□</w:t>
            </w:r>
            <w:r>
              <w:rPr>
                <w:rFonts w:hint="eastAsia" w:hAnsi="宋体" w:cs="宋体"/>
                <w:sz w:val="21"/>
                <w:szCs w:val="21"/>
              </w:rPr>
              <w:t>允许</w:t>
            </w:r>
          </w:p>
        </w:tc>
      </w:tr>
      <w:tr>
        <w:tblPrEx>
          <w:tblCellMar>
            <w:top w:w="0" w:type="dxa"/>
            <w:left w:w="108" w:type="dxa"/>
            <w:bottom w:w="0" w:type="dxa"/>
            <w:right w:w="108" w:type="dxa"/>
          </w:tblCellMar>
        </w:tblPrEx>
        <w:trPr>
          <w:trHeight w:val="6105" w:hRule="atLeast"/>
          <w:jc w:val="center"/>
        </w:trPr>
        <w:tc>
          <w:tcPr>
            <w:tcW w:w="1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3.7.3（2）</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投标文件副本份数及其他要求</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pStyle w:val="22"/>
              <w:topLinePunct/>
              <w:spacing w:line="360" w:lineRule="auto"/>
              <w:rPr>
                <w:rFonts w:hint="eastAsia" w:hAnsi="宋体" w:cs="宋体"/>
                <w:sz w:val="21"/>
                <w:szCs w:val="21"/>
              </w:rPr>
            </w:pPr>
            <w:r>
              <w:rPr>
                <w:rFonts w:hint="eastAsia" w:hAnsi="宋体" w:cs="宋体"/>
                <w:sz w:val="21"/>
                <w:szCs w:val="21"/>
              </w:rPr>
              <w:t>投标文件副本份数：4份。</w:t>
            </w:r>
          </w:p>
          <w:p>
            <w:pPr>
              <w:pStyle w:val="22"/>
              <w:topLinePunct/>
              <w:spacing w:line="360" w:lineRule="auto"/>
              <w:rPr>
                <w:rFonts w:hint="eastAsia" w:hAnsi="宋体" w:cs="宋体"/>
                <w:sz w:val="21"/>
                <w:szCs w:val="21"/>
              </w:rPr>
            </w:pPr>
            <w:r>
              <w:rPr>
                <w:rFonts w:hint="eastAsia" w:hAnsi="宋体" w:cs="宋体"/>
                <w:sz w:val="21"/>
                <w:szCs w:val="21"/>
              </w:rPr>
              <w:t>是否要求提交电子版文件：是。</w:t>
            </w:r>
          </w:p>
          <w:p>
            <w:pPr>
              <w:pStyle w:val="22"/>
              <w:topLinePunct/>
              <w:spacing w:line="360" w:lineRule="auto"/>
              <w:rPr>
                <w:rFonts w:hint="eastAsia" w:hAnsi="宋体" w:cs="宋体"/>
                <w:sz w:val="21"/>
                <w:szCs w:val="21"/>
              </w:rPr>
            </w:pPr>
            <w:r>
              <w:rPr>
                <w:rFonts w:hint="eastAsia" w:hAnsi="宋体" w:cs="宋体"/>
                <w:sz w:val="21"/>
                <w:szCs w:val="21"/>
              </w:rPr>
              <w:t>其他要求：电子版1套（每套包含U盘3份）（商务部分1套，技术部分1套，价格部分1套）（刻有全部内容的有效电子文档，电子文档载体上应注明投标人名称、所投工程名称（南通轨道交通集团有限公司运营分公司2024年1、2号线接触网车辆段增设可视化接地装置采购项目）；文档格式：文字为DOC/DOCX格式，单独的表格文件为XLS/XLSX格式，图纸为DWG格式，电子版在包装封面上注明“商务（或技术或价格）部分电子文件”，商务部分和技术部分电子文件应分别密封在商务部分和技术部分中，价格部分所列内容的电子文档应按规定格式提供，并密封在价格部分中。所有电子文件不得设置密码。</w:t>
            </w:r>
          </w:p>
        </w:tc>
      </w:tr>
      <w:tr>
        <w:tblPrEx>
          <w:tblCellMar>
            <w:top w:w="0" w:type="dxa"/>
            <w:left w:w="108" w:type="dxa"/>
            <w:bottom w:w="0" w:type="dxa"/>
            <w:right w:w="108" w:type="dxa"/>
          </w:tblCellMar>
        </w:tblPrEx>
        <w:trPr>
          <w:trHeight w:val="3064" w:hRule="atLeast"/>
          <w:jc w:val="center"/>
        </w:trPr>
        <w:tc>
          <w:tcPr>
            <w:tcW w:w="1007" w:type="dxa"/>
            <w:tcBorders>
              <w:top w:val="single" w:color="auto" w:sz="4" w:space="0"/>
              <w:left w:val="single" w:color="auto" w:sz="4" w:space="0"/>
              <w:bottom w:val="single" w:color="auto" w:sz="4" w:space="0"/>
              <w:right w:val="single" w:color="auto" w:sz="4" w:space="0"/>
            </w:tcBorders>
            <w:noWrap w:val="0"/>
            <w:vAlign w:val="center"/>
          </w:tcPr>
          <w:p>
            <w:pPr>
              <w:spacing w:line="348" w:lineRule="auto"/>
              <w:jc w:val="center"/>
              <w:rPr>
                <w:rFonts w:hint="eastAsia" w:ascii="宋体" w:hAnsi="宋体" w:eastAsia="宋体" w:cs="宋体"/>
                <w:szCs w:val="21"/>
              </w:rPr>
            </w:pPr>
            <w:r>
              <w:rPr>
                <w:rFonts w:hint="eastAsia" w:ascii="宋体" w:hAnsi="宋体" w:eastAsia="宋体" w:cs="宋体"/>
                <w:szCs w:val="21"/>
              </w:rPr>
              <w:t>3.7.3（3）</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spacing w:line="348" w:lineRule="auto"/>
              <w:jc w:val="center"/>
              <w:rPr>
                <w:rFonts w:hint="eastAsia" w:ascii="宋体" w:hAnsi="宋体" w:eastAsia="宋体" w:cs="宋体"/>
                <w:szCs w:val="21"/>
              </w:rPr>
            </w:pPr>
            <w:r>
              <w:rPr>
                <w:rFonts w:hint="eastAsia" w:ascii="宋体" w:hAnsi="宋体" w:eastAsia="宋体" w:cs="宋体"/>
                <w:szCs w:val="21"/>
              </w:rPr>
              <w:t>投标文件是否需分册装订</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pStyle w:val="22"/>
              <w:topLinePunct/>
              <w:spacing w:line="348" w:lineRule="auto"/>
              <w:jc w:val="left"/>
              <w:rPr>
                <w:rFonts w:hint="eastAsia" w:hAnsi="宋体" w:cs="宋体"/>
                <w:sz w:val="21"/>
                <w:szCs w:val="21"/>
              </w:rPr>
            </w:pPr>
            <w:r>
              <w:rPr>
                <w:rFonts w:hint="eastAsia" w:hAnsi="宋体" w:cs="宋体"/>
                <w:szCs w:val="21"/>
              </w:rPr>
              <w:sym w:font="Wingdings 2" w:char="00A3"/>
            </w:r>
            <w:r>
              <w:rPr>
                <w:rFonts w:hint="eastAsia" w:hAnsi="宋体" w:cs="宋体"/>
                <w:sz w:val="21"/>
                <w:szCs w:val="21"/>
              </w:rPr>
              <w:t>不需要</w:t>
            </w:r>
          </w:p>
          <w:p>
            <w:pPr>
              <w:pStyle w:val="22"/>
              <w:topLinePunct/>
              <w:spacing w:line="348" w:lineRule="auto"/>
              <w:jc w:val="left"/>
              <w:rPr>
                <w:rFonts w:hint="eastAsia" w:hAnsi="宋体" w:cs="宋体"/>
                <w:sz w:val="21"/>
                <w:szCs w:val="21"/>
              </w:rPr>
            </w:pPr>
            <w:r>
              <w:rPr>
                <w:rFonts w:hint="eastAsia" w:hAnsi="宋体" w:cs="宋体"/>
                <w:szCs w:val="21"/>
              </w:rPr>
              <w:sym w:font="Wingdings 2" w:char="0052"/>
            </w:r>
            <w:r>
              <w:rPr>
                <w:rFonts w:hint="eastAsia" w:hAnsi="宋体" w:cs="宋体"/>
                <w:sz w:val="21"/>
                <w:szCs w:val="21"/>
              </w:rPr>
              <w:t>需要，分册装订要求：</w:t>
            </w:r>
          </w:p>
          <w:p>
            <w:pPr>
              <w:spacing w:line="348" w:lineRule="auto"/>
              <w:ind w:firstLine="420" w:firstLineChars="200"/>
              <w:rPr>
                <w:rFonts w:hint="eastAsia" w:ascii="宋体" w:hAnsi="宋体" w:eastAsia="宋体" w:cs="宋体"/>
                <w:szCs w:val="21"/>
              </w:rPr>
            </w:pPr>
            <w:r>
              <w:rPr>
                <w:rFonts w:hint="eastAsia" w:ascii="宋体" w:hAnsi="宋体" w:eastAsia="宋体" w:cs="宋体"/>
                <w:szCs w:val="21"/>
              </w:rPr>
              <w:t>投标文件分《商务部分》、《技术部分》和《价格部分》三册装订。投标人必须按商务部分、技术部分、价格部分分开密封提交。</w:t>
            </w:r>
          </w:p>
          <w:p>
            <w:pPr>
              <w:spacing w:line="348" w:lineRule="auto"/>
              <w:ind w:firstLine="420" w:firstLineChars="200"/>
              <w:rPr>
                <w:rFonts w:hint="eastAsia" w:ascii="宋体" w:hAnsi="宋体" w:eastAsia="宋体" w:cs="宋体"/>
                <w:szCs w:val="21"/>
              </w:rPr>
            </w:pPr>
            <w:r>
              <w:rPr>
                <w:rFonts w:hint="eastAsia" w:ascii="宋体" w:hAnsi="宋体" w:eastAsia="宋体" w:cs="宋体"/>
                <w:szCs w:val="21"/>
              </w:rPr>
              <w:t>详见第六章投标文件格式。</w:t>
            </w:r>
          </w:p>
        </w:tc>
      </w:tr>
      <w:tr>
        <w:tblPrEx>
          <w:tblCellMar>
            <w:top w:w="0" w:type="dxa"/>
            <w:left w:w="108" w:type="dxa"/>
            <w:bottom w:w="0" w:type="dxa"/>
            <w:right w:w="108" w:type="dxa"/>
          </w:tblCellMar>
        </w:tblPrEx>
        <w:trPr>
          <w:trHeight w:val="20" w:hRule="atLeast"/>
          <w:jc w:val="center"/>
        </w:trPr>
        <w:tc>
          <w:tcPr>
            <w:tcW w:w="1007" w:type="dxa"/>
            <w:tcBorders>
              <w:top w:val="single" w:color="auto" w:sz="4" w:space="0"/>
              <w:left w:val="single" w:color="auto" w:sz="4" w:space="0"/>
              <w:bottom w:val="single" w:color="auto" w:sz="4" w:space="0"/>
              <w:right w:val="single" w:color="auto" w:sz="4" w:space="0"/>
            </w:tcBorders>
            <w:noWrap w:val="0"/>
            <w:vAlign w:val="center"/>
          </w:tcPr>
          <w:p>
            <w:pPr>
              <w:spacing w:line="348" w:lineRule="auto"/>
              <w:jc w:val="center"/>
              <w:rPr>
                <w:rFonts w:hint="eastAsia" w:ascii="宋体" w:hAnsi="宋体" w:eastAsia="宋体" w:cs="宋体"/>
                <w:szCs w:val="21"/>
              </w:rPr>
            </w:pPr>
            <w:r>
              <w:rPr>
                <w:rFonts w:hint="eastAsia" w:ascii="宋体" w:hAnsi="宋体" w:eastAsia="宋体" w:cs="宋体"/>
                <w:szCs w:val="21"/>
              </w:rPr>
              <w:t>4.1.2</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spacing w:line="348" w:lineRule="auto"/>
              <w:jc w:val="center"/>
              <w:rPr>
                <w:rFonts w:hint="eastAsia" w:ascii="宋体" w:hAnsi="宋体" w:eastAsia="宋体" w:cs="宋体"/>
                <w:szCs w:val="21"/>
              </w:rPr>
            </w:pPr>
            <w:r>
              <w:rPr>
                <w:rFonts w:hint="eastAsia" w:ascii="宋体" w:hAnsi="宋体" w:eastAsia="宋体" w:cs="宋体"/>
                <w:szCs w:val="21"/>
              </w:rPr>
              <w:t>封套上应载明的信息</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spacing w:line="348" w:lineRule="auto"/>
              <w:ind w:firstLine="420" w:firstLineChars="200"/>
              <w:rPr>
                <w:rFonts w:hint="eastAsia" w:ascii="宋体" w:hAnsi="宋体" w:eastAsia="宋体" w:cs="宋体"/>
                <w:szCs w:val="21"/>
              </w:rPr>
            </w:pPr>
            <w:r>
              <w:rPr>
                <w:rFonts w:hint="eastAsia" w:ascii="宋体" w:hAnsi="宋体" w:eastAsia="宋体" w:cs="宋体"/>
                <w:szCs w:val="21"/>
              </w:rPr>
              <w:t>招标人名称：南通轨道交通集团有限公司运营分公司</w:t>
            </w:r>
          </w:p>
          <w:p>
            <w:pPr>
              <w:spacing w:line="348" w:lineRule="auto"/>
              <w:ind w:firstLine="420" w:firstLineChars="200"/>
              <w:rPr>
                <w:rFonts w:hint="eastAsia" w:ascii="宋体" w:hAnsi="宋体" w:eastAsia="宋体" w:cs="宋体"/>
                <w:szCs w:val="21"/>
              </w:rPr>
            </w:pPr>
            <w:r>
              <w:rPr>
                <w:rFonts w:hint="eastAsia" w:ascii="宋体" w:hAnsi="宋体" w:eastAsia="宋体" w:cs="宋体"/>
                <w:szCs w:val="21"/>
              </w:rPr>
              <w:t>招标人地址：南通市通州区平潮镇南通轨道交通平东车辆段</w:t>
            </w:r>
          </w:p>
          <w:p>
            <w:pPr>
              <w:spacing w:line="348" w:lineRule="auto"/>
              <w:ind w:firstLine="420" w:firstLineChars="200"/>
              <w:rPr>
                <w:rFonts w:hint="eastAsia" w:ascii="宋体" w:hAnsi="宋体" w:eastAsia="宋体" w:cs="宋体"/>
                <w:szCs w:val="21"/>
              </w:rPr>
            </w:pPr>
            <w:r>
              <w:rPr>
                <w:rFonts w:hint="eastAsia" w:ascii="宋体" w:hAnsi="宋体" w:eastAsia="宋体" w:cs="宋体"/>
                <w:szCs w:val="21"/>
              </w:rPr>
              <w:t>南通轨道交通集团有限公司运营分公司2024年1、2号线接触网车辆段增设可视化接地装置采购项目投标文件</w:t>
            </w:r>
          </w:p>
          <w:p>
            <w:pPr>
              <w:spacing w:line="348" w:lineRule="auto"/>
              <w:ind w:firstLine="420" w:firstLineChars="200"/>
              <w:rPr>
                <w:rFonts w:hint="eastAsia" w:ascii="宋体" w:hAnsi="宋体" w:eastAsia="宋体" w:cs="宋体"/>
                <w:szCs w:val="21"/>
              </w:rPr>
            </w:pPr>
            <w:r>
              <w:rPr>
                <w:rFonts w:hint="eastAsia" w:ascii="宋体" w:hAnsi="宋体" w:eastAsia="宋体" w:cs="宋体"/>
                <w:szCs w:val="21"/>
              </w:rPr>
              <w:t>投标文件商务（或技术或价格）部分</w:t>
            </w:r>
          </w:p>
          <w:p>
            <w:pPr>
              <w:spacing w:line="348" w:lineRule="auto"/>
              <w:ind w:firstLine="420" w:firstLineChars="200"/>
              <w:rPr>
                <w:rFonts w:hint="eastAsia" w:ascii="宋体" w:hAnsi="宋体" w:eastAsia="宋体" w:cs="宋体"/>
                <w:szCs w:val="21"/>
              </w:rPr>
            </w:pPr>
            <w:r>
              <w:rPr>
                <w:rFonts w:hint="eastAsia" w:ascii="宋体" w:hAnsi="宋体" w:eastAsia="宋体" w:cs="宋体"/>
                <w:szCs w:val="21"/>
              </w:rPr>
              <w:t>投标人：</w:t>
            </w:r>
            <w:r>
              <w:rPr>
                <w:rFonts w:hint="eastAsia" w:ascii="宋体" w:hAnsi="宋体" w:eastAsia="宋体" w:cs="宋体"/>
                <w:szCs w:val="21"/>
                <w:u w:val="single"/>
              </w:rPr>
              <w:t xml:space="preserve">                  </w:t>
            </w:r>
            <w:r>
              <w:rPr>
                <w:rFonts w:hint="eastAsia" w:ascii="宋体" w:hAnsi="宋体" w:eastAsia="宋体" w:cs="宋体"/>
                <w:szCs w:val="21"/>
              </w:rPr>
              <w:t>（全称、盖章）</w:t>
            </w:r>
          </w:p>
          <w:p>
            <w:pPr>
              <w:spacing w:line="348" w:lineRule="auto"/>
              <w:ind w:firstLine="420" w:firstLineChars="200"/>
              <w:rPr>
                <w:rFonts w:hint="eastAsia" w:ascii="宋体" w:hAnsi="宋体" w:eastAsia="宋体" w:cs="宋体"/>
                <w:szCs w:val="21"/>
              </w:rPr>
            </w:pPr>
            <w:r>
              <w:rPr>
                <w:rFonts w:hint="eastAsia" w:ascii="宋体" w:hAnsi="宋体" w:eastAsia="宋体" w:cs="宋体"/>
                <w:szCs w:val="21"/>
              </w:rPr>
              <w:t>在投标文件递交截止时间前不得开启</w:t>
            </w:r>
          </w:p>
          <w:tbl>
            <w:tblPr>
              <w:tblStyle w:val="6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1708"/>
              <w:gridCol w:w="1073"/>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9" w:type="pct"/>
                  <w:noWrap w:val="0"/>
                  <w:vAlign w:val="center"/>
                </w:tcPr>
                <w:p>
                  <w:pPr>
                    <w:jc w:val="center"/>
                    <w:rPr>
                      <w:rFonts w:hint="eastAsia" w:ascii="宋体" w:hAnsi="宋体" w:eastAsia="宋体" w:cs="宋体"/>
                      <w:szCs w:val="21"/>
                    </w:rPr>
                  </w:pPr>
                  <w:bookmarkStart w:id="162" w:name="_Toc14678"/>
                  <w:r>
                    <w:rPr>
                      <w:rFonts w:hint="eastAsia" w:ascii="宋体" w:hAnsi="宋体" w:eastAsia="宋体" w:cs="宋体"/>
                      <w:szCs w:val="21"/>
                    </w:rPr>
                    <w:t>序号</w:t>
                  </w:r>
                  <w:bookmarkEnd w:id="162"/>
                </w:p>
              </w:tc>
              <w:tc>
                <w:tcPr>
                  <w:tcW w:w="1632" w:type="pct"/>
                  <w:noWrap w:val="0"/>
                  <w:vAlign w:val="center"/>
                </w:tcPr>
                <w:p>
                  <w:pPr>
                    <w:jc w:val="center"/>
                    <w:rPr>
                      <w:rFonts w:hint="eastAsia" w:ascii="宋体" w:hAnsi="宋体" w:eastAsia="宋体" w:cs="宋体"/>
                      <w:szCs w:val="21"/>
                    </w:rPr>
                  </w:pPr>
                  <w:bookmarkStart w:id="163" w:name="_Toc12599"/>
                  <w:r>
                    <w:rPr>
                      <w:rFonts w:hint="eastAsia" w:ascii="宋体" w:hAnsi="宋体" w:eastAsia="宋体" w:cs="宋体"/>
                      <w:szCs w:val="21"/>
                    </w:rPr>
                    <w:t>名称</w:t>
                  </w:r>
                  <w:bookmarkEnd w:id="163"/>
                </w:p>
              </w:tc>
              <w:tc>
                <w:tcPr>
                  <w:tcW w:w="1025" w:type="pct"/>
                  <w:noWrap w:val="0"/>
                  <w:vAlign w:val="center"/>
                </w:tcPr>
                <w:p>
                  <w:pPr>
                    <w:jc w:val="center"/>
                    <w:rPr>
                      <w:rFonts w:hint="eastAsia" w:ascii="宋体" w:hAnsi="宋体" w:eastAsia="宋体" w:cs="宋体"/>
                      <w:szCs w:val="21"/>
                    </w:rPr>
                  </w:pPr>
                  <w:bookmarkStart w:id="164" w:name="_Toc6002"/>
                  <w:r>
                    <w:rPr>
                      <w:rFonts w:hint="eastAsia" w:ascii="宋体" w:hAnsi="宋体" w:eastAsia="宋体" w:cs="宋体"/>
                      <w:szCs w:val="21"/>
                    </w:rPr>
                    <w:t>内容</w:t>
                  </w:r>
                  <w:bookmarkEnd w:id="164"/>
                </w:p>
              </w:tc>
              <w:tc>
                <w:tcPr>
                  <w:tcW w:w="1682" w:type="pct"/>
                  <w:noWrap w:val="0"/>
                  <w:vAlign w:val="center"/>
                </w:tcPr>
                <w:p>
                  <w:pPr>
                    <w:jc w:val="center"/>
                    <w:rPr>
                      <w:rFonts w:hint="eastAsia" w:ascii="宋体" w:hAnsi="宋体" w:eastAsia="宋体" w:cs="宋体"/>
                      <w:szCs w:val="21"/>
                    </w:rPr>
                  </w:pPr>
                  <w:bookmarkStart w:id="165" w:name="_Toc22107"/>
                  <w:r>
                    <w:rPr>
                      <w:rFonts w:hint="eastAsia" w:ascii="宋体" w:hAnsi="宋体" w:eastAsia="宋体" w:cs="宋体"/>
                      <w:szCs w:val="21"/>
                    </w:rPr>
                    <w:t>备注</w:t>
                  </w:r>
                  <w:bookmarkEnd w:id="1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59" w:type="pct"/>
                  <w:noWrap w:val="0"/>
                  <w:vAlign w:val="center"/>
                </w:tcPr>
                <w:p>
                  <w:pPr>
                    <w:jc w:val="center"/>
                    <w:rPr>
                      <w:rFonts w:hint="eastAsia" w:ascii="宋体" w:hAnsi="宋体" w:eastAsia="宋体" w:cs="宋体"/>
                      <w:b/>
                      <w:bCs/>
                      <w:szCs w:val="21"/>
                    </w:rPr>
                  </w:pPr>
                  <w:bookmarkStart w:id="166" w:name="_Toc29508"/>
                  <w:r>
                    <w:rPr>
                      <w:rFonts w:hint="eastAsia" w:ascii="宋体" w:hAnsi="宋体" w:eastAsia="宋体" w:cs="宋体"/>
                      <w:b/>
                      <w:bCs/>
                      <w:szCs w:val="21"/>
                    </w:rPr>
                    <w:t>1</w:t>
                  </w:r>
                  <w:bookmarkEnd w:id="166"/>
                </w:p>
              </w:tc>
              <w:tc>
                <w:tcPr>
                  <w:tcW w:w="1632" w:type="pct"/>
                  <w:noWrap w:val="0"/>
                  <w:vAlign w:val="center"/>
                </w:tcPr>
                <w:p>
                  <w:pPr>
                    <w:rPr>
                      <w:rFonts w:hint="eastAsia" w:ascii="宋体" w:hAnsi="宋体" w:eastAsia="宋体" w:cs="宋体"/>
                      <w:b/>
                      <w:bCs/>
                      <w:szCs w:val="21"/>
                    </w:rPr>
                  </w:pPr>
                  <w:bookmarkStart w:id="167" w:name="_Toc17481"/>
                  <w:r>
                    <w:rPr>
                      <w:rFonts w:hint="eastAsia" w:ascii="宋体" w:hAnsi="宋体" w:eastAsia="宋体" w:cs="宋体"/>
                      <w:b/>
                      <w:bCs/>
                      <w:szCs w:val="21"/>
                    </w:rPr>
                    <w:t>商务部分电子版</w:t>
                  </w:r>
                  <w:bookmarkEnd w:id="167"/>
                </w:p>
              </w:tc>
              <w:tc>
                <w:tcPr>
                  <w:tcW w:w="1025" w:type="pct"/>
                  <w:noWrap w:val="0"/>
                  <w:vAlign w:val="center"/>
                </w:tcPr>
                <w:p>
                  <w:pPr>
                    <w:jc w:val="center"/>
                    <w:rPr>
                      <w:rFonts w:hint="eastAsia" w:ascii="宋体" w:hAnsi="宋体" w:eastAsia="宋体" w:cs="宋体"/>
                      <w:b/>
                      <w:bCs/>
                      <w:szCs w:val="21"/>
                    </w:rPr>
                  </w:pPr>
                  <w:bookmarkStart w:id="168" w:name="_Toc31724"/>
                  <w:r>
                    <w:rPr>
                      <w:rFonts w:hint="eastAsia" w:ascii="宋体" w:hAnsi="宋体" w:eastAsia="宋体" w:cs="宋体"/>
                      <w:b/>
                      <w:bCs/>
                      <w:szCs w:val="21"/>
                    </w:rPr>
                    <w:t>U盘1份</w:t>
                  </w:r>
                  <w:bookmarkEnd w:id="168"/>
                </w:p>
              </w:tc>
              <w:tc>
                <w:tcPr>
                  <w:tcW w:w="1682" w:type="pct"/>
                  <w:noWrap w:val="0"/>
                  <w:vAlign w:val="center"/>
                </w:tcPr>
                <w:p>
                  <w:pPr>
                    <w:rPr>
                      <w:rFonts w:hint="eastAsia" w:ascii="宋体" w:hAnsi="宋体" w:eastAsia="宋体" w:cs="宋体"/>
                      <w:b/>
                      <w:bCs/>
                      <w:szCs w:val="21"/>
                    </w:rPr>
                  </w:pPr>
                  <w:bookmarkStart w:id="169" w:name="_Toc12064"/>
                  <w:r>
                    <w:rPr>
                      <w:rFonts w:hint="eastAsia" w:ascii="宋体" w:hAnsi="宋体" w:eastAsia="宋体" w:cs="宋体"/>
                      <w:b/>
                      <w:bCs/>
                      <w:szCs w:val="21"/>
                    </w:rPr>
                    <w:t>封装在商务部分投标文件封包中</w:t>
                  </w:r>
                  <w:bookmarkEnd w:id="16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59" w:type="pct"/>
                  <w:noWrap w:val="0"/>
                  <w:vAlign w:val="center"/>
                </w:tcPr>
                <w:p>
                  <w:pPr>
                    <w:jc w:val="center"/>
                    <w:rPr>
                      <w:rFonts w:hint="eastAsia" w:ascii="宋体" w:hAnsi="宋体" w:eastAsia="宋体" w:cs="宋体"/>
                      <w:b/>
                      <w:bCs/>
                      <w:szCs w:val="21"/>
                    </w:rPr>
                  </w:pPr>
                  <w:bookmarkStart w:id="170" w:name="_Toc14492"/>
                  <w:r>
                    <w:rPr>
                      <w:rFonts w:hint="eastAsia" w:ascii="宋体" w:hAnsi="宋体" w:eastAsia="宋体" w:cs="宋体"/>
                      <w:b/>
                      <w:bCs/>
                      <w:szCs w:val="21"/>
                    </w:rPr>
                    <w:t>2</w:t>
                  </w:r>
                  <w:bookmarkEnd w:id="170"/>
                </w:p>
              </w:tc>
              <w:tc>
                <w:tcPr>
                  <w:tcW w:w="1632" w:type="pct"/>
                  <w:noWrap w:val="0"/>
                  <w:vAlign w:val="center"/>
                </w:tcPr>
                <w:p>
                  <w:pPr>
                    <w:rPr>
                      <w:rFonts w:hint="eastAsia" w:ascii="宋体" w:hAnsi="宋体" w:eastAsia="宋体" w:cs="宋体"/>
                      <w:b/>
                      <w:bCs/>
                      <w:szCs w:val="21"/>
                    </w:rPr>
                  </w:pPr>
                  <w:bookmarkStart w:id="171" w:name="_Toc24210"/>
                  <w:r>
                    <w:rPr>
                      <w:rFonts w:hint="eastAsia" w:ascii="宋体" w:hAnsi="宋体" w:eastAsia="宋体" w:cs="宋体"/>
                      <w:b/>
                      <w:bCs/>
                      <w:szCs w:val="21"/>
                    </w:rPr>
                    <w:t>技术部分电子版</w:t>
                  </w:r>
                  <w:bookmarkEnd w:id="171"/>
                </w:p>
              </w:tc>
              <w:tc>
                <w:tcPr>
                  <w:tcW w:w="1025" w:type="pct"/>
                  <w:noWrap w:val="0"/>
                  <w:vAlign w:val="center"/>
                </w:tcPr>
                <w:p>
                  <w:pPr>
                    <w:jc w:val="center"/>
                    <w:rPr>
                      <w:rFonts w:hint="eastAsia" w:ascii="宋体" w:hAnsi="宋体" w:eastAsia="宋体" w:cs="宋体"/>
                      <w:b/>
                      <w:bCs/>
                      <w:szCs w:val="21"/>
                    </w:rPr>
                  </w:pPr>
                  <w:bookmarkStart w:id="172" w:name="_Toc25185"/>
                  <w:r>
                    <w:rPr>
                      <w:rFonts w:hint="eastAsia" w:ascii="宋体" w:hAnsi="宋体" w:eastAsia="宋体" w:cs="宋体"/>
                      <w:b/>
                      <w:bCs/>
                      <w:szCs w:val="21"/>
                    </w:rPr>
                    <w:t>U盘1份</w:t>
                  </w:r>
                  <w:bookmarkEnd w:id="172"/>
                </w:p>
              </w:tc>
              <w:tc>
                <w:tcPr>
                  <w:tcW w:w="1682" w:type="pct"/>
                  <w:noWrap w:val="0"/>
                  <w:vAlign w:val="center"/>
                </w:tcPr>
                <w:p>
                  <w:pPr>
                    <w:rPr>
                      <w:rFonts w:hint="eastAsia" w:ascii="宋体" w:hAnsi="宋体" w:eastAsia="宋体" w:cs="宋体"/>
                      <w:b/>
                      <w:bCs/>
                      <w:szCs w:val="21"/>
                    </w:rPr>
                  </w:pPr>
                  <w:bookmarkStart w:id="173" w:name="_Toc21781"/>
                  <w:r>
                    <w:rPr>
                      <w:rFonts w:hint="eastAsia" w:ascii="宋体" w:hAnsi="宋体" w:eastAsia="宋体" w:cs="宋体"/>
                      <w:b/>
                      <w:bCs/>
                      <w:szCs w:val="21"/>
                    </w:rPr>
                    <w:t>封装在技术部分投标文件封包中</w:t>
                  </w:r>
                  <w:bookmarkEnd w:id="17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59" w:type="pct"/>
                  <w:noWrap w:val="0"/>
                  <w:vAlign w:val="center"/>
                </w:tcPr>
                <w:p>
                  <w:pPr>
                    <w:jc w:val="center"/>
                    <w:rPr>
                      <w:rFonts w:hint="eastAsia" w:ascii="宋体" w:hAnsi="宋体" w:eastAsia="宋体" w:cs="宋体"/>
                      <w:b/>
                      <w:bCs/>
                      <w:szCs w:val="21"/>
                    </w:rPr>
                  </w:pPr>
                  <w:bookmarkStart w:id="174" w:name="_Toc8570"/>
                  <w:r>
                    <w:rPr>
                      <w:rFonts w:hint="eastAsia" w:ascii="宋体" w:hAnsi="宋体" w:eastAsia="宋体" w:cs="宋体"/>
                      <w:b/>
                      <w:bCs/>
                      <w:szCs w:val="21"/>
                    </w:rPr>
                    <w:t>3</w:t>
                  </w:r>
                  <w:bookmarkEnd w:id="174"/>
                </w:p>
              </w:tc>
              <w:tc>
                <w:tcPr>
                  <w:tcW w:w="1632" w:type="pct"/>
                  <w:noWrap w:val="0"/>
                  <w:vAlign w:val="center"/>
                </w:tcPr>
                <w:p>
                  <w:pPr>
                    <w:rPr>
                      <w:rFonts w:hint="eastAsia" w:ascii="宋体" w:hAnsi="宋体" w:eastAsia="宋体" w:cs="宋体"/>
                      <w:b/>
                      <w:bCs/>
                      <w:szCs w:val="21"/>
                    </w:rPr>
                  </w:pPr>
                  <w:bookmarkStart w:id="175" w:name="_Toc6376"/>
                  <w:r>
                    <w:rPr>
                      <w:rFonts w:hint="eastAsia" w:ascii="宋体" w:hAnsi="宋体" w:eastAsia="宋体" w:cs="宋体"/>
                      <w:b/>
                      <w:bCs/>
                      <w:szCs w:val="21"/>
                    </w:rPr>
                    <w:t>价格部分电子版</w:t>
                  </w:r>
                  <w:bookmarkEnd w:id="175"/>
                </w:p>
              </w:tc>
              <w:tc>
                <w:tcPr>
                  <w:tcW w:w="1025" w:type="pct"/>
                  <w:noWrap w:val="0"/>
                  <w:vAlign w:val="center"/>
                </w:tcPr>
                <w:p>
                  <w:pPr>
                    <w:jc w:val="center"/>
                    <w:rPr>
                      <w:rFonts w:hint="eastAsia" w:ascii="宋体" w:hAnsi="宋体" w:eastAsia="宋体" w:cs="宋体"/>
                      <w:b/>
                      <w:bCs/>
                      <w:szCs w:val="21"/>
                    </w:rPr>
                  </w:pPr>
                  <w:bookmarkStart w:id="176" w:name="_Toc1275"/>
                  <w:r>
                    <w:rPr>
                      <w:rFonts w:hint="eastAsia" w:ascii="宋体" w:hAnsi="宋体" w:eastAsia="宋体" w:cs="宋体"/>
                      <w:b/>
                      <w:bCs/>
                      <w:szCs w:val="21"/>
                    </w:rPr>
                    <w:t>U盘1份</w:t>
                  </w:r>
                  <w:bookmarkEnd w:id="176"/>
                </w:p>
              </w:tc>
              <w:tc>
                <w:tcPr>
                  <w:tcW w:w="1682" w:type="pct"/>
                  <w:noWrap w:val="0"/>
                  <w:vAlign w:val="center"/>
                </w:tcPr>
                <w:p>
                  <w:pPr>
                    <w:rPr>
                      <w:rFonts w:hint="eastAsia" w:ascii="宋体" w:hAnsi="宋体" w:eastAsia="宋体" w:cs="宋体"/>
                      <w:b/>
                      <w:bCs/>
                      <w:szCs w:val="21"/>
                    </w:rPr>
                  </w:pPr>
                  <w:bookmarkStart w:id="177" w:name="_Toc20768"/>
                  <w:r>
                    <w:rPr>
                      <w:rFonts w:hint="eastAsia" w:ascii="宋体" w:hAnsi="宋体" w:eastAsia="宋体" w:cs="宋体"/>
                      <w:b/>
                      <w:bCs/>
                      <w:szCs w:val="21"/>
                    </w:rPr>
                    <w:t>封装在价格部分投标文件封包中</w:t>
                  </w:r>
                  <w:bookmarkEnd w:id="177"/>
                </w:p>
              </w:tc>
            </w:tr>
          </w:tbl>
          <w:p>
            <w:pPr>
              <w:ind w:firstLine="422" w:firstLineChars="200"/>
              <w:rPr>
                <w:rFonts w:hint="eastAsia" w:ascii="宋体" w:hAnsi="宋体" w:eastAsia="宋体" w:cs="宋体"/>
                <w:b/>
                <w:szCs w:val="21"/>
              </w:rPr>
            </w:pPr>
            <w:r>
              <w:rPr>
                <w:rFonts w:hint="eastAsia" w:ascii="宋体" w:hAnsi="宋体" w:eastAsia="宋体" w:cs="宋体"/>
                <w:b/>
                <w:szCs w:val="21"/>
              </w:rPr>
              <w:t>投标人必须按商务部分、技术部分、价格部分分开密封提交。</w:t>
            </w:r>
          </w:p>
          <w:p>
            <w:pPr>
              <w:pStyle w:val="203"/>
              <w:spacing w:line="240" w:lineRule="auto"/>
              <w:ind w:left="0" w:leftChars="0" w:firstLine="0" w:firstLineChars="0"/>
              <w:jc w:val="center"/>
              <w:rPr>
                <w:rFonts w:hint="eastAsia" w:ascii="宋体" w:hAnsi="宋体" w:cs="宋体"/>
                <w:b/>
              </w:rPr>
            </w:pPr>
          </w:p>
          <w:p>
            <w:pPr>
              <w:pStyle w:val="203"/>
              <w:spacing w:line="240" w:lineRule="auto"/>
              <w:ind w:left="0" w:leftChars="0" w:firstLine="0" w:firstLineChars="0"/>
              <w:jc w:val="center"/>
              <w:rPr>
                <w:rFonts w:hint="eastAsia" w:ascii="宋体" w:hAnsi="宋体" w:cs="宋体"/>
                <w:b/>
              </w:rPr>
            </w:pPr>
          </w:p>
          <w:p>
            <w:pPr>
              <w:pStyle w:val="203"/>
              <w:spacing w:line="240" w:lineRule="auto"/>
              <w:ind w:left="0" w:leftChars="0" w:firstLine="0" w:firstLineChars="0"/>
              <w:jc w:val="center"/>
              <w:rPr>
                <w:rFonts w:hint="eastAsia" w:ascii="宋体" w:hAnsi="宋体" w:cs="宋体"/>
                <w:b/>
              </w:rPr>
            </w:pPr>
          </w:p>
          <w:p>
            <w:pPr>
              <w:pStyle w:val="203"/>
              <w:spacing w:line="240" w:lineRule="auto"/>
              <w:ind w:left="0" w:leftChars="0" w:firstLine="0" w:firstLineChars="0"/>
              <w:jc w:val="center"/>
              <w:rPr>
                <w:rFonts w:hint="eastAsia" w:ascii="宋体" w:hAnsi="宋体" w:cs="宋体"/>
                <w:b/>
              </w:rPr>
            </w:pPr>
          </w:p>
          <w:p>
            <w:pPr>
              <w:pStyle w:val="203"/>
              <w:spacing w:line="240" w:lineRule="auto"/>
              <w:ind w:left="0" w:leftChars="0" w:firstLine="0" w:firstLineChars="0"/>
              <w:jc w:val="center"/>
              <w:rPr>
                <w:rFonts w:hint="eastAsia" w:ascii="宋体" w:hAnsi="宋体" w:cs="宋体"/>
                <w:b/>
              </w:rPr>
            </w:pPr>
          </w:p>
          <w:p>
            <w:pPr>
              <w:pStyle w:val="203"/>
              <w:spacing w:line="240" w:lineRule="auto"/>
              <w:ind w:left="0" w:leftChars="0" w:firstLine="0" w:firstLineChars="0"/>
              <w:jc w:val="center"/>
              <w:rPr>
                <w:rFonts w:hint="eastAsia" w:ascii="宋体" w:hAnsi="宋体" w:cs="宋体"/>
                <w:b/>
              </w:rPr>
            </w:pPr>
          </w:p>
          <w:p>
            <w:pPr>
              <w:pStyle w:val="203"/>
              <w:spacing w:line="240" w:lineRule="auto"/>
              <w:ind w:left="0" w:leftChars="0" w:firstLine="0" w:firstLineChars="0"/>
              <w:jc w:val="center"/>
              <w:rPr>
                <w:rFonts w:hint="eastAsia" w:ascii="宋体" w:hAnsi="宋体" w:cs="宋体"/>
                <w:b/>
              </w:rPr>
            </w:pPr>
          </w:p>
          <w:p>
            <w:pPr>
              <w:pStyle w:val="203"/>
              <w:spacing w:line="240" w:lineRule="auto"/>
              <w:ind w:left="0" w:leftChars="0" w:firstLine="0" w:firstLineChars="0"/>
              <w:jc w:val="center"/>
              <w:rPr>
                <w:rFonts w:hint="eastAsia" w:ascii="宋体" w:hAnsi="宋体" w:cs="宋体"/>
                <w:b/>
              </w:rPr>
            </w:pPr>
          </w:p>
          <w:p>
            <w:pPr>
              <w:pStyle w:val="203"/>
              <w:spacing w:line="240" w:lineRule="auto"/>
              <w:ind w:left="0" w:leftChars="0" w:firstLine="0" w:firstLineChars="0"/>
              <w:jc w:val="center"/>
              <w:rPr>
                <w:rFonts w:hint="eastAsia" w:ascii="宋体" w:hAnsi="宋体" w:cs="宋体"/>
                <w:b/>
              </w:rPr>
            </w:pPr>
          </w:p>
          <w:p>
            <w:pPr>
              <w:pStyle w:val="203"/>
              <w:spacing w:line="240" w:lineRule="auto"/>
              <w:ind w:left="0" w:leftChars="0" w:firstLine="0" w:firstLineChars="0"/>
              <w:jc w:val="center"/>
              <w:rPr>
                <w:rFonts w:hint="eastAsia" w:ascii="宋体" w:hAnsi="宋体" w:cs="宋体"/>
                <w:b/>
              </w:rPr>
            </w:pPr>
            <w:r>
              <w:rPr>
                <w:rFonts w:hint="eastAsia" w:ascii="宋体" w:hAnsi="宋体" w:cs="宋体"/>
                <w:b/>
              </w:rPr>
              <w:t>投标文件示意图（供投标人参考）</w:t>
            </w:r>
          </w:p>
          <w:p>
            <w:pPr>
              <w:spacing w:line="348" w:lineRule="auto"/>
              <w:jc w:val="center"/>
              <w:rPr>
                <w:rFonts w:hint="eastAsia" w:ascii="宋体" w:hAnsi="宋体" w:eastAsia="宋体" w:cs="宋体"/>
                <w:bCs/>
                <w:szCs w:val="21"/>
              </w:rPr>
            </w:pPr>
            <w:r>
              <w:rPr>
                <w:rFonts w:hint="eastAsia" w:ascii="宋体" w:hAnsi="宋体" w:eastAsia="宋体" w:cs="宋体"/>
              </w:rPr>
              <mc:AlternateContent>
                <mc:Choice Requires="wps">
                  <w:drawing>
                    <wp:anchor distT="0" distB="0" distL="114300" distR="114300" simplePos="0" relativeHeight="251660288" behindDoc="1" locked="0" layoutInCell="1" allowOverlap="1">
                      <wp:simplePos x="0" y="0"/>
                      <wp:positionH relativeFrom="column">
                        <wp:posOffset>5080</wp:posOffset>
                      </wp:positionH>
                      <wp:positionV relativeFrom="paragraph">
                        <wp:posOffset>57785</wp:posOffset>
                      </wp:positionV>
                      <wp:extent cx="3252470" cy="2411095"/>
                      <wp:effectExtent l="4445" t="5080" r="19685" b="22225"/>
                      <wp:wrapNone/>
                      <wp:docPr id="3" name="立方体 3"/>
                      <wp:cNvGraphicFramePr/>
                      <a:graphic xmlns:a="http://schemas.openxmlformats.org/drawingml/2006/main">
                        <a:graphicData uri="http://schemas.microsoft.com/office/word/2010/wordprocessingShape">
                          <wps:wsp>
                            <wps:cNvSpPr>
                              <a:spLocks noChangeArrowheads="1"/>
                            </wps:cNvSpPr>
                            <wps:spPr bwMode="auto">
                              <a:xfrm>
                                <a:off x="0" y="0"/>
                                <a:ext cx="3752850" cy="2705100"/>
                              </a:xfrm>
                              <a:prstGeom prst="cube">
                                <a:avLst>
                                  <a:gd name="adj" fmla="val 25000"/>
                                </a:avLst>
                              </a:prstGeom>
                              <a:solidFill>
                                <a:srgbClr val="FFFFFF"/>
                              </a:solidFill>
                              <a:ln w="9525">
                                <a:solidFill>
                                  <a:srgbClr val="000000"/>
                                </a:solidFill>
                                <a:miter lim="800000"/>
                              </a:ln>
                              <a:effectLst/>
                            </wps:spPr>
                            <wps:txbx>
                              <w:txbxContent>
                                <w:p/>
                              </w:txbxContent>
                            </wps:txbx>
                            <wps:bodyPr rot="0" vert="horz" wrap="square" lIns="91440" tIns="45720" rIns="91440" bIns="45720" anchor="t" anchorCtr="0" upright="1">
                              <a:noAutofit/>
                            </wps:bodyPr>
                          </wps:wsp>
                        </a:graphicData>
                      </a:graphic>
                    </wp:anchor>
                  </w:drawing>
                </mc:Choice>
                <mc:Fallback>
                  <w:pict>
                    <v:shape id="_x0000_s1026" o:spid="_x0000_s1026" o:spt="16" type="#_x0000_t16" style="position:absolute;left:0pt;margin-left:0.4pt;margin-top:4.55pt;height:189.85pt;width:256.1pt;z-index:-251656192;mso-width-relative:page;mso-height-relative:page;" fillcolor="#FFFFFF" filled="t" stroked="t" coordsize="21600,21600" o:gfxdata="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10OwstUA&#10;AAAGAQAADwAAAAAAAAABACAAAAAiAAAAZHJzL2Rvd25yZXYueG1sUEsBAhQAFAAAAAgAh07iQCVR&#10;nVdbAgAAuAQAAA4AAAAAAAAAAQAgAAAAJAEAAGRycy9lMm9Eb2MueG1sUEsFBgAAAAAGAAYAWQEA&#10;APEFAAAAAA==&#10;" adj="5400">
                      <v:fill on="t" focussize="0,0"/>
                      <v:stroke color="#000000" miterlimit="8" joinstyle="miter"/>
                      <v:imagedata o:title=""/>
                      <o:lock v:ext="edit" aspectratio="f"/>
                      <v:textbox>
                        <w:txbxContent>
                          <w:p/>
                        </w:txbxContent>
                      </v:textbox>
                    </v:shape>
                  </w:pict>
                </mc:Fallback>
              </mc:AlternateContent>
            </w:r>
            <w:r>
              <w:rPr>
                <w:rFonts w:hint="eastAsia" w:ascii="宋体" w:hAnsi="宋体" w:eastAsia="宋体" w:cs="宋体"/>
              </w:rPr>
              <mc:AlternateContent>
                <mc:Choice Requires="wps">
                  <w:drawing>
                    <wp:anchor distT="0" distB="0" distL="114300" distR="114300" simplePos="0" relativeHeight="251662336" behindDoc="0" locked="0" layoutInCell="1" allowOverlap="1">
                      <wp:simplePos x="0" y="0"/>
                      <wp:positionH relativeFrom="column">
                        <wp:posOffset>455295</wp:posOffset>
                      </wp:positionH>
                      <wp:positionV relativeFrom="paragraph">
                        <wp:posOffset>210185</wp:posOffset>
                      </wp:positionV>
                      <wp:extent cx="1353820" cy="323850"/>
                      <wp:effectExtent l="4445" t="4445" r="13335" b="1460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504950" cy="323850"/>
                              </a:xfrm>
                              <a:prstGeom prst="rect">
                                <a:avLst/>
                              </a:prstGeom>
                              <a:solidFill>
                                <a:srgbClr val="FFFFFF"/>
                              </a:solidFill>
                              <a:ln w="9525">
                                <a:solidFill>
                                  <a:srgbClr val="000000"/>
                                </a:solidFill>
                                <a:prstDash val="dash"/>
                                <a:miter lim="800000"/>
                              </a:ln>
                              <a:effectLst/>
                            </wps:spPr>
                            <wps:txbx>
                              <w:txbxContent>
                                <w:p>
                                  <w:pPr>
                                    <w:rPr>
                                      <w:rFonts w:ascii="黑体" w:hAnsi="黑体" w:eastAsia="黑体" w:cs="黑体"/>
                                      <w:b/>
                                      <w:bCs/>
                                      <w:i/>
                                      <w:iCs/>
                                      <w:color w:val="000000"/>
                                      <w:kern w:val="16"/>
                                      <w:sz w:val="18"/>
                                    </w:rPr>
                                  </w:pPr>
                                  <w:r>
                                    <w:rPr>
                                      <w:rFonts w:hint="eastAsia" w:ascii="黑体" w:hAnsi="黑体" w:eastAsia="黑体" w:cs="黑体"/>
                                      <w:b/>
                                      <w:bCs/>
                                      <w:i/>
                                      <w:iCs/>
                                      <w:color w:val="000000"/>
                                      <w:kern w:val="16"/>
                                      <w:sz w:val="15"/>
                                      <w:szCs w:val="15"/>
                                    </w:rPr>
                                    <w:t>商务部分（正本及副本）</w:t>
                                  </w:r>
                                </w:p>
                                <w:p>
                                  <w:pPr>
                                    <w:keepNext/>
                                    <w:keepLines/>
                                    <w:numPr>
                                      <w:ilvl w:val="1"/>
                                      <w:numId w:val="1"/>
                                    </w:numPr>
                                    <w:spacing w:before="260" w:after="260" w:line="416" w:lineRule="auto"/>
                                    <w:outlineLvl w:val="1"/>
                                    <w:rPr>
                                      <w:rFonts w:ascii="等线 Light" w:hAnsi="等线 Light" w:eastAsia="等线 Light"/>
                                      <w:b/>
                                      <w:bCs/>
                                      <w:sz w:val="32"/>
                                      <w:szCs w:val="32"/>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85pt;margin-top:16.55pt;height:25.5pt;width:106.6pt;z-index:251662336;mso-width-relative:page;mso-height-relative:page;" fillcolor="#FFFFFF" filled="t" stroked="t" coordsize="21600,21600" o:gfxdata="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xCc6btcAAAAIAQAADwAA&#10;AAAAAAABACAAAAAiAAAAZHJzL2Rvd25yZXYueG1sUEsBAhQAFAAAAAgAh07iQBgaUm5QAgAArQQA&#10;AA4AAAAAAAAAAQAgAAAAJgEAAGRycy9lMm9Eb2MueG1sUEsFBgAAAAAGAAYAWQEAAOgFAAAAAA==&#10;">
                      <v:fill on="t" focussize="0,0"/>
                      <v:stroke color="#000000" miterlimit="8" joinstyle="miter" dashstyle="dash"/>
                      <v:imagedata o:title=""/>
                      <o:lock v:ext="edit" aspectratio="f"/>
                      <v:textbox>
                        <w:txbxContent>
                          <w:p>
                            <w:pPr>
                              <w:rPr>
                                <w:rFonts w:ascii="黑体" w:hAnsi="黑体" w:eastAsia="黑体" w:cs="黑体"/>
                                <w:b/>
                                <w:bCs/>
                                <w:i/>
                                <w:iCs/>
                                <w:color w:val="000000"/>
                                <w:kern w:val="16"/>
                                <w:sz w:val="18"/>
                              </w:rPr>
                            </w:pPr>
                            <w:r>
                              <w:rPr>
                                <w:rFonts w:hint="eastAsia" w:ascii="黑体" w:hAnsi="黑体" w:eastAsia="黑体" w:cs="黑体"/>
                                <w:b/>
                                <w:bCs/>
                                <w:i/>
                                <w:iCs/>
                                <w:color w:val="000000"/>
                                <w:kern w:val="16"/>
                                <w:sz w:val="15"/>
                                <w:szCs w:val="15"/>
                              </w:rPr>
                              <w:t>商务部分（正本及副本）</w:t>
                            </w:r>
                          </w:p>
                          <w:p>
                            <w:pPr>
                              <w:keepNext/>
                              <w:keepLines/>
                              <w:numPr>
                                <w:ilvl w:val="1"/>
                                <w:numId w:val="1"/>
                              </w:numPr>
                              <w:spacing w:before="260" w:after="260" w:line="416" w:lineRule="auto"/>
                              <w:outlineLvl w:val="1"/>
                              <w:rPr>
                                <w:rFonts w:ascii="等线 Light" w:hAnsi="等线 Light" w:eastAsia="等线 Light"/>
                                <w:b/>
                                <w:bCs/>
                                <w:sz w:val="32"/>
                                <w:szCs w:val="32"/>
                              </w:rPr>
                            </w:pPr>
                          </w:p>
                        </w:txbxContent>
                      </v:textbox>
                    </v:shape>
                  </w:pict>
                </mc:Fallback>
              </mc:AlternateContent>
            </w:r>
            <w:r>
              <w:rPr>
                <w:rFonts w:hint="eastAsia" w:ascii="宋体" w:hAnsi="宋体" w:eastAsia="宋体" w:cs="宋体"/>
              </w:rPr>
              <mc:AlternateContent>
                <mc:Choice Requires="wps">
                  <w:drawing>
                    <wp:anchor distT="0" distB="0" distL="114300" distR="114300" simplePos="0" relativeHeight="251663360" behindDoc="0" locked="0" layoutInCell="1" allowOverlap="1">
                      <wp:simplePos x="0" y="0"/>
                      <wp:positionH relativeFrom="column">
                        <wp:posOffset>1853565</wp:posOffset>
                      </wp:positionH>
                      <wp:positionV relativeFrom="paragraph">
                        <wp:posOffset>212725</wp:posOffset>
                      </wp:positionV>
                      <wp:extent cx="802005" cy="328295"/>
                      <wp:effectExtent l="4445" t="4445" r="12700" b="1016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149985" cy="323850"/>
                              </a:xfrm>
                              <a:prstGeom prst="rect">
                                <a:avLst/>
                              </a:prstGeom>
                              <a:solidFill>
                                <a:srgbClr val="FFFFFF"/>
                              </a:solidFill>
                              <a:ln w="9525">
                                <a:solidFill>
                                  <a:srgbClr val="000000"/>
                                </a:solidFill>
                                <a:prstDash val="dash"/>
                                <a:miter lim="800000"/>
                              </a:ln>
                              <a:effectLst/>
                            </wps:spPr>
                            <wps:txbx>
                              <w:txbxContent>
                                <w:p>
                                  <w:pPr>
                                    <w:rPr>
                                      <w:rFonts w:ascii="黑体" w:hAnsi="黑体" w:eastAsia="黑体" w:cs="黑体"/>
                                      <w:b/>
                                      <w:bCs/>
                                      <w:i/>
                                      <w:iCs/>
                                      <w:color w:val="000000"/>
                                      <w:kern w:val="16"/>
                                      <w:sz w:val="15"/>
                                      <w:szCs w:val="15"/>
                                    </w:rPr>
                                  </w:pPr>
                                  <w:r>
                                    <w:rPr>
                                      <w:rFonts w:hint="eastAsia" w:ascii="黑体" w:hAnsi="黑体" w:eastAsia="黑体" w:cs="黑体"/>
                                      <w:b/>
                                      <w:bCs/>
                                      <w:i/>
                                      <w:iCs/>
                                      <w:color w:val="000000"/>
                                      <w:kern w:val="16"/>
                                      <w:sz w:val="15"/>
                                      <w:szCs w:val="15"/>
                                    </w:rPr>
                                    <w:t>商务部分电子版</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45.95pt;margin-top:16.75pt;height:25.85pt;width:63.15pt;z-index:251663360;mso-width-relative:page;mso-height-relative:page;" fillcolor="#FFFFFF" filled="t" stroked="t" coordsize="21600,21600" o:gfxdata="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HrzaPXYAAAACQEA&#10;AA8AAAAAAAAAAQAgAAAAIgAAAGRycy9kb3ducmV2LnhtbFBLAQIUABQAAAAIAIdO4kB3IptLUwIA&#10;AK0EAAAOAAAAAAAAAAEAIAAAACcBAABkcnMvZTJvRG9jLnhtbFBLBQYAAAAABgAGAFkBAADsBQAA&#10;AAA=&#10;">
                      <v:fill on="t" focussize="0,0"/>
                      <v:stroke color="#000000" miterlimit="8" joinstyle="miter" dashstyle="dash"/>
                      <v:imagedata o:title=""/>
                      <o:lock v:ext="edit" aspectratio="f"/>
                      <v:textbox>
                        <w:txbxContent>
                          <w:p>
                            <w:pPr>
                              <w:rPr>
                                <w:rFonts w:ascii="黑体" w:hAnsi="黑体" w:eastAsia="黑体" w:cs="黑体"/>
                                <w:b/>
                                <w:bCs/>
                                <w:i/>
                                <w:iCs/>
                                <w:color w:val="000000"/>
                                <w:kern w:val="16"/>
                                <w:sz w:val="15"/>
                                <w:szCs w:val="15"/>
                              </w:rPr>
                            </w:pPr>
                            <w:r>
                              <w:rPr>
                                <w:rFonts w:hint="eastAsia" w:ascii="黑体" w:hAnsi="黑体" w:eastAsia="黑体" w:cs="黑体"/>
                                <w:b/>
                                <w:bCs/>
                                <w:i/>
                                <w:iCs/>
                                <w:color w:val="000000"/>
                                <w:kern w:val="16"/>
                                <w:sz w:val="15"/>
                                <w:szCs w:val="15"/>
                              </w:rPr>
                              <w:t>商务部分电子版</w:t>
                            </w:r>
                          </w:p>
                        </w:txbxContent>
                      </v:textbox>
                    </v:shape>
                  </w:pict>
                </mc:Fallback>
              </mc:AlternateContent>
            </w:r>
          </w:p>
          <w:p>
            <w:pPr>
              <w:spacing w:line="348" w:lineRule="auto"/>
              <w:jc w:val="center"/>
              <w:rPr>
                <w:rFonts w:hint="eastAsia" w:ascii="宋体" w:hAnsi="宋体" w:eastAsia="宋体" w:cs="宋体"/>
                <w:bCs/>
                <w:szCs w:val="21"/>
              </w:rPr>
            </w:pPr>
          </w:p>
          <w:p>
            <w:pPr>
              <w:spacing w:line="348" w:lineRule="auto"/>
              <w:jc w:val="center"/>
              <w:rPr>
                <w:rFonts w:hint="eastAsia" w:ascii="宋体" w:hAnsi="宋体" w:eastAsia="宋体" w:cs="宋体"/>
                <w:bCs/>
                <w:szCs w:val="21"/>
              </w:rPr>
            </w:pPr>
            <w:r>
              <w:rPr>
                <w:rFonts w:hint="eastAsia" w:ascii="宋体" w:hAnsi="宋体" w:eastAsia="宋体" w:cs="宋体"/>
              </w:rPr>
              <mc:AlternateContent>
                <mc:Choice Requires="wps">
                  <w:drawing>
                    <wp:anchor distT="0" distB="0" distL="114300" distR="114300" simplePos="0" relativeHeight="251661312" behindDoc="0" locked="0" layoutInCell="1" allowOverlap="1">
                      <wp:simplePos x="0" y="0"/>
                      <wp:positionH relativeFrom="column">
                        <wp:posOffset>78105</wp:posOffset>
                      </wp:positionH>
                      <wp:positionV relativeFrom="paragraph">
                        <wp:posOffset>228600</wp:posOffset>
                      </wp:positionV>
                      <wp:extent cx="2470150" cy="1423035"/>
                      <wp:effectExtent l="0" t="0" r="6350" b="571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867025" cy="1628775"/>
                              </a:xfrm>
                              <a:prstGeom prst="rect">
                                <a:avLst/>
                              </a:prstGeom>
                              <a:solidFill>
                                <a:srgbClr val="FFFFFF"/>
                              </a:solidFill>
                              <a:ln>
                                <a:noFill/>
                              </a:ln>
                              <a:effectLst/>
                            </wps:spPr>
                            <wps:txbx>
                              <w:txbxContent>
                                <w:p>
                                  <w:pPr>
                                    <w:spacing w:line="300" w:lineRule="exact"/>
                                    <w:rPr>
                                      <w:rFonts w:hint="eastAsia"/>
                                      <w:b/>
                                      <w:bCs/>
                                      <w:sz w:val="15"/>
                                      <w:szCs w:val="15"/>
                                      <w:u w:val="single"/>
                                    </w:rPr>
                                  </w:pPr>
                                  <w:r>
                                    <w:rPr>
                                      <w:b/>
                                      <w:bCs/>
                                      <w:sz w:val="15"/>
                                      <w:szCs w:val="15"/>
                                    </w:rPr>
                                    <w:t>招标人名称：</w:t>
                                  </w:r>
                                  <w:r>
                                    <w:rPr>
                                      <w:rFonts w:hint="eastAsia"/>
                                      <w:b/>
                                      <w:bCs/>
                                      <w:sz w:val="15"/>
                                      <w:szCs w:val="15"/>
                                    </w:rPr>
                                    <w:t>南通轨道交通集团有限公司运营分公司</w:t>
                                  </w:r>
                                </w:p>
                                <w:p>
                                  <w:pPr>
                                    <w:spacing w:line="300" w:lineRule="exact"/>
                                    <w:rPr>
                                      <w:rFonts w:hint="eastAsia"/>
                                      <w:b/>
                                      <w:bCs/>
                                      <w:sz w:val="15"/>
                                      <w:szCs w:val="15"/>
                                    </w:rPr>
                                  </w:pPr>
                                  <w:r>
                                    <w:rPr>
                                      <w:b/>
                                      <w:bCs/>
                                      <w:sz w:val="15"/>
                                      <w:szCs w:val="15"/>
                                    </w:rPr>
                                    <w:t>招标人地址：</w:t>
                                  </w:r>
                                  <w:r>
                                    <w:rPr>
                                      <w:rFonts w:hint="eastAsia"/>
                                      <w:b/>
                                      <w:bCs/>
                                      <w:sz w:val="15"/>
                                      <w:szCs w:val="15"/>
                                    </w:rPr>
                                    <w:t>南通市通州区平潮镇南通轨道交通平东车辆段</w:t>
                                  </w:r>
                                </w:p>
                                <w:p>
                                  <w:pPr>
                                    <w:spacing w:line="300" w:lineRule="exact"/>
                                    <w:rPr>
                                      <w:b/>
                                      <w:bCs/>
                                      <w:sz w:val="15"/>
                                      <w:szCs w:val="15"/>
                                      <w:u w:val="single"/>
                                    </w:rPr>
                                  </w:pPr>
                                  <w:r>
                                    <w:rPr>
                                      <w:rFonts w:hint="eastAsia"/>
                                      <w:b/>
                                      <w:bCs/>
                                      <w:sz w:val="15"/>
                                      <w:szCs w:val="15"/>
                                    </w:rPr>
                                    <w:t>南通轨道交通集团有限公司运营分公司2024年1、2号线接触网车辆段增设可视化接地装置采购项目投标文件</w:t>
                                  </w:r>
                                </w:p>
                                <w:p>
                                  <w:pPr>
                                    <w:spacing w:line="300" w:lineRule="exact"/>
                                    <w:rPr>
                                      <w:b/>
                                      <w:bCs/>
                                      <w:sz w:val="15"/>
                                      <w:szCs w:val="15"/>
                                    </w:rPr>
                                  </w:pPr>
                                  <w:r>
                                    <w:rPr>
                                      <w:b/>
                                      <w:bCs/>
                                      <w:sz w:val="15"/>
                                      <w:szCs w:val="15"/>
                                    </w:rPr>
                                    <w:t>投标文件</w:t>
                                  </w:r>
                                  <w:r>
                                    <w:rPr>
                                      <w:b/>
                                      <w:bCs/>
                                      <w:sz w:val="15"/>
                                      <w:szCs w:val="15"/>
                                      <w:u w:val="single"/>
                                    </w:rPr>
                                    <w:t>商务部分</w:t>
                                  </w:r>
                                </w:p>
                                <w:p>
                                  <w:pPr>
                                    <w:spacing w:line="300" w:lineRule="exact"/>
                                    <w:rPr>
                                      <w:b/>
                                      <w:bCs/>
                                      <w:sz w:val="15"/>
                                      <w:szCs w:val="15"/>
                                      <w:u w:val="single"/>
                                    </w:rPr>
                                  </w:pPr>
                                  <w:r>
                                    <w:rPr>
                                      <w:b/>
                                      <w:bCs/>
                                      <w:sz w:val="15"/>
                                      <w:szCs w:val="15"/>
                                    </w:rPr>
                                    <w:t>投标人：</w:t>
                                  </w:r>
                                  <w:r>
                                    <w:rPr>
                                      <w:b/>
                                      <w:bCs/>
                                      <w:sz w:val="15"/>
                                      <w:szCs w:val="15"/>
                                      <w:u w:val="single"/>
                                    </w:rPr>
                                    <w:t xml:space="preserve">                  （全称、盖章）</w:t>
                                  </w:r>
                                </w:p>
                                <w:p>
                                  <w:pPr>
                                    <w:spacing w:line="300" w:lineRule="exact"/>
                                    <w:rPr>
                                      <w:b/>
                                      <w:bCs/>
                                      <w:sz w:val="15"/>
                                      <w:szCs w:val="15"/>
                                    </w:rPr>
                                  </w:pPr>
                                  <w:r>
                                    <w:rPr>
                                      <w:b/>
                                      <w:bCs/>
                                      <w:sz w:val="15"/>
                                      <w:szCs w:val="15"/>
                                    </w:rPr>
                                    <w:t>在投标文件递交截止时间前不得开启</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6.15pt;margin-top:18pt;height:112.05pt;width:194.5pt;z-index:251661312;mso-width-relative:page;mso-height-relative:page;" fillcolor="#FFFFFF" filled="t" stroked="f" coordsize="21600,21600" o:gfxdata="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BnxE2NYAAAAJAQAADwAAAAAAAAABACAAAAAiAAAAZHJzL2Rvd25yZXYueG1s&#10;UEsBAhQAFAAAAAgAh07iQO3i4TczAgAATQQAAA4AAAAAAAAAAQAgAAAAJQEAAGRycy9lMm9Eb2Mu&#10;eG1sUEsFBgAAAAAGAAYAWQEAAMoFAAAAAA==&#10;">
                      <v:fill on="t" focussize="0,0"/>
                      <v:stroke on="f"/>
                      <v:imagedata o:title=""/>
                      <o:lock v:ext="edit" aspectratio="f"/>
                      <v:textbox>
                        <w:txbxContent>
                          <w:p>
                            <w:pPr>
                              <w:spacing w:line="300" w:lineRule="exact"/>
                              <w:rPr>
                                <w:rFonts w:hint="eastAsia"/>
                                <w:b/>
                                <w:bCs/>
                                <w:sz w:val="15"/>
                                <w:szCs w:val="15"/>
                                <w:u w:val="single"/>
                              </w:rPr>
                            </w:pPr>
                            <w:r>
                              <w:rPr>
                                <w:b/>
                                <w:bCs/>
                                <w:sz w:val="15"/>
                                <w:szCs w:val="15"/>
                              </w:rPr>
                              <w:t>招标人名称：</w:t>
                            </w:r>
                            <w:r>
                              <w:rPr>
                                <w:rFonts w:hint="eastAsia"/>
                                <w:b/>
                                <w:bCs/>
                                <w:sz w:val="15"/>
                                <w:szCs w:val="15"/>
                              </w:rPr>
                              <w:t>南通轨道交通集团有限公司运营分公司</w:t>
                            </w:r>
                          </w:p>
                          <w:p>
                            <w:pPr>
                              <w:spacing w:line="300" w:lineRule="exact"/>
                              <w:rPr>
                                <w:rFonts w:hint="eastAsia"/>
                                <w:b/>
                                <w:bCs/>
                                <w:sz w:val="15"/>
                                <w:szCs w:val="15"/>
                              </w:rPr>
                            </w:pPr>
                            <w:r>
                              <w:rPr>
                                <w:b/>
                                <w:bCs/>
                                <w:sz w:val="15"/>
                                <w:szCs w:val="15"/>
                              </w:rPr>
                              <w:t>招标人地址：</w:t>
                            </w:r>
                            <w:r>
                              <w:rPr>
                                <w:rFonts w:hint="eastAsia"/>
                                <w:b/>
                                <w:bCs/>
                                <w:sz w:val="15"/>
                                <w:szCs w:val="15"/>
                              </w:rPr>
                              <w:t>南通市通州区平潮镇南通轨道交通平东车辆段</w:t>
                            </w:r>
                          </w:p>
                          <w:p>
                            <w:pPr>
                              <w:spacing w:line="300" w:lineRule="exact"/>
                              <w:rPr>
                                <w:b/>
                                <w:bCs/>
                                <w:sz w:val="15"/>
                                <w:szCs w:val="15"/>
                                <w:u w:val="single"/>
                              </w:rPr>
                            </w:pPr>
                            <w:r>
                              <w:rPr>
                                <w:rFonts w:hint="eastAsia"/>
                                <w:b/>
                                <w:bCs/>
                                <w:sz w:val="15"/>
                                <w:szCs w:val="15"/>
                              </w:rPr>
                              <w:t>南通轨道交通集团有限公司运营分公司2024年1、2号线接触网车辆段增设可视化接地装置采购项目投标文件</w:t>
                            </w:r>
                          </w:p>
                          <w:p>
                            <w:pPr>
                              <w:spacing w:line="300" w:lineRule="exact"/>
                              <w:rPr>
                                <w:b/>
                                <w:bCs/>
                                <w:sz w:val="15"/>
                                <w:szCs w:val="15"/>
                              </w:rPr>
                            </w:pPr>
                            <w:r>
                              <w:rPr>
                                <w:b/>
                                <w:bCs/>
                                <w:sz w:val="15"/>
                                <w:szCs w:val="15"/>
                              </w:rPr>
                              <w:t>投标文件</w:t>
                            </w:r>
                            <w:r>
                              <w:rPr>
                                <w:b/>
                                <w:bCs/>
                                <w:sz w:val="15"/>
                                <w:szCs w:val="15"/>
                                <w:u w:val="single"/>
                              </w:rPr>
                              <w:t>商务部分</w:t>
                            </w:r>
                          </w:p>
                          <w:p>
                            <w:pPr>
                              <w:spacing w:line="300" w:lineRule="exact"/>
                              <w:rPr>
                                <w:b/>
                                <w:bCs/>
                                <w:sz w:val="15"/>
                                <w:szCs w:val="15"/>
                                <w:u w:val="single"/>
                              </w:rPr>
                            </w:pPr>
                            <w:r>
                              <w:rPr>
                                <w:b/>
                                <w:bCs/>
                                <w:sz w:val="15"/>
                                <w:szCs w:val="15"/>
                              </w:rPr>
                              <w:t>投标人：</w:t>
                            </w:r>
                            <w:r>
                              <w:rPr>
                                <w:b/>
                                <w:bCs/>
                                <w:sz w:val="15"/>
                                <w:szCs w:val="15"/>
                                <w:u w:val="single"/>
                              </w:rPr>
                              <w:t xml:space="preserve">                  （全称、盖章）</w:t>
                            </w:r>
                          </w:p>
                          <w:p>
                            <w:pPr>
                              <w:spacing w:line="300" w:lineRule="exact"/>
                              <w:rPr>
                                <w:b/>
                                <w:bCs/>
                                <w:sz w:val="15"/>
                                <w:szCs w:val="15"/>
                              </w:rPr>
                            </w:pPr>
                            <w:r>
                              <w:rPr>
                                <w:b/>
                                <w:bCs/>
                                <w:sz w:val="15"/>
                                <w:szCs w:val="15"/>
                              </w:rPr>
                              <w:t>在投标文件递交截止时间前不得开启</w:t>
                            </w:r>
                          </w:p>
                        </w:txbxContent>
                      </v:textbox>
                    </v:shape>
                  </w:pict>
                </mc:Fallback>
              </mc:AlternateContent>
            </w:r>
          </w:p>
          <w:p>
            <w:pPr>
              <w:spacing w:line="348" w:lineRule="auto"/>
              <w:jc w:val="center"/>
              <w:rPr>
                <w:rFonts w:hint="eastAsia" w:ascii="宋体" w:hAnsi="宋体" w:eastAsia="宋体" w:cs="宋体"/>
                <w:bCs/>
                <w:szCs w:val="21"/>
              </w:rPr>
            </w:pPr>
          </w:p>
          <w:p>
            <w:pPr>
              <w:spacing w:line="348" w:lineRule="auto"/>
              <w:jc w:val="center"/>
              <w:rPr>
                <w:rFonts w:hint="eastAsia" w:ascii="宋体" w:hAnsi="宋体" w:eastAsia="宋体" w:cs="宋体"/>
                <w:bCs/>
                <w:szCs w:val="21"/>
              </w:rPr>
            </w:pPr>
          </w:p>
          <w:p>
            <w:pPr>
              <w:jc w:val="center"/>
              <w:rPr>
                <w:rFonts w:hint="eastAsia" w:ascii="宋体" w:hAnsi="宋体" w:eastAsia="宋体" w:cs="宋体"/>
              </w:rPr>
            </w:pPr>
          </w:p>
          <w:p>
            <w:pPr>
              <w:spacing w:line="360" w:lineRule="auto"/>
              <w:rPr>
                <w:rFonts w:hint="eastAsia" w:ascii="宋体" w:hAnsi="宋体" w:eastAsia="宋体" w:cs="宋体"/>
                <w:bCs/>
                <w:szCs w:val="21"/>
              </w:rPr>
            </w:pPr>
          </w:p>
          <w:p>
            <w:pPr>
              <w:spacing w:line="360" w:lineRule="auto"/>
              <w:rPr>
                <w:rFonts w:hint="eastAsia" w:ascii="宋体" w:hAnsi="宋体" w:eastAsia="宋体" w:cs="宋体"/>
                <w:bCs/>
                <w:szCs w:val="21"/>
              </w:rPr>
            </w:pPr>
          </w:p>
          <w:p>
            <w:pPr>
              <w:spacing w:line="360" w:lineRule="auto"/>
              <w:rPr>
                <w:rFonts w:hint="eastAsia" w:ascii="宋体" w:hAnsi="宋体" w:eastAsia="宋体" w:cs="宋体"/>
                <w:bCs/>
                <w:szCs w:val="21"/>
              </w:rPr>
            </w:pPr>
          </w:p>
          <w:p>
            <w:pPr>
              <w:spacing w:line="360" w:lineRule="auto"/>
              <w:rPr>
                <w:rFonts w:hint="eastAsia" w:ascii="宋体" w:hAnsi="宋体" w:eastAsia="宋体" w:cs="宋体"/>
                <w:bCs/>
                <w:szCs w:val="21"/>
              </w:rPr>
            </w:pPr>
            <w:r>
              <w:rPr>
                <w:rFonts w:hint="eastAsia" w:ascii="宋体" w:hAnsi="宋体" w:eastAsia="宋体" w:cs="宋体"/>
                <w:bCs/>
                <w:szCs w:val="21"/>
              </w:rPr>
              <w:t>注：</w:t>
            </w:r>
          </w:p>
          <w:p>
            <w:pPr>
              <w:pStyle w:val="252"/>
              <w:numPr>
                <w:ilvl w:val="0"/>
                <w:numId w:val="6"/>
              </w:numPr>
              <w:spacing w:line="360" w:lineRule="auto"/>
              <w:ind w:left="0" w:firstLine="0" w:firstLineChars="0"/>
              <w:jc w:val="both"/>
              <w:rPr>
                <w:rFonts w:hint="eastAsia" w:ascii="宋体" w:hAnsi="宋体" w:eastAsia="宋体" w:cs="宋体"/>
                <w:szCs w:val="21"/>
              </w:rPr>
            </w:pPr>
            <w:r>
              <w:rPr>
                <w:rFonts w:hint="eastAsia" w:ascii="宋体" w:hAnsi="宋体" w:eastAsia="宋体" w:cs="宋体"/>
                <w:bCs/>
                <w:szCs w:val="21"/>
              </w:rPr>
              <w:t>如</w:t>
            </w:r>
            <w:r>
              <w:rPr>
                <w:rFonts w:hint="eastAsia" w:ascii="宋体" w:hAnsi="宋体" w:eastAsia="宋体" w:cs="宋体"/>
                <w:szCs w:val="21"/>
              </w:rPr>
              <w:t>商务部分文件过多，可以将商务部分密封在多个信封中，同时在信封上标注“商务部分第一包，共X包”字样，商务部分的电子文件应密封在第一包中。</w:t>
            </w:r>
          </w:p>
          <w:p>
            <w:pPr>
              <w:pStyle w:val="252"/>
              <w:numPr>
                <w:ilvl w:val="0"/>
                <w:numId w:val="6"/>
              </w:numPr>
              <w:spacing w:line="360" w:lineRule="auto"/>
              <w:ind w:left="0" w:firstLine="0" w:firstLineChars="0"/>
              <w:jc w:val="both"/>
              <w:rPr>
                <w:rFonts w:hint="eastAsia" w:ascii="宋体" w:hAnsi="宋体" w:eastAsia="宋体" w:cs="宋体"/>
                <w:szCs w:val="21"/>
              </w:rPr>
            </w:pPr>
            <w:r>
              <w:rPr>
                <w:rFonts w:hint="eastAsia" w:ascii="宋体" w:hAnsi="宋体" w:eastAsia="宋体" w:cs="宋体"/>
                <w:szCs w:val="21"/>
              </w:rPr>
              <w:t>技术部分和价格部分如文件过多，参照商务部分要求执行。</w:t>
            </w:r>
          </w:p>
          <w:p>
            <w:pPr>
              <w:pStyle w:val="252"/>
              <w:spacing w:line="360" w:lineRule="auto"/>
              <w:ind w:firstLine="0" w:firstLineChars="0"/>
              <w:jc w:val="both"/>
              <w:rPr>
                <w:rFonts w:hint="eastAsia" w:ascii="宋体" w:hAnsi="宋体" w:eastAsia="宋体" w:cs="宋体"/>
                <w:b/>
                <w:bCs/>
                <w:szCs w:val="21"/>
              </w:rPr>
            </w:pPr>
            <w:r>
              <w:rPr>
                <w:rFonts w:hint="eastAsia" w:ascii="宋体" w:hAnsi="宋体" w:eastAsia="宋体" w:cs="宋体"/>
                <w:b/>
                <w:bCs/>
                <w:szCs w:val="21"/>
              </w:rPr>
              <w:t>中标人与招标人签订合同前需按招标人要求再提供若干份投标文件副本。</w:t>
            </w:r>
          </w:p>
        </w:tc>
      </w:tr>
      <w:tr>
        <w:tblPrEx>
          <w:tblCellMar>
            <w:top w:w="0" w:type="dxa"/>
            <w:left w:w="108" w:type="dxa"/>
            <w:bottom w:w="0" w:type="dxa"/>
            <w:right w:w="108" w:type="dxa"/>
          </w:tblCellMar>
        </w:tblPrEx>
        <w:trPr>
          <w:trHeight w:val="20" w:hRule="atLeast"/>
          <w:jc w:val="center"/>
        </w:trPr>
        <w:tc>
          <w:tcPr>
            <w:tcW w:w="1007" w:type="dxa"/>
            <w:tcBorders>
              <w:top w:val="single" w:color="auto" w:sz="4" w:space="0"/>
              <w:left w:val="single" w:color="auto" w:sz="4" w:space="0"/>
              <w:bottom w:val="single" w:color="auto" w:sz="4" w:space="0"/>
              <w:right w:val="single" w:color="auto" w:sz="4" w:space="0"/>
            </w:tcBorders>
            <w:noWrap w:val="0"/>
            <w:vAlign w:val="center"/>
          </w:tcPr>
          <w:p>
            <w:pPr>
              <w:spacing w:line="348" w:lineRule="auto"/>
              <w:jc w:val="center"/>
              <w:rPr>
                <w:rFonts w:hint="eastAsia" w:ascii="宋体" w:hAnsi="宋体" w:eastAsia="宋体" w:cs="宋体"/>
                <w:szCs w:val="21"/>
              </w:rPr>
            </w:pPr>
            <w:r>
              <w:rPr>
                <w:rFonts w:hint="eastAsia" w:ascii="宋体" w:hAnsi="宋体" w:eastAsia="宋体" w:cs="宋体"/>
                <w:szCs w:val="21"/>
              </w:rPr>
              <w:t>4.2.1</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spacing w:line="348" w:lineRule="auto"/>
              <w:jc w:val="center"/>
              <w:rPr>
                <w:rFonts w:hint="eastAsia" w:ascii="宋体" w:hAnsi="宋体" w:eastAsia="宋体" w:cs="宋体"/>
                <w:szCs w:val="21"/>
              </w:rPr>
            </w:pPr>
            <w:r>
              <w:rPr>
                <w:rFonts w:hint="eastAsia" w:ascii="宋体" w:hAnsi="宋体" w:eastAsia="宋体" w:cs="宋体"/>
                <w:szCs w:val="21"/>
              </w:rPr>
              <w:t>投标截止时间</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spacing w:line="348" w:lineRule="auto"/>
              <w:rPr>
                <w:rFonts w:hint="eastAsia" w:ascii="宋体" w:hAnsi="宋体" w:eastAsia="宋体" w:cs="宋体"/>
                <w:szCs w:val="21"/>
                <w:highlight w:val="none"/>
              </w:rPr>
            </w:pPr>
            <w:r>
              <w:rPr>
                <w:rFonts w:hint="eastAsia" w:ascii="宋体" w:hAnsi="宋体" w:eastAsia="宋体" w:cs="宋体"/>
                <w:b/>
                <w:bCs/>
                <w:szCs w:val="21"/>
                <w:highlight w:val="none"/>
                <w:lang w:val="zh-CN"/>
              </w:rPr>
              <w:t>20</w:t>
            </w:r>
            <w:r>
              <w:rPr>
                <w:rFonts w:hint="eastAsia" w:ascii="宋体" w:hAnsi="宋体" w:eastAsia="宋体" w:cs="宋体"/>
                <w:b/>
                <w:bCs/>
                <w:szCs w:val="21"/>
                <w:highlight w:val="none"/>
              </w:rPr>
              <w:t>24</w:t>
            </w:r>
            <w:r>
              <w:rPr>
                <w:rFonts w:hint="eastAsia" w:ascii="宋体" w:hAnsi="宋体" w:eastAsia="宋体" w:cs="宋体"/>
                <w:b/>
                <w:bCs/>
                <w:szCs w:val="21"/>
                <w:highlight w:val="none"/>
                <w:lang w:val="zh-CN"/>
              </w:rPr>
              <w:t>年</w:t>
            </w:r>
            <w:r>
              <w:rPr>
                <w:rFonts w:hint="eastAsia" w:ascii="宋体" w:hAnsi="宋体" w:eastAsia="宋体" w:cs="宋体"/>
                <w:b/>
                <w:bCs/>
                <w:szCs w:val="21"/>
                <w:highlight w:val="none"/>
                <w:lang w:eastAsia="zh-CN"/>
              </w:rPr>
              <w:t>05月31日</w:t>
            </w:r>
            <w:r>
              <w:rPr>
                <w:rFonts w:hint="eastAsia" w:ascii="宋体" w:hAnsi="宋体" w:eastAsia="宋体" w:cs="宋体"/>
                <w:b/>
                <w:bCs/>
                <w:szCs w:val="21"/>
                <w:highlight w:val="none"/>
                <w:lang w:val="en-US" w:eastAsia="zh-CN"/>
              </w:rPr>
              <w:t>1</w:t>
            </w:r>
            <w:r>
              <w:rPr>
                <w:rFonts w:hint="eastAsia" w:ascii="宋体" w:hAnsi="宋体" w:eastAsia="宋体" w:cs="宋体"/>
                <w:b/>
                <w:bCs/>
                <w:szCs w:val="21"/>
                <w:highlight w:val="none"/>
                <w:lang w:val="en-US" w:eastAsia="zh-CN"/>
              </w:rPr>
              <w:t>4</w:t>
            </w:r>
            <w:r>
              <w:rPr>
                <w:rFonts w:hint="eastAsia" w:ascii="宋体" w:hAnsi="宋体" w:eastAsia="宋体" w:cs="宋体"/>
                <w:b/>
                <w:bCs/>
                <w:szCs w:val="21"/>
                <w:highlight w:val="none"/>
                <w:lang w:val="zh-CN"/>
              </w:rPr>
              <w:t>时</w:t>
            </w:r>
            <w:r>
              <w:rPr>
                <w:rFonts w:hint="eastAsia" w:ascii="宋体" w:hAnsi="宋体" w:eastAsia="宋体" w:cs="宋体"/>
                <w:b/>
                <w:bCs/>
                <w:szCs w:val="21"/>
                <w:highlight w:val="none"/>
              </w:rPr>
              <w:t>30</w:t>
            </w:r>
            <w:r>
              <w:rPr>
                <w:rFonts w:hint="eastAsia" w:ascii="宋体" w:hAnsi="宋体" w:eastAsia="宋体" w:cs="宋体"/>
                <w:b/>
                <w:bCs/>
                <w:szCs w:val="21"/>
                <w:highlight w:val="none"/>
                <w:lang w:val="zh-CN"/>
              </w:rPr>
              <w:t>分（</w:t>
            </w:r>
            <w:r>
              <w:rPr>
                <w:rFonts w:hint="eastAsia" w:ascii="宋体" w:hAnsi="宋体" w:eastAsia="宋体" w:cs="宋体"/>
                <w:b/>
                <w:bCs/>
                <w:szCs w:val="21"/>
                <w:highlight w:val="none"/>
              </w:rPr>
              <w:t>北京时间</w:t>
            </w:r>
            <w:r>
              <w:rPr>
                <w:rFonts w:hint="eastAsia" w:ascii="宋体" w:hAnsi="宋体" w:eastAsia="宋体" w:cs="宋体"/>
                <w:b/>
                <w:bCs/>
                <w:szCs w:val="21"/>
                <w:highlight w:val="none"/>
                <w:lang w:val="zh-CN"/>
              </w:rPr>
              <w:t>）</w:t>
            </w:r>
          </w:p>
        </w:tc>
      </w:tr>
      <w:tr>
        <w:tblPrEx>
          <w:tblCellMar>
            <w:top w:w="0" w:type="dxa"/>
            <w:left w:w="108" w:type="dxa"/>
            <w:bottom w:w="0" w:type="dxa"/>
            <w:right w:w="108" w:type="dxa"/>
          </w:tblCellMar>
        </w:tblPrEx>
        <w:trPr>
          <w:trHeight w:val="20" w:hRule="atLeast"/>
          <w:jc w:val="center"/>
        </w:trPr>
        <w:tc>
          <w:tcPr>
            <w:tcW w:w="1007" w:type="dxa"/>
            <w:tcBorders>
              <w:top w:val="single" w:color="auto" w:sz="4" w:space="0"/>
              <w:left w:val="single" w:color="auto" w:sz="4" w:space="0"/>
              <w:bottom w:val="single" w:color="auto" w:sz="4" w:space="0"/>
              <w:right w:val="single" w:color="auto" w:sz="4" w:space="0"/>
            </w:tcBorders>
            <w:noWrap w:val="0"/>
            <w:vAlign w:val="center"/>
          </w:tcPr>
          <w:p>
            <w:pPr>
              <w:spacing w:line="348" w:lineRule="auto"/>
              <w:jc w:val="center"/>
              <w:rPr>
                <w:rFonts w:hint="eastAsia" w:ascii="宋体" w:hAnsi="宋体" w:eastAsia="宋体" w:cs="宋体"/>
                <w:szCs w:val="21"/>
              </w:rPr>
            </w:pPr>
            <w:r>
              <w:rPr>
                <w:rFonts w:hint="eastAsia" w:ascii="宋体" w:hAnsi="宋体" w:eastAsia="宋体" w:cs="宋体"/>
                <w:szCs w:val="21"/>
              </w:rPr>
              <w:t>4.2.2</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spacing w:line="348" w:lineRule="auto"/>
              <w:jc w:val="center"/>
              <w:rPr>
                <w:rFonts w:hint="eastAsia" w:ascii="宋体" w:hAnsi="宋体" w:eastAsia="宋体" w:cs="宋体"/>
                <w:szCs w:val="21"/>
              </w:rPr>
            </w:pPr>
            <w:r>
              <w:rPr>
                <w:rFonts w:hint="eastAsia" w:ascii="宋体" w:hAnsi="宋体" w:eastAsia="宋体" w:cs="宋体"/>
                <w:szCs w:val="21"/>
              </w:rPr>
              <w:t>递交投标文件地点</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105" w:rightChars="-50"/>
              <w:jc w:val="both"/>
              <w:rPr>
                <w:rFonts w:hint="eastAsia" w:ascii="宋体" w:hAnsi="宋体" w:eastAsia="宋体" w:cs="宋体"/>
                <w:szCs w:val="21"/>
                <w:highlight w:val="none"/>
                <w:u w:val="single"/>
              </w:rPr>
            </w:pPr>
            <w:r>
              <w:rPr>
                <w:rFonts w:hint="eastAsia" w:ascii="宋体" w:hAnsi="宋体" w:eastAsia="宋体" w:cs="宋体"/>
                <w:szCs w:val="21"/>
                <w:highlight w:val="none"/>
              </w:rPr>
              <w:t>投标文件递交地点与第一阶段开标地点相同：</w:t>
            </w:r>
            <w:r>
              <w:rPr>
                <w:rFonts w:hint="eastAsia" w:ascii="宋体" w:hAnsi="宋体" w:eastAsia="宋体" w:cs="宋体"/>
                <w:szCs w:val="21"/>
                <w:highlight w:val="none"/>
                <w:u w:val="single"/>
              </w:rPr>
              <w:t>南通市通州区平潮镇南通轨道交通平东车辆段综合楼物资部410会议室（如有变动，另行通知）。</w:t>
            </w:r>
          </w:p>
        </w:tc>
      </w:tr>
      <w:tr>
        <w:tblPrEx>
          <w:tblCellMar>
            <w:top w:w="0" w:type="dxa"/>
            <w:left w:w="108" w:type="dxa"/>
            <w:bottom w:w="0" w:type="dxa"/>
            <w:right w:w="108" w:type="dxa"/>
          </w:tblCellMar>
        </w:tblPrEx>
        <w:trPr>
          <w:trHeight w:val="20" w:hRule="atLeast"/>
          <w:jc w:val="center"/>
        </w:trPr>
        <w:tc>
          <w:tcPr>
            <w:tcW w:w="1007" w:type="dxa"/>
            <w:tcBorders>
              <w:top w:val="single" w:color="auto" w:sz="4" w:space="0"/>
              <w:left w:val="single" w:color="auto" w:sz="4" w:space="0"/>
              <w:bottom w:val="single" w:color="auto" w:sz="4" w:space="0"/>
              <w:right w:val="single" w:color="auto" w:sz="4" w:space="0"/>
            </w:tcBorders>
            <w:noWrap w:val="0"/>
            <w:vAlign w:val="center"/>
          </w:tcPr>
          <w:p>
            <w:pPr>
              <w:spacing w:line="348" w:lineRule="auto"/>
              <w:jc w:val="center"/>
              <w:rPr>
                <w:rFonts w:hint="eastAsia" w:ascii="宋体" w:hAnsi="宋体" w:eastAsia="宋体" w:cs="宋体"/>
                <w:szCs w:val="21"/>
              </w:rPr>
            </w:pPr>
            <w:r>
              <w:rPr>
                <w:rFonts w:hint="eastAsia" w:ascii="宋体" w:hAnsi="宋体" w:eastAsia="宋体" w:cs="宋体"/>
                <w:szCs w:val="21"/>
              </w:rPr>
              <w:t>4.2.3</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spacing w:line="348" w:lineRule="auto"/>
              <w:jc w:val="center"/>
              <w:rPr>
                <w:rFonts w:hint="eastAsia" w:ascii="宋体" w:hAnsi="宋体" w:eastAsia="宋体" w:cs="宋体"/>
                <w:szCs w:val="21"/>
              </w:rPr>
            </w:pPr>
            <w:r>
              <w:rPr>
                <w:rFonts w:hint="eastAsia" w:ascii="宋体" w:hAnsi="宋体" w:eastAsia="宋体" w:cs="宋体"/>
                <w:szCs w:val="21"/>
              </w:rPr>
              <w:t>是否退还投标文件</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pStyle w:val="22"/>
              <w:topLinePunct/>
              <w:spacing w:line="360" w:lineRule="auto"/>
              <w:rPr>
                <w:rFonts w:hint="eastAsia" w:hAnsi="宋体" w:cs="宋体"/>
                <w:sz w:val="21"/>
                <w:szCs w:val="21"/>
              </w:rPr>
            </w:pPr>
            <w:r>
              <w:rPr>
                <w:rFonts w:hint="eastAsia" w:hAnsi="宋体" w:cs="宋体"/>
                <w:szCs w:val="21"/>
              </w:rPr>
              <w:sym w:font="Wingdings 2" w:char="F052"/>
            </w:r>
            <w:r>
              <w:rPr>
                <w:rFonts w:hint="eastAsia" w:hAnsi="宋体" w:cs="宋体"/>
                <w:sz w:val="21"/>
                <w:szCs w:val="21"/>
              </w:rPr>
              <w:t>否      □是，退还时间：</w:t>
            </w:r>
          </w:p>
        </w:tc>
      </w:tr>
      <w:tr>
        <w:tblPrEx>
          <w:tblCellMar>
            <w:top w:w="0" w:type="dxa"/>
            <w:left w:w="108" w:type="dxa"/>
            <w:bottom w:w="0" w:type="dxa"/>
            <w:right w:w="108" w:type="dxa"/>
          </w:tblCellMar>
        </w:tblPrEx>
        <w:trPr>
          <w:trHeight w:val="20" w:hRule="atLeast"/>
          <w:jc w:val="center"/>
        </w:trPr>
        <w:tc>
          <w:tcPr>
            <w:tcW w:w="1007" w:type="dxa"/>
            <w:tcBorders>
              <w:top w:val="single" w:color="auto" w:sz="4" w:space="0"/>
              <w:left w:val="single" w:color="auto" w:sz="4" w:space="0"/>
              <w:bottom w:val="single" w:color="auto" w:sz="4" w:space="0"/>
              <w:right w:val="single" w:color="auto" w:sz="4" w:space="0"/>
            </w:tcBorders>
            <w:noWrap w:val="0"/>
            <w:vAlign w:val="center"/>
          </w:tcPr>
          <w:p>
            <w:pPr>
              <w:spacing w:line="348" w:lineRule="auto"/>
              <w:jc w:val="center"/>
              <w:rPr>
                <w:rFonts w:hint="eastAsia" w:ascii="宋体" w:hAnsi="宋体" w:eastAsia="宋体" w:cs="宋体"/>
                <w:szCs w:val="21"/>
              </w:rPr>
            </w:pPr>
            <w:r>
              <w:rPr>
                <w:rFonts w:hint="eastAsia" w:ascii="宋体" w:hAnsi="宋体" w:eastAsia="宋体" w:cs="宋体"/>
                <w:szCs w:val="21"/>
              </w:rPr>
              <w:t>5.1</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spacing w:line="348" w:lineRule="auto"/>
              <w:jc w:val="center"/>
              <w:rPr>
                <w:rFonts w:hint="eastAsia" w:ascii="宋体" w:hAnsi="宋体" w:eastAsia="宋体" w:cs="宋体"/>
                <w:szCs w:val="21"/>
              </w:rPr>
            </w:pPr>
            <w:r>
              <w:rPr>
                <w:rFonts w:hint="eastAsia" w:ascii="宋体" w:hAnsi="宋体" w:eastAsia="宋体" w:cs="宋体"/>
                <w:szCs w:val="21"/>
              </w:rPr>
              <w:t>开标时间和地点</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szCs w:val="21"/>
                <w:highlight w:val="none"/>
              </w:rPr>
            </w:pPr>
            <w:r>
              <w:rPr>
                <w:rFonts w:hint="eastAsia" w:ascii="宋体" w:hAnsi="宋体" w:eastAsia="宋体" w:cs="宋体"/>
                <w:szCs w:val="21"/>
                <w:highlight w:val="none"/>
              </w:rPr>
              <w:t>第一阶段开标时间：2024年</w:t>
            </w:r>
            <w:r>
              <w:rPr>
                <w:rFonts w:hint="eastAsia" w:ascii="宋体" w:hAnsi="宋体" w:eastAsia="宋体" w:cs="宋体"/>
                <w:szCs w:val="21"/>
                <w:highlight w:val="none"/>
                <w:lang w:eastAsia="zh-CN"/>
              </w:rPr>
              <w:t>05月31日</w:t>
            </w:r>
            <w:r>
              <w:rPr>
                <w:rFonts w:ascii="宋体" w:hAnsi="宋体" w:eastAsia="宋体" w:cs="宋体"/>
                <w:szCs w:val="21"/>
                <w:highlight w:val="none"/>
              </w:rPr>
              <w:t>14</w:t>
            </w:r>
            <w:r>
              <w:rPr>
                <w:rFonts w:hint="eastAsia" w:ascii="宋体" w:hAnsi="宋体" w:eastAsia="宋体" w:cs="宋体"/>
                <w:szCs w:val="21"/>
                <w:highlight w:val="none"/>
              </w:rPr>
              <w:t>时30分（北京时间）</w:t>
            </w:r>
          </w:p>
          <w:p>
            <w:pPr>
              <w:spacing w:line="360" w:lineRule="auto"/>
              <w:jc w:val="both"/>
              <w:rPr>
                <w:rFonts w:hint="eastAsia" w:ascii="宋体" w:hAnsi="宋体" w:eastAsia="宋体" w:cs="宋体"/>
                <w:szCs w:val="21"/>
                <w:highlight w:val="none"/>
              </w:rPr>
            </w:pPr>
            <w:r>
              <w:rPr>
                <w:rFonts w:hint="eastAsia" w:ascii="宋体" w:hAnsi="宋体" w:eastAsia="宋体" w:cs="宋体"/>
                <w:szCs w:val="21"/>
                <w:highlight w:val="none"/>
              </w:rPr>
              <w:t>第二阶段开标时间：待第一阶段开标时通知；</w:t>
            </w:r>
          </w:p>
          <w:p>
            <w:pPr>
              <w:pStyle w:val="40"/>
              <w:snapToGrid/>
              <w:spacing w:line="360" w:lineRule="auto"/>
              <w:jc w:val="both"/>
              <w:rPr>
                <w:rFonts w:hint="eastAsia" w:ascii="宋体" w:hAnsi="宋体" w:cs="宋体"/>
                <w:sz w:val="21"/>
                <w:szCs w:val="21"/>
                <w:highlight w:val="none"/>
                <w:u w:val="single" w:color="000000"/>
              </w:rPr>
            </w:pPr>
            <w:r>
              <w:rPr>
                <w:rFonts w:hint="eastAsia" w:ascii="宋体" w:hAnsi="宋体" w:cs="宋体"/>
                <w:sz w:val="21"/>
                <w:szCs w:val="21"/>
                <w:highlight w:val="none"/>
              </w:rPr>
              <w:t>开标地点：</w:t>
            </w:r>
            <w:r>
              <w:rPr>
                <w:rFonts w:hint="eastAsia" w:ascii="宋体" w:hAnsi="宋体" w:cs="宋体"/>
                <w:sz w:val="21"/>
                <w:szCs w:val="21"/>
                <w:highlight w:val="none"/>
                <w:u w:val="single"/>
              </w:rPr>
              <w:t>南通市通州区平潮镇南通轨道交通平东车辆段综合楼物资部410会议室（如有变动，另行通知）。</w:t>
            </w:r>
          </w:p>
          <w:p>
            <w:pPr>
              <w:pStyle w:val="40"/>
              <w:snapToGrid/>
              <w:spacing w:line="360" w:lineRule="auto"/>
              <w:jc w:val="both"/>
              <w:rPr>
                <w:rFonts w:hint="eastAsia" w:ascii="宋体" w:hAnsi="宋体" w:cs="宋体"/>
                <w:sz w:val="21"/>
                <w:szCs w:val="21"/>
                <w:highlight w:val="none"/>
                <w:u w:val="single" w:color="000000"/>
              </w:rPr>
            </w:pPr>
            <w:r>
              <w:rPr>
                <w:rFonts w:hint="eastAsia" w:ascii="宋体" w:hAnsi="宋体" w:cs="宋体"/>
                <w:sz w:val="21"/>
                <w:szCs w:val="21"/>
                <w:highlight w:val="none"/>
                <w:u w:val="single" w:color="000000"/>
              </w:rPr>
              <w:t>注：投标人应派代表（法定代表人或其委托代理人）参加本项目开标会议，法定代表人参加会议时，需出示法定代表人证明原件，同时出示法定代表人证书或其身份证原件；委托代理人参加会议时，需出示法定代表人授权委托书原件，同时出示委托代理人身份证原件，并在签到簿上签名以证明其出席开标会议</w:t>
            </w:r>
            <w:r>
              <w:rPr>
                <w:rFonts w:hint="eastAsia" w:ascii="宋体" w:hAnsi="宋体" w:cs="宋体"/>
                <w:b/>
                <w:bCs/>
                <w:sz w:val="21"/>
                <w:szCs w:val="21"/>
                <w:highlight w:val="none"/>
                <w:u w:val="single" w:color="000000"/>
              </w:rPr>
              <w:t>。如法定代表人或其委托代理人未按要求到场或以上资料携带不齐全，则视为无效投标，投标文件将被拒绝。</w:t>
            </w:r>
          </w:p>
        </w:tc>
      </w:tr>
      <w:tr>
        <w:tblPrEx>
          <w:tblCellMar>
            <w:top w:w="0" w:type="dxa"/>
            <w:left w:w="108" w:type="dxa"/>
            <w:bottom w:w="0" w:type="dxa"/>
            <w:right w:w="108" w:type="dxa"/>
          </w:tblCellMar>
        </w:tblPrEx>
        <w:trPr>
          <w:trHeight w:val="20" w:hRule="atLeast"/>
          <w:jc w:val="center"/>
        </w:trPr>
        <w:tc>
          <w:tcPr>
            <w:tcW w:w="1007" w:type="dxa"/>
            <w:tcBorders>
              <w:top w:val="single" w:color="auto" w:sz="4" w:space="0"/>
              <w:left w:val="single" w:color="auto" w:sz="4" w:space="0"/>
              <w:bottom w:val="single" w:color="auto" w:sz="4" w:space="0"/>
              <w:right w:val="single" w:color="auto" w:sz="4" w:space="0"/>
            </w:tcBorders>
            <w:noWrap w:val="0"/>
            <w:vAlign w:val="center"/>
          </w:tcPr>
          <w:p>
            <w:pPr>
              <w:spacing w:line="348" w:lineRule="auto"/>
              <w:jc w:val="center"/>
              <w:rPr>
                <w:rFonts w:hint="eastAsia" w:ascii="宋体" w:hAnsi="宋体" w:eastAsia="宋体" w:cs="宋体"/>
                <w:szCs w:val="21"/>
              </w:rPr>
            </w:pPr>
            <w:r>
              <w:rPr>
                <w:rFonts w:hint="eastAsia" w:ascii="宋体" w:hAnsi="宋体" w:eastAsia="宋体" w:cs="宋体"/>
                <w:szCs w:val="21"/>
              </w:rPr>
              <w:t>5.2</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spacing w:line="348" w:lineRule="auto"/>
              <w:jc w:val="center"/>
              <w:rPr>
                <w:rFonts w:hint="eastAsia" w:ascii="宋体" w:hAnsi="宋体" w:eastAsia="宋体" w:cs="宋体"/>
                <w:szCs w:val="21"/>
              </w:rPr>
            </w:pPr>
            <w:r>
              <w:rPr>
                <w:rFonts w:hint="eastAsia" w:ascii="宋体" w:hAnsi="宋体" w:eastAsia="宋体" w:cs="宋体"/>
                <w:szCs w:val="21"/>
              </w:rPr>
              <w:t>开标程序</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szCs w:val="21"/>
              </w:rPr>
            </w:pPr>
            <w:r>
              <w:rPr>
                <w:rFonts w:hint="eastAsia" w:ascii="宋体" w:hAnsi="宋体" w:eastAsia="宋体" w:cs="宋体"/>
                <w:szCs w:val="21"/>
              </w:rPr>
              <w:t>（1）招标人将于前附表规定的时间和地点公开开标。至投标截止时间，送达投标文件的投标人少于三个的，应停止开标，招标人应向监管部门申请重新组织招标或其他方式定标。</w:t>
            </w:r>
          </w:p>
          <w:p>
            <w:pPr>
              <w:spacing w:line="360" w:lineRule="auto"/>
              <w:jc w:val="both"/>
              <w:rPr>
                <w:rFonts w:hint="eastAsia" w:ascii="宋体" w:hAnsi="宋体" w:eastAsia="宋体" w:cs="宋体"/>
                <w:szCs w:val="21"/>
              </w:rPr>
            </w:pPr>
            <w:r>
              <w:rPr>
                <w:rFonts w:hint="eastAsia" w:ascii="宋体" w:hAnsi="宋体" w:eastAsia="宋体" w:cs="宋体"/>
                <w:szCs w:val="21"/>
              </w:rPr>
              <w:t>（2）投标人的法定代表人或其授权代表（以下统称投标人代表）必须按招标文件规定的时间参加开标，开标前须出示本人有效身份证明的原件，投标人法定代表人还须提供并出示法定代表人证明或投标人授权代表还必须同时出示投标授权书原件，以证明授权代表的身份和被授权范围，并由招标人或其委托的招标代理验证确认。</w:t>
            </w:r>
          </w:p>
          <w:p>
            <w:pPr>
              <w:spacing w:line="360" w:lineRule="auto"/>
              <w:jc w:val="both"/>
              <w:rPr>
                <w:rFonts w:hint="eastAsia" w:ascii="宋体" w:hAnsi="宋体" w:eastAsia="宋体" w:cs="宋体"/>
                <w:szCs w:val="21"/>
              </w:rPr>
            </w:pPr>
            <w:r>
              <w:rPr>
                <w:rFonts w:hint="eastAsia" w:ascii="宋体" w:hAnsi="宋体" w:eastAsia="宋体" w:cs="宋体"/>
                <w:szCs w:val="21"/>
              </w:rPr>
              <w:t>（3）主持人按下列程序进行第一阶段开标（商务、技术部分）：</w:t>
            </w:r>
          </w:p>
          <w:p>
            <w:pPr>
              <w:numPr>
                <w:ilvl w:val="0"/>
                <w:numId w:val="7"/>
              </w:numPr>
              <w:spacing w:line="360" w:lineRule="auto"/>
              <w:ind w:firstLine="0"/>
              <w:jc w:val="both"/>
              <w:rPr>
                <w:rFonts w:hint="eastAsia" w:ascii="宋体" w:hAnsi="宋体" w:eastAsia="宋体" w:cs="宋体"/>
                <w:szCs w:val="21"/>
              </w:rPr>
            </w:pPr>
            <w:r>
              <w:rPr>
                <w:rFonts w:hint="eastAsia" w:ascii="宋体" w:hAnsi="宋体" w:eastAsia="宋体" w:cs="宋体"/>
                <w:szCs w:val="21"/>
              </w:rPr>
              <w:t>开标会议由招标代理主持，首先宣读开标纪律；</w:t>
            </w:r>
          </w:p>
          <w:p>
            <w:pPr>
              <w:numPr>
                <w:ilvl w:val="0"/>
                <w:numId w:val="7"/>
              </w:numPr>
              <w:spacing w:line="360" w:lineRule="auto"/>
              <w:ind w:firstLine="0"/>
              <w:jc w:val="both"/>
              <w:rPr>
                <w:rFonts w:hint="eastAsia" w:ascii="宋体" w:hAnsi="宋体" w:eastAsia="宋体" w:cs="宋体"/>
                <w:szCs w:val="21"/>
              </w:rPr>
            </w:pPr>
            <w:r>
              <w:rPr>
                <w:rFonts w:hint="eastAsia" w:ascii="宋体" w:hAnsi="宋体" w:eastAsia="宋体" w:cs="宋体"/>
                <w:szCs w:val="21"/>
              </w:rPr>
              <w:t>公布在投标截止时间前所有已递交投标文件的投标人名称；</w:t>
            </w:r>
          </w:p>
          <w:p>
            <w:pPr>
              <w:numPr>
                <w:ilvl w:val="0"/>
                <w:numId w:val="7"/>
              </w:numPr>
              <w:spacing w:line="360" w:lineRule="auto"/>
              <w:ind w:firstLine="0"/>
              <w:jc w:val="both"/>
              <w:rPr>
                <w:rFonts w:hint="eastAsia" w:ascii="宋体" w:hAnsi="宋体" w:eastAsia="宋体" w:cs="宋体"/>
                <w:szCs w:val="21"/>
              </w:rPr>
            </w:pPr>
            <w:r>
              <w:rPr>
                <w:rFonts w:hint="eastAsia" w:ascii="宋体" w:hAnsi="宋体" w:eastAsia="宋体" w:cs="宋体"/>
                <w:szCs w:val="21"/>
              </w:rPr>
              <w:t>主持人宣布现场主持人、唱标人、记录人等人员信息；</w:t>
            </w:r>
          </w:p>
          <w:p>
            <w:pPr>
              <w:numPr>
                <w:ilvl w:val="0"/>
                <w:numId w:val="7"/>
              </w:numPr>
              <w:spacing w:line="360" w:lineRule="auto"/>
              <w:ind w:firstLine="0"/>
              <w:jc w:val="both"/>
              <w:rPr>
                <w:rFonts w:hint="eastAsia" w:ascii="宋体" w:hAnsi="宋体" w:eastAsia="宋体" w:cs="宋体"/>
                <w:szCs w:val="21"/>
              </w:rPr>
            </w:pPr>
            <w:r>
              <w:rPr>
                <w:rFonts w:hint="eastAsia" w:ascii="宋体" w:hAnsi="宋体" w:eastAsia="宋体" w:cs="宋体"/>
                <w:szCs w:val="21"/>
              </w:rPr>
              <w:t>由所有投标人代表检查所有投标文件密封情况，确认无误签字后，招标代理在监标人、投标人代表和招标人代表的监督下，将对所有投标人的价格部分投标文件（第二阶段开标）进行现场封存，并由投标人代表在封条处签字；</w:t>
            </w:r>
          </w:p>
          <w:p>
            <w:pPr>
              <w:numPr>
                <w:ilvl w:val="0"/>
                <w:numId w:val="7"/>
              </w:numPr>
              <w:spacing w:line="360" w:lineRule="auto"/>
              <w:ind w:firstLine="0"/>
              <w:jc w:val="both"/>
              <w:rPr>
                <w:rFonts w:hint="eastAsia" w:ascii="宋体" w:hAnsi="宋体" w:eastAsia="宋体" w:cs="宋体"/>
                <w:szCs w:val="21"/>
              </w:rPr>
            </w:pPr>
            <w:r>
              <w:rPr>
                <w:rFonts w:hint="eastAsia" w:ascii="宋体" w:hAnsi="宋体" w:eastAsia="宋体" w:cs="宋体"/>
                <w:szCs w:val="21"/>
              </w:rPr>
              <w:t>启封商务、技术部分投标文件（第一阶段开标），按照递交投标文件的顺序进行唱标。投标人名称、投标保证金以及招标人认为需要唱出的其他内容均在唱标时宣布，并记录在案。</w:t>
            </w:r>
          </w:p>
          <w:p>
            <w:pPr>
              <w:numPr>
                <w:ilvl w:val="0"/>
                <w:numId w:val="7"/>
              </w:numPr>
              <w:spacing w:line="360" w:lineRule="auto"/>
              <w:ind w:firstLine="0"/>
              <w:jc w:val="both"/>
              <w:rPr>
                <w:rFonts w:hint="eastAsia" w:ascii="宋体" w:hAnsi="宋体" w:eastAsia="宋体" w:cs="宋体"/>
                <w:szCs w:val="21"/>
              </w:rPr>
            </w:pPr>
            <w:r>
              <w:rPr>
                <w:rFonts w:hint="eastAsia" w:ascii="宋体" w:hAnsi="宋体" w:eastAsia="宋体" w:cs="宋体"/>
                <w:szCs w:val="21"/>
              </w:rPr>
              <w:t>在开标过程中由工作人员作开标现场记录，投标人代表应对所有投标人的开标记录签字确认，如有疑义应在唱标完后当场提出，否则理解为没有疑义并确认开标结果。如投标人代表未签字确认，视同其已认可本次开标记录。</w:t>
            </w:r>
          </w:p>
          <w:p>
            <w:pPr>
              <w:numPr>
                <w:ilvl w:val="0"/>
                <w:numId w:val="7"/>
              </w:numPr>
              <w:spacing w:line="360" w:lineRule="auto"/>
              <w:ind w:firstLine="0"/>
              <w:jc w:val="both"/>
              <w:rPr>
                <w:rFonts w:hint="eastAsia" w:ascii="宋体" w:hAnsi="宋体" w:eastAsia="宋体" w:cs="宋体"/>
                <w:szCs w:val="21"/>
              </w:rPr>
            </w:pPr>
            <w:r>
              <w:rPr>
                <w:rFonts w:hint="eastAsia" w:ascii="宋体" w:hAnsi="宋体" w:eastAsia="宋体" w:cs="宋体"/>
                <w:szCs w:val="21"/>
              </w:rPr>
              <w:t>通知投标人第二阶段开标相关事宜。</w:t>
            </w:r>
          </w:p>
          <w:p>
            <w:pPr>
              <w:spacing w:line="360" w:lineRule="auto"/>
              <w:jc w:val="both"/>
              <w:rPr>
                <w:rFonts w:hint="eastAsia" w:ascii="宋体" w:hAnsi="宋体" w:eastAsia="宋体" w:cs="宋体"/>
                <w:szCs w:val="21"/>
              </w:rPr>
            </w:pPr>
            <w:r>
              <w:rPr>
                <w:rFonts w:hint="eastAsia" w:ascii="宋体" w:hAnsi="宋体" w:eastAsia="宋体" w:cs="宋体"/>
                <w:szCs w:val="21"/>
              </w:rPr>
              <w:t>（4）主持人按下列程序进行第二阶段开标（价格部分）：</w:t>
            </w:r>
          </w:p>
          <w:p>
            <w:pPr>
              <w:numPr>
                <w:ilvl w:val="0"/>
                <w:numId w:val="8"/>
              </w:numPr>
              <w:spacing w:line="360" w:lineRule="auto"/>
              <w:ind w:firstLine="0"/>
              <w:jc w:val="both"/>
              <w:rPr>
                <w:rFonts w:hint="eastAsia" w:ascii="宋体" w:hAnsi="宋体" w:eastAsia="宋体" w:cs="宋体"/>
                <w:szCs w:val="21"/>
              </w:rPr>
            </w:pPr>
            <w:r>
              <w:rPr>
                <w:rFonts w:hint="eastAsia" w:ascii="宋体" w:hAnsi="宋体" w:eastAsia="宋体" w:cs="宋体"/>
                <w:szCs w:val="21"/>
              </w:rPr>
              <w:t>招标人和招标代理机构将在商务、技术部分投标文件（第一阶段）评审结束以后组织价格部分投标文件（第二阶段）公开开标；</w:t>
            </w:r>
          </w:p>
          <w:p>
            <w:pPr>
              <w:numPr>
                <w:ilvl w:val="0"/>
                <w:numId w:val="8"/>
              </w:numPr>
              <w:spacing w:line="360" w:lineRule="auto"/>
              <w:ind w:firstLine="0"/>
              <w:jc w:val="both"/>
              <w:rPr>
                <w:rFonts w:hint="eastAsia" w:ascii="宋体" w:hAnsi="宋体" w:eastAsia="宋体" w:cs="宋体"/>
                <w:szCs w:val="21"/>
              </w:rPr>
            </w:pPr>
            <w:r>
              <w:rPr>
                <w:rFonts w:hint="eastAsia" w:ascii="宋体" w:hAnsi="宋体" w:eastAsia="宋体" w:cs="宋体"/>
                <w:szCs w:val="21"/>
              </w:rPr>
              <w:t>价格部分投标文件（第二阶段）开标时，开标会议由招标代理机构主持，进行点名，所有投标人代表均须按通知的时间、地点准时出席；</w:t>
            </w:r>
          </w:p>
          <w:p>
            <w:pPr>
              <w:numPr>
                <w:ilvl w:val="0"/>
                <w:numId w:val="8"/>
              </w:numPr>
              <w:spacing w:line="360" w:lineRule="auto"/>
              <w:ind w:firstLine="0"/>
              <w:jc w:val="both"/>
              <w:rPr>
                <w:rFonts w:hint="eastAsia" w:ascii="宋体" w:hAnsi="宋体" w:eastAsia="宋体" w:cs="宋体"/>
                <w:szCs w:val="21"/>
              </w:rPr>
            </w:pPr>
            <w:r>
              <w:rPr>
                <w:rFonts w:hint="eastAsia" w:ascii="宋体" w:hAnsi="宋体" w:eastAsia="宋体" w:cs="宋体"/>
                <w:szCs w:val="21"/>
              </w:rPr>
              <w:t>首先宣读开标纪律；</w:t>
            </w:r>
          </w:p>
          <w:p>
            <w:pPr>
              <w:numPr>
                <w:ilvl w:val="0"/>
                <w:numId w:val="8"/>
              </w:numPr>
              <w:spacing w:line="360" w:lineRule="auto"/>
              <w:ind w:firstLine="0"/>
              <w:jc w:val="both"/>
              <w:rPr>
                <w:rFonts w:hint="eastAsia" w:ascii="宋体" w:hAnsi="宋体" w:eastAsia="宋体" w:cs="宋体"/>
                <w:szCs w:val="21"/>
              </w:rPr>
            </w:pPr>
            <w:r>
              <w:rPr>
                <w:rFonts w:hint="eastAsia" w:ascii="宋体" w:hAnsi="宋体" w:eastAsia="宋体" w:cs="宋体"/>
                <w:szCs w:val="21"/>
              </w:rPr>
              <w:t>由主持人现场公布第一阶段评审结果；</w:t>
            </w:r>
          </w:p>
          <w:p>
            <w:pPr>
              <w:numPr>
                <w:ilvl w:val="0"/>
                <w:numId w:val="8"/>
              </w:numPr>
              <w:spacing w:line="360" w:lineRule="auto"/>
              <w:ind w:firstLine="0"/>
              <w:jc w:val="both"/>
              <w:rPr>
                <w:rFonts w:hint="eastAsia" w:ascii="宋体" w:hAnsi="宋体" w:eastAsia="宋体" w:cs="宋体"/>
                <w:szCs w:val="21"/>
              </w:rPr>
            </w:pPr>
            <w:r>
              <w:rPr>
                <w:rFonts w:hint="eastAsia" w:ascii="宋体" w:hAnsi="宋体" w:eastAsia="宋体" w:cs="宋体"/>
                <w:szCs w:val="21"/>
              </w:rPr>
              <w:t>检查所有价格部分投标文件密封情况，确认无误后宣布进入第二阶段价格部分开评标的投标人名单，未进入第二阶段开标的投标人的价格部分投标文件不启封；</w:t>
            </w:r>
          </w:p>
          <w:p>
            <w:pPr>
              <w:numPr>
                <w:ilvl w:val="0"/>
                <w:numId w:val="8"/>
              </w:numPr>
              <w:spacing w:line="360" w:lineRule="auto"/>
              <w:ind w:firstLine="0"/>
              <w:jc w:val="both"/>
              <w:rPr>
                <w:rFonts w:hint="eastAsia" w:ascii="宋体" w:hAnsi="宋体" w:eastAsia="宋体" w:cs="宋体"/>
                <w:szCs w:val="21"/>
              </w:rPr>
            </w:pPr>
            <w:r>
              <w:rPr>
                <w:rFonts w:hint="eastAsia" w:ascii="宋体" w:hAnsi="宋体" w:eastAsia="宋体" w:cs="宋体"/>
                <w:szCs w:val="21"/>
              </w:rPr>
              <w:t>经投标人代表签字确认价格册密封情况完好后，开启所有入围第二阶段投标人的价格部分，并由招标代理进行唱标。</w:t>
            </w:r>
          </w:p>
          <w:p>
            <w:pPr>
              <w:numPr>
                <w:ilvl w:val="0"/>
                <w:numId w:val="8"/>
              </w:numPr>
              <w:spacing w:line="360" w:lineRule="auto"/>
              <w:ind w:firstLine="0"/>
              <w:jc w:val="both"/>
              <w:rPr>
                <w:rFonts w:hint="eastAsia" w:ascii="宋体" w:hAnsi="宋体" w:eastAsia="宋体" w:cs="宋体"/>
                <w:szCs w:val="21"/>
              </w:rPr>
            </w:pPr>
            <w:r>
              <w:rPr>
                <w:rFonts w:hint="eastAsia" w:ascii="宋体" w:hAnsi="宋体" w:eastAsia="宋体" w:cs="宋体"/>
                <w:szCs w:val="21"/>
              </w:rPr>
              <w:t>第二阶段开标，投标人名称、投标报价以及招标人认为需要唱出的其他内容均在唱标时宣布，并记录在案；</w:t>
            </w:r>
          </w:p>
          <w:p>
            <w:pPr>
              <w:numPr>
                <w:ilvl w:val="0"/>
                <w:numId w:val="8"/>
              </w:numPr>
              <w:spacing w:line="360" w:lineRule="auto"/>
              <w:ind w:firstLine="0"/>
              <w:jc w:val="both"/>
              <w:rPr>
                <w:rFonts w:hint="eastAsia" w:ascii="宋体" w:hAnsi="宋体" w:eastAsia="宋体" w:cs="宋体"/>
                <w:szCs w:val="21"/>
              </w:rPr>
            </w:pPr>
            <w:r>
              <w:rPr>
                <w:rFonts w:hint="eastAsia" w:ascii="宋体" w:hAnsi="宋体" w:eastAsia="宋体" w:cs="宋体"/>
                <w:szCs w:val="21"/>
              </w:rPr>
              <w:t>唱标后投标人代表应对开标记录进行签字确认，如有异议应在唱标结束后当场公开提出。如开标记录中的内容与投标文件正本中的内容有不一致时，以投标文件正本为准。</w:t>
            </w:r>
          </w:p>
          <w:p>
            <w:pPr>
              <w:spacing w:line="360" w:lineRule="auto"/>
              <w:rPr>
                <w:rFonts w:hint="eastAsia" w:ascii="宋体" w:hAnsi="宋体" w:eastAsia="宋体" w:cs="宋体"/>
                <w:szCs w:val="21"/>
              </w:rPr>
            </w:pPr>
            <w:r>
              <w:rPr>
                <w:rFonts w:hint="eastAsia" w:ascii="宋体" w:hAnsi="宋体" w:eastAsia="宋体" w:cs="宋体"/>
                <w:szCs w:val="21"/>
              </w:rPr>
              <w:t>（5）宣布得分情况</w:t>
            </w:r>
          </w:p>
          <w:p>
            <w:pPr>
              <w:numPr>
                <w:ilvl w:val="0"/>
                <w:numId w:val="9"/>
              </w:numPr>
              <w:spacing w:line="360" w:lineRule="auto"/>
              <w:ind w:firstLine="0"/>
              <w:jc w:val="both"/>
              <w:rPr>
                <w:rFonts w:hint="eastAsia" w:ascii="宋体" w:hAnsi="宋体" w:eastAsia="宋体" w:cs="宋体"/>
                <w:szCs w:val="21"/>
              </w:rPr>
            </w:pPr>
            <w:r>
              <w:rPr>
                <w:rFonts w:hint="eastAsia" w:ascii="宋体" w:hAnsi="宋体" w:eastAsia="宋体" w:cs="宋体"/>
                <w:szCs w:val="21"/>
              </w:rPr>
              <w:t>招标代理机构汇总商务、技术、报价三部分得分，形成评审结果。</w:t>
            </w:r>
          </w:p>
          <w:p>
            <w:pPr>
              <w:numPr>
                <w:ilvl w:val="0"/>
                <w:numId w:val="9"/>
              </w:numPr>
              <w:spacing w:line="360" w:lineRule="auto"/>
              <w:ind w:firstLine="0"/>
              <w:jc w:val="both"/>
              <w:rPr>
                <w:rFonts w:hint="eastAsia" w:ascii="宋体" w:hAnsi="宋体" w:eastAsia="宋体" w:cs="宋体"/>
                <w:szCs w:val="21"/>
              </w:rPr>
            </w:pPr>
            <w:r>
              <w:rPr>
                <w:rFonts w:hint="eastAsia" w:ascii="宋体" w:hAnsi="宋体" w:eastAsia="宋体" w:cs="宋体"/>
                <w:szCs w:val="21"/>
              </w:rPr>
              <w:t>根据评审结果，按照总分得分由低到高的顺序，公布各投标人得分。</w:t>
            </w:r>
          </w:p>
          <w:p>
            <w:pPr>
              <w:numPr>
                <w:ilvl w:val="0"/>
                <w:numId w:val="9"/>
              </w:numPr>
              <w:spacing w:line="360" w:lineRule="auto"/>
              <w:ind w:firstLine="0"/>
              <w:jc w:val="both"/>
              <w:rPr>
                <w:rFonts w:hint="eastAsia" w:ascii="宋体" w:hAnsi="宋体" w:eastAsia="宋体" w:cs="宋体"/>
                <w:szCs w:val="21"/>
              </w:rPr>
            </w:pPr>
            <w:r>
              <w:rPr>
                <w:rFonts w:hint="eastAsia" w:ascii="宋体" w:hAnsi="宋体" w:eastAsia="宋体" w:cs="宋体"/>
                <w:szCs w:val="21"/>
              </w:rPr>
              <w:t>宣布开标会议结束。</w:t>
            </w:r>
          </w:p>
        </w:tc>
      </w:tr>
      <w:tr>
        <w:tblPrEx>
          <w:tblCellMar>
            <w:top w:w="0" w:type="dxa"/>
            <w:left w:w="108" w:type="dxa"/>
            <w:bottom w:w="0" w:type="dxa"/>
            <w:right w:w="108" w:type="dxa"/>
          </w:tblCellMar>
        </w:tblPrEx>
        <w:trPr>
          <w:trHeight w:val="20" w:hRule="atLeast"/>
          <w:jc w:val="center"/>
        </w:trPr>
        <w:tc>
          <w:tcPr>
            <w:tcW w:w="1007" w:type="dxa"/>
            <w:tcBorders>
              <w:top w:val="single" w:color="auto" w:sz="4" w:space="0"/>
              <w:left w:val="single" w:color="auto" w:sz="4" w:space="0"/>
              <w:bottom w:val="single" w:color="auto" w:sz="4" w:space="0"/>
              <w:right w:val="single" w:color="auto" w:sz="4" w:space="0"/>
            </w:tcBorders>
            <w:noWrap w:val="0"/>
            <w:vAlign w:val="center"/>
          </w:tcPr>
          <w:p>
            <w:pPr>
              <w:spacing w:line="348" w:lineRule="auto"/>
              <w:jc w:val="center"/>
              <w:rPr>
                <w:rFonts w:hint="eastAsia" w:ascii="宋体" w:hAnsi="宋体" w:eastAsia="宋体" w:cs="宋体"/>
                <w:szCs w:val="21"/>
              </w:rPr>
            </w:pPr>
            <w:r>
              <w:rPr>
                <w:rFonts w:hint="eastAsia" w:ascii="宋体" w:hAnsi="宋体" w:eastAsia="宋体" w:cs="宋体"/>
                <w:szCs w:val="21"/>
              </w:rPr>
              <w:t>6.1.1</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spacing w:line="348" w:lineRule="auto"/>
              <w:jc w:val="center"/>
              <w:rPr>
                <w:rFonts w:hint="eastAsia" w:ascii="宋体" w:hAnsi="宋体" w:eastAsia="宋体" w:cs="宋体"/>
                <w:szCs w:val="21"/>
              </w:rPr>
            </w:pPr>
            <w:r>
              <w:rPr>
                <w:rFonts w:hint="eastAsia" w:ascii="宋体" w:hAnsi="宋体" w:eastAsia="宋体" w:cs="宋体"/>
                <w:szCs w:val="21"/>
              </w:rPr>
              <w:t>评标委员会的组建</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spacing w:line="348" w:lineRule="auto"/>
              <w:jc w:val="both"/>
              <w:rPr>
                <w:rFonts w:hint="eastAsia" w:ascii="宋体" w:hAnsi="宋体" w:eastAsia="宋体" w:cs="宋体"/>
                <w:szCs w:val="21"/>
                <w:u w:val="single"/>
              </w:rPr>
            </w:pPr>
            <w:r>
              <w:rPr>
                <w:rFonts w:hint="eastAsia" w:ascii="宋体" w:hAnsi="宋体" w:eastAsia="宋体" w:cs="宋体"/>
                <w:szCs w:val="21"/>
              </w:rPr>
              <w:t>评标委员构成：</w:t>
            </w:r>
            <w:r>
              <w:rPr>
                <w:rFonts w:hint="eastAsia" w:ascii="宋体" w:hAnsi="宋体" w:eastAsia="宋体" w:cs="宋体"/>
                <w:szCs w:val="21"/>
                <w:u w:val="single"/>
              </w:rPr>
              <w:t xml:space="preserve">  5 人及以上的单数   </w:t>
            </w:r>
          </w:p>
          <w:p>
            <w:pPr>
              <w:spacing w:line="348" w:lineRule="auto"/>
              <w:jc w:val="both"/>
              <w:rPr>
                <w:rFonts w:hint="eastAsia" w:ascii="宋体" w:hAnsi="宋体" w:eastAsia="宋体" w:cs="宋体"/>
                <w:szCs w:val="21"/>
                <w:u w:val="single"/>
              </w:rPr>
            </w:pPr>
            <w:r>
              <w:rPr>
                <w:rFonts w:hint="eastAsia" w:ascii="宋体" w:hAnsi="宋体" w:eastAsia="宋体" w:cs="宋体"/>
                <w:szCs w:val="21"/>
              </w:rPr>
              <w:t>评标专家确定方式：</w:t>
            </w:r>
            <w:r>
              <w:rPr>
                <w:rFonts w:hint="eastAsia" w:ascii="宋体" w:hAnsi="宋体" w:eastAsia="宋体" w:cs="宋体"/>
              </w:rPr>
              <w:t>由招标人代表在监督部门的监督下从依法设立的评标专家库中随机抽取。</w:t>
            </w:r>
          </w:p>
        </w:tc>
      </w:tr>
      <w:tr>
        <w:tblPrEx>
          <w:tblCellMar>
            <w:top w:w="0" w:type="dxa"/>
            <w:left w:w="108" w:type="dxa"/>
            <w:bottom w:w="0" w:type="dxa"/>
            <w:right w:w="108" w:type="dxa"/>
          </w:tblCellMar>
        </w:tblPrEx>
        <w:trPr>
          <w:trHeight w:val="20" w:hRule="atLeast"/>
          <w:jc w:val="center"/>
        </w:trPr>
        <w:tc>
          <w:tcPr>
            <w:tcW w:w="1007" w:type="dxa"/>
            <w:tcBorders>
              <w:top w:val="single" w:color="auto" w:sz="4" w:space="0"/>
              <w:left w:val="single" w:color="auto" w:sz="4" w:space="0"/>
              <w:bottom w:val="single" w:color="auto" w:sz="4" w:space="0"/>
              <w:right w:val="single" w:color="auto" w:sz="4" w:space="0"/>
            </w:tcBorders>
            <w:noWrap w:val="0"/>
            <w:vAlign w:val="center"/>
          </w:tcPr>
          <w:p>
            <w:pPr>
              <w:spacing w:line="348" w:lineRule="auto"/>
              <w:jc w:val="center"/>
              <w:rPr>
                <w:rFonts w:hint="eastAsia" w:ascii="宋体" w:hAnsi="宋体" w:eastAsia="宋体" w:cs="宋体"/>
                <w:szCs w:val="21"/>
              </w:rPr>
            </w:pPr>
            <w:r>
              <w:rPr>
                <w:rFonts w:hint="eastAsia" w:ascii="宋体" w:hAnsi="宋体" w:eastAsia="宋体" w:cs="宋体"/>
                <w:szCs w:val="21"/>
              </w:rPr>
              <w:t>6.3.2</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spacing w:line="348" w:lineRule="auto"/>
              <w:jc w:val="center"/>
              <w:rPr>
                <w:rFonts w:hint="eastAsia" w:ascii="宋体" w:hAnsi="宋体" w:eastAsia="宋体" w:cs="宋体"/>
                <w:szCs w:val="21"/>
              </w:rPr>
            </w:pPr>
            <w:r>
              <w:rPr>
                <w:rFonts w:hint="eastAsia" w:ascii="宋体" w:hAnsi="宋体" w:eastAsia="宋体" w:cs="宋体"/>
                <w:szCs w:val="21"/>
              </w:rPr>
              <w:t>评标委员会推荐中标候选人的人数</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spacing w:line="348" w:lineRule="auto"/>
              <w:jc w:val="both"/>
              <w:rPr>
                <w:rFonts w:hint="eastAsia" w:ascii="宋体" w:hAnsi="宋体" w:eastAsia="宋体" w:cs="宋体"/>
                <w:szCs w:val="21"/>
              </w:rPr>
            </w:pPr>
            <w:r>
              <w:rPr>
                <w:rFonts w:hint="eastAsia" w:ascii="宋体" w:hAnsi="宋体" w:eastAsia="宋体" w:cs="宋体"/>
                <w:szCs w:val="21"/>
              </w:rPr>
              <w:t>推荐中标人候选人人数</w:t>
            </w:r>
            <w:r>
              <w:rPr>
                <w:rFonts w:hint="eastAsia" w:ascii="宋体" w:hAnsi="宋体" w:eastAsia="宋体" w:cs="宋体"/>
                <w:szCs w:val="21"/>
                <w:u w:val="single"/>
              </w:rPr>
              <w:t xml:space="preserve"> 1人</w:t>
            </w:r>
          </w:p>
        </w:tc>
      </w:tr>
      <w:tr>
        <w:tblPrEx>
          <w:tblCellMar>
            <w:top w:w="0" w:type="dxa"/>
            <w:left w:w="108" w:type="dxa"/>
            <w:bottom w:w="0" w:type="dxa"/>
            <w:right w:w="108" w:type="dxa"/>
          </w:tblCellMar>
        </w:tblPrEx>
        <w:trPr>
          <w:trHeight w:val="20" w:hRule="atLeast"/>
          <w:jc w:val="center"/>
        </w:trPr>
        <w:tc>
          <w:tcPr>
            <w:tcW w:w="1007" w:type="dxa"/>
            <w:tcBorders>
              <w:top w:val="single" w:color="auto" w:sz="4" w:space="0"/>
              <w:left w:val="single" w:color="auto" w:sz="4" w:space="0"/>
              <w:bottom w:val="single" w:color="auto" w:sz="4" w:space="0"/>
              <w:right w:val="single" w:color="auto" w:sz="4" w:space="0"/>
            </w:tcBorders>
            <w:noWrap w:val="0"/>
            <w:vAlign w:val="center"/>
          </w:tcPr>
          <w:p>
            <w:pPr>
              <w:spacing w:line="348" w:lineRule="auto"/>
              <w:jc w:val="center"/>
              <w:rPr>
                <w:rFonts w:hint="eastAsia" w:ascii="宋体" w:hAnsi="宋体" w:eastAsia="宋体" w:cs="宋体"/>
                <w:szCs w:val="21"/>
              </w:rPr>
            </w:pPr>
            <w:r>
              <w:rPr>
                <w:rFonts w:hint="eastAsia" w:ascii="宋体" w:hAnsi="宋体" w:eastAsia="宋体" w:cs="宋体"/>
                <w:szCs w:val="21"/>
              </w:rPr>
              <w:t>7.1</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spacing w:line="348" w:lineRule="auto"/>
              <w:jc w:val="center"/>
              <w:rPr>
                <w:rFonts w:hint="eastAsia" w:ascii="宋体" w:hAnsi="宋体" w:eastAsia="宋体" w:cs="宋体"/>
                <w:szCs w:val="21"/>
              </w:rPr>
            </w:pPr>
            <w:r>
              <w:rPr>
                <w:rFonts w:hint="eastAsia" w:ascii="宋体" w:hAnsi="宋体" w:eastAsia="宋体" w:cs="宋体"/>
                <w:szCs w:val="21"/>
              </w:rPr>
              <w:t>中标候选人公示媒介期限</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spacing w:line="348" w:lineRule="auto"/>
              <w:jc w:val="both"/>
              <w:rPr>
                <w:rFonts w:hint="eastAsia" w:ascii="宋体" w:hAnsi="宋体" w:eastAsia="宋体" w:cs="宋体"/>
                <w:szCs w:val="21"/>
              </w:rPr>
            </w:pPr>
            <w:r>
              <w:rPr>
                <w:rFonts w:hint="eastAsia" w:ascii="宋体" w:hAnsi="宋体" w:eastAsia="宋体" w:cs="宋体"/>
                <w:szCs w:val="21"/>
              </w:rPr>
              <w:t>公示媒介：招标公告发布媒介</w:t>
            </w:r>
          </w:p>
          <w:p>
            <w:pPr>
              <w:spacing w:line="348" w:lineRule="auto"/>
              <w:jc w:val="both"/>
              <w:rPr>
                <w:rFonts w:hint="eastAsia" w:ascii="宋体" w:hAnsi="宋体" w:eastAsia="宋体" w:cs="宋体"/>
                <w:szCs w:val="21"/>
              </w:rPr>
            </w:pPr>
            <w:r>
              <w:rPr>
                <w:rFonts w:hint="eastAsia" w:ascii="宋体" w:hAnsi="宋体" w:eastAsia="宋体" w:cs="宋体"/>
                <w:szCs w:val="21"/>
              </w:rPr>
              <w:t>公示期限：3日</w:t>
            </w:r>
          </w:p>
        </w:tc>
      </w:tr>
      <w:tr>
        <w:tblPrEx>
          <w:tblCellMar>
            <w:top w:w="0" w:type="dxa"/>
            <w:left w:w="108" w:type="dxa"/>
            <w:bottom w:w="0" w:type="dxa"/>
            <w:right w:w="108" w:type="dxa"/>
          </w:tblCellMar>
        </w:tblPrEx>
        <w:trPr>
          <w:trHeight w:val="20" w:hRule="atLeast"/>
          <w:jc w:val="center"/>
        </w:trPr>
        <w:tc>
          <w:tcPr>
            <w:tcW w:w="1007" w:type="dxa"/>
            <w:tcBorders>
              <w:top w:val="single" w:color="auto" w:sz="4" w:space="0"/>
              <w:left w:val="single" w:color="auto" w:sz="4" w:space="0"/>
              <w:bottom w:val="single" w:color="auto" w:sz="4" w:space="0"/>
              <w:right w:val="single" w:color="auto" w:sz="4" w:space="0"/>
            </w:tcBorders>
            <w:noWrap w:val="0"/>
            <w:vAlign w:val="center"/>
          </w:tcPr>
          <w:p>
            <w:pPr>
              <w:spacing w:line="348" w:lineRule="auto"/>
              <w:jc w:val="center"/>
              <w:rPr>
                <w:rFonts w:hint="eastAsia" w:ascii="宋体" w:hAnsi="宋体" w:eastAsia="宋体" w:cs="宋体"/>
                <w:szCs w:val="21"/>
              </w:rPr>
            </w:pPr>
            <w:r>
              <w:rPr>
                <w:rFonts w:hint="eastAsia" w:ascii="宋体" w:hAnsi="宋体" w:eastAsia="宋体" w:cs="宋体"/>
                <w:szCs w:val="21"/>
              </w:rPr>
              <w:t>7.4</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spacing w:line="348" w:lineRule="auto"/>
              <w:jc w:val="center"/>
              <w:rPr>
                <w:rFonts w:hint="eastAsia" w:ascii="宋体" w:hAnsi="宋体" w:eastAsia="宋体" w:cs="宋体"/>
                <w:szCs w:val="21"/>
              </w:rPr>
            </w:pPr>
            <w:r>
              <w:rPr>
                <w:rFonts w:hint="eastAsia" w:ascii="宋体" w:hAnsi="宋体" w:eastAsia="宋体" w:cs="宋体"/>
                <w:szCs w:val="21"/>
              </w:rPr>
              <w:t>是否授权评标委员会确定中标人</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spacing w:line="348" w:lineRule="auto"/>
              <w:jc w:val="both"/>
              <w:rPr>
                <w:rFonts w:hint="eastAsia" w:ascii="宋体" w:hAnsi="宋体" w:eastAsia="宋体" w:cs="宋体"/>
                <w:kern w:val="2"/>
                <w:szCs w:val="21"/>
              </w:rPr>
            </w:pPr>
            <w:r>
              <w:rPr>
                <w:rFonts w:hint="eastAsia" w:ascii="宋体" w:hAnsi="宋体" w:eastAsia="宋体" w:cs="宋体"/>
                <w:kern w:val="2"/>
                <w:szCs w:val="21"/>
              </w:rPr>
              <w:sym w:font="Wingdings 2" w:char="0052"/>
            </w:r>
            <w:r>
              <w:rPr>
                <w:rFonts w:hint="eastAsia" w:ascii="宋体" w:hAnsi="宋体" w:eastAsia="宋体" w:cs="宋体"/>
                <w:szCs w:val="21"/>
              </w:rPr>
              <w:t>是</w:t>
            </w:r>
          </w:p>
          <w:p>
            <w:pPr>
              <w:spacing w:line="348" w:lineRule="auto"/>
              <w:jc w:val="both"/>
              <w:rPr>
                <w:rFonts w:hint="eastAsia" w:ascii="宋体" w:hAnsi="宋体" w:eastAsia="宋体" w:cs="宋体"/>
                <w:szCs w:val="21"/>
              </w:rPr>
            </w:pPr>
            <w:r>
              <w:rPr>
                <w:rFonts w:hint="eastAsia" w:ascii="宋体" w:hAnsi="宋体" w:eastAsia="宋体" w:cs="宋体"/>
                <w:szCs w:val="21"/>
              </w:rPr>
              <w:sym w:font="Wingdings 2" w:char="00A3"/>
            </w:r>
            <w:r>
              <w:rPr>
                <w:rFonts w:hint="eastAsia" w:ascii="宋体" w:hAnsi="宋体" w:eastAsia="宋体" w:cs="宋体"/>
                <w:kern w:val="2"/>
                <w:szCs w:val="21"/>
              </w:rPr>
              <w:t>否</w:t>
            </w:r>
          </w:p>
        </w:tc>
      </w:tr>
      <w:tr>
        <w:tblPrEx>
          <w:tblCellMar>
            <w:top w:w="0" w:type="dxa"/>
            <w:left w:w="108" w:type="dxa"/>
            <w:bottom w:w="0" w:type="dxa"/>
            <w:right w:w="108" w:type="dxa"/>
          </w:tblCellMar>
        </w:tblPrEx>
        <w:trPr>
          <w:trHeight w:val="20" w:hRule="atLeast"/>
          <w:jc w:val="center"/>
        </w:trPr>
        <w:tc>
          <w:tcPr>
            <w:tcW w:w="1007" w:type="dxa"/>
            <w:tcBorders>
              <w:top w:val="single" w:color="auto" w:sz="4" w:space="0"/>
              <w:left w:val="single" w:color="auto" w:sz="4" w:space="0"/>
              <w:bottom w:val="single" w:color="auto" w:sz="4" w:space="0"/>
              <w:right w:val="single" w:color="auto" w:sz="4" w:space="0"/>
            </w:tcBorders>
            <w:noWrap w:val="0"/>
            <w:vAlign w:val="center"/>
          </w:tcPr>
          <w:p>
            <w:pPr>
              <w:spacing w:line="348" w:lineRule="auto"/>
              <w:jc w:val="center"/>
              <w:rPr>
                <w:rFonts w:hint="eastAsia" w:ascii="宋体" w:hAnsi="宋体" w:eastAsia="宋体" w:cs="宋体"/>
                <w:szCs w:val="21"/>
              </w:rPr>
            </w:pPr>
            <w:r>
              <w:rPr>
                <w:rFonts w:hint="eastAsia" w:ascii="宋体" w:hAnsi="宋体" w:eastAsia="宋体" w:cs="宋体"/>
                <w:szCs w:val="21"/>
              </w:rPr>
              <w:t>7.6</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spacing w:line="348" w:lineRule="auto"/>
              <w:jc w:val="center"/>
              <w:rPr>
                <w:rFonts w:hint="eastAsia" w:ascii="宋体" w:hAnsi="宋体" w:eastAsia="宋体" w:cs="宋体"/>
                <w:szCs w:val="21"/>
              </w:rPr>
            </w:pPr>
            <w:r>
              <w:rPr>
                <w:rFonts w:hint="eastAsia" w:ascii="宋体" w:hAnsi="宋体" w:eastAsia="宋体" w:cs="宋体"/>
                <w:szCs w:val="21"/>
              </w:rPr>
              <w:t>履约保证金</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spacing w:line="348" w:lineRule="auto"/>
              <w:jc w:val="both"/>
              <w:rPr>
                <w:rFonts w:hint="eastAsia" w:ascii="宋体" w:hAnsi="宋体" w:eastAsia="宋体" w:cs="宋体"/>
                <w:szCs w:val="21"/>
              </w:rPr>
            </w:pPr>
            <w:r>
              <w:rPr>
                <w:rFonts w:hint="eastAsia" w:ascii="宋体" w:hAnsi="宋体" w:eastAsia="宋体" w:cs="宋体"/>
                <w:szCs w:val="21"/>
              </w:rPr>
              <w:t>是否要求中标人提交履约保证金</w:t>
            </w:r>
          </w:p>
          <w:p>
            <w:pPr>
              <w:spacing w:line="300" w:lineRule="auto"/>
              <w:jc w:val="both"/>
              <w:rPr>
                <w:rFonts w:hint="eastAsia" w:ascii="宋体" w:hAnsi="宋体" w:eastAsia="宋体" w:cs="宋体"/>
                <w:szCs w:val="21"/>
              </w:rPr>
            </w:pPr>
            <w:r>
              <w:rPr>
                <w:rFonts w:hint="eastAsia" w:ascii="宋体" w:hAnsi="宋体" w:eastAsia="宋体" w:cs="宋体"/>
                <w:szCs w:val="21"/>
              </w:rPr>
              <w:sym w:font="Wingdings 2" w:char="F052"/>
            </w:r>
            <w:r>
              <w:rPr>
                <w:rFonts w:hint="eastAsia" w:ascii="宋体" w:hAnsi="宋体" w:eastAsia="宋体" w:cs="宋体"/>
                <w:szCs w:val="21"/>
              </w:rPr>
              <w:t>要求，履约保证金的形式：</w:t>
            </w:r>
            <w:r>
              <w:rPr>
                <w:rFonts w:hint="eastAsia" w:ascii="宋体" w:hAnsi="宋体" w:eastAsia="宋体" w:cs="宋体"/>
                <w:szCs w:val="21"/>
                <w:u w:val="single"/>
              </w:rPr>
              <w:t xml:space="preserve"> 优先采用履约保函。 </w:t>
            </w:r>
          </w:p>
          <w:p>
            <w:pPr>
              <w:spacing w:line="348" w:lineRule="auto"/>
              <w:jc w:val="both"/>
              <w:rPr>
                <w:rFonts w:hint="eastAsia" w:ascii="宋体" w:hAnsi="宋体" w:eastAsia="宋体" w:cs="宋体"/>
                <w:szCs w:val="21"/>
                <w:u w:val="single"/>
              </w:rPr>
            </w:pPr>
            <w:r>
              <w:rPr>
                <w:rFonts w:hint="eastAsia" w:ascii="宋体" w:hAnsi="宋体" w:eastAsia="宋体" w:cs="宋体"/>
                <w:szCs w:val="21"/>
              </w:rPr>
              <w:t>履约保证金的金额：</w:t>
            </w:r>
            <w:r>
              <w:rPr>
                <w:rFonts w:hint="eastAsia" w:ascii="宋体" w:hAnsi="宋体" w:eastAsia="宋体" w:cs="宋体"/>
                <w:szCs w:val="21"/>
                <w:u w:val="single"/>
              </w:rPr>
              <w:t xml:space="preserve">本项目实行履约担保制度。担保金额为承发包合同总价的5%，以银行保函形式提交。中标人在接到中标通知书10日内，签订合同之前提交履约保证金。出具保函的银行级别必须是国有商业银行或股份制商业银行的分行及以上银行。履约保证金递交后方可签订合同。未按招标文件规定提交履约保证金，招标人将没收其投标保证金并取消其中标资格。 </w:t>
            </w:r>
          </w:p>
          <w:p>
            <w:pPr>
              <w:spacing w:line="348" w:lineRule="auto"/>
              <w:jc w:val="both"/>
              <w:rPr>
                <w:rFonts w:hint="eastAsia" w:ascii="宋体" w:hAnsi="宋体" w:eastAsia="宋体" w:cs="宋体"/>
                <w:szCs w:val="21"/>
                <w:u w:val="single"/>
              </w:rPr>
            </w:pPr>
            <w:r>
              <w:rPr>
                <w:rFonts w:hint="eastAsia" w:ascii="宋体" w:hAnsi="宋体" w:eastAsia="宋体" w:cs="宋体"/>
                <w:szCs w:val="21"/>
              </w:rPr>
              <w:sym w:font="Wingdings 2" w:char="00A3"/>
            </w:r>
            <w:r>
              <w:rPr>
                <w:rFonts w:hint="eastAsia" w:ascii="宋体" w:hAnsi="宋体" w:eastAsia="宋体" w:cs="宋体"/>
                <w:szCs w:val="21"/>
              </w:rPr>
              <w:t>不要求</w:t>
            </w:r>
          </w:p>
        </w:tc>
      </w:tr>
      <w:tr>
        <w:tblPrEx>
          <w:tblCellMar>
            <w:top w:w="0" w:type="dxa"/>
            <w:left w:w="108" w:type="dxa"/>
            <w:bottom w:w="0" w:type="dxa"/>
            <w:right w:w="108" w:type="dxa"/>
          </w:tblCellMar>
        </w:tblPrEx>
        <w:trPr>
          <w:trHeight w:val="20" w:hRule="atLeast"/>
          <w:jc w:val="center"/>
        </w:trPr>
        <w:tc>
          <w:tcPr>
            <w:tcW w:w="1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9</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是否采用电子招标投标</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kern w:val="2"/>
                <w:szCs w:val="21"/>
              </w:rPr>
            </w:pPr>
            <w:r>
              <w:rPr>
                <w:rFonts w:hint="eastAsia" w:ascii="宋体" w:hAnsi="宋体" w:eastAsia="宋体" w:cs="宋体"/>
                <w:szCs w:val="21"/>
              </w:rPr>
              <w:sym w:font="Wingdings 2" w:char="F052"/>
            </w:r>
            <w:r>
              <w:rPr>
                <w:rFonts w:hint="eastAsia" w:ascii="宋体" w:hAnsi="宋体" w:eastAsia="宋体" w:cs="宋体"/>
                <w:szCs w:val="21"/>
              </w:rPr>
              <w:t>否</w:t>
            </w:r>
          </w:p>
          <w:p>
            <w:pPr>
              <w:spacing w:line="360" w:lineRule="auto"/>
              <w:rPr>
                <w:rFonts w:hint="eastAsia" w:ascii="宋体" w:hAnsi="宋体" w:eastAsia="宋体" w:cs="宋体"/>
                <w:szCs w:val="21"/>
              </w:rPr>
            </w:pPr>
            <w:r>
              <w:rPr>
                <w:rFonts w:hint="eastAsia" w:ascii="宋体" w:hAnsi="宋体" w:eastAsia="宋体" w:cs="宋体"/>
                <w:kern w:val="2"/>
                <w:szCs w:val="21"/>
              </w:rPr>
              <w:t>□是，具体要求</w:t>
            </w:r>
          </w:p>
        </w:tc>
      </w:tr>
      <w:tr>
        <w:tblPrEx>
          <w:tblCellMar>
            <w:top w:w="0" w:type="dxa"/>
            <w:left w:w="108" w:type="dxa"/>
            <w:bottom w:w="0" w:type="dxa"/>
            <w:right w:w="108" w:type="dxa"/>
          </w:tblCellMar>
        </w:tblPrEx>
        <w:trPr>
          <w:trHeight w:val="20" w:hRule="atLeast"/>
          <w:jc w:val="center"/>
        </w:trPr>
        <w:tc>
          <w:tcPr>
            <w:tcW w:w="1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10</w:t>
            </w:r>
          </w:p>
        </w:tc>
        <w:tc>
          <w:tcPr>
            <w:tcW w:w="839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szCs w:val="21"/>
              </w:rPr>
            </w:pPr>
            <w:r>
              <w:rPr>
                <w:rFonts w:hint="eastAsia" w:ascii="宋体" w:hAnsi="宋体" w:eastAsia="宋体" w:cs="宋体"/>
                <w:b/>
                <w:szCs w:val="21"/>
              </w:rPr>
              <w:t>需要补充的其他内容</w:t>
            </w:r>
          </w:p>
        </w:tc>
      </w:tr>
      <w:tr>
        <w:tblPrEx>
          <w:tblCellMar>
            <w:top w:w="0" w:type="dxa"/>
            <w:left w:w="108" w:type="dxa"/>
            <w:bottom w:w="0" w:type="dxa"/>
            <w:right w:w="108" w:type="dxa"/>
          </w:tblCellMar>
        </w:tblPrEx>
        <w:trPr>
          <w:trHeight w:val="20" w:hRule="atLeast"/>
          <w:jc w:val="center"/>
        </w:trPr>
        <w:tc>
          <w:tcPr>
            <w:tcW w:w="1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10.1</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投标文件的封面</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Cs w:val="21"/>
              </w:rPr>
            </w:pPr>
            <w:r>
              <w:rPr>
                <w:rFonts w:hint="eastAsia" w:ascii="宋体" w:hAnsi="宋体" w:eastAsia="宋体" w:cs="宋体"/>
                <w:szCs w:val="21"/>
              </w:rPr>
              <w:t>投标文件为A4大小，封面格式见本招标文件第六章</w:t>
            </w:r>
          </w:p>
        </w:tc>
      </w:tr>
      <w:tr>
        <w:tblPrEx>
          <w:tblCellMar>
            <w:top w:w="0" w:type="dxa"/>
            <w:left w:w="108" w:type="dxa"/>
            <w:bottom w:w="0" w:type="dxa"/>
            <w:right w:w="108" w:type="dxa"/>
          </w:tblCellMar>
        </w:tblPrEx>
        <w:trPr>
          <w:trHeight w:val="20" w:hRule="atLeast"/>
          <w:jc w:val="center"/>
        </w:trPr>
        <w:tc>
          <w:tcPr>
            <w:tcW w:w="1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10.2</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投标文件的装订包装</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pStyle w:val="22"/>
              <w:topLinePunct/>
              <w:spacing w:line="360" w:lineRule="auto"/>
              <w:rPr>
                <w:rFonts w:hint="eastAsia" w:hAnsi="宋体" w:cs="宋体"/>
                <w:sz w:val="21"/>
                <w:szCs w:val="21"/>
              </w:rPr>
            </w:pPr>
            <w:r>
              <w:rPr>
                <w:rFonts w:hint="eastAsia" w:hAnsi="宋体" w:cs="宋体"/>
                <w:sz w:val="21"/>
                <w:szCs w:val="21"/>
              </w:rPr>
              <w:t>1.投标文件均须左侧装订，装订须牢固不易拆散或换页，不得采用活页方式装订，应采用胶装方式装订。</w:t>
            </w:r>
          </w:p>
          <w:p>
            <w:pPr>
              <w:pStyle w:val="22"/>
              <w:topLinePunct/>
              <w:spacing w:line="360" w:lineRule="auto"/>
              <w:rPr>
                <w:rFonts w:hint="eastAsia" w:hAnsi="宋体" w:cs="宋体"/>
                <w:szCs w:val="21"/>
              </w:rPr>
            </w:pPr>
            <w:r>
              <w:rPr>
                <w:rFonts w:hint="eastAsia" w:hAnsi="宋体" w:cs="宋体"/>
                <w:sz w:val="21"/>
                <w:szCs w:val="21"/>
              </w:rPr>
              <w:t>2.投标文件密封包装；投标人必须按商务部分册、技术部分册、价格部分册分开密封包装，包装使用单层密封袋（箱），由投标人自备，袋（箱）开口处应用密封条进行密封并在骑缝处加盖投标人公章，密封条由投标人自行制作。未密封或密封不符合招标文件规定的投标文件将不予以签收。</w:t>
            </w:r>
          </w:p>
        </w:tc>
      </w:tr>
      <w:tr>
        <w:tblPrEx>
          <w:tblCellMar>
            <w:top w:w="0" w:type="dxa"/>
            <w:left w:w="108" w:type="dxa"/>
            <w:bottom w:w="0" w:type="dxa"/>
            <w:right w:w="108" w:type="dxa"/>
          </w:tblCellMar>
        </w:tblPrEx>
        <w:trPr>
          <w:trHeight w:val="20" w:hRule="atLeast"/>
          <w:jc w:val="center"/>
        </w:trPr>
        <w:tc>
          <w:tcPr>
            <w:tcW w:w="1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10.3</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投标文件格式</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szCs w:val="21"/>
              </w:rPr>
            </w:pPr>
            <w:r>
              <w:rPr>
                <w:rFonts w:hint="eastAsia" w:ascii="宋体" w:hAnsi="宋体" w:eastAsia="宋体" w:cs="宋体"/>
                <w:szCs w:val="21"/>
              </w:rPr>
              <w:t>投标文件的格式在招标文件第六章中予以明确，投标人应毫无例外地使用该格式编制投标文件（表格可按同样格式扩展和复制）；未有规定格式的，投标人可自行编制。</w:t>
            </w:r>
          </w:p>
          <w:p>
            <w:pPr>
              <w:spacing w:line="360" w:lineRule="auto"/>
              <w:jc w:val="both"/>
              <w:rPr>
                <w:rFonts w:hint="eastAsia" w:ascii="宋体" w:hAnsi="宋体" w:eastAsia="宋体" w:cs="宋体"/>
                <w:szCs w:val="21"/>
              </w:rPr>
            </w:pPr>
            <w:r>
              <w:rPr>
                <w:rFonts w:hint="eastAsia" w:ascii="宋体" w:hAnsi="宋体" w:eastAsia="宋体" w:cs="宋体"/>
                <w:szCs w:val="21"/>
              </w:rPr>
              <w:t>投标人应按招标文件要求的格式准确、详细、真实、完整地编制投标文件（包括提供有效的证明材料）。如果投标人在投标文件中提供的相关资料和信息存在虚假和伪造的情形，经招标人查证属实，招标人有权取消该投标人的投标资格，并被记入不良信誉档案。</w:t>
            </w:r>
          </w:p>
        </w:tc>
      </w:tr>
      <w:tr>
        <w:tblPrEx>
          <w:tblCellMar>
            <w:top w:w="0" w:type="dxa"/>
            <w:left w:w="108" w:type="dxa"/>
            <w:bottom w:w="0" w:type="dxa"/>
            <w:right w:w="108" w:type="dxa"/>
          </w:tblCellMar>
        </w:tblPrEx>
        <w:trPr>
          <w:trHeight w:val="20" w:hRule="atLeast"/>
          <w:jc w:val="center"/>
        </w:trPr>
        <w:tc>
          <w:tcPr>
            <w:tcW w:w="1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10.4</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开标</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szCs w:val="21"/>
              </w:rPr>
            </w:pPr>
            <w:r>
              <w:rPr>
                <w:rFonts w:hint="eastAsia" w:ascii="宋体" w:hAnsi="宋体" w:eastAsia="宋体" w:cs="宋体"/>
                <w:szCs w:val="21"/>
              </w:rPr>
              <w:t>开标日期及开标地点：</w:t>
            </w:r>
          </w:p>
          <w:p>
            <w:pPr>
              <w:spacing w:line="360" w:lineRule="auto"/>
              <w:jc w:val="both"/>
              <w:rPr>
                <w:rFonts w:hint="eastAsia" w:ascii="宋体" w:hAnsi="宋体" w:eastAsia="宋体" w:cs="宋体"/>
                <w:szCs w:val="21"/>
                <w:u w:val="single"/>
              </w:rPr>
            </w:pPr>
            <w:r>
              <w:rPr>
                <w:rFonts w:hint="eastAsia" w:ascii="宋体" w:hAnsi="宋体" w:eastAsia="宋体" w:cs="宋体"/>
                <w:szCs w:val="21"/>
              </w:rPr>
              <w:t>第一阶段开标时间</w:t>
            </w:r>
            <w:r>
              <w:rPr>
                <w:rFonts w:hint="eastAsia" w:ascii="宋体" w:hAnsi="宋体" w:eastAsia="宋体" w:cs="宋体"/>
                <w:szCs w:val="21"/>
                <w:highlight w:val="none"/>
              </w:rPr>
              <w:t>：</w:t>
            </w:r>
            <w:r>
              <w:rPr>
                <w:rFonts w:hint="eastAsia" w:ascii="宋体" w:hAnsi="宋体" w:eastAsia="宋体" w:cs="宋体"/>
                <w:szCs w:val="21"/>
                <w:highlight w:val="none"/>
                <w:u w:val="single"/>
              </w:rPr>
              <w:t>2024年</w:t>
            </w:r>
            <w:r>
              <w:rPr>
                <w:rFonts w:hint="eastAsia" w:ascii="宋体" w:hAnsi="宋体" w:eastAsia="宋体" w:cs="宋体"/>
                <w:szCs w:val="21"/>
                <w:highlight w:val="none"/>
                <w:u w:val="single"/>
                <w:lang w:eastAsia="zh-CN"/>
              </w:rPr>
              <w:t>05月31日</w:t>
            </w:r>
            <w:r>
              <w:rPr>
                <w:rFonts w:ascii="宋体" w:hAnsi="宋体" w:eastAsia="宋体" w:cs="宋体"/>
                <w:szCs w:val="21"/>
                <w:highlight w:val="none"/>
                <w:u w:val="single"/>
              </w:rPr>
              <w:t>14</w:t>
            </w:r>
            <w:r>
              <w:rPr>
                <w:rFonts w:hint="eastAsia" w:ascii="宋体" w:hAnsi="宋体" w:eastAsia="宋体" w:cs="宋体"/>
                <w:szCs w:val="21"/>
                <w:highlight w:val="none"/>
                <w:u w:val="single"/>
              </w:rPr>
              <w:t>时30分（北京时间）</w:t>
            </w:r>
          </w:p>
          <w:p>
            <w:pPr>
              <w:spacing w:line="360" w:lineRule="auto"/>
              <w:jc w:val="both"/>
              <w:rPr>
                <w:rFonts w:hint="eastAsia" w:ascii="宋体" w:hAnsi="宋体" w:eastAsia="宋体" w:cs="宋体"/>
                <w:szCs w:val="21"/>
                <w:u w:val="single"/>
              </w:rPr>
            </w:pPr>
            <w:r>
              <w:rPr>
                <w:rFonts w:hint="eastAsia" w:ascii="宋体" w:hAnsi="宋体" w:eastAsia="宋体" w:cs="宋体"/>
                <w:szCs w:val="21"/>
              </w:rPr>
              <w:t>第一阶段开标地点：</w:t>
            </w:r>
            <w:r>
              <w:rPr>
                <w:rFonts w:hint="eastAsia" w:ascii="宋体" w:hAnsi="宋体" w:eastAsia="宋体" w:cs="宋体"/>
                <w:szCs w:val="21"/>
                <w:u w:val="single"/>
              </w:rPr>
              <w:t>南通市通州区平潮镇南通轨道交通平东车辆段综合楼物资部410会议室（如有变动，另行通知）;</w:t>
            </w:r>
          </w:p>
          <w:p>
            <w:pPr>
              <w:spacing w:line="360" w:lineRule="auto"/>
              <w:jc w:val="both"/>
              <w:rPr>
                <w:rFonts w:hint="eastAsia" w:ascii="宋体" w:hAnsi="宋体" w:eastAsia="宋体" w:cs="宋体"/>
                <w:szCs w:val="21"/>
                <w:u w:val="single"/>
              </w:rPr>
            </w:pPr>
            <w:r>
              <w:rPr>
                <w:rFonts w:hint="eastAsia" w:ascii="宋体" w:hAnsi="宋体" w:eastAsia="宋体" w:cs="宋体"/>
                <w:szCs w:val="21"/>
              </w:rPr>
              <w:t>第二阶段开标时间：</w:t>
            </w:r>
            <w:r>
              <w:rPr>
                <w:rFonts w:hint="eastAsia" w:ascii="宋体" w:hAnsi="宋体" w:eastAsia="宋体" w:cs="宋体"/>
                <w:szCs w:val="21"/>
                <w:u w:val="single"/>
              </w:rPr>
              <w:t>待第一阶段开标时通知；</w:t>
            </w:r>
          </w:p>
          <w:p>
            <w:pPr>
              <w:spacing w:line="360" w:lineRule="auto"/>
              <w:jc w:val="both"/>
              <w:rPr>
                <w:rFonts w:hint="eastAsia" w:ascii="宋体" w:hAnsi="宋体" w:eastAsia="宋体" w:cs="宋体"/>
                <w:szCs w:val="21"/>
                <w:u w:val="single"/>
              </w:rPr>
            </w:pPr>
            <w:r>
              <w:rPr>
                <w:rFonts w:hint="eastAsia" w:ascii="宋体" w:hAnsi="宋体" w:eastAsia="宋体" w:cs="宋体"/>
                <w:szCs w:val="21"/>
              </w:rPr>
              <w:t>第二阶段开标地点：</w:t>
            </w:r>
            <w:r>
              <w:rPr>
                <w:rFonts w:hint="eastAsia" w:ascii="宋体" w:hAnsi="宋体" w:eastAsia="宋体" w:cs="宋体"/>
                <w:szCs w:val="21"/>
                <w:u w:val="single"/>
              </w:rPr>
              <w:t>待第一阶段开标时通知。</w:t>
            </w:r>
          </w:p>
        </w:tc>
      </w:tr>
      <w:tr>
        <w:tblPrEx>
          <w:tblCellMar>
            <w:top w:w="0" w:type="dxa"/>
            <w:left w:w="108" w:type="dxa"/>
            <w:bottom w:w="0" w:type="dxa"/>
            <w:right w:w="108" w:type="dxa"/>
          </w:tblCellMar>
        </w:tblPrEx>
        <w:trPr>
          <w:trHeight w:val="20" w:hRule="atLeast"/>
          <w:jc w:val="center"/>
        </w:trPr>
        <w:tc>
          <w:tcPr>
            <w:tcW w:w="1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10.5</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过程保密</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szCs w:val="21"/>
              </w:rPr>
            </w:pPr>
            <w:r>
              <w:rPr>
                <w:rFonts w:hint="eastAsia" w:ascii="宋体" w:hAnsi="宋体" w:eastAsia="宋体" w:cs="宋体"/>
                <w:szCs w:val="21"/>
              </w:rPr>
              <w:t>1.开标以后，直到公布授予合同为止，凡有关对投标文件的审查、评标工作，都在保密的情况下进行。任何有关的信息和资料，均不得向投标人或与上述工作无关的人员泄漏。</w:t>
            </w:r>
          </w:p>
          <w:p>
            <w:pPr>
              <w:spacing w:line="360" w:lineRule="auto"/>
              <w:jc w:val="both"/>
              <w:rPr>
                <w:rFonts w:hint="eastAsia" w:ascii="宋体" w:hAnsi="宋体" w:eastAsia="宋体" w:cs="宋体"/>
                <w:szCs w:val="21"/>
              </w:rPr>
            </w:pPr>
            <w:r>
              <w:rPr>
                <w:rFonts w:hint="eastAsia" w:ascii="宋体" w:hAnsi="宋体" w:eastAsia="宋体" w:cs="宋体"/>
                <w:szCs w:val="21"/>
              </w:rPr>
              <w:t>2.投标人在上述工作过程中对招标人施加影响的任何行为，都可能导致其投标资格被取消。</w:t>
            </w:r>
          </w:p>
        </w:tc>
      </w:tr>
      <w:tr>
        <w:tblPrEx>
          <w:tblCellMar>
            <w:top w:w="0" w:type="dxa"/>
            <w:left w:w="108" w:type="dxa"/>
            <w:bottom w:w="0" w:type="dxa"/>
            <w:right w:w="108" w:type="dxa"/>
          </w:tblCellMar>
        </w:tblPrEx>
        <w:trPr>
          <w:trHeight w:val="20" w:hRule="atLeast"/>
          <w:jc w:val="center"/>
        </w:trPr>
        <w:tc>
          <w:tcPr>
            <w:tcW w:w="1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10.6</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版权</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szCs w:val="21"/>
              </w:rPr>
            </w:pPr>
            <w:r>
              <w:rPr>
                <w:rFonts w:hint="eastAsia" w:ascii="宋体" w:hAnsi="宋体" w:eastAsia="宋体" w:cs="宋体"/>
                <w:szCs w:val="21"/>
              </w:rPr>
              <w:t>1.中标人对于由其所编制的所有文件拥有版权，招标人拥有相应的使用权。</w:t>
            </w:r>
          </w:p>
          <w:p>
            <w:pPr>
              <w:spacing w:line="360" w:lineRule="auto"/>
              <w:jc w:val="both"/>
              <w:rPr>
                <w:rFonts w:hint="eastAsia" w:ascii="宋体" w:hAnsi="宋体" w:eastAsia="宋体" w:cs="宋体"/>
                <w:szCs w:val="21"/>
              </w:rPr>
            </w:pPr>
            <w:r>
              <w:rPr>
                <w:rFonts w:hint="eastAsia" w:ascii="宋体" w:hAnsi="宋体" w:eastAsia="宋体" w:cs="宋体"/>
                <w:szCs w:val="21"/>
              </w:rPr>
              <w:t>2.招标人为本项目的实施，有权使用、复制、印刷、展览及出版此类文件，在此情况下不需取得中标人的许可。中标人不得以知识产权为由，向招标人索取报酬或提出索赔。</w:t>
            </w:r>
          </w:p>
          <w:p>
            <w:pPr>
              <w:spacing w:line="360" w:lineRule="auto"/>
              <w:jc w:val="both"/>
              <w:rPr>
                <w:rFonts w:hint="eastAsia" w:ascii="宋体" w:hAnsi="宋体" w:eastAsia="宋体" w:cs="宋体"/>
                <w:szCs w:val="21"/>
              </w:rPr>
            </w:pPr>
            <w:r>
              <w:rPr>
                <w:rFonts w:hint="eastAsia" w:ascii="宋体" w:hAnsi="宋体" w:eastAsia="宋体" w:cs="宋体"/>
                <w:szCs w:val="21"/>
              </w:rPr>
              <w:t>3.中标人可单独或与他人联合出版有关工程和服务的资料，但应得到招标人的书面许可。</w:t>
            </w:r>
          </w:p>
        </w:tc>
      </w:tr>
      <w:tr>
        <w:tblPrEx>
          <w:tblCellMar>
            <w:top w:w="0" w:type="dxa"/>
            <w:left w:w="108" w:type="dxa"/>
            <w:bottom w:w="0" w:type="dxa"/>
            <w:right w:w="108" w:type="dxa"/>
          </w:tblCellMar>
        </w:tblPrEx>
        <w:trPr>
          <w:trHeight w:val="20" w:hRule="atLeast"/>
          <w:jc w:val="center"/>
        </w:trPr>
        <w:tc>
          <w:tcPr>
            <w:tcW w:w="1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10.7</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rPr>
              <w:t>同义词语</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szCs w:val="21"/>
              </w:rPr>
            </w:pPr>
            <w:r>
              <w:rPr>
                <w:rFonts w:hint="eastAsia" w:ascii="宋体" w:hAnsi="宋体" w:eastAsia="宋体" w:cs="宋体"/>
                <w:szCs w:val="21"/>
              </w:rPr>
              <w:t>构成招标文件组成部分的“通用合同条款”、“专用合同条款”、“技术标准和要求”和“工程量清单”等章节中出现的措辞“发包人”和“承包人”，在招标投标阶段应当分别按“招标人”和“投标人”进行理解。</w:t>
            </w:r>
          </w:p>
          <w:p>
            <w:pPr>
              <w:spacing w:line="360" w:lineRule="auto"/>
              <w:jc w:val="both"/>
              <w:rPr>
                <w:rFonts w:hint="eastAsia" w:ascii="宋体" w:hAnsi="宋体" w:eastAsia="宋体" w:cs="宋体"/>
                <w:szCs w:val="21"/>
              </w:rPr>
            </w:pPr>
            <w:r>
              <w:rPr>
                <w:rFonts w:hint="eastAsia" w:ascii="宋体" w:hAnsi="宋体" w:eastAsia="宋体" w:cs="宋体"/>
                <w:szCs w:val="21"/>
              </w:rPr>
              <w:t>招标文件中“项目负责人”和“技术负责人”分别与《用户需求书》中“项目经理”和“项目总工”同义。</w:t>
            </w:r>
          </w:p>
        </w:tc>
      </w:tr>
      <w:tr>
        <w:tblPrEx>
          <w:tblCellMar>
            <w:top w:w="0" w:type="dxa"/>
            <w:left w:w="108" w:type="dxa"/>
            <w:bottom w:w="0" w:type="dxa"/>
            <w:right w:w="108" w:type="dxa"/>
          </w:tblCellMar>
        </w:tblPrEx>
        <w:trPr>
          <w:trHeight w:val="20" w:hRule="atLeast"/>
          <w:jc w:val="center"/>
        </w:trPr>
        <w:tc>
          <w:tcPr>
            <w:tcW w:w="1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10.8</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rPr>
            </w:pPr>
            <w:r>
              <w:rPr>
                <w:rFonts w:hint="eastAsia" w:ascii="宋体" w:hAnsi="宋体" w:eastAsia="宋体" w:cs="宋体"/>
              </w:rPr>
              <w:t>解释权</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rPr>
            </w:pPr>
            <w:r>
              <w:rPr>
                <w:rFonts w:hint="eastAsia" w:ascii="宋体" w:hAnsi="宋体" w:eastAsia="宋体" w:cs="宋体"/>
              </w:rPr>
              <w:t>解释权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CellMar>
            <w:top w:w="0" w:type="dxa"/>
            <w:left w:w="108" w:type="dxa"/>
            <w:bottom w:w="0" w:type="dxa"/>
            <w:right w:w="108" w:type="dxa"/>
          </w:tblCellMar>
        </w:tblPrEx>
        <w:trPr>
          <w:trHeight w:val="20" w:hRule="atLeast"/>
          <w:jc w:val="center"/>
        </w:trPr>
        <w:tc>
          <w:tcPr>
            <w:tcW w:w="1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10.9</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rPr>
            </w:pPr>
            <w:r>
              <w:rPr>
                <w:rFonts w:hint="eastAsia" w:ascii="宋体" w:hAnsi="宋体" w:eastAsia="宋体" w:cs="宋体"/>
              </w:rPr>
              <w:t>重要说明</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pStyle w:val="359"/>
              <w:adjustRightInd/>
              <w:snapToGrid/>
              <w:spacing w:line="360" w:lineRule="auto"/>
              <w:rPr>
                <w:rFonts w:hint="eastAsia"/>
              </w:rPr>
            </w:pPr>
            <w:r>
              <w:rPr>
                <w:rFonts w:hint="eastAsia"/>
              </w:rPr>
              <w:t>投标人或者其他利害关系人对于招标投标活动提出异议或投诉的，应当按照《中华人民共和国招标投标法实施条例》、《工程建设项目招标投标活动投诉处理办法》的规定进行。</w:t>
            </w:r>
          </w:p>
          <w:p>
            <w:pPr>
              <w:pStyle w:val="359"/>
              <w:adjustRightInd/>
              <w:snapToGrid/>
              <w:spacing w:line="360" w:lineRule="auto"/>
              <w:rPr>
                <w:rFonts w:hint="eastAsia"/>
              </w:rPr>
            </w:pPr>
            <w:r>
              <w:rPr>
                <w:rFonts w:hint="eastAsia"/>
              </w:rPr>
              <w:t>异议函或投诉书未署具异议人或投诉人真实姓名、签字和有效联系方式的，不予受理；以法人名义进行异议或投诉的，异议函或投诉书未经法定代表人签字并加盖公章的，不予受理。</w:t>
            </w:r>
          </w:p>
          <w:p>
            <w:pPr>
              <w:pStyle w:val="359"/>
              <w:adjustRightInd/>
              <w:snapToGrid/>
              <w:spacing w:line="360" w:lineRule="auto"/>
              <w:rPr>
                <w:rFonts w:hint="eastAsia"/>
              </w:rPr>
            </w:pPr>
            <w:r>
              <w:rPr>
                <w:rFonts w:hint="eastAsia"/>
              </w:rPr>
              <w:t>投标人或者其他利害关系人捏造事实、伪造材料或者以非法手段取得证明材料进行投诉，给他人造成损失的，依法承担赔偿责任。同时将被列入不良记录名单，在一至三年内禁止其参与招标人所有项目的招投标活动。</w:t>
            </w:r>
          </w:p>
        </w:tc>
      </w:tr>
      <w:tr>
        <w:tblPrEx>
          <w:tblCellMar>
            <w:top w:w="0" w:type="dxa"/>
            <w:left w:w="108" w:type="dxa"/>
            <w:bottom w:w="0" w:type="dxa"/>
            <w:right w:w="108" w:type="dxa"/>
          </w:tblCellMar>
        </w:tblPrEx>
        <w:trPr>
          <w:trHeight w:val="20" w:hRule="atLeast"/>
          <w:jc w:val="center"/>
        </w:trPr>
        <w:tc>
          <w:tcPr>
            <w:tcW w:w="1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10.10</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pStyle w:val="19"/>
              <w:spacing w:line="360" w:lineRule="auto"/>
              <w:jc w:val="center"/>
              <w:rPr>
                <w:rFonts w:hint="eastAsia" w:ascii="宋体" w:hAnsi="宋体" w:eastAsia="宋体" w:cs="宋体"/>
              </w:rPr>
            </w:pPr>
            <w:r>
              <w:rPr>
                <w:rFonts w:hint="eastAsia" w:ascii="宋体" w:hAnsi="宋体" w:eastAsia="宋体" w:cs="宋体"/>
              </w:rPr>
              <w:t>词语定义</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pStyle w:val="19"/>
              <w:spacing w:line="360" w:lineRule="auto"/>
              <w:jc w:val="both"/>
              <w:rPr>
                <w:rFonts w:hint="eastAsia" w:ascii="宋体" w:hAnsi="宋体" w:eastAsia="宋体" w:cs="宋体"/>
              </w:rPr>
            </w:pPr>
            <w:r>
              <w:rPr>
                <w:rFonts w:hint="eastAsia" w:ascii="宋体" w:hAnsi="宋体" w:eastAsia="宋体" w:cs="宋体"/>
                <w:kern w:val="2"/>
                <w:szCs w:val="21"/>
              </w:rPr>
              <w:t>本招标文件中出现的关于</w:t>
            </w:r>
            <w:r>
              <w:rPr>
                <w:rFonts w:hint="eastAsia" w:ascii="宋体" w:hAnsi="宋体" w:eastAsia="宋体" w:cs="宋体"/>
                <w:b/>
                <w:bCs/>
                <w:kern w:val="2"/>
                <w:szCs w:val="21"/>
                <w:u w:val="single"/>
              </w:rPr>
              <w:t>城市轨道交通</w:t>
            </w:r>
            <w:r>
              <w:rPr>
                <w:rFonts w:hint="eastAsia" w:ascii="宋体" w:hAnsi="宋体" w:eastAsia="宋体" w:cs="宋体"/>
                <w:kern w:val="2"/>
                <w:szCs w:val="21"/>
              </w:rPr>
              <w:t>的名词术语，招标文件未另行规定的，应根据中华人民共和国行业标准《城市公共交通分类标准（CJJ-T 114-2007）》的规定来解释（城市轨道交通含地铁系统、轻轨系统、单轨系统、有轨电车、磁浮系统、自动导向轨道系统及市域快速轨道系统）。</w:t>
            </w:r>
          </w:p>
        </w:tc>
      </w:tr>
      <w:tr>
        <w:tblPrEx>
          <w:tblCellMar>
            <w:top w:w="0" w:type="dxa"/>
            <w:left w:w="108" w:type="dxa"/>
            <w:bottom w:w="0" w:type="dxa"/>
            <w:right w:w="108" w:type="dxa"/>
          </w:tblCellMar>
        </w:tblPrEx>
        <w:trPr>
          <w:trHeight w:val="20" w:hRule="atLeast"/>
          <w:jc w:val="center"/>
        </w:trPr>
        <w:tc>
          <w:tcPr>
            <w:tcW w:w="1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10.11</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pStyle w:val="19"/>
              <w:spacing w:line="360" w:lineRule="auto"/>
              <w:jc w:val="center"/>
              <w:rPr>
                <w:rFonts w:hint="eastAsia" w:ascii="宋体" w:hAnsi="宋体" w:eastAsia="宋体" w:cs="宋体"/>
              </w:rPr>
            </w:pPr>
            <w:r>
              <w:rPr>
                <w:rFonts w:hint="eastAsia" w:ascii="宋体" w:hAnsi="宋体" w:eastAsia="宋体" w:cs="宋体"/>
                <w:bCs/>
                <w:szCs w:val="21"/>
              </w:rPr>
              <w:t>投诉与监督</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bCs/>
                <w:szCs w:val="21"/>
              </w:rPr>
            </w:pPr>
            <w:r>
              <w:rPr>
                <w:rFonts w:hint="eastAsia" w:ascii="宋体" w:hAnsi="宋体" w:eastAsia="宋体" w:cs="宋体"/>
                <w:bCs/>
                <w:szCs w:val="21"/>
              </w:rPr>
              <w:t>1、招投标活动异议受理</w:t>
            </w:r>
          </w:p>
          <w:p>
            <w:pPr>
              <w:spacing w:line="360" w:lineRule="auto"/>
              <w:jc w:val="both"/>
              <w:rPr>
                <w:rFonts w:hint="eastAsia" w:ascii="宋体" w:hAnsi="宋体" w:eastAsia="宋体" w:cs="宋体"/>
                <w:bCs/>
                <w:szCs w:val="21"/>
              </w:rPr>
            </w:pPr>
            <w:r>
              <w:rPr>
                <w:rFonts w:hint="eastAsia" w:ascii="宋体" w:hAnsi="宋体" w:eastAsia="宋体" w:cs="宋体"/>
                <w:bCs/>
                <w:szCs w:val="21"/>
              </w:rPr>
              <w:t>招标人内部监督部门：</w:t>
            </w:r>
            <w:r>
              <w:rPr>
                <w:rFonts w:hint="eastAsia"/>
                <w:u w:val="single"/>
              </w:rPr>
              <w:t>南通轨道交通集团有限公司运营分公司纪检监督部</w:t>
            </w:r>
          </w:p>
          <w:p>
            <w:pPr>
              <w:spacing w:line="360" w:lineRule="auto"/>
              <w:jc w:val="both"/>
              <w:rPr>
                <w:rFonts w:hint="eastAsia" w:ascii="宋体" w:hAnsi="宋体" w:eastAsia="宋体" w:cs="宋体"/>
                <w:bCs/>
                <w:szCs w:val="21"/>
              </w:rPr>
            </w:pPr>
            <w:r>
              <w:rPr>
                <w:rFonts w:hint="eastAsia" w:ascii="宋体" w:hAnsi="宋体" w:eastAsia="宋体" w:cs="宋体"/>
                <w:bCs/>
                <w:szCs w:val="21"/>
              </w:rPr>
              <w:t>联系方式：</w:t>
            </w:r>
            <w:r>
              <w:rPr>
                <w:rFonts w:hint="eastAsia"/>
                <w:u w:val="single"/>
              </w:rPr>
              <w:t>0513-69888665</w:t>
            </w:r>
          </w:p>
          <w:p>
            <w:pPr>
              <w:spacing w:line="360" w:lineRule="auto"/>
              <w:jc w:val="both"/>
              <w:rPr>
                <w:rFonts w:hint="eastAsia"/>
                <w:kern w:val="2"/>
                <w:szCs w:val="21"/>
                <w:u w:val="single"/>
              </w:rPr>
            </w:pPr>
            <w:r>
              <w:rPr>
                <w:rFonts w:hint="eastAsia" w:ascii="宋体" w:hAnsi="宋体" w:eastAsia="宋体" w:cs="宋体"/>
                <w:bCs/>
                <w:szCs w:val="21"/>
              </w:rPr>
              <w:t>通信地址：</w:t>
            </w:r>
            <w:r>
              <w:rPr>
                <w:rFonts w:hint="eastAsia"/>
                <w:kern w:val="2"/>
                <w:szCs w:val="21"/>
                <w:u w:val="single"/>
              </w:rPr>
              <w:t>南通市通州区平潮镇南通轨道交通平东车辆段综合楼5楼</w:t>
            </w:r>
          </w:p>
          <w:p>
            <w:pPr>
              <w:spacing w:line="360" w:lineRule="auto"/>
              <w:jc w:val="both"/>
              <w:rPr>
                <w:rFonts w:hint="eastAsia" w:ascii="宋体" w:hAnsi="宋体" w:eastAsia="宋体" w:cs="宋体"/>
                <w:bCs/>
                <w:szCs w:val="21"/>
              </w:rPr>
            </w:pPr>
            <w:r>
              <w:rPr>
                <w:rFonts w:hint="eastAsia" w:ascii="宋体" w:hAnsi="宋体" w:eastAsia="宋体" w:cs="宋体"/>
                <w:bCs/>
                <w:szCs w:val="21"/>
              </w:rPr>
              <w:t>备注：投标人或者其他利害关系人对于招标投标活动提出异议或投诉的，应当按照《中华人民共和国招标投标法实施条例》、《工程建设项目招标投标活动投诉处理办法》的规定进行。</w:t>
            </w:r>
          </w:p>
          <w:p>
            <w:pPr>
              <w:pStyle w:val="19"/>
              <w:spacing w:line="360" w:lineRule="auto"/>
              <w:jc w:val="both"/>
              <w:rPr>
                <w:rFonts w:hint="eastAsia" w:ascii="宋体" w:hAnsi="宋体" w:eastAsia="宋体" w:cs="宋体"/>
              </w:rPr>
            </w:pPr>
            <w:r>
              <w:rPr>
                <w:rFonts w:hint="eastAsia" w:ascii="宋体" w:hAnsi="宋体" w:eastAsia="宋体" w:cs="宋体"/>
                <w:bCs/>
                <w:szCs w:val="21"/>
              </w:rPr>
              <w:t>异议函或投诉书未署具异议人或投诉人真实姓名、签字和有效联系方式的，不予受理；以法人名义进行异议或投诉的，异议函或投诉书未经法定代表人签字并加盖公章的，不予受理（异议函的格式详见《江苏省房屋建筑和市政基础设施工程招标投标活动异议与投诉处理实施办法》）。</w:t>
            </w:r>
          </w:p>
        </w:tc>
      </w:tr>
      <w:tr>
        <w:tblPrEx>
          <w:tblCellMar>
            <w:top w:w="0" w:type="dxa"/>
            <w:left w:w="108" w:type="dxa"/>
            <w:bottom w:w="0" w:type="dxa"/>
            <w:right w:w="108" w:type="dxa"/>
          </w:tblCellMar>
        </w:tblPrEx>
        <w:trPr>
          <w:trHeight w:val="20" w:hRule="atLeast"/>
          <w:jc w:val="center"/>
        </w:trPr>
        <w:tc>
          <w:tcPr>
            <w:tcW w:w="1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10.12</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pStyle w:val="19"/>
              <w:spacing w:line="360" w:lineRule="auto"/>
              <w:jc w:val="center"/>
              <w:rPr>
                <w:rFonts w:hint="eastAsia" w:ascii="宋体" w:hAnsi="宋体" w:eastAsia="宋体" w:cs="宋体"/>
              </w:rPr>
            </w:pPr>
            <w:r>
              <w:rPr>
                <w:rFonts w:hint="eastAsia" w:ascii="宋体" w:hAnsi="宋体" w:eastAsia="宋体" w:cs="宋体"/>
              </w:rPr>
              <w:t>企业重组</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pStyle w:val="19"/>
              <w:spacing w:line="360" w:lineRule="auto"/>
              <w:jc w:val="both"/>
              <w:rPr>
                <w:rFonts w:hint="eastAsia" w:ascii="宋体" w:hAnsi="宋体" w:eastAsia="宋体" w:cs="宋体"/>
                <w:kern w:val="2"/>
                <w:szCs w:val="21"/>
              </w:rPr>
            </w:pPr>
            <w:r>
              <w:rPr>
                <w:rFonts w:hint="eastAsia" w:ascii="宋体" w:hAnsi="宋体" w:eastAsia="宋体" w:cs="宋体"/>
                <w:kern w:val="2"/>
                <w:szCs w:val="21"/>
              </w:rPr>
              <w:t>1.重组方式注册的新企业其工程业绩按以下原则评定：</w:t>
            </w:r>
          </w:p>
          <w:p>
            <w:pPr>
              <w:pStyle w:val="19"/>
              <w:spacing w:line="360" w:lineRule="auto"/>
              <w:jc w:val="both"/>
              <w:rPr>
                <w:rFonts w:hint="eastAsia" w:ascii="宋体" w:hAnsi="宋体" w:eastAsia="宋体" w:cs="宋体"/>
                <w:kern w:val="2"/>
                <w:szCs w:val="21"/>
              </w:rPr>
            </w:pPr>
            <w:r>
              <w:rPr>
                <w:rFonts w:hint="eastAsia" w:ascii="宋体" w:hAnsi="宋体" w:eastAsia="宋体" w:cs="宋体"/>
                <w:kern w:val="2"/>
                <w:szCs w:val="21"/>
              </w:rPr>
              <w:t>重组并入新企业的公司在新企业注册成立前（以新企业法人营业执照发证时间为准）实施的工程，可以认定为新企业业绩，并在开标时提供以下资料：</w:t>
            </w:r>
          </w:p>
          <w:p>
            <w:pPr>
              <w:pStyle w:val="19"/>
              <w:numPr>
                <w:ilvl w:val="0"/>
                <w:numId w:val="10"/>
              </w:numPr>
              <w:spacing w:line="360" w:lineRule="auto"/>
              <w:jc w:val="both"/>
              <w:rPr>
                <w:rFonts w:hint="eastAsia" w:ascii="宋体" w:hAnsi="宋体" w:eastAsia="宋体" w:cs="宋体"/>
                <w:kern w:val="2"/>
                <w:szCs w:val="21"/>
              </w:rPr>
            </w:pPr>
            <w:r>
              <w:rPr>
                <w:rFonts w:hint="eastAsia" w:ascii="宋体" w:hAnsi="宋体" w:eastAsia="宋体" w:cs="宋体"/>
                <w:kern w:val="2"/>
                <w:szCs w:val="21"/>
              </w:rPr>
              <w:t>投标人关于新企业重组情况的说明；</w:t>
            </w:r>
          </w:p>
          <w:p>
            <w:pPr>
              <w:pStyle w:val="19"/>
              <w:numPr>
                <w:ilvl w:val="0"/>
                <w:numId w:val="10"/>
              </w:numPr>
              <w:spacing w:line="360" w:lineRule="auto"/>
              <w:jc w:val="both"/>
              <w:rPr>
                <w:rFonts w:hint="eastAsia" w:ascii="宋体" w:hAnsi="宋体" w:eastAsia="宋体" w:cs="宋体"/>
                <w:kern w:val="2"/>
                <w:szCs w:val="21"/>
              </w:rPr>
            </w:pPr>
            <w:r>
              <w:rPr>
                <w:rFonts w:hint="eastAsia" w:ascii="宋体" w:hAnsi="宋体" w:eastAsia="宋体" w:cs="宋体"/>
                <w:kern w:val="2"/>
                <w:szCs w:val="21"/>
              </w:rPr>
              <w:t>证明投标人通过重组方式成立的相关文件；</w:t>
            </w:r>
          </w:p>
          <w:p>
            <w:pPr>
              <w:pStyle w:val="19"/>
              <w:numPr>
                <w:ilvl w:val="0"/>
                <w:numId w:val="10"/>
              </w:numPr>
              <w:spacing w:line="360" w:lineRule="auto"/>
              <w:jc w:val="both"/>
              <w:rPr>
                <w:rFonts w:hint="eastAsia" w:ascii="宋体" w:hAnsi="宋体" w:eastAsia="宋体" w:cs="宋体"/>
                <w:kern w:val="2"/>
                <w:szCs w:val="21"/>
              </w:rPr>
            </w:pPr>
            <w:r>
              <w:rPr>
                <w:rFonts w:hint="eastAsia" w:ascii="宋体" w:hAnsi="宋体" w:eastAsia="宋体" w:cs="宋体"/>
                <w:kern w:val="2"/>
                <w:szCs w:val="21"/>
              </w:rPr>
              <w:t>工程的中标通知书、施工合同及工程竣工验收文件（或备案文件）或者业主证明等；</w:t>
            </w:r>
          </w:p>
          <w:p>
            <w:pPr>
              <w:pStyle w:val="19"/>
              <w:numPr>
                <w:ilvl w:val="0"/>
                <w:numId w:val="10"/>
              </w:numPr>
              <w:spacing w:line="360" w:lineRule="auto"/>
              <w:jc w:val="both"/>
              <w:rPr>
                <w:rFonts w:hint="eastAsia" w:ascii="宋体" w:hAnsi="宋体" w:eastAsia="宋体" w:cs="宋体"/>
                <w:kern w:val="2"/>
                <w:szCs w:val="21"/>
              </w:rPr>
            </w:pPr>
            <w:r>
              <w:rPr>
                <w:rFonts w:hint="eastAsia" w:ascii="宋体" w:hAnsi="宋体" w:eastAsia="宋体" w:cs="宋体"/>
                <w:kern w:val="2"/>
                <w:szCs w:val="21"/>
              </w:rPr>
              <w:t>重组后继续完成的工程项目，还应当同时提供业主（须与该项目施工合同中项目业主一致）出具的该工程由重组后新企业实施的证明材料。</w:t>
            </w:r>
          </w:p>
          <w:p>
            <w:pPr>
              <w:pStyle w:val="19"/>
              <w:spacing w:line="360" w:lineRule="auto"/>
              <w:jc w:val="both"/>
              <w:rPr>
                <w:rFonts w:hint="eastAsia" w:ascii="宋体" w:hAnsi="宋体" w:eastAsia="宋体" w:cs="宋体"/>
                <w:kern w:val="2"/>
                <w:szCs w:val="21"/>
              </w:rPr>
            </w:pPr>
            <w:r>
              <w:rPr>
                <w:rFonts w:hint="eastAsia" w:ascii="宋体" w:hAnsi="宋体" w:eastAsia="宋体" w:cs="宋体"/>
                <w:kern w:val="2"/>
                <w:szCs w:val="21"/>
              </w:rPr>
              <w:t>以上资料须同时提供，业绩证明材料符合本办法规定的业绩认定要求，否则相关业绩不予认可。</w:t>
            </w:r>
          </w:p>
          <w:p>
            <w:pPr>
              <w:pStyle w:val="19"/>
              <w:spacing w:line="360" w:lineRule="auto"/>
              <w:jc w:val="both"/>
              <w:rPr>
                <w:rFonts w:hint="eastAsia" w:ascii="宋体" w:hAnsi="宋体" w:eastAsia="宋体" w:cs="宋体"/>
              </w:rPr>
            </w:pPr>
            <w:r>
              <w:rPr>
                <w:rFonts w:hint="eastAsia" w:ascii="宋体" w:hAnsi="宋体" w:eastAsia="宋体" w:cs="宋体"/>
                <w:kern w:val="2"/>
                <w:szCs w:val="21"/>
              </w:rPr>
              <w:t>2.名称变更的企业参与投标，应当提供注册地工商行政主管部门出具的企业名称变更的证明材料，否则名称变更前的企业业绩不予认可。</w:t>
            </w:r>
          </w:p>
        </w:tc>
      </w:tr>
      <w:tr>
        <w:tblPrEx>
          <w:tblCellMar>
            <w:top w:w="0" w:type="dxa"/>
            <w:left w:w="108" w:type="dxa"/>
            <w:bottom w:w="0" w:type="dxa"/>
            <w:right w:w="108" w:type="dxa"/>
          </w:tblCellMar>
        </w:tblPrEx>
        <w:trPr>
          <w:trHeight w:val="20" w:hRule="atLeast"/>
          <w:jc w:val="center"/>
        </w:trPr>
        <w:tc>
          <w:tcPr>
            <w:tcW w:w="1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10.13</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pStyle w:val="19"/>
              <w:spacing w:line="360" w:lineRule="auto"/>
              <w:jc w:val="center"/>
              <w:rPr>
                <w:rFonts w:hint="eastAsia" w:ascii="宋体" w:hAnsi="宋体" w:eastAsia="宋体" w:cs="宋体"/>
              </w:rPr>
            </w:pPr>
            <w:r>
              <w:rPr>
                <w:rFonts w:hint="eastAsia" w:ascii="宋体" w:hAnsi="宋体" w:eastAsia="宋体" w:cs="宋体"/>
              </w:rPr>
              <w:t>合同签订</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pStyle w:val="19"/>
              <w:spacing w:line="360" w:lineRule="auto"/>
              <w:jc w:val="both"/>
              <w:rPr>
                <w:rFonts w:hint="eastAsia" w:ascii="宋体" w:hAnsi="宋体" w:eastAsia="宋体" w:cs="宋体"/>
                <w:kern w:val="2"/>
                <w:szCs w:val="21"/>
              </w:rPr>
            </w:pPr>
            <w:r>
              <w:rPr>
                <w:rFonts w:hint="eastAsia" w:ascii="宋体" w:hAnsi="宋体" w:eastAsia="宋体" w:cs="宋体"/>
                <w:kern w:val="2"/>
                <w:szCs w:val="21"/>
              </w:rPr>
              <w:t>本合同和南通轨道交通集团有限公司运营分公司签订。</w:t>
            </w:r>
          </w:p>
        </w:tc>
      </w:tr>
    </w:tbl>
    <w:p/>
    <w:p>
      <w:pPr>
        <w:rPr>
          <w:rFonts w:eastAsia="黑体"/>
          <w:b/>
          <w:bCs/>
          <w:sz w:val="32"/>
          <w:szCs w:val="32"/>
        </w:rPr>
      </w:pPr>
      <w:r>
        <w:br w:type="page"/>
      </w:r>
      <w:bookmarkStart w:id="178" w:name="_Toc3707"/>
      <w:bookmarkStart w:id="179" w:name="_Toc28670"/>
      <w:bookmarkStart w:id="180" w:name="_Toc15114"/>
      <w:bookmarkStart w:id="181" w:name="_Toc3345"/>
      <w:bookmarkStart w:id="182" w:name="_Toc24227"/>
      <w:bookmarkStart w:id="183" w:name="_Toc1399"/>
      <w:bookmarkStart w:id="184" w:name="_Toc29514"/>
      <w:bookmarkStart w:id="185" w:name="_Toc4763"/>
      <w:bookmarkStart w:id="186" w:name="_Toc23635"/>
      <w:bookmarkStart w:id="187" w:name="_Toc514430354"/>
      <w:bookmarkStart w:id="188" w:name="_Toc7460"/>
      <w:bookmarkStart w:id="189" w:name="_Toc29743"/>
      <w:bookmarkStart w:id="190" w:name="_Toc1034"/>
      <w:bookmarkStart w:id="191" w:name="_Toc18463"/>
      <w:r>
        <w:rPr>
          <w:rFonts w:eastAsia="黑体"/>
          <w:b/>
          <w:bCs/>
          <w:sz w:val="32"/>
          <w:szCs w:val="32"/>
        </w:rPr>
        <w:t>总则</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pPr>
        <w:keepNext/>
        <w:keepLines/>
        <w:widowControl w:val="0"/>
        <w:numPr>
          <w:ilvl w:val="1"/>
          <w:numId w:val="11"/>
        </w:numPr>
        <w:spacing w:line="360" w:lineRule="auto"/>
        <w:ind w:left="105" w:leftChars="50" w:firstLine="0"/>
        <w:textAlignment w:val="center"/>
        <w:outlineLvl w:val="2"/>
        <w:rPr>
          <w:rFonts w:eastAsia="黑体"/>
          <w:kern w:val="2"/>
          <w:sz w:val="28"/>
          <w:szCs w:val="28"/>
        </w:rPr>
      </w:pPr>
      <w:bookmarkStart w:id="192" w:name="_Toc54372560"/>
      <w:bookmarkStart w:id="193" w:name="_Toc54371976"/>
      <w:bookmarkStart w:id="194" w:name="_Toc13090"/>
      <w:bookmarkStart w:id="195" w:name="_Toc54372142"/>
      <w:bookmarkStart w:id="196" w:name="_Toc25425"/>
      <w:bookmarkStart w:id="197" w:name="_Toc27371"/>
      <w:bookmarkStart w:id="198" w:name="_Toc24001"/>
      <w:bookmarkStart w:id="199" w:name="_Toc3333"/>
      <w:bookmarkStart w:id="200" w:name="_Toc26108283"/>
      <w:bookmarkStart w:id="201" w:name="_Toc55654433"/>
      <w:bookmarkStart w:id="202" w:name="_Toc54330885"/>
      <w:bookmarkStart w:id="203" w:name="_Toc24120"/>
      <w:bookmarkStart w:id="204" w:name="_Toc54329056"/>
      <w:bookmarkStart w:id="205" w:name="_Toc2812"/>
      <w:bookmarkStart w:id="206" w:name="_Toc55707566"/>
      <w:bookmarkStart w:id="207" w:name="_Toc25947971"/>
      <w:bookmarkStart w:id="208" w:name="_Toc56141785"/>
      <w:bookmarkStart w:id="209" w:name="_Toc3853"/>
      <w:bookmarkStart w:id="210" w:name="_Toc20007"/>
      <w:bookmarkStart w:id="211" w:name="_Toc59900860"/>
      <w:bookmarkStart w:id="212" w:name="_Toc56138975"/>
      <w:bookmarkStart w:id="213" w:name="_Toc17049"/>
      <w:bookmarkStart w:id="214" w:name="_Toc467764182"/>
      <w:bookmarkStart w:id="215" w:name="_Toc55705061"/>
      <w:bookmarkStart w:id="216" w:name="_Toc1099"/>
      <w:bookmarkStart w:id="217" w:name="_Toc55639298"/>
      <w:bookmarkStart w:id="218" w:name="_Toc54318866"/>
      <w:bookmarkStart w:id="219" w:name="_Toc30421"/>
      <w:bookmarkStart w:id="220" w:name="_Toc2026"/>
      <w:bookmarkStart w:id="221" w:name="_Toc18169"/>
      <w:bookmarkStart w:id="222" w:name="_Toc54368791"/>
      <w:bookmarkStart w:id="223" w:name="_Toc59896589"/>
      <w:bookmarkStart w:id="224" w:name="_Toc56153747"/>
      <w:bookmarkStart w:id="225" w:name="_Toc19246"/>
      <w:bookmarkStart w:id="226" w:name="_Toc455145883"/>
      <w:bookmarkStart w:id="227" w:name="_Toc514430355"/>
      <w:bookmarkStart w:id="228" w:name="_Toc23583"/>
      <w:bookmarkStart w:id="229" w:name="_Toc56409000"/>
      <w:r>
        <w:rPr>
          <w:rFonts w:eastAsia="黑体"/>
          <w:kern w:val="2"/>
          <w:sz w:val="28"/>
          <w:szCs w:val="28"/>
        </w:rPr>
        <w:t>项目概况</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pPr>
        <w:numPr>
          <w:ilvl w:val="2"/>
          <w:numId w:val="11"/>
        </w:numPr>
        <w:tabs>
          <w:tab w:val="left" w:pos="993"/>
        </w:tabs>
        <w:spacing w:line="360" w:lineRule="auto"/>
        <w:ind w:left="0" w:firstLine="420" w:firstLineChars="200"/>
        <w:rPr>
          <w:rFonts w:eastAsia="宋体"/>
          <w:szCs w:val="21"/>
        </w:rPr>
      </w:pPr>
      <w:r>
        <w:rPr>
          <w:rFonts w:eastAsia="宋体"/>
          <w:szCs w:val="21"/>
        </w:rPr>
        <w:t>根据《中华人民共和国招标投标法》、《中华人民共和国招标投标法实施条例》等有关法律、法规和规章的规定，本招标项目已具备招标条件，现对</w:t>
      </w:r>
      <w:r>
        <w:rPr>
          <w:rFonts w:hint="eastAsia" w:eastAsia="宋体"/>
          <w:szCs w:val="21"/>
        </w:rPr>
        <w:t>项目</w:t>
      </w:r>
      <w:r>
        <w:rPr>
          <w:rFonts w:eastAsia="宋体"/>
          <w:szCs w:val="21"/>
        </w:rPr>
        <w:t>采购进行招标。</w:t>
      </w:r>
    </w:p>
    <w:p>
      <w:pPr>
        <w:numPr>
          <w:ilvl w:val="2"/>
          <w:numId w:val="11"/>
        </w:numPr>
        <w:tabs>
          <w:tab w:val="left" w:pos="993"/>
        </w:tabs>
        <w:spacing w:line="360" w:lineRule="auto"/>
        <w:ind w:left="0" w:firstLine="420" w:firstLineChars="200"/>
        <w:rPr>
          <w:rFonts w:eastAsia="宋体"/>
          <w:szCs w:val="21"/>
        </w:rPr>
      </w:pPr>
      <w:r>
        <w:rPr>
          <w:rFonts w:eastAsia="宋体"/>
          <w:szCs w:val="21"/>
        </w:rPr>
        <w:t>招标人：见投标人须知前附表。</w:t>
      </w:r>
    </w:p>
    <w:p>
      <w:pPr>
        <w:numPr>
          <w:ilvl w:val="2"/>
          <w:numId w:val="11"/>
        </w:numPr>
        <w:tabs>
          <w:tab w:val="left" w:pos="993"/>
        </w:tabs>
        <w:spacing w:line="360" w:lineRule="auto"/>
        <w:ind w:left="0" w:firstLine="420" w:firstLineChars="200"/>
        <w:rPr>
          <w:rFonts w:eastAsia="宋体"/>
          <w:szCs w:val="21"/>
        </w:rPr>
      </w:pPr>
      <w:r>
        <w:rPr>
          <w:rFonts w:eastAsia="宋体"/>
          <w:szCs w:val="21"/>
        </w:rPr>
        <w:t>招标代理机构：见投标人须知前附表。</w:t>
      </w:r>
    </w:p>
    <w:p>
      <w:pPr>
        <w:numPr>
          <w:ilvl w:val="2"/>
          <w:numId w:val="11"/>
        </w:numPr>
        <w:tabs>
          <w:tab w:val="left" w:pos="993"/>
        </w:tabs>
        <w:spacing w:line="360" w:lineRule="auto"/>
        <w:ind w:left="0" w:firstLine="420" w:firstLineChars="200"/>
        <w:rPr>
          <w:rFonts w:eastAsia="宋体"/>
          <w:szCs w:val="21"/>
        </w:rPr>
      </w:pPr>
      <w:r>
        <w:rPr>
          <w:rFonts w:eastAsia="宋体"/>
          <w:szCs w:val="21"/>
        </w:rPr>
        <w:t>招标项目名称：见投标人须知前附表。</w:t>
      </w:r>
    </w:p>
    <w:p>
      <w:pPr>
        <w:numPr>
          <w:ilvl w:val="2"/>
          <w:numId w:val="11"/>
        </w:numPr>
        <w:tabs>
          <w:tab w:val="left" w:pos="993"/>
        </w:tabs>
        <w:spacing w:line="360" w:lineRule="auto"/>
        <w:ind w:left="0" w:firstLine="420" w:firstLineChars="200"/>
        <w:rPr>
          <w:rFonts w:eastAsia="宋体"/>
          <w:szCs w:val="21"/>
        </w:rPr>
      </w:pPr>
      <w:r>
        <w:rPr>
          <w:rFonts w:eastAsia="宋体"/>
          <w:szCs w:val="21"/>
        </w:rPr>
        <w:t>工程项目名称：即招标项目所属的工程建设项目，见投标人须知前附表。</w:t>
      </w:r>
    </w:p>
    <w:p>
      <w:pPr>
        <w:keepNext/>
        <w:keepLines/>
        <w:widowControl w:val="0"/>
        <w:numPr>
          <w:ilvl w:val="1"/>
          <w:numId w:val="11"/>
        </w:numPr>
        <w:spacing w:line="360" w:lineRule="auto"/>
        <w:ind w:left="105" w:leftChars="50" w:firstLine="0"/>
        <w:textAlignment w:val="center"/>
        <w:outlineLvl w:val="2"/>
        <w:rPr>
          <w:rFonts w:eastAsia="黑体"/>
          <w:kern w:val="2"/>
          <w:sz w:val="28"/>
          <w:szCs w:val="28"/>
        </w:rPr>
      </w:pPr>
      <w:bookmarkStart w:id="230" w:name="_Toc3915"/>
      <w:bookmarkStart w:id="231" w:name="_Toc717"/>
      <w:bookmarkStart w:id="232" w:name="_Toc17449"/>
      <w:bookmarkStart w:id="233" w:name="_Toc29300"/>
      <w:bookmarkStart w:id="234" w:name="_Toc27993"/>
      <w:bookmarkStart w:id="235" w:name="_Toc15274"/>
      <w:bookmarkStart w:id="236" w:name="_Toc24898"/>
      <w:bookmarkStart w:id="237" w:name="_Toc25541"/>
      <w:bookmarkStart w:id="238" w:name="_Toc17143"/>
      <w:bookmarkStart w:id="239" w:name="_Toc27151"/>
      <w:bookmarkStart w:id="240" w:name="_Toc27245"/>
      <w:bookmarkStart w:id="241" w:name="_Toc583"/>
      <w:bookmarkStart w:id="242" w:name="_Toc9258"/>
      <w:bookmarkStart w:id="243" w:name="_Toc23362"/>
      <w:bookmarkStart w:id="244" w:name="_Toc8097"/>
      <w:bookmarkStart w:id="245" w:name="_Toc22850"/>
      <w:bookmarkStart w:id="246" w:name="_Toc514430356"/>
      <w:r>
        <w:rPr>
          <w:rFonts w:eastAsia="黑体"/>
          <w:kern w:val="2"/>
          <w:sz w:val="28"/>
          <w:szCs w:val="28"/>
        </w:rPr>
        <w:t>招标项目的资金来源和落实情况</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pPr>
        <w:numPr>
          <w:ilvl w:val="2"/>
          <w:numId w:val="11"/>
        </w:numPr>
        <w:tabs>
          <w:tab w:val="left" w:pos="993"/>
        </w:tabs>
        <w:spacing w:line="360" w:lineRule="auto"/>
        <w:ind w:left="0" w:firstLine="420" w:firstLineChars="200"/>
        <w:rPr>
          <w:rFonts w:eastAsia="宋体"/>
          <w:szCs w:val="21"/>
        </w:rPr>
      </w:pPr>
      <w:r>
        <w:rPr>
          <w:rFonts w:eastAsia="宋体"/>
          <w:szCs w:val="21"/>
        </w:rPr>
        <w:t>资金来源及比例：见投标人须知前附表。</w:t>
      </w:r>
    </w:p>
    <w:p>
      <w:pPr>
        <w:numPr>
          <w:ilvl w:val="2"/>
          <w:numId w:val="11"/>
        </w:numPr>
        <w:tabs>
          <w:tab w:val="left" w:pos="993"/>
        </w:tabs>
        <w:spacing w:line="360" w:lineRule="auto"/>
        <w:ind w:left="0" w:firstLine="420" w:firstLineChars="200"/>
        <w:rPr>
          <w:rFonts w:eastAsia="宋体"/>
          <w:szCs w:val="21"/>
        </w:rPr>
      </w:pPr>
      <w:r>
        <w:rPr>
          <w:rFonts w:eastAsia="宋体"/>
          <w:szCs w:val="21"/>
        </w:rPr>
        <w:t>资金落实情况：见投标人须知前附表。</w:t>
      </w:r>
    </w:p>
    <w:p>
      <w:pPr>
        <w:keepNext/>
        <w:keepLines/>
        <w:widowControl w:val="0"/>
        <w:numPr>
          <w:ilvl w:val="1"/>
          <w:numId w:val="11"/>
        </w:numPr>
        <w:spacing w:line="360" w:lineRule="auto"/>
        <w:ind w:left="105" w:leftChars="50" w:firstLine="0"/>
        <w:textAlignment w:val="center"/>
        <w:outlineLvl w:val="2"/>
        <w:rPr>
          <w:rFonts w:eastAsia="黑体"/>
          <w:kern w:val="2"/>
          <w:sz w:val="28"/>
          <w:szCs w:val="28"/>
        </w:rPr>
      </w:pPr>
      <w:bookmarkStart w:id="247" w:name="_Toc4864"/>
      <w:bookmarkStart w:id="248" w:name="_Toc15426"/>
      <w:bookmarkStart w:id="249" w:name="_Toc11189"/>
      <w:bookmarkStart w:id="250" w:name="_Toc11137"/>
      <w:bookmarkStart w:id="251" w:name="_Toc20047"/>
      <w:bookmarkStart w:id="252" w:name="_Toc8222"/>
      <w:bookmarkStart w:id="253" w:name="_Toc514430357"/>
      <w:bookmarkStart w:id="254" w:name="_Toc27850"/>
      <w:bookmarkStart w:id="255" w:name="_Toc30509"/>
      <w:bookmarkStart w:id="256" w:name="_Toc4703"/>
      <w:bookmarkStart w:id="257" w:name="_Toc23952"/>
      <w:bookmarkStart w:id="258" w:name="_Toc12867"/>
      <w:bookmarkStart w:id="259" w:name="_Toc8753"/>
      <w:bookmarkStart w:id="260" w:name="_Toc25606"/>
      <w:bookmarkStart w:id="261" w:name="_Toc17389"/>
      <w:bookmarkStart w:id="262" w:name="_Toc32193"/>
      <w:bookmarkStart w:id="263" w:name="_Toc29239"/>
      <w:r>
        <w:rPr>
          <w:rFonts w:eastAsia="黑体"/>
          <w:kern w:val="2"/>
          <w:sz w:val="28"/>
          <w:szCs w:val="28"/>
        </w:rPr>
        <w:t>招标范围、交货期、交货地点和技术性能指标</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pPr>
        <w:numPr>
          <w:ilvl w:val="2"/>
          <w:numId w:val="11"/>
        </w:numPr>
        <w:tabs>
          <w:tab w:val="left" w:pos="993"/>
        </w:tabs>
        <w:spacing w:line="360" w:lineRule="auto"/>
        <w:ind w:left="0" w:firstLine="420" w:firstLineChars="200"/>
        <w:rPr>
          <w:rFonts w:eastAsia="宋体"/>
          <w:szCs w:val="21"/>
        </w:rPr>
      </w:pPr>
      <w:r>
        <w:rPr>
          <w:rFonts w:eastAsia="宋体"/>
          <w:szCs w:val="21"/>
        </w:rPr>
        <w:t>招标范围：见投标人须知前附表。</w:t>
      </w:r>
    </w:p>
    <w:p>
      <w:pPr>
        <w:numPr>
          <w:ilvl w:val="2"/>
          <w:numId w:val="11"/>
        </w:numPr>
        <w:tabs>
          <w:tab w:val="left" w:pos="993"/>
        </w:tabs>
        <w:spacing w:line="360" w:lineRule="auto"/>
        <w:ind w:left="0" w:firstLine="420" w:firstLineChars="200"/>
        <w:rPr>
          <w:rFonts w:eastAsia="宋体"/>
          <w:szCs w:val="21"/>
        </w:rPr>
      </w:pPr>
      <w:r>
        <w:rPr>
          <w:rFonts w:eastAsia="宋体"/>
          <w:szCs w:val="21"/>
        </w:rPr>
        <w:t>交货期：见投标人须知前附表。</w:t>
      </w:r>
    </w:p>
    <w:p>
      <w:pPr>
        <w:numPr>
          <w:ilvl w:val="2"/>
          <w:numId w:val="11"/>
        </w:numPr>
        <w:tabs>
          <w:tab w:val="left" w:pos="993"/>
        </w:tabs>
        <w:spacing w:line="360" w:lineRule="auto"/>
        <w:ind w:left="0" w:firstLine="420" w:firstLineChars="200"/>
        <w:rPr>
          <w:rFonts w:eastAsia="宋体"/>
          <w:szCs w:val="21"/>
        </w:rPr>
      </w:pPr>
      <w:r>
        <w:rPr>
          <w:rFonts w:eastAsia="宋体"/>
          <w:szCs w:val="21"/>
        </w:rPr>
        <w:t>交货地点：见投标人须知前附表。</w:t>
      </w:r>
    </w:p>
    <w:p>
      <w:pPr>
        <w:numPr>
          <w:ilvl w:val="2"/>
          <w:numId w:val="11"/>
        </w:numPr>
        <w:tabs>
          <w:tab w:val="left" w:pos="993"/>
        </w:tabs>
        <w:spacing w:line="360" w:lineRule="auto"/>
        <w:ind w:left="0" w:firstLine="420" w:firstLineChars="200"/>
        <w:rPr>
          <w:rFonts w:eastAsia="宋体"/>
          <w:szCs w:val="21"/>
        </w:rPr>
      </w:pPr>
      <w:r>
        <w:rPr>
          <w:rFonts w:eastAsia="宋体"/>
          <w:szCs w:val="21"/>
        </w:rPr>
        <w:t>技术性能指标：见投标人须知前附表。</w:t>
      </w:r>
    </w:p>
    <w:p>
      <w:pPr>
        <w:keepNext/>
        <w:keepLines/>
        <w:widowControl w:val="0"/>
        <w:numPr>
          <w:ilvl w:val="1"/>
          <w:numId w:val="11"/>
        </w:numPr>
        <w:spacing w:line="360" w:lineRule="auto"/>
        <w:ind w:left="105" w:leftChars="50" w:firstLine="0"/>
        <w:textAlignment w:val="center"/>
        <w:outlineLvl w:val="2"/>
        <w:rPr>
          <w:rFonts w:eastAsia="黑体"/>
          <w:kern w:val="2"/>
          <w:sz w:val="28"/>
          <w:szCs w:val="28"/>
        </w:rPr>
      </w:pPr>
      <w:bookmarkStart w:id="264" w:name="_Toc1525"/>
      <w:bookmarkStart w:id="265" w:name="_Toc21369"/>
      <w:bookmarkStart w:id="266" w:name="_Toc7422"/>
      <w:bookmarkStart w:id="267" w:name="_Toc30039"/>
      <w:bookmarkStart w:id="268" w:name="_Toc27712"/>
      <w:bookmarkStart w:id="269" w:name="_Toc979"/>
      <w:bookmarkStart w:id="270" w:name="_Toc27823"/>
      <w:bookmarkStart w:id="271" w:name="_Toc10759"/>
      <w:bookmarkStart w:id="272" w:name="_Toc17195"/>
      <w:bookmarkStart w:id="273" w:name="_Toc15157"/>
      <w:bookmarkStart w:id="274" w:name="_Toc514430358"/>
      <w:bookmarkStart w:id="275" w:name="_Toc17468"/>
      <w:bookmarkStart w:id="276" w:name="_Toc25572"/>
      <w:bookmarkStart w:id="277" w:name="_Toc29978"/>
      <w:bookmarkStart w:id="278" w:name="_Toc29390"/>
      <w:bookmarkStart w:id="279" w:name="_Toc16076"/>
      <w:bookmarkStart w:id="280" w:name="_Toc27561"/>
      <w:r>
        <w:rPr>
          <w:rFonts w:eastAsia="黑体"/>
          <w:kern w:val="2"/>
          <w:sz w:val="28"/>
          <w:szCs w:val="28"/>
        </w:rPr>
        <w:t>投标人资格要求</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pPr>
        <w:numPr>
          <w:ilvl w:val="2"/>
          <w:numId w:val="11"/>
        </w:numPr>
        <w:tabs>
          <w:tab w:val="left" w:pos="993"/>
        </w:tabs>
        <w:spacing w:line="360" w:lineRule="auto"/>
        <w:ind w:left="0" w:firstLine="420" w:firstLineChars="200"/>
        <w:rPr>
          <w:rFonts w:eastAsia="宋体"/>
          <w:szCs w:val="21"/>
        </w:rPr>
      </w:pPr>
      <w:r>
        <w:rPr>
          <w:rFonts w:eastAsia="宋体"/>
          <w:szCs w:val="21"/>
        </w:rPr>
        <w:t>投标人应具备承担本招标项目资质条件、能力和信誉：</w:t>
      </w:r>
    </w:p>
    <w:p>
      <w:pPr>
        <w:spacing w:line="360" w:lineRule="auto"/>
        <w:ind w:firstLine="420" w:firstLineChars="200"/>
        <w:rPr>
          <w:sz w:val="20"/>
          <w:szCs w:val="20"/>
        </w:rPr>
      </w:pPr>
      <w:r>
        <w:rPr>
          <w:rFonts w:eastAsia="宋体"/>
          <w:szCs w:val="21"/>
        </w:rPr>
        <w:t>（</w:t>
      </w:r>
      <w:r>
        <w:rPr>
          <w:rFonts w:eastAsia="Times New Roman"/>
          <w:szCs w:val="21"/>
        </w:rPr>
        <w:t>1</w:t>
      </w:r>
      <w:r>
        <w:rPr>
          <w:rFonts w:eastAsia="宋体"/>
          <w:szCs w:val="21"/>
        </w:rPr>
        <w:t>）资质要求：见投标人须知前附表；</w:t>
      </w:r>
    </w:p>
    <w:p>
      <w:pPr>
        <w:spacing w:line="360" w:lineRule="auto"/>
        <w:ind w:firstLine="420" w:firstLineChars="200"/>
        <w:rPr>
          <w:sz w:val="20"/>
          <w:szCs w:val="20"/>
        </w:rPr>
      </w:pPr>
      <w:r>
        <w:rPr>
          <w:rFonts w:eastAsia="宋体"/>
          <w:szCs w:val="21"/>
        </w:rPr>
        <w:t>（</w:t>
      </w:r>
      <w:r>
        <w:rPr>
          <w:rFonts w:eastAsia="Times New Roman"/>
          <w:szCs w:val="21"/>
        </w:rPr>
        <w:t>2</w:t>
      </w:r>
      <w:r>
        <w:rPr>
          <w:rFonts w:eastAsia="宋体"/>
          <w:szCs w:val="21"/>
        </w:rPr>
        <w:t>）财务要求：见投标人须知前附表；</w:t>
      </w:r>
    </w:p>
    <w:p>
      <w:pPr>
        <w:spacing w:line="360" w:lineRule="auto"/>
        <w:ind w:firstLine="420" w:firstLineChars="200"/>
        <w:rPr>
          <w:sz w:val="20"/>
          <w:szCs w:val="20"/>
        </w:rPr>
      </w:pPr>
      <w:r>
        <w:rPr>
          <w:rFonts w:eastAsia="宋体"/>
          <w:szCs w:val="21"/>
        </w:rPr>
        <w:t>（</w:t>
      </w:r>
      <w:r>
        <w:rPr>
          <w:rFonts w:eastAsia="Times New Roman"/>
          <w:szCs w:val="21"/>
        </w:rPr>
        <w:t>3</w:t>
      </w:r>
      <w:r>
        <w:rPr>
          <w:rFonts w:eastAsia="宋体"/>
          <w:szCs w:val="21"/>
        </w:rPr>
        <w:t>）业绩要求：见投标人须知前附表；</w:t>
      </w:r>
    </w:p>
    <w:p>
      <w:pPr>
        <w:spacing w:line="360" w:lineRule="auto"/>
        <w:ind w:firstLine="420" w:firstLineChars="200"/>
        <w:rPr>
          <w:sz w:val="20"/>
          <w:szCs w:val="20"/>
        </w:rPr>
      </w:pPr>
      <w:r>
        <w:rPr>
          <w:rFonts w:eastAsia="宋体"/>
          <w:szCs w:val="21"/>
        </w:rPr>
        <w:t>（</w:t>
      </w:r>
      <w:r>
        <w:rPr>
          <w:rFonts w:eastAsia="Times New Roman"/>
          <w:szCs w:val="21"/>
        </w:rPr>
        <w:t>4</w:t>
      </w:r>
      <w:r>
        <w:rPr>
          <w:rFonts w:eastAsia="宋体"/>
          <w:szCs w:val="21"/>
        </w:rPr>
        <w:t>）信誉要求：见投标人须知前附表；</w:t>
      </w:r>
    </w:p>
    <w:p>
      <w:pPr>
        <w:spacing w:line="360" w:lineRule="auto"/>
        <w:ind w:firstLine="420" w:firstLineChars="200"/>
        <w:rPr>
          <w:sz w:val="20"/>
          <w:szCs w:val="20"/>
        </w:rPr>
      </w:pPr>
      <w:r>
        <w:rPr>
          <w:rFonts w:eastAsia="宋体"/>
          <w:szCs w:val="21"/>
        </w:rPr>
        <w:t>（</w:t>
      </w:r>
      <w:r>
        <w:rPr>
          <w:rFonts w:eastAsia="Times New Roman"/>
          <w:szCs w:val="21"/>
        </w:rPr>
        <w:t>5</w:t>
      </w:r>
      <w:r>
        <w:rPr>
          <w:rFonts w:eastAsia="宋体"/>
          <w:szCs w:val="21"/>
        </w:rPr>
        <w:t>）其他要求：见投标人须知前附表。</w:t>
      </w:r>
    </w:p>
    <w:p>
      <w:pPr>
        <w:spacing w:line="360" w:lineRule="auto"/>
        <w:ind w:firstLine="420" w:firstLineChars="200"/>
        <w:rPr>
          <w:rFonts w:eastAsia="宋体"/>
          <w:szCs w:val="21"/>
        </w:rPr>
      </w:pPr>
      <w:r>
        <w:rPr>
          <w:rFonts w:eastAsia="宋体"/>
          <w:szCs w:val="21"/>
        </w:rPr>
        <w:t>需要提交的相关证明材料见本章第3.5款的规定</w:t>
      </w:r>
    </w:p>
    <w:p>
      <w:pPr>
        <w:numPr>
          <w:ilvl w:val="2"/>
          <w:numId w:val="11"/>
        </w:numPr>
        <w:tabs>
          <w:tab w:val="left" w:pos="993"/>
        </w:tabs>
        <w:spacing w:line="360" w:lineRule="auto"/>
        <w:ind w:left="0" w:firstLine="420" w:firstLineChars="200"/>
        <w:rPr>
          <w:rFonts w:eastAsia="宋体"/>
          <w:szCs w:val="21"/>
        </w:rPr>
      </w:pPr>
      <w:r>
        <w:rPr>
          <w:rFonts w:hint="eastAsia" w:eastAsia="宋体"/>
          <w:szCs w:val="21"/>
        </w:rPr>
        <w:t>本项目不接受联合体。</w:t>
      </w:r>
    </w:p>
    <w:p>
      <w:pPr>
        <w:numPr>
          <w:ilvl w:val="2"/>
          <w:numId w:val="11"/>
        </w:numPr>
        <w:tabs>
          <w:tab w:val="left" w:pos="993"/>
        </w:tabs>
        <w:spacing w:line="360" w:lineRule="auto"/>
        <w:ind w:left="0" w:firstLine="420" w:firstLineChars="200"/>
        <w:rPr>
          <w:rFonts w:eastAsia="宋体"/>
          <w:szCs w:val="21"/>
        </w:rPr>
      </w:pPr>
      <w:r>
        <w:rPr>
          <w:rFonts w:eastAsia="宋体"/>
          <w:szCs w:val="21"/>
        </w:rPr>
        <w:t>投标人不得存在下列情形之一：</w:t>
      </w:r>
    </w:p>
    <w:p>
      <w:pPr>
        <w:spacing w:line="360" w:lineRule="auto"/>
        <w:ind w:firstLine="420" w:firstLineChars="200"/>
        <w:rPr>
          <w:rFonts w:eastAsia="宋体"/>
          <w:szCs w:val="21"/>
        </w:rPr>
      </w:pPr>
      <w:r>
        <w:rPr>
          <w:rFonts w:eastAsia="宋体"/>
          <w:szCs w:val="21"/>
        </w:rPr>
        <w:t>（1）与招标人存在利害关系且可能影响招标公正性；</w:t>
      </w:r>
    </w:p>
    <w:p>
      <w:pPr>
        <w:spacing w:line="360" w:lineRule="auto"/>
        <w:ind w:firstLine="420" w:firstLineChars="200"/>
        <w:rPr>
          <w:rFonts w:eastAsia="宋体"/>
          <w:szCs w:val="21"/>
        </w:rPr>
      </w:pPr>
      <w:r>
        <w:rPr>
          <w:rFonts w:eastAsia="宋体"/>
          <w:szCs w:val="21"/>
        </w:rPr>
        <w:t>（2）与本招标项目的其他投标人为同一个单位负责人；</w:t>
      </w:r>
    </w:p>
    <w:p>
      <w:pPr>
        <w:spacing w:line="360" w:lineRule="auto"/>
        <w:ind w:firstLine="420" w:firstLineChars="200"/>
        <w:rPr>
          <w:rFonts w:eastAsia="宋体"/>
          <w:szCs w:val="21"/>
        </w:rPr>
      </w:pPr>
      <w:r>
        <w:rPr>
          <w:rFonts w:eastAsia="宋体"/>
          <w:szCs w:val="21"/>
        </w:rPr>
        <w:t>（3）与本招标项目的其他投标人存在控股、管理关系；</w:t>
      </w:r>
    </w:p>
    <w:p>
      <w:pPr>
        <w:spacing w:line="360" w:lineRule="auto"/>
        <w:ind w:firstLine="420" w:firstLineChars="200"/>
        <w:rPr>
          <w:rFonts w:eastAsia="宋体"/>
          <w:szCs w:val="21"/>
        </w:rPr>
      </w:pPr>
      <w:r>
        <w:rPr>
          <w:rFonts w:eastAsia="宋体"/>
          <w:szCs w:val="21"/>
        </w:rPr>
        <w:t>（</w:t>
      </w:r>
      <w:r>
        <w:rPr>
          <w:rFonts w:hint="eastAsia" w:eastAsia="宋体"/>
          <w:szCs w:val="21"/>
        </w:rPr>
        <w:t>4</w:t>
      </w:r>
      <w:r>
        <w:rPr>
          <w:rFonts w:eastAsia="宋体"/>
          <w:szCs w:val="21"/>
        </w:rPr>
        <w:t>）为本招标项目的招标代理机构；</w:t>
      </w:r>
    </w:p>
    <w:p>
      <w:pPr>
        <w:spacing w:line="360" w:lineRule="auto"/>
        <w:ind w:firstLine="420" w:firstLineChars="200"/>
        <w:rPr>
          <w:rFonts w:eastAsia="宋体"/>
          <w:szCs w:val="21"/>
        </w:rPr>
      </w:pPr>
      <w:r>
        <w:rPr>
          <w:rFonts w:eastAsia="宋体"/>
          <w:szCs w:val="21"/>
        </w:rPr>
        <w:t>（</w:t>
      </w:r>
      <w:r>
        <w:rPr>
          <w:rFonts w:hint="eastAsia" w:eastAsia="宋体"/>
          <w:szCs w:val="21"/>
        </w:rPr>
        <w:t>5</w:t>
      </w:r>
      <w:r>
        <w:rPr>
          <w:rFonts w:eastAsia="宋体"/>
          <w:szCs w:val="21"/>
        </w:rPr>
        <w:t>）被依法暂停或者取消投标资格；</w:t>
      </w:r>
    </w:p>
    <w:p>
      <w:pPr>
        <w:spacing w:line="360" w:lineRule="auto"/>
        <w:ind w:firstLine="420" w:firstLineChars="200"/>
        <w:rPr>
          <w:rFonts w:eastAsia="宋体"/>
          <w:szCs w:val="21"/>
        </w:rPr>
      </w:pPr>
      <w:r>
        <w:rPr>
          <w:rFonts w:eastAsia="宋体"/>
          <w:szCs w:val="21"/>
        </w:rPr>
        <w:t>（</w:t>
      </w:r>
      <w:r>
        <w:rPr>
          <w:rFonts w:hint="eastAsia" w:eastAsia="宋体"/>
          <w:szCs w:val="21"/>
        </w:rPr>
        <w:t>6</w:t>
      </w:r>
      <w:r>
        <w:rPr>
          <w:rFonts w:eastAsia="宋体"/>
          <w:szCs w:val="21"/>
        </w:rPr>
        <w:t>）被责令停产停业、暂扣或者吊销许可证、暂扣或者吊销执照；</w:t>
      </w:r>
    </w:p>
    <w:p>
      <w:pPr>
        <w:spacing w:line="360" w:lineRule="auto"/>
        <w:ind w:firstLine="420" w:firstLineChars="200"/>
        <w:rPr>
          <w:rFonts w:eastAsia="宋体"/>
          <w:szCs w:val="21"/>
        </w:rPr>
      </w:pPr>
      <w:r>
        <w:rPr>
          <w:rFonts w:eastAsia="宋体"/>
          <w:szCs w:val="21"/>
        </w:rPr>
        <w:t>（</w:t>
      </w:r>
      <w:r>
        <w:rPr>
          <w:rFonts w:hint="eastAsia" w:eastAsia="宋体"/>
          <w:szCs w:val="21"/>
        </w:rPr>
        <w:t>7</w:t>
      </w:r>
      <w:r>
        <w:rPr>
          <w:rFonts w:eastAsia="宋体"/>
          <w:szCs w:val="21"/>
        </w:rPr>
        <w:t>）进入清算程序，或被宣告破产，或其他丧失履约能力的情形；</w:t>
      </w:r>
    </w:p>
    <w:p>
      <w:pPr>
        <w:spacing w:line="360" w:lineRule="auto"/>
        <w:ind w:firstLine="420" w:firstLineChars="200"/>
        <w:rPr>
          <w:rFonts w:eastAsia="宋体"/>
          <w:szCs w:val="21"/>
        </w:rPr>
      </w:pPr>
      <w:r>
        <w:rPr>
          <w:rFonts w:eastAsia="宋体"/>
          <w:szCs w:val="21"/>
        </w:rPr>
        <w:t>（</w:t>
      </w:r>
      <w:r>
        <w:rPr>
          <w:rFonts w:hint="eastAsia" w:eastAsia="宋体"/>
          <w:szCs w:val="21"/>
        </w:rPr>
        <w:t>8</w:t>
      </w:r>
      <w:r>
        <w:rPr>
          <w:rFonts w:eastAsia="宋体"/>
          <w:szCs w:val="21"/>
        </w:rPr>
        <w:t>）被工商行政管理机关在全国企业信用信息公示系统中列入严重违法失信企业名单；</w:t>
      </w:r>
    </w:p>
    <w:p>
      <w:pPr>
        <w:spacing w:line="360" w:lineRule="auto"/>
        <w:ind w:firstLine="420" w:firstLineChars="200"/>
        <w:rPr>
          <w:rFonts w:eastAsia="宋体"/>
          <w:szCs w:val="21"/>
        </w:rPr>
      </w:pPr>
      <w:r>
        <w:rPr>
          <w:rFonts w:eastAsia="宋体"/>
          <w:szCs w:val="21"/>
        </w:rPr>
        <w:t>（</w:t>
      </w:r>
      <w:r>
        <w:rPr>
          <w:rFonts w:hint="eastAsia" w:eastAsia="宋体"/>
          <w:szCs w:val="21"/>
        </w:rPr>
        <w:t>9</w:t>
      </w:r>
      <w:r>
        <w:rPr>
          <w:rFonts w:eastAsia="宋体"/>
          <w:szCs w:val="21"/>
        </w:rPr>
        <w:t>）被最高人民法院</w:t>
      </w:r>
      <w:r>
        <w:rPr>
          <w:rFonts w:ascii="宋体" w:hAnsi="宋体" w:eastAsia="宋体"/>
          <w:szCs w:val="21"/>
        </w:rPr>
        <w:t>在“信用中国”网</w:t>
      </w:r>
      <w:r>
        <w:rPr>
          <w:rFonts w:eastAsia="宋体"/>
          <w:szCs w:val="21"/>
        </w:rPr>
        <w:t>站（www.creditchina.gov.cn）或各级信用信息共享平台中列入失信被执行人名单；</w:t>
      </w:r>
    </w:p>
    <w:p>
      <w:pPr>
        <w:spacing w:line="360" w:lineRule="auto"/>
        <w:ind w:firstLine="420" w:firstLineChars="200"/>
        <w:rPr>
          <w:rFonts w:eastAsia="宋体"/>
          <w:szCs w:val="21"/>
        </w:rPr>
      </w:pPr>
      <w:r>
        <w:rPr>
          <w:rFonts w:eastAsia="宋体"/>
          <w:szCs w:val="21"/>
        </w:rPr>
        <w:t>（1</w:t>
      </w:r>
      <w:r>
        <w:rPr>
          <w:rFonts w:hint="eastAsia" w:eastAsia="宋体"/>
          <w:szCs w:val="21"/>
        </w:rPr>
        <w:t>0</w:t>
      </w:r>
      <w:r>
        <w:rPr>
          <w:rFonts w:eastAsia="宋体"/>
          <w:szCs w:val="21"/>
        </w:rPr>
        <w:t>）法律法规或投标人须知前附表规定的其他情形。</w:t>
      </w:r>
    </w:p>
    <w:p>
      <w:pPr>
        <w:keepNext/>
        <w:keepLines/>
        <w:widowControl w:val="0"/>
        <w:numPr>
          <w:ilvl w:val="1"/>
          <w:numId w:val="11"/>
        </w:numPr>
        <w:spacing w:line="360" w:lineRule="auto"/>
        <w:ind w:left="105" w:leftChars="50" w:firstLine="0"/>
        <w:textAlignment w:val="center"/>
        <w:outlineLvl w:val="2"/>
        <w:rPr>
          <w:rFonts w:eastAsia="黑体"/>
          <w:kern w:val="2"/>
          <w:sz w:val="28"/>
          <w:szCs w:val="28"/>
        </w:rPr>
      </w:pPr>
      <w:bookmarkStart w:id="281" w:name="_Toc1037"/>
      <w:bookmarkStart w:id="282" w:name="_Toc18368"/>
      <w:bookmarkStart w:id="283" w:name="_Toc7419"/>
      <w:bookmarkStart w:id="284" w:name="_Toc9143"/>
      <w:bookmarkStart w:id="285" w:name="_Toc10014"/>
      <w:bookmarkStart w:id="286" w:name="_Toc17818"/>
      <w:bookmarkStart w:id="287" w:name="_Toc8562"/>
      <w:bookmarkStart w:id="288" w:name="_Toc8475"/>
      <w:bookmarkStart w:id="289" w:name="_Toc514430359"/>
      <w:bookmarkStart w:id="290" w:name="_Toc32543"/>
      <w:bookmarkStart w:id="291" w:name="_Toc2134"/>
      <w:bookmarkStart w:id="292" w:name="_Toc436"/>
      <w:bookmarkStart w:id="293" w:name="_Toc6962"/>
      <w:bookmarkStart w:id="294" w:name="_Toc11357"/>
      <w:bookmarkStart w:id="295" w:name="_Toc8617"/>
      <w:bookmarkStart w:id="296" w:name="_Toc25282"/>
      <w:bookmarkStart w:id="297" w:name="_Toc31593"/>
      <w:r>
        <w:rPr>
          <w:rFonts w:eastAsia="黑体"/>
          <w:kern w:val="2"/>
          <w:sz w:val="28"/>
          <w:szCs w:val="28"/>
        </w:rPr>
        <w:t>费用承担</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pPr>
        <w:spacing w:line="360" w:lineRule="auto"/>
        <w:ind w:firstLine="420" w:firstLineChars="200"/>
        <w:rPr>
          <w:rFonts w:eastAsia="宋体"/>
          <w:szCs w:val="21"/>
        </w:rPr>
      </w:pPr>
      <w:r>
        <w:rPr>
          <w:rFonts w:eastAsia="宋体"/>
          <w:szCs w:val="21"/>
        </w:rPr>
        <w:t>投标人准备和参加投标活动发生的费用自理。</w:t>
      </w:r>
    </w:p>
    <w:p>
      <w:pPr>
        <w:keepNext/>
        <w:keepLines/>
        <w:widowControl w:val="0"/>
        <w:numPr>
          <w:ilvl w:val="1"/>
          <w:numId w:val="11"/>
        </w:numPr>
        <w:spacing w:line="360" w:lineRule="auto"/>
        <w:ind w:left="105" w:leftChars="50" w:firstLine="0"/>
        <w:textAlignment w:val="center"/>
        <w:outlineLvl w:val="2"/>
        <w:rPr>
          <w:rFonts w:eastAsia="黑体"/>
          <w:kern w:val="2"/>
          <w:sz w:val="28"/>
          <w:szCs w:val="28"/>
        </w:rPr>
      </w:pPr>
      <w:bookmarkStart w:id="298" w:name="_Toc8133"/>
      <w:bookmarkStart w:id="299" w:name="_Toc21941"/>
      <w:bookmarkStart w:id="300" w:name="_Toc23840"/>
      <w:bookmarkStart w:id="301" w:name="_Toc30538"/>
      <w:bookmarkStart w:id="302" w:name="_Toc10673"/>
      <w:bookmarkStart w:id="303" w:name="_Toc19018"/>
      <w:bookmarkStart w:id="304" w:name="_Toc31893"/>
      <w:bookmarkStart w:id="305" w:name="_Toc1137"/>
      <w:bookmarkStart w:id="306" w:name="_Toc31042"/>
      <w:bookmarkStart w:id="307" w:name="_Toc428"/>
      <w:bookmarkStart w:id="308" w:name="_Toc938"/>
      <w:bookmarkStart w:id="309" w:name="_Toc32620"/>
      <w:bookmarkStart w:id="310" w:name="_Toc22889"/>
      <w:bookmarkStart w:id="311" w:name="_Toc21727"/>
      <w:bookmarkStart w:id="312" w:name="_Toc514430360"/>
      <w:bookmarkStart w:id="313" w:name="_Toc23699"/>
      <w:bookmarkStart w:id="314" w:name="_Toc7982"/>
      <w:r>
        <w:rPr>
          <w:rFonts w:eastAsia="黑体"/>
          <w:kern w:val="2"/>
          <w:sz w:val="28"/>
          <w:szCs w:val="28"/>
        </w:rPr>
        <w:t>保密</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pPr>
        <w:spacing w:line="360" w:lineRule="auto"/>
        <w:ind w:firstLine="420" w:firstLineChars="200"/>
        <w:rPr>
          <w:rFonts w:eastAsia="宋体"/>
          <w:szCs w:val="21"/>
        </w:rPr>
      </w:pPr>
      <w:r>
        <w:rPr>
          <w:rFonts w:eastAsia="宋体"/>
          <w:szCs w:val="21"/>
        </w:rPr>
        <w:t>参与招标投标活动的各方应对招标文件和投标文件中的商业和技术等秘密保密，否则应承担相应的法律责任。</w:t>
      </w:r>
    </w:p>
    <w:p>
      <w:pPr>
        <w:keepNext/>
        <w:keepLines/>
        <w:widowControl w:val="0"/>
        <w:numPr>
          <w:ilvl w:val="1"/>
          <w:numId w:val="11"/>
        </w:numPr>
        <w:spacing w:line="360" w:lineRule="auto"/>
        <w:ind w:left="105" w:leftChars="50" w:firstLine="0"/>
        <w:textAlignment w:val="center"/>
        <w:outlineLvl w:val="2"/>
        <w:rPr>
          <w:rFonts w:eastAsia="黑体"/>
          <w:kern w:val="2"/>
          <w:sz w:val="28"/>
          <w:szCs w:val="28"/>
        </w:rPr>
      </w:pPr>
      <w:bookmarkStart w:id="315" w:name="_Toc5610"/>
      <w:bookmarkStart w:id="316" w:name="_Toc10532"/>
      <w:bookmarkStart w:id="317" w:name="_Toc514430361"/>
      <w:bookmarkStart w:id="318" w:name="_Toc8699"/>
      <w:bookmarkStart w:id="319" w:name="_Toc14877"/>
      <w:bookmarkStart w:id="320" w:name="_Toc20917"/>
      <w:bookmarkStart w:id="321" w:name="_Toc26007"/>
      <w:bookmarkStart w:id="322" w:name="_Toc10979"/>
      <w:bookmarkStart w:id="323" w:name="_Toc30902"/>
      <w:bookmarkStart w:id="324" w:name="_Toc30257"/>
      <w:bookmarkStart w:id="325" w:name="_Toc6664"/>
      <w:bookmarkStart w:id="326" w:name="_Toc11326"/>
      <w:bookmarkStart w:id="327" w:name="_Toc32164"/>
      <w:bookmarkStart w:id="328" w:name="_Toc19095"/>
      <w:bookmarkStart w:id="329" w:name="_Toc26068"/>
      <w:bookmarkStart w:id="330" w:name="_Toc26717"/>
      <w:bookmarkStart w:id="331" w:name="_Toc29496"/>
      <w:r>
        <w:rPr>
          <w:rFonts w:eastAsia="黑体"/>
          <w:kern w:val="2"/>
          <w:sz w:val="28"/>
          <w:szCs w:val="28"/>
        </w:rPr>
        <w:t>语言文字</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pPr>
        <w:spacing w:line="360" w:lineRule="auto"/>
        <w:ind w:firstLine="420" w:firstLineChars="200"/>
        <w:rPr>
          <w:rFonts w:eastAsia="宋体"/>
          <w:szCs w:val="21"/>
        </w:rPr>
      </w:pPr>
      <w:r>
        <w:rPr>
          <w:rFonts w:eastAsia="宋体"/>
          <w:szCs w:val="21"/>
        </w:rPr>
        <w:t>招标投标文件使用的语言文字为中文。专用术语使用外文的，应附有中文注释。</w:t>
      </w:r>
    </w:p>
    <w:p>
      <w:pPr>
        <w:keepNext/>
        <w:keepLines/>
        <w:widowControl w:val="0"/>
        <w:numPr>
          <w:ilvl w:val="1"/>
          <w:numId w:val="11"/>
        </w:numPr>
        <w:spacing w:line="360" w:lineRule="auto"/>
        <w:ind w:left="105" w:leftChars="50" w:firstLine="0"/>
        <w:textAlignment w:val="center"/>
        <w:outlineLvl w:val="2"/>
        <w:rPr>
          <w:rFonts w:eastAsia="黑体"/>
          <w:kern w:val="2"/>
          <w:sz w:val="28"/>
          <w:szCs w:val="28"/>
        </w:rPr>
      </w:pPr>
      <w:bookmarkStart w:id="332" w:name="_Toc514430362"/>
      <w:bookmarkStart w:id="333" w:name="_Toc18898"/>
      <w:bookmarkStart w:id="334" w:name="_Toc9560"/>
      <w:bookmarkStart w:id="335" w:name="_Toc5506"/>
      <w:bookmarkStart w:id="336" w:name="_Toc30904"/>
      <w:bookmarkStart w:id="337" w:name="_Toc31090"/>
      <w:bookmarkStart w:id="338" w:name="_Toc15049"/>
      <w:bookmarkStart w:id="339" w:name="_Toc948"/>
      <w:bookmarkStart w:id="340" w:name="_Toc22938"/>
      <w:bookmarkStart w:id="341" w:name="_Toc21569"/>
      <w:bookmarkStart w:id="342" w:name="_Toc27902"/>
      <w:bookmarkStart w:id="343" w:name="_Toc11959"/>
      <w:bookmarkStart w:id="344" w:name="_Toc22280"/>
      <w:bookmarkStart w:id="345" w:name="_Toc5693"/>
      <w:bookmarkStart w:id="346" w:name="_Toc14003"/>
      <w:bookmarkStart w:id="347" w:name="_Toc30430"/>
      <w:bookmarkStart w:id="348" w:name="_Toc254"/>
      <w:r>
        <w:rPr>
          <w:rFonts w:eastAsia="黑体"/>
          <w:kern w:val="2"/>
          <w:sz w:val="28"/>
          <w:szCs w:val="28"/>
        </w:rPr>
        <w:t>计量单位</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p>
      <w:pPr>
        <w:spacing w:line="360" w:lineRule="auto"/>
        <w:ind w:firstLine="420" w:firstLineChars="200"/>
        <w:rPr>
          <w:rFonts w:eastAsia="宋体"/>
          <w:szCs w:val="21"/>
        </w:rPr>
      </w:pPr>
      <w:r>
        <w:rPr>
          <w:rFonts w:eastAsia="宋体"/>
          <w:szCs w:val="21"/>
        </w:rPr>
        <w:t>所有计量均采用中华人民共和国法定计量单位。</w:t>
      </w:r>
    </w:p>
    <w:p>
      <w:pPr>
        <w:keepNext/>
        <w:keepLines/>
        <w:widowControl w:val="0"/>
        <w:numPr>
          <w:ilvl w:val="1"/>
          <w:numId w:val="11"/>
        </w:numPr>
        <w:spacing w:line="360" w:lineRule="auto"/>
        <w:ind w:left="105" w:leftChars="50" w:firstLine="0"/>
        <w:textAlignment w:val="center"/>
        <w:outlineLvl w:val="2"/>
        <w:rPr>
          <w:rFonts w:eastAsia="黑体"/>
          <w:kern w:val="2"/>
          <w:sz w:val="28"/>
          <w:szCs w:val="28"/>
        </w:rPr>
      </w:pPr>
      <w:bookmarkStart w:id="349" w:name="_Toc21283"/>
      <w:bookmarkStart w:id="350" w:name="_Toc5661"/>
      <w:bookmarkStart w:id="351" w:name="_Toc17400"/>
      <w:bookmarkStart w:id="352" w:name="_Toc7945"/>
      <w:bookmarkStart w:id="353" w:name="_Toc27423"/>
      <w:bookmarkStart w:id="354" w:name="_Toc14955"/>
      <w:bookmarkStart w:id="355" w:name="_Toc32236"/>
      <w:bookmarkStart w:id="356" w:name="_Toc28259"/>
      <w:bookmarkStart w:id="357" w:name="_Toc11224"/>
      <w:bookmarkStart w:id="358" w:name="_Toc514430363"/>
      <w:bookmarkStart w:id="359" w:name="_Toc21191"/>
      <w:bookmarkStart w:id="360" w:name="_Toc4790"/>
      <w:bookmarkStart w:id="361" w:name="_Toc1149"/>
      <w:bookmarkStart w:id="362" w:name="_Toc22672"/>
      <w:bookmarkStart w:id="363" w:name="_Toc292"/>
      <w:bookmarkStart w:id="364" w:name="_Toc26471"/>
      <w:bookmarkStart w:id="365" w:name="_Toc30759"/>
      <w:r>
        <w:rPr>
          <w:rFonts w:eastAsia="黑体"/>
          <w:kern w:val="2"/>
          <w:sz w:val="28"/>
          <w:szCs w:val="28"/>
        </w:rPr>
        <w:t>投标预备会</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
    <w:p>
      <w:pPr>
        <w:numPr>
          <w:ilvl w:val="2"/>
          <w:numId w:val="11"/>
        </w:numPr>
        <w:tabs>
          <w:tab w:val="left" w:pos="993"/>
        </w:tabs>
        <w:spacing w:line="360" w:lineRule="auto"/>
        <w:ind w:left="0" w:firstLine="420" w:firstLineChars="200"/>
        <w:rPr>
          <w:rFonts w:eastAsia="宋体"/>
          <w:szCs w:val="21"/>
        </w:rPr>
      </w:pPr>
      <w:r>
        <w:rPr>
          <w:rFonts w:eastAsia="宋体"/>
          <w:szCs w:val="21"/>
        </w:rPr>
        <w:t>投标人须知前附表规定召开投标预备会的，招标人按投标人须知前附表规定的时间和地点召开投标预备会，澄清投标人提出的问题。</w:t>
      </w:r>
    </w:p>
    <w:p>
      <w:pPr>
        <w:numPr>
          <w:ilvl w:val="2"/>
          <w:numId w:val="11"/>
        </w:numPr>
        <w:tabs>
          <w:tab w:val="left" w:pos="993"/>
        </w:tabs>
        <w:spacing w:line="360" w:lineRule="auto"/>
        <w:ind w:left="0" w:firstLine="420" w:firstLineChars="200"/>
        <w:rPr>
          <w:rFonts w:eastAsia="宋体"/>
          <w:szCs w:val="21"/>
        </w:rPr>
      </w:pPr>
      <w:r>
        <w:rPr>
          <w:rFonts w:eastAsia="宋体"/>
          <w:szCs w:val="21"/>
        </w:rPr>
        <w:t>投标人应按投标人须知前附表规定的时间和形式将提出的问题送达招标人，以便招标人在会议期间澄清。</w:t>
      </w:r>
    </w:p>
    <w:p>
      <w:pPr>
        <w:numPr>
          <w:ilvl w:val="2"/>
          <w:numId w:val="11"/>
        </w:numPr>
        <w:tabs>
          <w:tab w:val="left" w:pos="993"/>
        </w:tabs>
        <w:spacing w:line="360" w:lineRule="auto"/>
        <w:ind w:left="0" w:firstLine="420" w:firstLineChars="200"/>
        <w:rPr>
          <w:rFonts w:eastAsia="宋体"/>
          <w:szCs w:val="21"/>
        </w:rPr>
      </w:pPr>
      <w:r>
        <w:rPr>
          <w:rFonts w:eastAsia="宋体"/>
          <w:szCs w:val="21"/>
        </w:rPr>
        <w:t>投标预备会后，招标人将对投标人所提问题的澄清，以投标人须知前附表规定的形式通知所有购买招标文件的投标人。该澄清内容为招标文件的组成部分。</w:t>
      </w:r>
    </w:p>
    <w:p>
      <w:pPr>
        <w:keepNext/>
        <w:keepLines/>
        <w:widowControl w:val="0"/>
        <w:numPr>
          <w:ilvl w:val="1"/>
          <w:numId w:val="11"/>
        </w:numPr>
        <w:spacing w:line="360" w:lineRule="auto"/>
        <w:ind w:left="105" w:leftChars="50" w:firstLine="0"/>
        <w:textAlignment w:val="center"/>
        <w:outlineLvl w:val="2"/>
        <w:rPr>
          <w:rFonts w:eastAsia="黑体"/>
          <w:kern w:val="2"/>
          <w:sz w:val="28"/>
          <w:szCs w:val="28"/>
        </w:rPr>
      </w:pPr>
      <w:bookmarkStart w:id="366" w:name="_Toc5427"/>
      <w:bookmarkStart w:id="367" w:name="_Toc13936"/>
      <w:bookmarkStart w:id="368" w:name="_Toc6577"/>
      <w:bookmarkStart w:id="369" w:name="_Toc514430364"/>
      <w:bookmarkStart w:id="370" w:name="_Toc3387"/>
      <w:bookmarkStart w:id="371" w:name="_Toc28791"/>
      <w:bookmarkStart w:id="372" w:name="_Toc17427"/>
      <w:bookmarkStart w:id="373" w:name="_Toc18380"/>
      <w:bookmarkStart w:id="374" w:name="_Toc28215"/>
      <w:bookmarkStart w:id="375" w:name="_Toc16809"/>
      <w:bookmarkStart w:id="376" w:name="_Toc30765"/>
      <w:bookmarkStart w:id="377" w:name="_Toc26200"/>
      <w:bookmarkStart w:id="378" w:name="_Toc3756"/>
      <w:bookmarkStart w:id="379" w:name="_Toc1865"/>
      <w:bookmarkStart w:id="380" w:name="_Toc18206"/>
      <w:bookmarkStart w:id="381" w:name="_Toc27770"/>
      <w:bookmarkStart w:id="382" w:name="_Toc5975"/>
      <w:r>
        <w:rPr>
          <w:rFonts w:eastAsia="黑体"/>
          <w:kern w:val="2"/>
          <w:sz w:val="28"/>
          <w:szCs w:val="28"/>
        </w:rPr>
        <w:t>分包</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pPr>
        <w:numPr>
          <w:ilvl w:val="2"/>
          <w:numId w:val="11"/>
        </w:numPr>
        <w:tabs>
          <w:tab w:val="left" w:pos="993"/>
        </w:tabs>
        <w:spacing w:line="360" w:lineRule="auto"/>
        <w:ind w:left="0" w:firstLine="420" w:firstLineChars="200"/>
        <w:rPr>
          <w:rFonts w:eastAsia="宋体"/>
          <w:szCs w:val="21"/>
        </w:rPr>
      </w:pPr>
      <w:r>
        <w:rPr>
          <w:rFonts w:eastAsia="宋体"/>
          <w:szCs w:val="21"/>
        </w:rPr>
        <w:t>中标人不得向他人转让中标项目，接受分包的人不得再次分包。中标人应当就分包项目向招标人负责，接受分包的人就分包项目承担连带责任。</w:t>
      </w:r>
    </w:p>
    <w:p>
      <w:pPr>
        <w:keepNext/>
        <w:keepLines/>
        <w:widowControl w:val="0"/>
        <w:numPr>
          <w:ilvl w:val="1"/>
          <w:numId w:val="11"/>
        </w:numPr>
        <w:spacing w:line="360" w:lineRule="auto"/>
        <w:ind w:left="105" w:leftChars="50" w:firstLine="0"/>
        <w:textAlignment w:val="center"/>
        <w:outlineLvl w:val="2"/>
        <w:rPr>
          <w:rFonts w:eastAsia="黑体"/>
          <w:kern w:val="2"/>
          <w:sz w:val="28"/>
          <w:szCs w:val="28"/>
        </w:rPr>
      </w:pPr>
      <w:bookmarkStart w:id="383" w:name="_Toc17215"/>
      <w:bookmarkStart w:id="384" w:name="_Toc27429"/>
      <w:bookmarkStart w:id="385" w:name="_Toc514430365"/>
      <w:bookmarkStart w:id="386" w:name="_Toc29336"/>
      <w:bookmarkStart w:id="387" w:name="_Toc6755"/>
      <w:bookmarkStart w:id="388" w:name="_Toc29357"/>
      <w:bookmarkStart w:id="389" w:name="_Toc25581"/>
      <w:bookmarkStart w:id="390" w:name="_Toc21945"/>
      <w:bookmarkStart w:id="391" w:name="_Toc4269"/>
      <w:bookmarkStart w:id="392" w:name="_Toc19328"/>
      <w:bookmarkStart w:id="393" w:name="_Toc10026"/>
      <w:bookmarkStart w:id="394" w:name="_Toc11703"/>
      <w:bookmarkStart w:id="395" w:name="_Toc13436"/>
      <w:bookmarkStart w:id="396" w:name="_Toc8454"/>
      <w:bookmarkStart w:id="397" w:name="_Toc19172"/>
      <w:bookmarkStart w:id="398" w:name="_Toc12568"/>
      <w:bookmarkStart w:id="399" w:name="_Toc5116"/>
      <w:r>
        <w:rPr>
          <w:rFonts w:eastAsia="黑体"/>
          <w:kern w:val="2"/>
          <w:sz w:val="28"/>
          <w:szCs w:val="28"/>
        </w:rPr>
        <w:t>响应和偏差</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pPr>
        <w:numPr>
          <w:ilvl w:val="2"/>
          <w:numId w:val="11"/>
        </w:numPr>
        <w:tabs>
          <w:tab w:val="left" w:pos="993"/>
        </w:tabs>
        <w:spacing w:line="360" w:lineRule="auto"/>
        <w:ind w:left="0" w:firstLine="420" w:firstLineChars="200"/>
        <w:rPr>
          <w:rFonts w:eastAsia="宋体"/>
          <w:szCs w:val="21"/>
        </w:rPr>
      </w:pPr>
      <w:r>
        <w:rPr>
          <w:rFonts w:eastAsia="宋体"/>
          <w:szCs w:val="21"/>
        </w:rPr>
        <w:t>投标文件应当对招标文件的实质性要求和条件作出满足性或更有利于招标人的响应，否则，投标人的投标将被否决。实质性要求和条件见投标人须知前附表。</w:t>
      </w:r>
    </w:p>
    <w:p>
      <w:pPr>
        <w:numPr>
          <w:ilvl w:val="2"/>
          <w:numId w:val="11"/>
        </w:numPr>
        <w:tabs>
          <w:tab w:val="left" w:pos="993"/>
        </w:tabs>
        <w:spacing w:line="360" w:lineRule="auto"/>
        <w:ind w:left="0" w:firstLine="420" w:firstLineChars="200"/>
        <w:rPr>
          <w:rFonts w:eastAsia="宋体"/>
          <w:szCs w:val="21"/>
        </w:rPr>
      </w:pPr>
      <w:r>
        <w:rPr>
          <w:rFonts w:eastAsia="宋体"/>
          <w:szCs w:val="21"/>
        </w:rPr>
        <w:t>投标文件中应针对实质性要求和条件中列明的技术要求提供技术支持资料。技术支持资料以制造商公开发布的印刷资料，或检测机构出具的检测报告或投标人须知前附表允许的其他形式为准，不符合前述要求的，视为无技术支持资料，其投标将被否决。</w:t>
      </w:r>
    </w:p>
    <w:p>
      <w:pPr>
        <w:numPr>
          <w:ilvl w:val="2"/>
          <w:numId w:val="11"/>
        </w:numPr>
        <w:tabs>
          <w:tab w:val="left" w:pos="993"/>
        </w:tabs>
        <w:spacing w:line="360" w:lineRule="auto"/>
        <w:ind w:left="0" w:firstLine="420" w:firstLineChars="200"/>
        <w:rPr>
          <w:rFonts w:eastAsia="宋体"/>
          <w:szCs w:val="21"/>
        </w:rPr>
      </w:pPr>
      <w:r>
        <w:rPr>
          <w:rFonts w:eastAsia="宋体"/>
          <w:szCs w:val="21"/>
        </w:rPr>
        <w:t>投标人须知前附表规定了可以偏差的范围和最高偏差项数的，偏差应当符合投标人须知前附表规定的偏差范围和最高项数，超出偏差范围和最高偏差项数的投标将被否决。</w:t>
      </w:r>
    </w:p>
    <w:p>
      <w:pPr>
        <w:numPr>
          <w:ilvl w:val="2"/>
          <w:numId w:val="11"/>
        </w:numPr>
        <w:tabs>
          <w:tab w:val="left" w:pos="993"/>
        </w:tabs>
        <w:spacing w:line="360" w:lineRule="auto"/>
        <w:ind w:left="0" w:firstLine="420" w:firstLineChars="200"/>
        <w:rPr>
          <w:rFonts w:eastAsia="宋体"/>
          <w:szCs w:val="21"/>
        </w:rPr>
      </w:pPr>
      <w:r>
        <w:rPr>
          <w:rFonts w:eastAsia="宋体"/>
          <w:szCs w:val="21"/>
        </w:rPr>
        <w:t>投标文件对招标文件的全部偏差，均应在投标文件的商务和技术偏差表中列明，除列明的内容外，视为投标人响应招标文件的全部要求。</w:t>
      </w:r>
    </w:p>
    <w:p>
      <w:pPr>
        <w:keepNext/>
        <w:keepLines/>
        <w:numPr>
          <w:ilvl w:val="0"/>
          <w:numId w:val="11"/>
        </w:numPr>
        <w:tabs>
          <w:tab w:val="left" w:pos="567"/>
        </w:tabs>
        <w:spacing w:before="151" w:beforeLines="50" w:after="151" w:afterLines="50" w:line="360" w:lineRule="auto"/>
        <w:outlineLvl w:val="1"/>
        <w:rPr>
          <w:rFonts w:eastAsia="黑体"/>
          <w:b/>
          <w:bCs/>
          <w:sz w:val="32"/>
          <w:szCs w:val="32"/>
        </w:rPr>
      </w:pPr>
      <w:bookmarkStart w:id="400" w:name="page20"/>
      <w:bookmarkEnd w:id="400"/>
      <w:bookmarkStart w:id="401" w:name="page22"/>
      <w:bookmarkEnd w:id="401"/>
      <w:bookmarkStart w:id="402" w:name="page21"/>
      <w:bookmarkEnd w:id="402"/>
      <w:bookmarkStart w:id="403" w:name="_Toc294"/>
      <w:bookmarkStart w:id="404" w:name="_Toc2415"/>
      <w:bookmarkStart w:id="405" w:name="_Toc514430366"/>
      <w:bookmarkStart w:id="406" w:name="_Toc13756"/>
      <w:bookmarkStart w:id="407" w:name="_Toc9234"/>
      <w:bookmarkStart w:id="408" w:name="_Toc11024"/>
      <w:bookmarkStart w:id="409" w:name="_Toc30420"/>
      <w:bookmarkStart w:id="410" w:name="_Toc22489"/>
      <w:bookmarkStart w:id="411" w:name="_Toc31993"/>
      <w:bookmarkStart w:id="412" w:name="_Toc22326"/>
      <w:bookmarkStart w:id="413" w:name="_Toc30681"/>
      <w:bookmarkStart w:id="414" w:name="_Toc8983"/>
      <w:bookmarkStart w:id="415" w:name="_Toc18951"/>
      <w:bookmarkStart w:id="416" w:name="_Toc18750"/>
      <w:bookmarkStart w:id="417" w:name="_Toc21398"/>
      <w:bookmarkStart w:id="418" w:name="_Toc19253"/>
      <w:r>
        <w:rPr>
          <w:rFonts w:eastAsia="黑体"/>
          <w:b/>
          <w:bCs/>
          <w:sz w:val="32"/>
          <w:szCs w:val="32"/>
        </w:rPr>
        <w:t>招标文件</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pPr>
        <w:keepNext/>
        <w:keepLines/>
        <w:widowControl w:val="0"/>
        <w:numPr>
          <w:ilvl w:val="1"/>
          <w:numId w:val="11"/>
        </w:numPr>
        <w:spacing w:line="360" w:lineRule="auto"/>
        <w:ind w:left="105" w:leftChars="50" w:firstLine="0"/>
        <w:textAlignment w:val="center"/>
        <w:outlineLvl w:val="2"/>
        <w:rPr>
          <w:rFonts w:eastAsia="黑体"/>
          <w:kern w:val="2"/>
          <w:sz w:val="28"/>
          <w:szCs w:val="28"/>
        </w:rPr>
      </w:pPr>
      <w:bookmarkStart w:id="419" w:name="_Toc19432"/>
      <w:bookmarkStart w:id="420" w:name="_Toc5061"/>
      <w:bookmarkStart w:id="421" w:name="_Toc514430367"/>
      <w:bookmarkStart w:id="422" w:name="_Toc8048"/>
      <w:bookmarkStart w:id="423" w:name="_Toc6057"/>
      <w:bookmarkStart w:id="424" w:name="_Toc28134"/>
      <w:bookmarkStart w:id="425" w:name="_Toc16457"/>
      <w:bookmarkStart w:id="426" w:name="_Toc29997"/>
      <w:bookmarkStart w:id="427" w:name="_Toc32221"/>
      <w:bookmarkStart w:id="428" w:name="_Toc20656"/>
      <w:bookmarkStart w:id="429" w:name="_Toc29619"/>
      <w:bookmarkStart w:id="430" w:name="_Toc26133"/>
      <w:bookmarkStart w:id="431" w:name="_Toc21356"/>
      <w:bookmarkStart w:id="432" w:name="_Toc8255"/>
      <w:bookmarkStart w:id="433" w:name="_Toc7870"/>
      <w:bookmarkStart w:id="434" w:name="_Toc19128"/>
      <w:bookmarkStart w:id="435" w:name="_Toc3052"/>
      <w:r>
        <w:rPr>
          <w:rFonts w:eastAsia="黑体"/>
          <w:kern w:val="2"/>
          <w:sz w:val="28"/>
          <w:szCs w:val="28"/>
        </w:rPr>
        <w:t>招标文件的组成</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pPr>
        <w:spacing w:line="360" w:lineRule="auto"/>
        <w:ind w:firstLine="420" w:firstLineChars="200"/>
        <w:rPr>
          <w:rFonts w:eastAsia="宋体"/>
          <w:szCs w:val="21"/>
        </w:rPr>
      </w:pPr>
      <w:r>
        <w:rPr>
          <w:rFonts w:eastAsia="宋体"/>
          <w:szCs w:val="21"/>
        </w:rPr>
        <w:t>本招标文件包括：</w:t>
      </w:r>
    </w:p>
    <w:p>
      <w:pPr>
        <w:spacing w:line="360" w:lineRule="auto"/>
        <w:ind w:firstLine="420" w:firstLineChars="200"/>
        <w:rPr>
          <w:rFonts w:eastAsia="宋体"/>
          <w:szCs w:val="21"/>
        </w:rPr>
      </w:pPr>
      <w:r>
        <w:rPr>
          <w:rFonts w:eastAsia="宋体"/>
          <w:szCs w:val="21"/>
        </w:rPr>
        <w:t>（</w:t>
      </w:r>
      <w:r>
        <w:rPr>
          <w:rFonts w:eastAsia="Times New Roman"/>
          <w:szCs w:val="21"/>
        </w:rPr>
        <w:t>1</w:t>
      </w:r>
      <w:r>
        <w:rPr>
          <w:rFonts w:eastAsia="宋体"/>
          <w:szCs w:val="21"/>
        </w:rPr>
        <w:t>） 招标公告（或投标邀请书）；</w:t>
      </w:r>
    </w:p>
    <w:p>
      <w:pPr>
        <w:spacing w:line="360" w:lineRule="auto"/>
        <w:ind w:firstLine="420" w:firstLineChars="200"/>
        <w:rPr>
          <w:rFonts w:eastAsia="宋体"/>
          <w:szCs w:val="21"/>
        </w:rPr>
      </w:pPr>
      <w:r>
        <w:rPr>
          <w:rFonts w:eastAsia="宋体"/>
          <w:szCs w:val="21"/>
        </w:rPr>
        <w:t>（</w:t>
      </w:r>
      <w:r>
        <w:rPr>
          <w:rFonts w:eastAsia="Times New Roman"/>
          <w:szCs w:val="21"/>
        </w:rPr>
        <w:t>2</w:t>
      </w:r>
      <w:r>
        <w:rPr>
          <w:rFonts w:eastAsia="宋体"/>
          <w:szCs w:val="21"/>
        </w:rPr>
        <w:t>） 投标人须知；</w:t>
      </w:r>
    </w:p>
    <w:p>
      <w:pPr>
        <w:spacing w:line="360" w:lineRule="auto"/>
        <w:ind w:firstLine="420" w:firstLineChars="200"/>
        <w:rPr>
          <w:rFonts w:eastAsia="宋体"/>
          <w:szCs w:val="21"/>
        </w:rPr>
      </w:pPr>
      <w:r>
        <w:rPr>
          <w:rFonts w:eastAsia="宋体"/>
          <w:szCs w:val="21"/>
        </w:rPr>
        <w:t>（</w:t>
      </w:r>
      <w:r>
        <w:rPr>
          <w:rFonts w:eastAsia="Times New Roman"/>
          <w:szCs w:val="21"/>
        </w:rPr>
        <w:t>3</w:t>
      </w:r>
      <w:r>
        <w:rPr>
          <w:rFonts w:eastAsia="宋体"/>
          <w:szCs w:val="21"/>
        </w:rPr>
        <w:t>） 评标办法；</w:t>
      </w:r>
    </w:p>
    <w:p>
      <w:pPr>
        <w:spacing w:line="360" w:lineRule="auto"/>
        <w:ind w:firstLine="420" w:firstLineChars="200"/>
        <w:rPr>
          <w:rFonts w:eastAsia="宋体"/>
          <w:szCs w:val="21"/>
        </w:rPr>
      </w:pPr>
      <w:r>
        <w:rPr>
          <w:rFonts w:eastAsia="宋体"/>
          <w:szCs w:val="21"/>
        </w:rPr>
        <w:t>（</w:t>
      </w:r>
      <w:r>
        <w:rPr>
          <w:rFonts w:eastAsia="Times New Roman"/>
          <w:szCs w:val="21"/>
        </w:rPr>
        <w:t>4</w:t>
      </w:r>
      <w:r>
        <w:rPr>
          <w:rFonts w:eastAsia="宋体"/>
          <w:szCs w:val="21"/>
        </w:rPr>
        <w:t>） 合同条款及格式；</w:t>
      </w:r>
    </w:p>
    <w:p>
      <w:pPr>
        <w:spacing w:line="360" w:lineRule="auto"/>
        <w:ind w:firstLine="420" w:firstLineChars="200"/>
        <w:rPr>
          <w:rFonts w:eastAsia="宋体"/>
          <w:szCs w:val="21"/>
        </w:rPr>
      </w:pPr>
      <w:r>
        <w:rPr>
          <w:rFonts w:eastAsia="宋体"/>
          <w:szCs w:val="21"/>
        </w:rPr>
        <w:t>（</w:t>
      </w:r>
      <w:r>
        <w:rPr>
          <w:rFonts w:eastAsia="Times New Roman"/>
          <w:szCs w:val="21"/>
        </w:rPr>
        <w:t>5</w:t>
      </w:r>
      <w:r>
        <w:rPr>
          <w:rFonts w:eastAsia="宋体"/>
          <w:szCs w:val="21"/>
        </w:rPr>
        <w:t>） 用户需求书；</w:t>
      </w:r>
    </w:p>
    <w:p>
      <w:pPr>
        <w:spacing w:line="360" w:lineRule="auto"/>
        <w:ind w:firstLine="420" w:firstLineChars="200"/>
        <w:rPr>
          <w:rFonts w:eastAsia="宋体"/>
          <w:szCs w:val="21"/>
        </w:rPr>
      </w:pPr>
      <w:r>
        <w:rPr>
          <w:rFonts w:eastAsia="宋体"/>
          <w:szCs w:val="21"/>
        </w:rPr>
        <w:t>（</w:t>
      </w:r>
      <w:r>
        <w:rPr>
          <w:rFonts w:eastAsia="Times New Roman"/>
          <w:szCs w:val="21"/>
        </w:rPr>
        <w:t>6</w:t>
      </w:r>
      <w:r>
        <w:rPr>
          <w:rFonts w:eastAsia="宋体"/>
          <w:szCs w:val="21"/>
        </w:rPr>
        <w:t>） 投标文件格式；</w:t>
      </w:r>
    </w:p>
    <w:p>
      <w:pPr>
        <w:spacing w:line="360" w:lineRule="auto"/>
        <w:ind w:firstLine="420" w:firstLineChars="200"/>
        <w:rPr>
          <w:rFonts w:eastAsia="宋体"/>
          <w:szCs w:val="21"/>
        </w:rPr>
      </w:pPr>
      <w:r>
        <w:rPr>
          <w:rFonts w:eastAsia="宋体"/>
          <w:szCs w:val="21"/>
        </w:rPr>
        <w:t>（</w:t>
      </w:r>
      <w:r>
        <w:rPr>
          <w:rFonts w:eastAsia="Times New Roman"/>
          <w:szCs w:val="21"/>
        </w:rPr>
        <w:t>7</w:t>
      </w:r>
      <w:r>
        <w:rPr>
          <w:rFonts w:eastAsia="宋体"/>
          <w:szCs w:val="21"/>
        </w:rPr>
        <w:t>） 投标人须知前附表规定的其他资料。</w:t>
      </w:r>
    </w:p>
    <w:p>
      <w:pPr>
        <w:spacing w:line="360" w:lineRule="auto"/>
        <w:ind w:firstLine="420" w:firstLineChars="200"/>
        <w:rPr>
          <w:rFonts w:eastAsia="宋体"/>
          <w:szCs w:val="21"/>
        </w:rPr>
      </w:pPr>
      <w:r>
        <w:rPr>
          <w:rFonts w:eastAsia="宋体"/>
          <w:szCs w:val="21"/>
        </w:rPr>
        <w:t>根据本章第 1.9 款、第 2.2 款和第 2.3 款对招标文件所作的澄清、修改，构成招标文件的组成部分。</w:t>
      </w:r>
    </w:p>
    <w:p>
      <w:pPr>
        <w:keepNext/>
        <w:keepLines/>
        <w:widowControl w:val="0"/>
        <w:numPr>
          <w:ilvl w:val="1"/>
          <w:numId w:val="11"/>
        </w:numPr>
        <w:spacing w:line="360" w:lineRule="auto"/>
        <w:ind w:left="105" w:leftChars="50" w:firstLine="0"/>
        <w:textAlignment w:val="center"/>
        <w:outlineLvl w:val="2"/>
        <w:rPr>
          <w:rFonts w:eastAsia="黑体"/>
          <w:kern w:val="2"/>
          <w:sz w:val="28"/>
          <w:szCs w:val="28"/>
        </w:rPr>
      </w:pPr>
      <w:bookmarkStart w:id="436" w:name="_Toc28131"/>
      <w:bookmarkStart w:id="437" w:name="_Toc21498"/>
      <w:bookmarkStart w:id="438" w:name="_Toc22921"/>
      <w:bookmarkStart w:id="439" w:name="_Toc514430368"/>
      <w:bookmarkStart w:id="440" w:name="_Toc30440"/>
      <w:bookmarkStart w:id="441" w:name="_Toc17528"/>
      <w:bookmarkStart w:id="442" w:name="_Toc3759"/>
      <w:bookmarkStart w:id="443" w:name="_Toc11853"/>
      <w:bookmarkStart w:id="444" w:name="_Toc28898"/>
      <w:bookmarkStart w:id="445" w:name="_Toc20019"/>
      <w:bookmarkStart w:id="446" w:name="_Toc25347"/>
      <w:bookmarkStart w:id="447" w:name="_Toc20126"/>
      <w:bookmarkStart w:id="448" w:name="_Toc15265"/>
      <w:bookmarkStart w:id="449" w:name="_Toc15821"/>
      <w:bookmarkStart w:id="450" w:name="_Toc7589"/>
      <w:bookmarkStart w:id="451" w:name="_Toc26719"/>
      <w:bookmarkStart w:id="452" w:name="_Toc20442"/>
      <w:r>
        <w:rPr>
          <w:rFonts w:eastAsia="黑体"/>
          <w:kern w:val="2"/>
          <w:sz w:val="28"/>
          <w:szCs w:val="28"/>
        </w:rPr>
        <w:t>招标文件的澄清</w: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pPr>
        <w:numPr>
          <w:ilvl w:val="2"/>
          <w:numId w:val="11"/>
        </w:numPr>
        <w:tabs>
          <w:tab w:val="left" w:pos="993"/>
        </w:tabs>
        <w:spacing w:line="360" w:lineRule="auto"/>
        <w:ind w:left="0" w:firstLine="420" w:firstLineChars="200"/>
        <w:rPr>
          <w:rFonts w:eastAsia="宋体"/>
          <w:szCs w:val="21"/>
        </w:rPr>
      </w:pPr>
      <w:r>
        <w:rPr>
          <w:rFonts w:eastAsia="宋体"/>
          <w:szCs w:val="21"/>
        </w:rPr>
        <w:t>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numPr>
          <w:ilvl w:val="2"/>
          <w:numId w:val="11"/>
        </w:numPr>
        <w:tabs>
          <w:tab w:val="left" w:pos="993"/>
        </w:tabs>
        <w:spacing w:line="360" w:lineRule="auto"/>
        <w:ind w:left="0" w:firstLine="420" w:firstLineChars="200"/>
        <w:rPr>
          <w:rFonts w:eastAsia="宋体"/>
          <w:szCs w:val="21"/>
        </w:rPr>
      </w:pPr>
      <w:r>
        <w:rPr>
          <w:rFonts w:eastAsia="宋体"/>
          <w:szCs w:val="21"/>
        </w:rPr>
        <w:t>招标文件的澄清以投标人须知前附表规定的形式发给所有购买招标文件的投标人，但不指明澄清问题的来源。澄清发出的时间距本章第 4.2.1 项规定的投标截止时间不足 15 日的，并且澄清内容可能影响投标文件编制的，将相应延长投标截止时间。</w:t>
      </w:r>
    </w:p>
    <w:p>
      <w:pPr>
        <w:numPr>
          <w:ilvl w:val="2"/>
          <w:numId w:val="11"/>
        </w:numPr>
        <w:tabs>
          <w:tab w:val="left" w:pos="993"/>
        </w:tabs>
        <w:spacing w:line="360" w:lineRule="auto"/>
        <w:ind w:left="0" w:firstLine="420" w:firstLineChars="200"/>
        <w:rPr>
          <w:rFonts w:eastAsia="宋体"/>
          <w:szCs w:val="21"/>
        </w:rPr>
      </w:pPr>
      <w:r>
        <w:rPr>
          <w:rFonts w:eastAsia="宋体"/>
          <w:szCs w:val="21"/>
        </w:rPr>
        <w:t>投标人在收到澄清后，应按投标人须知前附表规定的时间和形式通知招标人，确认已收到该澄清。</w:t>
      </w:r>
    </w:p>
    <w:p>
      <w:pPr>
        <w:numPr>
          <w:ilvl w:val="2"/>
          <w:numId w:val="11"/>
        </w:numPr>
        <w:tabs>
          <w:tab w:val="left" w:pos="993"/>
        </w:tabs>
        <w:spacing w:line="360" w:lineRule="auto"/>
        <w:ind w:left="0" w:firstLine="420" w:firstLineChars="200"/>
        <w:rPr>
          <w:rFonts w:eastAsia="宋体"/>
          <w:szCs w:val="21"/>
        </w:rPr>
      </w:pPr>
      <w:r>
        <w:rPr>
          <w:rFonts w:eastAsia="宋体"/>
          <w:szCs w:val="21"/>
        </w:rPr>
        <w:t>除非招标人认为确有必要答复，否则，招标人有权拒绝回复投标人在本章第 2.2.1 项规定的时间后的任何澄清要求。</w:t>
      </w:r>
    </w:p>
    <w:p>
      <w:pPr>
        <w:keepNext/>
        <w:keepLines/>
        <w:widowControl w:val="0"/>
        <w:numPr>
          <w:ilvl w:val="1"/>
          <w:numId w:val="11"/>
        </w:numPr>
        <w:spacing w:line="360" w:lineRule="auto"/>
        <w:ind w:left="105" w:leftChars="50" w:firstLine="0"/>
        <w:textAlignment w:val="center"/>
        <w:outlineLvl w:val="2"/>
        <w:rPr>
          <w:rFonts w:eastAsia="黑体"/>
          <w:kern w:val="2"/>
          <w:sz w:val="28"/>
          <w:szCs w:val="28"/>
        </w:rPr>
      </w:pPr>
      <w:bookmarkStart w:id="453" w:name="_Toc21058"/>
      <w:bookmarkStart w:id="454" w:name="_Toc13034"/>
      <w:bookmarkStart w:id="455" w:name="_Toc11388"/>
      <w:bookmarkStart w:id="456" w:name="_Toc30195"/>
      <w:bookmarkStart w:id="457" w:name="_Toc31546"/>
      <w:bookmarkStart w:id="458" w:name="_Toc20870"/>
      <w:bookmarkStart w:id="459" w:name="_Toc514430369"/>
      <w:bookmarkStart w:id="460" w:name="_Toc9631"/>
      <w:bookmarkStart w:id="461" w:name="_Toc713"/>
      <w:bookmarkStart w:id="462" w:name="_Toc26329"/>
      <w:bookmarkStart w:id="463" w:name="_Toc29603"/>
      <w:bookmarkStart w:id="464" w:name="_Toc20673"/>
      <w:bookmarkStart w:id="465" w:name="_Toc27956"/>
      <w:bookmarkStart w:id="466" w:name="_Toc14687"/>
      <w:bookmarkStart w:id="467" w:name="_Toc7831"/>
      <w:bookmarkStart w:id="468" w:name="_Toc22836"/>
      <w:bookmarkStart w:id="469" w:name="_Toc1644"/>
      <w:r>
        <w:rPr>
          <w:rFonts w:eastAsia="黑体"/>
          <w:kern w:val="2"/>
          <w:sz w:val="28"/>
          <w:szCs w:val="28"/>
        </w:rPr>
        <w:t>招标文件的修改</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p>
      <w:pPr>
        <w:numPr>
          <w:ilvl w:val="2"/>
          <w:numId w:val="11"/>
        </w:numPr>
        <w:tabs>
          <w:tab w:val="left" w:pos="993"/>
        </w:tabs>
        <w:spacing w:line="360" w:lineRule="auto"/>
        <w:ind w:left="0" w:firstLine="420" w:firstLineChars="200"/>
        <w:rPr>
          <w:rFonts w:eastAsia="宋体"/>
          <w:szCs w:val="21"/>
        </w:rPr>
      </w:pPr>
      <w:r>
        <w:rPr>
          <w:rFonts w:eastAsia="宋体"/>
          <w:szCs w:val="21"/>
        </w:rPr>
        <w:t>招标人以投标人须知前附表规定的形式修改招标文件，并通知所有已购买招标文件的投标人。修改招标文件的时间距本章第 4.2.1 项规定的投标截止时间不足 15 日的，并且修改内容可能影响投标文件编制的，将相应延长投标截止时间。</w:t>
      </w:r>
    </w:p>
    <w:p>
      <w:pPr>
        <w:numPr>
          <w:ilvl w:val="2"/>
          <w:numId w:val="11"/>
        </w:numPr>
        <w:tabs>
          <w:tab w:val="left" w:pos="993"/>
        </w:tabs>
        <w:spacing w:line="360" w:lineRule="auto"/>
        <w:ind w:left="0" w:firstLine="420" w:firstLineChars="200"/>
        <w:rPr>
          <w:rFonts w:eastAsia="宋体"/>
          <w:szCs w:val="21"/>
        </w:rPr>
      </w:pPr>
      <w:r>
        <w:rPr>
          <w:rFonts w:eastAsia="宋体"/>
          <w:szCs w:val="21"/>
        </w:rPr>
        <w:t>投标人收到修改内容后，应按投标人须知前附表规定的时间和形式通知招标人，确认已收到该修改。</w:t>
      </w:r>
    </w:p>
    <w:p>
      <w:pPr>
        <w:keepNext/>
        <w:keepLines/>
        <w:widowControl w:val="0"/>
        <w:numPr>
          <w:ilvl w:val="1"/>
          <w:numId w:val="11"/>
        </w:numPr>
        <w:spacing w:line="360" w:lineRule="auto"/>
        <w:ind w:left="105" w:leftChars="50" w:firstLine="0"/>
        <w:textAlignment w:val="center"/>
        <w:outlineLvl w:val="2"/>
        <w:rPr>
          <w:rFonts w:eastAsia="黑体"/>
          <w:kern w:val="2"/>
          <w:sz w:val="28"/>
          <w:szCs w:val="28"/>
        </w:rPr>
      </w:pPr>
      <w:bookmarkStart w:id="470" w:name="_Toc17864"/>
      <w:bookmarkStart w:id="471" w:name="_Toc514430370"/>
      <w:bookmarkStart w:id="472" w:name="_Toc3843"/>
      <w:bookmarkStart w:id="473" w:name="_Toc19099"/>
      <w:bookmarkStart w:id="474" w:name="_Toc32752"/>
      <w:bookmarkStart w:id="475" w:name="_Toc30116"/>
      <w:bookmarkStart w:id="476" w:name="_Toc1311"/>
      <w:bookmarkStart w:id="477" w:name="_Toc17014"/>
      <w:bookmarkStart w:id="478" w:name="_Toc31660"/>
      <w:bookmarkStart w:id="479" w:name="_Toc28888"/>
      <w:bookmarkStart w:id="480" w:name="_Toc30742"/>
      <w:bookmarkStart w:id="481" w:name="_Toc15978"/>
      <w:bookmarkStart w:id="482" w:name="_Toc5775"/>
      <w:bookmarkStart w:id="483" w:name="_Toc28580"/>
      <w:bookmarkStart w:id="484" w:name="_Toc8124"/>
      <w:bookmarkStart w:id="485" w:name="_Toc3506"/>
      <w:bookmarkStart w:id="486" w:name="_Toc11739"/>
      <w:r>
        <w:rPr>
          <w:rFonts w:eastAsia="黑体"/>
          <w:kern w:val="2"/>
          <w:sz w:val="28"/>
          <w:szCs w:val="28"/>
        </w:rPr>
        <w:t>招标文件的异议</w:t>
      </w:r>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p>
    <w:p>
      <w:pPr>
        <w:spacing w:line="360" w:lineRule="auto"/>
        <w:ind w:firstLine="420" w:firstLineChars="200"/>
        <w:rPr>
          <w:rFonts w:eastAsia="宋体"/>
          <w:szCs w:val="21"/>
        </w:rPr>
      </w:pPr>
      <w:r>
        <w:rPr>
          <w:rFonts w:eastAsia="宋体"/>
          <w:szCs w:val="21"/>
        </w:rPr>
        <w:t>投标人或者其他利害关系人对招标文件有异议的，应当在投标截止时间 10 日前以书面形式提出。招标人将在收到异议之日起 3 日内作出答复；作出答复前，将暂停招标投标活动。</w:t>
      </w:r>
    </w:p>
    <w:p>
      <w:pPr>
        <w:keepNext/>
        <w:keepLines/>
        <w:numPr>
          <w:ilvl w:val="0"/>
          <w:numId w:val="11"/>
        </w:numPr>
        <w:tabs>
          <w:tab w:val="left" w:pos="567"/>
        </w:tabs>
        <w:spacing w:before="151" w:beforeLines="50" w:after="151" w:afterLines="50" w:line="360" w:lineRule="auto"/>
        <w:outlineLvl w:val="1"/>
        <w:rPr>
          <w:rFonts w:eastAsia="黑体"/>
          <w:b/>
          <w:bCs/>
          <w:sz w:val="32"/>
          <w:szCs w:val="32"/>
        </w:rPr>
      </w:pPr>
      <w:bookmarkStart w:id="487" w:name="_Toc23832"/>
      <w:bookmarkStart w:id="488" w:name="_Toc24196"/>
      <w:bookmarkStart w:id="489" w:name="_Toc7289"/>
      <w:bookmarkStart w:id="490" w:name="_Toc10734"/>
      <w:bookmarkStart w:id="491" w:name="_Toc31939"/>
      <w:bookmarkStart w:id="492" w:name="_Toc27131"/>
      <w:bookmarkStart w:id="493" w:name="_Toc15651"/>
      <w:bookmarkStart w:id="494" w:name="_Toc23164"/>
      <w:bookmarkStart w:id="495" w:name="_Toc4979"/>
      <w:bookmarkStart w:id="496" w:name="_Toc514430371"/>
      <w:bookmarkStart w:id="497" w:name="_Toc1029"/>
      <w:bookmarkStart w:id="498" w:name="_Toc11840"/>
      <w:bookmarkStart w:id="499" w:name="_Toc10643"/>
      <w:bookmarkStart w:id="500" w:name="_Toc30181"/>
      <w:bookmarkStart w:id="501" w:name="_Toc11851"/>
      <w:bookmarkStart w:id="502" w:name="_Toc25328"/>
      <w:r>
        <w:rPr>
          <w:rFonts w:eastAsia="黑体"/>
          <w:b/>
          <w:bCs/>
          <w:sz w:val="32"/>
          <w:szCs w:val="32"/>
        </w:rPr>
        <w:t>投标文件</w:t>
      </w:r>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p>
    <w:p>
      <w:pPr>
        <w:keepNext/>
        <w:keepLines/>
        <w:widowControl w:val="0"/>
        <w:numPr>
          <w:ilvl w:val="1"/>
          <w:numId w:val="11"/>
        </w:numPr>
        <w:spacing w:line="360" w:lineRule="auto"/>
        <w:ind w:left="105" w:leftChars="50" w:firstLine="0"/>
        <w:textAlignment w:val="center"/>
        <w:outlineLvl w:val="2"/>
        <w:rPr>
          <w:rFonts w:eastAsia="黑体"/>
          <w:kern w:val="2"/>
          <w:sz w:val="28"/>
          <w:szCs w:val="28"/>
        </w:rPr>
      </w:pPr>
      <w:bookmarkStart w:id="503" w:name="_Toc56138987"/>
      <w:bookmarkStart w:id="504" w:name="_Toc56409012"/>
      <w:bookmarkStart w:id="505" w:name="_Toc56153759"/>
      <w:bookmarkStart w:id="506" w:name="_Toc54368803"/>
      <w:bookmarkStart w:id="507" w:name="_Toc54318878"/>
      <w:bookmarkStart w:id="508" w:name="_Toc56141797"/>
      <w:bookmarkStart w:id="509" w:name="_Toc26108294"/>
      <w:bookmarkStart w:id="510" w:name="_Toc25947982"/>
      <w:bookmarkStart w:id="511" w:name="_Toc55654445"/>
      <w:bookmarkStart w:id="512" w:name="_Toc59900872"/>
      <w:bookmarkStart w:id="513" w:name="_Toc54329068"/>
      <w:bookmarkStart w:id="514" w:name="_Toc54330897"/>
      <w:bookmarkStart w:id="515" w:name="_Toc55705073"/>
      <w:bookmarkStart w:id="516" w:name="_Toc54372572"/>
      <w:bookmarkStart w:id="517" w:name="_Toc54371988"/>
      <w:bookmarkStart w:id="518" w:name="_Toc59896601"/>
      <w:bookmarkStart w:id="519" w:name="_Toc55707578"/>
      <w:bookmarkStart w:id="520" w:name="_Toc55639310"/>
      <w:bookmarkStart w:id="521" w:name="_Toc54372154"/>
      <w:bookmarkStart w:id="522" w:name="_Toc455145897"/>
      <w:bookmarkStart w:id="523" w:name="_Toc467764196"/>
      <w:bookmarkStart w:id="524" w:name="_Toc916"/>
      <w:bookmarkStart w:id="525" w:name="_Toc19716"/>
      <w:bookmarkStart w:id="526" w:name="_Toc4473"/>
      <w:bookmarkStart w:id="527" w:name="_Toc10337"/>
      <w:bookmarkStart w:id="528" w:name="_Toc514430372"/>
      <w:bookmarkStart w:id="529" w:name="_Toc29562"/>
      <w:bookmarkStart w:id="530" w:name="_Toc10235"/>
      <w:bookmarkStart w:id="531" w:name="_Toc7824"/>
      <w:bookmarkStart w:id="532" w:name="_Toc30290"/>
      <w:bookmarkStart w:id="533" w:name="_Toc12590"/>
      <w:bookmarkStart w:id="534" w:name="_Toc11743"/>
      <w:bookmarkStart w:id="535" w:name="_Toc18663"/>
      <w:bookmarkStart w:id="536" w:name="_Toc32021"/>
      <w:bookmarkStart w:id="537" w:name="_Toc1544"/>
      <w:bookmarkStart w:id="538" w:name="_Toc21603"/>
      <w:bookmarkStart w:id="539" w:name="_Toc7654"/>
      <w:bookmarkStart w:id="540" w:name="_Toc14289"/>
      <w:r>
        <w:rPr>
          <w:rFonts w:eastAsia="黑体"/>
          <w:kern w:val="2"/>
          <w:sz w:val="28"/>
          <w:szCs w:val="28"/>
        </w:rPr>
        <w:t>投标文件的内容</w:t>
      </w:r>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r>
        <w:rPr>
          <w:rFonts w:eastAsia="黑体"/>
          <w:kern w:val="2"/>
          <w:sz w:val="28"/>
          <w:szCs w:val="28"/>
        </w:rPr>
        <w:t>及格式</w:t>
      </w:r>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p>
    <w:p>
      <w:pPr>
        <w:numPr>
          <w:ilvl w:val="2"/>
          <w:numId w:val="11"/>
        </w:numPr>
        <w:tabs>
          <w:tab w:val="left" w:pos="993"/>
        </w:tabs>
        <w:spacing w:line="360" w:lineRule="auto"/>
        <w:ind w:left="0" w:firstLine="420" w:firstLineChars="200"/>
        <w:rPr>
          <w:rFonts w:eastAsia="宋体"/>
          <w:szCs w:val="21"/>
        </w:rPr>
      </w:pPr>
      <w:r>
        <w:rPr>
          <w:rFonts w:eastAsia="宋体"/>
          <w:szCs w:val="21"/>
        </w:rPr>
        <w:t>投标文件应包括下列内容：</w:t>
      </w:r>
    </w:p>
    <w:p>
      <w:pPr>
        <w:spacing w:line="360" w:lineRule="auto"/>
        <w:ind w:firstLine="420" w:firstLineChars="200"/>
        <w:rPr>
          <w:rFonts w:eastAsia="宋体"/>
          <w:szCs w:val="21"/>
        </w:rPr>
      </w:pPr>
      <w:r>
        <w:rPr>
          <w:rFonts w:eastAsia="宋体"/>
          <w:szCs w:val="21"/>
        </w:rPr>
        <w:t>（1）投标函</w:t>
      </w:r>
    </w:p>
    <w:p>
      <w:pPr>
        <w:spacing w:line="360" w:lineRule="auto"/>
        <w:ind w:firstLine="420" w:firstLineChars="200"/>
        <w:rPr>
          <w:rFonts w:eastAsia="宋体"/>
          <w:szCs w:val="21"/>
        </w:rPr>
      </w:pPr>
      <w:r>
        <w:rPr>
          <w:rFonts w:eastAsia="宋体"/>
          <w:szCs w:val="21"/>
        </w:rPr>
        <w:t>（2）法定代表人（单位负责人）身份证明或授权委托书</w:t>
      </w:r>
    </w:p>
    <w:p>
      <w:pPr>
        <w:spacing w:line="360" w:lineRule="auto"/>
        <w:ind w:firstLine="420" w:firstLineChars="200"/>
        <w:rPr>
          <w:rFonts w:eastAsia="宋体"/>
          <w:szCs w:val="21"/>
        </w:rPr>
      </w:pPr>
      <w:r>
        <w:rPr>
          <w:rFonts w:eastAsia="宋体"/>
          <w:szCs w:val="21"/>
        </w:rPr>
        <w:t>（</w:t>
      </w:r>
      <w:r>
        <w:rPr>
          <w:rFonts w:hint="eastAsia" w:eastAsia="宋体"/>
          <w:szCs w:val="21"/>
        </w:rPr>
        <w:t>3</w:t>
      </w:r>
      <w:r>
        <w:rPr>
          <w:rFonts w:eastAsia="宋体"/>
          <w:szCs w:val="21"/>
        </w:rPr>
        <w:t>）商务和技术偏差表-商务偏差表</w:t>
      </w:r>
    </w:p>
    <w:p>
      <w:pPr>
        <w:spacing w:line="360" w:lineRule="auto"/>
        <w:ind w:firstLine="420" w:firstLineChars="200"/>
        <w:rPr>
          <w:rFonts w:eastAsia="宋体"/>
          <w:szCs w:val="21"/>
        </w:rPr>
      </w:pPr>
      <w:r>
        <w:rPr>
          <w:rFonts w:eastAsia="宋体"/>
          <w:szCs w:val="21"/>
        </w:rPr>
        <w:t>（</w:t>
      </w:r>
      <w:r>
        <w:rPr>
          <w:rFonts w:hint="eastAsia" w:eastAsia="宋体"/>
          <w:szCs w:val="21"/>
        </w:rPr>
        <w:t>4</w:t>
      </w:r>
      <w:r>
        <w:rPr>
          <w:rFonts w:eastAsia="宋体"/>
          <w:szCs w:val="21"/>
        </w:rPr>
        <w:t>）资格审查资料</w:t>
      </w:r>
    </w:p>
    <w:p>
      <w:pPr>
        <w:spacing w:line="360" w:lineRule="auto"/>
        <w:ind w:firstLine="420" w:firstLineChars="200"/>
        <w:rPr>
          <w:rFonts w:eastAsia="宋体"/>
          <w:szCs w:val="21"/>
        </w:rPr>
      </w:pPr>
      <w:r>
        <w:rPr>
          <w:rFonts w:eastAsia="宋体"/>
          <w:szCs w:val="21"/>
        </w:rPr>
        <w:t>（</w:t>
      </w:r>
      <w:r>
        <w:rPr>
          <w:rFonts w:hint="eastAsia" w:eastAsia="宋体"/>
          <w:szCs w:val="21"/>
        </w:rPr>
        <w:t>5</w:t>
      </w:r>
      <w:r>
        <w:rPr>
          <w:rFonts w:eastAsia="宋体"/>
          <w:szCs w:val="21"/>
        </w:rPr>
        <w:t>）商务和技术偏差表-技术偏差表</w:t>
      </w:r>
    </w:p>
    <w:p>
      <w:pPr>
        <w:spacing w:line="360" w:lineRule="auto"/>
        <w:ind w:firstLine="420" w:firstLineChars="200"/>
        <w:rPr>
          <w:rFonts w:eastAsia="宋体"/>
          <w:szCs w:val="21"/>
        </w:rPr>
      </w:pPr>
      <w:r>
        <w:rPr>
          <w:rFonts w:eastAsia="宋体"/>
          <w:szCs w:val="21"/>
        </w:rPr>
        <w:t>（</w:t>
      </w:r>
      <w:r>
        <w:rPr>
          <w:rFonts w:hint="eastAsia" w:eastAsia="宋体"/>
          <w:szCs w:val="21"/>
        </w:rPr>
        <w:t>6</w:t>
      </w:r>
      <w:r>
        <w:rPr>
          <w:rFonts w:eastAsia="宋体"/>
          <w:szCs w:val="21"/>
        </w:rPr>
        <w:t>）</w:t>
      </w:r>
      <w:r>
        <w:rPr>
          <w:rFonts w:hint="eastAsia" w:eastAsia="宋体"/>
          <w:szCs w:val="21"/>
        </w:rPr>
        <w:t>企业业绩</w:t>
      </w:r>
    </w:p>
    <w:p>
      <w:pPr>
        <w:spacing w:line="360" w:lineRule="auto"/>
        <w:ind w:firstLine="420" w:firstLineChars="200"/>
        <w:rPr>
          <w:rFonts w:eastAsia="宋体"/>
          <w:szCs w:val="21"/>
        </w:rPr>
      </w:pPr>
      <w:r>
        <w:rPr>
          <w:rFonts w:eastAsia="宋体"/>
          <w:szCs w:val="21"/>
        </w:rPr>
        <w:t>（</w:t>
      </w:r>
      <w:r>
        <w:rPr>
          <w:rFonts w:hint="eastAsia" w:eastAsia="宋体"/>
          <w:szCs w:val="21"/>
        </w:rPr>
        <w:t>7</w:t>
      </w:r>
      <w:r>
        <w:rPr>
          <w:rFonts w:eastAsia="宋体"/>
          <w:szCs w:val="21"/>
        </w:rPr>
        <w:t>）</w:t>
      </w:r>
      <w:r>
        <w:rPr>
          <w:rFonts w:hint="eastAsia" w:eastAsia="宋体"/>
          <w:szCs w:val="21"/>
        </w:rPr>
        <w:t>项目负责人业绩</w:t>
      </w:r>
    </w:p>
    <w:p>
      <w:pPr>
        <w:spacing w:line="360" w:lineRule="auto"/>
        <w:ind w:firstLine="420" w:firstLineChars="200"/>
        <w:rPr>
          <w:rFonts w:hint="eastAsia" w:eastAsia="宋体"/>
          <w:szCs w:val="21"/>
        </w:rPr>
      </w:pPr>
      <w:r>
        <w:rPr>
          <w:rFonts w:eastAsia="宋体"/>
          <w:szCs w:val="21"/>
        </w:rPr>
        <w:t>（</w:t>
      </w:r>
      <w:r>
        <w:rPr>
          <w:rFonts w:hint="eastAsia" w:eastAsia="宋体"/>
          <w:szCs w:val="21"/>
        </w:rPr>
        <w:t>8</w:t>
      </w:r>
      <w:r>
        <w:rPr>
          <w:rFonts w:eastAsia="宋体"/>
          <w:szCs w:val="21"/>
        </w:rPr>
        <w:t>）</w:t>
      </w:r>
      <w:r>
        <w:rPr>
          <w:rFonts w:hint="eastAsia" w:eastAsia="宋体"/>
          <w:szCs w:val="21"/>
        </w:rPr>
        <w:t>技术方案</w:t>
      </w:r>
    </w:p>
    <w:p>
      <w:pPr>
        <w:spacing w:line="360" w:lineRule="auto"/>
        <w:ind w:firstLine="420" w:firstLineChars="200"/>
        <w:rPr>
          <w:rFonts w:eastAsia="宋体"/>
          <w:szCs w:val="21"/>
        </w:rPr>
      </w:pPr>
      <w:r>
        <w:rPr>
          <w:rFonts w:eastAsia="宋体"/>
          <w:szCs w:val="21"/>
        </w:rPr>
        <w:t>（</w:t>
      </w:r>
      <w:r>
        <w:rPr>
          <w:rFonts w:hint="eastAsia" w:eastAsia="宋体"/>
          <w:szCs w:val="21"/>
        </w:rPr>
        <w:t>9</w:t>
      </w:r>
      <w:r>
        <w:rPr>
          <w:rFonts w:eastAsia="宋体"/>
          <w:szCs w:val="21"/>
        </w:rPr>
        <w:t>）</w:t>
      </w:r>
      <w:r>
        <w:rPr>
          <w:rFonts w:hint="eastAsia" w:eastAsia="宋体"/>
          <w:szCs w:val="21"/>
        </w:rPr>
        <w:t>分项报价表</w:t>
      </w:r>
    </w:p>
    <w:p>
      <w:pPr>
        <w:spacing w:line="360" w:lineRule="auto"/>
        <w:ind w:firstLine="420" w:firstLineChars="200"/>
        <w:rPr>
          <w:rFonts w:eastAsia="宋体"/>
          <w:szCs w:val="21"/>
        </w:rPr>
      </w:pPr>
      <w:r>
        <w:rPr>
          <w:rFonts w:eastAsia="宋体"/>
          <w:szCs w:val="21"/>
        </w:rPr>
        <w:t>（</w:t>
      </w:r>
      <w:r>
        <w:rPr>
          <w:rFonts w:eastAsia="Times New Roman"/>
          <w:szCs w:val="21"/>
        </w:rPr>
        <w:t>1</w:t>
      </w:r>
      <w:r>
        <w:rPr>
          <w:rFonts w:hint="eastAsia" w:eastAsia="宋体"/>
          <w:szCs w:val="21"/>
        </w:rPr>
        <w:t>0</w:t>
      </w:r>
      <w:r>
        <w:rPr>
          <w:rFonts w:eastAsia="宋体"/>
          <w:szCs w:val="21"/>
        </w:rPr>
        <w:t>）投标人须知前附表规定的其他资料。</w:t>
      </w:r>
    </w:p>
    <w:p>
      <w:pPr>
        <w:spacing w:line="360" w:lineRule="auto"/>
        <w:ind w:firstLine="420" w:firstLineChars="200"/>
        <w:rPr>
          <w:rFonts w:eastAsia="宋体"/>
          <w:szCs w:val="21"/>
        </w:rPr>
      </w:pPr>
      <w:r>
        <w:rPr>
          <w:rFonts w:eastAsia="宋体"/>
          <w:szCs w:val="21"/>
        </w:rPr>
        <w:t>投标人在评标过程中作出的符合法律法规和招标文件规定的澄清确认，构成投标文件的组成部分。</w:t>
      </w:r>
    </w:p>
    <w:p>
      <w:pPr>
        <w:numPr>
          <w:ilvl w:val="2"/>
          <w:numId w:val="11"/>
        </w:numPr>
        <w:tabs>
          <w:tab w:val="left" w:pos="993"/>
        </w:tabs>
        <w:spacing w:line="360" w:lineRule="auto"/>
        <w:ind w:left="0" w:firstLine="420" w:firstLineChars="200"/>
        <w:rPr>
          <w:rFonts w:eastAsia="宋体"/>
          <w:szCs w:val="21"/>
        </w:rPr>
      </w:pPr>
      <w:r>
        <w:rPr>
          <w:rFonts w:eastAsia="宋体"/>
          <w:szCs w:val="21"/>
        </w:rPr>
        <w:t>投标人须知前附表规定不接受联合体投标</w:t>
      </w:r>
      <w:r>
        <w:rPr>
          <w:rFonts w:hint="eastAsia" w:eastAsia="宋体"/>
          <w:szCs w:val="21"/>
        </w:rPr>
        <w:t>。</w:t>
      </w:r>
    </w:p>
    <w:p>
      <w:pPr>
        <w:numPr>
          <w:ilvl w:val="2"/>
          <w:numId w:val="11"/>
        </w:numPr>
        <w:tabs>
          <w:tab w:val="left" w:pos="993"/>
        </w:tabs>
        <w:spacing w:line="360" w:lineRule="auto"/>
        <w:ind w:left="0" w:firstLine="420" w:firstLineChars="200"/>
        <w:rPr>
          <w:rFonts w:eastAsia="宋体"/>
          <w:szCs w:val="21"/>
        </w:rPr>
      </w:pPr>
      <w:r>
        <w:rPr>
          <w:rFonts w:eastAsia="宋体"/>
          <w:szCs w:val="21"/>
        </w:rPr>
        <w:t>投标人须知前附表未要求提交投标保证金</w:t>
      </w:r>
      <w:r>
        <w:rPr>
          <w:rFonts w:hint="eastAsia" w:eastAsia="宋体"/>
          <w:szCs w:val="21"/>
        </w:rPr>
        <w:t>。</w:t>
      </w:r>
    </w:p>
    <w:p>
      <w:pPr>
        <w:keepNext/>
        <w:keepLines/>
        <w:widowControl w:val="0"/>
        <w:numPr>
          <w:ilvl w:val="1"/>
          <w:numId w:val="11"/>
        </w:numPr>
        <w:spacing w:line="360" w:lineRule="auto"/>
        <w:ind w:left="105" w:leftChars="50" w:firstLine="0"/>
        <w:textAlignment w:val="center"/>
        <w:outlineLvl w:val="2"/>
        <w:rPr>
          <w:rFonts w:eastAsia="黑体"/>
          <w:kern w:val="2"/>
          <w:sz w:val="28"/>
          <w:szCs w:val="28"/>
        </w:rPr>
      </w:pPr>
      <w:bookmarkStart w:id="541" w:name="_Toc29442"/>
      <w:bookmarkStart w:id="542" w:name="_Toc9041"/>
      <w:bookmarkStart w:id="543" w:name="_Toc24306"/>
      <w:bookmarkStart w:id="544" w:name="_Toc514430373"/>
      <w:bookmarkStart w:id="545" w:name="_Toc8861"/>
      <w:bookmarkStart w:id="546" w:name="_Toc10247"/>
      <w:bookmarkStart w:id="547" w:name="_Toc25810"/>
      <w:bookmarkStart w:id="548" w:name="_Toc19771"/>
      <w:bookmarkStart w:id="549" w:name="_Toc18242"/>
      <w:bookmarkStart w:id="550" w:name="_Toc24123"/>
      <w:bookmarkStart w:id="551" w:name="_Toc23937"/>
      <w:bookmarkStart w:id="552" w:name="_Toc39"/>
      <w:bookmarkStart w:id="553" w:name="_Toc25542"/>
      <w:bookmarkStart w:id="554" w:name="_Toc1196"/>
      <w:bookmarkStart w:id="555" w:name="_Toc29364"/>
      <w:bookmarkStart w:id="556" w:name="_Toc24644"/>
      <w:bookmarkStart w:id="557" w:name="_Toc15950"/>
      <w:r>
        <w:rPr>
          <w:rFonts w:eastAsia="黑体"/>
          <w:kern w:val="2"/>
          <w:sz w:val="28"/>
          <w:szCs w:val="28"/>
        </w:rPr>
        <w:t>投标报价</w:t>
      </w:r>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p>
      <w:pPr>
        <w:numPr>
          <w:ilvl w:val="2"/>
          <w:numId w:val="11"/>
        </w:numPr>
        <w:tabs>
          <w:tab w:val="left" w:pos="993"/>
        </w:tabs>
        <w:spacing w:line="360" w:lineRule="auto"/>
        <w:ind w:left="0" w:firstLine="420" w:firstLineChars="200"/>
        <w:rPr>
          <w:rFonts w:eastAsia="宋体"/>
          <w:szCs w:val="21"/>
        </w:rPr>
      </w:pPr>
      <w:r>
        <w:rPr>
          <w:rFonts w:eastAsia="宋体"/>
          <w:szCs w:val="21"/>
        </w:rPr>
        <w:t>投标报价应包括国家规定的增值税税金，除投标人须知前附表另有规定外，增值税税金按一般计税方法计算。投标人应按第</w:t>
      </w:r>
      <w:r>
        <w:rPr>
          <w:rFonts w:ascii="宋体" w:hAnsi="宋体" w:eastAsia="宋体"/>
          <w:szCs w:val="21"/>
        </w:rPr>
        <w:t>六章“投标文件格式”的要求</w:t>
      </w:r>
      <w:r>
        <w:rPr>
          <w:rFonts w:eastAsia="宋体"/>
          <w:szCs w:val="21"/>
        </w:rPr>
        <w:t>在投标函中进行报价并填写分项报价表。</w:t>
      </w:r>
    </w:p>
    <w:p>
      <w:pPr>
        <w:numPr>
          <w:ilvl w:val="2"/>
          <w:numId w:val="11"/>
        </w:numPr>
        <w:tabs>
          <w:tab w:val="left" w:pos="993"/>
        </w:tabs>
        <w:spacing w:line="360" w:lineRule="auto"/>
        <w:ind w:left="0" w:firstLine="420" w:firstLineChars="200"/>
        <w:rPr>
          <w:rFonts w:eastAsia="宋体"/>
          <w:szCs w:val="21"/>
        </w:rPr>
      </w:pPr>
      <w:r>
        <w:rPr>
          <w:rFonts w:eastAsia="宋体"/>
          <w:szCs w:val="21"/>
        </w:rPr>
        <w:t>投标人应充分了解该项目的总体情况以及影响投标报价的其他要素。</w:t>
      </w:r>
    </w:p>
    <w:p>
      <w:pPr>
        <w:numPr>
          <w:ilvl w:val="2"/>
          <w:numId w:val="11"/>
        </w:numPr>
        <w:tabs>
          <w:tab w:val="left" w:pos="993"/>
        </w:tabs>
        <w:spacing w:line="360" w:lineRule="auto"/>
        <w:ind w:left="0" w:firstLine="420" w:firstLineChars="200"/>
        <w:rPr>
          <w:rFonts w:eastAsia="宋体"/>
          <w:szCs w:val="21"/>
        </w:rPr>
      </w:pPr>
      <w:r>
        <w:rPr>
          <w:rFonts w:eastAsia="宋体"/>
          <w:szCs w:val="21"/>
        </w:rPr>
        <w:t>投标报价为各分项报价金额之和，投标报价与分项报价的合价不一致的，应以各分项合价累计数为准，修正投标报价；如分项报价中存在缺漏项，则视为缺漏项价格已包含在其他分项报价之中。投标人在投标截止时间前修改投标函中的投标报价总额，应同时修改</w:t>
      </w:r>
      <w:r>
        <w:rPr>
          <w:rFonts w:ascii="宋体" w:hAnsi="宋体" w:eastAsia="宋体"/>
          <w:szCs w:val="21"/>
        </w:rPr>
        <w:t>投标文件“分项报价表”中的相应</w:t>
      </w:r>
      <w:r>
        <w:rPr>
          <w:rFonts w:eastAsia="宋体"/>
          <w:szCs w:val="21"/>
        </w:rPr>
        <w:t>报价。此修改须符合本章第 4.3 款的有关要求。</w:t>
      </w:r>
    </w:p>
    <w:p>
      <w:pPr>
        <w:numPr>
          <w:ilvl w:val="2"/>
          <w:numId w:val="11"/>
        </w:numPr>
        <w:tabs>
          <w:tab w:val="left" w:pos="993"/>
        </w:tabs>
        <w:spacing w:line="360" w:lineRule="auto"/>
        <w:ind w:left="0" w:firstLine="420" w:firstLineChars="200"/>
        <w:rPr>
          <w:rFonts w:eastAsia="宋体"/>
          <w:szCs w:val="21"/>
        </w:rPr>
      </w:pPr>
      <w:r>
        <w:rPr>
          <w:rFonts w:eastAsia="宋体"/>
          <w:szCs w:val="21"/>
        </w:rPr>
        <w:t>招标人设有最高投标限价的，投标人的投标报价不得超过最高投标限价，最高投标限价在投标人须知前附表中载明。</w:t>
      </w:r>
    </w:p>
    <w:p>
      <w:pPr>
        <w:numPr>
          <w:ilvl w:val="2"/>
          <w:numId w:val="11"/>
        </w:numPr>
        <w:tabs>
          <w:tab w:val="left" w:pos="993"/>
        </w:tabs>
        <w:spacing w:line="360" w:lineRule="auto"/>
        <w:ind w:left="0" w:firstLine="420" w:firstLineChars="200"/>
        <w:rPr>
          <w:rFonts w:eastAsia="宋体"/>
          <w:szCs w:val="21"/>
        </w:rPr>
      </w:pPr>
      <w:r>
        <w:rPr>
          <w:rFonts w:eastAsia="宋体"/>
          <w:szCs w:val="21"/>
        </w:rPr>
        <w:t>投标报价的其他要求见投标人须知前附表。</w:t>
      </w:r>
    </w:p>
    <w:p>
      <w:pPr>
        <w:keepNext/>
        <w:keepLines/>
        <w:widowControl w:val="0"/>
        <w:numPr>
          <w:ilvl w:val="1"/>
          <w:numId w:val="11"/>
        </w:numPr>
        <w:spacing w:line="360" w:lineRule="auto"/>
        <w:ind w:left="105" w:leftChars="50" w:firstLine="0"/>
        <w:textAlignment w:val="center"/>
        <w:outlineLvl w:val="2"/>
        <w:rPr>
          <w:rFonts w:eastAsia="黑体"/>
          <w:kern w:val="2"/>
          <w:sz w:val="28"/>
          <w:szCs w:val="28"/>
        </w:rPr>
      </w:pPr>
      <w:bookmarkStart w:id="558" w:name="_Toc26541"/>
      <w:bookmarkStart w:id="559" w:name="_Toc13153"/>
      <w:bookmarkStart w:id="560" w:name="_Toc15158"/>
      <w:bookmarkStart w:id="561" w:name="_Toc31309"/>
      <w:bookmarkStart w:id="562" w:name="_Toc17297"/>
      <w:bookmarkStart w:id="563" w:name="_Toc7088"/>
      <w:bookmarkStart w:id="564" w:name="_Toc16925"/>
      <w:bookmarkStart w:id="565" w:name="_Toc19348"/>
      <w:bookmarkStart w:id="566" w:name="_Toc27620"/>
      <w:bookmarkStart w:id="567" w:name="_Toc7412"/>
      <w:bookmarkStart w:id="568" w:name="_Toc13571"/>
      <w:bookmarkStart w:id="569" w:name="_Toc514430374"/>
      <w:bookmarkStart w:id="570" w:name="_Toc22573"/>
      <w:bookmarkStart w:id="571" w:name="_Toc12347"/>
      <w:bookmarkStart w:id="572" w:name="_Toc23389"/>
      <w:bookmarkStart w:id="573" w:name="_Toc17223"/>
      <w:bookmarkStart w:id="574" w:name="_Toc15457"/>
      <w:r>
        <w:rPr>
          <w:rFonts w:eastAsia="黑体"/>
          <w:kern w:val="2"/>
          <w:sz w:val="28"/>
          <w:szCs w:val="28"/>
        </w:rPr>
        <w:t>投标有效期</w:t>
      </w:r>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p>
      <w:pPr>
        <w:numPr>
          <w:ilvl w:val="2"/>
          <w:numId w:val="11"/>
        </w:numPr>
        <w:tabs>
          <w:tab w:val="left" w:pos="993"/>
        </w:tabs>
        <w:spacing w:line="360" w:lineRule="auto"/>
        <w:ind w:left="0" w:firstLine="420" w:firstLineChars="200"/>
        <w:rPr>
          <w:rFonts w:eastAsia="宋体"/>
          <w:szCs w:val="21"/>
        </w:rPr>
      </w:pPr>
      <w:r>
        <w:rPr>
          <w:rFonts w:eastAsia="宋体"/>
          <w:szCs w:val="21"/>
        </w:rPr>
        <w:t>除投标人须知前附表另有规定外，投标有效期为90天。</w:t>
      </w:r>
    </w:p>
    <w:p>
      <w:pPr>
        <w:numPr>
          <w:ilvl w:val="2"/>
          <w:numId w:val="11"/>
        </w:numPr>
        <w:tabs>
          <w:tab w:val="left" w:pos="993"/>
        </w:tabs>
        <w:spacing w:line="360" w:lineRule="auto"/>
        <w:ind w:left="0" w:firstLine="420" w:firstLineChars="200"/>
        <w:rPr>
          <w:rFonts w:eastAsia="宋体"/>
          <w:szCs w:val="21"/>
        </w:rPr>
      </w:pPr>
      <w:r>
        <w:rPr>
          <w:rFonts w:eastAsia="宋体"/>
          <w:szCs w:val="21"/>
        </w:rPr>
        <w:t>在投标有效期内，投标人撤销投标文件的，应承担招标文件和法律规定的责任。</w:t>
      </w:r>
    </w:p>
    <w:p>
      <w:pPr>
        <w:numPr>
          <w:ilvl w:val="2"/>
          <w:numId w:val="11"/>
        </w:numPr>
        <w:tabs>
          <w:tab w:val="left" w:pos="993"/>
        </w:tabs>
        <w:spacing w:line="360" w:lineRule="auto"/>
        <w:ind w:left="0" w:firstLine="420" w:firstLineChars="200"/>
        <w:rPr>
          <w:rFonts w:eastAsia="宋体"/>
          <w:szCs w:val="21"/>
        </w:rPr>
      </w:pPr>
      <w:r>
        <w:rPr>
          <w:rFonts w:eastAsia="宋体"/>
          <w:szCs w:val="21"/>
        </w:rPr>
        <w:t>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pPr>
        <w:keepNext/>
        <w:keepLines/>
        <w:widowControl w:val="0"/>
        <w:numPr>
          <w:ilvl w:val="1"/>
          <w:numId w:val="11"/>
        </w:numPr>
        <w:spacing w:line="360" w:lineRule="auto"/>
        <w:ind w:left="105" w:leftChars="50" w:firstLine="0"/>
        <w:textAlignment w:val="center"/>
        <w:outlineLvl w:val="2"/>
        <w:rPr>
          <w:rFonts w:eastAsia="黑体"/>
          <w:kern w:val="2"/>
          <w:sz w:val="28"/>
          <w:szCs w:val="28"/>
        </w:rPr>
      </w:pPr>
      <w:bookmarkStart w:id="575" w:name="_Toc21250"/>
      <w:bookmarkStart w:id="576" w:name="_Toc15013"/>
      <w:bookmarkStart w:id="577" w:name="_Toc6626"/>
      <w:bookmarkStart w:id="578" w:name="_Toc18174"/>
      <w:bookmarkStart w:id="579" w:name="_Toc32024"/>
      <w:bookmarkStart w:id="580" w:name="_Toc22783"/>
      <w:bookmarkStart w:id="581" w:name="_Toc25618"/>
      <w:bookmarkStart w:id="582" w:name="_Toc14679"/>
      <w:bookmarkStart w:id="583" w:name="_Toc514430375"/>
      <w:bookmarkStart w:id="584" w:name="_Toc29611"/>
      <w:bookmarkStart w:id="585" w:name="_Toc1868"/>
      <w:bookmarkStart w:id="586" w:name="_Toc6235"/>
      <w:bookmarkStart w:id="587" w:name="_Toc23391"/>
      <w:bookmarkStart w:id="588" w:name="_Toc20490"/>
      <w:bookmarkStart w:id="589" w:name="_Toc17"/>
      <w:bookmarkStart w:id="590" w:name="_Toc17047"/>
      <w:bookmarkStart w:id="591" w:name="_Toc32640"/>
      <w:r>
        <w:rPr>
          <w:rFonts w:eastAsia="黑体"/>
          <w:kern w:val="2"/>
          <w:sz w:val="28"/>
          <w:szCs w:val="28"/>
        </w:rPr>
        <w:t>投标保证金</w:t>
      </w:r>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r>
        <w:rPr>
          <w:rFonts w:hint="eastAsia" w:eastAsia="黑体"/>
          <w:kern w:val="2"/>
          <w:sz w:val="28"/>
          <w:szCs w:val="28"/>
        </w:rPr>
        <w:t>（本项目无）</w:t>
      </w:r>
    </w:p>
    <w:p>
      <w:pPr>
        <w:keepNext/>
        <w:keepLines/>
        <w:widowControl w:val="0"/>
        <w:numPr>
          <w:ilvl w:val="1"/>
          <w:numId w:val="11"/>
        </w:numPr>
        <w:spacing w:line="360" w:lineRule="auto"/>
        <w:ind w:left="105" w:leftChars="50" w:firstLine="0"/>
        <w:textAlignment w:val="center"/>
        <w:outlineLvl w:val="2"/>
        <w:rPr>
          <w:rFonts w:eastAsia="黑体"/>
          <w:kern w:val="2"/>
          <w:sz w:val="28"/>
          <w:szCs w:val="28"/>
        </w:rPr>
      </w:pPr>
      <w:bookmarkStart w:id="592" w:name="_Toc26453"/>
      <w:bookmarkStart w:id="593" w:name="_Toc514430376"/>
      <w:bookmarkStart w:id="594" w:name="_Toc7463"/>
      <w:bookmarkStart w:id="595" w:name="_Toc26188"/>
      <w:bookmarkStart w:id="596" w:name="_Toc22406"/>
      <w:bookmarkStart w:id="597" w:name="_Toc21270"/>
      <w:bookmarkStart w:id="598" w:name="_Toc17432"/>
      <w:bookmarkStart w:id="599" w:name="_Toc4694"/>
      <w:bookmarkStart w:id="600" w:name="_Toc22852"/>
      <w:bookmarkStart w:id="601" w:name="_Toc5844"/>
      <w:bookmarkStart w:id="602" w:name="_Toc759"/>
      <w:bookmarkStart w:id="603" w:name="_Toc21653"/>
      <w:bookmarkStart w:id="604" w:name="_Toc31761"/>
      <w:bookmarkStart w:id="605" w:name="_Toc29530"/>
      <w:bookmarkStart w:id="606" w:name="_Toc13045"/>
      <w:bookmarkStart w:id="607" w:name="_Toc4357"/>
      <w:bookmarkStart w:id="608" w:name="_Toc695"/>
      <w:r>
        <w:rPr>
          <w:rFonts w:eastAsia="黑体"/>
          <w:kern w:val="2"/>
          <w:sz w:val="28"/>
          <w:szCs w:val="28"/>
        </w:rPr>
        <w:t>资格审查资料（适用于未进行资格预审的）</w:t>
      </w:r>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p>
    <w:p>
      <w:pPr>
        <w:spacing w:line="360" w:lineRule="auto"/>
        <w:ind w:firstLine="420" w:firstLineChars="200"/>
        <w:rPr>
          <w:rFonts w:eastAsia="宋体"/>
          <w:szCs w:val="21"/>
        </w:rPr>
      </w:pPr>
      <w:r>
        <w:rPr>
          <w:rFonts w:eastAsia="宋体"/>
          <w:szCs w:val="21"/>
        </w:rPr>
        <w:t>除投标人须知前附表另有规定外，投标人应按下列规定提供资格审查资料，以证明其满足本章第 1.4 款规定的资质、财务、业绩、信誉等要求。</w:t>
      </w:r>
      <w:r>
        <w:rPr>
          <w:rFonts w:eastAsia="宋体"/>
          <w:b/>
          <w:bCs/>
          <w:szCs w:val="21"/>
        </w:rPr>
        <w:t>（此处有修改，以投标须知前附表为准）</w:t>
      </w:r>
    </w:p>
    <w:p>
      <w:pPr>
        <w:numPr>
          <w:ilvl w:val="2"/>
          <w:numId w:val="11"/>
        </w:numPr>
        <w:tabs>
          <w:tab w:val="left" w:pos="993"/>
        </w:tabs>
        <w:spacing w:line="360" w:lineRule="auto"/>
        <w:ind w:left="0" w:firstLine="420" w:firstLineChars="200"/>
        <w:rPr>
          <w:rFonts w:eastAsia="宋体"/>
          <w:szCs w:val="21"/>
        </w:rPr>
      </w:pPr>
      <w:r>
        <w:rPr>
          <w:rFonts w:eastAsia="宋体"/>
          <w:szCs w:val="21"/>
        </w:rPr>
        <w:t xml:space="preserve"> </w:t>
      </w:r>
      <w:r>
        <w:rPr>
          <w:rFonts w:ascii="宋体" w:hAnsi="宋体" w:eastAsia="宋体"/>
          <w:szCs w:val="21"/>
        </w:rPr>
        <w:t>“投标人基本情况表”应附投标人及其制造商（适用于代理经销商投标的情形）资格或者资质证书副本和投标材料检验或认证等材料的复印件</w:t>
      </w:r>
      <w:r>
        <w:rPr>
          <w:rFonts w:eastAsia="宋体"/>
          <w:szCs w:val="21"/>
        </w:rPr>
        <w:t>以及：</w:t>
      </w:r>
    </w:p>
    <w:p>
      <w:pPr>
        <w:spacing w:line="360" w:lineRule="auto"/>
        <w:ind w:firstLine="420" w:firstLineChars="200"/>
        <w:rPr>
          <w:rFonts w:eastAsia="宋体"/>
          <w:szCs w:val="21"/>
        </w:rPr>
      </w:pPr>
      <w:r>
        <w:rPr>
          <w:rFonts w:eastAsia="宋体"/>
          <w:szCs w:val="21"/>
        </w:rPr>
        <w:t>（1）投标人为企业的，应提交营业执照和组织机构代码证的复印件（按照“三证合一”或“五证合一”登记制度进行登记的，可仅提供营业执照复印件）；</w:t>
      </w:r>
    </w:p>
    <w:p>
      <w:pPr>
        <w:spacing w:line="360" w:lineRule="auto"/>
        <w:ind w:firstLine="420" w:firstLineChars="200"/>
        <w:rPr>
          <w:rFonts w:eastAsia="宋体"/>
          <w:szCs w:val="21"/>
        </w:rPr>
      </w:pPr>
      <w:r>
        <w:rPr>
          <w:rFonts w:eastAsia="宋体"/>
          <w:szCs w:val="21"/>
        </w:rPr>
        <w:t>（2）投标人为依法允许经营的事业单位的，应提交事业单位法人证书和组织机构代码证的复印件。</w:t>
      </w:r>
    </w:p>
    <w:p>
      <w:pPr>
        <w:numPr>
          <w:ilvl w:val="2"/>
          <w:numId w:val="11"/>
        </w:numPr>
        <w:tabs>
          <w:tab w:val="left" w:pos="993"/>
        </w:tabs>
        <w:spacing w:line="360" w:lineRule="auto"/>
        <w:ind w:left="0" w:firstLine="420" w:firstLineChars="200"/>
        <w:rPr>
          <w:rFonts w:eastAsia="宋体"/>
          <w:szCs w:val="21"/>
        </w:rPr>
      </w:pPr>
      <w:r>
        <w:rPr>
          <w:rFonts w:ascii="宋体" w:hAnsi="宋体" w:eastAsia="宋体"/>
          <w:szCs w:val="21"/>
        </w:rPr>
        <w:t>“近年财务状况表”应</w:t>
      </w:r>
      <w:r>
        <w:rPr>
          <w:rFonts w:eastAsia="宋体"/>
          <w:szCs w:val="21"/>
        </w:rPr>
        <w:t>附经会计师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p>
    <w:p>
      <w:pPr>
        <w:numPr>
          <w:ilvl w:val="2"/>
          <w:numId w:val="11"/>
        </w:numPr>
        <w:tabs>
          <w:tab w:val="left" w:pos="993"/>
        </w:tabs>
        <w:spacing w:line="360" w:lineRule="auto"/>
        <w:ind w:left="0" w:firstLine="420" w:firstLineChars="200"/>
        <w:rPr>
          <w:rFonts w:eastAsia="宋体"/>
          <w:szCs w:val="21"/>
        </w:rPr>
      </w:pPr>
      <w:r>
        <w:rPr>
          <w:rFonts w:ascii="宋体" w:hAnsi="宋体" w:eastAsia="宋体"/>
          <w:szCs w:val="21"/>
        </w:rPr>
        <w:t>“近年完成的类似项目情况表”应附</w:t>
      </w:r>
      <w:r>
        <w:rPr>
          <w:rFonts w:eastAsia="宋体"/>
          <w:szCs w:val="21"/>
        </w:rPr>
        <w:t>合同协议书</w:t>
      </w:r>
      <w:r>
        <w:rPr>
          <w:rFonts w:hint="eastAsia" w:eastAsia="宋体"/>
          <w:szCs w:val="21"/>
        </w:rPr>
        <w:t>，</w:t>
      </w:r>
      <w:r>
        <w:rPr>
          <w:rFonts w:eastAsia="宋体"/>
          <w:szCs w:val="21"/>
        </w:rPr>
        <w:t>具体时间要求见投标人须知前附表。每张表格只填写一个项目，并标明序号。</w:t>
      </w:r>
    </w:p>
    <w:p>
      <w:pPr>
        <w:numPr>
          <w:ilvl w:val="2"/>
          <w:numId w:val="11"/>
        </w:numPr>
        <w:tabs>
          <w:tab w:val="left" w:pos="993"/>
        </w:tabs>
        <w:spacing w:line="360" w:lineRule="auto"/>
        <w:ind w:left="0" w:firstLine="420" w:firstLineChars="200"/>
        <w:rPr>
          <w:rFonts w:eastAsia="宋体"/>
          <w:szCs w:val="21"/>
        </w:rPr>
      </w:pPr>
      <w:r>
        <w:rPr>
          <w:rFonts w:ascii="宋体" w:hAnsi="宋体" w:eastAsia="宋体"/>
          <w:szCs w:val="21"/>
        </w:rPr>
        <w:t>“正在</w:t>
      </w:r>
      <w:r>
        <w:rPr>
          <w:rFonts w:hint="eastAsia" w:ascii="宋体" w:hAnsi="宋体" w:eastAsia="宋体"/>
          <w:szCs w:val="21"/>
        </w:rPr>
        <w:t>服务</w:t>
      </w:r>
      <w:r>
        <w:rPr>
          <w:rFonts w:ascii="宋体" w:hAnsi="宋体" w:eastAsia="宋体"/>
          <w:szCs w:val="21"/>
        </w:rPr>
        <w:t>和新承接的项目情况表”应附中标</w:t>
      </w:r>
      <w:r>
        <w:rPr>
          <w:rFonts w:eastAsia="宋体"/>
          <w:szCs w:val="21"/>
        </w:rPr>
        <w:t>通知书和（或）合同协议书复印件。每张表格只填写一个项目，并标明序号。</w:t>
      </w:r>
    </w:p>
    <w:p>
      <w:pPr>
        <w:numPr>
          <w:ilvl w:val="2"/>
          <w:numId w:val="11"/>
        </w:numPr>
        <w:tabs>
          <w:tab w:val="left" w:pos="993"/>
        </w:tabs>
        <w:spacing w:line="360" w:lineRule="auto"/>
        <w:ind w:left="0" w:firstLine="420" w:firstLineChars="200"/>
        <w:rPr>
          <w:rFonts w:eastAsia="宋体"/>
          <w:szCs w:val="21"/>
        </w:rPr>
      </w:pPr>
      <w:r>
        <w:rPr>
          <w:rFonts w:ascii="宋体" w:hAnsi="宋体" w:eastAsia="宋体"/>
          <w:szCs w:val="21"/>
        </w:rPr>
        <w:t>“近年发生的诉讼及仲裁情况”应说明投标</w:t>
      </w:r>
      <w:r>
        <w:rPr>
          <w:rFonts w:eastAsia="宋体"/>
          <w:szCs w:val="21"/>
        </w:rPr>
        <w:t>人败诉的合同的相关情况，并附法院或仲裁机构作出的判决、裁决等有关法律文书复印件，具体时间要求见投标人须知前附表。</w:t>
      </w:r>
    </w:p>
    <w:p>
      <w:pPr>
        <w:numPr>
          <w:ilvl w:val="2"/>
          <w:numId w:val="11"/>
        </w:numPr>
        <w:tabs>
          <w:tab w:val="left" w:pos="993"/>
        </w:tabs>
        <w:spacing w:line="360" w:lineRule="auto"/>
        <w:ind w:left="0" w:firstLine="420" w:firstLineChars="200"/>
        <w:rPr>
          <w:rFonts w:eastAsia="宋体"/>
          <w:szCs w:val="21"/>
        </w:rPr>
      </w:pPr>
      <w:r>
        <w:rPr>
          <w:rFonts w:eastAsia="宋体"/>
          <w:szCs w:val="21"/>
        </w:rPr>
        <w:t>投标人须知前附表规定接受联合体投标的，本章第 3.5.1 项至第 3.5.5 项规定的表格和资料应包括联合体各方相关情况。</w:t>
      </w:r>
    </w:p>
    <w:p>
      <w:pPr>
        <w:keepNext/>
        <w:keepLines/>
        <w:widowControl w:val="0"/>
        <w:numPr>
          <w:ilvl w:val="1"/>
          <w:numId w:val="11"/>
        </w:numPr>
        <w:spacing w:line="360" w:lineRule="auto"/>
        <w:ind w:left="105" w:leftChars="50" w:firstLine="0"/>
        <w:textAlignment w:val="center"/>
        <w:outlineLvl w:val="2"/>
        <w:rPr>
          <w:rFonts w:eastAsia="黑体"/>
          <w:kern w:val="2"/>
          <w:sz w:val="28"/>
          <w:szCs w:val="28"/>
        </w:rPr>
      </w:pPr>
      <w:bookmarkStart w:id="609" w:name="_Toc11691"/>
      <w:bookmarkStart w:id="610" w:name="_Toc31116"/>
      <w:bookmarkStart w:id="611" w:name="_Toc14807"/>
      <w:bookmarkStart w:id="612" w:name="_Toc26641"/>
      <w:bookmarkStart w:id="613" w:name="_Toc31395"/>
      <w:bookmarkStart w:id="614" w:name="_Toc31128"/>
      <w:bookmarkStart w:id="615" w:name="_Toc982"/>
      <w:bookmarkStart w:id="616" w:name="_Toc30657"/>
      <w:bookmarkStart w:id="617" w:name="_Toc29696"/>
      <w:bookmarkStart w:id="618" w:name="_Toc18232"/>
      <w:bookmarkStart w:id="619" w:name="_Toc20317"/>
      <w:bookmarkStart w:id="620" w:name="_Toc514430377"/>
      <w:bookmarkStart w:id="621" w:name="_Toc693"/>
      <w:bookmarkStart w:id="622" w:name="_Toc9489"/>
      <w:bookmarkStart w:id="623" w:name="_Toc16188"/>
      <w:bookmarkStart w:id="624" w:name="_Toc8856"/>
      <w:bookmarkStart w:id="625" w:name="_Toc32426"/>
      <w:r>
        <w:rPr>
          <w:rFonts w:eastAsia="黑体"/>
          <w:kern w:val="2"/>
          <w:sz w:val="28"/>
          <w:szCs w:val="28"/>
        </w:rPr>
        <w:t>备选投标方案</w:t>
      </w:r>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p>
    <w:p>
      <w:pPr>
        <w:numPr>
          <w:ilvl w:val="2"/>
          <w:numId w:val="11"/>
        </w:numPr>
        <w:tabs>
          <w:tab w:val="left" w:pos="993"/>
        </w:tabs>
        <w:spacing w:line="360" w:lineRule="auto"/>
        <w:ind w:left="0" w:firstLine="420" w:firstLineChars="200"/>
        <w:jc w:val="both"/>
        <w:rPr>
          <w:rFonts w:eastAsia="宋体"/>
          <w:szCs w:val="21"/>
        </w:rPr>
      </w:pPr>
      <w:r>
        <w:rPr>
          <w:rFonts w:eastAsia="宋体"/>
          <w:szCs w:val="21"/>
        </w:rPr>
        <w:t>除投标人须知前附表规定允许外，投标人不得递交备选投标方案，否则其投标将被否决。</w:t>
      </w:r>
    </w:p>
    <w:p>
      <w:pPr>
        <w:numPr>
          <w:ilvl w:val="2"/>
          <w:numId w:val="11"/>
        </w:numPr>
        <w:tabs>
          <w:tab w:val="left" w:pos="993"/>
        </w:tabs>
        <w:spacing w:line="360" w:lineRule="auto"/>
        <w:ind w:left="0" w:firstLine="420" w:firstLineChars="200"/>
        <w:jc w:val="both"/>
        <w:rPr>
          <w:rFonts w:eastAsia="宋体"/>
          <w:szCs w:val="21"/>
        </w:rPr>
      </w:pPr>
      <w:r>
        <w:rPr>
          <w:rFonts w:eastAsia="宋体"/>
          <w:szCs w:val="21"/>
        </w:rPr>
        <w:t>允许投标人递交备选投标方案的，只有中标人所递交的备选投标方案方可予以考虑。评标委员会认为中标人的备选投标方案优于其按照招标文件要求编制的投标方案的，招标人可以接受该备选投标方案。</w:t>
      </w:r>
    </w:p>
    <w:p>
      <w:pPr>
        <w:numPr>
          <w:ilvl w:val="2"/>
          <w:numId w:val="11"/>
        </w:numPr>
        <w:tabs>
          <w:tab w:val="left" w:pos="993"/>
        </w:tabs>
        <w:spacing w:line="360" w:lineRule="auto"/>
        <w:ind w:left="0" w:firstLine="420" w:firstLineChars="200"/>
        <w:rPr>
          <w:rFonts w:eastAsia="宋体"/>
          <w:szCs w:val="21"/>
        </w:rPr>
      </w:pPr>
      <w:r>
        <w:rPr>
          <w:rFonts w:eastAsia="宋体"/>
          <w:szCs w:val="21"/>
        </w:rPr>
        <w:t>投标人提供两个或两个以上投标报价，或者在投标文件中提供一个报价，但同时提供两个或两个以上</w:t>
      </w:r>
      <w:r>
        <w:rPr>
          <w:rFonts w:hint="eastAsia" w:eastAsia="宋体"/>
          <w:szCs w:val="21"/>
        </w:rPr>
        <w:t>服务</w:t>
      </w:r>
      <w:r>
        <w:rPr>
          <w:rFonts w:eastAsia="宋体"/>
          <w:szCs w:val="21"/>
        </w:rPr>
        <w:t>方案的，视为提供备选方案。</w:t>
      </w:r>
    </w:p>
    <w:p>
      <w:pPr>
        <w:keepNext/>
        <w:keepLines/>
        <w:widowControl w:val="0"/>
        <w:numPr>
          <w:ilvl w:val="1"/>
          <w:numId w:val="11"/>
        </w:numPr>
        <w:spacing w:line="360" w:lineRule="auto"/>
        <w:ind w:left="105" w:leftChars="50" w:firstLine="0"/>
        <w:textAlignment w:val="center"/>
        <w:outlineLvl w:val="2"/>
        <w:rPr>
          <w:rFonts w:eastAsia="黑体"/>
          <w:kern w:val="2"/>
          <w:sz w:val="28"/>
          <w:szCs w:val="28"/>
        </w:rPr>
      </w:pPr>
      <w:bookmarkStart w:id="626" w:name="_Toc7407"/>
      <w:bookmarkStart w:id="627" w:name="_Toc9024"/>
      <w:bookmarkStart w:id="628" w:name="_Toc13729"/>
      <w:bookmarkStart w:id="629" w:name="_Toc30342"/>
      <w:bookmarkStart w:id="630" w:name="_Toc22771"/>
      <w:bookmarkStart w:id="631" w:name="_Toc32139"/>
      <w:bookmarkStart w:id="632" w:name="_Toc28514"/>
      <w:bookmarkStart w:id="633" w:name="_Toc7411"/>
      <w:bookmarkStart w:id="634" w:name="_Toc26213"/>
      <w:bookmarkStart w:id="635" w:name="_Toc310"/>
      <w:bookmarkStart w:id="636" w:name="_Toc4271"/>
      <w:bookmarkStart w:id="637" w:name="_Toc32653"/>
      <w:bookmarkStart w:id="638" w:name="_Toc8688"/>
      <w:bookmarkStart w:id="639" w:name="_Toc514430378"/>
      <w:bookmarkStart w:id="640" w:name="_Toc32369"/>
      <w:bookmarkStart w:id="641" w:name="_Toc2290"/>
      <w:bookmarkStart w:id="642" w:name="_Toc25632"/>
      <w:r>
        <w:rPr>
          <w:rFonts w:eastAsia="黑体"/>
          <w:kern w:val="2"/>
          <w:sz w:val="28"/>
          <w:szCs w:val="28"/>
        </w:rPr>
        <w:t>投标文件的编制</w:t>
      </w:r>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p>
    <w:p>
      <w:pPr>
        <w:numPr>
          <w:ilvl w:val="2"/>
          <w:numId w:val="11"/>
        </w:numPr>
        <w:tabs>
          <w:tab w:val="left" w:pos="993"/>
        </w:tabs>
        <w:spacing w:line="360" w:lineRule="auto"/>
        <w:ind w:left="0" w:firstLine="420" w:firstLineChars="200"/>
        <w:rPr>
          <w:rFonts w:eastAsia="宋体"/>
          <w:szCs w:val="21"/>
        </w:rPr>
      </w:pPr>
      <w:r>
        <w:rPr>
          <w:rFonts w:eastAsia="宋体"/>
          <w:szCs w:val="21"/>
        </w:rPr>
        <w:t>投标文件应按第</w:t>
      </w:r>
      <w:r>
        <w:rPr>
          <w:rFonts w:ascii="宋体" w:hAnsi="宋体" w:eastAsia="宋体"/>
          <w:szCs w:val="21"/>
        </w:rPr>
        <w:t>六章“投标文件格式”进</w:t>
      </w:r>
      <w:r>
        <w:rPr>
          <w:rFonts w:eastAsia="宋体"/>
          <w:szCs w:val="21"/>
        </w:rPr>
        <w:t>行编写，如有必要，可以增加附页，作为投标文件的组成部分。</w:t>
      </w:r>
    </w:p>
    <w:p>
      <w:pPr>
        <w:numPr>
          <w:ilvl w:val="2"/>
          <w:numId w:val="11"/>
        </w:numPr>
        <w:tabs>
          <w:tab w:val="left" w:pos="993"/>
        </w:tabs>
        <w:spacing w:line="360" w:lineRule="auto"/>
        <w:ind w:left="0" w:firstLine="420" w:firstLineChars="200"/>
        <w:rPr>
          <w:rFonts w:eastAsia="宋体"/>
          <w:szCs w:val="21"/>
        </w:rPr>
      </w:pPr>
      <w:r>
        <w:rPr>
          <w:rFonts w:eastAsia="宋体"/>
          <w:szCs w:val="21"/>
        </w:rPr>
        <w:t>投标文件应当对招标文件有关</w:t>
      </w:r>
      <w:r>
        <w:rPr>
          <w:rFonts w:hint="eastAsia" w:eastAsia="宋体"/>
          <w:szCs w:val="21"/>
        </w:rPr>
        <w:t>服务</w:t>
      </w:r>
      <w:r>
        <w:rPr>
          <w:rFonts w:eastAsia="宋体"/>
          <w:szCs w:val="21"/>
        </w:rPr>
        <w:t>期、投标有效期、</w:t>
      </w:r>
      <w:r>
        <w:rPr>
          <w:rFonts w:hint="eastAsia" w:eastAsia="宋体"/>
          <w:szCs w:val="21"/>
        </w:rPr>
        <w:t>用户需求</w:t>
      </w:r>
      <w:r>
        <w:rPr>
          <w:rFonts w:eastAsia="宋体"/>
          <w:szCs w:val="21"/>
        </w:rPr>
        <w:t>、招标范围等实质性内容作出响应。投标文件在满足招标文件实质性要求的基础上，可以提出比招标文件要求更有利于招标人的承诺。</w:t>
      </w:r>
    </w:p>
    <w:p>
      <w:pPr>
        <w:numPr>
          <w:ilvl w:val="2"/>
          <w:numId w:val="11"/>
        </w:numPr>
        <w:tabs>
          <w:tab w:val="left" w:pos="993"/>
        </w:tabs>
        <w:spacing w:line="360" w:lineRule="auto"/>
        <w:ind w:left="0" w:firstLine="420" w:firstLineChars="200"/>
        <w:rPr>
          <w:rFonts w:eastAsia="宋体"/>
          <w:szCs w:val="21"/>
        </w:rPr>
      </w:pPr>
      <w:r>
        <w:rPr>
          <w:rFonts w:eastAsia="宋体"/>
          <w:szCs w:val="21"/>
        </w:rPr>
        <w:t>（1）投标文件应用不褪色的材料书写或打印，投标函及对投标文件的澄清、说明和补正应由投标人的法定代表人（单位负责人）或其授权的代理人签字或盖单位章。由投标人的法定代表人（单位负责人）签字的，应附法定代表人（单位负责人）身份证明，由代理人签字的，应附授权委托书，身份证明或授权委托</w:t>
      </w:r>
      <w:r>
        <w:rPr>
          <w:rFonts w:ascii="宋体" w:hAnsi="宋体" w:eastAsia="宋体"/>
          <w:szCs w:val="21"/>
        </w:rPr>
        <w:t>书应符合第六章“投标文件格式”的</w:t>
      </w:r>
      <w:r>
        <w:rPr>
          <w:rFonts w:eastAsia="宋体"/>
          <w:szCs w:val="21"/>
        </w:rPr>
        <w:t>要求。投标文件应尽量避免涂改、行间插字或删除。如果出现上述情况，改动之处应由投标人的法定代表（单位负责人）或其授权的代理人签字或盖单位章。</w:t>
      </w:r>
    </w:p>
    <w:p>
      <w:pPr>
        <w:tabs>
          <w:tab w:val="left" w:pos="993"/>
        </w:tabs>
        <w:spacing w:line="360" w:lineRule="auto"/>
        <w:ind w:firstLine="420" w:firstLineChars="200"/>
        <w:rPr>
          <w:rFonts w:eastAsia="宋体"/>
          <w:szCs w:val="21"/>
        </w:rPr>
      </w:pPr>
      <w:r>
        <w:rPr>
          <w:rFonts w:eastAsia="宋体"/>
          <w:szCs w:val="21"/>
        </w:rPr>
        <w:t>（2）投标文件正本一份，副本份数见投标人须知前附表。正本和副本的封面</w:t>
      </w:r>
      <w:r>
        <w:rPr>
          <w:rFonts w:hint="eastAsia" w:eastAsia="宋体"/>
          <w:szCs w:val="21"/>
        </w:rPr>
        <w:t>右上角</w:t>
      </w:r>
      <w:r>
        <w:rPr>
          <w:rFonts w:eastAsia="宋体"/>
          <w:szCs w:val="21"/>
        </w:rPr>
        <w:t>应清楚地</w:t>
      </w:r>
      <w:r>
        <w:rPr>
          <w:rFonts w:ascii="宋体" w:hAnsi="宋体" w:eastAsia="宋体"/>
          <w:szCs w:val="21"/>
        </w:rPr>
        <w:t>标记“正本”或“副本”的</w:t>
      </w:r>
      <w:r>
        <w:rPr>
          <w:rFonts w:eastAsia="宋体"/>
          <w:szCs w:val="21"/>
        </w:rPr>
        <w:t>字样。投标人应根据投标人须知前附表要求提供电子版文件。当副</w:t>
      </w:r>
      <w:bookmarkStart w:id="643" w:name="page27"/>
      <w:bookmarkEnd w:id="643"/>
      <w:r>
        <w:rPr>
          <w:rFonts w:eastAsia="宋体"/>
          <w:szCs w:val="21"/>
        </w:rPr>
        <w:t>本和正本不一致或电子版文件和纸质正本文件不一致时，以纸质正本文件为准。</w:t>
      </w:r>
    </w:p>
    <w:p>
      <w:pPr>
        <w:tabs>
          <w:tab w:val="left" w:pos="993"/>
        </w:tabs>
        <w:spacing w:line="360" w:lineRule="auto"/>
        <w:ind w:firstLine="420" w:firstLineChars="200"/>
        <w:rPr>
          <w:rFonts w:eastAsia="宋体"/>
          <w:szCs w:val="21"/>
        </w:rPr>
      </w:pPr>
      <w:r>
        <w:rPr>
          <w:rFonts w:eastAsia="宋体"/>
          <w:szCs w:val="21"/>
        </w:rPr>
        <w:t>（3）投标文件的正本与副本应分别装订，并编制目录，投标文件需分册装订的，具体分册装订要求见投标人须知前附表规定。</w:t>
      </w:r>
    </w:p>
    <w:p>
      <w:pPr>
        <w:keepNext/>
        <w:keepLines/>
        <w:numPr>
          <w:ilvl w:val="0"/>
          <w:numId w:val="11"/>
        </w:numPr>
        <w:tabs>
          <w:tab w:val="left" w:pos="567"/>
        </w:tabs>
        <w:spacing w:before="151" w:beforeLines="50" w:after="151" w:afterLines="50" w:line="360" w:lineRule="auto"/>
        <w:outlineLvl w:val="1"/>
        <w:rPr>
          <w:rFonts w:eastAsia="黑体"/>
          <w:b/>
          <w:bCs/>
          <w:sz w:val="32"/>
          <w:szCs w:val="32"/>
        </w:rPr>
      </w:pPr>
      <w:bookmarkStart w:id="644" w:name="_Toc411"/>
      <w:bookmarkStart w:id="645" w:name="_Toc514430379"/>
      <w:bookmarkStart w:id="646" w:name="_Toc19860"/>
      <w:bookmarkStart w:id="647" w:name="_Toc9669"/>
      <w:bookmarkStart w:id="648" w:name="_Toc21882"/>
      <w:bookmarkStart w:id="649" w:name="_Toc10483"/>
      <w:bookmarkStart w:id="650" w:name="_Toc10761"/>
      <w:bookmarkStart w:id="651" w:name="_Toc8198"/>
      <w:bookmarkStart w:id="652" w:name="_Toc21049"/>
      <w:bookmarkStart w:id="653" w:name="_Toc3925"/>
      <w:bookmarkStart w:id="654" w:name="_Toc20391"/>
      <w:bookmarkStart w:id="655" w:name="_Toc5732"/>
      <w:bookmarkStart w:id="656" w:name="_Toc3169"/>
      <w:bookmarkStart w:id="657" w:name="_Toc19056"/>
      <w:bookmarkStart w:id="658" w:name="_Toc29173"/>
      <w:bookmarkStart w:id="659" w:name="_Toc13424"/>
      <w:r>
        <w:rPr>
          <w:rFonts w:eastAsia="黑体"/>
          <w:b/>
          <w:bCs/>
          <w:sz w:val="32"/>
          <w:szCs w:val="32"/>
        </w:rPr>
        <w:t>投标</w:t>
      </w:r>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p>
    <w:p>
      <w:pPr>
        <w:keepNext/>
        <w:keepLines/>
        <w:widowControl w:val="0"/>
        <w:numPr>
          <w:ilvl w:val="1"/>
          <w:numId w:val="11"/>
        </w:numPr>
        <w:spacing w:line="360" w:lineRule="auto"/>
        <w:ind w:left="105" w:leftChars="50" w:firstLine="0"/>
        <w:textAlignment w:val="center"/>
        <w:outlineLvl w:val="2"/>
        <w:rPr>
          <w:rFonts w:eastAsia="黑体"/>
          <w:kern w:val="2"/>
          <w:sz w:val="28"/>
          <w:szCs w:val="28"/>
        </w:rPr>
      </w:pPr>
      <w:bookmarkStart w:id="660" w:name="_Toc26335"/>
      <w:bookmarkStart w:id="661" w:name="_Toc6859"/>
      <w:bookmarkStart w:id="662" w:name="_Toc5996"/>
      <w:bookmarkStart w:id="663" w:name="_Toc16238"/>
      <w:bookmarkStart w:id="664" w:name="_Toc30080"/>
      <w:bookmarkStart w:id="665" w:name="_Toc14278"/>
      <w:bookmarkStart w:id="666" w:name="_Toc24467"/>
      <w:bookmarkStart w:id="667" w:name="_Toc5988"/>
      <w:bookmarkStart w:id="668" w:name="_Toc13582"/>
      <w:bookmarkStart w:id="669" w:name="_Toc7420"/>
      <w:bookmarkStart w:id="670" w:name="_Toc8355"/>
      <w:bookmarkStart w:id="671" w:name="_Toc514430380"/>
      <w:bookmarkStart w:id="672" w:name="_Toc24834"/>
      <w:bookmarkStart w:id="673" w:name="_Toc16697"/>
      <w:bookmarkStart w:id="674" w:name="_Toc24135"/>
      <w:bookmarkStart w:id="675" w:name="_Toc26535"/>
      <w:bookmarkStart w:id="676" w:name="_Toc339"/>
      <w:r>
        <w:rPr>
          <w:rFonts w:eastAsia="黑体"/>
          <w:kern w:val="2"/>
          <w:sz w:val="28"/>
          <w:szCs w:val="28"/>
        </w:rPr>
        <w:t>投标文件的密封和标记</w:t>
      </w:r>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pPr>
        <w:numPr>
          <w:ilvl w:val="2"/>
          <w:numId w:val="11"/>
        </w:numPr>
        <w:tabs>
          <w:tab w:val="left" w:pos="993"/>
        </w:tabs>
        <w:spacing w:line="360" w:lineRule="auto"/>
        <w:ind w:left="0" w:firstLine="420" w:firstLineChars="200"/>
        <w:rPr>
          <w:rFonts w:eastAsia="宋体"/>
          <w:szCs w:val="21"/>
        </w:rPr>
      </w:pPr>
      <w:r>
        <w:rPr>
          <w:rFonts w:eastAsia="宋体"/>
          <w:szCs w:val="21"/>
        </w:rPr>
        <w:t>投标文件应密封包装，并在封套的封口处加盖投标人单位章或由投标人的法定代表人（单位负责人）或其授权的代理人签字。</w:t>
      </w:r>
    </w:p>
    <w:p>
      <w:pPr>
        <w:numPr>
          <w:ilvl w:val="2"/>
          <w:numId w:val="11"/>
        </w:numPr>
        <w:tabs>
          <w:tab w:val="left" w:pos="993"/>
        </w:tabs>
        <w:spacing w:line="360" w:lineRule="auto"/>
        <w:ind w:left="0" w:firstLine="420" w:firstLineChars="200"/>
        <w:rPr>
          <w:rFonts w:eastAsia="宋体"/>
          <w:szCs w:val="21"/>
        </w:rPr>
      </w:pPr>
      <w:r>
        <w:rPr>
          <w:rFonts w:eastAsia="宋体"/>
          <w:szCs w:val="21"/>
        </w:rPr>
        <w:t>投标文件封套上应写明的内容见投标人须知前附表。</w:t>
      </w:r>
    </w:p>
    <w:p>
      <w:pPr>
        <w:numPr>
          <w:ilvl w:val="2"/>
          <w:numId w:val="11"/>
        </w:numPr>
        <w:tabs>
          <w:tab w:val="left" w:pos="993"/>
        </w:tabs>
        <w:spacing w:line="360" w:lineRule="auto"/>
        <w:ind w:left="0" w:firstLine="420" w:firstLineChars="200"/>
        <w:rPr>
          <w:rFonts w:eastAsia="宋体"/>
          <w:szCs w:val="21"/>
        </w:rPr>
      </w:pPr>
      <w:r>
        <w:rPr>
          <w:rFonts w:eastAsia="宋体"/>
          <w:szCs w:val="21"/>
        </w:rPr>
        <w:t>未按本章第 4.1.1 项要求密封的投标文件，招标人将予以拒收。</w:t>
      </w:r>
    </w:p>
    <w:p>
      <w:pPr>
        <w:keepNext/>
        <w:keepLines/>
        <w:widowControl w:val="0"/>
        <w:numPr>
          <w:ilvl w:val="1"/>
          <w:numId w:val="11"/>
        </w:numPr>
        <w:spacing w:line="360" w:lineRule="auto"/>
        <w:ind w:left="105" w:leftChars="50" w:firstLine="0"/>
        <w:textAlignment w:val="center"/>
        <w:outlineLvl w:val="2"/>
        <w:rPr>
          <w:rFonts w:eastAsia="黑体"/>
          <w:kern w:val="2"/>
          <w:sz w:val="28"/>
          <w:szCs w:val="28"/>
        </w:rPr>
      </w:pPr>
      <w:bookmarkStart w:id="677" w:name="_Toc28994"/>
      <w:bookmarkStart w:id="678" w:name="_Toc12137"/>
      <w:bookmarkStart w:id="679" w:name="_Toc16885"/>
      <w:bookmarkStart w:id="680" w:name="_Toc7571"/>
      <w:bookmarkStart w:id="681" w:name="_Toc29595"/>
      <w:bookmarkStart w:id="682" w:name="_Toc16275"/>
      <w:bookmarkStart w:id="683" w:name="_Toc26701"/>
      <w:bookmarkStart w:id="684" w:name="_Toc15382"/>
      <w:bookmarkStart w:id="685" w:name="_Toc514430381"/>
      <w:bookmarkStart w:id="686" w:name="_Toc12483"/>
      <w:bookmarkStart w:id="687" w:name="_Toc27626"/>
      <w:bookmarkStart w:id="688" w:name="_Toc21485"/>
      <w:bookmarkStart w:id="689" w:name="_Toc19511"/>
      <w:bookmarkStart w:id="690" w:name="_Toc3199"/>
      <w:bookmarkStart w:id="691" w:name="_Toc582"/>
      <w:bookmarkStart w:id="692" w:name="_Toc2592"/>
      <w:bookmarkStart w:id="693" w:name="_Toc9341"/>
      <w:r>
        <w:rPr>
          <w:rFonts w:eastAsia="黑体"/>
          <w:kern w:val="2"/>
          <w:sz w:val="28"/>
          <w:szCs w:val="28"/>
        </w:rPr>
        <w:t>投标文件的递交</w:t>
      </w:r>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p>
    <w:p>
      <w:pPr>
        <w:numPr>
          <w:ilvl w:val="2"/>
          <w:numId w:val="11"/>
        </w:numPr>
        <w:tabs>
          <w:tab w:val="left" w:pos="993"/>
        </w:tabs>
        <w:spacing w:line="360" w:lineRule="auto"/>
        <w:ind w:left="0" w:firstLine="420" w:firstLineChars="200"/>
        <w:rPr>
          <w:rFonts w:eastAsia="宋体"/>
          <w:szCs w:val="21"/>
        </w:rPr>
      </w:pPr>
      <w:r>
        <w:rPr>
          <w:rFonts w:eastAsia="宋体"/>
          <w:szCs w:val="21"/>
        </w:rPr>
        <w:t>投标人应在投标人须知前附表规定的投标截止时间前递交投标文件。</w:t>
      </w:r>
    </w:p>
    <w:p>
      <w:pPr>
        <w:numPr>
          <w:ilvl w:val="2"/>
          <w:numId w:val="11"/>
        </w:numPr>
        <w:tabs>
          <w:tab w:val="left" w:pos="993"/>
        </w:tabs>
        <w:spacing w:line="360" w:lineRule="auto"/>
        <w:ind w:left="0" w:firstLine="420" w:firstLineChars="200"/>
        <w:rPr>
          <w:rFonts w:eastAsia="宋体"/>
          <w:szCs w:val="21"/>
        </w:rPr>
      </w:pPr>
      <w:r>
        <w:rPr>
          <w:rFonts w:eastAsia="宋体"/>
          <w:szCs w:val="21"/>
        </w:rPr>
        <w:t>投标人递交投标文件的地点：见投标人须知前附表。</w:t>
      </w:r>
    </w:p>
    <w:p>
      <w:pPr>
        <w:numPr>
          <w:ilvl w:val="2"/>
          <w:numId w:val="11"/>
        </w:numPr>
        <w:tabs>
          <w:tab w:val="left" w:pos="993"/>
        </w:tabs>
        <w:spacing w:line="360" w:lineRule="auto"/>
        <w:ind w:left="0" w:firstLine="420" w:firstLineChars="200"/>
        <w:rPr>
          <w:rFonts w:eastAsia="宋体"/>
          <w:szCs w:val="21"/>
        </w:rPr>
      </w:pPr>
      <w:r>
        <w:rPr>
          <w:rFonts w:eastAsia="宋体"/>
          <w:szCs w:val="21"/>
        </w:rPr>
        <w:t>除投标人须知前附表另有规定外，投标人所递交的投标文件不予退还。</w:t>
      </w:r>
    </w:p>
    <w:p>
      <w:pPr>
        <w:numPr>
          <w:ilvl w:val="2"/>
          <w:numId w:val="11"/>
        </w:numPr>
        <w:tabs>
          <w:tab w:val="left" w:pos="993"/>
        </w:tabs>
        <w:spacing w:line="360" w:lineRule="auto"/>
        <w:ind w:left="0" w:firstLine="420" w:firstLineChars="200"/>
        <w:rPr>
          <w:rFonts w:eastAsia="宋体"/>
          <w:szCs w:val="21"/>
        </w:rPr>
      </w:pPr>
      <w:r>
        <w:rPr>
          <w:rFonts w:eastAsia="宋体"/>
          <w:szCs w:val="21"/>
        </w:rPr>
        <w:t>招标人收到投标文件后，向投标人出具签收凭证。</w:t>
      </w:r>
    </w:p>
    <w:p>
      <w:pPr>
        <w:numPr>
          <w:ilvl w:val="2"/>
          <w:numId w:val="11"/>
        </w:numPr>
        <w:tabs>
          <w:tab w:val="left" w:pos="993"/>
        </w:tabs>
        <w:spacing w:line="360" w:lineRule="auto"/>
        <w:ind w:left="0" w:firstLine="420" w:firstLineChars="200"/>
        <w:rPr>
          <w:rFonts w:eastAsia="宋体"/>
          <w:szCs w:val="21"/>
        </w:rPr>
      </w:pPr>
      <w:r>
        <w:rPr>
          <w:rFonts w:eastAsia="宋体"/>
          <w:szCs w:val="21"/>
        </w:rPr>
        <w:t>逾期送达的投标文件，招标人将予以拒收。</w:t>
      </w:r>
    </w:p>
    <w:p>
      <w:pPr>
        <w:keepNext/>
        <w:keepLines/>
        <w:widowControl w:val="0"/>
        <w:numPr>
          <w:ilvl w:val="1"/>
          <w:numId w:val="11"/>
        </w:numPr>
        <w:spacing w:line="360" w:lineRule="auto"/>
        <w:ind w:left="105" w:leftChars="50" w:firstLine="0"/>
        <w:textAlignment w:val="center"/>
        <w:outlineLvl w:val="2"/>
        <w:rPr>
          <w:rFonts w:eastAsia="黑体"/>
          <w:kern w:val="2"/>
          <w:sz w:val="28"/>
          <w:szCs w:val="28"/>
        </w:rPr>
      </w:pPr>
      <w:bookmarkStart w:id="694" w:name="_Toc25159"/>
      <w:bookmarkStart w:id="695" w:name="_Toc31811"/>
      <w:bookmarkStart w:id="696" w:name="_Toc1474"/>
      <w:bookmarkStart w:id="697" w:name="_Toc6459"/>
      <w:bookmarkStart w:id="698" w:name="_Toc29484"/>
      <w:bookmarkStart w:id="699" w:name="_Toc14535"/>
      <w:bookmarkStart w:id="700" w:name="_Toc29111"/>
      <w:bookmarkStart w:id="701" w:name="_Toc13723"/>
      <w:bookmarkStart w:id="702" w:name="_Toc30234"/>
      <w:bookmarkStart w:id="703" w:name="_Toc29142"/>
      <w:bookmarkStart w:id="704" w:name="_Toc514430382"/>
      <w:bookmarkStart w:id="705" w:name="_Toc9897"/>
      <w:bookmarkStart w:id="706" w:name="_Toc22021"/>
      <w:bookmarkStart w:id="707" w:name="_Toc17867"/>
      <w:bookmarkStart w:id="708" w:name="_Toc32565"/>
      <w:bookmarkStart w:id="709" w:name="_Toc8328"/>
      <w:bookmarkStart w:id="710" w:name="_Toc22991"/>
      <w:r>
        <w:rPr>
          <w:rFonts w:eastAsia="黑体"/>
          <w:kern w:val="2"/>
          <w:sz w:val="28"/>
          <w:szCs w:val="28"/>
        </w:rPr>
        <w:t>投标文件的修改与撤回</w:t>
      </w:r>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p>
    <w:p>
      <w:pPr>
        <w:numPr>
          <w:ilvl w:val="2"/>
          <w:numId w:val="11"/>
        </w:numPr>
        <w:tabs>
          <w:tab w:val="left" w:pos="993"/>
        </w:tabs>
        <w:spacing w:line="360" w:lineRule="auto"/>
        <w:ind w:left="0" w:firstLine="420" w:firstLineChars="200"/>
        <w:rPr>
          <w:rFonts w:eastAsia="宋体"/>
          <w:szCs w:val="21"/>
        </w:rPr>
      </w:pPr>
      <w:r>
        <w:rPr>
          <w:rFonts w:eastAsia="宋体"/>
          <w:szCs w:val="21"/>
        </w:rPr>
        <w:t>在本章第 4.2.1 项规定的投标截止时间前，投标人可以修改或撤回已递交的投标文件，但应以书面形式通知招标人。</w:t>
      </w:r>
    </w:p>
    <w:p>
      <w:pPr>
        <w:numPr>
          <w:ilvl w:val="2"/>
          <w:numId w:val="11"/>
        </w:numPr>
        <w:tabs>
          <w:tab w:val="left" w:pos="993"/>
        </w:tabs>
        <w:spacing w:line="360" w:lineRule="auto"/>
        <w:ind w:left="0" w:firstLine="420" w:firstLineChars="200"/>
        <w:rPr>
          <w:rFonts w:eastAsia="宋体"/>
          <w:szCs w:val="21"/>
        </w:rPr>
      </w:pPr>
      <w:r>
        <w:rPr>
          <w:rFonts w:eastAsia="宋体"/>
          <w:szCs w:val="21"/>
        </w:rPr>
        <w:t>投标人修改或撤回已递交投标文件的书面通知应按照本章第 3.7.3项的要求签字或盖章。招标人收到书面通知后，向投标人出具签收凭证。</w:t>
      </w:r>
    </w:p>
    <w:p>
      <w:pPr>
        <w:numPr>
          <w:ilvl w:val="2"/>
          <w:numId w:val="11"/>
        </w:numPr>
        <w:tabs>
          <w:tab w:val="left" w:pos="993"/>
        </w:tabs>
        <w:spacing w:line="360" w:lineRule="auto"/>
        <w:ind w:left="0" w:firstLine="420" w:firstLineChars="200"/>
        <w:rPr>
          <w:rFonts w:eastAsia="宋体"/>
          <w:szCs w:val="21"/>
        </w:rPr>
      </w:pPr>
      <w:r>
        <w:rPr>
          <w:rFonts w:eastAsia="宋体"/>
          <w:szCs w:val="21"/>
        </w:rPr>
        <w:t>投标人撤回投标文件的，招标人自收到投标人书面撤回通知之日起 5 日内退还已收取的投标保证金。</w:t>
      </w:r>
    </w:p>
    <w:p>
      <w:pPr>
        <w:numPr>
          <w:ilvl w:val="2"/>
          <w:numId w:val="11"/>
        </w:numPr>
        <w:tabs>
          <w:tab w:val="left" w:pos="993"/>
        </w:tabs>
        <w:spacing w:line="360" w:lineRule="auto"/>
        <w:ind w:left="0" w:firstLine="420" w:firstLineChars="200"/>
        <w:rPr>
          <w:rFonts w:eastAsia="宋体"/>
          <w:szCs w:val="21"/>
        </w:rPr>
      </w:pPr>
      <w:r>
        <w:rPr>
          <w:rFonts w:eastAsia="宋体"/>
          <w:szCs w:val="21"/>
        </w:rPr>
        <w:t>修改的内容为投标文件的组成部分。修改的投标文件应按照本章第 3 条、第 4 条的规定进行编制、密封、标记和递交，并</w:t>
      </w:r>
      <w:r>
        <w:rPr>
          <w:rFonts w:ascii="宋体" w:hAnsi="宋体" w:eastAsia="宋体"/>
          <w:szCs w:val="21"/>
        </w:rPr>
        <w:t>标明“修改”字</w:t>
      </w:r>
      <w:r>
        <w:rPr>
          <w:rFonts w:eastAsia="宋体"/>
          <w:szCs w:val="21"/>
        </w:rPr>
        <w:t>样。</w:t>
      </w:r>
    </w:p>
    <w:p>
      <w:pPr>
        <w:keepNext/>
        <w:keepLines/>
        <w:numPr>
          <w:ilvl w:val="0"/>
          <w:numId w:val="11"/>
        </w:numPr>
        <w:tabs>
          <w:tab w:val="left" w:pos="567"/>
        </w:tabs>
        <w:spacing w:before="151" w:beforeLines="50" w:after="151" w:afterLines="50" w:line="360" w:lineRule="auto"/>
        <w:outlineLvl w:val="1"/>
        <w:rPr>
          <w:rFonts w:eastAsia="黑体"/>
          <w:b/>
          <w:bCs/>
          <w:sz w:val="32"/>
          <w:szCs w:val="32"/>
        </w:rPr>
      </w:pPr>
      <w:bookmarkStart w:id="711" w:name="_Toc514430383"/>
      <w:bookmarkStart w:id="712" w:name="_Toc23870"/>
      <w:bookmarkStart w:id="713" w:name="_Toc29210"/>
      <w:bookmarkStart w:id="714" w:name="_Toc11015"/>
      <w:bookmarkStart w:id="715" w:name="_Toc17738"/>
      <w:bookmarkStart w:id="716" w:name="_Toc10047"/>
      <w:bookmarkStart w:id="717" w:name="_Toc11279"/>
      <w:bookmarkStart w:id="718" w:name="_Toc22172"/>
      <w:bookmarkStart w:id="719" w:name="_Toc28734"/>
      <w:bookmarkStart w:id="720" w:name="_Toc1257"/>
      <w:bookmarkStart w:id="721" w:name="_Toc19050"/>
      <w:bookmarkStart w:id="722" w:name="_Toc8296"/>
      <w:bookmarkStart w:id="723" w:name="_Toc20149"/>
      <w:bookmarkStart w:id="724" w:name="_Toc6988"/>
      <w:bookmarkStart w:id="725" w:name="_Toc13074"/>
      <w:bookmarkStart w:id="726" w:name="_Toc15705"/>
      <w:r>
        <w:rPr>
          <w:rFonts w:eastAsia="黑体"/>
          <w:b/>
          <w:bCs/>
          <w:sz w:val="32"/>
          <w:szCs w:val="32"/>
        </w:rPr>
        <w:t>开标</w:t>
      </w:r>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p>
    <w:p>
      <w:pPr>
        <w:keepNext/>
        <w:keepLines/>
        <w:widowControl w:val="0"/>
        <w:numPr>
          <w:ilvl w:val="1"/>
          <w:numId w:val="11"/>
        </w:numPr>
        <w:spacing w:line="360" w:lineRule="auto"/>
        <w:ind w:left="105" w:leftChars="50" w:firstLine="0"/>
        <w:textAlignment w:val="center"/>
        <w:outlineLvl w:val="2"/>
        <w:rPr>
          <w:rFonts w:eastAsia="黑体"/>
          <w:kern w:val="2"/>
          <w:sz w:val="28"/>
          <w:szCs w:val="28"/>
        </w:rPr>
      </w:pPr>
      <w:bookmarkStart w:id="727" w:name="_Toc54368814"/>
      <w:bookmarkStart w:id="728" w:name="_Toc514430384"/>
      <w:bookmarkStart w:id="729" w:name="_Toc54372165"/>
      <w:bookmarkStart w:id="730" w:name="_Toc55707589"/>
      <w:bookmarkStart w:id="731" w:name="_Toc14043"/>
      <w:bookmarkStart w:id="732" w:name="_Toc56153770"/>
      <w:bookmarkStart w:id="733" w:name="_Toc401"/>
      <w:bookmarkStart w:id="734" w:name="_Toc22971"/>
      <w:bookmarkStart w:id="735" w:name="_Toc55654456"/>
      <w:bookmarkStart w:id="736" w:name="_Toc6921"/>
      <w:bookmarkStart w:id="737" w:name="_Toc27017"/>
      <w:bookmarkStart w:id="738" w:name="_Toc455145909"/>
      <w:bookmarkStart w:id="739" w:name="_Toc54330908"/>
      <w:bookmarkStart w:id="740" w:name="_Toc26108305"/>
      <w:bookmarkStart w:id="741" w:name="_Toc17242"/>
      <w:bookmarkStart w:id="742" w:name="_Toc26985"/>
      <w:bookmarkStart w:id="743" w:name="_Toc54318889"/>
      <w:bookmarkStart w:id="744" w:name="_Toc1770"/>
      <w:bookmarkStart w:id="745" w:name="_Toc56409023"/>
      <w:bookmarkStart w:id="746" w:name="_Toc55705084"/>
      <w:bookmarkStart w:id="747" w:name="_Toc55639321"/>
      <w:bookmarkStart w:id="748" w:name="_Toc56141808"/>
      <w:bookmarkStart w:id="749" w:name="_Toc25947993"/>
      <w:bookmarkStart w:id="750" w:name="_Toc54329079"/>
      <w:bookmarkStart w:id="751" w:name="_Toc54372583"/>
      <w:bookmarkStart w:id="752" w:name="_Toc56138998"/>
      <w:bookmarkStart w:id="753" w:name="_Toc59900883"/>
      <w:bookmarkStart w:id="754" w:name="_Toc467764208"/>
      <w:bookmarkStart w:id="755" w:name="_Toc15681"/>
      <w:bookmarkStart w:id="756" w:name="_Toc59896612"/>
      <w:bookmarkStart w:id="757" w:name="_Toc54371999"/>
      <w:bookmarkStart w:id="758" w:name="_Toc21753"/>
      <w:bookmarkStart w:id="759" w:name="_Toc9672"/>
      <w:bookmarkStart w:id="760" w:name="_Toc31826"/>
      <w:bookmarkStart w:id="761" w:name="_Toc24669"/>
      <w:bookmarkStart w:id="762" w:name="_Toc27330"/>
      <w:bookmarkStart w:id="763" w:name="_Toc18196"/>
      <w:bookmarkStart w:id="764" w:name="_Toc5445"/>
      <w:r>
        <w:rPr>
          <w:rFonts w:eastAsia="黑体"/>
          <w:kern w:val="2"/>
          <w:sz w:val="28"/>
          <w:szCs w:val="28"/>
        </w:rPr>
        <w:t>开标</w:t>
      </w:r>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r>
        <w:rPr>
          <w:rFonts w:eastAsia="黑体"/>
          <w:kern w:val="2"/>
          <w:sz w:val="28"/>
          <w:szCs w:val="28"/>
        </w:rPr>
        <w:t>时间和地点</w:t>
      </w:r>
      <w:bookmarkEnd w:id="760"/>
      <w:bookmarkEnd w:id="761"/>
      <w:bookmarkEnd w:id="762"/>
      <w:bookmarkEnd w:id="763"/>
      <w:bookmarkEnd w:id="764"/>
    </w:p>
    <w:p>
      <w:pPr>
        <w:spacing w:line="360" w:lineRule="auto"/>
        <w:ind w:firstLine="420" w:firstLineChars="200"/>
        <w:rPr>
          <w:rFonts w:eastAsia="宋体"/>
          <w:szCs w:val="21"/>
        </w:rPr>
      </w:pPr>
      <w:r>
        <w:rPr>
          <w:rFonts w:eastAsia="宋体"/>
          <w:szCs w:val="21"/>
        </w:rPr>
        <w:t>招标人在本章第 4.2.1 项规定的投标截止时间（开标时间）和投标人须知前附表规定的地点公开开标，并邀请所有投标人的法定代表人（单位负责人）或其委托代理人准时参加。</w:t>
      </w:r>
    </w:p>
    <w:p>
      <w:pPr>
        <w:keepNext/>
        <w:keepLines/>
        <w:widowControl w:val="0"/>
        <w:numPr>
          <w:ilvl w:val="1"/>
          <w:numId w:val="11"/>
        </w:numPr>
        <w:spacing w:line="360" w:lineRule="auto"/>
        <w:ind w:left="105" w:leftChars="50" w:firstLine="0"/>
        <w:textAlignment w:val="center"/>
        <w:outlineLvl w:val="2"/>
        <w:rPr>
          <w:rFonts w:eastAsia="黑体"/>
          <w:kern w:val="2"/>
          <w:sz w:val="28"/>
          <w:szCs w:val="28"/>
        </w:rPr>
      </w:pPr>
      <w:bookmarkStart w:id="765" w:name="_Toc23358"/>
      <w:bookmarkStart w:id="766" w:name="_Toc534461470"/>
      <w:bookmarkStart w:id="767" w:name="_Toc5239"/>
      <w:bookmarkStart w:id="768" w:name="_Toc15809"/>
      <w:bookmarkStart w:id="769" w:name="_Toc4855"/>
      <w:bookmarkStart w:id="770" w:name="_Toc19280"/>
      <w:r>
        <w:rPr>
          <w:rFonts w:eastAsia="黑体"/>
          <w:kern w:val="2"/>
          <w:sz w:val="28"/>
          <w:szCs w:val="28"/>
        </w:rPr>
        <w:t>开标程序</w:t>
      </w:r>
      <w:bookmarkEnd w:id="765"/>
      <w:bookmarkEnd w:id="766"/>
      <w:bookmarkEnd w:id="767"/>
      <w:bookmarkEnd w:id="768"/>
      <w:bookmarkEnd w:id="769"/>
      <w:bookmarkEnd w:id="770"/>
    </w:p>
    <w:p>
      <w:pPr>
        <w:spacing w:line="360" w:lineRule="auto"/>
        <w:ind w:firstLine="420" w:firstLineChars="200"/>
        <w:rPr>
          <w:rFonts w:eastAsia="宋体"/>
          <w:szCs w:val="21"/>
        </w:rPr>
      </w:pPr>
      <w:r>
        <w:rPr>
          <w:rFonts w:eastAsia="宋体"/>
          <w:szCs w:val="21"/>
        </w:rPr>
        <w:t>主持人按下列程序进行开标（本条有修改，详见《投标须知前附表》5.2条款）：</w:t>
      </w:r>
    </w:p>
    <w:p>
      <w:pPr>
        <w:spacing w:line="360" w:lineRule="auto"/>
        <w:ind w:firstLine="420" w:firstLineChars="200"/>
        <w:rPr>
          <w:rFonts w:eastAsia="宋体"/>
          <w:szCs w:val="21"/>
        </w:rPr>
      </w:pPr>
      <w:r>
        <w:rPr>
          <w:rFonts w:eastAsia="宋体"/>
          <w:szCs w:val="21"/>
        </w:rPr>
        <w:t>（1）宣布开标纪律；</w:t>
      </w:r>
    </w:p>
    <w:p>
      <w:pPr>
        <w:spacing w:line="360" w:lineRule="auto"/>
        <w:ind w:firstLine="420" w:firstLineChars="200"/>
        <w:rPr>
          <w:rFonts w:eastAsia="宋体"/>
          <w:szCs w:val="21"/>
        </w:rPr>
      </w:pPr>
      <w:r>
        <w:rPr>
          <w:rFonts w:eastAsia="宋体"/>
          <w:szCs w:val="21"/>
        </w:rPr>
        <w:t>（2）公布在投标截止时间前递交投标文件的投标人名称；</w:t>
      </w:r>
    </w:p>
    <w:p>
      <w:pPr>
        <w:spacing w:line="360" w:lineRule="auto"/>
        <w:ind w:firstLine="420" w:firstLineChars="200"/>
        <w:rPr>
          <w:rFonts w:eastAsia="宋体"/>
          <w:szCs w:val="21"/>
        </w:rPr>
      </w:pPr>
      <w:r>
        <w:rPr>
          <w:rFonts w:eastAsia="宋体"/>
          <w:szCs w:val="21"/>
        </w:rPr>
        <w:t>（3）宣布开标人、唱标人、记录人、监标人等有关人员姓名；</w:t>
      </w:r>
    </w:p>
    <w:p>
      <w:pPr>
        <w:spacing w:line="360" w:lineRule="auto"/>
        <w:ind w:firstLine="420" w:firstLineChars="200"/>
        <w:rPr>
          <w:rFonts w:eastAsia="宋体"/>
          <w:szCs w:val="21"/>
        </w:rPr>
      </w:pPr>
      <w:r>
        <w:rPr>
          <w:rFonts w:eastAsia="宋体"/>
          <w:szCs w:val="21"/>
        </w:rPr>
        <w:t>（4）检查投标文件的密封情况，按照投标人须知前附表规定的开标顺序当众开标，公布招标项目名称、投标人名称、投标保证金的递交情况、投标报价、交货期、交货地点及其他内容，并记录在案；</w:t>
      </w:r>
    </w:p>
    <w:p>
      <w:pPr>
        <w:spacing w:line="360" w:lineRule="auto"/>
        <w:ind w:firstLine="420" w:firstLineChars="200"/>
        <w:rPr>
          <w:rFonts w:eastAsia="宋体"/>
          <w:szCs w:val="21"/>
        </w:rPr>
      </w:pPr>
      <w:r>
        <w:rPr>
          <w:rFonts w:eastAsia="宋体"/>
          <w:szCs w:val="21"/>
        </w:rPr>
        <w:t>（5）投标人代表、招标人代表、监标人、记录人等有关人员在开标记录上签字确认；</w:t>
      </w:r>
    </w:p>
    <w:p>
      <w:pPr>
        <w:spacing w:line="360" w:lineRule="auto"/>
        <w:ind w:firstLine="420" w:firstLineChars="200"/>
        <w:rPr>
          <w:rFonts w:eastAsia="宋体"/>
          <w:szCs w:val="21"/>
        </w:rPr>
      </w:pPr>
      <w:r>
        <w:rPr>
          <w:rFonts w:eastAsia="宋体"/>
          <w:szCs w:val="21"/>
        </w:rPr>
        <w:t>（6）开标结束。</w:t>
      </w:r>
    </w:p>
    <w:p>
      <w:pPr>
        <w:keepNext/>
        <w:keepLines/>
        <w:widowControl w:val="0"/>
        <w:numPr>
          <w:ilvl w:val="1"/>
          <w:numId w:val="11"/>
        </w:numPr>
        <w:spacing w:line="360" w:lineRule="auto"/>
        <w:ind w:left="105" w:leftChars="50" w:firstLine="0"/>
        <w:textAlignment w:val="center"/>
        <w:outlineLvl w:val="2"/>
        <w:rPr>
          <w:rFonts w:eastAsia="黑体"/>
          <w:kern w:val="2"/>
          <w:sz w:val="28"/>
          <w:szCs w:val="28"/>
        </w:rPr>
      </w:pPr>
      <w:bookmarkStart w:id="771" w:name="_Toc30953"/>
      <w:bookmarkStart w:id="772" w:name="_Toc27607"/>
      <w:bookmarkStart w:id="773" w:name="_Toc23809"/>
      <w:bookmarkStart w:id="774" w:name="_Toc15982"/>
      <w:bookmarkStart w:id="775" w:name="_Toc6658"/>
      <w:bookmarkStart w:id="776" w:name="_Toc31651"/>
      <w:bookmarkStart w:id="777" w:name="_Toc22578"/>
      <w:bookmarkStart w:id="778" w:name="_Toc15364"/>
      <w:bookmarkStart w:id="779" w:name="_Toc802"/>
      <w:bookmarkStart w:id="780" w:name="_Toc27542"/>
      <w:bookmarkStart w:id="781" w:name="_Toc514430386"/>
      <w:bookmarkStart w:id="782" w:name="_Toc6666"/>
      <w:bookmarkStart w:id="783" w:name="_Toc19314"/>
      <w:bookmarkStart w:id="784" w:name="_Toc7917"/>
      <w:bookmarkStart w:id="785" w:name="_Toc19216"/>
      <w:bookmarkStart w:id="786" w:name="_Toc9665"/>
      <w:bookmarkStart w:id="787" w:name="_Toc17112"/>
      <w:r>
        <w:rPr>
          <w:rFonts w:eastAsia="黑体"/>
          <w:kern w:val="2"/>
          <w:sz w:val="28"/>
          <w:szCs w:val="28"/>
        </w:rPr>
        <w:t>开标异议</w:t>
      </w:r>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p>
    <w:p>
      <w:pPr>
        <w:spacing w:line="360" w:lineRule="auto"/>
        <w:ind w:firstLine="420" w:firstLineChars="200"/>
        <w:rPr>
          <w:rFonts w:eastAsia="宋体"/>
          <w:szCs w:val="21"/>
        </w:rPr>
      </w:pPr>
      <w:r>
        <w:rPr>
          <w:rFonts w:eastAsia="宋体"/>
          <w:szCs w:val="21"/>
        </w:rPr>
        <w:t>投标人对开标有异议的，应当在开标现场提出，招标人当场作出答复，并制作记录。</w:t>
      </w:r>
    </w:p>
    <w:p>
      <w:pPr>
        <w:keepNext/>
        <w:keepLines/>
        <w:numPr>
          <w:ilvl w:val="0"/>
          <w:numId w:val="11"/>
        </w:numPr>
        <w:tabs>
          <w:tab w:val="left" w:pos="567"/>
        </w:tabs>
        <w:spacing w:before="151" w:beforeLines="50" w:after="151" w:afterLines="50" w:line="360" w:lineRule="auto"/>
        <w:outlineLvl w:val="1"/>
        <w:rPr>
          <w:rFonts w:eastAsia="黑体"/>
          <w:b/>
          <w:bCs/>
          <w:sz w:val="32"/>
          <w:szCs w:val="32"/>
        </w:rPr>
      </w:pPr>
      <w:bookmarkStart w:id="788" w:name="_Toc15967"/>
      <w:bookmarkStart w:id="789" w:name="_Toc28684"/>
      <w:bookmarkStart w:id="790" w:name="_Toc32241"/>
      <w:bookmarkStart w:id="791" w:name="_Toc3142"/>
      <w:bookmarkStart w:id="792" w:name="_Toc514430387"/>
      <w:bookmarkStart w:id="793" w:name="_Toc15225"/>
      <w:bookmarkStart w:id="794" w:name="_Toc30534"/>
      <w:bookmarkStart w:id="795" w:name="_Toc14175"/>
      <w:bookmarkStart w:id="796" w:name="_Toc15699"/>
      <w:bookmarkStart w:id="797" w:name="_Toc16039"/>
      <w:bookmarkStart w:id="798" w:name="_Toc13784"/>
      <w:bookmarkStart w:id="799" w:name="_Toc24653"/>
      <w:bookmarkStart w:id="800" w:name="_Toc6176"/>
      <w:bookmarkStart w:id="801" w:name="_Toc20878"/>
      <w:bookmarkStart w:id="802" w:name="_Toc17719"/>
      <w:bookmarkStart w:id="803" w:name="_Toc23987"/>
      <w:r>
        <w:rPr>
          <w:rFonts w:eastAsia="黑体"/>
          <w:b/>
          <w:bCs/>
          <w:sz w:val="32"/>
          <w:szCs w:val="32"/>
        </w:rPr>
        <w:t>评标</w:t>
      </w:r>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p>
    <w:p>
      <w:pPr>
        <w:keepNext/>
        <w:keepLines/>
        <w:widowControl w:val="0"/>
        <w:numPr>
          <w:ilvl w:val="1"/>
          <w:numId w:val="11"/>
        </w:numPr>
        <w:spacing w:line="360" w:lineRule="auto"/>
        <w:ind w:left="105" w:leftChars="50" w:firstLine="0"/>
        <w:textAlignment w:val="center"/>
        <w:outlineLvl w:val="2"/>
        <w:rPr>
          <w:rFonts w:eastAsia="黑体"/>
          <w:kern w:val="2"/>
          <w:sz w:val="28"/>
          <w:szCs w:val="28"/>
        </w:rPr>
      </w:pPr>
      <w:bookmarkStart w:id="804" w:name="_Toc31687"/>
      <w:bookmarkStart w:id="805" w:name="_Toc31783"/>
      <w:bookmarkStart w:id="806" w:name="_Toc2535"/>
      <w:bookmarkStart w:id="807" w:name="_Toc14374"/>
      <w:bookmarkStart w:id="808" w:name="_Toc32604"/>
      <w:bookmarkStart w:id="809" w:name="_Toc892"/>
      <w:bookmarkStart w:id="810" w:name="_Toc31143"/>
      <w:bookmarkStart w:id="811" w:name="_Toc13368"/>
      <w:bookmarkStart w:id="812" w:name="_Toc18710"/>
      <w:bookmarkStart w:id="813" w:name="_Toc514430388"/>
      <w:bookmarkStart w:id="814" w:name="_Toc1823"/>
      <w:bookmarkStart w:id="815" w:name="_Toc3129"/>
      <w:bookmarkStart w:id="816" w:name="_Toc25990"/>
      <w:bookmarkStart w:id="817" w:name="_Toc21557"/>
      <w:bookmarkStart w:id="818" w:name="_Toc32167"/>
      <w:bookmarkStart w:id="819" w:name="_Toc24411"/>
      <w:bookmarkStart w:id="820" w:name="_Toc23286"/>
      <w:r>
        <w:rPr>
          <w:rFonts w:eastAsia="黑体"/>
          <w:kern w:val="2"/>
          <w:sz w:val="28"/>
          <w:szCs w:val="28"/>
        </w:rPr>
        <w:t>评标委员会</w:t>
      </w:r>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p>
    <w:p>
      <w:pPr>
        <w:numPr>
          <w:ilvl w:val="2"/>
          <w:numId w:val="11"/>
        </w:numPr>
        <w:tabs>
          <w:tab w:val="left" w:pos="993"/>
        </w:tabs>
        <w:spacing w:line="360" w:lineRule="auto"/>
        <w:ind w:left="0" w:firstLine="420" w:firstLineChars="200"/>
        <w:rPr>
          <w:rFonts w:eastAsia="宋体"/>
          <w:szCs w:val="21"/>
        </w:rPr>
      </w:pPr>
      <w:r>
        <w:rPr>
          <w:rFonts w:eastAsia="宋体"/>
          <w:szCs w:val="21"/>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numPr>
          <w:ilvl w:val="2"/>
          <w:numId w:val="11"/>
        </w:numPr>
        <w:tabs>
          <w:tab w:val="left" w:pos="993"/>
        </w:tabs>
        <w:spacing w:line="360" w:lineRule="auto"/>
        <w:ind w:left="0" w:firstLine="420" w:firstLineChars="200"/>
        <w:rPr>
          <w:rFonts w:eastAsia="宋体"/>
          <w:szCs w:val="21"/>
        </w:rPr>
      </w:pPr>
      <w:r>
        <w:rPr>
          <w:rFonts w:eastAsia="宋体"/>
          <w:szCs w:val="21"/>
        </w:rPr>
        <w:t>评标委员会成员有下列情形之一的，应当回避：</w:t>
      </w:r>
    </w:p>
    <w:p>
      <w:pPr>
        <w:spacing w:line="360" w:lineRule="auto"/>
        <w:ind w:firstLine="420" w:firstLineChars="200"/>
        <w:rPr>
          <w:rFonts w:eastAsia="宋体"/>
          <w:szCs w:val="21"/>
        </w:rPr>
      </w:pPr>
      <w:r>
        <w:rPr>
          <w:rFonts w:eastAsia="宋体"/>
          <w:szCs w:val="21"/>
        </w:rPr>
        <w:t>（1）投标人或投标人主要负责人的近亲属；</w:t>
      </w:r>
    </w:p>
    <w:p>
      <w:pPr>
        <w:spacing w:line="360" w:lineRule="auto"/>
        <w:ind w:firstLine="420" w:firstLineChars="200"/>
        <w:rPr>
          <w:rFonts w:eastAsia="宋体"/>
          <w:szCs w:val="21"/>
        </w:rPr>
      </w:pPr>
      <w:r>
        <w:rPr>
          <w:rFonts w:eastAsia="宋体"/>
          <w:szCs w:val="21"/>
        </w:rPr>
        <w:t>（2）项目主管部门或者行政监督部门的人员；</w:t>
      </w:r>
    </w:p>
    <w:p>
      <w:pPr>
        <w:spacing w:line="360" w:lineRule="auto"/>
        <w:ind w:firstLine="420" w:firstLineChars="200"/>
        <w:rPr>
          <w:rFonts w:eastAsia="宋体"/>
          <w:szCs w:val="21"/>
        </w:rPr>
      </w:pPr>
      <w:r>
        <w:rPr>
          <w:rFonts w:eastAsia="宋体"/>
          <w:szCs w:val="21"/>
        </w:rPr>
        <w:t>（3）与投标人有经济利益关系，可能影响对投标公正评审的；</w:t>
      </w:r>
    </w:p>
    <w:p>
      <w:pPr>
        <w:spacing w:line="360" w:lineRule="auto"/>
        <w:ind w:firstLine="420" w:firstLineChars="200"/>
        <w:rPr>
          <w:rFonts w:eastAsia="宋体"/>
          <w:szCs w:val="21"/>
        </w:rPr>
      </w:pPr>
      <w:r>
        <w:rPr>
          <w:rFonts w:eastAsia="宋体"/>
          <w:szCs w:val="21"/>
        </w:rPr>
        <w:t>（4）曾因在招标、评标以及其他与招标投标有关活动中从事违法行为而受过行政处罚或刑事处罚的；</w:t>
      </w:r>
    </w:p>
    <w:p>
      <w:pPr>
        <w:spacing w:line="360" w:lineRule="auto"/>
        <w:ind w:firstLine="420" w:firstLineChars="200"/>
        <w:rPr>
          <w:rFonts w:eastAsia="宋体"/>
          <w:szCs w:val="21"/>
        </w:rPr>
      </w:pPr>
      <w:r>
        <w:rPr>
          <w:rFonts w:eastAsia="宋体"/>
          <w:szCs w:val="21"/>
        </w:rPr>
        <w:t>（5）与投标人有其他利害关系。</w:t>
      </w:r>
    </w:p>
    <w:p>
      <w:pPr>
        <w:numPr>
          <w:ilvl w:val="2"/>
          <w:numId w:val="11"/>
        </w:numPr>
        <w:tabs>
          <w:tab w:val="left" w:pos="993"/>
        </w:tabs>
        <w:spacing w:line="360" w:lineRule="auto"/>
        <w:ind w:left="0" w:firstLine="420" w:firstLineChars="200"/>
        <w:rPr>
          <w:rFonts w:eastAsia="宋体"/>
          <w:szCs w:val="21"/>
        </w:rPr>
      </w:pPr>
      <w:r>
        <w:rPr>
          <w:rFonts w:eastAsia="宋体"/>
          <w:szCs w:val="21"/>
        </w:rPr>
        <w:t>评标过程中，评标委员会成员有回避事由、擅离职守或者因健康等原因不能继续评标的，招标人有权更换。被更换的评标委员会成员作出的评审结论无效，由更换后的评标委员会成员重新进行评审。</w:t>
      </w:r>
    </w:p>
    <w:p>
      <w:pPr>
        <w:keepNext/>
        <w:keepLines/>
        <w:widowControl w:val="0"/>
        <w:numPr>
          <w:ilvl w:val="1"/>
          <w:numId w:val="11"/>
        </w:numPr>
        <w:spacing w:line="360" w:lineRule="auto"/>
        <w:ind w:left="105" w:leftChars="50" w:firstLine="0"/>
        <w:textAlignment w:val="center"/>
        <w:outlineLvl w:val="2"/>
        <w:rPr>
          <w:rFonts w:eastAsia="黑体"/>
          <w:kern w:val="2"/>
          <w:sz w:val="28"/>
          <w:szCs w:val="28"/>
        </w:rPr>
      </w:pPr>
      <w:bookmarkStart w:id="821" w:name="_Toc8510"/>
      <w:bookmarkStart w:id="822" w:name="_Toc13965"/>
      <w:bookmarkStart w:id="823" w:name="_Toc4998"/>
      <w:bookmarkStart w:id="824" w:name="_Toc26613"/>
      <w:bookmarkStart w:id="825" w:name="_Toc9568"/>
      <w:bookmarkStart w:id="826" w:name="_Toc1595"/>
      <w:bookmarkStart w:id="827" w:name="_Toc8311"/>
      <w:bookmarkStart w:id="828" w:name="_Toc27383"/>
      <w:bookmarkStart w:id="829" w:name="_Toc11268"/>
      <w:bookmarkStart w:id="830" w:name="_Toc26066"/>
      <w:bookmarkStart w:id="831" w:name="_Toc6731"/>
      <w:bookmarkStart w:id="832" w:name="_Toc13767"/>
      <w:bookmarkStart w:id="833" w:name="_Toc13469"/>
      <w:bookmarkStart w:id="834" w:name="_Toc14182"/>
      <w:bookmarkStart w:id="835" w:name="_Toc10236"/>
      <w:bookmarkStart w:id="836" w:name="_Toc514430389"/>
      <w:bookmarkStart w:id="837" w:name="_Toc6236"/>
      <w:r>
        <w:rPr>
          <w:rFonts w:eastAsia="黑体"/>
          <w:kern w:val="2"/>
          <w:sz w:val="28"/>
          <w:szCs w:val="28"/>
        </w:rPr>
        <w:t>评标原则</w:t>
      </w:r>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p>
    <w:p>
      <w:pPr>
        <w:spacing w:line="360" w:lineRule="auto"/>
        <w:ind w:firstLine="420" w:firstLineChars="200"/>
        <w:rPr>
          <w:rFonts w:eastAsia="宋体"/>
          <w:szCs w:val="21"/>
        </w:rPr>
      </w:pPr>
      <w:r>
        <w:rPr>
          <w:rFonts w:eastAsia="宋体"/>
          <w:szCs w:val="21"/>
        </w:rPr>
        <w:t>评标活动遵循公平、公正、科学和择优的原则。</w:t>
      </w:r>
    </w:p>
    <w:p>
      <w:pPr>
        <w:keepNext/>
        <w:keepLines/>
        <w:widowControl w:val="0"/>
        <w:numPr>
          <w:ilvl w:val="1"/>
          <w:numId w:val="11"/>
        </w:numPr>
        <w:spacing w:line="360" w:lineRule="auto"/>
        <w:ind w:left="105" w:leftChars="50" w:firstLine="0"/>
        <w:textAlignment w:val="center"/>
        <w:outlineLvl w:val="2"/>
        <w:rPr>
          <w:rFonts w:eastAsia="黑体"/>
          <w:kern w:val="2"/>
          <w:sz w:val="28"/>
          <w:szCs w:val="28"/>
        </w:rPr>
      </w:pPr>
      <w:bookmarkStart w:id="838" w:name="_Toc6971"/>
      <w:bookmarkStart w:id="839" w:name="_Toc11687"/>
      <w:bookmarkStart w:id="840" w:name="_Toc16623"/>
      <w:bookmarkStart w:id="841" w:name="_Toc12257"/>
      <w:bookmarkStart w:id="842" w:name="_Toc8672"/>
      <w:bookmarkStart w:id="843" w:name="_Toc28038"/>
      <w:bookmarkStart w:id="844" w:name="_Toc8881"/>
      <w:bookmarkStart w:id="845" w:name="_Toc24822"/>
      <w:bookmarkStart w:id="846" w:name="_Toc11407"/>
      <w:bookmarkStart w:id="847" w:name="_Toc23232"/>
      <w:bookmarkStart w:id="848" w:name="_Toc6570"/>
      <w:bookmarkStart w:id="849" w:name="_Toc7150"/>
      <w:bookmarkStart w:id="850" w:name="_Toc514430390"/>
      <w:bookmarkStart w:id="851" w:name="_Toc30340"/>
      <w:bookmarkStart w:id="852" w:name="_Toc19377"/>
      <w:bookmarkStart w:id="853" w:name="_Toc8313"/>
      <w:bookmarkStart w:id="854" w:name="_Toc22196"/>
      <w:r>
        <w:rPr>
          <w:rFonts w:eastAsia="黑体"/>
          <w:kern w:val="2"/>
          <w:sz w:val="28"/>
          <w:szCs w:val="28"/>
        </w:rPr>
        <w:t>评标</w:t>
      </w:r>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p>
    <w:p>
      <w:pPr>
        <w:numPr>
          <w:ilvl w:val="2"/>
          <w:numId w:val="11"/>
        </w:numPr>
        <w:tabs>
          <w:tab w:val="left" w:pos="993"/>
        </w:tabs>
        <w:spacing w:line="360" w:lineRule="auto"/>
        <w:ind w:left="0" w:firstLine="420" w:firstLineChars="200"/>
        <w:rPr>
          <w:rFonts w:eastAsia="宋体"/>
          <w:szCs w:val="21"/>
        </w:rPr>
      </w:pPr>
      <w:r>
        <w:rPr>
          <w:rFonts w:eastAsia="宋体"/>
          <w:szCs w:val="21"/>
        </w:rPr>
        <w:t>评标委员会按</w:t>
      </w:r>
      <w:r>
        <w:rPr>
          <w:rFonts w:ascii="宋体" w:hAnsi="宋体" w:eastAsia="宋体"/>
          <w:szCs w:val="21"/>
        </w:rPr>
        <w:t>照第三章“评标办法”规定的方法、评审因素、标准和程序对投标文件进行评审。第三章“评标办法”没有规定的方法、评审因素和标准，</w:t>
      </w:r>
      <w:r>
        <w:rPr>
          <w:rFonts w:eastAsia="宋体"/>
          <w:szCs w:val="21"/>
        </w:rPr>
        <w:t>不作为评标依据。</w:t>
      </w:r>
    </w:p>
    <w:p>
      <w:pPr>
        <w:numPr>
          <w:ilvl w:val="2"/>
          <w:numId w:val="11"/>
        </w:numPr>
        <w:tabs>
          <w:tab w:val="left" w:pos="993"/>
        </w:tabs>
        <w:spacing w:line="360" w:lineRule="auto"/>
        <w:ind w:left="0" w:firstLine="420" w:firstLineChars="200"/>
        <w:rPr>
          <w:rFonts w:eastAsia="宋体"/>
          <w:szCs w:val="21"/>
        </w:rPr>
      </w:pPr>
      <w:r>
        <w:rPr>
          <w:rFonts w:eastAsia="宋体"/>
          <w:szCs w:val="21"/>
        </w:rPr>
        <w:t>评标完成后，评标委员会应当向招标人提交书面评标报告和中标候选人名单。评标委员会推荐中标候选人的人数见投标人须知前附表。</w:t>
      </w:r>
    </w:p>
    <w:p>
      <w:pPr>
        <w:keepNext/>
        <w:keepLines/>
        <w:numPr>
          <w:ilvl w:val="0"/>
          <w:numId w:val="11"/>
        </w:numPr>
        <w:tabs>
          <w:tab w:val="left" w:pos="567"/>
        </w:tabs>
        <w:spacing w:before="151" w:beforeLines="50" w:after="151" w:afterLines="50" w:line="360" w:lineRule="auto"/>
        <w:outlineLvl w:val="1"/>
        <w:rPr>
          <w:rFonts w:eastAsia="黑体"/>
          <w:b/>
          <w:bCs/>
          <w:sz w:val="32"/>
          <w:szCs w:val="32"/>
        </w:rPr>
      </w:pPr>
      <w:bookmarkStart w:id="855" w:name="_Toc514430391"/>
      <w:bookmarkStart w:id="856" w:name="_Toc9064"/>
      <w:bookmarkStart w:id="857" w:name="_Toc28161"/>
      <w:bookmarkStart w:id="858" w:name="_Toc31359"/>
      <w:bookmarkStart w:id="859" w:name="_Toc26473"/>
      <w:bookmarkStart w:id="860" w:name="_Toc2851"/>
      <w:bookmarkStart w:id="861" w:name="_Toc24508"/>
      <w:bookmarkStart w:id="862" w:name="_Toc28052"/>
      <w:bookmarkStart w:id="863" w:name="_Toc1062"/>
      <w:bookmarkStart w:id="864" w:name="_Toc7586"/>
      <w:bookmarkStart w:id="865" w:name="_Toc32470"/>
      <w:bookmarkStart w:id="866" w:name="_Toc23901"/>
      <w:bookmarkStart w:id="867" w:name="_Toc25994"/>
      <w:bookmarkStart w:id="868" w:name="_Toc2384"/>
      <w:bookmarkStart w:id="869" w:name="_Toc26980"/>
      <w:bookmarkStart w:id="870" w:name="_Toc20251"/>
      <w:r>
        <w:rPr>
          <w:rFonts w:eastAsia="黑体"/>
          <w:b/>
          <w:bCs/>
          <w:sz w:val="32"/>
          <w:szCs w:val="32"/>
        </w:rPr>
        <w:t>合同授予</w:t>
      </w:r>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p>
    <w:p>
      <w:pPr>
        <w:keepNext/>
        <w:keepLines/>
        <w:widowControl w:val="0"/>
        <w:numPr>
          <w:ilvl w:val="1"/>
          <w:numId w:val="11"/>
        </w:numPr>
        <w:spacing w:line="360" w:lineRule="auto"/>
        <w:ind w:left="105" w:leftChars="50" w:firstLine="0"/>
        <w:textAlignment w:val="center"/>
        <w:outlineLvl w:val="2"/>
        <w:rPr>
          <w:rFonts w:eastAsia="黑体"/>
          <w:kern w:val="2"/>
          <w:sz w:val="28"/>
          <w:szCs w:val="28"/>
        </w:rPr>
      </w:pPr>
      <w:bookmarkStart w:id="871" w:name="_Toc20332"/>
      <w:bookmarkStart w:id="872" w:name="_Toc24623"/>
      <w:bookmarkStart w:id="873" w:name="_Toc3319"/>
      <w:bookmarkStart w:id="874" w:name="_Toc1232"/>
      <w:bookmarkStart w:id="875" w:name="_Toc514430392"/>
      <w:bookmarkStart w:id="876" w:name="_Toc11281"/>
      <w:bookmarkStart w:id="877" w:name="_Toc31399"/>
      <w:bookmarkStart w:id="878" w:name="_Toc5884"/>
      <w:bookmarkStart w:id="879" w:name="_Toc25947"/>
      <w:bookmarkStart w:id="880" w:name="_Toc24486"/>
      <w:bookmarkStart w:id="881" w:name="_Toc20356"/>
      <w:bookmarkStart w:id="882" w:name="_Toc8800"/>
      <w:bookmarkStart w:id="883" w:name="_Toc3913"/>
      <w:bookmarkStart w:id="884" w:name="_Toc24766"/>
      <w:bookmarkStart w:id="885" w:name="_Toc26773"/>
      <w:bookmarkStart w:id="886" w:name="_Toc14381"/>
      <w:bookmarkStart w:id="887" w:name="_Toc24280"/>
      <w:r>
        <w:rPr>
          <w:rFonts w:eastAsia="黑体"/>
          <w:kern w:val="2"/>
          <w:sz w:val="28"/>
          <w:szCs w:val="28"/>
        </w:rPr>
        <w:t>中标候选人公示</w:t>
      </w:r>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p>
    <w:p>
      <w:pPr>
        <w:widowControl w:val="0"/>
        <w:spacing w:line="360" w:lineRule="auto"/>
        <w:ind w:firstLine="420" w:firstLineChars="200"/>
        <w:rPr>
          <w:rFonts w:eastAsia="宋体"/>
          <w:szCs w:val="21"/>
        </w:rPr>
      </w:pPr>
      <w:r>
        <w:rPr>
          <w:rFonts w:eastAsia="宋体"/>
          <w:szCs w:val="21"/>
        </w:rPr>
        <w:t>招标人在收到评标报告之日起 3 日内，按照投标人须知前附表规定的公示媒介和期限公示中标候选人，公示期不得少于 3 天。</w:t>
      </w:r>
    </w:p>
    <w:p>
      <w:pPr>
        <w:keepNext/>
        <w:keepLines/>
        <w:widowControl w:val="0"/>
        <w:numPr>
          <w:ilvl w:val="1"/>
          <w:numId w:val="11"/>
        </w:numPr>
        <w:spacing w:line="360" w:lineRule="auto"/>
        <w:ind w:left="105" w:leftChars="50" w:firstLine="0"/>
        <w:textAlignment w:val="center"/>
        <w:outlineLvl w:val="2"/>
        <w:rPr>
          <w:rFonts w:eastAsia="黑体"/>
          <w:kern w:val="2"/>
          <w:sz w:val="28"/>
          <w:szCs w:val="28"/>
        </w:rPr>
      </w:pPr>
      <w:bookmarkStart w:id="888" w:name="_Toc11040"/>
      <w:bookmarkStart w:id="889" w:name="_Toc514430393"/>
      <w:bookmarkStart w:id="890" w:name="_Toc16036"/>
      <w:bookmarkStart w:id="891" w:name="_Toc6146"/>
      <w:bookmarkStart w:id="892" w:name="_Toc12682"/>
      <w:bookmarkStart w:id="893" w:name="_Toc26911"/>
      <w:bookmarkStart w:id="894" w:name="_Toc26428"/>
      <w:bookmarkStart w:id="895" w:name="_Toc9257"/>
      <w:bookmarkStart w:id="896" w:name="_Toc18723"/>
      <w:bookmarkStart w:id="897" w:name="_Toc8968"/>
      <w:bookmarkStart w:id="898" w:name="_Toc16550"/>
      <w:bookmarkStart w:id="899" w:name="_Toc12273"/>
      <w:bookmarkStart w:id="900" w:name="_Toc10733"/>
      <w:bookmarkStart w:id="901" w:name="_Toc19235"/>
      <w:bookmarkStart w:id="902" w:name="_Toc30636"/>
      <w:bookmarkStart w:id="903" w:name="_Toc4358"/>
      <w:bookmarkStart w:id="904" w:name="_Toc21218"/>
      <w:r>
        <w:rPr>
          <w:rFonts w:eastAsia="黑体"/>
          <w:kern w:val="2"/>
          <w:sz w:val="28"/>
          <w:szCs w:val="28"/>
        </w:rPr>
        <w:t>评标结果异议</w:t>
      </w:r>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p>
    <w:p>
      <w:pPr>
        <w:spacing w:line="360" w:lineRule="auto"/>
        <w:ind w:firstLine="420" w:firstLineChars="200"/>
        <w:rPr>
          <w:rFonts w:eastAsia="宋体"/>
          <w:szCs w:val="21"/>
        </w:rPr>
      </w:pPr>
      <w:r>
        <w:rPr>
          <w:rFonts w:eastAsia="宋体"/>
          <w:szCs w:val="21"/>
        </w:rPr>
        <w:t>投标人或者其他利害关系人对评标结果有异议的，应当在中标候选人公示期间提出。招标人将在收到异议之日起 3 日内作出答复；作出答复前，将暂停招标投标活动。</w:t>
      </w:r>
    </w:p>
    <w:p>
      <w:pPr>
        <w:keepNext/>
        <w:keepLines/>
        <w:widowControl w:val="0"/>
        <w:numPr>
          <w:ilvl w:val="1"/>
          <w:numId w:val="11"/>
        </w:numPr>
        <w:spacing w:line="360" w:lineRule="auto"/>
        <w:ind w:left="105" w:leftChars="50" w:firstLine="0"/>
        <w:textAlignment w:val="center"/>
        <w:outlineLvl w:val="2"/>
        <w:rPr>
          <w:rFonts w:eastAsia="黑体"/>
          <w:kern w:val="2"/>
          <w:sz w:val="28"/>
          <w:szCs w:val="28"/>
        </w:rPr>
      </w:pPr>
      <w:bookmarkStart w:id="905" w:name="_Toc20744"/>
      <w:bookmarkStart w:id="906" w:name="_Toc30324"/>
      <w:bookmarkStart w:id="907" w:name="_Toc6952"/>
      <w:bookmarkStart w:id="908" w:name="_Toc22548"/>
      <w:bookmarkStart w:id="909" w:name="_Toc31140"/>
      <w:bookmarkStart w:id="910" w:name="_Toc6421"/>
      <w:bookmarkStart w:id="911" w:name="_Toc2285"/>
      <w:bookmarkStart w:id="912" w:name="_Toc31747"/>
      <w:bookmarkStart w:id="913" w:name="_Toc31161"/>
      <w:bookmarkStart w:id="914" w:name="_Toc8371"/>
      <w:bookmarkStart w:id="915" w:name="_Toc27637"/>
      <w:bookmarkStart w:id="916" w:name="_Toc12889"/>
      <w:bookmarkStart w:id="917" w:name="_Toc514430394"/>
      <w:bookmarkStart w:id="918" w:name="_Toc5467"/>
      <w:bookmarkStart w:id="919" w:name="_Toc17078"/>
      <w:bookmarkStart w:id="920" w:name="_Toc12255"/>
      <w:bookmarkStart w:id="921" w:name="_Toc11583"/>
      <w:r>
        <w:rPr>
          <w:rFonts w:eastAsia="黑体"/>
          <w:kern w:val="2"/>
          <w:sz w:val="28"/>
          <w:szCs w:val="28"/>
        </w:rPr>
        <w:t>中标候选人履约能力审查</w:t>
      </w:r>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p>
    <w:p>
      <w:pPr>
        <w:spacing w:line="360" w:lineRule="auto"/>
        <w:ind w:firstLine="420" w:firstLineChars="200"/>
        <w:rPr>
          <w:rFonts w:eastAsia="宋体"/>
          <w:szCs w:val="21"/>
        </w:rPr>
      </w:pPr>
      <w:r>
        <w:rPr>
          <w:rFonts w:eastAsia="宋体"/>
          <w:szCs w:val="21"/>
        </w:rPr>
        <w:t>中标候选人的经营、财务状况发生较大变化或存在违法行为，招标人认为可能影响其履约能力的，将在发出中标通知书前提请原评标委员会按照招标文件规定的标准和方法进行审查确认。</w:t>
      </w:r>
    </w:p>
    <w:p>
      <w:pPr>
        <w:keepNext/>
        <w:keepLines/>
        <w:widowControl w:val="0"/>
        <w:numPr>
          <w:ilvl w:val="1"/>
          <w:numId w:val="11"/>
        </w:numPr>
        <w:spacing w:line="360" w:lineRule="auto"/>
        <w:ind w:left="105" w:leftChars="50" w:firstLine="0"/>
        <w:textAlignment w:val="center"/>
        <w:outlineLvl w:val="2"/>
        <w:rPr>
          <w:rFonts w:eastAsia="黑体"/>
          <w:kern w:val="2"/>
          <w:sz w:val="28"/>
          <w:szCs w:val="28"/>
        </w:rPr>
      </w:pPr>
      <w:bookmarkStart w:id="922" w:name="_Toc26035"/>
      <w:bookmarkStart w:id="923" w:name="_Toc5851"/>
      <w:bookmarkStart w:id="924" w:name="_Toc27838"/>
      <w:bookmarkStart w:id="925" w:name="_Toc581"/>
      <w:bookmarkStart w:id="926" w:name="_Toc21610"/>
      <w:bookmarkStart w:id="927" w:name="_Toc26038"/>
      <w:bookmarkStart w:id="928" w:name="_Toc26824"/>
      <w:bookmarkStart w:id="929" w:name="_Toc11621"/>
      <w:bookmarkStart w:id="930" w:name="_Toc32229"/>
      <w:bookmarkStart w:id="931" w:name="_Toc32034"/>
      <w:bookmarkStart w:id="932" w:name="_Toc1432"/>
      <w:bookmarkStart w:id="933" w:name="_Toc24978"/>
      <w:bookmarkStart w:id="934" w:name="_Toc13780"/>
      <w:bookmarkStart w:id="935" w:name="_Toc8959"/>
      <w:bookmarkStart w:id="936" w:name="_Toc23076"/>
      <w:bookmarkStart w:id="937" w:name="_Toc29623"/>
      <w:bookmarkStart w:id="938" w:name="_Toc514430395"/>
      <w:r>
        <w:rPr>
          <w:rFonts w:eastAsia="黑体"/>
          <w:kern w:val="2"/>
          <w:sz w:val="28"/>
          <w:szCs w:val="28"/>
        </w:rPr>
        <w:t>定标</w:t>
      </w:r>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p>
    <w:p>
      <w:pPr>
        <w:spacing w:line="360" w:lineRule="auto"/>
        <w:ind w:firstLine="420" w:firstLineChars="200"/>
        <w:rPr>
          <w:rFonts w:eastAsia="宋体"/>
          <w:szCs w:val="21"/>
        </w:rPr>
      </w:pPr>
      <w:r>
        <w:rPr>
          <w:rFonts w:eastAsia="宋体"/>
          <w:szCs w:val="21"/>
        </w:rPr>
        <w:t>按照投标人须知前附表的规定，招标人或招标人授权的评标委员会依法确定中标人。</w:t>
      </w:r>
    </w:p>
    <w:p>
      <w:pPr>
        <w:keepNext/>
        <w:keepLines/>
        <w:widowControl w:val="0"/>
        <w:numPr>
          <w:ilvl w:val="1"/>
          <w:numId w:val="11"/>
        </w:numPr>
        <w:spacing w:line="360" w:lineRule="auto"/>
        <w:ind w:left="105" w:leftChars="50" w:firstLine="0"/>
        <w:textAlignment w:val="center"/>
        <w:outlineLvl w:val="2"/>
        <w:rPr>
          <w:rFonts w:eastAsia="黑体"/>
          <w:kern w:val="2"/>
          <w:sz w:val="28"/>
          <w:szCs w:val="28"/>
        </w:rPr>
      </w:pPr>
      <w:bookmarkStart w:id="939" w:name="_Toc628"/>
      <w:bookmarkStart w:id="940" w:name="_Toc14012"/>
      <w:bookmarkStart w:id="941" w:name="_Toc17902"/>
      <w:bookmarkStart w:id="942" w:name="_Toc26600"/>
      <w:bookmarkStart w:id="943" w:name="_Toc16632"/>
      <w:bookmarkStart w:id="944" w:name="_Toc1907"/>
      <w:bookmarkStart w:id="945" w:name="_Toc9225"/>
      <w:bookmarkStart w:id="946" w:name="_Toc20794"/>
      <w:bookmarkStart w:id="947" w:name="_Toc13097"/>
      <w:bookmarkStart w:id="948" w:name="_Toc20710"/>
      <w:bookmarkStart w:id="949" w:name="_Toc28595"/>
      <w:bookmarkStart w:id="950" w:name="_Toc10438"/>
      <w:bookmarkStart w:id="951" w:name="_Toc10110"/>
      <w:bookmarkStart w:id="952" w:name="_Toc514430396"/>
      <w:bookmarkStart w:id="953" w:name="_Toc11982"/>
      <w:bookmarkStart w:id="954" w:name="_Toc30617"/>
      <w:bookmarkStart w:id="955" w:name="_Toc4668"/>
      <w:r>
        <w:rPr>
          <w:rFonts w:eastAsia="黑体"/>
          <w:kern w:val="2"/>
          <w:sz w:val="28"/>
          <w:szCs w:val="28"/>
        </w:rPr>
        <w:t>中标通知</w:t>
      </w:r>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p>
    <w:p>
      <w:pPr>
        <w:spacing w:line="360" w:lineRule="auto"/>
        <w:ind w:firstLine="420" w:firstLineChars="200"/>
        <w:rPr>
          <w:rFonts w:eastAsia="宋体"/>
          <w:szCs w:val="21"/>
        </w:rPr>
      </w:pPr>
      <w:r>
        <w:rPr>
          <w:rFonts w:eastAsia="宋体"/>
          <w:szCs w:val="21"/>
        </w:rPr>
        <w:t>在本章第 3.3 款规定的投标有效期内，招标人以书面形式向中标人发出中标通知书，同时将中标结果通知未中标的投标人。</w:t>
      </w:r>
    </w:p>
    <w:p>
      <w:pPr>
        <w:keepNext/>
        <w:keepLines/>
        <w:widowControl w:val="0"/>
        <w:numPr>
          <w:ilvl w:val="1"/>
          <w:numId w:val="11"/>
        </w:numPr>
        <w:spacing w:line="360" w:lineRule="auto"/>
        <w:ind w:left="105" w:leftChars="50" w:firstLine="0"/>
        <w:textAlignment w:val="center"/>
        <w:outlineLvl w:val="2"/>
        <w:rPr>
          <w:rFonts w:eastAsia="黑体"/>
          <w:kern w:val="2"/>
          <w:sz w:val="28"/>
          <w:szCs w:val="28"/>
        </w:rPr>
      </w:pPr>
      <w:bookmarkStart w:id="956" w:name="_Toc17256"/>
      <w:bookmarkStart w:id="957" w:name="_Toc14163"/>
      <w:bookmarkStart w:id="958" w:name="_Toc847"/>
      <w:bookmarkStart w:id="959" w:name="_Toc10022"/>
      <w:bookmarkStart w:id="960" w:name="_Toc16958"/>
      <w:bookmarkStart w:id="961" w:name="_Toc31913"/>
      <w:bookmarkStart w:id="962" w:name="_Toc9025"/>
      <w:bookmarkStart w:id="963" w:name="_Toc4555"/>
      <w:bookmarkStart w:id="964" w:name="_Toc4037"/>
      <w:bookmarkStart w:id="965" w:name="_Toc30233"/>
      <w:bookmarkStart w:id="966" w:name="_Toc785"/>
      <w:bookmarkStart w:id="967" w:name="_Toc30583"/>
      <w:bookmarkStart w:id="968" w:name="_Toc22308"/>
      <w:bookmarkStart w:id="969" w:name="_Toc19681"/>
      <w:bookmarkStart w:id="970" w:name="_Toc16415"/>
      <w:bookmarkStart w:id="971" w:name="_Toc514430397"/>
      <w:bookmarkStart w:id="972" w:name="_Toc25201"/>
      <w:r>
        <w:rPr>
          <w:rFonts w:eastAsia="黑体"/>
          <w:kern w:val="2"/>
          <w:sz w:val="28"/>
          <w:szCs w:val="28"/>
        </w:rPr>
        <w:t>履约保证金</w:t>
      </w:r>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p>
    <w:p>
      <w:pPr>
        <w:numPr>
          <w:ilvl w:val="2"/>
          <w:numId w:val="11"/>
        </w:numPr>
        <w:tabs>
          <w:tab w:val="left" w:pos="993"/>
        </w:tabs>
        <w:spacing w:line="360" w:lineRule="auto"/>
        <w:ind w:left="0" w:firstLine="420" w:firstLineChars="200"/>
        <w:rPr>
          <w:rFonts w:eastAsia="宋体"/>
          <w:szCs w:val="21"/>
        </w:rPr>
      </w:pPr>
      <w:r>
        <w:rPr>
          <w:rFonts w:eastAsia="宋体"/>
          <w:szCs w:val="21"/>
        </w:rPr>
        <w:t>在签订合同前，中标人应按投标人须知前附表规定的形式、金额和招标文件</w:t>
      </w:r>
      <w:r>
        <w:rPr>
          <w:rFonts w:ascii="宋体" w:hAnsi="宋体" w:eastAsia="宋体"/>
          <w:szCs w:val="21"/>
        </w:rPr>
        <w:t>第四章“合</w:t>
      </w:r>
      <w:bookmarkStart w:id="973" w:name="page31"/>
      <w:bookmarkEnd w:id="973"/>
      <w:r>
        <w:rPr>
          <w:rFonts w:ascii="宋体" w:hAnsi="宋体" w:eastAsia="宋体"/>
          <w:szCs w:val="21"/>
        </w:rPr>
        <w:t>同条款及格式”规定的或者事先经过招标人书面认可的</w:t>
      </w:r>
      <w:r>
        <w:rPr>
          <w:rFonts w:eastAsia="宋体"/>
          <w:szCs w:val="21"/>
        </w:rPr>
        <w:t xml:space="preserve">履约保证金格式向招标人提交履约保证金。除投标人须知前附表另有规定外，履约保证金为中标合同金额的 </w:t>
      </w:r>
      <w:r>
        <w:rPr>
          <w:rFonts w:hint="eastAsia" w:eastAsia="宋体"/>
          <w:szCs w:val="21"/>
        </w:rPr>
        <w:t>5</w:t>
      </w:r>
      <w:r>
        <w:rPr>
          <w:rFonts w:eastAsia="宋体"/>
          <w:szCs w:val="21"/>
        </w:rPr>
        <w:t>%。</w:t>
      </w:r>
    </w:p>
    <w:p>
      <w:pPr>
        <w:numPr>
          <w:ilvl w:val="2"/>
          <w:numId w:val="11"/>
        </w:numPr>
        <w:tabs>
          <w:tab w:val="left" w:pos="993"/>
        </w:tabs>
        <w:spacing w:line="360" w:lineRule="auto"/>
        <w:ind w:left="0" w:firstLine="420" w:firstLineChars="200"/>
        <w:rPr>
          <w:rFonts w:eastAsia="宋体"/>
          <w:szCs w:val="21"/>
        </w:rPr>
      </w:pPr>
      <w:r>
        <w:rPr>
          <w:rFonts w:eastAsia="宋体"/>
          <w:szCs w:val="21"/>
        </w:rPr>
        <w:t>中标人不能按本章第 7.6.1 项要求提交履约保证金的，视为放弃中标，其投标保证金不予退还，给招标人造成的损失超过投标保证金数额的，中标人还应当对超过部分予以赔偿。</w:t>
      </w:r>
    </w:p>
    <w:p>
      <w:pPr>
        <w:keepNext/>
        <w:keepLines/>
        <w:widowControl w:val="0"/>
        <w:numPr>
          <w:ilvl w:val="1"/>
          <w:numId w:val="11"/>
        </w:numPr>
        <w:spacing w:line="360" w:lineRule="auto"/>
        <w:ind w:left="105" w:leftChars="50" w:firstLine="0"/>
        <w:textAlignment w:val="center"/>
        <w:outlineLvl w:val="2"/>
        <w:rPr>
          <w:rFonts w:eastAsia="黑体"/>
          <w:kern w:val="2"/>
          <w:sz w:val="28"/>
          <w:szCs w:val="28"/>
        </w:rPr>
      </w:pPr>
      <w:bookmarkStart w:id="974" w:name="_Toc15096"/>
      <w:bookmarkStart w:id="975" w:name="_Toc10905"/>
      <w:bookmarkStart w:id="976" w:name="_Toc16650"/>
      <w:bookmarkStart w:id="977" w:name="_Toc5407"/>
      <w:bookmarkStart w:id="978" w:name="_Toc22776"/>
      <w:bookmarkStart w:id="979" w:name="_Toc32471"/>
      <w:bookmarkStart w:id="980" w:name="_Toc8170"/>
      <w:bookmarkStart w:id="981" w:name="_Toc4434"/>
      <w:bookmarkStart w:id="982" w:name="_Toc15275"/>
      <w:bookmarkStart w:id="983" w:name="_Toc514430398"/>
      <w:bookmarkStart w:id="984" w:name="_Toc25869"/>
      <w:bookmarkStart w:id="985" w:name="_Toc27915"/>
      <w:bookmarkStart w:id="986" w:name="_Toc10096"/>
      <w:bookmarkStart w:id="987" w:name="_Toc27285"/>
      <w:bookmarkStart w:id="988" w:name="_Toc32632"/>
      <w:bookmarkStart w:id="989" w:name="_Toc16173"/>
      <w:bookmarkStart w:id="990" w:name="_Toc23546"/>
      <w:r>
        <w:rPr>
          <w:rFonts w:eastAsia="黑体"/>
          <w:kern w:val="2"/>
          <w:sz w:val="28"/>
          <w:szCs w:val="28"/>
        </w:rPr>
        <w:t>签订合同</w:t>
      </w:r>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p>
    <w:p>
      <w:pPr>
        <w:numPr>
          <w:ilvl w:val="2"/>
          <w:numId w:val="11"/>
        </w:numPr>
        <w:tabs>
          <w:tab w:val="left" w:pos="993"/>
        </w:tabs>
        <w:spacing w:line="360" w:lineRule="auto"/>
        <w:ind w:left="0" w:firstLine="420" w:firstLineChars="200"/>
        <w:rPr>
          <w:rFonts w:eastAsia="宋体"/>
          <w:szCs w:val="21"/>
        </w:rPr>
      </w:pPr>
      <w:r>
        <w:rPr>
          <w:rFonts w:eastAsia="宋体"/>
          <w:szCs w:val="21"/>
        </w:rPr>
        <w:t>招标人和中标人应当在中标通知书发出之日起 30 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numPr>
          <w:ilvl w:val="2"/>
          <w:numId w:val="11"/>
        </w:numPr>
        <w:tabs>
          <w:tab w:val="left" w:pos="993"/>
        </w:tabs>
        <w:spacing w:line="360" w:lineRule="auto"/>
        <w:ind w:left="0" w:firstLine="420" w:firstLineChars="200"/>
        <w:rPr>
          <w:rFonts w:eastAsia="宋体"/>
          <w:szCs w:val="21"/>
        </w:rPr>
      </w:pPr>
      <w:r>
        <w:rPr>
          <w:rFonts w:eastAsia="宋体"/>
          <w:szCs w:val="21"/>
        </w:rPr>
        <w:t>发出中标通知书后，招标人无正当理由拒签合同，或者在签订合同时向中标人提出附加条件的，招标人向中标人退还投标保证金；给中标人造成损失的，还应当赔偿损失。</w:t>
      </w:r>
    </w:p>
    <w:p>
      <w:pPr>
        <w:keepNext/>
        <w:keepLines/>
        <w:numPr>
          <w:ilvl w:val="0"/>
          <w:numId w:val="11"/>
        </w:numPr>
        <w:tabs>
          <w:tab w:val="left" w:pos="567"/>
        </w:tabs>
        <w:spacing w:before="151" w:beforeLines="50" w:after="151" w:afterLines="50" w:line="360" w:lineRule="auto"/>
        <w:outlineLvl w:val="1"/>
        <w:rPr>
          <w:rFonts w:eastAsia="黑体"/>
          <w:b/>
          <w:bCs/>
          <w:sz w:val="32"/>
          <w:szCs w:val="32"/>
        </w:rPr>
      </w:pPr>
      <w:bookmarkStart w:id="991" w:name="_Toc9245"/>
      <w:bookmarkStart w:id="992" w:name="_Toc25658"/>
      <w:bookmarkStart w:id="993" w:name="_Toc7878"/>
      <w:bookmarkStart w:id="994" w:name="_Toc13109"/>
      <w:bookmarkStart w:id="995" w:name="_Toc31588"/>
      <w:bookmarkStart w:id="996" w:name="_Toc10185"/>
      <w:bookmarkStart w:id="997" w:name="_Toc17050"/>
      <w:bookmarkStart w:id="998" w:name="_Toc12830"/>
      <w:bookmarkStart w:id="999" w:name="_Toc1027"/>
      <w:bookmarkStart w:id="1000" w:name="_Toc28000"/>
      <w:bookmarkStart w:id="1001" w:name="_Toc514430399"/>
      <w:bookmarkStart w:id="1002" w:name="_Toc29690"/>
      <w:bookmarkStart w:id="1003" w:name="_Toc28529"/>
      <w:bookmarkStart w:id="1004" w:name="_Toc1422"/>
      <w:bookmarkStart w:id="1005" w:name="_Toc2406"/>
      <w:bookmarkStart w:id="1006" w:name="_Toc22449"/>
      <w:r>
        <w:rPr>
          <w:rFonts w:eastAsia="黑体"/>
          <w:b/>
          <w:bCs/>
          <w:sz w:val="32"/>
          <w:szCs w:val="32"/>
        </w:rPr>
        <w:t>纪律和监督</w:t>
      </w:r>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p>
    <w:p>
      <w:pPr>
        <w:keepNext/>
        <w:keepLines/>
        <w:widowControl w:val="0"/>
        <w:numPr>
          <w:ilvl w:val="1"/>
          <w:numId w:val="11"/>
        </w:numPr>
        <w:spacing w:line="360" w:lineRule="auto"/>
        <w:ind w:left="105" w:leftChars="50" w:firstLine="0"/>
        <w:textAlignment w:val="center"/>
        <w:outlineLvl w:val="2"/>
        <w:rPr>
          <w:rFonts w:eastAsia="黑体"/>
          <w:kern w:val="2"/>
          <w:sz w:val="28"/>
          <w:szCs w:val="28"/>
        </w:rPr>
      </w:pPr>
      <w:bookmarkStart w:id="1007" w:name="_Toc514430400"/>
      <w:bookmarkStart w:id="1008" w:name="_Toc25887"/>
      <w:bookmarkStart w:id="1009" w:name="_Toc15203"/>
      <w:bookmarkStart w:id="1010" w:name="_Toc11117"/>
      <w:bookmarkStart w:id="1011" w:name="_Toc30281"/>
      <w:bookmarkStart w:id="1012" w:name="_Toc17940"/>
      <w:bookmarkStart w:id="1013" w:name="_Toc2910"/>
      <w:bookmarkStart w:id="1014" w:name="_Toc3119"/>
      <w:bookmarkStart w:id="1015" w:name="_Toc18526"/>
      <w:bookmarkStart w:id="1016" w:name="_Toc1380"/>
      <w:bookmarkStart w:id="1017" w:name="_Toc29492"/>
      <w:bookmarkStart w:id="1018" w:name="_Toc2942"/>
      <w:bookmarkStart w:id="1019" w:name="_Toc20029"/>
      <w:bookmarkStart w:id="1020" w:name="_Toc11628"/>
      <w:bookmarkStart w:id="1021" w:name="_Toc27938"/>
      <w:bookmarkStart w:id="1022" w:name="_Toc5664"/>
      <w:bookmarkStart w:id="1023" w:name="_Toc31775"/>
      <w:r>
        <w:rPr>
          <w:rFonts w:eastAsia="黑体"/>
          <w:kern w:val="2"/>
          <w:sz w:val="28"/>
          <w:szCs w:val="28"/>
        </w:rPr>
        <w:t>对招标人的纪律要求</w:t>
      </w:r>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p>
    <w:p>
      <w:pPr>
        <w:spacing w:line="360" w:lineRule="auto"/>
        <w:ind w:firstLine="420" w:firstLineChars="200"/>
        <w:rPr>
          <w:rFonts w:eastAsia="宋体"/>
          <w:szCs w:val="21"/>
        </w:rPr>
      </w:pPr>
      <w:r>
        <w:rPr>
          <w:rFonts w:eastAsia="宋体"/>
          <w:szCs w:val="21"/>
        </w:rPr>
        <w:t>招标人不得泄露招标投标活动中应当保密的情况和资料，不得与投标人串通损害国家利益、社会公共利益或者他人合法权益。</w:t>
      </w:r>
    </w:p>
    <w:p>
      <w:pPr>
        <w:keepNext/>
        <w:keepLines/>
        <w:widowControl w:val="0"/>
        <w:numPr>
          <w:ilvl w:val="1"/>
          <w:numId w:val="11"/>
        </w:numPr>
        <w:spacing w:line="360" w:lineRule="auto"/>
        <w:ind w:left="105" w:leftChars="50" w:firstLine="0"/>
        <w:textAlignment w:val="center"/>
        <w:outlineLvl w:val="2"/>
        <w:rPr>
          <w:rFonts w:eastAsia="黑体"/>
          <w:kern w:val="2"/>
          <w:sz w:val="28"/>
          <w:szCs w:val="28"/>
        </w:rPr>
      </w:pPr>
      <w:bookmarkStart w:id="1024" w:name="_Toc18173"/>
      <w:bookmarkStart w:id="1025" w:name="_Toc31938"/>
      <w:bookmarkStart w:id="1026" w:name="_Toc23783"/>
      <w:bookmarkStart w:id="1027" w:name="_Toc29394"/>
      <w:bookmarkStart w:id="1028" w:name="_Toc18261"/>
      <w:bookmarkStart w:id="1029" w:name="_Toc25773"/>
      <w:bookmarkStart w:id="1030" w:name="_Toc29719"/>
      <w:bookmarkStart w:id="1031" w:name="_Toc13120"/>
      <w:bookmarkStart w:id="1032" w:name="_Toc17289"/>
      <w:bookmarkStart w:id="1033" w:name="_Toc17699"/>
      <w:bookmarkStart w:id="1034" w:name="_Toc12575"/>
      <w:bookmarkStart w:id="1035" w:name="_Toc1986"/>
      <w:bookmarkStart w:id="1036" w:name="_Toc32224"/>
      <w:bookmarkStart w:id="1037" w:name="_Toc514430401"/>
      <w:bookmarkStart w:id="1038" w:name="_Toc32295"/>
      <w:bookmarkStart w:id="1039" w:name="_Toc9868"/>
      <w:bookmarkStart w:id="1040" w:name="_Toc2999"/>
      <w:r>
        <w:rPr>
          <w:rFonts w:eastAsia="黑体"/>
          <w:kern w:val="2"/>
          <w:sz w:val="28"/>
          <w:szCs w:val="28"/>
        </w:rPr>
        <w:t>对投标人的纪律要求</w:t>
      </w:r>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p>
    <w:p>
      <w:pPr>
        <w:spacing w:line="360" w:lineRule="auto"/>
        <w:ind w:firstLine="420" w:firstLineChars="200"/>
        <w:rPr>
          <w:rFonts w:eastAsia="宋体"/>
          <w:szCs w:val="21"/>
        </w:rPr>
      </w:pPr>
      <w:r>
        <w:rPr>
          <w:rFonts w:eastAsia="宋体"/>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keepNext/>
        <w:keepLines/>
        <w:widowControl w:val="0"/>
        <w:numPr>
          <w:ilvl w:val="1"/>
          <w:numId w:val="11"/>
        </w:numPr>
        <w:spacing w:line="360" w:lineRule="auto"/>
        <w:ind w:left="105" w:leftChars="50" w:firstLine="0"/>
        <w:textAlignment w:val="center"/>
        <w:outlineLvl w:val="2"/>
        <w:rPr>
          <w:rFonts w:eastAsia="黑体"/>
          <w:kern w:val="2"/>
          <w:sz w:val="28"/>
          <w:szCs w:val="28"/>
        </w:rPr>
      </w:pPr>
      <w:bookmarkStart w:id="1041" w:name="_Toc8665"/>
      <w:bookmarkStart w:id="1042" w:name="_Toc29593"/>
      <w:bookmarkStart w:id="1043" w:name="_Toc26956"/>
      <w:bookmarkStart w:id="1044" w:name="_Toc27968"/>
      <w:bookmarkStart w:id="1045" w:name="_Toc23063"/>
      <w:bookmarkStart w:id="1046" w:name="_Toc12286"/>
      <w:bookmarkStart w:id="1047" w:name="_Toc32422"/>
      <w:bookmarkStart w:id="1048" w:name="_Toc17923"/>
      <w:bookmarkStart w:id="1049" w:name="_Toc5521"/>
      <w:bookmarkStart w:id="1050" w:name="_Toc8306"/>
      <w:bookmarkStart w:id="1051" w:name="_Toc514430402"/>
      <w:bookmarkStart w:id="1052" w:name="_Toc4800"/>
      <w:bookmarkStart w:id="1053" w:name="_Toc10955"/>
      <w:bookmarkStart w:id="1054" w:name="_Toc27690"/>
      <w:bookmarkStart w:id="1055" w:name="_Toc9206"/>
      <w:bookmarkStart w:id="1056" w:name="_Toc30908"/>
      <w:bookmarkStart w:id="1057" w:name="_Toc23317"/>
      <w:r>
        <w:rPr>
          <w:rFonts w:eastAsia="黑体"/>
          <w:kern w:val="2"/>
          <w:sz w:val="28"/>
          <w:szCs w:val="28"/>
        </w:rPr>
        <w:t>对评标委员会成员的纪律要求</w:t>
      </w:r>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p>
    <w:p>
      <w:pPr>
        <w:spacing w:line="360" w:lineRule="auto"/>
        <w:ind w:firstLine="420" w:firstLineChars="200"/>
        <w:rPr>
          <w:rFonts w:eastAsia="宋体"/>
          <w:szCs w:val="21"/>
        </w:rPr>
      </w:pPr>
      <w:r>
        <w:rPr>
          <w:rFonts w:eastAsia="宋体"/>
          <w:szCs w:val="21"/>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w:t>
      </w:r>
      <w:bookmarkStart w:id="1058" w:name="page32"/>
      <w:bookmarkEnd w:id="1058"/>
      <w:r>
        <w:rPr>
          <w:rFonts w:eastAsia="宋体"/>
          <w:szCs w:val="21"/>
        </w:rPr>
        <w:t>三</w:t>
      </w:r>
      <w:r>
        <w:rPr>
          <w:rFonts w:ascii="宋体" w:hAnsi="宋体" w:eastAsia="宋体"/>
          <w:szCs w:val="21"/>
        </w:rPr>
        <w:t>章“评标办法”没有规定的评审因素和</w:t>
      </w:r>
      <w:r>
        <w:rPr>
          <w:rFonts w:eastAsia="宋体"/>
          <w:szCs w:val="21"/>
        </w:rPr>
        <w:t>标准进行评标。</w:t>
      </w:r>
    </w:p>
    <w:p>
      <w:pPr>
        <w:keepNext/>
        <w:keepLines/>
        <w:widowControl w:val="0"/>
        <w:numPr>
          <w:ilvl w:val="1"/>
          <w:numId w:val="11"/>
        </w:numPr>
        <w:spacing w:line="360" w:lineRule="auto"/>
        <w:ind w:left="105" w:leftChars="50" w:firstLine="0"/>
        <w:textAlignment w:val="center"/>
        <w:outlineLvl w:val="2"/>
        <w:rPr>
          <w:rFonts w:eastAsia="黑体"/>
          <w:kern w:val="2"/>
          <w:sz w:val="28"/>
          <w:szCs w:val="28"/>
        </w:rPr>
      </w:pPr>
      <w:bookmarkStart w:id="1059" w:name="_Toc3343"/>
      <w:bookmarkStart w:id="1060" w:name="_Toc23599"/>
      <w:bookmarkStart w:id="1061" w:name="_Toc730"/>
      <w:bookmarkStart w:id="1062" w:name="_Toc8148"/>
      <w:bookmarkStart w:id="1063" w:name="_Toc23999"/>
      <w:bookmarkStart w:id="1064" w:name="_Toc20639"/>
      <w:bookmarkStart w:id="1065" w:name="_Toc26166"/>
      <w:bookmarkStart w:id="1066" w:name="_Toc21053"/>
      <w:bookmarkStart w:id="1067" w:name="_Toc15305"/>
      <w:bookmarkStart w:id="1068" w:name="_Toc30166"/>
      <w:bookmarkStart w:id="1069" w:name="_Toc27825"/>
      <w:bookmarkStart w:id="1070" w:name="_Toc6423"/>
      <w:bookmarkStart w:id="1071" w:name="_Toc16318"/>
      <w:bookmarkStart w:id="1072" w:name="_Toc23680"/>
      <w:bookmarkStart w:id="1073" w:name="_Toc6683"/>
      <w:bookmarkStart w:id="1074" w:name="_Toc514430403"/>
      <w:bookmarkStart w:id="1075" w:name="_Toc6065"/>
      <w:r>
        <w:rPr>
          <w:rFonts w:eastAsia="黑体"/>
          <w:kern w:val="2"/>
          <w:sz w:val="28"/>
          <w:szCs w:val="28"/>
        </w:rPr>
        <w:t>对与评标活动有关的工作人员的纪律要求</w:t>
      </w:r>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p>
    <w:p>
      <w:pPr>
        <w:spacing w:line="360" w:lineRule="auto"/>
        <w:ind w:firstLine="420" w:firstLineChars="200"/>
        <w:rPr>
          <w:rFonts w:eastAsia="宋体"/>
          <w:szCs w:val="21"/>
        </w:rPr>
      </w:pPr>
      <w:r>
        <w:rPr>
          <w:rFonts w:eastAsia="宋体"/>
          <w:szCs w:val="21"/>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keepNext/>
        <w:keepLines/>
        <w:widowControl w:val="0"/>
        <w:numPr>
          <w:ilvl w:val="1"/>
          <w:numId w:val="11"/>
        </w:numPr>
        <w:spacing w:line="360" w:lineRule="auto"/>
        <w:ind w:left="105" w:leftChars="50" w:firstLine="0"/>
        <w:textAlignment w:val="center"/>
        <w:outlineLvl w:val="2"/>
        <w:rPr>
          <w:rFonts w:eastAsia="黑体"/>
          <w:kern w:val="2"/>
          <w:sz w:val="28"/>
          <w:szCs w:val="28"/>
        </w:rPr>
      </w:pPr>
      <w:bookmarkStart w:id="1076" w:name="_Toc514430404"/>
      <w:bookmarkStart w:id="1077" w:name="_Toc14222"/>
      <w:bookmarkStart w:id="1078" w:name="_Toc26801"/>
      <w:bookmarkStart w:id="1079" w:name="_Toc9036"/>
      <w:bookmarkStart w:id="1080" w:name="_Toc14453"/>
      <w:bookmarkStart w:id="1081" w:name="_Toc7085"/>
      <w:bookmarkStart w:id="1082" w:name="_Toc9426"/>
      <w:bookmarkStart w:id="1083" w:name="_Toc7994"/>
      <w:bookmarkStart w:id="1084" w:name="_Toc30224"/>
      <w:bookmarkStart w:id="1085" w:name="_Toc27263"/>
      <w:bookmarkStart w:id="1086" w:name="_Toc17005"/>
      <w:bookmarkStart w:id="1087" w:name="_Toc8875"/>
      <w:bookmarkStart w:id="1088" w:name="_Toc24719"/>
      <w:bookmarkStart w:id="1089" w:name="_Toc28385"/>
      <w:bookmarkStart w:id="1090" w:name="_Toc3272"/>
      <w:bookmarkStart w:id="1091" w:name="_Toc15353"/>
      <w:bookmarkStart w:id="1092" w:name="_Toc4368"/>
      <w:r>
        <w:rPr>
          <w:rFonts w:eastAsia="黑体"/>
          <w:kern w:val="2"/>
          <w:sz w:val="28"/>
          <w:szCs w:val="28"/>
        </w:rPr>
        <w:t>投诉</w:t>
      </w:r>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p>
    <w:p>
      <w:pPr>
        <w:numPr>
          <w:ilvl w:val="2"/>
          <w:numId w:val="11"/>
        </w:numPr>
        <w:tabs>
          <w:tab w:val="left" w:pos="993"/>
        </w:tabs>
        <w:spacing w:line="360" w:lineRule="auto"/>
        <w:ind w:left="0" w:firstLine="420" w:firstLineChars="200"/>
        <w:rPr>
          <w:rFonts w:eastAsia="宋体"/>
          <w:szCs w:val="21"/>
        </w:rPr>
      </w:pPr>
      <w:r>
        <w:rPr>
          <w:rFonts w:eastAsia="宋体"/>
          <w:szCs w:val="21"/>
        </w:rPr>
        <w:t>投标人或者其他利害关系人认为招标投标活动不符合法律、行政法规规定的，可以自知道或者应当知道之日起 10 日内向有关行政监督部门投诉。投诉应当有明确的请求和必要的证明材料。</w:t>
      </w:r>
    </w:p>
    <w:p>
      <w:pPr>
        <w:numPr>
          <w:ilvl w:val="2"/>
          <w:numId w:val="11"/>
        </w:numPr>
        <w:tabs>
          <w:tab w:val="left" w:pos="993"/>
        </w:tabs>
        <w:spacing w:line="360" w:lineRule="auto"/>
        <w:ind w:left="0" w:firstLine="420" w:firstLineChars="200"/>
        <w:rPr>
          <w:rFonts w:eastAsia="宋体"/>
          <w:szCs w:val="21"/>
        </w:rPr>
      </w:pPr>
      <w:r>
        <w:rPr>
          <w:rFonts w:eastAsia="宋体"/>
          <w:szCs w:val="21"/>
        </w:rPr>
        <w:t>投标人或者其他利害关系人对招标文件、开标和评标结果提出投诉的，应当按照投标人须知的规定先向招标人提出异议。异议答复期间不计算在第 8.5.1项规定的期限内。</w:t>
      </w:r>
    </w:p>
    <w:p>
      <w:pPr>
        <w:keepNext/>
        <w:keepLines/>
        <w:numPr>
          <w:ilvl w:val="0"/>
          <w:numId w:val="11"/>
        </w:numPr>
        <w:tabs>
          <w:tab w:val="left" w:pos="567"/>
        </w:tabs>
        <w:spacing w:before="151" w:beforeLines="50" w:after="151" w:afterLines="50" w:line="360" w:lineRule="auto"/>
        <w:outlineLvl w:val="1"/>
        <w:rPr>
          <w:rFonts w:eastAsia="黑体"/>
          <w:b/>
          <w:bCs/>
          <w:sz w:val="32"/>
          <w:szCs w:val="32"/>
        </w:rPr>
      </w:pPr>
      <w:bookmarkStart w:id="1093" w:name="_Toc514430405"/>
      <w:bookmarkStart w:id="1094" w:name="_Toc31091"/>
      <w:bookmarkStart w:id="1095" w:name="_Toc27618"/>
      <w:bookmarkStart w:id="1096" w:name="_Toc28850"/>
      <w:bookmarkStart w:id="1097" w:name="_Toc19955"/>
      <w:bookmarkStart w:id="1098" w:name="_Toc24366"/>
      <w:bookmarkStart w:id="1099" w:name="_Toc9547"/>
      <w:bookmarkStart w:id="1100" w:name="_Toc7072"/>
      <w:bookmarkStart w:id="1101" w:name="_Toc7173"/>
      <w:bookmarkStart w:id="1102" w:name="_Toc22973"/>
      <w:bookmarkStart w:id="1103" w:name="_Toc10210"/>
      <w:bookmarkStart w:id="1104" w:name="_Toc6637"/>
      <w:bookmarkStart w:id="1105" w:name="_Toc6154"/>
      <w:bookmarkStart w:id="1106" w:name="_Toc4080"/>
      <w:bookmarkStart w:id="1107" w:name="_Toc5235"/>
      <w:bookmarkStart w:id="1108" w:name="_Toc11070"/>
      <w:r>
        <w:rPr>
          <w:rFonts w:eastAsia="黑体"/>
          <w:b/>
          <w:bCs/>
          <w:sz w:val="32"/>
          <w:szCs w:val="32"/>
        </w:rPr>
        <w:t>是否采用电子招标投标</w:t>
      </w:r>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p>
    <w:p>
      <w:pPr>
        <w:spacing w:line="360" w:lineRule="auto"/>
        <w:ind w:firstLine="420" w:firstLineChars="200"/>
        <w:rPr>
          <w:rFonts w:eastAsia="宋体"/>
          <w:szCs w:val="21"/>
        </w:rPr>
      </w:pPr>
      <w:r>
        <w:rPr>
          <w:rFonts w:eastAsia="宋体"/>
          <w:szCs w:val="21"/>
        </w:rPr>
        <w:t>本招标项目是否采用电子招标投标方式，见投标人须知前附表。</w:t>
      </w:r>
    </w:p>
    <w:p>
      <w:pPr>
        <w:keepNext/>
        <w:keepLines/>
        <w:numPr>
          <w:ilvl w:val="0"/>
          <w:numId w:val="11"/>
        </w:numPr>
        <w:tabs>
          <w:tab w:val="left" w:pos="567"/>
        </w:tabs>
        <w:spacing w:before="151" w:beforeLines="50" w:after="151" w:afterLines="50" w:line="360" w:lineRule="auto"/>
        <w:outlineLvl w:val="1"/>
        <w:rPr>
          <w:rFonts w:eastAsia="黑体"/>
          <w:b/>
          <w:bCs/>
          <w:sz w:val="32"/>
          <w:szCs w:val="32"/>
        </w:rPr>
      </w:pPr>
      <w:bookmarkStart w:id="1109" w:name="_Toc32077"/>
      <w:bookmarkStart w:id="1110" w:name="_Toc30145"/>
      <w:bookmarkStart w:id="1111" w:name="_Toc29203"/>
      <w:bookmarkStart w:id="1112" w:name="_Toc28819"/>
      <w:bookmarkStart w:id="1113" w:name="_Toc24283"/>
      <w:bookmarkStart w:id="1114" w:name="_Toc1253"/>
      <w:bookmarkStart w:id="1115" w:name="_Toc5488"/>
      <w:bookmarkStart w:id="1116" w:name="_Toc13389"/>
      <w:bookmarkStart w:id="1117" w:name="_Toc19025"/>
      <w:bookmarkStart w:id="1118" w:name="_Toc28608"/>
      <w:bookmarkStart w:id="1119" w:name="_Toc30980"/>
      <w:bookmarkStart w:id="1120" w:name="_Toc28242"/>
      <w:bookmarkStart w:id="1121" w:name="_Toc11730"/>
      <w:bookmarkStart w:id="1122" w:name="_Toc1092"/>
      <w:bookmarkStart w:id="1123" w:name="_Toc514430406"/>
      <w:bookmarkStart w:id="1124" w:name="_Toc5368"/>
      <w:r>
        <w:rPr>
          <w:rFonts w:eastAsia="黑体"/>
          <w:b/>
          <w:bCs/>
          <w:sz w:val="32"/>
          <w:szCs w:val="32"/>
        </w:rPr>
        <w:t>需要补充的其他内容</w:t>
      </w:r>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p>
    <w:p>
      <w:pPr>
        <w:spacing w:line="360" w:lineRule="auto"/>
        <w:ind w:firstLine="420" w:firstLineChars="200"/>
        <w:rPr>
          <w:rFonts w:eastAsia="宋体"/>
          <w:szCs w:val="21"/>
        </w:rPr>
      </w:pPr>
      <w:r>
        <w:rPr>
          <w:rFonts w:eastAsia="宋体"/>
          <w:szCs w:val="21"/>
        </w:rPr>
        <w:t>需要补充的其他内容：见投标人须知前附表。</w:t>
      </w:r>
    </w:p>
    <w:p>
      <w:pPr>
        <w:spacing w:line="360" w:lineRule="auto"/>
        <w:ind w:firstLine="420" w:firstLineChars="200"/>
        <w:rPr>
          <w:rFonts w:eastAsia="宋体"/>
          <w:szCs w:val="21"/>
        </w:rPr>
      </w:pPr>
    </w:p>
    <w:p>
      <w:pPr>
        <w:rPr>
          <w:rFonts w:hint="eastAsia" w:ascii="宋体" w:hAnsi="宋体" w:cs="宋体"/>
          <w:szCs w:val="21"/>
        </w:rPr>
      </w:pPr>
      <w:r>
        <w:rPr>
          <w:rFonts w:ascii="宋体" w:hAnsi="宋体" w:eastAsia="宋体" w:cs="宋体"/>
          <w:sz w:val="20"/>
          <w:szCs w:val="20"/>
        </w:rPr>
        <w:br w:type="page"/>
      </w:r>
    </w:p>
    <w:p>
      <w:pPr>
        <w:rPr>
          <w:sz w:val="20"/>
          <w:szCs w:val="20"/>
        </w:rPr>
      </w:pPr>
      <w:bookmarkStart w:id="1125" w:name="page29"/>
      <w:bookmarkEnd w:id="1125"/>
      <w:bookmarkStart w:id="1126" w:name="page34"/>
      <w:bookmarkEnd w:id="1126"/>
      <w:bookmarkStart w:id="1127" w:name="page33"/>
      <w:bookmarkEnd w:id="1127"/>
      <w:r>
        <w:rPr>
          <w:rFonts w:ascii="黑体" w:hAnsi="黑体" w:eastAsia="黑体" w:cs="黑体"/>
          <w:sz w:val="28"/>
          <w:szCs w:val="28"/>
        </w:rPr>
        <w:t>附件</w:t>
      </w:r>
      <w:r>
        <w:rPr>
          <w:rFonts w:hint="eastAsia" w:ascii="黑体" w:hAnsi="黑体" w:eastAsia="黑体" w:cs="黑体"/>
          <w:sz w:val="28"/>
          <w:szCs w:val="28"/>
        </w:rPr>
        <w:t>一</w:t>
      </w:r>
      <w:r>
        <w:rPr>
          <w:rFonts w:ascii="黑体" w:hAnsi="黑体" w:eastAsia="黑体" w:cs="黑体"/>
          <w:sz w:val="28"/>
          <w:szCs w:val="28"/>
        </w:rPr>
        <w:t>：</w:t>
      </w:r>
      <w:r>
        <w:rPr>
          <w:rFonts w:hint="eastAsia" w:ascii="黑体" w:hAnsi="黑体" w:eastAsia="黑体" w:cs="黑体"/>
          <w:sz w:val="28"/>
          <w:szCs w:val="28"/>
        </w:rPr>
        <w:t>澄清、说明、补正事项纪要</w:t>
      </w:r>
    </w:p>
    <w:p>
      <w:pPr>
        <w:spacing w:line="200" w:lineRule="exact"/>
        <w:rPr>
          <w:sz w:val="20"/>
          <w:szCs w:val="20"/>
        </w:rPr>
      </w:pPr>
    </w:p>
    <w:p>
      <w:pPr>
        <w:spacing w:line="320" w:lineRule="exact"/>
        <w:jc w:val="center"/>
        <w:rPr>
          <w:rFonts w:eastAsia="黑体"/>
          <w:sz w:val="28"/>
          <w:szCs w:val="28"/>
        </w:rPr>
      </w:pPr>
      <w:r>
        <w:rPr>
          <w:rFonts w:eastAsia="黑体"/>
          <w:sz w:val="28"/>
          <w:szCs w:val="28"/>
        </w:rPr>
        <w:t>澄清、说明、补正事项纪要</w:t>
      </w:r>
    </w:p>
    <w:p>
      <w:pPr>
        <w:spacing w:line="360" w:lineRule="auto"/>
        <w:ind w:firstLine="480"/>
        <w:jc w:val="both"/>
        <w:rPr>
          <w:rFonts w:eastAsia="宋体"/>
          <w:szCs w:val="21"/>
        </w:rPr>
      </w:pPr>
      <w:r>
        <w:rPr>
          <w:rFonts w:eastAsia="宋体"/>
          <w:szCs w:val="21"/>
        </w:rPr>
        <w:t>（本纪要是对评标委员会在评标过程中要求投标人对投标文件的内容进行澄清、说明、补正事项，以便评标委员会进行审核的简要记录，详细的书面材料应附于本纪要之后。）</w:t>
      </w:r>
    </w:p>
    <w:tbl>
      <w:tblPr>
        <w:tblStyle w:val="6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68"/>
        <w:gridCol w:w="6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68" w:type="dxa"/>
            <w:noWrap w:val="0"/>
            <w:vAlign w:val="center"/>
          </w:tcPr>
          <w:p>
            <w:pPr>
              <w:spacing w:line="360" w:lineRule="auto"/>
              <w:jc w:val="center"/>
              <w:rPr>
                <w:rFonts w:eastAsia="宋体"/>
                <w:szCs w:val="21"/>
              </w:rPr>
            </w:pPr>
            <w:r>
              <w:rPr>
                <w:rFonts w:eastAsia="宋体"/>
                <w:szCs w:val="21"/>
              </w:rPr>
              <w:t>质询对象</w:t>
            </w:r>
          </w:p>
          <w:p>
            <w:pPr>
              <w:spacing w:line="360" w:lineRule="auto"/>
              <w:jc w:val="center"/>
              <w:rPr>
                <w:rFonts w:eastAsia="宋体"/>
                <w:szCs w:val="21"/>
              </w:rPr>
            </w:pPr>
            <w:r>
              <w:rPr>
                <w:rFonts w:eastAsia="宋体"/>
                <w:szCs w:val="21"/>
              </w:rPr>
              <w:t>（投标人）</w:t>
            </w:r>
          </w:p>
        </w:tc>
        <w:tc>
          <w:tcPr>
            <w:tcW w:w="6854" w:type="dxa"/>
            <w:noWrap w:val="0"/>
            <w:vAlign w:val="center"/>
          </w:tcPr>
          <w:p>
            <w:pPr>
              <w:spacing w:line="360" w:lineRule="auto"/>
              <w:jc w:val="center"/>
              <w:rPr>
                <w:rFonts w:eastAsia="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2" w:type="dxa"/>
            <w:gridSpan w:val="2"/>
            <w:noWrap w:val="0"/>
            <w:vAlign w:val="center"/>
          </w:tcPr>
          <w:p>
            <w:pPr>
              <w:spacing w:line="360" w:lineRule="auto"/>
              <w:rPr>
                <w:rFonts w:eastAsia="宋体"/>
                <w:szCs w:val="21"/>
              </w:rPr>
            </w:pPr>
            <w:r>
              <w:rPr>
                <w:rFonts w:eastAsia="宋体"/>
                <w:szCs w:val="21"/>
              </w:rPr>
              <w:t>质询内容（包括要求投标人澄清或说明的问题以及需要补充的资料和证明材料等）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6" w:hRule="atLeast"/>
          <w:jc w:val="center"/>
        </w:trPr>
        <w:tc>
          <w:tcPr>
            <w:tcW w:w="8522" w:type="dxa"/>
            <w:gridSpan w:val="2"/>
            <w:noWrap w:val="0"/>
            <w:vAlign w:val="center"/>
          </w:tcPr>
          <w:p>
            <w:pPr>
              <w:spacing w:line="360" w:lineRule="auto"/>
              <w:rPr>
                <w:rFonts w:eastAsia="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2" w:type="dxa"/>
            <w:gridSpan w:val="2"/>
            <w:noWrap w:val="0"/>
            <w:vAlign w:val="center"/>
          </w:tcPr>
          <w:p>
            <w:pPr>
              <w:rPr>
                <w:rFonts w:eastAsia="宋体"/>
                <w:szCs w:val="21"/>
              </w:rPr>
            </w:pPr>
            <w:r>
              <w:rPr>
                <w:rFonts w:eastAsia="宋体"/>
                <w:szCs w:val="21"/>
              </w:rPr>
              <w:t>回复内容（包括所补充的证明材料目录）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7" w:hRule="atLeast"/>
          <w:jc w:val="center"/>
        </w:trPr>
        <w:tc>
          <w:tcPr>
            <w:tcW w:w="8522" w:type="dxa"/>
            <w:gridSpan w:val="2"/>
            <w:noWrap w:val="0"/>
            <w:vAlign w:val="bottom"/>
          </w:tcPr>
          <w:p>
            <w:pPr>
              <w:rPr>
                <w:rFonts w:eastAsia="宋体"/>
                <w:szCs w:val="21"/>
              </w:rPr>
            </w:pPr>
            <w:r>
              <w:rPr>
                <w:rFonts w:eastAsia="宋体"/>
                <w:szCs w:val="21"/>
              </w:rPr>
              <w:t>法定代表人/委托代理人签字：</w:t>
            </w:r>
          </w:p>
          <w:p>
            <w:pPr>
              <w:rPr>
                <w:rFonts w:eastAsia="宋体"/>
                <w:szCs w:val="21"/>
              </w:rPr>
            </w:pPr>
            <w:r>
              <w:rPr>
                <w:rFonts w:eastAsia="宋体"/>
                <w:szCs w:val="21"/>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jc w:val="center"/>
        </w:trPr>
        <w:tc>
          <w:tcPr>
            <w:tcW w:w="8522" w:type="dxa"/>
            <w:gridSpan w:val="2"/>
            <w:noWrap w:val="0"/>
            <w:vAlign w:val="center"/>
          </w:tcPr>
          <w:p>
            <w:pPr>
              <w:rPr>
                <w:rFonts w:eastAsia="宋体"/>
                <w:szCs w:val="21"/>
              </w:rPr>
            </w:pPr>
            <w:r>
              <w:rPr>
                <w:rFonts w:eastAsia="宋体"/>
                <w:szCs w:val="21"/>
              </w:rPr>
              <w:t>评标委员会审核意见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35" w:hRule="atLeast"/>
          <w:jc w:val="center"/>
        </w:trPr>
        <w:tc>
          <w:tcPr>
            <w:tcW w:w="8522" w:type="dxa"/>
            <w:gridSpan w:val="2"/>
            <w:noWrap w:val="0"/>
            <w:vAlign w:val="bottom"/>
          </w:tcPr>
          <w:p>
            <w:pPr>
              <w:tabs>
                <w:tab w:val="left" w:pos="5885"/>
              </w:tabs>
              <w:rPr>
                <w:rFonts w:eastAsia="宋体"/>
                <w:szCs w:val="21"/>
              </w:rPr>
            </w:pPr>
            <w:r>
              <w:rPr>
                <w:rFonts w:eastAsia="宋体"/>
                <w:szCs w:val="21"/>
              </w:rPr>
              <w:t>评标委员会成员（签字）：</w:t>
            </w:r>
          </w:p>
          <w:p>
            <w:pPr>
              <w:rPr>
                <w:rFonts w:eastAsia="宋体"/>
                <w:szCs w:val="21"/>
              </w:rPr>
            </w:pPr>
            <w:r>
              <w:rPr>
                <w:rFonts w:eastAsia="宋体"/>
                <w:szCs w:val="21"/>
              </w:rPr>
              <w:t>年    月   日</w:t>
            </w:r>
          </w:p>
        </w:tc>
      </w:tr>
    </w:tbl>
    <w:p>
      <w:pPr>
        <w:spacing w:line="360" w:lineRule="auto"/>
        <w:rPr>
          <w:rFonts w:hint="eastAsia" w:ascii="宋体" w:hAnsi="宋体" w:eastAsia="宋体" w:cs="宋体"/>
        </w:rPr>
      </w:pPr>
      <w:bookmarkStart w:id="1128" w:name="page36"/>
      <w:bookmarkEnd w:id="1128"/>
      <w:bookmarkStart w:id="1129" w:name="page37"/>
      <w:bookmarkEnd w:id="1129"/>
      <w:bookmarkStart w:id="1130" w:name="page38"/>
      <w:bookmarkEnd w:id="1130"/>
    </w:p>
    <w:p>
      <w:pPr>
        <w:tabs>
          <w:tab w:val="left" w:pos="6860"/>
          <w:tab w:val="left" w:pos="7800"/>
        </w:tabs>
        <w:spacing w:line="360" w:lineRule="auto"/>
        <w:jc w:val="both"/>
        <w:rPr>
          <w:rFonts w:hint="eastAsia" w:ascii="黑体" w:hAnsi="黑体" w:eastAsia="黑体" w:cs="黑体"/>
          <w:sz w:val="28"/>
          <w:szCs w:val="28"/>
        </w:rPr>
      </w:pPr>
      <w:bookmarkStart w:id="1131" w:name="page39"/>
      <w:bookmarkEnd w:id="1131"/>
      <w:r>
        <w:rPr>
          <w:rFonts w:hint="eastAsia" w:ascii="宋体" w:hAnsi="宋体" w:eastAsia="宋体" w:cs="宋体"/>
          <w:sz w:val="20"/>
          <w:szCs w:val="20"/>
        </w:rPr>
        <w:br w:type="page"/>
      </w:r>
      <w:r>
        <w:rPr>
          <w:rFonts w:hint="eastAsia" w:ascii="黑体" w:hAnsi="黑体" w:eastAsia="黑体" w:cs="黑体"/>
          <w:sz w:val="28"/>
          <w:szCs w:val="28"/>
        </w:rPr>
        <w:t>附件二：投标人要求澄清招标文件的格式</w:t>
      </w:r>
    </w:p>
    <w:p>
      <w:pPr>
        <w:jc w:val="center"/>
        <w:rPr>
          <w:rFonts w:eastAsia="宋体"/>
          <w:b/>
          <w:kern w:val="1"/>
          <w:sz w:val="32"/>
          <w:szCs w:val="32"/>
        </w:rPr>
      </w:pPr>
      <w:r>
        <w:rPr>
          <w:rFonts w:eastAsia="宋体"/>
          <w:b/>
          <w:kern w:val="1"/>
          <w:sz w:val="32"/>
          <w:szCs w:val="32"/>
        </w:rPr>
        <w:t>商务部分</w:t>
      </w:r>
    </w:p>
    <w:p>
      <w:pPr>
        <w:jc w:val="both"/>
        <w:rPr>
          <w:rFonts w:eastAsia="宋体"/>
          <w:bCs/>
          <w:kern w:val="1"/>
          <w:sz w:val="24"/>
          <w:szCs w:val="24"/>
        </w:rPr>
      </w:pPr>
      <w:r>
        <w:rPr>
          <w:rFonts w:eastAsia="宋体"/>
          <w:bCs/>
          <w:kern w:val="1"/>
          <w:sz w:val="24"/>
          <w:szCs w:val="24"/>
        </w:rPr>
        <w:t>项目名称：</w:t>
      </w:r>
      <w:r>
        <w:rPr>
          <w:rFonts w:eastAsia="宋体"/>
          <w:bCs/>
          <w:kern w:val="1"/>
          <w:sz w:val="24"/>
          <w:szCs w:val="24"/>
          <w:u w:val="single"/>
        </w:rPr>
        <w:t xml:space="preserve">               </w:t>
      </w:r>
      <w:r>
        <w:rPr>
          <w:rFonts w:eastAsia="宋体"/>
          <w:bCs/>
          <w:kern w:val="1"/>
          <w:sz w:val="24"/>
          <w:szCs w:val="24"/>
        </w:rPr>
        <w:t xml:space="preserve">   </w:t>
      </w:r>
    </w:p>
    <w:p>
      <w:pPr>
        <w:jc w:val="both"/>
        <w:rPr>
          <w:rFonts w:eastAsia="宋体"/>
          <w:b/>
          <w:kern w:val="1"/>
          <w:sz w:val="24"/>
          <w:szCs w:val="24"/>
          <w:u w:val="single"/>
        </w:rPr>
      </w:pPr>
      <w:r>
        <w:rPr>
          <w:rFonts w:eastAsia="宋体"/>
          <w:bCs/>
          <w:kern w:val="1"/>
          <w:sz w:val="24"/>
          <w:szCs w:val="24"/>
        </w:rPr>
        <w:t>招标编号：</w:t>
      </w:r>
      <w:r>
        <w:rPr>
          <w:rFonts w:eastAsia="宋体"/>
          <w:bCs/>
          <w:kern w:val="1"/>
          <w:sz w:val="24"/>
          <w:szCs w:val="24"/>
          <w:u w:val="single"/>
        </w:rPr>
        <w:t xml:space="preserve">               </w:t>
      </w:r>
    </w:p>
    <w:p>
      <w:pPr>
        <w:jc w:val="both"/>
        <w:rPr>
          <w:rFonts w:eastAsia="宋体"/>
          <w:b/>
          <w:kern w:val="1"/>
          <w:sz w:val="24"/>
          <w:szCs w:val="24"/>
          <w:u w:val="single"/>
        </w:rPr>
      </w:pP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2236"/>
        <w:gridCol w:w="2767"/>
        <w:gridCol w:w="3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blHeader/>
          <w:jc w:val="center"/>
        </w:trPr>
        <w:tc>
          <w:tcPr>
            <w:tcW w:w="1014" w:type="dxa"/>
            <w:noWrap w:val="0"/>
            <w:vAlign w:val="center"/>
          </w:tcPr>
          <w:p>
            <w:pPr>
              <w:jc w:val="center"/>
              <w:rPr>
                <w:rFonts w:eastAsia="宋体"/>
                <w:b/>
                <w:bCs/>
                <w:szCs w:val="21"/>
              </w:rPr>
            </w:pPr>
            <w:r>
              <w:rPr>
                <w:rFonts w:eastAsia="宋体"/>
                <w:b/>
                <w:bCs/>
                <w:szCs w:val="21"/>
              </w:rPr>
              <w:t>序号</w:t>
            </w:r>
          </w:p>
        </w:tc>
        <w:tc>
          <w:tcPr>
            <w:tcW w:w="2236" w:type="dxa"/>
            <w:noWrap w:val="0"/>
            <w:vAlign w:val="center"/>
          </w:tcPr>
          <w:p>
            <w:pPr>
              <w:tabs>
                <w:tab w:val="left" w:pos="5115"/>
              </w:tabs>
              <w:spacing w:line="360" w:lineRule="auto"/>
              <w:jc w:val="center"/>
              <w:rPr>
                <w:rFonts w:eastAsia="宋体"/>
                <w:b/>
                <w:bCs/>
                <w:szCs w:val="21"/>
                <w:lang w:eastAsia="ja-JP"/>
              </w:rPr>
            </w:pPr>
            <w:r>
              <w:rPr>
                <w:rFonts w:eastAsia="宋体"/>
                <w:b/>
                <w:bCs/>
                <w:caps/>
                <w:kern w:val="1"/>
                <w:szCs w:val="21"/>
              </w:rPr>
              <w:t>招标文件/用户需求书条款号及页码</w:t>
            </w:r>
          </w:p>
        </w:tc>
        <w:tc>
          <w:tcPr>
            <w:tcW w:w="2767" w:type="dxa"/>
            <w:noWrap w:val="0"/>
            <w:vAlign w:val="center"/>
          </w:tcPr>
          <w:p>
            <w:pPr>
              <w:tabs>
                <w:tab w:val="left" w:pos="5115"/>
              </w:tabs>
              <w:spacing w:line="360" w:lineRule="auto"/>
              <w:jc w:val="center"/>
              <w:rPr>
                <w:rFonts w:eastAsia="宋体"/>
                <w:b/>
                <w:bCs/>
                <w:kern w:val="1"/>
                <w:szCs w:val="21"/>
                <w:lang w:eastAsia="ja-JP"/>
              </w:rPr>
            </w:pPr>
            <w:r>
              <w:rPr>
                <w:rFonts w:eastAsia="宋体"/>
                <w:b/>
                <w:bCs/>
                <w:caps/>
                <w:kern w:val="1"/>
                <w:szCs w:val="21"/>
              </w:rPr>
              <w:t>原文内容</w:t>
            </w:r>
          </w:p>
        </w:tc>
        <w:tc>
          <w:tcPr>
            <w:tcW w:w="3322" w:type="dxa"/>
            <w:noWrap w:val="0"/>
            <w:vAlign w:val="center"/>
          </w:tcPr>
          <w:p>
            <w:pPr>
              <w:tabs>
                <w:tab w:val="left" w:pos="5115"/>
              </w:tabs>
              <w:spacing w:line="360" w:lineRule="auto"/>
              <w:jc w:val="center"/>
              <w:rPr>
                <w:rFonts w:eastAsia="宋体"/>
                <w:b/>
                <w:bCs/>
                <w:kern w:val="1"/>
                <w:szCs w:val="21"/>
              </w:rPr>
            </w:pPr>
            <w:r>
              <w:rPr>
                <w:rFonts w:eastAsia="宋体"/>
                <w:b/>
                <w:bCs/>
                <w:caps/>
                <w:kern w:val="1"/>
                <w:szCs w:val="21"/>
              </w:rPr>
              <w:t>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1014" w:type="dxa"/>
            <w:noWrap w:val="0"/>
            <w:vAlign w:val="center"/>
          </w:tcPr>
          <w:p>
            <w:pPr>
              <w:jc w:val="center"/>
              <w:rPr>
                <w:rFonts w:eastAsia="宋体"/>
                <w:b/>
                <w:bCs/>
                <w:szCs w:val="21"/>
              </w:rPr>
            </w:pPr>
            <w:r>
              <w:rPr>
                <w:rFonts w:eastAsia="宋体"/>
                <w:b/>
                <w:bCs/>
                <w:szCs w:val="21"/>
              </w:rPr>
              <w:t>1</w:t>
            </w:r>
          </w:p>
        </w:tc>
        <w:tc>
          <w:tcPr>
            <w:tcW w:w="2236" w:type="dxa"/>
            <w:noWrap w:val="0"/>
            <w:vAlign w:val="center"/>
          </w:tcPr>
          <w:p>
            <w:pPr>
              <w:spacing w:line="408" w:lineRule="auto"/>
              <w:rPr>
                <w:rFonts w:eastAsia="宋体"/>
                <w:b/>
                <w:bCs/>
                <w:kern w:val="1"/>
                <w:szCs w:val="21"/>
              </w:rPr>
            </w:pPr>
          </w:p>
        </w:tc>
        <w:tc>
          <w:tcPr>
            <w:tcW w:w="2767" w:type="dxa"/>
            <w:noWrap w:val="0"/>
            <w:vAlign w:val="center"/>
          </w:tcPr>
          <w:p>
            <w:pPr>
              <w:spacing w:line="408" w:lineRule="auto"/>
              <w:rPr>
                <w:rFonts w:eastAsia="宋体"/>
                <w:b/>
                <w:bCs/>
                <w:kern w:val="1"/>
                <w:szCs w:val="21"/>
              </w:rPr>
            </w:pPr>
          </w:p>
        </w:tc>
        <w:tc>
          <w:tcPr>
            <w:tcW w:w="3322" w:type="dxa"/>
            <w:noWrap w:val="0"/>
            <w:vAlign w:val="center"/>
          </w:tcPr>
          <w:p>
            <w:pPr>
              <w:spacing w:line="408" w:lineRule="auto"/>
              <w:rPr>
                <w:rFonts w:eastAsia="宋体"/>
                <w:b/>
                <w:bCs/>
                <w:kern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1014" w:type="dxa"/>
            <w:noWrap w:val="0"/>
            <w:vAlign w:val="center"/>
          </w:tcPr>
          <w:p>
            <w:pPr>
              <w:jc w:val="center"/>
              <w:rPr>
                <w:rFonts w:eastAsia="宋体"/>
                <w:b/>
                <w:bCs/>
                <w:szCs w:val="21"/>
              </w:rPr>
            </w:pPr>
            <w:r>
              <w:rPr>
                <w:rFonts w:eastAsia="宋体"/>
                <w:b/>
                <w:bCs/>
                <w:szCs w:val="21"/>
              </w:rPr>
              <w:t>2</w:t>
            </w:r>
          </w:p>
        </w:tc>
        <w:tc>
          <w:tcPr>
            <w:tcW w:w="2236" w:type="dxa"/>
            <w:noWrap w:val="0"/>
            <w:vAlign w:val="center"/>
          </w:tcPr>
          <w:p>
            <w:pPr>
              <w:spacing w:line="408" w:lineRule="auto"/>
              <w:rPr>
                <w:rFonts w:eastAsia="宋体"/>
                <w:b/>
                <w:bCs/>
                <w:szCs w:val="21"/>
              </w:rPr>
            </w:pPr>
          </w:p>
        </w:tc>
        <w:tc>
          <w:tcPr>
            <w:tcW w:w="2767" w:type="dxa"/>
            <w:noWrap w:val="0"/>
            <w:vAlign w:val="center"/>
          </w:tcPr>
          <w:p>
            <w:pPr>
              <w:spacing w:line="408" w:lineRule="auto"/>
              <w:rPr>
                <w:rFonts w:eastAsia="宋体"/>
                <w:b/>
                <w:bCs/>
                <w:szCs w:val="21"/>
              </w:rPr>
            </w:pPr>
          </w:p>
        </w:tc>
        <w:tc>
          <w:tcPr>
            <w:tcW w:w="3322" w:type="dxa"/>
            <w:noWrap w:val="0"/>
            <w:vAlign w:val="center"/>
          </w:tcPr>
          <w:p>
            <w:pPr>
              <w:spacing w:line="408" w:lineRule="auto"/>
              <w:rPr>
                <w:rFonts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1014" w:type="dxa"/>
            <w:noWrap w:val="0"/>
            <w:vAlign w:val="center"/>
          </w:tcPr>
          <w:p>
            <w:pPr>
              <w:jc w:val="center"/>
              <w:rPr>
                <w:rFonts w:eastAsia="宋体"/>
                <w:b/>
                <w:bCs/>
                <w:szCs w:val="21"/>
              </w:rPr>
            </w:pPr>
            <w:r>
              <w:rPr>
                <w:rFonts w:eastAsia="宋体"/>
                <w:b/>
                <w:bCs/>
                <w:szCs w:val="21"/>
              </w:rPr>
              <w:t>3</w:t>
            </w:r>
          </w:p>
        </w:tc>
        <w:tc>
          <w:tcPr>
            <w:tcW w:w="2236" w:type="dxa"/>
            <w:noWrap w:val="0"/>
            <w:vAlign w:val="center"/>
          </w:tcPr>
          <w:p>
            <w:pPr>
              <w:spacing w:line="408" w:lineRule="auto"/>
              <w:rPr>
                <w:rFonts w:eastAsia="宋体"/>
                <w:b/>
                <w:bCs/>
                <w:szCs w:val="21"/>
              </w:rPr>
            </w:pPr>
          </w:p>
        </w:tc>
        <w:tc>
          <w:tcPr>
            <w:tcW w:w="2767" w:type="dxa"/>
            <w:noWrap w:val="0"/>
            <w:vAlign w:val="center"/>
          </w:tcPr>
          <w:p>
            <w:pPr>
              <w:spacing w:line="408" w:lineRule="auto"/>
              <w:rPr>
                <w:rFonts w:eastAsia="宋体"/>
                <w:b/>
                <w:bCs/>
                <w:szCs w:val="21"/>
              </w:rPr>
            </w:pPr>
          </w:p>
        </w:tc>
        <w:tc>
          <w:tcPr>
            <w:tcW w:w="3322" w:type="dxa"/>
            <w:noWrap w:val="0"/>
            <w:vAlign w:val="center"/>
          </w:tcPr>
          <w:p>
            <w:pPr>
              <w:spacing w:line="408" w:lineRule="auto"/>
              <w:rPr>
                <w:rFonts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1014" w:type="dxa"/>
            <w:noWrap w:val="0"/>
            <w:vAlign w:val="center"/>
          </w:tcPr>
          <w:p>
            <w:pPr>
              <w:jc w:val="center"/>
              <w:rPr>
                <w:rFonts w:eastAsia="宋体"/>
                <w:b/>
                <w:bCs/>
                <w:szCs w:val="21"/>
              </w:rPr>
            </w:pPr>
            <w:r>
              <w:rPr>
                <w:rFonts w:eastAsia="宋体"/>
                <w:b/>
                <w:bCs/>
                <w:szCs w:val="21"/>
              </w:rPr>
              <w:t>4</w:t>
            </w:r>
          </w:p>
        </w:tc>
        <w:tc>
          <w:tcPr>
            <w:tcW w:w="2236" w:type="dxa"/>
            <w:noWrap w:val="0"/>
            <w:vAlign w:val="center"/>
          </w:tcPr>
          <w:p>
            <w:pPr>
              <w:spacing w:line="408" w:lineRule="auto"/>
              <w:rPr>
                <w:rFonts w:eastAsia="宋体"/>
                <w:b/>
                <w:bCs/>
                <w:szCs w:val="21"/>
              </w:rPr>
            </w:pPr>
          </w:p>
        </w:tc>
        <w:tc>
          <w:tcPr>
            <w:tcW w:w="2767" w:type="dxa"/>
            <w:noWrap w:val="0"/>
            <w:vAlign w:val="center"/>
          </w:tcPr>
          <w:p>
            <w:pPr>
              <w:spacing w:line="408" w:lineRule="auto"/>
              <w:rPr>
                <w:rFonts w:eastAsia="宋体"/>
                <w:b/>
                <w:bCs/>
                <w:szCs w:val="21"/>
              </w:rPr>
            </w:pPr>
          </w:p>
        </w:tc>
        <w:tc>
          <w:tcPr>
            <w:tcW w:w="3322" w:type="dxa"/>
            <w:noWrap w:val="0"/>
            <w:vAlign w:val="center"/>
          </w:tcPr>
          <w:p>
            <w:pPr>
              <w:spacing w:line="408" w:lineRule="auto"/>
              <w:rPr>
                <w:rFonts w:eastAsia="宋体"/>
                <w:b/>
                <w:bCs/>
                <w:szCs w:val="21"/>
              </w:rPr>
            </w:pPr>
          </w:p>
        </w:tc>
      </w:tr>
    </w:tbl>
    <w:p>
      <w:pPr>
        <w:rPr>
          <w:rFonts w:eastAsia="宋体"/>
          <w:sz w:val="24"/>
          <w:szCs w:val="24"/>
        </w:rPr>
      </w:pPr>
    </w:p>
    <w:p>
      <w:pPr>
        <w:rPr>
          <w:rFonts w:eastAsia="宋体"/>
          <w:sz w:val="24"/>
          <w:szCs w:val="24"/>
        </w:rPr>
      </w:pPr>
    </w:p>
    <w:p>
      <w:pPr>
        <w:rPr>
          <w:rFonts w:eastAsia="宋体"/>
          <w:sz w:val="24"/>
          <w:szCs w:val="24"/>
        </w:rPr>
      </w:pPr>
    </w:p>
    <w:p>
      <w:pPr>
        <w:widowControl w:val="0"/>
        <w:spacing w:line="360" w:lineRule="auto"/>
        <w:ind w:firstLine="4579" w:firstLineChars="1908"/>
        <w:jc w:val="both"/>
        <w:rPr>
          <w:rFonts w:eastAsia="宋体"/>
          <w:sz w:val="24"/>
          <w:szCs w:val="24"/>
          <w:u w:val="single"/>
        </w:rPr>
      </w:pPr>
      <w:r>
        <w:rPr>
          <w:rFonts w:eastAsia="宋体"/>
          <w:sz w:val="24"/>
          <w:szCs w:val="24"/>
        </w:rPr>
        <w:t xml:space="preserve">投标人名称（公章）: </w:t>
      </w:r>
      <w:r>
        <w:rPr>
          <w:rFonts w:eastAsia="宋体"/>
          <w:sz w:val="24"/>
          <w:szCs w:val="24"/>
          <w:u w:val="single"/>
        </w:rPr>
        <w:t xml:space="preserve">      </w:t>
      </w:r>
    </w:p>
    <w:p>
      <w:pPr>
        <w:widowControl w:val="0"/>
        <w:spacing w:line="360" w:lineRule="auto"/>
        <w:ind w:firstLine="4579" w:firstLineChars="1908"/>
        <w:jc w:val="both"/>
        <w:rPr>
          <w:rFonts w:eastAsia="宋体"/>
          <w:sz w:val="24"/>
          <w:szCs w:val="24"/>
        </w:rPr>
      </w:pPr>
      <w:r>
        <w:rPr>
          <w:rFonts w:eastAsia="宋体"/>
          <w:sz w:val="24"/>
          <w:szCs w:val="24"/>
        </w:rPr>
        <w:t>日  期：</w:t>
      </w:r>
      <w:r>
        <w:rPr>
          <w:rFonts w:eastAsia="宋体"/>
          <w:sz w:val="24"/>
          <w:szCs w:val="24"/>
          <w:u w:val="single"/>
        </w:rPr>
        <w:t xml:space="preserve">        </w:t>
      </w:r>
      <w:r>
        <w:rPr>
          <w:rFonts w:eastAsia="宋体"/>
          <w:sz w:val="24"/>
          <w:szCs w:val="24"/>
        </w:rPr>
        <w:t>年</w:t>
      </w:r>
      <w:r>
        <w:rPr>
          <w:rFonts w:eastAsia="宋体"/>
          <w:sz w:val="24"/>
          <w:szCs w:val="24"/>
          <w:u w:val="single"/>
        </w:rPr>
        <w:t xml:space="preserve">   </w:t>
      </w:r>
      <w:r>
        <w:rPr>
          <w:rFonts w:eastAsia="宋体"/>
          <w:sz w:val="24"/>
          <w:szCs w:val="24"/>
        </w:rPr>
        <w:t>月</w:t>
      </w:r>
      <w:r>
        <w:rPr>
          <w:rFonts w:eastAsia="宋体"/>
          <w:sz w:val="24"/>
          <w:szCs w:val="24"/>
          <w:u w:val="single"/>
        </w:rPr>
        <w:t xml:space="preserve">   </w:t>
      </w:r>
      <w:r>
        <w:rPr>
          <w:rFonts w:eastAsia="宋体"/>
          <w:sz w:val="24"/>
          <w:szCs w:val="24"/>
        </w:rPr>
        <w:t>日</w:t>
      </w:r>
    </w:p>
    <w:p>
      <w:pPr>
        <w:tabs>
          <w:tab w:val="left" w:pos="6860"/>
          <w:tab w:val="left" w:pos="7800"/>
        </w:tabs>
        <w:spacing w:line="360" w:lineRule="auto"/>
        <w:jc w:val="center"/>
        <w:rPr>
          <w:rFonts w:eastAsia="宋体"/>
          <w:b/>
          <w:kern w:val="1"/>
          <w:sz w:val="32"/>
          <w:szCs w:val="32"/>
        </w:rPr>
      </w:pPr>
      <w:r>
        <w:rPr>
          <w:rFonts w:eastAsia="宋体"/>
          <w:sz w:val="20"/>
          <w:szCs w:val="20"/>
        </w:rPr>
        <w:br w:type="page"/>
      </w:r>
      <w:r>
        <w:rPr>
          <w:rFonts w:eastAsia="宋体"/>
          <w:b/>
          <w:kern w:val="1"/>
          <w:sz w:val="32"/>
          <w:szCs w:val="32"/>
        </w:rPr>
        <w:t>技术部分</w:t>
      </w:r>
    </w:p>
    <w:p>
      <w:pPr>
        <w:jc w:val="center"/>
        <w:rPr>
          <w:rFonts w:eastAsia="宋体"/>
          <w:b/>
          <w:kern w:val="1"/>
          <w:sz w:val="32"/>
          <w:szCs w:val="32"/>
        </w:rPr>
      </w:pPr>
    </w:p>
    <w:p>
      <w:pPr>
        <w:jc w:val="both"/>
        <w:rPr>
          <w:rFonts w:eastAsia="宋体"/>
          <w:bCs/>
          <w:kern w:val="1"/>
          <w:sz w:val="24"/>
          <w:szCs w:val="24"/>
        </w:rPr>
      </w:pPr>
      <w:r>
        <w:rPr>
          <w:rFonts w:eastAsia="宋体"/>
          <w:bCs/>
          <w:kern w:val="1"/>
          <w:sz w:val="24"/>
          <w:szCs w:val="24"/>
        </w:rPr>
        <w:t>项目名称：</w:t>
      </w:r>
      <w:r>
        <w:rPr>
          <w:rFonts w:eastAsia="宋体"/>
          <w:bCs/>
          <w:kern w:val="1"/>
          <w:sz w:val="24"/>
          <w:szCs w:val="24"/>
          <w:u w:val="single"/>
        </w:rPr>
        <w:t xml:space="preserve">               </w:t>
      </w:r>
      <w:r>
        <w:rPr>
          <w:rFonts w:eastAsia="宋体"/>
          <w:bCs/>
          <w:kern w:val="1"/>
          <w:sz w:val="24"/>
          <w:szCs w:val="24"/>
        </w:rPr>
        <w:t xml:space="preserve">   </w:t>
      </w:r>
    </w:p>
    <w:p>
      <w:pPr>
        <w:jc w:val="both"/>
        <w:rPr>
          <w:rFonts w:eastAsia="宋体"/>
          <w:b/>
          <w:kern w:val="1"/>
          <w:sz w:val="24"/>
          <w:szCs w:val="24"/>
          <w:u w:val="single"/>
        </w:rPr>
      </w:pPr>
      <w:r>
        <w:rPr>
          <w:rFonts w:eastAsia="宋体"/>
          <w:bCs/>
          <w:kern w:val="1"/>
          <w:sz w:val="24"/>
          <w:szCs w:val="24"/>
        </w:rPr>
        <w:t>招标编号：</w:t>
      </w:r>
      <w:r>
        <w:rPr>
          <w:rFonts w:eastAsia="宋体"/>
          <w:bCs/>
          <w:kern w:val="1"/>
          <w:sz w:val="24"/>
          <w:szCs w:val="24"/>
          <w:u w:val="single"/>
        </w:rPr>
        <w:t xml:space="preserve">               </w:t>
      </w:r>
    </w:p>
    <w:p>
      <w:pPr>
        <w:jc w:val="both"/>
        <w:rPr>
          <w:rFonts w:eastAsia="宋体"/>
          <w:b/>
          <w:kern w:val="1"/>
          <w:sz w:val="24"/>
          <w:szCs w:val="24"/>
          <w:u w:val="single"/>
        </w:rPr>
      </w:pP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2236"/>
        <w:gridCol w:w="2767"/>
        <w:gridCol w:w="3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blHeader/>
          <w:jc w:val="center"/>
        </w:trPr>
        <w:tc>
          <w:tcPr>
            <w:tcW w:w="1014" w:type="dxa"/>
            <w:noWrap w:val="0"/>
            <w:vAlign w:val="center"/>
          </w:tcPr>
          <w:p>
            <w:pPr>
              <w:jc w:val="center"/>
              <w:rPr>
                <w:rFonts w:eastAsia="宋体"/>
                <w:b/>
                <w:bCs/>
                <w:szCs w:val="21"/>
              </w:rPr>
            </w:pPr>
            <w:r>
              <w:rPr>
                <w:rFonts w:eastAsia="宋体"/>
                <w:b/>
                <w:bCs/>
                <w:szCs w:val="21"/>
              </w:rPr>
              <w:t>序号</w:t>
            </w:r>
          </w:p>
        </w:tc>
        <w:tc>
          <w:tcPr>
            <w:tcW w:w="2236" w:type="dxa"/>
            <w:noWrap w:val="0"/>
            <w:vAlign w:val="center"/>
          </w:tcPr>
          <w:p>
            <w:pPr>
              <w:tabs>
                <w:tab w:val="left" w:pos="5115"/>
              </w:tabs>
              <w:spacing w:line="360" w:lineRule="auto"/>
              <w:jc w:val="center"/>
              <w:rPr>
                <w:rFonts w:eastAsia="宋体"/>
                <w:b/>
                <w:bCs/>
                <w:szCs w:val="21"/>
                <w:lang w:eastAsia="ja-JP"/>
              </w:rPr>
            </w:pPr>
            <w:r>
              <w:rPr>
                <w:rFonts w:eastAsia="宋体"/>
                <w:b/>
                <w:bCs/>
                <w:caps/>
                <w:kern w:val="1"/>
                <w:szCs w:val="21"/>
              </w:rPr>
              <w:t>招标文件/用户需求书条款号及页码</w:t>
            </w:r>
          </w:p>
        </w:tc>
        <w:tc>
          <w:tcPr>
            <w:tcW w:w="2767" w:type="dxa"/>
            <w:noWrap w:val="0"/>
            <w:vAlign w:val="center"/>
          </w:tcPr>
          <w:p>
            <w:pPr>
              <w:tabs>
                <w:tab w:val="left" w:pos="5115"/>
              </w:tabs>
              <w:spacing w:line="360" w:lineRule="auto"/>
              <w:jc w:val="center"/>
              <w:rPr>
                <w:rFonts w:eastAsia="宋体"/>
                <w:b/>
                <w:bCs/>
                <w:kern w:val="1"/>
                <w:szCs w:val="21"/>
                <w:lang w:eastAsia="ja-JP"/>
              </w:rPr>
            </w:pPr>
            <w:r>
              <w:rPr>
                <w:rFonts w:eastAsia="宋体"/>
                <w:b/>
                <w:bCs/>
                <w:caps/>
                <w:kern w:val="1"/>
                <w:szCs w:val="21"/>
              </w:rPr>
              <w:t>原文内容</w:t>
            </w:r>
          </w:p>
        </w:tc>
        <w:tc>
          <w:tcPr>
            <w:tcW w:w="3322" w:type="dxa"/>
            <w:noWrap w:val="0"/>
            <w:vAlign w:val="center"/>
          </w:tcPr>
          <w:p>
            <w:pPr>
              <w:tabs>
                <w:tab w:val="left" w:pos="5115"/>
              </w:tabs>
              <w:spacing w:line="360" w:lineRule="auto"/>
              <w:jc w:val="center"/>
              <w:rPr>
                <w:rFonts w:eastAsia="宋体"/>
                <w:b/>
                <w:bCs/>
                <w:kern w:val="1"/>
                <w:szCs w:val="21"/>
              </w:rPr>
            </w:pPr>
            <w:r>
              <w:rPr>
                <w:rFonts w:eastAsia="宋体"/>
                <w:b/>
                <w:bCs/>
                <w:caps/>
                <w:kern w:val="1"/>
                <w:szCs w:val="21"/>
              </w:rPr>
              <w:t>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1014" w:type="dxa"/>
            <w:noWrap w:val="0"/>
            <w:vAlign w:val="center"/>
          </w:tcPr>
          <w:p>
            <w:pPr>
              <w:jc w:val="center"/>
              <w:rPr>
                <w:rFonts w:eastAsia="宋体"/>
                <w:b/>
                <w:bCs/>
                <w:szCs w:val="21"/>
              </w:rPr>
            </w:pPr>
            <w:r>
              <w:rPr>
                <w:rFonts w:eastAsia="宋体"/>
                <w:b/>
                <w:bCs/>
                <w:szCs w:val="21"/>
              </w:rPr>
              <w:t>1</w:t>
            </w:r>
          </w:p>
        </w:tc>
        <w:tc>
          <w:tcPr>
            <w:tcW w:w="2236" w:type="dxa"/>
            <w:noWrap w:val="0"/>
            <w:vAlign w:val="center"/>
          </w:tcPr>
          <w:p>
            <w:pPr>
              <w:spacing w:line="408" w:lineRule="auto"/>
              <w:rPr>
                <w:rFonts w:eastAsia="宋体"/>
                <w:b/>
                <w:bCs/>
                <w:kern w:val="1"/>
                <w:szCs w:val="21"/>
              </w:rPr>
            </w:pPr>
          </w:p>
        </w:tc>
        <w:tc>
          <w:tcPr>
            <w:tcW w:w="2767" w:type="dxa"/>
            <w:noWrap w:val="0"/>
            <w:vAlign w:val="center"/>
          </w:tcPr>
          <w:p>
            <w:pPr>
              <w:spacing w:line="408" w:lineRule="auto"/>
              <w:rPr>
                <w:rFonts w:eastAsia="宋体"/>
                <w:b/>
                <w:bCs/>
                <w:kern w:val="1"/>
                <w:szCs w:val="21"/>
              </w:rPr>
            </w:pPr>
          </w:p>
        </w:tc>
        <w:tc>
          <w:tcPr>
            <w:tcW w:w="3322" w:type="dxa"/>
            <w:noWrap w:val="0"/>
            <w:vAlign w:val="center"/>
          </w:tcPr>
          <w:p>
            <w:pPr>
              <w:spacing w:line="408" w:lineRule="auto"/>
              <w:rPr>
                <w:rFonts w:eastAsia="宋体"/>
                <w:b/>
                <w:bCs/>
                <w:kern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1014" w:type="dxa"/>
            <w:noWrap w:val="0"/>
            <w:vAlign w:val="center"/>
          </w:tcPr>
          <w:p>
            <w:pPr>
              <w:jc w:val="center"/>
              <w:rPr>
                <w:rFonts w:eastAsia="宋体"/>
                <w:b/>
                <w:bCs/>
                <w:szCs w:val="21"/>
              </w:rPr>
            </w:pPr>
            <w:r>
              <w:rPr>
                <w:rFonts w:eastAsia="宋体"/>
                <w:b/>
                <w:bCs/>
                <w:szCs w:val="21"/>
              </w:rPr>
              <w:t>2</w:t>
            </w:r>
          </w:p>
        </w:tc>
        <w:tc>
          <w:tcPr>
            <w:tcW w:w="2236" w:type="dxa"/>
            <w:noWrap w:val="0"/>
            <w:vAlign w:val="center"/>
          </w:tcPr>
          <w:p>
            <w:pPr>
              <w:spacing w:line="408" w:lineRule="auto"/>
              <w:rPr>
                <w:rFonts w:eastAsia="宋体"/>
                <w:b/>
                <w:bCs/>
                <w:szCs w:val="21"/>
              </w:rPr>
            </w:pPr>
          </w:p>
        </w:tc>
        <w:tc>
          <w:tcPr>
            <w:tcW w:w="2767" w:type="dxa"/>
            <w:noWrap w:val="0"/>
            <w:vAlign w:val="center"/>
          </w:tcPr>
          <w:p>
            <w:pPr>
              <w:spacing w:line="408" w:lineRule="auto"/>
              <w:rPr>
                <w:rFonts w:eastAsia="宋体"/>
                <w:b/>
                <w:bCs/>
                <w:szCs w:val="21"/>
              </w:rPr>
            </w:pPr>
          </w:p>
        </w:tc>
        <w:tc>
          <w:tcPr>
            <w:tcW w:w="3322" w:type="dxa"/>
            <w:noWrap w:val="0"/>
            <w:vAlign w:val="center"/>
          </w:tcPr>
          <w:p>
            <w:pPr>
              <w:spacing w:line="408" w:lineRule="auto"/>
              <w:rPr>
                <w:rFonts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1014" w:type="dxa"/>
            <w:noWrap w:val="0"/>
            <w:vAlign w:val="center"/>
          </w:tcPr>
          <w:p>
            <w:pPr>
              <w:jc w:val="center"/>
              <w:rPr>
                <w:rFonts w:eastAsia="宋体"/>
                <w:b/>
                <w:bCs/>
                <w:szCs w:val="21"/>
              </w:rPr>
            </w:pPr>
            <w:r>
              <w:rPr>
                <w:rFonts w:eastAsia="宋体"/>
                <w:b/>
                <w:bCs/>
                <w:szCs w:val="21"/>
              </w:rPr>
              <w:t>3</w:t>
            </w:r>
          </w:p>
        </w:tc>
        <w:tc>
          <w:tcPr>
            <w:tcW w:w="2236" w:type="dxa"/>
            <w:noWrap w:val="0"/>
            <w:vAlign w:val="center"/>
          </w:tcPr>
          <w:p>
            <w:pPr>
              <w:spacing w:line="408" w:lineRule="auto"/>
              <w:rPr>
                <w:rFonts w:eastAsia="宋体"/>
                <w:b/>
                <w:bCs/>
                <w:szCs w:val="21"/>
              </w:rPr>
            </w:pPr>
          </w:p>
        </w:tc>
        <w:tc>
          <w:tcPr>
            <w:tcW w:w="2767" w:type="dxa"/>
            <w:noWrap w:val="0"/>
            <w:vAlign w:val="center"/>
          </w:tcPr>
          <w:p>
            <w:pPr>
              <w:spacing w:line="408" w:lineRule="auto"/>
              <w:rPr>
                <w:rFonts w:eastAsia="宋体"/>
                <w:b/>
                <w:bCs/>
                <w:szCs w:val="21"/>
              </w:rPr>
            </w:pPr>
          </w:p>
        </w:tc>
        <w:tc>
          <w:tcPr>
            <w:tcW w:w="3322" w:type="dxa"/>
            <w:noWrap w:val="0"/>
            <w:vAlign w:val="center"/>
          </w:tcPr>
          <w:p>
            <w:pPr>
              <w:spacing w:line="408" w:lineRule="auto"/>
              <w:rPr>
                <w:rFonts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1014" w:type="dxa"/>
            <w:noWrap w:val="0"/>
            <w:vAlign w:val="center"/>
          </w:tcPr>
          <w:p>
            <w:pPr>
              <w:jc w:val="center"/>
              <w:rPr>
                <w:rFonts w:eastAsia="宋体"/>
                <w:b/>
                <w:bCs/>
                <w:szCs w:val="21"/>
              </w:rPr>
            </w:pPr>
            <w:r>
              <w:rPr>
                <w:rFonts w:eastAsia="宋体"/>
                <w:b/>
                <w:bCs/>
                <w:szCs w:val="21"/>
              </w:rPr>
              <w:t>4</w:t>
            </w:r>
          </w:p>
        </w:tc>
        <w:tc>
          <w:tcPr>
            <w:tcW w:w="2236" w:type="dxa"/>
            <w:noWrap w:val="0"/>
            <w:vAlign w:val="center"/>
          </w:tcPr>
          <w:p>
            <w:pPr>
              <w:spacing w:line="408" w:lineRule="auto"/>
              <w:rPr>
                <w:rFonts w:eastAsia="宋体"/>
                <w:b/>
                <w:bCs/>
                <w:szCs w:val="21"/>
              </w:rPr>
            </w:pPr>
          </w:p>
        </w:tc>
        <w:tc>
          <w:tcPr>
            <w:tcW w:w="2767" w:type="dxa"/>
            <w:noWrap w:val="0"/>
            <w:vAlign w:val="center"/>
          </w:tcPr>
          <w:p>
            <w:pPr>
              <w:spacing w:line="408" w:lineRule="auto"/>
              <w:rPr>
                <w:rFonts w:eastAsia="宋体"/>
                <w:b/>
                <w:bCs/>
                <w:szCs w:val="21"/>
              </w:rPr>
            </w:pPr>
          </w:p>
        </w:tc>
        <w:tc>
          <w:tcPr>
            <w:tcW w:w="3322" w:type="dxa"/>
            <w:noWrap w:val="0"/>
            <w:vAlign w:val="center"/>
          </w:tcPr>
          <w:p>
            <w:pPr>
              <w:spacing w:line="408" w:lineRule="auto"/>
              <w:rPr>
                <w:rFonts w:eastAsia="宋体"/>
                <w:b/>
                <w:bCs/>
                <w:szCs w:val="21"/>
              </w:rPr>
            </w:pPr>
          </w:p>
        </w:tc>
      </w:tr>
    </w:tbl>
    <w:p>
      <w:pPr>
        <w:rPr>
          <w:rFonts w:eastAsia="宋体"/>
          <w:sz w:val="24"/>
          <w:szCs w:val="24"/>
        </w:rPr>
      </w:pPr>
    </w:p>
    <w:p>
      <w:pPr>
        <w:rPr>
          <w:rFonts w:eastAsia="宋体"/>
          <w:sz w:val="24"/>
          <w:szCs w:val="24"/>
        </w:rPr>
      </w:pPr>
    </w:p>
    <w:p>
      <w:pPr>
        <w:widowControl w:val="0"/>
        <w:spacing w:line="360" w:lineRule="auto"/>
        <w:ind w:firstLine="4579" w:firstLineChars="1908"/>
        <w:jc w:val="both"/>
        <w:rPr>
          <w:rFonts w:eastAsia="宋体"/>
          <w:sz w:val="24"/>
          <w:szCs w:val="24"/>
          <w:u w:val="single"/>
        </w:rPr>
      </w:pPr>
      <w:r>
        <w:rPr>
          <w:rFonts w:eastAsia="宋体"/>
          <w:sz w:val="24"/>
          <w:szCs w:val="24"/>
        </w:rPr>
        <w:t xml:space="preserve">投标人名称（公章）: </w:t>
      </w:r>
      <w:r>
        <w:rPr>
          <w:rFonts w:eastAsia="宋体"/>
          <w:sz w:val="24"/>
          <w:szCs w:val="24"/>
          <w:u w:val="single"/>
        </w:rPr>
        <w:t xml:space="preserve">      </w:t>
      </w:r>
    </w:p>
    <w:p>
      <w:pPr>
        <w:widowControl w:val="0"/>
        <w:spacing w:line="360" w:lineRule="auto"/>
        <w:ind w:firstLine="4579" w:firstLineChars="1908"/>
        <w:jc w:val="both"/>
        <w:rPr>
          <w:rFonts w:eastAsia="宋体"/>
          <w:sz w:val="24"/>
          <w:szCs w:val="24"/>
        </w:rPr>
      </w:pPr>
      <w:r>
        <w:rPr>
          <w:rFonts w:eastAsia="宋体"/>
          <w:sz w:val="24"/>
          <w:szCs w:val="24"/>
        </w:rPr>
        <w:t>日  期：</w:t>
      </w:r>
      <w:r>
        <w:rPr>
          <w:rFonts w:eastAsia="宋体"/>
          <w:sz w:val="24"/>
          <w:szCs w:val="24"/>
          <w:u w:val="single"/>
        </w:rPr>
        <w:t xml:space="preserve">        </w:t>
      </w:r>
      <w:r>
        <w:rPr>
          <w:rFonts w:eastAsia="宋体"/>
          <w:sz w:val="24"/>
          <w:szCs w:val="24"/>
        </w:rPr>
        <w:t>年</w:t>
      </w:r>
      <w:r>
        <w:rPr>
          <w:rFonts w:eastAsia="宋体"/>
          <w:sz w:val="24"/>
          <w:szCs w:val="24"/>
          <w:u w:val="single"/>
        </w:rPr>
        <w:t xml:space="preserve">   </w:t>
      </w:r>
      <w:r>
        <w:rPr>
          <w:rFonts w:eastAsia="宋体"/>
          <w:sz w:val="24"/>
          <w:szCs w:val="24"/>
        </w:rPr>
        <w:t>月</w:t>
      </w:r>
      <w:r>
        <w:rPr>
          <w:rFonts w:eastAsia="宋体"/>
          <w:sz w:val="24"/>
          <w:szCs w:val="24"/>
          <w:u w:val="single"/>
        </w:rPr>
        <w:t xml:space="preserve">   </w:t>
      </w:r>
      <w:r>
        <w:rPr>
          <w:rFonts w:eastAsia="宋体"/>
          <w:sz w:val="24"/>
          <w:szCs w:val="24"/>
        </w:rPr>
        <w:t>日</w:t>
      </w:r>
    </w:p>
    <w:p>
      <w:pPr>
        <w:rPr>
          <w:rFonts w:hint="eastAsia" w:ascii="宋体" w:hAnsi="宋体" w:eastAsia="宋体" w:cs="宋体"/>
          <w:szCs w:val="21"/>
        </w:rPr>
      </w:pPr>
      <w:r>
        <w:rPr>
          <w:rFonts w:hint="eastAsia" w:ascii="宋体" w:hAnsi="宋体" w:eastAsia="宋体" w:cs="宋体"/>
          <w:sz w:val="20"/>
          <w:szCs w:val="20"/>
        </w:rPr>
        <w:br w:type="page"/>
      </w:r>
    </w:p>
    <w:p>
      <w:pPr>
        <w:pStyle w:val="2"/>
        <w:numPr>
          <w:ilvl w:val="0"/>
          <w:numId w:val="2"/>
        </w:numPr>
        <w:tabs>
          <w:tab w:val="left" w:pos="1701"/>
        </w:tabs>
        <w:ind w:left="0" w:firstLine="0"/>
        <w:rPr>
          <w:rFonts w:ascii="宋体" w:hAnsi="宋体" w:cs="宋体"/>
        </w:rPr>
      </w:pPr>
      <w:bookmarkStart w:id="1132" w:name="_Toc2835"/>
      <w:bookmarkStart w:id="1133" w:name="_Toc4114"/>
      <w:bookmarkStart w:id="1134" w:name="_Toc24217"/>
      <w:bookmarkStart w:id="1135" w:name="_Toc10331"/>
      <w:bookmarkStart w:id="1136" w:name="_Toc3470"/>
      <w:bookmarkStart w:id="1137" w:name="_Toc32227"/>
      <w:bookmarkStart w:id="1138" w:name="_Toc21331"/>
      <w:bookmarkStart w:id="1139" w:name="_Toc14267"/>
      <w:bookmarkStart w:id="1140" w:name="_Toc19306"/>
      <w:bookmarkStart w:id="1141" w:name="_Toc18140"/>
      <w:bookmarkStart w:id="1142" w:name="_Toc6920"/>
      <w:bookmarkStart w:id="1143" w:name="_Toc6657"/>
      <w:bookmarkStart w:id="1144" w:name="_Toc18467"/>
      <w:bookmarkStart w:id="1145" w:name="_Toc514430407"/>
      <w:bookmarkStart w:id="1146" w:name="_Toc24375"/>
      <w:r>
        <w:rPr>
          <w:rFonts w:hint="eastAsia" w:ascii="宋体" w:hAnsi="宋体" w:cs="宋体"/>
        </w:rPr>
        <w:t>评标办法（综合评估法）</w:t>
      </w:r>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p>
    <w:p>
      <w:pPr>
        <w:spacing w:line="200" w:lineRule="exact"/>
        <w:rPr>
          <w:rFonts w:hint="eastAsia"/>
          <w:sz w:val="20"/>
          <w:szCs w:val="20"/>
        </w:rPr>
      </w:pPr>
    </w:p>
    <w:p>
      <w:pPr>
        <w:pStyle w:val="3"/>
        <w:numPr>
          <w:ilvl w:val="0"/>
          <w:numId w:val="0"/>
        </w:numPr>
        <w:spacing w:before="0" w:after="0" w:line="360" w:lineRule="auto"/>
        <w:jc w:val="center"/>
        <w:rPr>
          <w:rFonts w:hint="eastAsia" w:ascii="黑体" w:hAnsi="黑体" w:eastAsia="黑体" w:cs="宋体"/>
        </w:rPr>
      </w:pPr>
      <w:bookmarkStart w:id="1147" w:name="_Toc25319"/>
      <w:bookmarkStart w:id="1148" w:name="_Toc4776"/>
      <w:bookmarkStart w:id="1149" w:name="_Toc22407"/>
      <w:bookmarkStart w:id="1150" w:name="_Toc4325"/>
      <w:bookmarkStart w:id="1151" w:name="_Toc19026"/>
      <w:bookmarkStart w:id="1152" w:name="_Toc18436"/>
      <w:bookmarkStart w:id="1153" w:name="_Toc29342"/>
      <w:bookmarkStart w:id="1154" w:name="_Toc25503"/>
      <w:bookmarkStart w:id="1155" w:name="_Toc514430408"/>
      <w:bookmarkStart w:id="1156" w:name="_Toc31804"/>
      <w:bookmarkStart w:id="1157" w:name="_Toc20690"/>
      <w:bookmarkStart w:id="1158" w:name="_Toc19736"/>
      <w:bookmarkStart w:id="1159" w:name="_Toc31903"/>
      <w:bookmarkStart w:id="1160" w:name="_Toc9447"/>
      <w:bookmarkStart w:id="1161" w:name="_Toc17659"/>
      <w:r>
        <w:rPr>
          <w:rFonts w:ascii="黑体" w:hAnsi="黑体" w:eastAsia="黑体" w:cs="宋体"/>
        </w:rPr>
        <w:t>评标办法前附表</w:t>
      </w:r>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p>
    <w:tbl>
      <w:tblPr>
        <w:tblStyle w:val="60"/>
        <w:tblW w:w="9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76"/>
        <w:gridCol w:w="1051"/>
        <w:gridCol w:w="2170"/>
        <w:gridCol w:w="5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8" w:type="dxa"/>
            <w:gridSpan w:val="3"/>
            <w:tcBorders>
              <w:top w:val="single" w:color="auto" w:sz="12" w:space="0"/>
              <w:left w:val="single" w:color="auto" w:sz="12" w:space="0"/>
              <w:bottom w:val="single" w:color="auto" w:sz="4" w:space="0"/>
            </w:tcBorders>
            <w:noWrap w:val="0"/>
            <w:vAlign w:val="center"/>
          </w:tcPr>
          <w:p>
            <w:pPr>
              <w:spacing w:line="300" w:lineRule="auto"/>
              <w:jc w:val="center"/>
              <w:rPr>
                <w:rFonts w:eastAsia="宋体"/>
                <w:szCs w:val="21"/>
              </w:rPr>
            </w:pPr>
            <w:r>
              <w:rPr>
                <w:rFonts w:eastAsia="宋体"/>
                <w:b/>
                <w:bCs/>
                <w:szCs w:val="21"/>
              </w:rPr>
              <w:t>条款号</w:t>
            </w:r>
          </w:p>
        </w:tc>
        <w:tc>
          <w:tcPr>
            <w:tcW w:w="2170" w:type="dxa"/>
            <w:tcBorders>
              <w:top w:val="single" w:color="auto" w:sz="12" w:space="0"/>
              <w:bottom w:val="single" w:color="auto" w:sz="4" w:space="0"/>
            </w:tcBorders>
            <w:noWrap w:val="0"/>
            <w:vAlign w:val="center"/>
          </w:tcPr>
          <w:p>
            <w:pPr>
              <w:spacing w:line="300" w:lineRule="auto"/>
              <w:jc w:val="center"/>
              <w:rPr>
                <w:rFonts w:eastAsia="宋体"/>
                <w:szCs w:val="21"/>
              </w:rPr>
            </w:pPr>
            <w:r>
              <w:rPr>
                <w:rFonts w:eastAsia="宋体"/>
                <w:b/>
                <w:bCs/>
                <w:szCs w:val="21"/>
              </w:rPr>
              <w:t>评审因素</w:t>
            </w:r>
          </w:p>
        </w:tc>
        <w:tc>
          <w:tcPr>
            <w:tcW w:w="5587" w:type="dxa"/>
            <w:tcBorders>
              <w:top w:val="single" w:color="auto" w:sz="12" w:space="0"/>
              <w:bottom w:val="single" w:color="auto" w:sz="4" w:space="0"/>
              <w:right w:val="single" w:color="auto" w:sz="12" w:space="0"/>
            </w:tcBorders>
            <w:noWrap w:val="0"/>
            <w:vAlign w:val="center"/>
          </w:tcPr>
          <w:p>
            <w:pPr>
              <w:spacing w:line="300" w:lineRule="auto"/>
              <w:jc w:val="center"/>
              <w:rPr>
                <w:rFonts w:eastAsia="宋体"/>
                <w:szCs w:val="21"/>
              </w:rPr>
            </w:pPr>
            <w:r>
              <w:rPr>
                <w:rFonts w:eastAsia="宋体"/>
                <w:b/>
                <w:bCs/>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tcBorders>
              <w:top w:val="single" w:color="auto" w:sz="4" w:space="0"/>
              <w:left w:val="single" w:color="auto" w:sz="12" w:space="0"/>
              <w:bottom w:val="single" w:color="auto" w:sz="4" w:space="0"/>
            </w:tcBorders>
            <w:noWrap w:val="0"/>
            <w:vAlign w:val="center"/>
          </w:tcPr>
          <w:p>
            <w:pPr>
              <w:spacing w:line="300" w:lineRule="auto"/>
              <w:jc w:val="center"/>
              <w:rPr>
                <w:rFonts w:eastAsia="宋体"/>
                <w:szCs w:val="21"/>
              </w:rPr>
            </w:pPr>
            <w:r>
              <w:rPr>
                <w:rFonts w:eastAsia="宋体"/>
                <w:szCs w:val="21"/>
              </w:rPr>
              <w:t>1</w:t>
            </w:r>
          </w:p>
        </w:tc>
        <w:tc>
          <w:tcPr>
            <w:tcW w:w="1127" w:type="dxa"/>
            <w:gridSpan w:val="2"/>
            <w:tcBorders>
              <w:top w:val="single" w:color="auto" w:sz="4" w:space="0"/>
              <w:bottom w:val="single" w:color="auto" w:sz="4" w:space="0"/>
            </w:tcBorders>
            <w:noWrap w:val="0"/>
            <w:vAlign w:val="center"/>
          </w:tcPr>
          <w:p>
            <w:pPr>
              <w:spacing w:line="300" w:lineRule="auto"/>
              <w:jc w:val="center"/>
              <w:rPr>
                <w:rFonts w:eastAsia="宋体"/>
                <w:szCs w:val="21"/>
              </w:rPr>
            </w:pPr>
            <w:r>
              <w:rPr>
                <w:rFonts w:eastAsia="宋体"/>
                <w:szCs w:val="21"/>
              </w:rPr>
              <w:t>评标方法</w:t>
            </w:r>
          </w:p>
        </w:tc>
        <w:tc>
          <w:tcPr>
            <w:tcW w:w="2170" w:type="dxa"/>
            <w:tcBorders>
              <w:top w:val="single" w:color="auto" w:sz="4" w:space="0"/>
              <w:bottom w:val="single" w:color="auto" w:sz="4" w:space="0"/>
            </w:tcBorders>
            <w:noWrap w:val="0"/>
            <w:vAlign w:val="center"/>
          </w:tcPr>
          <w:p>
            <w:pPr>
              <w:spacing w:line="300" w:lineRule="auto"/>
              <w:jc w:val="center"/>
              <w:rPr>
                <w:rFonts w:eastAsia="宋体"/>
                <w:szCs w:val="21"/>
              </w:rPr>
            </w:pPr>
            <w:r>
              <w:rPr>
                <w:rFonts w:eastAsia="宋体"/>
                <w:szCs w:val="21"/>
              </w:rPr>
              <w:t>中标候选人排序方法</w:t>
            </w:r>
          </w:p>
        </w:tc>
        <w:tc>
          <w:tcPr>
            <w:tcW w:w="5587" w:type="dxa"/>
            <w:tcBorders>
              <w:top w:val="single" w:color="auto" w:sz="4" w:space="0"/>
              <w:bottom w:val="single" w:color="auto" w:sz="4" w:space="0"/>
              <w:right w:val="single" w:color="auto" w:sz="12" w:space="0"/>
            </w:tcBorders>
            <w:noWrap w:val="0"/>
            <w:vAlign w:val="center"/>
          </w:tcPr>
          <w:p>
            <w:pPr>
              <w:spacing w:line="300" w:lineRule="auto"/>
              <w:jc w:val="both"/>
              <w:rPr>
                <w:rFonts w:ascii="宋体" w:hAnsi="宋体" w:eastAsia="宋体"/>
                <w:szCs w:val="21"/>
              </w:rPr>
            </w:pPr>
            <w:r>
              <w:rPr>
                <w:rFonts w:ascii="宋体" w:hAnsi="宋体" w:eastAsia="宋体"/>
                <w:szCs w:val="21"/>
              </w:rPr>
              <w:t>按得分高低排序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restart"/>
            <w:tcBorders>
              <w:top w:val="single" w:color="auto" w:sz="4" w:space="0"/>
              <w:left w:val="single" w:color="auto" w:sz="12" w:space="0"/>
              <w:bottom w:val="single" w:color="auto" w:sz="4" w:space="0"/>
            </w:tcBorders>
            <w:noWrap w:val="0"/>
            <w:vAlign w:val="center"/>
          </w:tcPr>
          <w:p>
            <w:pPr>
              <w:spacing w:line="300" w:lineRule="auto"/>
              <w:jc w:val="center"/>
              <w:rPr>
                <w:rFonts w:eastAsia="宋体"/>
                <w:szCs w:val="21"/>
              </w:rPr>
            </w:pPr>
            <w:r>
              <w:rPr>
                <w:rFonts w:eastAsia="宋体"/>
                <w:szCs w:val="21"/>
              </w:rPr>
              <w:t>2.1.1</w:t>
            </w:r>
          </w:p>
        </w:tc>
        <w:tc>
          <w:tcPr>
            <w:tcW w:w="1127" w:type="dxa"/>
            <w:gridSpan w:val="2"/>
            <w:vMerge w:val="restart"/>
            <w:tcBorders>
              <w:top w:val="single" w:color="auto" w:sz="4" w:space="0"/>
              <w:bottom w:val="single" w:color="auto" w:sz="4" w:space="0"/>
            </w:tcBorders>
            <w:noWrap w:val="0"/>
            <w:vAlign w:val="center"/>
          </w:tcPr>
          <w:p>
            <w:pPr>
              <w:spacing w:line="300" w:lineRule="auto"/>
              <w:jc w:val="center"/>
              <w:rPr>
                <w:rFonts w:eastAsia="宋体"/>
                <w:szCs w:val="21"/>
              </w:rPr>
            </w:pPr>
            <w:r>
              <w:rPr>
                <w:rFonts w:eastAsia="宋体"/>
                <w:szCs w:val="21"/>
              </w:rPr>
              <w:t>形式评审标准</w:t>
            </w:r>
          </w:p>
        </w:tc>
        <w:tc>
          <w:tcPr>
            <w:tcW w:w="2170" w:type="dxa"/>
            <w:tcBorders>
              <w:top w:val="single" w:color="auto" w:sz="4" w:space="0"/>
              <w:bottom w:val="single" w:color="auto" w:sz="4" w:space="0"/>
            </w:tcBorders>
            <w:noWrap w:val="0"/>
            <w:vAlign w:val="center"/>
          </w:tcPr>
          <w:p>
            <w:pPr>
              <w:spacing w:line="300" w:lineRule="auto"/>
              <w:jc w:val="center"/>
              <w:rPr>
                <w:rFonts w:eastAsia="宋体"/>
                <w:szCs w:val="21"/>
              </w:rPr>
            </w:pPr>
            <w:r>
              <w:rPr>
                <w:rFonts w:eastAsia="宋体"/>
                <w:szCs w:val="21"/>
              </w:rPr>
              <w:t>投标人名称</w:t>
            </w:r>
          </w:p>
        </w:tc>
        <w:tc>
          <w:tcPr>
            <w:tcW w:w="5587" w:type="dxa"/>
            <w:tcBorders>
              <w:top w:val="single" w:color="auto" w:sz="4" w:space="0"/>
              <w:bottom w:val="single" w:color="auto" w:sz="4" w:space="0"/>
              <w:right w:val="single" w:color="auto" w:sz="12" w:space="0"/>
            </w:tcBorders>
            <w:noWrap w:val="0"/>
            <w:vAlign w:val="center"/>
          </w:tcPr>
          <w:p>
            <w:pPr>
              <w:spacing w:line="300" w:lineRule="auto"/>
              <w:jc w:val="both"/>
              <w:rPr>
                <w:rFonts w:ascii="宋体" w:hAnsi="宋体" w:eastAsia="宋体"/>
                <w:szCs w:val="21"/>
              </w:rPr>
            </w:pPr>
            <w:r>
              <w:rPr>
                <w:rFonts w:ascii="宋体" w:hAnsi="宋体" w:eastAsia="宋体"/>
                <w:szCs w:val="21"/>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continue"/>
            <w:tcBorders>
              <w:top w:val="single" w:color="auto" w:sz="4" w:space="0"/>
              <w:left w:val="single" w:color="auto" w:sz="12" w:space="0"/>
              <w:bottom w:val="single" w:color="auto" w:sz="4" w:space="0"/>
            </w:tcBorders>
            <w:noWrap w:val="0"/>
            <w:vAlign w:val="center"/>
          </w:tcPr>
          <w:p>
            <w:pPr>
              <w:spacing w:line="300" w:lineRule="auto"/>
              <w:jc w:val="center"/>
              <w:rPr>
                <w:rFonts w:eastAsia="宋体"/>
                <w:szCs w:val="21"/>
              </w:rPr>
            </w:pPr>
          </w:p>
        </w:tc>
        <w:tc>
          <w:tcPr>
            <w:tcW w:w="1127" w:type="dxa"/>
            <w:gridSpan w:val="2"/>
            <w:vMerge w:val="continue"/>
            <w:tcBorders>
              <w:top w:val="single" w:color="auto" w:sz="4" w:space="0"/>
              <w:bottom w:val="single" w:color="auto" w:sz="4" w:space="0"/>
            </w:tcBorders>
            <w:noWrap w:val="0"/>
            <w:vAlign w:val="center"/>
          </w:tcPr>
          <w:p>
            <w:pPr>
              <w:spacing w:line="300" w:lineRule="auto"/>
              <w:jc w:val="center"/>
              <w:rPr>
                <w:rFonts w:eastAsia="宋体"/>
                <w:szCs w:val="21"/>
              </w:rPr>
            </w:pPr>
          </w:p>
        </w:tc>
        <w:tc>
          <w:tcPr>
            <w:tcW w:w="2170" w:type="dxa"/>
            <w:tcBorders>
              <w:top w:val="single" w:color="auto" w:sz="4" w:space="0"/>
              <w:bottom w:val="single" w:color="auto" w:sz="4" w:space="0"/>
            </w:tcBorders>
            <w:noWrap w:val="0"/>
            <w:vAlign w:val="center"/>
          </w:tcPr>
          <w:p>
            <w:pPr>
              <w:spacing w:line="300" w:lineRule="auto"/>
              <w:jc w:val="center"/>
              <w:rPr>
                <w:rFonts w:eastAsia="宋体"/>
                <w:szCs w:val="21"/>
              </w:rPr>
            </w:pPr>
            <w:r>
              <w:rPr>
                <w:rFonts w:eastAsia="宋体"/>
                <w:szCs w:val="21"/>
              </w:rPr>
              <w:t>投标函签字盖章</w:t>
            </w:r>
          </w:p>
        </w:tc>
        <w:tc>
          <w:tcPr>
            <w:tcW w:w="5587" w:type="dxa"/>
            <w:tcBorders>
              <w:top w:val="single" w:color="auto" w:sz="4" w:space="0"/>
              <w:bottom w:val="single" w:color="auto" w:sz="4" w:space="0"/>
              <w:right w:val="single" w:color="auto" w:sz="12" w:space="0"/>
            </w:tcBorders>
            <w:noWrap w:val="0"/>
            <w:vAlign w:val="center"/>
          </w:tcPr>
          <w:p>
            <w:pPr>
              <w:spacing w:line="300" w:lineRule="auto"/>
              <w:jc w:val="both"/>
              <w:rPr>
                <w:rFonts w:ascii="宋体" w:hAnsi="宋体" w:eastAsia="宋体"/>
                <w:szCs w:val="21"/>
              </w:rPr>
            </w:pPr>
            <w:r>
              <w:rPr>
                <w:rFonts w:hint="eastAsia" w:ascii="宋体" w:hAnsi="宋体" w:eastAsia="宋体"/>
                <w:szCs w:val="21"/>
              </w:rPr>
              <w:t>由</w:t>
            </w:r>
            <w:r>
              <w:rPr>
                <w:rFonts w:ascii="宋体" w:hAnsi="宋体" w:eastAsia="宋体"/>
                <w:szCs w:val="21"/>
              </w:rPr>
              <w:t>法定代表人（单位负责人）或其委托代理人签字或加盖单位章。由法定代表人（单位负责人）签字的，应附法定代表人（单位负责人）身份证明，由代理人签字的，应附授权委托书，身份证明或授权委托书应符合第六章“投标文件格式”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continue"/>
            <w:tcBorders>
              <w:top w:val="single" w:color="auto" w:sz="4" w:space="0"/>
              <w:left w:val="single" w:color="auto" w:sz="12" w:space="0"/>
              <w:bottom w:val="single" w:color="auto" w:sz="4" w:space="0"/>
            </w:tcBorders>
            <w:noWrap w:val="0"/>
            <w:vAlign w:val="center"/>
          </w:tcPr>
          <w:p>
            <w:pPr>
              <w:spacing w:line="300" w:lineRule="auto"/>
              <w:jc w:val="center"/>
              <w:rPr>
                <w:rFonts w:eastAsia="宋体"/>
                <w:szCs w:val="21"/>
              </w:rPr>
            </w:pPr>
          </w:p>
        </w:tc>
        <w:tc>
          <w:tcPr>
            <w:tcW w:w="1127" w:type="dxa"/>
            <w:gridSpan w:val="2"/>
            <w:vMerge w:val="continue"/>
            <w:tcBorders>
              <w:top w:val="single" w:color="auto" w:sz="4" w:space="0"/>
              <w:bottom w:val="single" w:color="auto" w:sz="4" w:space="0"/>
            </w:tcBorders>
            <w:noWrap w:val="0"/>
            <w:vAlign w:val="center"/>
          </w:tcPr>
          <w:p>
            <w:pPr>
              <w:spacing w:line="300" w:lineRule="auto"/>
              <w:jc w:val="center"/>
              <w:rPr>
                <w:rFonts w:eastAsia="宋体"/>
                <w:szCs w:val="21"/>
              </w:rPr>
            </w:pPr>
          </w:p>
        </w:tc>
        <w:tc>
          <w:tcPr>
            <w:tcW w:w="2170" w:type="dxa"/>
            <w:tcBorders>
              <w:top w:val="single" w:color="auto" w:sz="4" w:space="0"/>
              <w:bottom w:val="single" w:color="auto" w:sz="4" w:space="0"/>
            </w:tcBorders>
            <w:noWrap w:val="0"/>
            <w:vAlign w:val="center"/>
          </w:tcPr>
          <w:p>
            <w:pPr>
              <w:spacing w:line="300" w:lineRule="auto"/>
              <w:jc w:val="center"/>
              <w:rPr>
                <w:rFonts w:eastAsia="宋体"/>
                <w:szCs w:val="21"/>
              </w:rPr>
            </w:pPr>
            <w:r>
              <w:rPr>
                <w:rFonts w:eastAsia="宋体"/>
                <w:szCs w:val="21"/>
              </w:rPr>
              <w:t>投标文件格式</w:t>
            </w:r>
          </w:p>
        </w:tc>
        <w:tc>
          <w:tcPr>
            <w:tcW w:w="5587" w:type="dxa"/>
            <w:tcBorders>
              <w:top w:val="single" w:color="auto" w:sz="4" w:space="0"/>
              <w:bottom w:val="single" w:color="auto" w:sz="4" w:space="0"/>
              <w:right w:val="single" w:color="auto" w:sz="12" w:space="0"/>
            </w:tcBorders>
            <w:noWrap w:val="0"/>
            <w:vAlign w:val="center"/>
          </w:tcPr>
          <w:p>
            <w:pPr>
              <w:spacing w:line="300" w:lineRule="auto"/>
              <w:jc w:val="both"/>
              <w:rPr>
                <w:rFonts w:ascii="宋体" w:hAnsi="宋体" w:eastAsia="宋体"/>
                <w:szCs w:val="21"/>
              </w:rPr>
            </w:pPr>
            <w:r>
              <w:rPr>
                <w:rFonts w:ascii="宋体" w:hAnsi="宋体" w:eastAsia="宋体"/>
                <w:szCs w:val="21"/>
              </w:rPr>
              <w:t>符合第六章“投标文件格式”的规定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continue"/>
            <w:tcBorders>
              <w:top w:val="single" w:color="auto" w:sz="4" w:space="0"/>
              <w:left w:val="single" w:color="auto" w:sz="12" w:space="0"/>
              <w:bottom w:val="single" w:color="auto" w:sz="4" w:space="0"/>
            </w:tcBorders>
            <w:noWrap w:val="0"/>
            <w:vAlign w:val="center"/>
          </w:tcPr>
          <w:p>
            <w:pPr>
              <w:spacing w:line="300" w:lineRule="auto"/>
              <w:jc w:val="center"/>
              <w:rPr>
                <w:rFonts w:eastAsia="宋体"/>
                <w:szCs w:val="21"/>
              </w:rPr>
            </w:pPr>
          </w:p>
        </w:tc>
        <w:tc>
          <w:tcPr>
            <w:tcW w:w="1127" w:type="dxa"/>
            <w:gridSpan w:val="2"/>
            <w:vMerge w:val="continue"/>
            <w:tcBorders>
              <w:top w:val="single" w:color="auto" w:sz="4" w:space="0"/>
              <w:bottom w:val="single" w:color="auto" w:sz="4" w:space="0"/>
            </w:tcBorders>
            <w:noWrap w:val="0"/>
            <w:vAlign w:val="center"/>
          </w:tcPr>
          <w:p>
            <w:pPr>
              <w:spacing w:line="300" w:lineRule="auto"/>
              <w:jc w:val="center"/>
              <w:rPr>
                <w:rFonts w:eastAsia="宋体"/>
                <w:szCs w:val="21"/>
              </w:rPr>
            </w:pPr>
          </w:p>
        </w:tc>
        <w:tc>
          <w:tcPr>
            <w:tcW w:w="2170" w:type="dxa"/>
            <w:tcBorders>
              <w:top w:val="single" w:color="auto" w:sz="4" w:space="0"/>
              <w:bottom w:val="single" w:color="auto" w:sz="4" w:space="0"/>
            </w:tcBorders>
            <w:noWrap w:val="0"/>
            <w:vAlign w:val="center"/>
          </w:tcPr>
          <w:p>
            <w:pPr>
              <w:spacing w:line="300" w:lineRule="auto"/>
              <w:jc w:val="center"/>
              <w:rPr>
                <w:rFonts w:eastAsia="宋体"/>
                <w:szCs w:val="21"/>
              </w:rPr>
            </w:pPr>
            <w:r>
              <w:rPr>
                <w:rFonts w:eastAsia="宋体"/>
                <w:szCs w:val="21"/>
              </w:rPr>
              <w:t>备选投标方案</w:t>
            </w:r>
          </w:p>
        </w:tc>
        <w:tc>
          <w:tcPr>
            <w:tcW w:w="5587" w:type="dxa"/>
            <w:tcBorders>
              <w:top w:val="single" w:color="auto" w:sz="4" w:space="0"/>
              <w:bottom w:val="single" w:color="auto" w:sz="4" w:space="0"/>
              <w:right w:val="single" w:color="auto" w:sz="12" w:space="0"/>
            </w:tcBorders>
            <w:noWrap w:val="0"/>
            <w:vAlign w:val="center"/>
          </w:tcPr>
          <w:p>
            <w:pPr>
              <w:spacing w:line="300" w:lineRule="auto"/>
              <w:jc w:val="both"/>
              <w:rPr>
                <w:rFonts w:ascii="宋体" w:hAnsi="宋体" w:eastAsia="宋体"/>
                <w:szCs w:val="21"/>
              </w:rPr>
            </w:pPr>
            <w:r>
              <w:rPr>
                <w:rFonts w:ascii="宋体" w:hAnsi="宋体" w:eastAsia="宋体"/>
                <w:szCs w:val="21"/>
              </w:rPr>
              <w:t>除招标文件明确允许提交备选投标方案外，投标人不得提交备选投标方案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restart"/>
            <w:tcBorders>
              <w:top w:val="single" w:color="auto" w:sz="4" w:space="0"/>
              <w:left w:val="single" w:color="auto" w:sz="12" w:space="0"/>
              <w:bottom w:val="single" w:color="auto" w:sz="4" w:space="0"/>
            </w:tcBorders>
            <w:noWrap w:val="0"/>
            <w:vAlign w:val="center"/>
          </w:tcPr>
          <w:p>
            <w:pPr>
              <w:spacing w:line="300" w:lineRule="auto"/>
              <w:jc w:val="center"/>
              <w:rPr>
                <w:rFonts w:eastAsia="宋体"/>
                <w:szCs w:val="21"/>
              </w:rPr>
            </w:pPr>
            <w:r>
              <w:rPr>
                <w:rFonts w:eastAsia="宋体"/>
                <w:szCs w:val="21"/>
              </w:rPr>
              <w:t>2.1.2</w:t>
            </w:r>
          </w:p>
        </w:tc>
        <w:tc>
          <w:tcPr>
            <w:tcW w:w="1127" w:type="dxa"/>
            <w:gridSpan w:val="2"/>
            <w:vMerge w:val="restart"/>
            <w:tcBorders>
              <w:top w:val="single" w:color="auto" w:sz="4" w:space="0"/>
              <w:bottom w:val="single" w:color="auto" w:sz="4" w:space="0"/>
            </w:tcBorders>
            <w:noWrap w:val="0"/>
            <w:vAlign w:val="center"/>
          </w:tcPr>
          <w:p>
            <w:pPr>
              <w:spacing w:line="300" w:lineRule="auto"/>
              <w:jc w:val="center"/>
              <w:rPr>
                <w:rFonts w:eastAsia="宋体"/>
                <w:szCs w:val="21"/>
              </w:rPr>
            </w:pPr>
            <w:r>
              <w:rPr>
                <w:rFonts w:eastAsia="宋体"/>
                <w:szCs w:val="21"/>
              </w:rPr>
              <w:t>资格评审标准</w:t>
            </w:r>
          </w:p>
        </w:tc>
        <w:tc>
          <w:tcPr>
            <w:tcW w:w="2170" w:type="dxa"/>
            <w:tcBorders>
              <w:top w:val="single" w:color="auto" w:sz="4" w:space="0"/>
              <w:bottom w:val="single" w:color="auto" w:sz="4" w:space="0"/>
            </w:tcBorders>
            <w:noWrap w:val="0"/>
            <w:vAlign w:val="center"/>
          </w:tcPr>
          <w:p>
            <w:pPr>
              <w:spacing w:line="300" w:lineRule="auto"/>
              <w:jc w:val="center"/>
              <w:rPr>
                <w:rFonts w:eastAsia="宋体"/>
                <w:szCs w:val="21"/>
              </w:rPr>
            </w:pPr>
            <w:r>
              <w:rPr>
                <w:rFonts w:eastAsia="宋体"/>
                <w:szCs w:val="21"/>
              </w:rPr>
              <w:t>营业执照和组织机构代码证</w:t>
            </w:r>
          </w:p>
        </w:tc>
        <w:tc>
          <w:tcPr>
            <w:tcW w:w="5587" w:type="dxa"/>
            <w:tcBorders>
              <w:top w:val="single" w:color="auto" w:sz="4" w:space="0"/>
              <w:bottom w:val="single" w:color="auto" w:sz="4" w:space="0"/>
              <w:right w:val="single" w:color="auto" w:sz="12" w:space="0"/>
            </w:tcBorders>
            <w:noWrap w:val="0"/>
            <w:vAlign w:val="center"/>
          </w:tcPr>
          <w:p>
            <w:pPr>
              <w:spacing w:line="300" w:lineRule="auto"/>
              <w:rPr>
                <w:rFonts w:eastAsia="宋体"/>
                <w:szCs w:val="21"/>
              </w:rPr>
            </w:pPr>
            <w:r>
              <w:rPr>
                <w:rFonts w:eastAsia="宋体"/>
                <w:szCs w:val="21"/>
              </w:rPr>
              <w:t>符合第二</w:t>
            </w:r>
            <w:r>
              <w:rPr>
                <w:rFonts w:ascii="宋体" w:hAnsi="宋体" w:eastAsia="宋体"/>
                <w:szCs w:val="21"/>
              </w:rPr>
              <w:t>章“投标人须知”</w:t>
            </w:r>
            <w:r>
              <w:rPr>
                <w:rFonts w:eastAsia="宋体"/>
                <w:szCs w:val="21"/>
              </w:rPr>
              <w:t>第3.5.1项规定，具备有效的营业执照和组织机构代码证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continue"/>
            <w:tcBorders>
              <w:top w:val="single" w:color="auto" w:sz="4" w:space="0"/>
              <w:left w:val="single" w:color="auto" w:sz="12" w:space="0"/>
              <w:bottom w:val="single" w:color="auto" w:sz="4" w:space="0"/>
            </w:tcBorders>
            <w:noWrap w:val="0"/>
            <w:vAlign w:val="center"/>
          </w:tcPr>
          <w:p>
            <w:pPr>
              <w:spacing w:line="300" w:lineRule="auto"/>
              <w:jc w:val="center"/>
              <w:rPr>
                <w:rFonts w:eastAsia="宋体"/>
                <w:szCs w:val="21"/>
              </w:rPr>
            </w:pPr>
          </w:p>
        </w:tc>
        <w:tc>
          <w:tcPr>
            <w:tcW w:w="1127" w:type="dxa"/>
            <w:gridSpan w:val="2"/>
            <w:vMerge w:val="continue"/>
            <w:tcBorders>
              <w:top w:val="single" w:color="auto" w:sz="4" w:space="0"/>
              <w:bottom w:val="single" w:color="auto" w:sz="4" w:space="0"/>
            </w:tcBorders>
            <w:noWrap w:val="0"/>
            <w:vAlign w:val="center"/>
          </w:tcPr>
          <w:p>
            <w:pPr>
              <w:spacing w:line="300" w:lineRule="auto"/>
              <w:jc w:val="center"/>
              <w:rPr>
                <w:rFonts w:eastAsia="宋体"/>
                <w:szCs w:val="21"/>
              </w:rPr>
            </w:pPr>
          </w:p>
        </w:tc>
        <w:tc>
          <w:tcPr>
            <w:tcW w:w="2170" w:type="dxa"/>
            <w:tcBorders>
              <w:top w:val="single" w:color="auto" w:sz="4" w:space="0"/>
              <w:bottom w:val="single" w:color="auto" w:sz="4" w:space="0"/>
            </w:tcBorders>
            <w:noWrap w:val="0"/>
            <w:vAlign w:val="center"/>
          </w:tcPr>
          <w:p>
            <w:pPr>
              <w:spacing w:line="300" w:lineRule="auto"/>
              <w:jc w:val="center"/>
              <w:rPr>
                <w:rFonts w:eastAsia="宋体"/>
                <w:szCs w:val="21"/>
              </w:rPr>
            </w:pPr>
            <w:r>
              <w:rPr>
                <w:rFonts w:eastAsia="宋体"/>
                <w:szCs w:val="21"/>
              </w:rPr>
              <w:t>资质要求</w:t>
            </w:r>
          </w:p>
        </w:tc>
        <w:tc>
          <w:tcPr>
            <w:tcW w:w="5587" w:type="dxa"/>
            <w:tcBorders>
              <w:top w:val="single" w:color="auto" w:sz="4" w:space="0"/>
              <w:bottom w:val="single" w:color="auto" w:sz="4" w:space="0"/>
              <w:right w:val="single" w:color="auto" w:sz="12" w:space="0"/>
            </w:tcBorders>
            <w:noWrap w:val="0"/>
            <w:vAlign w:val="center"/>
          </w:tcPr>
          <w:p>
            <w:pPr>
              <w:spacing w:line="300" w:lineRule="auto"/>
              <w:rPr>
                <w:rFonts w:eastAsia="宋体"/>
                <w:szCs w:val="21"/>
              </w:rPr>
            </w:pPr>
            <w:r>
              <w:rPr>
                <w:rFonts w:eastAsia="宋体"/>
                <w:szCs w:val="21"/>
              </w:rPr>
              <w:t>符合第</w:t>
            </w:r>
            <w:r>
              <w:rPr>
                <w:rFonts w:ascii="宋体" w:hAnsi="宋体" w:eastAsia="宋体"/>
                <w:szCs w:val="21"/>
              </w:rPr>
              <w:t>二章“投标人须知”第</w:t>
            </w:r>
            <w:r>
              <w:rPr>
                <w:rFonts w:eastAsia="宋体"/>
                <w:szCs w:val="21"/>
              </w:rPr>
              <w:t>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continue"/>
            <w:tcBorders>
              <w:top w:val="single" w:color="auto" w:sz="4" w:space="0"/>
              <w:left w:val="single" w:color="auto" w:sz="12" w:space="0"/>
              <w:bottom w:val="single" w:color="auto" w:sz="4" w:space="0"/>
            </w:tcBorders>
            <w:noWrap w:val="0"/>
            <w:vAlign w:val="center"/>
          </w:tcPr>
          <w:p>
            <w:pPr>
              <w:spacing w:line="300" w:lineRule="auto"/>
              <w:jc w:val="center"/>
              <w:rPr>
                <w:rFonts w:eastAsia="宋体"/>
                <w:szCs w:val="21"/>
              </w:rPr>
            </w:pPr>
          </w:p>
        </w:tc>
        <w:tc>
          <w:tcPr>
            <w:tcW w:w="1127" w:type="dxa"/>
            <w:gridSpan w:val="2"/>
            <w:vMerge w:val="continue"/>
            <w:tcBorders>
              <w:top w:val="single" w:color="auto" w:sz="4" w:space="0"/>
              <w:bottom w:val="single" w:color="auto" w:sz="4" w:space="0"/>
            </w:tcBorders>
            <w:noWrap w:val="0"/>
            <w:vAlign w:val="center"/>
          </w:tcPr>
          <w:p>
            <w:pPr>
              <w:spacing w:line="300" w:lineRule="auto"/>
              <w:jc w:val="center"/>
              <w:rPr>
                <w:rFonts w:eastAsia="宋体"/>
                <w:szCs w:val="21"/>
              </w:rPr>
            </w:pPr>
          </w:p>
        </w:tc>
        <w:tc>
          <w:tcPr>
            <w:tcW w:w="2170" w:type="dxa"/>
            <w:tcBorders>
              <w:top w:val="single" w:color="auto" w:sz="4" w:space="0"/>
              <w:bottom w:val="single" w:color="auto" w:sz="4" w:space="0"/>
            </w:tcBorders>
            <w:noWrap w:val="0"/>
            <w:vAlign w:val="center"/>
          </w:tcPr>
          <w:p>
            <w:pPr>
              <w:spacing w:line="300" w:lineRule="auto"/>
              <w:jc w:val="center"/>
              <w:rPr>
                <w:rFonts w:eastAsia="宋体"/>
                <w:szCs w:val="21"/>
              </w:rPr>
            </w:pPr>
            <w:r>
              <w:rPr>
                <w:rFonts w:eastAsia="宋体"/>
                <w:szCs w:val="21"/>
              </w:rPr>
              <w:t>财务要求</w:t>
            </w:r>
          </w:p>
        </w:tc>
        <w:tc>
          <w:tcPr>
            <w:tcW w:w="5587" w:type="dxa"/>
            <w:tcBorders>
              <w:top w:val="single" w:color="auto" w:sz="4" w:space="0"/>
              <w:bottom w:val="single" w:color="auto" w:sz="4" w:space="0"/>
              <w:right w:val="single" w:color="auto" w:sz="12" w:space="0"/>
            </w:tcBorders>
            <w:noWrap w:val="0"/>
            <w:vAlign w:val="center"/>
          </w:tcPr>
          <w:p>
            <w:pPr>
              <w:spacing w:line="300" w:lineRule="auto"/>
              <w:rPr>
                <w:rFonts w:eastAsia="宋体"/>
                <w:szCs w:val="21"/>
              </w:rPr>
            </w:pPr>
            <w:r>
              <w:rPr>
                <w:rFonts w:eastAsia="宋体"/>
                <w:szCs w:val="21"/>
              </w:rPr>
              <w:t>符合第二章</w:t>
            </w:r>
            <w:r>
              <w:rPr>
                <w:rFonts w:ascii="宋体" w:hAnsi="宋体" w:eastAsia="宋体"/>
                <w:szCs w:val="21"/>
              </w:rPr>
              <w:t>“投标人须知”第</w:t>
            </w:r>
            <w:r>
              <w:rPr>
                <w:rFonts w:eastAsia="宋体"/>
                <w:szCs w:val="21"/>
              </w:rPr>
              <w:t>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continue"/>
            <w:tcBorders>
              <w:top w:val="single" w:color="auto" w:sz="4" w:space="0"/>
              <w:left w:val="single" w:color="auto" w:sz="12" w:space="0"/>
              <w:bottom w:val="single" w:color="auto" w:sz="4" w:space="0"/>
            </w:tcBorders>
            <w:noWrap w:val="0"/>
            <w:vAlign w:val="center"/>
          </w:tcPr>
          <w:p>
            <w:pPr>
              <w:spacing w:line="300" w:lineRule="auto"/>
              <w:jc w:val="center"/>
              <w:rPr>
                <w:rFonts w:eastAsia="宋体"/>
                <w:szCs w:val="21"/>
              </w:rPr>
            </w:pPr>
          </w:p>
        </w:tc>
        <w:tc>
          <w:tcPr>
            <w:tcW w:w="1127" w:type="dxa"/>
            <w:gridSpan w:val="2"/>
            <w:vMerge w:val="continue"/>
            <w:tcBorders>
              <w:top w:val="single" w:color="auto" w:sz="4" w:space="0"/>
              <w:bottom w:val="single" w:color="auto" w:sz="4" w:space="0"/>
            </w:tcBorders>
            <w:noWrap w:val="0"/>
            <w:vAlign w:val="center"/>
          </w:tcPr>
          <w:p>
            <w:pPr>
              <w:spacing w:line="300" w:lineRule="auto"/>
              <w:jc w:val="center"/>
              <w:rPr>
                <w:rFonts w:eastAsia="宋体"/>
                <w:szCs w:val="21"/>
              </w:rPr>
            </w:pPr>
          </w:p>
        </w:tc>
        <w:tc>
          <w:tcPr>
            <w:tcW w:w="2170" w:type="dxa"/>
            <w:tcBorders>
              <w:top w:val="single" w:color="auto" w:sz="4" w:space="0"/>
              <w:bottom w:val="single" w:color="auto" w:sz="4" w:space="0"/>
            </w:tcBorders>
            <w:noWrap w:val="0"/>
            <w:vAlign w:val="center"/>
          </w:tcPr>
          <w:p>
            <w:pPr>
              <w:spacing w:line="300" w:lineRule="auto"/>
              <w:jc w:val="center"/>
              <w:rPr>
                <w:rFonts w:eastAsia="宋体"/>
                <w:szCs w:val="21"/>
              </w:rPr>
            </w:pPr>
            <w:r>
              <w:rPr>
                <w:rFonts w:eastAsia="宋体"/>
                <w:szCs w:val="21"/>
              </w:rPr>
              <w:t>业绩要求</w:t>
            </w:r>
          </w:p>
        </w:tc>
        <w:tc>
          <w:tcPr>
            <w:tcW w:w="5587" w:type="dxa"/>
            <w:tcBorders>
              <w:top w:val="single" w:color="auto" w:sz="4" w:space="0"/>
              <w:bottom w:val="single" w:color="auto" w:sz="4" w:space="0"/>
              <w:right w:val="single" w:color="auto" w:sz="12" w:space="0"/>
            </w:tcBorders>
            <w:noWrap w:val="0"/>
            <w:vAlign w:val="center"/>
          </w:tcPr>
          <w:p>
            <w:pPr>
              <w:spacing w:line="300" w:lineRule="auto"/>
              <w:rPr>
                <w:rFonts w:eastAsia="宋体"/>
                <w:szCs w:val="21"/>
              </w:rPr>
            </w:pPr>
            <w:r>
              <w:rPr>
                <w:rFonts w:eastAsia="宋体"/>
                <w:szCs w:val="21"/>
              </w:rPr>
              <w:t>符合第二</w:t>
            </w:r>
            <w:r>
              <w:rPr>
                <w:rFonts w:ascii="宋体" w:hAnsi="宋体" w:eastAsia="宋体"/>
                <w:szCs w:val="21"/>
              </w:rPr>
              <w:t>章“投标人须知”第</w:t>
            </w:r>
            <w:r>
              <w:rPr>
                <w:rFonts w:eastAsia="宋体"/>
                <w:szCs w:val="21"/>
              </w:rPr>
              <w:t>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continue"/>
            <w:tcBorders>
              <w:top w:val="single" w:color="auto" w:sz="4" w:space="0"/>
              <w:left w:val="single" w:color="auto" w:sz="12" w:space="0"/>
              <w:bottom w:val="single" w:color="auto" w:sz="4" w:space="0"/>
            </w:tcBorders>
            <w:noWrap w:val="0"/>
            <w:vAlign w:val="center"/>
          </w:tcPr>
          <w:p>
            <w:pPr>
              <w:spacing w:line="300" w:lineRule="auto"/>
              <w:jc w:val="center"/>
              <w:rPr>
                <w:rFonts w:eastAsia="宋体"/>
                <w:szCs w:val="21"/>
              </w:rPr>
            </w:pPr>
          </w:p>
        </w:tc>
        <w:tc>
          <w:tcPr>
            <w:tcW w:w="1127" w:type="dxa"/>
            <w:gridSpan w:val="2"/>
            <w:vMerge w:val="continue"/>
            <w:tcBorders>
              <w:top w:val="single" w:color="auto" w:sz="4" w:space="0"/>
              <w:bottom w:val="single" w:color="auto" w:sz="4" w:space="0"/>
            </w:tcBorders>
            <w:noWrap w:val="0"/>
            <w:vAlign w:val="center"/>
          </w:tcPr>
          <w:p>
            <w:pPr>
              <w:spacing w:line="300" w:lineRule="auto"/>
              <w:jc w:val="center"/>
              <w:rPr>
                <w:rFonts w:eastAsia="宋体"/>
                <w:szCs w:val="21"/>
              </w:rPr>
            </w:pPr>
          </w:p>
        </w:tc>
        <w:tc>
          <w:tcPr>
            <w:tcW w:w="2170" w:type="dxa"/>
            <w:tcBorders>
              <w:top w:val="single" w:color="auto" w:sz="4" w:space="0"/>
              <w:bottom w:val="single" w:color="auto" w:sz="4" w:space="0"/>
            </w:tcBorders>
            <w:noWrap w:val="0"/>
            <w:vAlign w:val="center"/>
          </w:tcPr>
          <w:p>
            <w:pPr>
              <w:spacing w:line="300" w:lineRule="auto"/>
              <w:jc w:val="center"/>
              <w:rPr>
                <w:rFonts w:eastAsia="宋体"/>
                <w:szCs w:val="21"/>
              </w:rPr>
            </w:pPr>
            <w:r>
              <w:rPr>
                <w:rFonts w:eastAsia="宋体"/>
                <w:szCs w:val="21"/>
              </w:rPr>
              <w:t>信誉要求</w:t>
            </w:r>
          </w:p>
        </w:tc>
        <w:tc>
          <w:tcPr>
            <w:tcW w:w="5587" w:type="dxa"/>
            <w:tcBorders>
              <w:top w:val="single" w:color="auto" w:sz="4" w:space="0"/>
              <w:bottom w:val="single" w:color="auto" w:sz="4" w:space="0"/>
              <w:right w:val="single" w:color="auto" w:sz="12" w:space="0"/>
            </w:tcBorders>
            <w:noWrap w:val="0"/>
            <w:vAlign w:val="center"/>
          </w:tcPr>
          <w:p>
            <w:pPr>
              <w:spacing w:line="300" w:lineRule="auto"/>
              <w:rPr>
                <w:rFonts w:eastAsia="宋体"/>
                <w:szCs w:val="21"/>
              </w:rPr>
            </w:pPr>
            <w:r>
              <w:rPr>
                <w:rFonts w:eastAsia="宋体"/>
                <w:szCs w:val="21"/>
              </w:rPr>
              <w:t>符合第二</w:t>
            </w:r>
            <w:r>
              <w:rPr>
                <w:rFonts w:ascii="宋体" w:hAnsi="宋体" w:eastAsia="宋体"/>
                <w:szCs w:val="21"/>
              </w:rPr>
              <w:t>章“投标人须知”第</w:t>
            </w:r>
            <w:r>
              <w:rPr>
                <w:rFonts w:eastAsia="宋体"/>
                <w:szCs w:val="21"/>
              </w:rPr>
              <w:t>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continue"/>
            <w:tcBorders>
              <w:top w:val="single" w:color="auto" w:sz="4" w:space="0"/>
              <w:left w:val="single" w:color="auto" w:sz="12" w:space="0"/>
              <w:bottom w:val="single" w:color="auto" w:sz="4" w:space="0"/>
            </w:tcBorders>
            <w:noWrap w:val="0"/>
            <w:vAlign w:val="center"/>
          </w:tcPr>
          <w:p>
            <w:pPr>
              <w:spacing w:line="300" w:lineRule="auto"/>
              <w:jc w:val="center"/>
              <w:rPr>
                <w:rFonts w:eastAsia="宋体"/>
                <w:szCs w:val="21"/>
              </w:rPr>
            </w:pPr>
          </w:p>
        </w:tc>
        <w:tc>
          <w:tcPr>
            <w:tcW w:w="1127" w:type="dxa"/>
            <w:gridSpan w:val="2"/>
            <w:vMerge w:val="continue"/>
            <w:tcBorders>
              <w:top w:val="single" w:color="auto" w:sz="4" w:space="0"/>
              <w:bottom w:val="single" w:color="auto" w:sz="4" w:space="0"/>
            </w:tcBorders>
            <w:noWrap w:val="0"/>
            <w:vAlign w:val="center"/>
          </w:tcPr>
          <w:p>
            <w:pPr>
              <w:spacing w:line="300" w:lineRule="auto"/>
              <w:jc w:val="center"/>
              <w:rPr>
                <w:rFonts w:eastAsia="宋体"/>
                <w:szCs w:val="21"/>
              </w:rPr>
            </w:pPr>
          </w:p>
        </w:tc>
        <w:tc>
          <w:tcPr>
            <w:tcW w:w="2170" w:type="dxa"/>
            <w:tcBorders>
              <w:top w:val="single" w:color="auto" w:sz="4" w:space="0"/>
              <w:bottom w:val="single" w:color="auto" w:sz="4" w:space="0"/>
            </w:tcBorders>
            <w:noWrap w:val="0"/>
            <w:vAlign w:val="center"/>
          </w:tcPr>
          <w:p>
            <w:pPr>
              <w:spacing w:line="300" w:lineRule="auto"/>
              <w:jc w:val="center"/>
              <w:rPr>
                <w:rFonts w:eastAsia="宋体"/>
                <w:szCs w:val="21"/>
              </w:rPr>
            </w:pPr>
            <w:r>
              <w:rPr>
                <w:rFonts w:hint="eastAsia" w:eastAsia="宋体"/>
                <w:szCs w:val="21"/>
              </w:rPr>
              <w:t>人员</w:t>
            </w:r>
            <w:r>
              <w:rPr>
                <w:rFonts w:eastAsia="宋体"/>
                <w:szCs w:val="21"/>
              </w:rPr>
              <w:t>要求</w:t>
            </w:r>
          </w:p>
        </w:tc>
        <w:tc>
          <w:tcPr>
            <w:tcW w:w="5587" w:type="dxa"/>
            <w:tcBorders>
              <w:top w:val="single" w:color="auto" w:sz="4" w:space="0"/>
              <w:bottom w:val="single" w:color="auto" w:sz="4" w:space="0"/>
              <w:right w:val="single" w:color="auto" w:sz="12" w:space="0"/>
            </w:tcBorders>
            <w:noWrap w:val="0"/>
            <w:vAlign w:val="center"/>
          </w:tcPr>
          <w:p>
            <w:pPr>
              <w:spacing w:line="300" w:lineRule="auto"/>
              <w:rPr>
                <w:rFonts w:eastAsia="宋体"/>
                <w:szCs w:val="21"/>
              </w:rPr>
            </w:pPr>
            <w:r>
              <w:rPr>
                <w:rFonts w:eastAsia="宋体"/>
                <w:szCs w:val="21"/>
              </w:rPr>
              <w:t>符合第二章</w:t>
            </w:r>
            <w:r>
              <w:rPr>
                <w:rFonts w:ascii="宋体" w:hAnsi="宋体" w:eastAsia="宋体"/>
                <w:szCs w:val="21"/>
              </w:rPr>
              <w:t>“投标人须知”</w:t>
            </w:r>
            <w:r>
              <w:rPr>
                <w:rFonts w:eastAsia="宋体"/>
                <w:szCs w:val="21"/>
              </w:rPr>
              <w:t>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continue"/>
            <w:tcBorders>
              <w:top w:val="single" w:color="auto" w:sz="4" w:space="0"/>
              <w:left w:val="single" w:color="auto" w:sz="12" w:space="0"/>
              <w:bottom w:val="single" w:color="auto" w:sz="4" w:space="0"/>
            </w:tcBorders>
            <w:noWrap w:val="0"/>
            <w:vAlign w:val="center"/>
          </w:tcPr>
          <w:p>
            <w:pPr>
              <w:spacing w:line="300" w:lineRule="auto"/>
              <w:jc w:val="center"/>
              <w:rPr>
                <w:rFonts w:eastAsia="宋体"/>
                <w:szCs w:val="21"/>
              </w:rPr>
            </w:pPr>
          </w:p>
        </w:tc>
        <w:tc>
          <w:tcPr>
            <w:tcW w:w="1127" w:type="dxa"/>
            <w:gridSpan w:val="2"/>
            <w:vMerge w:val="continue"/>
            <w:tcBorders>
              <w:top w:val="single" w:color="auto" w:sz="4" w:space="0"/>
              <w:bottom w:val="single" w:color="auto" w:sz="4" w:space="0"/>
            </w:tcBorders>
            <w:noWrap w:val="0"/>
            <w:vAlign w:val="center"/>
          </w:tcPr>
          <w:p>
            <w:pPr>
              <w:spacing w:line="300" w:lineRule="auto"/>
              <w:jc w:val="center"/>
              <w:rPr>
                <w:rFonts w:eastAsia="宋体"/>
                <w:szCs w:val="21"/>
              </w:rPr>
            </w:pPr>
          </w:p>
        </w:tc>
        <w:tc>
          <w:tcPr>
            <w:tcW w:w="2170" w:type="dxa"/>
            <w:tcBorders>
              <w:top w:val="single" w:color="auto" w:sz="4" w:space="0"/>
              <w:bottom w:val="single" w:color="auto" w:sz="4" w:space="0"/>
            </w:tcBorders>
            <w:noWrap w:val="0"/>
            <w:vAlign w:val="center"/>
          </w:tcPr>
          <w:p>
            <w:pPr>
              <w:spacing w:line="300" w:lineRule="auto"/>
              <w:jc w:val="center"/>
              <w:rPr>
                <w:rFonts w:eastAsia="宋体"/>
                <w:szCs w:val="21"/>
              </w:rPr>
            </w:pPr>
            <w:r>
              <w:rPr>
                <w:rFonts w:eastAsia="宋体"/>
                <w:szCs w:val="21"/>
              </w:rPr>
              <w:t>联合体投标人</w:t>
            </w:r>
          </w:p>
        </w:tc>
        <w:tc>
          <w:tcPr>
            <w:tcW w:w="5587" w:type="dxa"/>
            <w:tcBorders>
              <w:top w:val="single" w:color="auto" w:sz="4" w:space="0"/>
              <w:bottom w:val="single" w:color="auto" w:sz="4" w:space="0"/>
              <w:right w:val="single" w:color="auto" w:sz="12" w:space="0"/>
            </w:tcBorders>
            <w:noWrap w:val="0"/>
            <w:vAlign w:val="center"/>
          </w:tcPr>
          <w:p>
            <w:pPr>
              <w:spacing w:line="300" w:lineRule="auto"/>
              <w:rPr>
                <w:rFonts w:eastAsia="宋体"/>
                <w:szCs w:val="21"/>
              </w:rPr>
            </w:pPr>
            <w:r>
              <w:rPr>
                <w:rFonts w:eastAsia="宋体"/>
                <w:szCs w:val="21"/>
              </w:rPr>
              <w:t>符合第二章</w:t>
            </w:r>
            <w:r>
              <w:rPr>
                <w:rFonts w:ascii="宋体" w:hAnsi="宋体" w:eastAsia="宋体"/>
                <w:szCs w:val="21"/>
              </w:rPr>
              <w:t>“投标人须知”第</w:t>
            </w:r>
            <w:r>
              <w:rPr>
                <w:rFonts w:eastAsia="宋体"/>
                <w:szCs w:val="21"/>
              </w:rPr>
              <w:t>1.4.2项规定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continue"/>
            <w:tcBorders>
              <w:top w:val="single" w:color="auto" w:sz="4" w:space="0"/>
              <w:left w:val="single" w:color="auto" w:sz="12" w:space="0"/>
              <w:bottom w:val="single" w:color="auto" w:sz="4" w:space="0"/>
            </w:tcBorders>
            <w:noWrap w:val="0"/>
            <w:vAlign w:val="center"/>
          </w:tcPr>
          <w:p>
            <w:pPr>
              <w:spacing w:line="300" w:lineRule="auto"/>
              <w:jc w:val="center"/>
              <w:rPr>
                <w:rFonts w:eastAsia="宋体"/>
                <w:szCs w:val="21"/>
              </w:rPr>
            </w:pPr>
          </w:p>
        </w:tc>
        <w:tc>
          <w:tcPr>
            <w:tcW w:w="1127" w:type="dxa"/>
            <w:gridSpan w:val="2"/>
            <w:vMerge w:val="continue"/>
            <w:tcBorders>
              <w:top w:val="single" w:color="auto" w:sz="4" w:space="0"/>
              <w:bottom w:val="single" w:color="auto" w:sz="4" w:space="0"/>
            </w:tcBorders>
            <w:noWrap w:val="0"/>
            <w:vAlign w:val="center"/>
          </w:tcPr>
          <w:p>
            <w:pPr>
              <w:spacing w:line="300" w:lineRule="auto"/>
              <w:jc w:val="center"/>
              <w:rPr>
                <w:rFonts w:eastAsia="宋体"/>
                <w:szCs w:val="21"/>
              </w:rPr>
            </w:pPr>
          </w:p>
        </w:tc>
        <w:tc>
          <w:tcPr>
            <w:tcW w:w="2170" w:type="dxa"/>
            <w:tcBorders>
              <w:top w:val="single" w:color="auto" w:sz="4" w:space="0"/>
              <w:bottom w:val="single" w:color="auto" w:sz="4" w:space="0"/>
            </w:tcBorders>
            <w:noWrap w:val="0"/>
            <w:vAlign w:val="center"/>
          </w:tcPr>
          <w:p>
            <w:pPr>
              <w:spacing w:line="300" w:lineRule="auto"/>
              <w:jc w:val="center"/>
              <w:rPr>
                <w:rFonts w:eastAsia="宋体"/>
                <w:szCs w:val="21"/>
              </w:rPr>
            </w:pPr>
            <w:r>
              <w:rPr>
                <w:rFonts w:eastAsia="宋体"/>
                <w:szCs w:val="21"/>
              </w:rPr>
              <w:t>不存在禁止投标的情形</w:t>
            </w:r>
          </w:p>
        </w:tc>
        <w:tc>
          <w:tcPr>
            <w:tcW w:w="5587" w:type="dxa"/>
            <w:tcBorders>
              <w:top w:val="single" w:color="auto" w:sz="4" w:space="0"/>
              <w:bottom w:val="single" w:color="auto" w:sz="4" w:space="0"/>
              <w:right w:val="single" w:color="auto" w:sz="12" w:space="0"/>
            </w:tcBorders>
            <w:noWrap w:val="0"/>
            <w:vAlign w:val="center"/>
          </w:tcPr>
          <w:p>
            <w:pPr>
              <w:spacing w:line="300" w:lineRule="auto"/>
              <w:rPr>
                <w:rFonts w:eastAsia="宋体"/>
                <w:szCs w:val="21"/>
              </w:rPr>
            </w:pPr>
            <w:r>
              <w:rPr>
                <w:rFonts w:eastAsia="宋体"/>
                <w:szCs w:val="21"/>
              </w:rPr>
              <w:t>不存在第二</w:t>
            </w:r>
            <w:r>
              <w:rPr>
                <w:rFonts w:ascii="宋体" w:hAnsi="宋体" w:eastAsia="宋体"/>
                <w:szCs w:val="21"/>
              </w:rPr>
              <w:t>章“投标人须知”第</w:t>
            </w:r>
            <w:r>
              <w:rPr>
                <w:rFonts w:eastAsia="宋体"/>
                <w:szCs w:val="21"/>
              </w:rPr>
              <w:t>1.4.3项规定的任何一种情形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restart"/>
            <w:tcBorders>
              <w:top w:val="single" w:color="auto" w:sz="4" w:space="0"/>
              <w:left w:val="single" w:color="auto" w:sz="12" w:space="0"/>
              <w:bottom w:val="single" w:color="auto" w:sz="4" w:space="0"/>
            </w:tcBorders>
            <w:noWrap w:val="0"/>
            <w:vAlign w:val="center"/>
          </w:tcPr>
          <w:p>
            <w:pPr>
              <w:spacing w:line="300" w:lineRule="auto"/>
              <w:jc w:val="center"/>
              <w:rPr>
                <w:rFonts w:eastAsia="宋体"/>
                <w:szCs w:val="21"/>
              </w:rPr>
            </w:pPr>
            <w:r>
              <w:rPr>
                <w:rFonts w:eastAsia="宋体"/>
                <w:szCs w:val="21"/>
              </w:rPr>
              <w:t>2.1.3</w:t>
            </w:r>
          </w:p>
        </w:tc>
        <w:tc>
          <w:tcPr>
            <w:tcW w:w="1127" w:type="dxa"/>
            <w:gridSpan w:val="2"/>
            <w:vMerge w:val="restart"/>
            <w:tcBorders>
              <w:top w:val="single" w:color="auto" w:sz="4" w:space="0"/>
              <w:bottom w:val="single" w:color="auto" w:sz="4" w:space="0"/>
            </w:tcBorders>
            <w:noWrap w:val="0"/>
            <w:vAlign w:val="center"/>
          </w:tcPr>
          <w:p>
            <w:pPr>
              <w:spacing w:line="300" w:lineRule="auto"/>
              <w:jc w:val="center"/>
              <w:rPr>
                <w:rFonts w:eastAsia="宋体"/>
                <w:szCs w:val="21"/>
              </w:rPr>
            </w:pPr>
            <w:r>
              <w:rPr>
                <w:rFonts w:eastAsia="宋体"/>
                <w:szCs w:val="21"/>
              </w:rPr>
              <w:t>响应性评审标准</w:t>
            </w:r>
          </w:p>
        </w:tc>
        <w:tc>
          <w:tcPr>
            <w:tcW w:w="2170" w:type="dxa"/>
            <w:tcBorders>
              <w:top w:val="single" w:color="auto" w:sz="4" w:space="0"/>
              <w:bottom w:val="single" w:color="auto" w:sz="4" w:space="0"/>
            </w:tcBorders>
            <w:noWrap w:val="0"/>
            <w:vAlign w:val="center"/>
          </w:tcPr>
          <w:p>
            <w:pPr>
              <w:spacing w:line="300" w:lineRule="auto"/>
              <w:jc w:val="center"/>
              <w:rPr>
                <w:rFonts w:eastAsia="宋体"/>
                <w:szCs w:val="21"/>
              </w:rPr>
            </w:pPr>
            <w:r>
              <w:rPr>
                <w:rFonts w:eastAsia="宋体"/>
                <w:szCs w:val="21"/>
              </w:rPr>
              <w:t>投标报价</w:t>
            </w:r>
          </w:p>
        </w:tc>
        <w:tc>
          <w:tcPr>
            <w:tcW w:w="5587" w:type="dxa"/>
            <w:tcBorders>
              <w:top w:val="single" w:color="auto" w:sz="4" w:space="0"/>
              <w:bottom w:val="single" w:color="auto" w:sz="4" w:space="0"/>
              <w:right w:val="single" w:color="auto" w:sz="12" w:space="0"/>
            </w:tcBorders>
            <w:noWrap w:val="0"/>
            <w:vAlign w:val="center"/>
          </w:tcPr>
          <w:p>
            <w:pPr>
              <w:spacing w:line="300" w:lineRule="auto"/>
              <w:rPr>
                <w:rFonts w:eastAsia="宋体"/>
                <w:szCs w:val="21"/>
              </w:rPr>
            </w:pPr>
            <w:r>
              <w:rPr>
                <w:rFonts w:eastAsia="宋体"/>
                <w:bCs/>
                <w:szCs w:val="21"/>
              </w:rPr>
              <w:t>符合第二章</w:t>
            </w:r>
            <w:r>
              <w:rPr>
                <w:rFonts w:ascii="宋体" w:hAnsi="宋体" w:eastAsia="宋体"/>
                <w:szCs w:val="21"/>
              </w:rPr>
              <w:t>“投标人须知”第</w:t>
            </w:r>
            <w:r>
              <w:rPr>
                <w:rFonts w:eastAsia="宋体"/>
                <w:bCs/>
                <w:szCs w:val="21"/>
              </w:rPr>
              <w:t>3.2款规定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continue"/>
            <w:tcBorders>
              <w:top w:val="single" w:color="auto" w:sz="4" w:space="0"/>
              <w:left w:val="single" w:color="auto" w:sz="12" w:space="0"/>
              <w:bottom w:val="single" w:color="auto" w:sz="4" w:space="0"/>
            </w:tcBorders>
            <w:noWrap w:val="0"/>
            <w:vAlign w:val="center"/>
          </w:tcPr>
          <w:p>
            <w:pPr>
              <w:spacing w:line="300" w:lineRule="auto"/>
              <w:jc w:val="center"/>
              <w:rPr>
                <w:rFonts w:eastAsia="宋体"/>
                <w:szCs w:val="21"/>
              </w:rPr>
            </w:pPr>
          </w:p>
        </w:tc>
        <w:tc>
          <w:tcPr>
            <w:tcW w:w="1127" w:type="dxa"/>
            <w:gridSpan w:val="2"/>
            <w:vMerge w:val="continue"/>
            <w:tcBorders>
              <w:top w:val="single" w:color="auto" w:sz="4" w:space="0"/>
              <w:bottom w:val="single" w:color="auto" w:sz="4" w:space="0"/>
            </w:tcBorders>
            <w:noWrap w:val="0"/>
            <w:vAlign w:val="center"/>
          </w:tcPr>
          <w:p>
            <w:pPr>
              <w:spacing w:line="300" w:lineRule="auto"/>
              <w:jc w:val="center"/>
              <w:rPr>
                <w:rFonts w:eastAsia="宋体"/>
                <w:szCs w:val="21"/>
              </w:rPr>
            </w:pPr>
          </w:p>
        </w:tc>
        <w:tc>
          <w:tcPr>
            <w:tcW w:w="2170" w:type="dxa"/>
            <w:tcBorders>
              <w:top w:val="single" w:color="auto" w:sz="4" w:space="0"/>
              <w:bottom w:val="single" w:color="auto" w:sz="4" w:space="0"/>
            </w:tcBorders>
            <w:noWrap w:val="0"/>
            <w:vAlign w:val="center"/>
          </w:tcPr>
          <w:p>
            <w:pPr>
              <w:spacing w:line="300" w:lineRule="auto"/>
              <w:jc w:val="center"/>
              <w:rPr>
                <w:rFonts w:eastAsia="宋体"/>
                <w:szCs w:val="21"/>
              </w:rPr>
            </w:pPr>
            <w:r>
              <w:rPr>
                <w:rFonts w:eastAsia="宋体"/>
                <w:szCs w:val="21"/>
              </w:rPr>
              <w:t>投标内容</w:t>
            </w:r>
          </w:p>
        </w:tc>
        <w:tc>
          <w:tcPr>
            <w:tcW w:w="5587" w:type="dxa"/>
            <w:tcBorders>
              <w:top w:val="single" w:color="auto" w:sz="4" w:space="0"/>
              <w:bottom w:val="single" w:color="auto" w:sz="4" w:space="0"/>
              <w:right w:val="single" w:color="auto" w:sz="12" w:space="0"/>
            </w:tcBorders>
            <w:noWrap w:val="0"/>
            <w:vAlign w:val="center"/>
          </w:tcPr>
          <w:p>
            <w:pPr>
              <w:spacing w:line="300" w:lineRule="auto"/>
              <w:rPr>
                <w:rFonts w:eastAsia="宋体"/>
                <w:szCs w:val="21"/>
              </w:rPr>
            </w:pPr>
            <w:r>
              <w:rPr>
                <w:rFonts w:eastAsia="宋体"/>
                <w:szCs w:val="21"/>
              </w:rPr>
              <w:t>符合第二章</w:t>
            </w:r>
            <w:r>
              <w:rPr>
                <w:rFonts w:ascii="宋体" w:hAnsi="宋体" w:eastAsia="宋体"/>
                <w:szCs w:val="21"/>
              </w:rPr>
              <w:t>“投标人须知”第</w:t>
            </w:r>
            <w:r>
              <w:rPr>
                <w:rFonts w:eastAsia="宋体"/>
                <w:szCs w:val="21"/>
              </w:rPr>
              <w:t>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continue"/>
            <w:tcBorders>
              <w:top w:val="single" w:color="auto" w:sz="4" w:space="0"/>
              <w:left w:val="single" w:color="auto" w:sz="12" w:space="0"/>
              <w:bottom w:val="single" w:color="auto" w:sz="4" w:space="0"/>
            </w:tcBorders>
            <w:noWrap w:val="0"/>
            <w:vAlign w:val="center"/>
          </w:tcPr>
          <w:p>
            <w:pPr>
              <w:spacing w:line="300" w:lineRule="auto"/>
              <w:jc w:val="center"/>
              <w:rPr>
                <w:rFonts w:eastAsia="宋体"/>
                <w:szCs w:val="21"/>
              </w:rPr>
            </w:pPr>
          </w:p>
        </w:tc>
        <w:tc>
          <w:tcPr>
            <w:tcW w:w="1127" w:type="dxa"/>
            <w:gridSpan w:val="2"/>
            <w:vMerge w:val="continue"/>
            <w:tcBorders>
              <w:top w:val="single" w:color="auto" w:sz="4" w:space="0"/>
              <w:bottom w:val="single" w:color="auto" w:sz="4" w:space="0"/>
            </w:tcBorders>
            <w:noWrap w:val="0"/>
            <w:vAlign w:val="center"/>
          </w:tcPr>
          <w:p>
            <w:pPr>
              <w:spacing w:line="300" w:lineRule="auto"/>
              <w:jc w:val="center"/>
              <w:rPr>
                <w:rFonts w:eastAsia="宋体"/>
                <w:szCs w:val="21"/>
              </w:rPr>
            </w:pPr>
          </w:p>
        </w:tc>
        <w:tc>
          <w:tcPr>
            <w:tcW w:w="2170" w:type="dxa"/>
            <w:tcBorders>
              <w:top w:val="single" w:color="auto" w:sz="4" w:space="0"/>
              <w:bottom w:val="single" w:color="auto" w:sz="4" w:space="0"/>
            </w:tcBorders>
            <w:noWrap w:val="0"/>
            <w:vAlign w:val="center"/>
          </w:tcPr>
          <w:p>
            <w:pPr>
              <w:spacing w:line="300" w:lineRule="auto"/>
              <w:jc w:val="center"/>
              <w:rPr>
                <w:rFonts w:eastAsia="宋体"/>
                <w:szCs w:val="21"/>
              </w:rPr>
            </w:pPr>
            <w:r>
              <w:rPr>
                <w:rFonts w:hint="eastAsia" w:eastAsia="宋体"/>
                <w:szCs w:val="21"/>
              </w:rPr>
              <w:t>工</w:t>
            </w:r>
            <w:r>
              <w:rPr>
                <w:rFonts w:eastAsia="宋体"/>
                <w:szCs w:val="21"/>
              </w:rPr>
              <w:t>期</w:t>
            </w:r>
          </w:p>
        </w:tc>
        <w:tc>
          <w:tcPr>
            <w:tcW w:w="5587" w:type="dxa"/>
            <w:tcBorders>
              <w:top w:val="single" w:color="auto" w:sz="4" w:space="0"/>
              <w:bottom w:val="single" w:color="auto" w:sz="4" w:space="0"/>
              <w:right w:val="single" w:color="auto" w:sz="12" w:space="0"/>
            </w:tcBorders>
            <w:noWrap w:val="0"/>
            <w:vAlign w:val="center"/>
          </w:tcPr>
          <w:p>
            <w:pPr>
              <w:spacing w:line="300" w:lineRule="auto"/>
              <w:rPr>
                <w:rFonts w:eastAsia="宋体"/>
                <w:szCs w:val="21"/>
              </w:rPr>
            </w:pPr>
            <w:r>
              <w:rPr>
                <w:rFonts w:eastAsia="宋体"/>
                <w:bCs/>
                <w:szCs w:val="21"/>
              </w:rPr>
              <w:t>符合第二章</w:t>
            </w:r>
            <w:r>
              <w:rPr>
                <w:rFonts w:ascii="宋体" w:hAnsi="宋体" w:eastAsia="宋体"/>
                <w:szCs w:val="21"/>
              </w:rPr>
              <w:t>“投标人须知”第</w:t>
            </w:r>
            <w:r>
              <w:rPr>
                <w:rFonts w:eastAsia="宋体"/>
                <w:bCs/>
                <w:szCs w:val="21"/>
              </w:rPr>
              <w:t>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continue"/>
            <w:tcBorders>
              <w:top w:val="single" w:color="auto" w:sz="4" w:space="0"/>
              <w:left w:val="single" w:color="auto" w:sz="12" w:space="0"/>
              <w:bottom w:val="single" w:color="auto" w:sz="4" w:space="0"/>
            </w:tcBorders>
            <w:noWrap w:val="0"/>
            <w:vAlign w:val="center"/>
          </w:tcPr>
          <w:p>
            <w:pPr>
              <w:spacing w:line="300" w:lineRule="auto"/>
              <w:jc w:val="center"/>
              <w:rPr>
                <w:rFonts w:eastAsia="宋体"/>
                <w:szCs w:val="21"/>
              </w:rPr>
            </w:pPr>
          </w:p>
        </w:tc>
        <w:tc>
          <w:tcPr>
            <w:tcW w:w="1127" w:type="dxa"/>
            <w:gridSpan w:val="2"/>
            <w:vMerge w:val="continue"/>
            <w:tcBorders>
              <w:top w:val="single" w:color="auto" w:sz="4" w:space="0"/>
              <w:bottom w:val="single" w:color="auto" w:sz="4" w:space="0"/>
            </w:tcBorders>
            <w:noWrap w:val="0"/>
            <w:vAlign w:val="center"/>
          </w:tcPr>
          <w:p>
            <w:pPr>
              <w:spacing w:line="300" w:lineRule="auto"/>
              <w:jc w:val="center"/>
              <w:rPr>
                <w:rFonts w:eastAsia="宋体"/>
                <w:szCs w:val="21"/>
              </w:rPr>
            </w:pPr>
          </w:p>
        </w:tc>
        <w:tc>
          <w:tcPr>
            <w:tcW w:w="2170" w:type="dxa"/>
            <w:tcBorders>
              <w:top w:val="single" w:color="auto" w:sz="4" w:space="0"/>
              <w:bottom w:val="single" w:color="auto" w:sz="4" w:space="0"/>
            </w:tcBorders>
            <w:noWrap w:val="0"/>
            <w:vAlign w:val="center"/>
          </w:tcPr>
          <w:p>
            <w:pPr>
              <w:spacing w:line="300" w:lineRule="auto"/>
              <w:jc w:val="center"/>
              <w:rPr>
                <w:rFonts w:eastAsia="宋体"/>
                <w:szCs w:val="21"/>
              </w:rPr>
            </w:pPr>
            <w:r>
              <w:rPr>
                <w:rFonts w:hint="eastAsia" w:eastAsia="宋体"/>
                <w:szCs w:val="21"/>
              </w:rPr>
              <w:t>项目</w:t>
            </w:r>
            <w:r>
              <w:rPr>
                <w:rFonts w:eastAsia="宋体"/>
                <w:szCs w:val="21"/>
              </w:rPr>
              <w:t>地点</w:t>
            </w:r>
          </w:p>
        </w:tc>
        <w:tc>
          <w:tcPr>
            <w:tcW w:w="5587" w:type="dxa"/>
            <w:tcBorders>
              <w:top w:val="single" w:color="auto" w:sz="4" w:space="0"/>
              <w:bottom w:val="single" w:color="auto" w:sz="4" w:space="0"/>
              <w:right w:val="single" w:color="auto" w:sz="12" w:space="0"/>
            </w:tcBorders>
            <w:noWrap w:val="0"/>
            <w:vAlign w:val="center"/>
          </w:tcPr>
          <w:p>
            <w:pPr>
              <w:spacing w:line="300" w:lineRule="auto"/>
              <w:rPr>
                <w:rFonts w:ascii="宋体" w:hAnsi="宋体" w:eastAsia="宋体"/>
                <w:szCs w:val="21"/>
              </w:rPr>
            </w:pPr>
            <w:r>
              <w:rPr>
                <w:rFonts w:ascii="宋体" w:hAnsi="宋体" w:eastAsia="宋体"/>
                <w:szCs w:val="21"/>
              </w:rPr>
              <w:t>符合第二章“投标人须知”第</w:t>
            </w:r>
            <w:r>
              <w:rPr>
                <w:rFonts w:eastAsia="宋体"/>
                <w:bCs/>
                <w:szCs w:val="21"/>
              </w:rPr>
              <w:t>1.3.3</w:t>
            </w:r>
            <w:r>
              <w:rPr>
                <w:rFonts w:ascii="宋体" w:hAnsi="宋体" w:eastAsia="宋体"/>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continue"/>
            <w:tcBorders>
              <w:top w:val="single" w:color="auto" w:sz="4" w:space="0"/>
              <w:left w:val="single" w:color="auto" w:sz="12" w:space="0"/>
              <w:bottom w:val="single" w:color="auto" w:sz="4" w:space="0"/>
            </w:tcBorders>
            <w:noWrap w:val="0"/>
            <w:vAlign w:val="center"/>
          </w:tcPr>
          <w:p>
            <w:pPr>
              <w:spacing w:line="300" w:lineRule="auto"/>
              <w:jc w:val="center"/>
              <w:rPr>
                <w:rFonts w:eastAsia="宋体"/>
                <w:szCs w:val="21"/>
              </w:rPr>
            </w:pPr>
          </w:p>
        </w:tc>
        <w:tc>
          <w:tcPr>
            <w:tcW w:w="1127" w:type="dxa"/>
            <w:gridSpan w:val="2"/>
            <w:vMerge w:val="continue"/>
            <w:tcBorders>
              <w:top w:val="single" w:color="auto" w:sz="4" w:space="0"/>
              <w:bottom w:val="single" w:color="auto" w:sz="4" w:space="0"/>
            </w:tcBorders>
            <w:noWrap w:val="0"/>
            <w:vAlign w:val="center"/>
          </w:tcPr>
          <w:p>
            <w:pPr>
              <w:spacing w:line="300" w:lineRule="auto"/>
              <w:jc w:val="center"/>
              <w:rPr>
                <w:rFonts w:eastAsia="宋体"/>
                <w:szCs w:val="21"/>
              </w:rPr>
            </w:pPr>
          </w:p>
        </w:tc>
        <w:tc>
          <w:tcPr>
            <w:tcW w:w="2170" w:type="dxa"/>
            <w:tcBorders>
              <w:top w:val="single" w:color="auto" w:sz="4" w:space="0"/>
              <w:bottom w:val="single" w:color="auto" w:sz="4" w:space="0"/>
            </w:tcBorders>
            <w:noWrap w:val="0"/>
            <w:vAlign w:val="center"/>
          </w:tcPr>
          <w:p>
            <w:pPr>
              <w:spacing w:line="300" w:lineRule="auto"/>
              <w:jc w:val="center"/>
              <w:rPr>
                <w:rFonts w:eastAsia="宋体"/>
                <w:szCs w:val="21"/>
              </w:rPr>
            </w:pPr>
            <w:r>
              <w:rPr>
                <w:rFonts w:eastAsia="宋体"/>
                <w:szCs w:val="21"/>
              </w:rPr>
              <w:t>技术性能指标</w:t>
            </w:r>
          </w:p>
        </w:tc>
        <w:tc>
          <w:tcPr>
            <w:tcW w:w="5587" w:type="dxa"/>
            <w:tcBorders>
              <w:top w:val="single" w:color="auto" w:sz="4" w:space="0"/>
              <w:bottom w:val="single" w:color="auto" w:sz="4" w:space="0"/>
              <w:right w:val="single" w:color="auto" w:sz="12" w:space="0"/>
            </w:tcBorders>
            <w:noWrap w:val="0"/>
            <w:vAlign w:val="center"/>
          </w:tcPr>
          <w:p>
            <w:pPr>
              <w:spacing w:line="300" w:lineRule="auto"/>
              <w:rPr>
                <w:rFonts w:eastAsia="宋体"/>
                <w:szCs w:val="21"/>
              </w:rPr>
            </w:pPr>
            <w:r>
              <w:rPr>
                <w:rFonts w:eastAsia="宋体"/>
                <w:bCs/>
                <w:szCs w:val="21"/>
              </w:rPr>
              <w:t>符合第二章</w:t>
            </w:r>
            <w:r>
              <w:rPr>
                <w:rFonts w:ascii="宋体" w:hAnsi="宋体" w:eastAsia="宋体"/>
                <w:szCs w:val="21"/>
              </w:rPr>
              <w:t>“投标人须知”</w:t>
            </w:r>
            <w:r>
              <w:rPr>
                <w:rFonts w:eastAsia="宋体"/>
                <w:bCs/>
                <w:szCs w:val="21"/>
              </w:rPr>
              <w:t>第1.3.4项规定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continue"/>
            <w:tcBorders>
              <w:top w:val="single" w:color="auto" w:sz="4" w:space="0"/>
              <w:left w:val="single" w:color="auto" w:sz="12" w:space="0"/>
              <w:bottom w:val="single" w:color="auto" w:sz="4" w:space="0"/>
            </w:tcBorders>
            <w:noWrap w:val="0"/>
            <w:vAlign w:val="center"/>
          </w:tcPr>
          <w:p>
            <w:pPr>
              <w:spacing w:line="300" w:lineRule="auto"/>
              <w:jc w:val="center"/>
              <w:rPr>
                <w:rFonts w:eastAsia="宋体"/>
                <w:szCs w:val="21"/>
              </w:rPr>
            </w:pPr>
          </w:p>
        </w:tc>
        <w:tc>
          <w:tcPr>
            <w:tcW w:w="1127" w:type="dxa"/>
            <w:gridSpan w:val="2"/>
            <w:vMerge w:val="continue"/>
            <w:tcBorders>
              <w:top w:val="single" w:color="auto" w:sz="4" w:space="0"/>
              <w:bottom w:val="single" w:color="auto" w:sz="4" w:space="0"/>
            </w:tcBorders>
            <w:noWrap w:val="0"/>
            <w:vAlign w:val="center"/>
          </w:tcPr>
          <w:p>
            <w:pPr>
              <w:spacing w:line="300" w:lineRule="auto"/>
              <w:jc w:val="center"/>
              <w:rPr>
                <w:rFonts w:eastAsia="宋体"/>
                <w:szCs w:val="21"/>
              </w:rPr>
            </w:pPr>
          </w:p>
        </w:tc>
        <w:tc>
          <w:tcPr>
            <w:tcW w:w="2170" w:type="dxa"/>
            <w:tcBorders>
              <w:top w:val="single" w:color="auto" w:sz="4" w:space="0"/>
              <w:bottom w:val="single" w:color="auto" w:sz="4" w:space="0"/>
            </w:tcBorders>
            <w:noWrap w:val="0"/>
            <w:vAlign w:val="center"/>
          </w:tcPr>
          <w:p>
            <w:pPr>
              <w:spacing w:line="300" w:lineRule="auto"/>
              <w:jc w:val="center"/>
              <w:rPr>
                <w:rFonts w:eastAsia="宋体"/>
                <w:szCs w:val="21"/>
              </w:rPr>
            </w:pPr>
            <w:r>
              <w:rPr>
                <w:rFonts w:eastAsia="宋体"/>
                <w:szCs w:val="21"/>
              </w:rPr>
              <w:t>投标有效期</w:t>
            </w:r>
          </w:p>
        </w:tc>
        <w:tc>
          <w:tcPr>
            <w:tcW w:w="5587" w:type="dxa"/>
            <w:tcBorders>
              <w:top w:val="single" w:color="auto" w:sz="4" w:space="0"/>
              <w:bottom w:val="single" w:color="auto" w:sz="4" w:space="0"/>
              <w:right w:val="single" w:color="auto" w:sz="12" w:space="0"/>
            </w:tcBorders>
            <w:noWrap w:val="0"/>
            <w:vAlign w:val="center"/>
          </w:tcPr>
          <w:p>
            <w:pPr>
              <w:spacing w:line="300" w:lineRule="auto"/>
              <w:rPr>
                <w:rFonts w:eastAsia="宋体"/>
                <w:szCs w:val="21"/>
              </w:rPr>
            </w:pPr>
            <w:r>
              <w:rPr>
                <w:rFonts w:eastAsia="宋体"/>
                <w:szCs w:val="21"/>
              </w:rPr>
              <w:t>符合第二章</w:t>
            </w:r>
            <w:r>
              <w:rPr>
                <w:rFonts w:ascii="宋体" w:hAnsi="宋体" w:eastAsia="宋体"/>
                <w:szCs w:val="21"/>
              </w:rPr>
              <w:t>“投标人须知”</w:t>
            </w:r>
            <w:r>
              <w:rPr>
                <w:rFonts w:eastAsia="宋体"/>
                <w:szCs w:val="21"/>
              </w:rPr>
              <w:t>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continue"/>
            <w:tcBorders>
              <w:top w:val="single" w:color="auto" w:sz="4" w:space="0"/>
              <w:left w:val="single" w:color="auto" w:sz="12" w:space="0"/>
              <w:bottom w:val="single" w:color="auto" w:sz="4" w:space="0"/>
            </w:tcBorders>
            <w:noWrap w:val="0"/>
            <w:vAlign w:val="center"/>
          </w:tcPr>
          <w:p>
            <w:pPr>
              <w:spacing w:line="300" w:lineRule="auto"/>
              <w:jc w:val="center"/>
              <w:rPr>
                <w:rFonts w:eastAsia="宋体"/>
                <w:szCs w:val="21"/>
              </w:rPr>
            </w:pPr>
          </w:p>
        </w:tc>
        <w:tc>
          <w:tcPr>
            <w:tcW w:w="1127" w:type="dxa"/>
            <w:gridSpan w:val="2"/>
            <w:vMerge w:val="continue"/>
            <w:tcBorders>
              <w:top w:val="single" w:color="auto" w:sz="4" w:space="0"/>
              <w:bottom w:val="single" w:color="auto" w:sz="4" w:space="0"/>
            </w:tcBorders>
            <w:noWrap w:val="0"/>
            <w:vAlign w:val="center"/>
          </w:tcPr>
          <w:p>
            <w:pPr>
              <w:spacing w:line="300" w:lineRule="auto"/>
              <w:jc w:val="center"/>
              <w:rPr>
                <w:rFonts w:eastAsia="宋体"/>
                <w:szCs w:val="21"/>
              </w:rPr>
            </w:pPr>
          </w:p>
        </w:tc>
        <w:tc>
          <w:tcPr>
            <w:tcW w:w="2170" w:type="dxa"/>
            <w:tcBorders>
              <w:top w:val="single" w:color="auto" w:sz="4" w:space="0"/>
              <w:bottom w:val="single" w:color="auto" w:sz="4" w:space="0"/>
            </w:tcBorders>
            <w:noWrap w:val="0"/>
            <w:vAlign w:val="center"/>
          </w:tcPr>
          <w:p>
            <w:pPr>
              <w:spacing w:line="300" w:lineRule="auto"/>
              <w:jc w:val="center"/>
              <w:rPr>
                <w:rFonts w:eastAsia="宋体"/>
                <w:szCs w:val="21"/>
              </w:rPr>
            </w:pPr>
            <w:r>
              <w:rPr>
                <w:rFonts w:eastAsia="宋体"/>
                <w:szCs w:val="21"/>
              </w:rPr>
              <w:t>投标保证金</w:t>
            </w:r>
          </w:p>
        </w:tc>
        <w:tc>
          <w:tcPr>
            <w:tcW w:w="5587" w:type="dxa"/>
            <w:tcBorders>
              <w:top w:val="single" w:color="auto" w:sz="4" w:space="0"/>
              <w:bottom w:val="single" w:color="auto" w:sz="4" w:space="0"/>
              <w:right w:val="single" w:color="auto" w:sz="12" w:space="0"/>
            </w:tcBorders>
            <w:noWrap w:val="0"/>
            <w:vAlign w:val="center"/>
          </w:tcPr>
          <w:p>
            <w:pPr>
              <w:spacing w:line="300" w:lineRule="auto"/>
              <w:rPr>
                <w:rFonts w:eastAsia="宋体"/>
                <w:szCs w:val="21"/>
              </w:rPr>
            </w:pPr>
            <w:r>
              <w:rPr>
                <w:rFonts w:eastAsia="宋体"/>
                <w:bCs/>
                <w:szCs w:val="21"/>
              </w:rPr>
              <w:t>符合第二章</w:t>
            </w:r>
            <w:r>
              <w:rPr>
                <w:rFonts w:ascii="宋体" w:hAnsi="宋体" w:eastAsia="宋体"/>
                <w:szCs w:val="21"/>
              </w:rPr>
              <w:t>“投标人须知”</w:t>
            </w:r>
            <w:r>
              <w:rPr>
                <w:rFonts w:eastAsia="宋体"/>
                <w:bCs/>
                <w:szCs w:val="21"/>
              </w:rPr>
              <w:t>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continue"/>
            <w:tcBorders>
              <w:top w:val="single" w:color="auto" w:sz="4" w:space="0"/>
              <w:left w:val="single" w:color="auto" w:sz="12" w:space="0"/>
              <w:bottom w:val="single" w:color="auto" w:sz="4" w:space="0"/>
            </w:tcBorders>
            <w:noWrap w:val="0"/>
            <w:vAlign w:val="center"/>
          </w:tcPr>
          <w:p>
            <w:pPr>
              <w:spacing w:line="300" w:lineRule="auto"/>
              <w:jc w:val="center"/>
              <w:rPr>
                <w:rFonts w:eastAsia="宋体"/>
                <w:szCs w:val="21"/>
              </w:rPr>
            </w:pPr>
          </w:p>
        </w:tc>
        <w:tc>
          <w:tcPr>
            <w:tcW w:w="1127" w:type="dxa"/>
            <w:gridSpan w:val="2"/>
            <w:vMerge w:val="continue"/>
            <w:tcBorders>
              <w:top w:val="single" w:color="auto" w:sz="4" w:space="0"/>
              <w:bottom w:val="single" w:color="auto" w:sz="4" w:space="0"/>
            </w:tcBorders>
            <w:noWrap w:val="0"/>
            <w:vAlign w:val="center"/>
          </w:tcPr>
          <w:p>
            <w:pPr>
              <w:spacing w:line="300" w:lineRule="auto"/>
              <w:jc w:val="center"/>
              <w:rPr>
                <w:rFonts w:eastAsia="宋体"/>
                <w:szCs w:val="21"/>
              </w:rPr>
            </w:pPr>
          </w:p>
        </w:tc>
        <w:tc>
          <w:tcPr>
            <w:tcW w:w="2170" w:type="dxa"/>
            <w:tcBorders>
              <w:top w:val="single" w:color="auto" w:sz="4" w:space="0"/>
              <w:bottom w:val="single" w:color="auto" w:sz="4" w:space="0"/>
            </w:tcBorders>
            <w:noWrap w:val="0"/>
            <w:vAlign w:val="center"/>
          </w:tcPr>
          <w:p>
            <w:pPr>
              <w:spacing w:line="300" w:lineRule="auto"/>
              <w:jc w:val="center"/>
              <w:rPr>
                <w:rFonts w:eastAsia="宋体"/>
                <w:szCs w:val="21"/>
              </w:rPr>
            </w:pPr>
            <w:r>
              <w:rPr>
                <w:rFonts w:eastAsia="宋体"/>
                <w:szCs w:val="21"/>
              </w:rPr>
              <w:t>权利义务</w:t>
            </w:r>
          </w:p>
        </w:tc>
        <w:tc>
          <w:tcPr>
            <w:tcW w:w="5587" w:type="dxa"/>
            <w:tcBorders>
              <w:top w:val="single" w:color="auto" w:sz="4" w:space="0"/>
              <w:bottom w:val="single" w:color="auto" w:sz="4" w:space="0"/>
              <w:right w:val="single" w:color="auto" w:sz="12" w:space="0"/>
            </w:tcBorders>
            <w:noWrap w:val="0"/>
            <w:vAlign w:val="center"/>
          </w:tcPr>
          <w:p>
            <w:pPr>
              <w:spacing w:line="300" w:lineRule="auto"/>
              <w:rPr>
                <w:rFonts w:eastAsia="宋体"/>
                <w:szCs w:val="21"/>
              </w:rPr>
            </w:pPr>
            <w:r>
              <w:rPr>
                <w:rFonts w:eastAsia="宋体"/>
                <w:szCs w:val="21"/>
              </w:rPr>
              <w:t>符合第二章</w:t>
            </w:r>
            <w:r>
              <w:rPr>
                <w:rFonts w:ascii="宋体" w:hAnsi="宋体" w:eastAsia="宋体"/>
                <w:szCs w:val="21"/>
              </w:rPr>
              <w:t>“投标人须知”</w:t>
            </w:r>
            <w:r>
              <w:rPr>
                <w:rFonts w:eastAsia="宋体"/>
                <w:szCs w:val="21"/>
              </w:rPr>
              <w:t>第1.11.1项规定和第四章</w:t>
            </w:r>
            <w:r>
              <w:rPr>
                <w:rFonts w:ascii="宋体" w:hAnsi="宋体" w:eastAsia="宋体"/>
                <w:szCs w:val="21"/>
              </w:rPr>
              <w:t>“合同条款及格式”中的实质性要</w:t>
            </w:r>
            <w:r>
              <w:rPr>
                <w:rFonts w:eastAsia="宋体"/>
                <w:szCs w:val="21"/>
              </w:rPr>
              <w:t>求和条件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continue"/>
            <w:tcBorders>
              <w:top w:val="single" w:color="auto" w:sz="4" w:space="0"/>
              <w:left w:val="single" w:color="auto" w:sz="12" w:space="0"/>
              <w:bottom w:val="single" w:color="auto" w:sz="4" w:space="0"/>
            </w:tcBorders>
            <w:noWrap w:val="0"/>
            <w:vAlign w:val="center"/>
          </w:tcPr>
          <w:p>
            <w:pPr>
              <w:spacing w:line="300" w:lineRule="auto"/>
              <w:jc w:val="center"/>
              <w:rPr>
                <w:rFonts w:eastAsia="宋体"/>
                <w:szCs w:val="21"/>
              </w:rPr>
            </w:pPr>
          </w:p>
        </w:tc>
        <w:tc>
          <w:tcPr>
            <w:tcW w:w="1127" w:type="dxa"/>
            <w:gridSpan w:val="2"/>
            <w:vMerge w:val="continue"/>
            <w:tcBorders>
              <w:top w:val="single" w:color="auto" w:sz="4" w:space="0"/>
              <w:bottom w:val="single" w:color="auto" w:sz="4" w:space="0"/>
            </w:tcBorders>
            <w:noWrap w:val="0"/>
            <w:vAlign w:val="center"/>
          </w:tcPr>
          <w:p>
            <w:pPr>
              <w:spacing w:line="300" w:lineRule="auto"/>
              <w:jc w:val="center"/>
              <w:rPr>
                <w:rFonts w:eastAsia="宋体"/>
                <w:szCs w:val="21"/>
              </w:rPr>
            </w:pPr>
          </w:p>
        </w:tc>
        <w:tc>
          <w:tcPr>
            <w:tcW w:w="2170" w:type="dxa"/>
            <w:tcBorders>
              <w:top w:val="single" w:color="auto" w:sz="4" w:space="0"/>
              <w:bottom w:val="single" w:color="auto" w:sz="4" w:space="0"/>
            </w:tcBorders>
            <w:noWrap w:val="0"/>
            <w:vAlign w:val="center"/>
          </w:tcPr>
          <w:p>
            <w:pPr>
              <w:spacing w:line="300" w:lineRule="auto"/>
              <w:jc w:val="center"/>
              <w:rPr>
                <w:rFonts w:hint="eastAsia" w:eastAsia="宋体"/>
                <w:szCs w:val="21"/>
              </w:rPr>
            </w:pPr>
            <w:r>
              <w:rPr>
                <w:rFonts w:eastAsia="宋体"/>
                <w:szCs w:val="21"/>
              </w:rPr>
              <w:t>投标</w:t>
            </w:r>
            <w:r>
              <w:rPr>
                <w:rFonts w:hint="eastAsia" w:eastAsia="宋体"/>
                <w:szCs w:val="21"/>
              </w:rPr>
              <w:t>项目情况</w:t>
            </w:r>
          </w:p>
        </w:tc>
        <w:tc>
          <w:tcPr>
            <w:tcW w:w="5587" w:type="dxa"/>
            <w:tcBorders>
              <w:top w:val="single" w:color="auto" w:sz="4" w:space="0"/>
              <w:bottom w:val="single" w:color="auto" w:sz="4" w:space="0"/>
              <w:right w:val="single" w:color="auto" w:sz="12" w:space="0"/>
            </w:tcBorders>
            <w:noWrap w:val="0"/>
            <w:vAlign w:val="center"/>
          </w:tcPr>
          <w:p>
            <w:pPr>
              <w:spacing w:line="300" w:lineRule="auto"/>
              <w:rPr>
                <w:rFonts w:eastAsia="宋体"/>
                <w:szCs w:val="21"/>
              </w:rPr>
            </w:pPr>
            <w:r>
              <w:rPr>
                <w:rFonts w:eastAsia="宋体"/>
                <w:bCs/>
                <w:szCs w:val="21"/>
              </w:rPr>
              <w:t>符合第五</w:t>
            </w:r>
            <w:r>
              <w:rPr>
                <w:rFonts w:ascii="宋体" w:hAnsi="宋体" w:eastAsia="宋体"/>
                <w:szCs w:val="21"/>
              </w:rPr>
              <w:t xml:space="preserve">章“ </w:t>
            </w:r>
            <w:r>
              <w:rPr>
                <w:rFonts w:hint="eastAsia" w:ascii="宋体" w:hAnsi="宋体" w:eastAsia="宋体"/>
                <w:szCs w:val="21"/>
              </w:rPr>
              <w:t>用户需求书</w:t>
            </w:r>
            <w:r>
              <w:rPr>
                <w:rFonts w:ascii="宋体" w:hAnsi="宋体" w:eastAsia="宋体"/>
                <w:szCs w:val="21"/>
              </w:rPr>
              <w:t>”中</w:t>
            </w:r>
            <w:r>
              <w:rPr>
                <w:rFonts w:eastAsia="宋体"/>
                <w:bCs/>
                <w:szCs w:val="21"/>
              </w:rPr>
              <w:t>的实质性要求和条件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continue"/>
            <w:tcBorders>
              <w:top w:val="single" w:color="auto" w:sz="4" w:space="0"/>
              <w:left w:val="single" w:color="auto" w:sz="12" w:space="0"/>
              <w:bottom w:val="single" w:color="auto" w:sz="4" w:space="0"/>
            </w:tcBorders>
            <w:noWrap w:val="0"/>
            <w:vAlign w:val="center"/>
          </w:tcPr>
          <w:p>
            <w:pPr>
              <w:spacing w:line="300" w:lineRule="auto"/>
              <w:jc w:val="center"/>
              <w:rPr>
                <w:rFonts w:eastAsia="宋体"/>
                <w:szCs w:val="21"/>
              </w:rPr>
            </w:pPr>
          </w:p>
        </w:tc>
        <w:tc>
          <w:tcPr>
            <w:tcW w:w="1127" w:type="dxa"/>
            <w:gridSpan w:val="2"/>
            <w:vMerge w:val="continue"/>
            <w:tcBorders>
              <w:top w:val="single" w:color="auto" w:sz="4" w:space="0"/>
              <w:bottom w:val="single" w:color="auto" w:sz="4" w:space="0"/>
            </w:tcBorders>
            <w:noWrap w:val="0"/>
            <w:vAlign w:val="center"/>
          </w:tcPr>
          <w:p>
            <w:pPr>
              <w:spacing w:line="300" w:lineRule="auto"/>
              <w:jc w:val="center"/>
              <w:rPr>
                <w:rFonts w:eastAsia="宋体"/>
                <w:szCs w:val="21"/>
              </w:rPr>
            </w:pPr>
          </w:p>
        </w:tc>
        <w:tc>
          <w:tcPr>
            <w:tcW w:w="2170" w:type="dxa"/>
            <w:tcBorders>
              <w:top w:val="single" w:color="auto" w:sz="4" w:space="0"/>
              <w:bottom w:val="single" w:color="auto" w:sz="4" w:space="0"/>
            </w:tcBorders>
            <w:noWrap w:val="0"/>
            <w:vAlign w:val="center"/>
          </w:tcPr>
          <w:p>
            <w:pPr>
              <w:spacing w:line="300" w:lineRule="auto"/>
              <w:jc w:val="center"/>
              <w:rPr>
                <w:rFonts w:eastAsia="宋体"/>
                <w:szCs w:val="21"/>
              </w:rPr>
            </w:pPr>
            <w:r>
              <w:rPr>
                <w:rFonts w:eastAsia="宋体"/>
                <w:szCs w:val="21"/>
              </w:rPr>
              <w:t>技术支持资料</w:t>
            </w:r>
          </w:p>
        </w:tc>
        <w:tc>
          <w:tcPr>
            <w:tcW w:w="5587" w:type="dxa"/>
            <w:tcBorders>
              <w:top w:val="single" w:color="auto" w:sz="4" w:space="0"/>
              <w:bottom w:val="single" w:color="auto" w:sz="4" w:space="0"/>
              <w:right w:val="single" w:color="auto" w:sz="12" w:space="0"/>
            </w:tcBorders>
            <w:noWrap w:val="0"/>
            <w:vAlign w:val="center"/>
          </w:tcPr>
          <w:p>
            <w:pPr>
              <w:spacing w:line="300" w:lineRule="auto"/>
              <w:rPr>
                <w:rFonts w:ascii="宋体" w:hAnsi="宋体" w:eastAsia="宋体"/>
                <w:szCs w:val="21"/>
              </w:rPr>
            </w:pPr>
            <w:r>
              <w:rPr>
                <w:rFonts w:ascii="宋体" w:hAnsi="宋体" w:eastAsia="宋体"/>
                <w:szCs w:val="21"/>
              </w:rPr>
              <w:t>符合第二章“投标人须知”第</w:t>
            </w:r>
            <w:r>
              <w:rPr>
                <w:rFonts w:eastAsia="宋体"/>
                <w:szCs w:val="21"/>
              </w:rPr>
              <w:t>1.11.3</w:t>
            </w:r>
            <w:r>
              <w:rPr>
                <w:rFonts w:ascii="宋体" w:hAnsi="宋体" w:eastAsia="宋体"/>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continue"/>
            <w:tcBorders>
              <w:top w:val="single" w:color="auto" w:sz="4" w:space="0"/>
              <w:left w:val="single" w:color="auto" w:sz="12" w:space="0"/>
              <w:bottom w:val="single" w:color="auto" w:sz="12" w:space="0"/>
            </w:tcBorders>
            <w:noWrap w:val="0"/>
            <w:vAlign w:val="center"/>
          </w:tcPr>
          <w:p>
            <w:pPr>
              <w:spacing w:line="300" w:lineRule="auto"/>
              <w:jc w:val="center"/>
              <w:rPr>
                <w:rFonts w:eastAsia="宋体"/>
                <w:szCs w:val="21"/>
              </w:rPr>
            </w:pPr>
          </w:p>
        </w:tc>
        <w:tc>
          <w:tcPr>
            <w:tcW w:w="1127" w:type="dxa"/>
            <w:gridSpan w:val="2"/>
            <w:vMerge w:val="continue"/>
            <w:tcBorders>
              <w:top w:val="single" w:color="auto" w:sz="4" w:space="0"/>
              <w:bottom w:val="single" w:color="auto" w:sz="12" w:space="0"/>
            </w:tcBorders>
            <w:noWrap w:val="0"/>
            <w:vAlign w:val="center"/>
          </w:tcPr>
          <w:p>
            <w:pPr>
              <w:spacing w:line="300" w:lineRule="auto"/>
              <w:jc w:val="center"/>
              <w:rPr>
                <w:rFonts w:eastAsia="宋体"/>
                <w:szCs w:val="21"/>
              </w:rPr>
            </w:pPr>
          </w:p>
        </w:tc>
        <w:tc>
          <w:tcPr>
            <w:tcW w:w="2170" w:type="dxa"/>
            <w:tcBorders>
              <w:top w:val="single" w:color="auto" w:sz="4" w:space="0"/>
              <w:bottom w:val="single" w:color="auto" w:sz="12" w:space="0"/>
            </w:tcBorders>
            <w:noWrap w:val="0"/>
            <w:vAlign w:val="center"/>
          </w:tcPr>
          <w:p>
            <w:pPr>
              <w:spacing w:line="300" w:lineRule="auto"/>
              <w:jc w:val="center"/>
              <w:rPr>
                <w:rFonts w:eastAsia="宋体"/>
                <w:szCs w:val="21"/>
              </w:rPr>
            </w:pPr>
            <w:r>
              <w:rPr>
                <w:rFonts w:eastAsia="宋体"/>
                <w:szCs w:val="21"/>
              </w:rPr>
              <w:t>合同条款实质性偏离</w:t>
            </w:r>
          </w:p>
        </w:tc>
        <w:tc>
          <w:tcPr>
            <w:tcW w:w="5587" w:type="dxa"/>
            <w:tcBorders>
              <w:top w:val="single" w:color="auto" w:sz="4" w:space="0"/>
              <w:bottom w:val="single" w:color="auto" w:sz="12" w:space="0"/>
              <w:right w:val="single" w:color="auto" w:sz="12" w:space="0"/>
            </w:tcBorders>
            <w:noWrap w:val="0"/>
            <w:vAlign w:val="center"/>
          </w:tcPr>
          <w:p>
            <w:pPr>
              <w:spacing w:line="300" w:lineRule="auto"/>
              <w:rPr>
                <w:rFonts w:eastAsia="宋体"/>
                <w:szCs w:val="21"/>
              </w:rPr>
            </w:pPr>
            <w:r>
              <w:rPr>
                <w:rFonts w:eastAsia="宋体"/>
                <w:szCs w:val="21"/>
              </w:rPr>
              <w:t>商务偏离表中对合同价格与支付的条款不允许偏离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8" w:type="dxa"/>
            <w:gridSpan w:val="3"/>
            <w:tcBorders>
              <w:top w:val="single" w:color="auto" w:sz="12" w:space="0"/>
              <w:left w:val="single" w:color="auto" w:sz="12" w:space="0"/>
            </w:tcBorders>
            <w:noWrap w:val="0"/>
            <w:vAlign w:val="center"/>
          </w:tcPr>
          <w:p>
            <w:pPr>
              <w:spacing w:line="300" w:lineRule="auto"/>
              <w:jc w:val="center"/>
              <w:rPr>
                <w:rFonts w:eastAsia="宋体"/>
                <w:szCs w:val="21"/>
              </w:rPr>
            </w:pPr>
            <w:r>
              <w:rPr>
                <w:rFonts w:eastAsia="宋体"/>
                <w:b/>
                <w:bCs/>
                <w:szCs w:val="21"/>
              </w:rPr>
              <w:t>条款号</w:t>
            </w:r>
          </w:p>
        </w:tc>
        <w:tc>
          <w:tcPr>
            <w:tcW w:w="2170" w:type="dxa"/>
            <w:tcBorders>
              <w:top w:val="single" w:color="auto" w:sz="12" w:space="0"/>
            </w:tcBorders>
            <w:noWrap w:val="0"/>
            <w:vAlign w:val="center"/>
          </w:tcPr>
          <w:p>
            <w:pPr>
              <w:spacing w:line="300" w:lineRule="auto"/>
              <w:jc w:val="center"/>
              <w:rPr>
                <w:rFonts w:eastAsia="宋体"/>
                <w:szCs w:val="21"/>
              </w:rPr>
            </w:pPr>
            <w:r>
              <w:rPr>
                <w:rFonts w:eastAsia="宋体"/>
                <w:b/>
                <w:bCs/>
                <w:szCs w:val="21"/>
              </w:rPr>
              <w:t>条款内容</w:t>
            </w:r>
          </w:p>
        </w:tc>
        <w:tc>
          <w:tcPr>
            <w:tcW w:w="5587" w:type="dxa"/>
            <w:tcBorders>
              <w:top w:val="single" w:color="auto" w:sz="12" w:space="0"/>
              <w:right w:val="single" w:color="auto" w:sz="12" w:space="0"/>
            </w:tcBorders>
            <w:noWrap w:val="0"/>
            <w:vAlign w:val="center"/>
          </w:tcPr>
          <w:p>
            <w:pPr>
              <w:spacing w:line="300" w:lineRule="auto"/>
              <w:jc w:val="center"/>
              <w:rPr>
                <w:rFonts w:eastAsia="宋体"/>
                <w:szCs w:val="21"/>
              </w:rPr>
            </w:pPr>
            <w:r>
              <w:rPr>
                <w:rFonts w:eastAsia="宋体"/>
                <w:b/>
                <w:bCs/>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8" w:type="dxa"/>
            <w:gridSpan w:val="3"/>
            <w:tcBorders>
              <w:left w:val="single" w:color="auto" w:sz="12" w:space="0"/>
            </w:tcBorders>
            <w:noWrap w:val="0"/>
            <w:vAlign w:val="center"/>
          </w:tcPr>
          <w:p>
            <w:pPr>
              <w:spacing w:line="300" w:lineRule="auto"/>
              <w:jc w:val="center"/>
              <w:rPr>
                <w:rFonts w:eastAsia="宋体"/>
                <w:szCs w:val="21"/>
              </w:rPr>
            </w:pPr>
            <w:r>
              <w:rPr>
                <w:rFonts w:eastAsia="宋体"/>
                <w:szCs w:val="21"/>
              </w:rPr>
              <w:t>2.2.1</w:t>
            </w:r>
          </w:p>
        </w:tc>
        <w:tc>
          <w:tcPr>
            <w:tcW w:w="2170" w:type="dxa"/>
            <w:noWrap w:val="0"/>
            <w:vAlign w:val="center"/>
          </w:tcPr>
          <w:p>
            <w:pPr>
              <w:spacing w:line="300" w:lineRule="auto"/>
              <w:jc w:val="center"/>
              <w:rPr>
                <w:rFonts w:eastAsia="宋体"/>
                <w:szCs w:val="21"/>
              </w:rPr>
            </w:pPr>
            <w:r>
              <w:rPr>
                <w:rFonts w:eastAsia="宋体"/>
                <w:szCs w:val="21"/>
              </w:rPr>
              <w:t>分值构成</w:t>
            </w:r>
          </w:p>
          <w:p>
            <w:pPr>
              <w:spacing w:line="300" w:lineRule="auto"/>
              <w:jc w:val="center"/>
              <w:rPr>
                <w:rFonts w:eastAsia="宋体"/>
                <w:szCs w:val="21"/>
              </w:rPr>
            </w:pPr>
            <w:r>
              <w:rPr>
                <w:rFonts w:eastAsia="宋体"/>
                <w:szCs w:val="21"/>
              </w:rPr>
              <w:t>(总分 100 分)</w:t>
            </w:r>
          </w:p>
        </w:tc>
        <w:tc>
          <w:tcPr>
            <w:tcW w:w="5587" w:type="dxa"/>
            <w:tcBorders>
              <w:right w:val="single" w:color="auto" w:sz="12" w:space="0"/>
            </w:tcBorders>
            <w:noWrap w:val="0"/>
            <w:vAlign w:val="center"/>
          </w:tcPr>
          <w:p>
            <w:pPr>
              <w:spacing w:line="300" w:lineRule="auto"/>
              <w:rPr>
                <w:rFonts w:eastAsia="宋体"/>
                <w:szCs w:val="21"/>
              </w:rPr>
            </w:pPr>
            <w:r>
              <w:rPr>
                <w:rFonts w:hint="eastAsia" w:eastAsia="宋体"/>
                <w:szCs w:val="21"/>
              </w:rPr>
              <w:t>商务部分</w:t>
            </w:r>
            <w:r>
              <w:rPr>
                <w:rFonts w:eastAsia="宋体"/>
                <w:szCs w:val="21"/>
              </w:rPr>
              <w:t>：</w:t>
            </w:r>
            <w:r>
              <w:rPr>
                <w:rFonts w:eastAsia="宋体"/>
                <w:szCs w:val="21"/>
                <w:u w:val="single"/>
              </w:rPr>
              <w:t xml:space="preserve"> </w:t>
            </w:r>
            <w:r>
              <w:rPr>
                <w:rFonts w:hint="eastAsia" w:eastAsia="宋体"/>
                <w:szCs w:val="21"/>
                <w:u w:val="single"/>
              </w:rPr>
              <w:t xml:space="preserve"> 10 </w:t>
            </w:r>
            <w:r>
              <w:rPr>
                <w:rFonts w:eastAsia="宋体"/>
                <w:szCs w:val="21"/>
              </w:rPr>
              <w:t>分</w:t>
            </w:r>
          </w:p>
          <w:p>
            <w:pPr>
              <w:spacing w:line="300" w:lineRule="auto"/>
              <w:rPr>
                <w:rFonts w:eastAsia="宋体"/>
                <w:szCs w:val="21"/>
              </w:rPr>
            </w:pPr>
            <w:r>
              <w:rPr>
                <w:rFonts w:hint="eastAsia" w:eastAsia="宋体"/>
                <w:szCs w:val="21"/>
              </w:rPr>
              <w:t>技术部分</w:t>
            </w:r>
            <w:r>
              <w:rPr>
                <w:rFonts w:eastAsia="宋体"/>
                <w:szCs w:val="21"/>
              </w:rPr>
              <w:t>：</w:t>
            </w:r>
            <w:r>
              <w:rPr>
                <w:rFonts w:eastAsia="宋体"/>
                <w:szCs w:val="21"/>
                <w:u w:val="single"/>
              </w:rPr>
              <w:t xml:space="preserve">  </w:t>
            </w:r>
            <w:r>
              <w:rPr>
                <w:rFonts w:hint="eastAsia" w:eastAsia="宋体"/>
                <w:szCs w:val="21"/>
                <w:u w:val="single"/>
              </w:rPr>
              <w:t>40</w:t>
            </w:r>
            <w:r>
              <w:rPr>
                <w:rFonts w:eastAsia="宋体"/>
                <w:szCs w:val="21"/>
                <w:u w:val="single"/>
              </w:rPr>
              <w:t xml:space="preserve"> </w:t>
            </w:r>
            <w:r>
              <w:rPr>
                <w:rFonts w:eastAsia="宋体"/>
                <w:szCs w:val="21"/>
              </w:rPr>
              <w:t>分</w:t>
            </w:r>
          </w:p>
          <w:p>
            <w:pPr>
              <w:spacing w:line="300" w:lineRule="auto"/>
              <w:rPr>
                <w:rFonts w:eastAsia="宋体"/>
                <w:szCs w:val="21"/>
              </w:rPr>
            </w:pPr>
            <w:r>
              <w:rPr>
                <w:rFonts w:eastAsia="宋体"/>
                <w:szCs w:val="21"/>
              </w:rPr>
              <w:t>投标报价：</w:t>
            </w:r>
            <w:r>
              <w:rPr>
                <w:rFonts w:eastAsia="宋体"/>
                <w:szCs w:val="21"/>
                <w:u w:val="single"/>
              </w:rPr>
              <w:t xml:space="preserve"> </w:t>
            </w:r>
            <w:r>
              <w:rPr>
                <w:rFonts w:hint="eastAsia" w:eastAsia="宋体"/>
                <w:szCs w:val="21"/>
                <w:u w:val="single"/>
              </w:rPr>
              <w:t>50</w:t>
            </w:r>
            <w:r>
              <w:rPr>
                <w:rFonts w:eastAsia="宋体"/>
                <w:szCs w:val="21"/>
              </w:rPr>
              <w:t>分</w:t>
            </w:r>
          </w:p>
          <w:p>
            <w:pPr>
              <w:spacing w:line="300" w:lineRule="auto"/>
              <w:rPr>
                <w:rFonts w:eastAsia="宋体"/>
                <w:szCs w:val="21"/>
              </w:rPr>
            </w:pPr>
            <w:r>
              <w:rPr>
                <w:rFonts w:eastAsia="宋体"/>
                <w:szCs w:val="21"/>
              </w:rPr>
              <w:t>其他评分因素：</w:t>
            </w:r>
            <w:r>
              <w:rPr>
                <w:rFonts w:eastAsia="宋体"/>
                <w:szCs w:val="21"/>
                <w:u w:val="single"/>
              </w:rPr>
              <w:t xml:space="preserve">   /   </w:t>
            </w:r>
            <w:r>
              <w:rPr>
                <w:rFonts w:eastAsia="宋体"/>
                <w:szCs w:val="21"/>
              </w:rPr>
              <w:t>分（如有）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8" w:type="dxa"/>
            <w:gridSpan w:val="3"/>
            <w:tcBorders>
              <w:left w:val="single" w:color="auto" w:sz="12" w:space="0"/>
            </w:tcBorders>
            <w:noWrap w:val="0"/>
            <w:vAlign w:val="center"/>
          </w:tcPr>
          <w:p>
            <w:pPr>
              <w:spacing w:line="300" w:lineRule="auto"/>
              <w:jc w:val="center"/>
              <w:rPr>
                <w:rFonts w:eastAsia="宋体"/>
                <w:szCs w:val="21"/>
              </w:rPr>
            </w:pPr>
            <w:r>
              <w:rPr>
                <w:rFonts w:eastAsia="宋体"/>
                <w:szCs w:val="21"/>
              </w:rPr>
              <w:t>2.2.2</w:t>
            </w:r>
          </w:p>
        </w:tc>
        <w:tc>
          <w:tcPr>
            <w:tcW w:w="2170" w:type="dxa"/>
            <w:noWrap w:val="0"/>
            <w:vAlign w:val="center"/>
          </w:tcPr>
          <w:p>
            <w:pPr>
              <w:spacing w:line="300" w:lineRule="auto"/>
              <w:jc w:val="center"/>
              <w:rPr>
                <w:rFonts w:eastAsia="宋体"/>
                <w:szCs w:val="21"/>
              </w:rPr>
            </w:pPr>
            <w:r>
              <w:rPr>
                <w:rFonts w:eastAsia="宋体"/>
                <w:szCs w:val="21"/>
              </w:rPr>
              <w:t>评标基准价计算方法</w:t>
            </w:r>
          </w:p>
        </w:tc>
        <w:tc>
          <w:tcPr>
            <w:tcW w:w="5587" w:type="dxa"/>
            <w:tcBorders>
              <w:right w:val="single" w:color="auto" w:sz="12" w:space="0"/>
            </w:tcBorders>
            <w:noWrap w:val="0"/>
            <w:vAlign w:val="center"/>
          </w:tcPr>
          <w:p>
            <w:pPr>
              <w:spacing w:line="300" w:lineRule="auto"/>
              <w:rPr>
                <w:rFonts w:hint="eastAsia" w:eastAsia="宋体"/>
                <w:szCs w:val="24"/>
              </w:rPr>
            </w:pPr>
            <w:r>
              <w:rPr>
                <w:rFonts w:hint="eastAsia" w:eastAsia="宋体"/>
                <w:szCs w:val="24"/>
              </w:rPr>
              <w:t xml:space="preserve">以有效投标文件的有效评标价算术平均值为A，评标基准价=A。 </w:t>
            </w:r>
          </w:p>
          <w:p>
            <w:pPr>
              <w:spacing w:line="300" w:lineRule="auto"/>
              <w:rPr>
                <w:rFonts w:hint="eastAsia" w:eastAsia="宋体"/>
                <w:szCs w:val="24"/>
              </w:rPr>
            </w:pPr>
            <w:r>
              <w:rPr>
                <w:rFonts w:hint="eastAsia" w:eastAsia="宋体"/>
                <w:szCs w:val="24"/>
              </w:rPr>
              <w:t xml:space="preserve">计算算术平均值A时，所有有效评标价数量＜5家时，取所有有效评标价的算术平均值；若5家≤所有有效评标价数量≤9家时，去掉其中的1个最高价和1个最低价后取算术平均值；若所有有效评标价数量＞9家时，去掉2个最高和2个最低的报价后取算术平均值。 </w:t>
            </w:r>
          </w:p>
          <w:p>
            <w:pPr>
              <w:spacing w:line="300" w:lineRule="auto"/>
              <w:rPr>
                <w:rFonts w:hint="eastAsia"/>
              </w:rPr>
            </w:pPr>
            <w:r>
              <w:rPr>
                <w:rFonts w:hint="eastAsia" w:eastAsia="宋体"/>
                <w:szCs w:val="24"/>
              </w:rPr>
              <w:t>除确认存在计算错误外，评标基准价不因投标参选当事人质疑、投诉、复议以及其它任何情形而改变。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8" w:type="dxa"/>
            <w:gridSpan w:val="3"/>
            <w:tcBorders>
              <w:left w:val="single" w:color="auto" w:sz="12" w:space="0"/>
              <w:bottom w:val="single" w:color="auto" w:sz="12" w:space="0"/>
            </w:tcBorders>
            <w:noWrap w:val="0"/>
            <w:vAlign w:val="center"/>
          </w:tcPr>
          <w:p>
            <w:pPr>
              <w:spacing w:line="300" w:lineRule="auto"/>
              <w:jc w:val="center"/>
              <w:rPr>
                <w:rFonts w:eastAsia="宋体"/>
                <w:szCs w:val="21"/>
              </w:rPr>
            </w:pPr>
            <w:r>
              <w:rPr>
                <w:rFonts w:eastAsia="宋体"/>
                <w:szCs w:val="21"/>
              </w:rPr>
              <w:t>2.2.3</w:t>
            </w:r>
          </w:p>
        </w:tc>
        <w:tc>
          <w:tcPr>
            <w:tcW w:w="2170" w:type="dxa"/>
            <w:tcBorders>
              <w:bottom w:val="single" w:color="auto" w:sz="12" w:space="0"/>
            </w:tcBorders>
            <w:noWrap w:val="0"/>
            <w:vAlign w:val="center"/>
          </w:tcPr>
          <w:p>
            <w:pPr>
              <w:spacing w:line="300" w:lineRule="auto"/>
              <w:jc w:val="center"/>
              <w:rPr>
                <w:rFonts w:eastAsia="宋体"/>
                <w:szCs w:val="21"/>
              </w:rPr>
            </w:pPr>
            <w:r>
              <w:rPr>
                <w:rFonts w:eastAsia="宋体"/>
                <w:szCs w:val="21"/>
              </w:rPr>
              <w:t>投标报价的偏差率</w:t>
            </w:r>
          </w:p>
          <w:p>
            <w:pPr>
              <w:spacing w:line="300" w:lineRule="auto"/>
              <w:jc w:val="center"/>
              <w:rPr>
                <w:rFonts w:eastAsia="宋体"/>
                <w:szCs w:val="21"/>
              </w:rPr>
            </w:pPr>
            <w:r>
              <w:rPr>
                <w:rFonts w:eastAsia="宋体"/>
                <w:szCs w:val="21"/>
              </w:rPr>
              <w:t>计算公式</w:t>
            </w:r>
          </w:p>
        </w:tc>
        <w:tc>
          <w:tcPr>
            <w:tcW w:w="5587" w:type="dxa"/>
            <w:tcBorders>
              <w:bottom w:val="single" w:color="auto" w:sz="12" w:space="0"/>
              <w:right w:val="single" w:color="auto" w:sz="12" w:space="0"/>
            </w:tcBorders>
            <w:noWrap w:val="0"/>
            <w:vAlign w:val="center"/>
          </w:tcPr>
          <w:p>
            <w:pPr>
              <w:spacing w:line="300" w:lineRule="auto"/>
              <w:jc w:val="both"/>
              <w:rPr>
                <w:rFonts w:hint="eastAsia" w:eastAsia="宋体"/>
                <w:szCs w:val="21"/>
              </w:rPr>
            </w:pPr>
            <w:r>
              <w:rPr>
                <w:rFonts w:hint="eastAsia" w:eastAsia="宋体"/>
                <w:szCs w:val="21"/>
              </w:rPr>
              <w:t>偏差率=100%×（参选人报价－评标基准价）/评标基准价</w:t>
            </w:r>
          </w:p>
          <w:p>
            <w:pPr>
              <w:spacing w:line="300" w:lineRule="auto"/>
              <w:jc w:val="both"/>
              <w:rPr>
                <w:rFonts w:hint="eastAsia" w:eastAsia="宋体"/>
                <w:szCs w:val="21"/>
              </w:rPr>
            </w:pPr>
            <w:r>
              <w:rPr>
                <w:rFonts w:hint="eastAsia" w:eastAsia="宋体"/>
                <w:szCs w:val="21"/>
              </w:rPr>
              <w:t>报价得分计算公式示例：</w:t>
            </w:r>
          </w:p>
          <w:p>
            <w:pPr>
              <w:spacing w:line="300" w:lineRule="auto"/>
              <w:jc w:val="both"/>
              <w:rPr>
                <w:rFonts w:hint="eastAsia" w:eastAsia="宋体"/>
                <w:szCs w:val="21"/>
              </w:rPr>
            </w:pPr>
            <w:r>
              <w:rPr>
                <w:rFonts w:hint="eastAsia" w:eastAsia="宋体"/>
                <w:szCs w:val="21"/>
              </w:rPr>
              <w:t xml:space="preserve">（1）如果参选人的报价＞评标基准价，则报价得分=50-偏差率×100×E1；      </w:t>
            </w:r>
          </w:p>
          <w:p>
            <w:pPr>
              <w:spacing w:line="300" w:lineRule="auto"/>
              <w:jc w:val="both"/>
              <w:rPr>
                <w:rFonts w:eastAsia="宋体"/>
                <w:szCs w:val="21"/>
              </w:rPr>
            </w:pPr>
            <w:r>
              <w:rPr>
                <w:rFonts w:hint="eastAsia" w:eastAsia="宋体"/>
                <w:szCs w:val="21"/>
              </w:rPr>
              <w:t>（2）如果参选人的报价≤评标基准价，则报价得分=50+偏差率×100×E2；   其中：E1是评标价每高于评标基准价一个百分点的扣分值；E2是评标价每低于评标基准价一个百分点的扣分值。E1=0.9，E2=0.6，扣完为止。报价得分四舍五入后保留两位小数。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8" w:type="dxa"/>
            <w:gridSpan w:val="3"/>
            <w:tcBorders>
              <w:top w:val="single" w:color="auto" w:sz="12" w:space="0"/>
              <w:left w:val="single" w:color="auto" w:sz="12" w:space="0"/>
              <w:bottom w:val="single" w:color="auto" w:sz="4" w:space="0"/>
              <w:right w:val="single" w:color="auto" w:sz="4" w:space="0"/>
            </w:tcBorders>
            <w:noWrap w:val="0"/>
            <w:vAlign w:val="center"/>
          </w:tcPr>
          <w:p>
            <w:pPr>
              <w:spacing w:line="300" w:lineRule="auto"/>
              <w:jc w:val="center"/>
              <w:rPr>
                <w:rFonts w:eastAsia="宋体"/>
                <w:szCs w:val="21"/>
              </w:rPr>
            </w:pPr>
            <w:r>
              <w:rPr>
                <w:rFonts w:eastAsia="宋体"/>
                <w:b/>
                <w:bCs/>
                <w:szCs w:val="21"/>
              </w:rPr>
              <w:t>条款号</w:t>
            </w:r>
          </w:p>
        </w:tc>
        <w:tc>
          <w:tcPr>
            <w:tcW w:w="2170" w:type="dxa"/>
            <w:tcBorders>
              <w:top w:val="single" w:color="auto" w:sz="12" w:space="0"/>
              <w:left w:val="single" w:color="auto" w:sz="4" w:space="0"/>
              <w:bottom w:val="single" w:color="auto" w:sz="4" w:space="0"/>
              <w:right w:val="single" w:color="auto" w:sz="4" w:space="0"/>
            </w:tcBorders>
            <w:noWrap w:val="0"/>
            <w:vAlign w:val="center"/>
          </w:tcPr>
          <w:p>
            <w:pPr>
              <w:spacing w:line="300" w:lineRule="auto"/>
              <w:jc w:val="center"/>
              <w:rPr>
                <w:rFonts w:eastAsia="宋体"/>
                <w:szCs w:val="21"/>
              </w:rPr>
            </w:pPr>
            <w:r>
              <w:rPr>
                <w:rFonts w:eastAsia="宋体"/>
                <w:b/>
                <w:bCs/>
                <w:szCs w:val="21"/>
              </w:rPr>
              <w:t>评分因素（偏差率）</w:t>
            </w:r>
          </w:p>
        </w:tc>
        <w:tc>
          <w:tcPr>
            <w:tcW w:w="5587" w:type="dxa"/>
            <w:tcBorders>
              <w:top w:val="single" w:color="auto" w:sz="12" w:space="0"/>
              <w:left w:val="single" w:color="auto" w:sz="4" w:space="0"/>
              <w:bottom w:val="single" w:color="auto" w:sz="4" w:space="0"/>
              <w:right w:val="single" w:color="auto" w:sz="12" w:space="0"/>
            </w:tcBorders>
            <w:noWrap w:val="0"/>
            <w:vAlign w:val="center"/>
          </w:tcPr>
          <w:p>
            <w:pPr>
              <w:spacing w:line="300" w:lineRule="auto"/>
              <w:jc w:val="center"/>
              <w:rPr>
                <w:rFonts w:eastAsia="宋体"/>
                <w:szCs w:val="21"/>
              </w:rPr>
            </w:pPr>
            <w:r>
              <w:rPr>
                <w:rFonts w:eastAsia="宋体"/>
                <w:b/>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gridSpan w:val="2"/>
            <w:vMerge w:val="restart"/>
            <w:tcBorders>
              <w:top w:val="single" w:color="auto" w:sz="4" w:space="0"/>
              <w:left w:val="single" w:color="auto" w:sz="12" w:space="0"/>
              <w:right w:val="single" w:color="auto" w:sz="4" w:space="0"/>
            </w:tcBorders>
            <w:noWrap w:val="0"/>
            <w:vAlign w:val="center"/>
          </w:tcPr>
          <w:p>
            <w:pPr>
              <w:spacing w:line="300" w:lineRule="auto"/>
              <w:jc w:val="center"/>
              <w:rPr>
                <w:rFonts w:eastAsia="宋体"/>
                <w:szCs w:val="21"/>
              </w:rPr>
            </w:pPr>
            <w:r>
              <w:rPr>
                <w:rFonts w:eastAsia="宋体"/>
                <w:szCs w:val="21"/>
              </w:rPr>
              <w:t>2.2.4</w:t>
            </w:r>
          </w:p>
          <w:p>
            <w:pPr>
              <w:spacing w:line="300" w:lineRule="auto"/>
              <w:jc w:val="center"/>
              <w:rPr>
                <w:rFonts w:eastAsia="宋体"/>
                <w:szCs w:val="21"/>
              </w:rPr>
            </w:pPr>
            <w:r>
              <w:rPr>
                <w:rFonts w:eastAsia="宋体"/>
                <w:szCs w:val="21"/>
              </w:rPr>
              <w:t>（1）</w:t>
            </w:r>
          </w:p>
        </w:tc>
        <w:tc>
          <w:tcPr>
            <w:tcW w:w="1051" w:type="dxa"/>
            <w:vMerge w:val="restart"/>
            <w:tcBorders>
              <w:top w:val="single" w:color="auto" w:sz="4" w:space="0"/>
              <w:left w:val="single" w:color="auto" w:sz="4" w:space="0"/>
              <w:right w:val="single" w:color="auto" w:sz="4" w:space="0"/>
            </w:tcBorders>
            <w:noWrap w:val="0"/>
            <w:vAlign w:val="center"/>
          </w:tcPr>
          <w:p>
            <w:pPr>
              <w:spacing w:line="300" w:lineRule="auto"/>
              <w:jc w:val="center"/>
              <w:rPr>
                <w:rFonts w:eastAsia="宋体"/>
                <w:szCs w:val="21"/>
              </w:rPr>
            </w:pPr>
            <w:r>
              <w:rPr>
                <w:rFonts w:eastAsia="宋体"/>
                <w:szCs w:val="21"/>
              </w:rPr>
              <w:t>商务评分标准</w:t>
            </w:r>
          </w:p>
          <w:p>
            <w:pPr>
              <w:spacing w:line="300" w:lineRule="auto"/>
              <w:ind w:right="-204" w:rightChars="-97"/>
              <w:jc w:val="center"/>
              <w:rPr>
                <w:rFonts w:eastAsia="宋体"/>
                <w:szCs w:val="21"/>
              </w:rPr>
            </w:pPr>
            <w:r>
              <w:rPr>
                <w:rFonts w:eastAsia="宋体"/>
                <w:szCs w:val="21"/>
              </w:rPr>
              <w:t>（</w:t>
            </w:r>
            <w:r>
              <w:rPr>
                <w:rFonts w:hint="eastAsia" w:eastAsia="宋体"/>
                <w:szCs w:val="21"/>
              </w:rPr>
              <w:t>10</w:t>
            </w:r>
            <w:r>
              <w:rPr>
                <w:rFonts w:eastAsia="宋体"/>
                <w:szCs w:val="21"/>
              </w:rPr>
              <w:t>分）</w:t>
            </w:r>
          </w:p>
        </w:tc>
        <w:tc>
          <w:tcPr>
            <w:tcW w:w="2170"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eastAsia="宋体"/>
                <w:szCs w:val="21"/>
              </w:rPr>
            </w:pPr>
            <w:r>
              <w:rPr>
                <w:rFonts w:eastAsia="宋体"/>
                <w:szCs w:val="21"/>
              </w:rPr>
              <w:t>投标人业绩</w:t>
            </w:r>
          </w:p>
          <w:p>
            <w:pPr>
              <w:spacing w:line="300" w:lineRule="auto"/>
              <w:jc w:val="center"/>
              <w:rPr>
                <w:rFonts w:eastAsia="宋体"/>
                <w:b/>
                <w:bCs/>
                <w:szCs w:val="21"/>
              </w:rPr>
            </w:pPr>
            <w:r>
              <w:rPr>
                <w:rFonts w:eastAsia="宋体"/>
                <w:szCs w:val="21"/>
              </w:rPr>
              <w:t>（</w:t>
            </w:r>
            <w:r>
              <w:rPr>
                <w:rFonts w:hint="eastAsia" w:eastAsia="宋体"/>
                <w:szCs w:val="21"/>
              </w:rPr>
              <w:t>6</w:t>
            </w:r>
            <w:r>
              <w:rPr>
                <w:rFonts w:eastAsia="宋体"/>
                <w:szCs w:val="21"/>
              </w:rPr>
              <w:t>分）</w:t>
            </w:r>
          </w:p>
        </w:tc>
        <w:tc>
          <w:tcPr>
            <w:tcW w:w="5587" w:type="dxa"/>
            <w:tcBorders>
              <w:top w:val="single" w:color="auto" w:sz="4" w:space="0"/>
              <w:left w:val="single" w:color="auto" w:sz="4" w:space="0"/>
              <w:bottom w:val="single" w:color="auto" w:sz="4" w:space="0"/>
              <w:right w:val="single" w:color="auto" w:sz="12" w:space="0"/>
            </w:tcBorders>
            <w:noWrap w:val="0"/>
            <w:vAlign w:val="center"/>
          </w:tcPr>
          <w:p>
            <w:pPr>
              <w:pStyle w:val="117"/>
              <w:spacing w:line="300" w:lineRule="auto"/>
              <w:rPr>
                <w:rFonts w:hint="eastAsia" w:eastAsia="宋体"/>
                <w:sz w:val="21"/>
                <w:szCs w:val="21"/>
              </w:rPr>
            </w:pPr>
            <w:r>
              <w:rPr>
                <w:rFonts w:hint="eastAsia" w:eastAsia="宋体"/>
                <w:sz w:val="21"/>
                <w:szCs w:val="21"/>
              </w:rPr>
              <w:t>投标人自2019年1月1日以来（以合同签订时间为准）以来，每具有一个金额大于90万（含）的轨道交通可视化接地系统项目业绩得3分，满分6分。</w:t>
            </w:r>
          </w:p>
          <w:p>
            <w:pPr>
              <w:pStyle w:val="117"/>
              <w:spacing w:line="300" w:lineRule="auto"/>
              <w:rPr>
                <w:rFonts w:eastAsia="宋体"/>
                <w:b/>
                <w:szCs w:val="21"/>
              </w:rPr>
            </w:pPr>
            <w:r>
              <w:rPr>
                <w:rFonts w:hint="eastAsia" w:eastAsia="宋体"/>
                <w:sz w:val="21"/>
                <w:szCs w:val="21"/>
              </w:rPr>
              <w:t>须提供</w:t>
            </w:r>
            <w:r>
              <w:rPr>
                <w:rFonts w:eastAsia="宋体"/>
                <w:b/>
                <w:sz w:val="21"/>
              </w:rPr>
              <w:t>合同复印件加盖投标单位公章，业绩时间</w:t>
            </w:r>
            <w:r>
              <w:rPr>
                <w:rFonts w:hint="eastAsia" w:eastAsia="宋体"/>
                <w:b/>
                <w:sz w:val="21"/>
              </w:rPr>
              <w:t>以合同签订时间为准，所提供业绩合同中无合同签订时间的不予认可。同一业绩不可重复得分。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gridSpan w:val="2"/>
            <w:vMerge w:val="continue"/>
            <w:tcBorders>
              <w:left w:val="single" w:color="auto" w:sz="12" w:space="0"/>
              <w:right w:val="single" w:color="auto" w:sz="4" w:space="0"/>
            </w:tcBorders>
            <w:noWrap w:val="0"/>
            <w:vAlign w:val="center"/>
          </w:tcPr>
          <w:p>
            <w:pPr>
              <w:spacing w:line="300" w:lineRule="auto"/>
              <w:jc w:val="center"/>
              <w:rPr>
                <w:rFonts w:eastAsia="宋体"/>
                <w:szCs w:val="21"/>
              </w:rPr>
            </w:pPr>
          </w:p>
        </w:tc>
        <w:tc>
          <w:tcPr>
            <w:tcW w:w="1051" w:type="dxa"/>
            <w:vMerge w:val="continue"/>
            <w:tcBorders>
              <w:left w:val="single" w:color="auto" w:sz="4" w:space="0"/>
              <w:right w:val="single" w:color="auto" w:sz="4" w:space="0"/>
            </w:tcBorders>
            <w:noWrap w:val="0"/>
            <w:vAlign w:val="center"/>
          </w:tcPr>
          <w:p>
            <w:pPr>
              <w:spacing w:line="300" w:lineRule="auto"/>
              <w:ind w:right="-204" w:rightChars="-97"/>
              <w:jc w:val="center"/>
              <w:rPr>
                <w:rFonts w:eastAsia="宋体"/>
                <w:szCs w:val="21"/>
              </w:rPr>
            </w:pPr>
          </w:p>
        </w:tc>
        <w:tc>
          <w:tcPr>
            <w:tcW w:w="2170"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eastAsia="宋体"/>
                <w:szCs w:val="21"/>
              </w:rPr>
            </w:pPr>
            <w:r>
              <w:rPr>
                <w:rFonts w:hint="eastAsia" w:eastAsia="宋体"/>
                <w:szCs w:val="21"/>
              </w:rPr>
              <w:t>项目负责人业绩</w:t>
            </w:r>
          </w:p>
          <w:p>
            <w:pPr>
              <w:spacing w:line="300" w:lineRule="auto"/>
              <w:jc w:val="center"/>
              <w:rPr>
                <w:rFonts w:hint="eastAsia" w:eastAsia="宋体"/>
                <w:szCs w:val="21"/>
              </w:rPr>
            </w:pPr>
            <w:r>
              <w:rPr>
                <w:rFonts w:hint="eastAsia" w:eastAsia="宋体"/>
                <w:szCs w:val="21"/>
              </w:rPr>
              <w:t>（4分）</w:t>
            </w:r>
          </w:p>
        </w:tc>
        <w:tc>
          <w:tcPr>
            <w:tcW w:w="5587" w:type="dxa"/>
            <w:tcBorders>
              <w:top w:val="single" w:color="auto" w:sz="4" w:space="0"/>
              <w:left w:val="single" w:color="auto" w:sz="4" w:space="0"/>
              <w:bottom w:val="single" w:color="auto" w:sz="4" w:space="0"/>
              <w:right w:val="single" w:color="auto" w:sz="12" w:space="0"/>
            </w:tcBorders>
            <w:noWrap w:val="0"/>
            <w:vAlign w:val="center"/>
          </w:tcPr>
          <w:p>
            <w:pPr>
              <w:pStyle w:val="117"/>
              <w:spacing w:line="300" w:lineRule="auto"/>
              <w:rPr>
                <w:rFonts w:hint="eastAsia" w:eastAsia="宋体"/>
                <w:sz w:val="21"/>
                <w:szCs w:val="21"/>
              </w:rPr>
            </w:pPr>
            <w:r>
              <w:rPr>
                <w:rFonts w:hint="eastAsia" w:eastAsia="宋体"/>
                <w:sz w:val="21"/>
                <w:szCs w:val="21"/>
              </w:rPr>
              <w:t>拟投入的项目负责人自2019年1月1日（以合同签订时间为准）以来每具有一个在轨道交通可视化接地系统项目中担任项目负责人的业绩得2分，满分4分。</w:t>
            </w:r>
          </w:p>
          <w:p>
            <w:pPr>
              <w:pStyle w:val="117"/>
              <w:spacing w:line="300" w:lineRule="auto"/>
              <w:rPr>
                <w:rFonts w:hint="eastAsia" w:eastAsia="宋体"/>
                <w:sz w:val="21"/>
                <w:szCs w:val="21"/>
              </w:rPr>
            </w:pPr>
            <w:r>
              <w:rPr>
                <w:rFonts w:hint="eastAsia" w:eastAsia="宋体"/>
                <w:sz w:val="21"/>
                <w:szCs w:val="21"/>
              </w:rPr>
              <w:t>须提供</w:t>
            </w:r>
            <w:r>
              <w:rPr>
                <w:rFonts w:eastAsia="宋体"/>
                <w:b/>
                <w:sz w:val="21"/>
              </w:rPr>
              <w:t>合同复印件加盖投标单位公章，业绩时间</w:t>
            </w:r>
            <w:r>
              <w:rPr>
                <w:rFonts w:hint="eastAsia" w:eastAsia="宋体"/>
                <w:b/>
                <w:sz w:val="21"/>
              </w:rPr>
              <w:t>以合同签订时间为准，所提供业绩合同中无合同签订时间的不予认可。同一业绩不可重复得分。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8" w:type="dxa"/>
            <w:gridSpan w:val="3"/>
            <w:tcBorders>
              <w:top w:val="single" w:color="auto" w:sz="12" w:space="0"/>
              <w:left w:val="single" w:color="auto" w:sz="12" w:space="0"/>
              <w:bottom w:val="single" w:color="auto" w:sz="4" w:space="0"/>
              <w:right w:val="single" w:color="auto" w:sz="4" w:space="0"/>
            </w:tcBorders>
            <w:noWrap w:val="0"/>
            <w:vAlign w:val="center"/>
          </w:tcPr>
          <w:p>
            <w:pPr>
              <w:spacing w:line="300" w:lineRule="auto"/>
              <w:jc w:val="center"/>
              <w:rPr>
                <w:rFonts w:eastAsia="宋体"/>
                <w:szCs w:val="21"/>
              </w:rPr>
            </w:pPr>
            <w:r>
              <w:rPr>
                <w:rFonts w:eastAsia="宋体"/>
                <w:b/>
                <w:bCs/>
                <w:szCs w:val="21"/>
              </w:rPr>
              <w:t>条款号</w:t>
            </w:r>
          </w:p>
        </w:tc>
        <w:tc>
          <w:tcPr>
            <w:tcW w:w="2170" w:type="dxa"/>
            <w:tcBorders>
              <w:top w:val="single" w:color="auto" w:sz="12" w:space="0"/>
              <w:left w:val="single" w:color="auto" w:sz="4" w:space="0"/>
              <w:bottom w:val="single" w:color="auto" w:sz="4" w:space="0"/>
              <w:right w:val="single" w:color="auto" w:sz="4" w:space="0"/>
            </w:tcBorders>
            <w:noWrap w:val="0"/>
            <w:vAlign w:val="center"/>
          </w:tcPr>
          <w:p>
            <w:pPr>
              <w:spacing w:line="300" w:lineRule="auto"/>
              <w:jc w:val="center"/>
              <w:rPr>
                <w:rFonts w:eastAsia="宋体"/>
                <w:szCs w:val="21"/>
              </w:rPr>
            </w:pPr>
            <w:r>
              <w:rPr>
                <w:rFonts w:eastAsia="宋体"/>
                <w:b/>
                <w:bCs/>
                <w:szCs w:val="21"/>
              </w:rPr>
              <w:t>评分因素（偏差率）</w:t>
            </w:r>
          </w:p>
        </w:tc>
        <w:tc>
          <w:tcPr>
            <w:tcW w:w="5587" w:type="dxa"/>
            <w:tcBorders>
              <w:top w:val="single" w:color="auto" w:sz="12" w:space="0"/>
              <w:left w:val="single" w:color="auto" w:sz="4" w:space="0"/>
              <w:bottom w:val="single" w:color="auto" w:sz="12" w:space="0"/>
              <w:right w:val="single" w:color="auto" w:sz="12" w:space="0"/>
            </w:tcBorders>
            <w:noWrap w:val="0"/>
            <w:vAlign w:val="center"/>
          </w:tcPr>
          <w:p>
            <w:pPr>
              <w:spacing w:line="300" w:lineRule="auto"/>
              <w:jc w:val="center"/>
              <w:rPr>
                <w:rFonts w:eastAsia="宋体"/>
                <w:szCs w:val="21"/>
              </w:rPr>
            </w:pPr>
            <w:r>
              <w:rPr>
                <w:rFonts w:eastAsia="宋体"/>
                <w:b/>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17" w:type="dxa"/>
            <w:gridSpan w:val="2"/>
            <w:vMerge w:val="restart"/>
            <w:tcBorders>
              <w:top w:val="single" w:color="auto" w:sz="12" w:space="0"/>
              <w:left w:val="single" w:color="auto" w:sz="12" w:space="0"/>
            </w:tcBorders>
            <w:noWrap w:val="0"/>
            <w:vAlign w:val="center"/>
          </w:tcPr>
          <w:p>
            <w:pPr>
              <w:spacing w:line="300" w:lineRule="auto"/>
              <w:jc w:val="center"/>
              <w:rPr>
                <w:rFonts w:eastAsia="宋体"/>
                <w:szCs w:val="21"/>
              </w:rPr>
            </w:pPr>
            <w:r>
              <w:rPr>
                <w:rFonts w:eastAsia="宋体"/>
                <w:szCs w:val="21"/>
              </w:rPr>
              <w:t>2.2.4</w:t>
            </w:r>
          </w:p>
          <w:p>
            <w:pPr>
              <w:spacing w:line="300" w:lineRule="auto"/>
              <w:jc w:val="center"/>
              <w:rPr>
                <w:rFonts w:eastAsia="宋体"/>
                <w:szCs w:val="21"/>
              </w:rPr>
            </w:pPr>
            <w:r>
              <w:rPr>
                <w:rFonts w:eastAsia="宋体"/>
                <w:szCs w:val="21"/>
              </w:rPr>
              <w:t>（2）</w:t>
            </w:r>
          </w:p>
        </w:tc>
        <w:tc>
          <w:tcPr>
            <w:tcW w:w="1051" w:type="dxa"/>
            <w:vMerge w:val="restart"/>
            <w:tcBorders>
              <w:top w:val="single" w:color="auto" w:sz="12" w:space="0"/>
            </w:tcBorders>
            <w:noWrap w:val="0"/>
            <w:vAlign w:val="center"/>
          </w:tcPr>
          <w:p>
            <w:pPr>
              <w:spacing w:line="300" w:lineRule="auto"/>
              <w:jc w:val="center"/>
              <w:rPr>
                <w:rFonts w:eastAsia="宋体"/>
                <w:szCs w:val="21"/>
              </w:rPr>
            </w:pPr>
            <w:r>
              <w:rPr>
                <w:rFonts w:eastAsia="宋体"/>
                <w:szCs w:val="21"/>
              </w:rPr>
              <w:t>技术评分标准</w:t>
            </w:r>
          </w:p>
          <w:p>
            <w:pPr>
              <w:spacing w:line="300" w:lineRule="auto"/>
              <w:ind w:right="-205"/>
              <w:rPr>
                <w:rFonts w:eastAsia="宋体"/>
                <w:szCs w:val="21"/>
              </w:rPr>
            </w:pPr>
            <w:r>
              <w:rPr>
                <w:rFonts w:eastAsia="宋体"/>
                <w:szCs w:val="21"/>
              </w:rPr>
              <w:t>（</w:t>
            </w:r>
            <w:r>
              <w:rPr>
                <w:rFonts w:hint="eastAsia" w:eastAsia="宋体"/>
                <w:szCs w:val="21"/>
              </w:rPr>
              <w:t>40</w:t>
            </w:r>
            <w:r>
              <w:rPr>
                <w:rFonts w:eastAsia="宋体"/>
                <w:szCs w:val="21"/>
              </w:rPr>
              <w:t>分）</w:t>
            </w:r>
          </w:p>
        </w:tc>
        <w:tc>
          <w:tcPr>
            <w:tcW w:w="2170" w:type="dxa"/>
            <w:tcBorders>
              <w:top w:val="single" w:color="auto" w:sz="12" w:space="0"/>
            </w:tcBorders>
            <w:noWrap w:val="0"/>
            <w:vAlign w:val="center"/>
          </w:tcPr>
          <w:p>
            <w:pPr>
              <w:spacing w:line="300" w:lineRule="auto"/>
              <w:ind w:left="-105" w:leftChars="-50" w:right="-105" w:rightChars="-50"/>
              <w:jc w:val="center"/>
              <w:rPr>
                <w:rFonts w:hint="eastAsia" w:eastAsia="宋体"/>
                <w:szCs w:val="21"/>
              </w:rPr>
            </w:pPr>
            <w:r>
              <w:rPr>
                <w:rFonts w:hint="eastAsia" w:eastAsia="宋体"/>
                <w:szCs w:val="21"/>
              </w:rPr>
              <w:t>可视化加装技术方案</w:t>
            </w:r>
          </w:p>
          <w:p>
            <w:pPr>
              <w:spacing w:line="300" w:lineRule="auto"/>
              <w:ind w:left="-105" w:leftChars="-50" w:right="-105" w:rightChars="-50"/>
              <w:jc w:val="center"/>
              <w:rPr>
                <w:rFonts w:hint="eastAsia" w:eastAsia="宋体"/>
                <w:szCs w:val="21"/>
              </w:rPr>
            </w:pPr>
            <w:r>
              <w:rPr>
                <w:rFonts w:eastAsia="宋体"/>
                <w:szCs w:val="21"/>
              </w:rPr>
              <w:t>（</w:t>
            </w:r>
            <w:r>
              <w:rPr>
                <w:rFonts w:hint="eastAsia" w:eastAsia="宋体"/>
                <w:szCs w:val="21"/>
              </w:rPr>
              <w:t>20</w:t>
            </w:r>
            <w:r>
              <w:rPr>
                <w:rFonts w:eastAsia="宋体"/>
                <w:szCs w:val="21"/>
              </w:rPr>
              <w:t>分）</w:t>
            </w:r>
          </w:p>
        </w:tc>
        <w:tc>
          <w:tcPr>
            <w:tcW w:w="5587" w:type="dxa"/>
            <w:tcBorders>
              <w:top w:val="single" w:color="auto" w:sz="12" w:space="0"/>
              <w:bottom w:val="single" w:color="auto" w:sz="4" w:space="0"/>
              <w:right w:val="single" w:color="auto" w:sz="12" w:space="0"/>
            </w:tcBorders>
            <w:noWrap w:val="0"/>
            <w:vAlign w:val="center"/>
          </w:tcPr>
          <w:p>
            <w:pPr>
              <w:pStyle w:val="55"/>
              <w:ind w:left="0" w:leftChars="0" w:firstLine="0" w:firstLineChars="0"/>
              <w:rPr>
                <w:rFonts w:hint="eastAsia"/>
                <w:kern w:val="0"/>
                <w:sz w:val="21"/>
                <w:szCs w:val="21"/>
              </w:rPr>
            </w:pPr>
            <w:r>
              <w:rPr>
                <w:rFonts w:hint="eastAsia"/>
                <w:color w:val="000000"/>
                <w:kern w:val="0"/>
                <w:sz w:val="21"/>
                <w:szCs w:val="21"/>
              </w:rPr>
              <w:t>①项目实施的技术方案详细可行,有针对性，满足招标文件用户需求书要求，整体施工计划，周期安排合理；</w:t>
            </w:r>
          </w:p>
          <w:p>
            <w:pPr>
              <w:pStyle w:val="55"/>
              <w:ind w:left="0" w:leftChars="0" w:firstLine="0" w:firstLineChars="0"/>
              <w:rPr>
                <w:rFonts w:hint="eastAsia"/>
                <w:kern w:val="0"/>
                <w:sz w:val="21"/>
                <w:szCs w:val="21"/>
              </w:rPr>
            </w:pPr>
            <w:r>
              <w:rPr>
                <w:rFonts w:hint="eastAsia"/>
                <w:color w:val="000000"/>
                <w:kern w:val="0"/>
                <w:sz w:val="21"/>
                <w:szCs w:val="21"/>
              </w:rPr>
              <w:t>②方案中施工标准准确合理，施工工艺流程完善，有较强的操作性。各项施工质量保证措施完整；</w:t>
            </w:r>
          </w:p>
          <w:p>
            <w:pPr>
              <w:pStyle w:val="55"/>
              <w:ind w:left="0" w:leftChars="0" w:firstLine="0" w:firstLineChars="0"/>
              <w:rPr>
                <w:rFonts w:hint="eastAsia"/>
                <w:kern w:val="0"/>
                <w:sz w:val="21"/>
                <w:szCs w:val="21"/>
              </w:rPr>
            </w:pPr>
            <w:r>
              <w:rPr>
                <w:rFonts w:hint="eastAsia"/>
                <w:color w:val="000000"/>
                <w:kern w:val="0"/>
                <w:sz w:val="21"/>
                <w:szCs w:val="21"/>
              </w:rPr>
              <w:t>③对可视化接地装置加装技术方案中的重难点进行分析，并提出针对的解决措施满足施工需求。</w:t>
            </w:r>
          </w:p>
          <w:p>
            <w:pPr>
              <w:pStyle w:val="55"/>
              <w:ind w:left="0" w:leftChars="0" w:firstLine="0" w:firstLineChars="0"/>
              <w:rPr>
                <w:rFonts w:hint="eastAsia"/>
                <w:kern w:val="0"/>
                <w:sz w:val="21"/>
                <w:szCs w:val="21"/>
              </w:rPr>
            </w:pPr>
            <w:r>
              <w:rPr>
                <w:rFonts w:hint="eastAsia"/>
                <w:color w:val="000000"/>
                <w:kern w:val="0"/>
                <w:sz w:val="21"/>
                <w:szCs w:val="21"/>
              </w:rPr>
              <w:t>以上方案优，得[20，18）分；良，得[18，16）分；中，得[16，14）分；差，得[14,0）。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17" w:type="dxa"/>
            <w:gridSpan w:val="2"/>
            <w:vMerge w:val="continue"/>
            <w:tcBorders>
              <w:left w:val="single" w:color="auto" w:sz="12" w:space="0"/>
            </w:tcBorders>
            <w:noWrap w:val="0"/>
            <w:vAlign w:val="center"/>
          </w:tcPr>
          <w:p>
            <w:pPr>
              <w:spacing w:line="300" w:lineRule="auto"/>
              <w:jc w:val="center"/>
              <w:rPr>
                <w:rFonts w:eastAsia="宋体"/>
                <w:szCs w:val="21"/>
              </w:rPr>
            </w:pPr>
          </w:p>
        </w:tc>
        <w:tc>
          <w:tcPr>
            <w:tcW w:w="1051" w:type="dxa"/>
            <w:vMerge w:val="continue"/>
            <w:noWrap w:val="0"/>
            <w:vAlign w:val="center"/>
          </w:tcPr>
          <w:p>
            <w:pPr>
              <w:spacing w:line="300" w:lineRule="auto"/>
              <w:ind w:right="-205"/>
              <w:rPr>
                <w:rFonts w:eastAsia="宋体"/>
                <w:szCs w:val="21"/>
              </w:rPr>
            </w:pPr>
          </w:p>
        </w:tc>
        <w:tc>
          <w:tcPr>
            <w:tcW w:w="2170" w:type="dxa"/>
            <w:noWrap w:val="0"/>
            <w:vAlign w:val="center"/>
          </w:tcPr>
          <w:p>
            <w:pPr>
              <w:pStyle w:val="55"/>
              <w:spacing w:line="300" w:lineRule="auto"/>
              <w:ind w:left="0" w:leftChars="0" w:firstLine="0" w:firstLineChars="0"/>
              <w:jc w:val="center"/>
              <w:rPr>
                <w:rFonts w:hint="eastAsia"/>
                <w:kern w:val="0"/>
                <w:sz w:val="21"/>
                <w:szCs w:val="21"/>
              </w:rPr>
            </w:pPr>
            <w:r>
              <w:rPr>
                <w:rFonts w:hint="eastAsia"/>
                <w:kern w:val="0"/>
                <w:sz w:val="21"/>
                <w:szCs w:val="21"/>
              </w:rPr>
              <w:t>安全文明保障措施</w:t>
            </w:r>
          </w:p>
          <w:p>
            <w:pPr>
              <w:pStyle w:val="55"/>
              <w:spacing w:line="300" w:lineRule="auto"/>
              <w:ind w:left="0" w:leftChars="0" w:firstLine="0" w:firstLineChars="0"/>
              <w:jc w:val="center"/>
              <w:rPr>
                <w:rFonts w:hint="eastAsia"/>
                <w:kern w:val="0"/>
                <w:sz w:val="21"/>
                <w:szCs w:val="21"/>
              </w:rPr>
            </w:pPr>
            <w:r>
              <w:rPr>
                <w:rFonts w:hint="eastAsia"/>
                <w:kern w:val="0"/>
                <w:sz w:val="21"/>
                <w:szCs w:val="21"/>
              </w:rPr>
              <w:t>（15分）</w:t>
            </w:r>
          </w:p>
        </w:tc>
        <w:tc>
          <w:tcPr>
            <w:tcW w:w="5587" w:type="dxa"/>
            <w:tcBorders>
              <w:top w:val="single" w:color="auto" w:sz="4" w:space="0"/>
              <w:right w:val="single" w:color="auto" w:sz="12" w:space="0"/>
            </w:tcBorders>
            <w:noWrap w:val="0"/>
            <w:vAlign w:val="center"/>
          </w:tcPr>
          <w:p>
            <w:pPr>
              <w:pStyle w:val="55"/>
              <w:ind w:left="0" w:leftChars="0" w:firstLine="0" w:firstLineChars="0"/>
              <w:rPr>
                <w:rFonts w:hint="eastAsia"/>
                <w:kern w:val="0"/>
                <w:sz w:val="21"/>
                <w:szCs w:val="21"/>
              </w:rPr>
            </w:pPr>
            <w:r>
              <w:rPr>
                <w:rFonts w:hint="eastAsia"/>
                <w:color w:val="000000"/>
                <w:kern w:val="0"/>
                <w:sz w:val="21"/>
                <w:szCs w:val="21"/>
              </w:rPr>
              <w:t>①有针对项目安全以及运营安全所采取的保障措施，措施描述完善有针对性；</w:t>
            </w:r>
          </w:p>
          <w:p>
            <w:pPr>
              <w:pStyle w:val="55"/>
              <w:ind w:left="0" w:leftChars="0" w:firstLine="0" w:firstLineChars="0"/>
              <w:rPr>
                <w:rFonts w:hint="eastAsia"/>
                <w:kern w:val="0"/>
                <w:sz w:val="21"/>
                <w:szCs w:val="21"/>
              </w:rPr>
            </w:pPr>
            <w:r>
              <w:rPr>
                <w:rFonts w:hint="eastAsia"/>
                <w:color w:val="000000"/>
                <w:kern w:val="0"/>
                <w:sz w:val="21"/>
                <w:szCs w:val="21"/>
              </w:rPr>
              <w:t>②有针对故障制定详细的应急抢修保障措施，措施描述完善有针对性；</w:t>
            </w:r>
          </w:p>
          <w:p>
            <w:pPr>
              <w:pStyle w:val="55"/>
              <w:ind w:left="0" w:leftChars="0" w:firstLine="0" w:firstLineChars="0"/>
              <w:rPr>
                <w:rFonts w:hint="eastAsia"/>
                <w:kern w:val="0"/>
                <w:sz w:val="21"/>
                <w:szCs w:val="21"/>
              </w:rPr>
            </w:pPr>
            <w:r>
              <w:rPr>
                <w:rFonts w:hint="eastAsia"/>
                <w:color w:val="000000"/>
                <w:kern w:val="0"/>
                <w:sz w:val="21"/>
                <w:szCs w:val="21"/>
              </w:rPr>
              <w:t>③有详细计划对项目人员进行全面安全和技能培训措施，措施描述完善有针对性；</w:t>
            </w:r>
          </w:p>
          <w:p>
            <w:pPr>
              <w:pStyle w:val="55"/>
              <w:ind w:left="0" w:leftChars="0" w:firstLine="0" w:firstLineChars="0"/>
              <w:rPr>
                <w:rFonts w:hint="eastAsia"/>
                <w:kern w:val="0"/>
                <w:sz w:val="21"/>
                <w:szCs w:val="21"/>
              </w:rPr>
            </w:pPr>
            <w:r>
              <w:rPr>
                <w:rFonts w:hint="eastAsia"/>
                <w:color w:val="000000"/>
                <w:kern w:val="0"/>
                <w:sz w:val="21"/>
                <w:szCs w:val="21"/>
              </w:rPr>
              <w:t>④有详细的文明管理方案，能够体现团队文明、生产文明。</w:t>
            </w:r>
          </w:p>
          <w:p>
            <w:pPr>
              <w:pStyle w:val="55"/>
              <w:ind w:left="0" w:leftChars="0" w:firstLine="0" w:firstLineChars="0"/>
              <w:rPr>
                <w:rFonts w:hint="eastAsia"/>
                <w:kern w:val="0"/>
                <w:sz w:val="21"/>
                <w:szCs w:val="21"/>
              </w:rPr>
            </w:pPr>
            <w:r>
              <w:rPr>
                <w:rFonts w:hint="eastAsia"/>
                <w:color w:val="000000"/>
                <w:kern w:val="0"/>
                <w:sz w:val="21"/>
                <w:szCs w:val="21"/>
              </w:rPr>
              <w:t>以上方案优，得[15，13.5）分；良，得[13.5，12）分；中，得[12，10.5）分；差，得[10.5,0）。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17" w:type="dxa"/>
            <w:gridSpan w:val="2"/>
            <w:vMerge w:val="continue"/>
            <w:tcBorders>
              <w:left w:val="single" w:color="auto" w:sz="12" w:space="0"/>
            </w:tcBorders>
            <w:noWrap w:val="0"/>
            <w:vAlign w:val="center"/>
          </w:tcPr>
          <w:p>
            <w:pPr>
              <w:spacing w:line="300" w:lineRule="auto"/>
              <w:jc w:val="center"/>
              <w:rPr>
                <w:rFonts w:eastAsia="宋体"/>
                <w:szCs w:val="21"/>
              </w:rPr>
            </w:pPr>
          </w:p>
        </w:tc>
        <w:tc>
          <w:tcPr>
            <w:tcW w:w="1051" w:type="dxa"/>
            <w:vMerge w:val="continue"/>
            <w:noWrap w:val="0"/>
            <w:vAlign w:val="center"/>
          </w:tcPr>
          <w:p>
            <w:pPr>
              <w:spacing w:line="300" w:lineRule="auto"/>
              <w:ind w:right="-205"/>
              <w:rPr>
                <w:rFonts w:eastAsia="宋体"/>
                <w:szCs w:val="21"/>
              </w:rPr>
            </w:pPr>
          </w:p>
        </w:tc>
        <w:tc>
          <w:tcPr>
            <w:tcW w:w="2170" w:type="dxa"/>
            <w:noWrap w:val="0"/>
            <w:vAlign w:val="center"/>
          </w:tcPr>
          <w:p>
            <w:pPr>
              <w:pStyle w:val="55"/>
              <w:spacing w:line="300" w:lineRule="auto"/>
              <w:ind w:left="0" w:leftChars="0" w:firstLine="0" w:firstLineChars="0"/>
              <w:jc w:val="center"/>
              <w:rPr>
                <w:rFonts w:hint="eastAsia"/>
                <w:kern w:val="0"/>
                <w:sz w:val="21"/>
                <w:szCs w:val="21"/>
              </w:rPr>
            </w:pPr>
            <w:r>
              <w:rPr>
                <w:rFonts w:hint="eastAsia"/>
                <w:kern w:val="0"/>
                <w:sz w:val="21"/>
                <w:szCs w:val="21"/>
              </w:rPr>
              <w:t>资源投入</w:t>
            </w:r>
          </w:p>
          <w:p>
            <w:pPr>
              <w:pStyle w:val="55"/>
              <w:spacing w:line="300" w:lineRule="auto"/>
              <w:ind w:left="0" w:leftChars="0" w:firstLine="0" w:firstLineChars="0"/>
              <w:jc w:val="center"/>
              <w:rPr>
                <w:rFonts w:hint="eastAsia"/>
                <w:kern w:val="0"/>
                <w:sz w:val="21"/>
                <w:szCs w:val="21"/>
              </w:rPr>
            </w:pPr>
            <w:r>
              <w:rPr>
                <w:rFonts w:hint="eastAsia"/>
                <w:kern w:val="0"/>
                <w:sz w:val="21"/>
                <w:szCs w:val="21"/>
              </w:rPr>
              <w:t>（5分）</w:t>
            </w:r>
          </w:p>
        </w:tc>
        <w:tc>
          <w:tcPr>
            <w:tcW w:w="5587" w:type="dxa"/>
            <w:tcBorders>
              <w:top w:val="single" w:color="auto" w:sz="4" w:space="0"/>
              <w:right w:val="single" w:color="auto" w:sz="12" w:space="0"/>
            </w:tcBorders>
            <w:noWrap w:val="0"/>
            <w:vAlign w:val="center"/>
          </w:tcPr>
          <w:p>
            <w:pPr>
              <w:pStyle w:val="55"/>
              <w:ind w:left="0" w:leftChars="0" w:firstLine="0" w:firstLineChars="0"/>
              <w:rPr>
                <w:rFonts w:hint="eastAsia"/>
                <w:kern w:val="0"/>
                <w:sz w:val="21"/>
                <w:szCs w:val="21"/>
              </w:rPr>
            </w:pPr>
            <w:r>
              <w:rPr>
                <w:rFonts w:hint="eastAsia"/>
                <w:color w:val="000000"/>
                <w:kern w:val="0"/>
                <w:sz w:val="21"/>
                <w:szCs w:val="21"/>
              </w:rPr>
              <w:t>拟投入的配置满足日常工作及应急抢修要求，主要从设备投入、人员投入等方面阐述。以上资源投入情况优，得[5，4.5）分；良，得[4.5，4）分；中，得[4，3.5）分；差，得[3.5,0）。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8" w:type="dxa"/>
            <w:gridSpan w:val="3"/>
            <w:tcBorders>
              <w:top w:val="single" w:color="auto" w:sz="12" w:space="0"/>
              <w:left w:val="single" w:color="auto" w:sz="12" w:space="0"/>
              <w:bottom w:val="single" w:color="auto" w:sz="4" w:space="0"/>
              <w:right w:val="single" w:color="auto" w:sz="4" w:space="0"/>
            </w:tcBorders>
            <w:noWrap w:val="0"/>
            <w:vAlign w:val="center"/>
          </w:tcPr>
          <w:p>
            <w:pPr>
              <w:spacing w:line="300" w:lineRule="auto"/>
              <w:jc w:val="center"/>
              <w:rPr>
                <w:rFonts w:eastAsia="宋体"/>
                <w:szCs w:val="21"/>
              </w:rPr>
            </w:pPr>
            <w:r>
              <w:rPr>
                <w:rFonts w:eastAsia="宋体"/>
                <w:b/>
                <w:bCs/>
                <w:szCs w:val="21"/>
              </w:rPr>
              <w:t>条款号</w:t>
            </w:r>
          </w:p>
        </w:tc>
        <w:tc>
          <w:tcPr>
            <w:tcW w:w="7757" w:type="dxa"/>
            <w:gridSpan w:val="2"/>
            <w:tcBorders>
              <w:top w:val="single" w:color="auto" w:sz="12" w:space="0"/>
              <w:left w:val="single" w:color="auto" w:sz="4" w:space="0"/>
              <w:bottom w:val="single" w:color="auto" w:sz="4" w:space="0"/>
              <w:right w:val="single" w:color="auto" w:sz="12" w:space="0"/>
            </w:tcBorders>
            <w:noWrap w:val="0"/>
            <w:vAlign w:val="center"/>
          </w:tcPr>
          <w:p>
            <w:pPr>
              <w:spacing w:line="300" w:lineRule="auto"/>
              <w:jc w:val="center"/>
              <w:rPr>
                <w:rFonts w:eastAsia="宋体"/>
                <w:szCs w:val="21"/>
              </w:rPr>
            </w:pPr>
            <w:r>
              <w:rPr>
                <w:rFonts w:eastAsia="宋体"/>
                <w:b/>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gridSpan w:val="2"/>
            <w:tcBorders>
              <w:top w:val="single" w:color="auto" w:sz="12" w:space="0"/>
              <w:left w:val="single" w:color="auto" w:sz="12" w:space="0"/>
              <w:bottom w:val="single" w:color="auto" w:sz="12" w:space="0"/>
            </w:tcBorders>
            <w:noWrap w:val="0"/>
            <w:vAlign w:val="center"/>
          </w:tcPr>
          <w:p>
            <w:pPr>
              <w:spacing w:line="300" w:lineRule="auto"/>
              <w:jc w:val="center"/>
              <w:rPr>
                <w:rFonts w:eastAsia="宋体"/>
                <w:szCs w:val="21"/>
              </w:rPr>
            </w:pPr>
            <w:r>
              <w:rPr>
                <w:rFonts w:eastAsia="宋体"/>
                <w:szCs w:val="21"/>
              </w:rPr>
              <w:t>2.2.4</w:t>
            </w:r>
          </w:p>
          <w:p>
            <w:pPr>
              <w:spacing w:line="300" w:lineRule="auto"/>
              <w:jc w:val="center"/>
              <w:rPr>
                <w:rFonts w:eastAsia="宋体"/>
                <w:szCs w:val="21"/>
              </w:rPr>
            </w:pPr>
            <w:r>
              <w:rPr>
                <w:rFonts w:eastAsia="宋体"/>
                <w:szCs w:val="21"/>
              </w:rPr>
              <w:t>（3）</w:t>
            </w:r>
          </w:p>
        </w:tc>
        <w:tc>
          <w:tcPr>
            <w:tcW w:w="1051" w:type="dxa"/>
            <w:tcBorders>
              <w:top w:val="single" w:color="auto" w:sz="12" w:space="0"/>
              <w:bottom w:val="single" w:color="auto" w:sz="12" w:space="0"/>
            </w:tcBorders>
            <w:noWrap w:val="0"/>
            <w:vAlign w:val="center"/>
          </w:tcPr>
          <w:p>
            <w:pPr>
              <w:spacing w:line="300" w:lineRule="auto"/>
              <w:ind w:left="-105" w:leftChars="-50" w:right="-105" w:rightChars="-50"/>
              <w:jc w:val="center"/>
              <w:rPr>
                <w:rFonts w:eastAsia="宋体"/>
                <w:szCs w:val="21"/>
              </w:rPr>
            </w:pPr>
            <w:r>
              <w:rPr>
                <w:rFonts w:eastAsia="宋体"/>
                <w:szCs w:val="21"/>
              </w:rPr>
              <w:t>投标报价评分标准</w:t>
            </w:r>
          </w:p>
          <w:p>
            <w:pPr>
              <w:spacing w:line="300" w:lineRule="auto"/>
              <w:ind w:left="-105" w:leftChars="-50" w:right="-105" w:rightChars="-50"/>
              <w:jc w:val="center"/>
              <w:rPr>
                <w:rFonts w:eastAsia="宋体"/>
                <w:szCs w:val="21"/>
              </w:rPr>
            </w:pPr>
            <w:r>
              <w:rPr>
                <w:rFonts w:eastAsia="宋体"/>
                <w:szCs w:val="21"/>
              </w:rPr>
              <w:t>（</w:t>
            </w:r>
            <w:r>
              <w:rPr>
                <w:rFonts w:hint="eastAsia" w:eastAsia="宋体"/>
                <w:szCs w:val="21"/>
              </w:rPr>
              <w:t>50</w:t>
            </w:r>
            <w:r>
              <w:rPr>
                <w:rFonts w:eastAsia="宋体"/>
                <w:szCs w:val="21"/>
              </w:rPr>
              <w:t>分）</w:t>
            </w:r>
          </w:p>
        </w:tc>
        <w:tc>
          <w:tcPr>
            <w:tcW w:w="7757" w:type="dxa"/>
            <w:gridSpan w:val="2"/>
            <w:tcBorders>
              <w:top w:val="single" w:color="auto" w:sz="12" w:space="0"/>
              <w:bottom w:val="single" w:color="auto" w:sz="12" w:space="0"/>
              <w:right w:val="single" w:color="auto" w:sz="12" w:space="0"/>
            </w:tcBorders>
            <w:noWrap w:val="0"/>
            <w:vAlign w:val="center"/>
          </w:tcPr>
          <w:p>
            <w:pPr>
              <w:tabs>
                <w:tab w:val="left" w:pos="284"/>
                <w:tab w:val="left" w:pos="540"/>
                <w:tab w:val="left" w:pos="1620"/>
              </w:tabs>
              <w:spacing w:line="300" w:lineRule="auto"/>
              <w:rPr>
                <w:rFonts w:eastAsia="宋体"/>
                <w:szCs w:val="21"/>
              </w:rPr>
            </w:pPr>
            <w:r>
              <w:rPr>
                <w:rFonts w:eastAsia="宋体"/>
                <w:szCs w:val="21"/>
              </w:rPr>
              <w:t>报价得分</w:t>
            </w:r>
            <w:r>
              <w:rPr>
                <w:rFonts w:hint="eastAsia" w:eastAsia="宋体"/>
                <w:szCs w:val="21"/>
              </w:rPr>
              <w:t>（50分）</w:t>
            </w:r>
          </w:p>
          <w:p>
            <w:pPr>
              <w:tabs>
                <w:tab w:val="left" w:pos="284"/>
                <w:tab w:val="left" w:pos="540"/>
                <w:tab w:val="left" w:pos="1620"/>
              </w:tabs>
              <w:spacing w:line="300" w:lineRule="auto"/>
              <w:jc w:val="both"/>
              <w:rPr>
                <w:rFonts w:hint="eastAsia" w:eastAsia="宋体"/>
                <w:szCs w:val="24"/>
              </w:rPr>
            </w:pPr>
            <w:r>
              <w:rPr>
                <w:rFonts w:hint="eastAsia" w:eastAsia="宋体"/>
                <w:szCs w:val="24"/>
              </w:rPr>
              <w:t>偏差率=100%×（参选人报价－评标基准价）/评标基准价</w:t>
            </w:r>
          </w:p>
          <w:p>
            <w:pPr>
              <w:tabs>
                <w:tab w:val="left" w:pos="284"/>
                <w:tab w:val="left" w:pos="540"/>
                <w:tab w:val="left" w:pos="1620"/>
              </w:tabs>
              <w:spacing w:line="300" w:lineRule="auto"/>
              <w:jc w:val="both"/>
              <w:rPr>
                <w:rFonts w:hint="eastAsia" w:eastAsia="宋体"/>
                <w:szCs w:val="24"/>
              </w:rPr>
            </w:pPr>
            <w:r>
              <w:rPr>
                <w:rFonts w:hint="eastAsia" w:eastAsia="宋体"/>
                <w:szCs w:val="24"/>
              </w:rPr>
              <w:t>报价得分计算公式示例：</w:t>
            </w:r>
          </w:p>
          <w:p>
            <w:pPr>
              <w:tabs>
                <w:tab w:val="left" w:pos="284"/>
                <w:tab w:val="left" w:pos="540"/>
                <w:tab w:val="left" w:pos="1620"/>
              </w:tabs>
              <w:spacing w:line="300" w:lineRule="auto"/>
              <w:jc w:val="both"/>
              <w:rPr>
                <w:rFonts w:hint="eastAsia" w:eastAsia="宋体"/>
                <w:szCs w:val="24"/>
              </w:rPr>
            </w:pPr>
            <w:r>
              <w:rPr>
                <w:rFonts w:hint="eastAsia" w:eastAsia="宋体"/>
                <w:szCs w:val="24"/>
              </w:rPr>
              <w:t xml:space="preserve">（1）如果参选人的报价＞评标基准价，则报价得分=50-偏差率×100×E1；      </w:t>
            </w:r>
          </w:p>
          <w:p>
            <w:pPr>
              <w:tabs>
                <w:tab w:val="left" w:pos="284"/>
                <w:tab w:val="left" w:pos="540"/>
                <w:tab w:val="left" w:pos="1620"/>
              </w:tabs>
              <w:spacing w:line="300" w:lineRule="auto"/>
              <w:jc w:val="both"/>
              <w:rPr>
                <w:rFonts w:eastAsia="宋体"/>
                <w:b/>
                <w:bCs/>
                <w:szCs w:val="24"/>
              </w:rPr>
            </w:pPr>
            <w:r>
              <w:rPr>
                <w:rFonts w:hint="eastAsia" w:eastAsia="宋体"/>
                <w:szCs w:val="24"/>
              </w:rPr>
              <w:t>（2）如果参选人的报价≤评标基准价，则报价得分=50+偏差率×100×E2；   其中：E1是评标价每高于评标基准价一个百分点的扣分值；E2是评标价每低于评标基准价一个百分点的扣分值。E1=0.9，E2=0.6，扣完为止。报价得分四舍五入后保留两位小数</w:t>
            </w:r>
            <w:r>
              <w:rPr>
                <w:rFonts w:eastAsia="宋体"/>
                <w:szCs w:val="21"/>
              </w:rPr>
              <w:t>。</w:t>
            </w:r>
          </w:p>
        </w:tc>
      </w:tr>
    </w:tbl>
    <w:p>
      <w:pPr>
        <w:spacing w:line="360" w:lineRule="auto"/>
        <w:rPr>
          <w:rFonts w:eastAsia="宋体"/>
          <w:b/>
          <w:bCs/>
          <w:szCs w:val="21"/>
        </w:rPr>
      </w:pPr>
      <w:r>
        <w:rPr>
          <w:rFonts w:eastAsia="宋体"/>
          <w:szCs w:val="21"/>
        </w:rPr>
        <w:t>注：</w:t>
      </w:r>
      <w:r>
        <w:rPr>
          <w:rFonts w:eastAsia="宋体"/>
          <w:b/>
          <w:bCs/>
          <w:szCs w:val="21"/>
        </w:rPr>
        <w:t>商务评分和技术评分当众公布后，再进行第二阶段报价部分开标后再评审报价部分。</w:t>
      </w:r>
    </w:p>
    <w:p>
      <w:pPr>
        <w:keepNext/>
        <w:keepLines/>
        <w:numPr>
          <w:ilvl w:val="0"/>
          <w:numId w:val="12"/>
        </w:numPr>
        <w:spacing w:line="360" w:lineRule="auto"/>
        <w:ind w:left="210" w:leftChars="100" w:firstLine="0"/>
        <w:outlineLvl w:val="1"/>
        <w:rPr>
          <w:rFonts w:eastAsia="黑体"/>
          <w:b/>
          <w:bCs/>
          <w:sz w:val="32"/>
          <w:szCs w:val="32"/>
        </w:rPr>
      </w:pPr>
      <w:r>
        <w:rPr>
          <w:rFonts w:eastAsia="宋体"/>
          <w:b/>
          <w:bCs/>
          <w:szCs w:val="21"/>
        </w:rPr>
        <w:br w:type="page"/>
      </w:r>
      <w:bookmarkStart w:id="1162" w:name="_Toc27835"/>
      <w:bookmarkStart w:id="1163" w:name="_Toc30024"/>
      <w:bookmarkStart w:id="1164" w:name="_Toc16759"/>
      <w:bookmarkStart w:id="1165" w:name="_Toc27323"/>
      <w:bookmarkStart w:id="1166" w:name="_Toc25796"/>
      <w:bookmarkStart w:id="1167" w:name="_Toc514430409"/>
      <w:bookmarkStart w:id="1168" w:name="_Toc13643"/>
      <w:bookmarkStart w:id="1169" w:name="_Toc18041"/>
      <w:bookmarkStart w:id="1170" w:name="_Toc14751"/>
      <w:bookmarkStart w:id="1171" w:name="_Toc16539"/>
      <w:bookmarkStart w:id="1172" w:name="_Toc10591"/>
      <w:bookmarkStart w:id="1173" w:name="_Toc27444"/>
      <w:bookmarkStart w:id="1174" w:name="_Toc15569"/>
      <w:bookmarkStart w:id="1175" w:name="_Toc24608"/>
      <w:bookmarkStart w:id="1176" w:name="_Toc19325"/>
      <w:bookmarkStart w:id="1177" w:name="_Toc2194"/>
      <w:r>
        <w:rPr>
          <w:rFonts w:eastAsia="黑体"/>
          <w:b/>
          <w:bCs/>
          <w:sz w:val="32"/>
          <w:szCs w:val="32"/>
        </w:rPr>
        <w:t>评标方法</w:t>
      </w:r>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p>
    <w:p>
      <w:pPr>
        <w:spacing w:line="360" w:lineRule="auto"/>
        <w:ind w:firstLine="420" w:firstLineChars="200"/>
        <w:rPr>
          <w:rFonts w:eastAsia="宋体"/>
          <w:szCs w:val="21"/>
        </w:rPr>
      </w:pPr>
      <w:r>
        <w:rPr>
          <w:rFonts w:eastAsia="宋体"/>
          <w:szCs w:val="21"/>
        </w:rPr>
        <w:t>本次评标采用综合评估法。评标委员会对满足招标文件实质性要求的投标文件，按照本章2.2 款规定的评分标准进行打分，并按得分由高到低顺序推荐中标候选人，或根据招标人授权直接确定中标人，但投标报价低于其成本的除外。综合评分相等时，以投标报价低的优先；投标报价也相等的，以技术得分高的优先；如果技术得分也相等，</w:t>
      </w:r>
      <w:r>
        <w:rPr>
          <w:rFonts w:hint="eastAsia" w:eastAsia="宋体"/>
          <w:szCs w:val="21"/>
        </w:rPr>
        <w:t>按照抽签确定中标候选人顺序</w:t>
      </w:r>
      <w:r>
        <w:rPr>
          <w:rFonts w:eastAsia="宋体"/>
          <w:szCs w:val="21"/>
        </w:rPr>
        <w:t>。</w:t>
      </w:r>
    </w:p>
    <w:p>
      <w:pPr>
        <w:keepNext/>
        <w:keepLines/>
        <w:numPr>
          <w:ilvl w:val="0"/>
          <w:numId w:val="12"/>
        </w:numPr>
        <w:spacing w:line="360" w:lineRule="auto"/>
        <w:ind w:left="210" w:leftChars="100" w:firstLine="0"/>
        <w:outlineLvl w:val="1"/>
        <w:rPr>
          <w:rFonts w:eastAsia="黑体"/>
          <w:b/>
          <w:bCs/>
          <w:sz w:val="32"/>
          <w:szCs w:val="32"/>
        </w:rPr>
      </w:pPr>
      <w:bookmarkStart w:id="1178" w:name="_Toc10631"/>
      <w:bookmarkStart w:id="1179" w:name="_Toc21637"/>
      <w:bookmarkStart w:id="1180" w:name="_Toc11685"/>
      <w:bookmarkStart w:id="1181" w:name="_Toc20638"/>
      <w:bookmarkStart w:id="1182" w:name="_Toc514430410"/>
      <w:bookmarkStart w:id="1183" w:name="_Toc26730"/>
      <w:bookmarkStart w:id="1184" w:name="_Toc26328"/>
      <w:bookmarkStart w:id="1185" w:name="_Toc690"/>
      <w:bookmarkStart w:id="1186" w:name="_Toc13302"/>
      <w:bookmarkStart w:id="1187" w:name="_Toc18122"/>
      <w:bookmarkStart w:id="1188" w:name="_Toc10797"/>
      <w:bookmarkStart w:id="1189" w:name="_Toc13310"/>
      <w:bookmarkStart w:id="1190" w:name="_Toc7010"/>
      <w:bookmarkStart w:id="1191" w:name="_Toc24949"/>
      <w:bookmarkStart w:id="1192" w:name="_Toc12823"/>
      <w:bookmarkStart w:id="1193" w:name="_Toc30921"/>
      <w:r>
        <w:rPr>
          <w:rFonts w:eastAsia="黑体"/>
          <w:b/>
          <w:bCs/>
          <w:sz w:val="32"/>
          <w:szCs w:val="32"/>
        </w:rPr>
        <w:t>评审标准</w:t>
      </w:r>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p>
    <w:p>
      <w:pPr>
        <w:keepNext/>
        <w:keepLines/>
        <w:widowControl w:val="0"/>
        <w:numPr>
          <w:ilvl w:val="1"/>
          <w:numId w:val="12"/>
        </w:numPr>
        <w:tabs>
          <w:tab w:val="left" w:pos="993"/>
        </w:tabs>
        <w:spacing w:line="360" w:lineRule="auto"/>
        <w:ind w:left="315" w:firstLine="0"/>
        <w:textAlignment w:val="center"/>
        <w:outlineLvl w:val="2"/>
        <w:rPr>
          <w:rFonts w:eastAsia="黑体"/>
          <w:kern w:val="2"/>
          <w:sz w:val="28"/>
          <w:szCs w:val="28"/>
        </w:rPr>
      </w:pPr>
      <w:bookmarkStart w:id="1194" w:name="_Toc30978"/>
      <w:bookmarkStart w:id="1195" w:name="_Toc17342"/>
      <w:bookmarkStart w:id="1196" w:name="_Toc29428"/>
      <w:bookmarkStart w:id="1197" w:name="_Toc6000"/>
      <w:bookmarkStart w:id="1198" w:name="_Toc4600"/>
      <w:bookmarkStart w:id="1199" w:name="_Toc22168"/>
      <w:bookmarkStart w:id="1200" w:name="_Toc10543"/>
      <w:bookmarkStart w:id="1201" w:name="_Toc27352"/>
      <w:bookmarkStart w:id="1202" w:name="_Toc20174"/>
      <w:bookmarkStart w:id="1203" w:name="_Toc514430411"/>
      <w:bookmarkStart w:id="1204" w:name="_Toc22571"/>
      <w:bookmarkStart w:id="1205" w:name="_Toc24032"/>
      <w:bookmarkStart w:id="1206" w:name="_Toc18619"/>
      <w:bookmarkStart w:id="1207" w:name="_Toc23064"/>
      <w:bookmarkStart w:id="1208" w:name="_Toc26179"/>
      <w:bookmarkStart w:id="1209" w:name="_Toc26319"/>
      <w:bookmarkStart w:id="1210" w:name="_Toc23926"/>
      <w:r>
        <w:rPr>
          <w:rFonts w:eastAsia="黑体"/>
          <w:kern w:val="2"/>
          <w:sz w:val="28"/>
          <w:szCs w:val="28"/>
        </w:rPr>
        <w:t>初步评审标准</w:t>
      </w:r>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p>
    <w:p>
      <w:pPr>
        <w:numPr>
          <w:ilvl w:val="2"/>
          <w:numId w:val="12"/>
        </w:numPr>
        <w:tabs>
          <w:tab w:val="left" w:pos="993"/>
        </w:tabs>
        <w:spacing w:line="360" w:lineRule="auto"/>
        <w:ind w:left="0" w:firstLine="420" w:firstLineChars="200"/>
        <w:rPr>
          <w:rFonts w:eastAsia="宋体"/>
          <w:szCs w:val="21"/>
        </w:rPr>
      </w:pPr>
      <w:r>
        <w:rPr>
          <w:rFonts w:eastAsia="宋体"/>
          <w:szCs w:val="21"/>
        </w:rPr>
        <w:t>形式评审标准：见评标办法前附表。</w:t>
      </w:r>
    </w:p>
    <w:p>
      <w:pPr>
        <w:numPr>
          <w:ilvl w:val="2"/>
          <w:numId w:val="12"/>
        </w:numPr>
        <w:tabs>
          <w:tab w:val="left" w:pos="993"/>
        </w:tabs>
        <w:spacing w:line="360" w:lineRule="auto"/>
        <w:ind w:left="0" w:firstLine="420" w:firstLineChars="200"/>
        <w:rPr>
          <w:rFonts w:eastAsia="宋体"/>
          <w:szCs w:val="21"/>
        </w:rPr>
      </w:pPr>
      <w:r>
        <w:rPr>
          <w:rFonts w:eastAsia="宋体"/>
          <w:szCs w:val="21"/>
        </w:rPr>
        <w:t>资格评审标准：见评标办法前附表。</w:t>
      </w:r>
    </w:p>
    <w:p>
      <w:pPr>
        <w:numPr>
          <w:ilvl w:val="2"/>
          <w:numId w:val="12"/>
        </w:numPr>
        <w:tabs>
          <w:tab w:val="left" w:pos="993"/>
        </w:tabs>
        <w:spacing w:line="360" w:lineRule="auto"/>
        <w:ind w:left="0" w:firstLine="420" w:firstLineChars="200"/>
        <w:rPr>
          <w:rFonts w:eastAsia="宋体"/>
          <w:szCs w:val="21"/>
        </w:rPr>
      </w:pPr>
      <w:r>
        <w:rPr>
          <w:rFonts w:eastAsia="宋体"/>
          <w:szCs w:val="21"/>
        </w:rPr>
        <w:t>响应性评审标准：见评标办法前附表。</w:t>
      </w:r>
    </w:p>
    <w:p>
      <w:pPr>
        <w:keepNext/>
        <w:keepLines/>
        <w:widowControl w:val="0"/>
        <w:numPr>
          <w:ilvl w:val="1"/>
          <w:numId w:val="12"/>
        </w:numPr>
        <w:tabs>
          <w:tab w:val="left" w:pos="993"/>
        </w:tabs>
        <w:spacing w:line="360" w:lineRule="auto"/>
        <w:ind w:left="315" w:firstLine="0"/>
        <w:textAlignment w:val="center"/>
        <w:outlineLvl w:val="2"/>
        <w:rPr>
          <w:rFonts w:eastAsia="黑体"/>
          <w:kern w:val="2"/>
          <w:sz w:val="28"/>
          <w:szCs w:val="28"/>
        </w:rPr>
      </w:pPr>
      <w:bookmarkStart w:id="1211" w:name="_Toc30736"/>
      <w:bookmarkStart w:id="1212" w:name="_Toc15050"/>
      <w:bookmarkStart w:id="1213" w:name="_Toc22380"/>
      <w:bookmarkStart w:id="1214" w:name="_Toc23087"/>
      <w:bookmarkStart w:id="1215" w:name="_Toc12970"/>
      <w:bookmarkStart w:id="1216" w:name="_Toc28783"/>
      <w:bookmarkStart w:id="1217" w:name="_Toc15087"/>
      <w:bookmarkStart w:id="1218" w:name="_Toc9453"/>
      <w:bookmarkStart w:id="1219" w:name="_Toc514430412"/>
      <w:bookmarkStart w:id="1220" w:name="_Toc2789"/>
      <w:bookmarkStart w:id="1221" w:name="_Toc20242"/>
      <w:bookmarkStart w:id="1222" w:name="_Toc18918"/>
      <w:bookmarkStart w:id="1223" w:name="_Toc7744"/>
      <w:bookmarkStart w:id="1224" w:name="_Toc21664"/>
      <w:bookmarkStart w:id="1225" w:name="_Toc24592"/>
      <w:bookmarkStart w:id="1226" w:name="_Toc27824"/>
      <w:bookmarkStart w:id="1227" w:name="_Toc23031"/>
      <w:r>
        <w:rPr>
          <w:rFonts w:eastAsia="黑体"/>
          <w:kern w:val="2"/>
          <w:sz w:val="28"/>
          <w:szCs w:val="28"/>
        </w:rPr>
        <w:t>分值构成与评分标准</w:t>
      </w:r>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p>
    <w:p>
      <w:pPr>
        <w:numPr>
          <w:ilvl w:val="2"/>
          <w:numId w:val="12"/>
        </w:numPr>
        <w:tabs>
          <w:tab w:val="left" w:pos="993"/>
        </w:tabs>
        <w:spacing w:line="360" w:lineRule="auto"/>
        <w:ind w:left="0" w:firstLine="420" w:firstLineChars="200"/>
        <w:rPr>
          <w:rFonts w:eastAsia="宋体"/>
          <w:szCs w:val="21"/>
        </w:rPr>
      </w:pPr>
      <w:r>
        <w:rPr>
          <w:rFonts w:eastAsia="宋体"/>
          <w:szCs w:val="21"/>
        </w:rPr>
        <w:t>分值构成</w:t>
      </w:r>
    </w:p>
    <w:p>
      <w:pPr>
        <w:spacing w:line="360" w:lineRule="auto"/>
        <w:ind w:firstLine="420" w:firstLineChars="200"/>
        <w:rPr>
          <w:rFonts w:eastAsia="宋体"/>
          <w:szCs w:val="21"/>
        </w:rPr>
      </w:pPr>
      <w:r>
        <w:rPr>
          <w:rFonts w:eastAsia="宋体"/>
          <w:szCs w:val="21"/>
        </w:rPr>
        <w:t>（1）商务部分：见评标办法前附表；</w:t>
      </w:r>
    </w:p>
    <w:p>
      <w:pPr>
        <w:spacing w:line="360" w:lineRule="auto"/>
        <w:ind w:firstLine="420" w:firstLineChars="200"/>
        <w:rPr>
          <w:rFonts w:eastAsia="宋体"/>
          <w:szCs w:val="21"/>
        </w:rPr>
      </w:pPr>
      <w:r>
        <w:rPr>
          <w:rFonts w:eastAsia="宋体"/>
          <w:szCs w:val="21"/>
        </w:rPr>
        <w:t>（2）技术部分：见评标办法前附表；</w:t>
      </w:r>
    </w:p>
    <w:p>
      <w:pPr>
        <w:spacing w:line="360" w:lineRule="auto"/>
        <w:ind w:firstLine="420" w:firstLineChars="200"/>
        <w:rPr>
          <w:rFonts w:eastAsia="宋体"/>
          <w:szCs w:val="21"/>
        </w:rPr>
      </w:pPr>
      <w:r>
        <w:rPr>
          <w:rFonts w:eastAsia="宋体"/>
          <w:szCs w:val="21"/>
        </w:rPr>
        <w:t>（3）投标报价：见评标办法前附表；</w:t>
      </w:r>
    </w:p>
    <w:p>
      <w:pPr>
        <w:numPr>
          <w:ilvl w:val="2"/>
          <w:numId w:val="12"/>
        </w:numPr>
        <w:tabs>
          <w:tab w:val="left" w:pos="993"/>
        </w:tabs>
        <w:spacing w:line="360" w:lineRule="auto"/>
        <w:ind w:left="0" w:firstLine="420" w:firstLineChars="200"/>
        <w:rPr>
          <w:rFonts w:eastAsia="宋体"/>
          <w:szCs w:val="21"/>
        </w:rPr>
      </w:pPr>
      <w:r>
        <w:rPr>
          <w:rFonts w:eastAsia="宋体"/>
          <w:szCs w:val="21"/>
        </w:rPr>
        <w:t>评标基准价计算</w:t>
      </w:r>
    </w:p>
    <w:p>
      <w:pPr>
        <w:spacing w:line="360" w:lineRule="auto"/>
        <w:ind w:firstLine="420" w:firstLineChars="200"/>
        <w:rPr>
          <w:rFonts w:eastAsia="宋体"/>
          <w:szCs w:val="21"/>
        </w:rPr>
      </w:pPr>
      <w:r>
        <w:rPr>
          <w:rFonts w:eastAsia="宋体"/>
          <w:szCs w:val="21"/>
        </w:rPr>
        <w:t>评标基准价计算方法：见评标办法前附表。</w:t>
      </w:r>
    </w:p>
    <w:p>
      <w:pPr>
        <w:numPr>
          <w:ilvl w:val="2"/>
          <w:numId w:val="12"/>
        </w:numPr>
        <w:tabs>
          <w:tab w:val="left" w:pos="993"/>
        </w:tabs>
        <w:spacing w:line="360" w:lineRule="auto"/>
        <w:ind w:left="0" w:firstLine="420" w:firstLineChars="200"/>
        <w:rPr>
          <w:rFonts w:eastAsia="宋体"/>
          <w:szCs w:val="21"/>
        </w:rPr>
      </w:pPr>
      <w:r>
        <w:rPr>
          <w:rFonts w:eastAsia="宋体"/>
          <w:szCs w:val="21"/>
        </w:rPr>
        <w:t>投标报价的偏差率计算</w:t>
      </w:r>
    </w:p>
    <w:p>
      <w:pPr>
        <w:spacing w:line="360" w:lineRule="auto"/>
        <w:ind w:firstLine="420" w:firstLineChars="200"/>
        <w:rPr>
          <w:rFonts w:eastAsia="宋体"/>
          <w:szCs w:val="21"/>
        </w:rPr>
      </w:pPr>
      <w:r>
        <w:rPr>
          <w:rFonts w:eastAsia="宋体"/>
          <w:szCs w:val="21"/>
        </w:rPr>
        <w:t>投标报价的偏差率计算公式：见评标办法前附表。</w:t>
      </w:r>
    </w:p>
    <w:p>
      <w:pPr>
        <w:numPr>
          <w:ilvl w:val="2"/>
          <w:numId w:val="12"/>
        </w:numPr>
        <w:tabs>
          <w:tab w:val="left" w:pos="993"/>
        </w:tabs>
        <w:spacing w:line="360" w:lineRule="auto"/>
        <w:ind w:left="0" w:firstLine="420" w:firstLineChars="200"/>
        <w:rPr>
          <w:rFonts w:eastAsia="宋体"/>
          <w:szCs w:val="21"/>
        </w:rPr>
      </w:pPr>
      <w:r>
        <w:rPr>
          <w:rFonts w:eastAsia="宋体"/>
          <w:szCs w:val="21"/>
        </w:rPr>
        <w:t>评分标准</w:t>
      </w:r>
    </w:p>
    <w:p>
      <w:pPr>
        <w:spacing w:line="360" w:lineRule="auto"/>
        <w:ind w:firstLine="420" w:firstLineChars="200"/>
        <w:rPr>
          <w:rFonts w:eastAsia="宋体"/>
          <w:szCs w:val="21"/>
        </w:rPr>
      </w:pPr>
      <w:r>
        <w:rPr>
          <w:rFonts w:eastAsia="宋体"/>
          <w:szCs w:val="21"/>
        </w:rPr>
        <w:t>（1）商务评分标准：见评标办法前附表；</w:t>
      </w:r>
    </w:p>
    <w:p>
      <w:pPr>
        <w:spacing w:line="360" w:lineRule="auto"/>
        <w:ind w:firstLine="420" w:firstLineChars="200"/>
        <w:rPr>
          <w:rFonts w:eastAsia="宋体"/>
          <w:szCs w:val="21"/>
        </w:rPr>
      </w:pPr>
      <w:r>
        <w:rPr>
          <w:rFonts w:eastAsia="宋体"/>
          <w:szCs w:val="21"/>
        </w:rPr>
        <w:t>（2）技术评分标准：见评标办法前附表；</w:t>
      </w:r>
    </w:p>
    <w:p>
      <w:pPr>
        <w:spacing w:line="360" w:lineRule="auto"/>
        <w:ind w:firstLine="420" w:firstLineChars="200"/>
        <w:rPr>
          <w:rFonts w:eastAsia="宋体"/>
          <w:szCs w:val="21"/>
        </w:rPr>
      </w:pPr>
      <w:r>
        <w:rPr>
          <w:rFonts w:eastAsia="宋体"/>
          <w:szCs w:val="21"/>
        </w:rPr>
        <w:t>（3）投标报价评分标准：见评标办法前附表；</w:t>
      </w:r>
    </w:p>
    <w:p>
      <w:pPr>
        <w:keepNext/>
        <w:keepLines/>
        <w:numPr>
          <w:ilvl w:val="0"/>
          <w:numId w:val="12"/>
        </w:numPr>
        <w:spacing w:line="360" w:lineRule="auto"/>
        <w:ind w:left="210" w:leftChars="100" w:firstLine="0"/>
        <w:outlineLvl w:val="1"/>
        <w:rPr>
          <w:rFonts w:eastAsia="黑体"/>
          <w:b/>
          <w:bCs/>
          <w:sz w:val="32"/>
          <w:szCs w:val="32"/>
        </w:rPr>
      </w:pPr>
      <w:bookmarkStart w:id="1228" w:name="_Toc4980"/>
      <w:bookmarkStart w:id="1229" w:name="_Toc367"/>
      <w:bookmarkStart w:id="1230" w:name="_Toc8339"/>
      <w:bookmarkStart w:id="1231" w:name="_Toc6394"/>
      <w:bookmarkStart w:id="1232" w:name="_Toc11522"/>
      <w:bookmarkStart w:id="1233" w:name="_Toc11633"/>
      <w:bookmarkStart w:id="1234" w:name="_Toc9144"/>
      <w:bookmarkStart w:id="1235" w:name="_Toc1829"/>
      <w:bookmarkStart w:id="1236" w:name="_Toc18840"/>
      <w:bookmarkStart w:id="1237" w:name="_Toc6303"/>
      <w:bookmarkStart w:id="1238" w:name="_Toc20224"/>
      <w:bookmarkStart w:id="1239" w:name="_Toc22137"/>
      <w:bookmarkStart w:id="1240" w:name="_Toc17120"/>
      <w:bookmarkStart w:id="1241" w:name="_Toc32743"/>
      <w:bookmarkStart w:id="1242" w:name="_Toc514430413"/>
      <w:bookmarkStart w:id="1243" w:name="_Toc6620"/>
      <w:r>
        <w:rPr>
          <w:rFonts w:eastAsia="黑体"/>
          <w:b/>
          <w:bCs/>
          <w:sz w:val="32"/>
          <w:szCs w:val="32"/>
        </w:rPr>
        <w:t>评标程序</w:t>
      </w:r>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p>
    <w:p>
      <w:pPr>
        <w:keepNext/>
        <w:keepLines/>
        <w:widowControl w:val="0"/>
        <w:numPr>
          <w:ilvl w:val="1"/>
          <w:numId w:val="12"/>
        </w:numPr>
        <w:tabs>
          <w:tab w:val="left" w:pos="993"/>
        </w:tabs>
        <w:spacing w:line="360" w:lineRule="auto"/>
        <w:ind w:left="315" w:firstLine="0"/>
        <w:textAlignment w:val="center"/>
        <w:outlineLvl w:val="2"/>
        <w:rPr>
          <w:rFonts w:eastAsia="黑体"/>
          <w:kern w:val="2"/>
          <w:sz w:val="28"/>
          <w:szCs w:val="28"/>
        </w:rPr>
      </w:pPr>
      <w:bookmarkStart w:id="1244" w:name="_Toc7304"/>
      <w:bookmarkStart w:id="1245" w:name="_Toc6388"/>
      <w:bookmarkStart w:id="1246" w:name="_Toc32120"/>
      <w:bookmarkStart w:id="1247" w:name="_Toc16292"/>
      <w:bookmarkStart w:id="1248" w:name="_Toc8488"/>
      <w:bookmarkStart w:id="1249" w:name="_Toc89"/>
      <w:bookmarkStart w:id="1250" w:name="_Toc31551"/>
      <w:bookmarkStart w:id="1251" w:name="_Toc514430414"/>
      <w:bookmarkStart w:id="1252" w:name="_Toc29341"/>
      <w:bookmarkStart w:id="1253" w:name="_Toc27071"/>
      <w:bookmarkStart w:id="1254" w:name="_Toc806"/>
      <w:bookmarkStart w:id="1255" w:name="_Toc23206"/>
      <w:bookmarkStart w:id="1256" w:name="_Toc10756"/>
      <w:bookmarkStart w:id="1257" w:name="_Toc20887"/>
      <w:bookmarkStart w:id="1258" w:name="_Toc19937"/>
      <w:bookmarkStart w:id="1259" w:name="_Toc10596"/>
      <w:bookmarkStart w:id="1260" w:name="_Toc18804"/>
      <w:r>
        <w:rPr>
          <w:rFonts w:eastAsia="黑体"/>
          <w:kern w:val="2"/>
          <w:sz w:val="28"/>
          <w:szCs w:val="28"/>
        </w:rPr>
        <w:t>初步评审</w:t>
      </w:r>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p>
    <w:p>
      <w:pPr>
        <w:numPr>
          <w:ilvl w:val="2"/>
          <w:numId w:val="12"/>
        </w:numPr>
        <w:tabs>
          <w:tab w:val="left" w:pos="993"/>
        </w:tabs>
        <w:spacing w:line="360" w:lineRule="auto"/>
        <w:ind w:left="0" w:firstLine="420" w:firstLineChars="200"/>
        <w:rPr>
          <w:rFonts w:eastAsia="宋体"/>
          <w:szCs w:val="21"/>
        </w:rPr>
      </w:pPr>
      <w:r>
        <w:rPr>
          <w:rFonts w:eastAsia="宋体"/>
          <w:szCs w:val="21"/>
        </w:rPr>
        <w:t>评标委员会可以要求投标人提交第</w:t>
      </w:r>
      <w:r>
        <w:rPr>
          <w:rFonts w:ascii="宋体" w:hAnsi="宋体" w:eastAsia="宋体"/>
          <w:szCs w:val="21"/>
        </w:rPr>
        <w:t>二章“投标人须知”规</w:t>
      </w:r>
      <w:r>
        <w:rPr>
          <w:rFonts w:eastAsia="宋体"/>
          <w:szCs w:val="21"/>
        </w:rPr>
        <w:t>定的有关证明和证件的原件，以便核验。评标委员会依据本章第 2.1 款规定的标准对投标文件进行初步评审。有一项不符合评审标准的，评标委员会应当否决其投标。</w:t>
      </w:r>
    </w:p>
    <w:p>
      <w:pPr>
        <w:numPr>
          <w:ilvl w:val="2"/>
          <w:numId w:val="12"/>
        </w:numPr>
        <w:tabs>
          <w:tab w:val="left" w:pos="993"/>
        </w:tabs>
        <w:spacing w:line="360" w:lineRule="auto"/>
        <w:ind w:left="0" w:firstLine="420" w:firstLineChars="200"/>
        <w:rPr>
          <w:rFonts w:eastAsia="宋体"/>
          <w:szCs w:val="21"/>
        </w:rPr>
      </w:pPr>
      <w:r>
        <w:rPr>
          <w:rFonts w:eastAsia="宋体"/>
          <w:szCs w:val="21"/>
        </w:rPr>
        <w:t>投标人有以下情形之一的，评标委员会应当否决其投标：</w:t>
      </w:r>
    </w:p>
    <w:p>
      <w:pPr>
        <w:spacing w:line="360" w:lineRule="auto"/>
        <w:ind w:firstLine="420" w:firstLineChars="200"/>
        <w:rPr>
          <w:rFonts w:eastAsia="宋体"/>
          <w:szCs w:val="21"/>
        </w:rPr>
      </w:pPr>
      <w:r>
        <w:rPr>
          <w:rFonts w:eastAsia="宋体"/>
          <w:szCs w:val="21"/>
        </w:rPr>
        <w:t>（1）投标文件没有对招标文件的实质性要求和条件作出响应，或者对招标文件的偏差超出招标文件规定的偏差范围或最高项数；</w:t>
      </w:r>
    </w:p>
    <w:p>
      <w:pPr>
        <w:spacing w:line="360" w:lineRule="auto"/>
        <w:ind w:firstLine="420" w:firstLineChars="200"/>
        <w:rPr>
          <w:rFonts w:eastAsia="宋体"/>
          <w:szCs w:val="21"/>
        </w:rPr>
      </w:pPr>
      <w:r>
        <w:rPr>
          <w:rFonts w:eastAsia="宋体"/>
          <w:szCs w:val="21"/>
        </w:rPr>
        <w:t>（2）有串通投标、弄虚作假、行贿等违法行为。</w:t>
      </w:r>
    </w:p>
    <w:p>
      <w:pPr>
        <w:numPr>
          <w:ilvl w:val="2"/>
          <w:numId w:val="12"/>
        </w:numPr>
        <w:tabs>
          <w:tab w:val="left" w:pos="993"/>
        </w:tabs>
        <w:spacing w:line="360" w:lineRule="auto"/>
        <w:ind w:left="0" w:firstLine="420" w:firstLineChars="200"/>
        <w:rPr>
          <w:rFonts w:eastAsia="宋体"/>
          <w:szCs w:val="21"/>
        </w:rPr>
      </w:pPr>
      <w:r>
        <w:rPr>
          <w:rFonts w:eastAsia="宋体"/>
          <w:szCs w:val="21"/>
        </w:rPr>
        <w:t>投标报价有算术错误及其他错误的，评标委员会按以下原则要求投标人对投标报价进行修正，并要求投标人书面澄清确认。投标人拒不澄清确认的，评标委员会应当否决其投标：</w:t>
      </w:r>
    </w:p>
    <w:p>
      <w:pPr>
        <w:spacing w:line="360" w:lineRule="auto"/>
        <w:ind w:firstLine="420" w:firstLineChars="200"/>
        <w:rPr>
          <w:rFonts w:eastAsia="宋体"/>
          <w:szCs w:val="21"/>
        </w:rPr>
      </w:pPr>
      <w:r>
        <w:rPr>
          <w:rFonts w:eastAsia="宋体"/>
          <w:szCs w:val="21"/>
        </w:rPr>
        <w:t>（1）投标文件中的大写金额与小写金额不一致的，以大写金额为准；</w:t>
      </w:r>
    </w:p>
    <w:p>
      <w:pPr>
        <w:spacing w:line="360" w:lineRule="auto"/>
        <w:ind w:firstLine="420" w:firstLineChars="200"/>
        <w:rPr>
          <w:rFonts w:eastAsia="宋体"/>
          <w:szCs w:val="21"/>
        </w:rPr>
      </w:pPr>
      <w:r>
        <w:rPr>
          <w:rFonts w:eastAsia="宋体"/>
          <w:szCs w:val="21"/>
        </w:rPr>
        <w:t>（2）总价金额与单价金额不一致的，以单价金额为准，但单价金额小数点有明显错误的除外；</w:t>
      </w:r>
    </w:p>
    <w:p>
      <w:pPr>
        <w:spacing w:line="360" w:lineRule="auto"/>
        <w:ind w:firstLine="420" w:firstLineChars="200"/>
        <w:rPr>
          <w:rFonts w:eastAsia="宋体"/>
          <w:szCs w:val="21"/>
        </w:rPr>
      </w:pPr>
      <w:r>
        <w:rPr>
          <w:rFonts w:eastAsia="宋体"/>
          <w:szCs w:val="21"/>
        </w:rPr>
        <w:t>（3）投标报价为各分项报价金额之和，投标报价与分项报价的合价不一致的，应以各分项合价累计数为准，修正投标报价；</w:t>
      </w:r>
    </w:p>
    <w:p>
      <w:pPr>
        <w:spacing w:line="360" w:lineRule="auto"/>
        <w:ind w:firstLine="420" w:firstLineChars="200"/>
        <w:rPr>
          <w:rFonts w:eastAsia="宋体"/>
          <w:szCs w:val="21"/>
        </w:rPr>
      </w:pPr>
      <w:r>
        <w:rPr>
          <w:rFonts w:eastAsia="宋体"/>
          <w:szCs w:val="21"/>
        </w:rPr>
        <w:t>（4）如果分项报价中存在缺漏项，则视为缺漏项价格已包含在其他分项报价之中。</w:t>
      </w:r>
    </w:p>
    <w:p>
      <w:pPr>
        <w:pStyle w:val="3"/>
        <w:numPr>
          <w:ilvl w:val="0"/>
          <w:numId w:val="0"/>
        </w:numPr>
        <w:spacing w:before="0" w:after="0"/>
        <w:ind w:firstLine="420" w:firstLineChars="200"/>
        <w:rPr>
          <w:rFonts w:ascii="Times New Roman" w:hAnsi="Times New Roman" w:eastAsia="宋体"/>
          <w:b w:val="0"/>
          <w:bCs w:val="0"/>
          <w:sz w:val="21"/>
          <w:szCs w:val="21"/>
        </w:rPr>
      </w:pPr>
      <w:bookmarkStart w:id="1261" w:name="_Toc243"/>
      <w:bookmarkStart w:id="1262" w:name="_Toc9904"/>
      <w:bookmarkStart w:id="1263" w:name="_Toc2256"/>
      <w:r>
        <w:rPr>
          <w:rFonts w:ascii="Times New Roman" w:hAnsi="Times New Roman" w:eastAsia="宋体"/>
          <w:b w:val="0"/>
          <w:bCs w:val="0"/>
          <w:sz w:val="21"/>
          <w:szCs w:val="21"/>
        </w:rPr>
        <w:t>3.1.4如通过初步评审供应商不足三家的，评审小组应当终止评审，后续评审不再进行。</w:t>
      </w:r>
      <w:bookmarkEnd w:id="1261"/>
      <w:bookmarkEnd w:id="1262"/>
      <w:bookmarkEnd w:id="1263"/>
    </w:p>
    <w:p>
      <w:pPr>
        <w:keepNext/>
        <w:keepLines/>
        <w:widowControl w:val="0"/>
        <w:numPr>
          <w:ilvl w:val="1"/>
          <w:numId w:val="12"/>
        </w:numPr>
        <w:tabs>
          <w:tab w:val="left" w:pos="993"/>
        </w:tabs>
        <w:spacing w:line="360" w:lineRule="auto"/>
        <w:ind w:left="315" w:firstLine="0"/>
        <w:textAlignment w:val="center"/>
        <w:outlineLvl w:val="2"/>
        <w:rPr>
          <w:rFonts w:eastAsia="黑体"/>
          <w:kern w:val="2"/>
          <w:sz w:val="28"/>
          <w:szCs w:val="28"/>
        </w:rPr>
      </w:pPr>
      <w:bookmarkStart w:id="1264" w:name="_Toc28111"/>
      <w:bookmarkStart w:id="1265" w:name="_Toc1513"/>
      <w:bookmarkStart w:id="1266" w:name="_Toc24271"/>
      <w:bookmarkStart w:id="1267" w:name="_Toc23400"/>
      <w:bookmarkStart w:id="1268" w:name="_Toc6613"/>
      <w:bookmarkStart w:id="1269" w:name="_Toc3855"/>
      <w:bookmarkStart w:id="1270" w:name="_Toc29571"/>
      <w:bookmarkStart w:id="1271" w:name="_Toc12829"/>
      <w:bookmarkStart w:id="1272" w:name="_Toc11248"/>
      <w:bookmarkStart w:id="1273" w:name="_Toc514430415"/>
      <w:bookmarkStart w:id="1274" w:name="_Toc957"/>
      <w:bookmarkStart w:id="1275" w:name="_Toc3728"/>
      <w:bookmarkStart w:id="1276" w:name="_Toc11488"/>
      <w:bookmarkStart w:id="1277" w:name="_Toc25088"/>
      <w:bookmarkStart w:id="1278" w:name="_Toc491"/>
      <w:bookmarkStart w:id="1279" w:name="_Toc19434"/>
      <w:bookmarkStart w:id="1280" w:name="_Toc30867"/>
      <w:r>
        <w:rPr>
          <w:rFonts w:eastAsia="黑体"/>
          <w:kern w:val="2"/>
          <w:sz w:val="28"/>
          <w:szCs w:val="28"/>
        </w:rPr>
        <w:t>详细评审</w:t>
      </w:r>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p>
    <w:p>
      <w:pPr>
        <w:numPr>
          <w:ilvl w:val="2"/>
          <w:numId w:val="12"/>
        </w:numPr>
        <w:tabs>
          <w:tab w:val="left" w:pos="993"/>
        </w:tabs>
        <w:spacing w:line="360" w:lineRule="auto"/>
        <w:ind w:left="0" w:firstLine="420" w:firstLineChars="200"/>
        <w:rPr>
          <w:rFonts w:eastAsia="宋体"/>
          <w:szCs w:val="21"/>
        </w:rPr>
      </w:pPr>
      <w:r>
        <w:rPr>
          <w:rFonts w:eastAsia="宋体"/>
          <w:szCs w:val="21"/>
        </w:rPr>
        <w:t>评标委员会按本章第 2.2 款规定的量化因素和分值进行打分，并计算出综合评估得分。</w:t>
      </w:r>
    </w:p>
    <w:p>
      <w:pPr>
        <w:spacing w:line="360" w:lineRule="auto"/>
        <w:ind w:firstLine="420" w:firstLineChars="200"/>
        <w:rPr>
          <w:rFonts w:eastAsia="宋体"/>
          <w:szCs w:val="21"/>
        </w:rPr>
      </w:pPr>
      <w:r>
        <w:rPr>
          <w:rFonts w:eastAsia="宋体"/>
          <w:szCs w:val="21"/>
        </w:rPr>
        <w:t>（1）按本章第 2.2.4（1）目规定的评审因素和分值对商务部分计算出得分 A；</w:t>
      </w:r>
    </w:p>
    <w:p>
      <w:pPr>
        <w:spacing w:line="360" w:lineRule="auto"/>
        <w:ind w:firstLine="420" w:firstLineChars="200"/>
        <w:rPr>
          <w:rFonts w:eastAsia="宋体"/>
          <w:szCs w:val="21"/>
        </w:rPr>
      </w:pPr>
      <w:r>
        <w:rPr>
          <w:rFonts w:eastAsia="宋体"/>
          <w:szCs w:val="21"/>
        </w:rPr>
        <w:t>（2）按本章第 2.2.4（2）目规定的评审因素和分值对技术部分计算出得分 B；</w:t>
      </w:r>
    </w:p>
    <w:p>
      <w:pPr>
        <w:spacing w:line="360" w:lineRule="auto"/>
        <w:ind w:firstLine="420" w:firstLineChars="200"/>
        <w:rPr>
          <w:sz w:val="20"/>
          <w:szCs w:val="20"/>
        </w:rPr>
      </w:pPr>
      <w:r>
        <w:rPr>
          <w:rFonts w:eastAsia="宋体"/>
          <w:szCs w:val="21"/>
        </w:rPr>
        <w:t>（3）按本章第 2.2.4（3）目规定的评审因素和分值对投标报价计算出得分 C；</w:t>
      </w:r>
    </w:p>
    <w:p>
      <w:pPr>
        <w:numPr>
          <w:ilvl w:val="2"/>
          <w:numId w:val="12"/>
        </w:numPr>
        <w:tabs>
          <w:tab w:val="left" w:pos="993"/>
        </w:tabs>
        <w:spacing w:line="360" w:lineRule="auto"/>
        <w:ind w:left="0" w:firstLine="420" w:firstLineChars="200"/>
        <w:rPr>
          <w:rFonts w:eastAsia="宋体"/>
          <w:szCs w:val="21"/>
        </w:rPr>
      </w:pPr>
      <w:r>
        <w:rPr>
          <w:rFonts w:eastAsia="宋体"/>
          <w:szCs w:val="21"/>
        </w:rPr>
        <w:t>评分分值计算保留小数点后两位，小数点后第</w:t>
      </w:r>
      <w:r>
        <w:rPr>
          <w:rFonts w:ascii="宋体" w:hAnsi="宋体" w:eastAsia="宋体"/>
          <w:szCs w:val="21"/>
        </w:rPr>
        <w:t>三位“四舍五入”</w:t>
      </w:r>
      <w:r>
        <w:rPr>
          <w:rFonts w:eastAsia="宋体"/>
          <w:szCs w:val="21"/>
        </w:rPr>
        <w:t>。</w:t>
      </w:r>
    </w:p>
    <w:p>
      <w:pPr>
        <w:numPr>
          <w:ilvl w:val="2"/>
          <w:numId w:val="12"/>
        </w:numPr>
        <w:tabs>
          <w:tab w:val="left" w:pos="993"/>
        </w:tabs>
        <w:spacing w:line="360" w:lineRule="auto"/>
        <w:ind w:left="0" w:firstLine="420" w:firstLineChars="200"/>
        <w:rPr>
          <w:rFonts w:eastAsia="宋体"/>
          <w:szCs w:val="21"/>
        </w:rPr>
      </w:pPr>
      <w:r>
        <w:rPr>
          <w:rFonts w:eastAsia="宋体"/>
          <w:szCs w:val="21"/>
        </w:rPr>
        <w:t>投标人得分=A+B+C。</w:t>
      </w:r>
    </w:p>
    <w:p>
      <w:pPr>
        <w:numPr>
          <w:ilvl w:val="2"/>
          <w:numId w:val="12"/>
        </w:numPr>
        <w:tabs>
          <w:tab w:val="left" w:pos="993"/>
        </w:tabs>
        <w:spacing w:line="360" w:lineRule="auto"/>
        <w:ind w:left="0" w:firstLine="420" w:firstLineChars="200"/>
        <w:rPr>
          <w:rFonts w:eastAsia="宋体"/>
          <w:szCs w:val="21"/>
        </w:rPr>
      </w:pPr>
      <w:r>
        <w:rPr>
          <w:rFonts w:eastAsia="宋体"/>
          <w:szCs w:val="21"/>
        </w:rPr>
        <w:t>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keepNext/>
        <w:keepLines/>
        <w:widowControl w:val="0"/>
        <w:numPr>
          <w:ilvl w:val="1"/>
          <w:numId w:val="12"/>
        </w:numPr>
        <w:tabs>
          <w:tab w:val="left" w:pos="993"/>
        </w:tabs>
        <w:spacing w:line="360" w:lineRule="auto"/>
        <w:ind w:left="315" w:firstLine="0"/>
        <w:textAlignment w:val="center"/>
        <w:outlineLvl w:val="2"/>
        <w:rPr>
          <w:rFonts w:eastAsia="黑体"/>
          <w:kern w:val="2"/>
          <w:sz w:val="28"/>
          <w:szCs w:val="28"/>
        </w:rPr>
      </w:pPr>
      <w:bookmarkStart w:id="1281" w:name="_Toc31390"/>
      <w:bookmarkStart w:id="1282" w:name="_Toc12815"/>
      <w:bookmarkStart w:id="1283" w:name="_Toc12225"/>
      <w:bookmarkStart w:id="1284" w:name="_Toc22939"/>
      <w:bookmarkStart w:id="1285" w:name="_Toc946"/>
      <w:bookmarkStart w:id="1286" w:name="_Toc514430416"/>
      <w:bookmarkStart w:id="1287" w:name="_Toc5663"/>
      <w:bookmarkStart w:id="1288" w:name="_Toc3833"/>
      <w:bookmarkStart w:id="1289" w:name="_Toc10146"/>
      <w:bookmarkStart w:id="1290" w:name="_Toc9749"/>
      <w:bookmarkStart w:id="1291" w:name="_Toc19742"/>
      <w:bookmarkStart w:id="1292" w:name="_Toc22647"/>
      <w:bookmarkStart w:id="1293" w:name="_Toc21718"/>
      <w:bookmarkStart w:id="1294" w:name="_Toc5634"/>
      <w:bookmarkStart w:id="1295" w:name="_Toc20926"/>
      <w:bookmarkStart w:id="1296" w:name="_Toc13668"/>
      <w:bookmarkStart w:id="1297" w:name="_Toc8286"/>
      <w:r>
        <w:rPr>
          <w:rFonts w:eastAsia="黑体"/>
          <w:kern w:val="2"/>
          <w:sz w:val="28"/>
          <w:szCs w:val="28"/>
        </w:rPr>
        <w:t>投标文件的澄清</w:t>
      </w:r>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p>
    <w:p>
      <w:pPr>
        <w:numPr>
          <w:ilvl w:val="2"/>
          <w:numId w:val="12"/>
        </w:numPr>
        <w:tabs>
          <w:tab w:val="left" w:pos="993"/>
        </w:tabs>
        <w:spacing w:line="360" w:lineRule="auto"/>
        <w:ind w:left="0" w:firstLine="420" w:firstLineChars="200"/>
        <w:rPr>
          <w:rFonts w:eastAsia="宋体"/>
          <w:szCs w:val="21"/>
        </w:rPr>
      </w:pPr>
      <w:r>
        <w:rPr>
          <w:rFonts w:eastAsia="宋体"/>
          <w:szCs w:val="21"/>
        </w:rPr>
        <w:t>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numPr>
          <w:ilvl w:val="2"/>
          <w:numId w:val="12"/>
        </w:numPr>
        <w:tabs>
          <w:tab w:val="left" w:pos="993"/>
        </w:tabs>
        <w:spacing w:line="360" w:lineRule="auto"/>
        <w:ind w:left="0" w:firstLine="420" w:firstLineChars="200"/>
        <w:rPr>
          <w:rFonts w:eastAsia="宋体"/>
          <w:szCs w:val="21"/>
        </w:rPr>
      </w:pPr>
      <w:r>
        <w:rPr>
          <w:rFonts w:eastAsia="宋体"/>
          <w:szCs w:val="21"/>
        </w:rPr>
        <w:t>澄清、说明或补正不得超出投标文件的范围且不得改变投标文件的实质性内容，并构成投标文件的组成部分。</w:t>
      </w:r>
    </w:p>
    <w:p>
      <w:pPr>
        <w:numPr>
          <w:ilvl w:val="2"/>
          <w:numId w:val="12"/>
        </w:numPr>
        <w:tabs>
          <w:tab w:val="left" w:pos="993"/>
        </w:tabs>
        <w:spacing w:line="360" w:lineRule="auto"/>
        <w:ind w:left="0" w:firstLine="420" w:firstLineChars="200"/>
        <w:rPr>
          <w:rFonts w:eastAsia="宋体"/>
          <w:szCs w:val="21"/>
        </w:rPr>
      </w:pPr>
      <w:r>
        <w:rPr>
          <w:rFonts w:eastAsia="宋体"/>
          <w:szCs w:val="21"/>
        </w:rPr>
        <w:t>评标委员会对投标人提交的澄清、说明或补正有疑问的，可以要求投标人进一步澄清、说明或补正，直至满足评标委员会的要求。</w:t>
      </w:r>
    </w:p>
    <w:p>
      <w:pPr>
        <w:keepNext/>
        <w:keepLines/>
        <w:widowControl w:val="0"/>
        <w:numPr>
          <w:ilvl w:val="1"/>
          <w:numId w:val="12"/>
        </w:numPr>
        <w:tabs>
          <w:tab w:val="left" w:pos="993"/>
        </w:tabs>
        <w:spacing w:line="360" w:lineRule="auto"/>
        <w:ind w:left="315" w:firstLine="0"/>
        <w:textAlignment w:val="center"/>
        <w:outlineLvl w:val="2"/>
        <w:rPr>
          <w:rFonts w:eastAsia="黑体"/>
          <w:kern w:val="2"/>
          <w:sz w:val="28"/>
          <w:szCs w:val="28"/>
        </w:rPr>
      </w:pPr>
      <w:bookmarkStart w:id="1298" w:name="_Toc21519"/>
      <w:bookmarkStart w:id="1299" w:name="_Toc28424"/>
      <w:bookmarkStart w:id="1300" w:name="_Toc6804"/>
      <w:bookmarkStart w:id="1301" w:name="_Toc3865"/>
      <w:bookmarkStart w:id="1302" w:name="_Toc1532"/>
      <w:bookmarkStart w:id="1303" w:name="_Toc20405"/>
      <w:bookmarkStart w:id="1304" w:name="_Toc4978"/>
      <w:bookmarkStart w:id="1305" w:name="_Toc13133"/>
      <w:bookmarkStart w:id="1306" w:name="_Toc27969"/>
      <w:bookmarkStart w:id="1307" w:name="_Toc28237"/>
      <w:bookmarkStart w:id="1308" w:name="_Toc14897"/>
      <w:bookmarkStart w:id="1309" w:name="_Toc18873"/>
      <w:bookmarkStart w:id="1310" w:name="_Toc3726"/>
      <w:bookmarkStart w:id="1311" w:name="_Toc2578"/>
      <w:bookmarkStart w:id="1312" w:name="_Toc22103"/>
      <w:bookmarkStart w:id="1313" w:name="_Toc514430417"/>
      <w:bookmarkStart w:id="1314" w:name="_Toc1156"/>
      <w:r>
        <w:rPr>
          <w:rFonts w:eastAsia="黑体"/>
          <w:kern w:val="2"/>
          <w:sz w:val="28"/>
          <w:szCs w:val="28"/>
        </w:rPr>
        <w:t>评标结果</w:t>
      </w:r>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p>
    <w:p>
      <w:pPr>
        <w:numPr>
          <w:ilvl w:val="2"/>
          <w:numId w:val="12"/>
        </w:numPr>
        <w:tabs>
          <w:tab w:val="left" w:pos="993"/>
        </w:tabs>
        <w:spacing w:line="360" w:lineRule="auto"/>
        <w:ind w:left="0" w:firstLine="420" w:firstLineChars="200"/>
        <w:rPr>
          <w:rFonts w:eastAsia="宋体"/>
          <w:szCs w:val="21"/>
        </w:rPr>
      </w:pPr>
      <w:r>
        <w:rPr>
          <w:rFonts w:hint="eastAsia" w:eastAsia="宋体"/>
          <w:szCs w:val="21"/>
        </w:rPr>
        <w:t>第二章“投标人须知”前附表授权直接确定中标人外，评标委员会按照得分由高到低的顺序推荐中标人，并标明排序。</w:t>
      </w:r>
    </w:p>
    <w:p>
      <w:pPr>
        <w:numPr>
          <w:ilvl w:val="2"/>
          <w:numId w:val="12"/>
        </w:numPr>
        <w:tabs>
          <w:tab w:val="left" w:pos="993"/>
        </w:tabs>
        <w:spacing w:line="360" w:lineRule="auto"/>
        <w:ind w:left="0" w:firstLine="420" w:firstLineChars="200"/>
        <w:rPr>
          <w:rFonts w:eastAsia="宋体"/>
          <w:szCs w:val="21"/>
        </w:rPr>
      </w:pPr>
      <w:r>
        <w:rPr>
          <w:rFonts w:eastAsia="宋体"/>
          <w:szCs w:val="21"/>
        </w:rPr>
        <w:t>评标委员会完成评标后，应当向招标人提交书面评标报告和中标候选人名单。</w:t>
      </w:r>
    </w:p>
    <w:p>
      <w:pPr>
        <w:rPr>
          <w:rFonts w:ascii="宋体" w:hAnsi="宋体" w:eastAsia="宋体"/>
          <w:szCs w:val="21"/>
        </w:rPr>
      </w:pPr>
      <w:r>
        <w:rPr>
          <w:rFonts w:eastAsia="宋体"/>
          <w:szCs w:val="21"/>
        </w:rPr>
        <w:br w:type="page"/>
      </w:r>
    </w:p>
    <w:p>
      <w:pPr>
        <w:pStyle w:val="2"/>
        <w:numPr>
          <w:ilvl w:val="0"/>
          <w:numId w:val="2"/>
        </w:numPr>
        <w:tabs>
          <w:tab w:val="left" w:pos="1701"/>
        </w:tabs>
        <w:ind w:left="0" w:firstLine="0"/>
        <w:rPr>
          <w:rFonts w:ascii="宋体" w:hAnsi="宋体" w:cs="宋体"/>
        </w:rPr>
      </w:pPr>
      <w:bookmarkStart w:id="1315" w:name="page49"/>
      <w:bookmarkEnd w:id="1315"/>
      <w:bookmarkStart w:id="1316" w:name="page45"/>
      <w:bookmarkEnd w:id="1316"/>
      <w:bookmarkStart w:id="1317" w:name="_Toc22809"/>
      <w:bookmarkStart w:id="1318" w:name="_Toc14504"/>
      <w:bookmarkStart w:id="1319" w:name="_Toc20119"/>
      <w:bookmarkStart w:id="1320" w:name="_Toc16542"/>
      <w:bookmarkStart w:id="1321" w:name="_Toc17852"/>
      <w:bookmarkStart w:id="1322" w:name="_Toc1920"/>
      <w:bookmarkStart w:id="1323" w:name="_Toc32623"/>
      <w:bookmarkStart w:id="1324" w:name="_Toc5342"/>
      <w:bookmarkStart w:id="1325" w:name="_Toc24456"/>
      <w:bookmarkStart w:id="1326" w:name="_Toc18625"/>
      <w:bookmarkStart w:id="1327" w:name="_Toc23219"/>
      <w:bookmarkStart w:id="1328" w:name="_Toc24597"/>
      <w:bookmarkStart w:id="1329" w:name="_Toc5238"/>
      <w:bookmarkStart w:id="1330" w:name="_Toc21246"/>
      <w:bookmarkStart w:id="1331" w:name="_Toc15348"/>
      <w:bookmarkStart w:id="1332" w:name="_Toc514430418"/>
      <w:r>
        <w:rPr>
          <w:rFonts w:hint="eastAsia" w:ascii="宋体" w:hAnsi="宋体" w:cs="宋体"/>
        </w:rPr>
        <w:t>合同条款及格式</w:t>
      </w:r>
      <w:bookmarkEnd w:id="1317"/>
      <w:bookmarkEnd w:id="1318"/>
      <w:bookmarkEnd w:id="1319"/>
      <w:bookmarkEnd w:id="1320"/>
      <w:bookmarkEnd w:id="1321"/>
      <w:bookmarkEnd w:id="1322"/>
      <w:bookmarkEnd w:id="1323"/>
    </w:p>
    <w:p>
      <w:pPr>
        <w:spacing w:line="200" w:lineRule="exact"/>
        <w:rPr>
          <w:sz w:val="20"/>
          <w:szCs w:val="20"/>
        </w:rPr>
      </w:pPr>
    </w:p>
    <w:bookmarkEnd w:id="1324"/>
    <w:bookmarkEnd w:id="1325"/>
    <w:bookmarkEnd w:id="1326"/>
    <w:bookmarkEnd w:id="1327"/>
    <w:bookmarkEnd w:id="1328"/>
    <w:bookmarkEnd w:id="1329"/>
    <w:bookmarkEnd w:id="1330"/>
    <w:bookmarkEnd w:id="1331"/>
    <w:bookmarkEnd w:id="1332"/>
    <w:p>
      <w:pPr>
        <w:widowControl w:val="0"/>
        <w:kinsoku w:val="0"/>
        <w:overflowPunct w:val="0"/>
        <w:autoSpaceDE w:val="0"/>
        <w:autoSpaceDN w:val="0"/>
        <w:adjustRightInd w:val="0"/>
        <w:spacing w:line="360" w:lineRule="auto"/>
        <w:jc w:val="center"/>
        <w:outlineLvl w:val="1"/>
        <w:rPr>
          <w:rFonts w:ascii="宋体" w:hAnsi="宋体" w:eastAsia="宋体" w:cs="Microsoft JhengHei"/>
          <w:b/>
          <w:bCs/>
          <w:sz w:val="32"/>
          <w:szCs w:val="32"/>
        </w:rPr>
      </w:pPr>
      <w:bookmarkStart w:id="1333" w:name="_Toc13209"/>
      <w:bookmarkStart w:id="1334" w:name="_Toc4910"/>
      <w:bookmarkStart w:id="1335" w:name="_Toc5146"/>
      <w:bookmarkStart w:id="1336" w:name="_Toc10775"/>
      <w:bookmarkStart w:id="1337" w:name="_Toc11636"/>
      <w:bookmarkStart w:id="1338" w:name="_Toc31103"/>
      <w:bookmarkStart w:id="1339" w:name="_Toc25125"/>
      <w:r>
        <w:rPr>
          <w:rFonts w:hint="eastAsia" w:ascii="宋体" w:hAnsi="宋体" w:eastAsia="宋体" w:cs="Microsoft JhengHei"/>
          <w:b/>
          <w:bCs/>
          <w:sz w:val="32"/>
          <w:szCs w:val="32"/>
        </w:rPr>
        <w:t>第一部分 合同协议书</w:t>
      </w:r>
      <w:bookmarkEnd w:id="1333"/>
      <w:bookmarkEnd w:id="1334"/>
      <w:bookmarkEnd w:id="1335"/>
      <w:bookmarkEnd w:id="1336"/>
      <w:bookmarkEnd w:id="1337"/>
      <w:bookmarkEnd w:id="1338"/>
      <w:bookmarkEnd w:id="1339"/>
    </w:p>
    <w:p>
      <w:pPr>
        <w:widowControl w:val="0"/>
        <w:tabs>
          <w:tab w:val="left" w:pos="2457"/>
          <w:tab w:val="left" w:pos="4965"/>
          <w:tab w:val="left" w:pos="7483"/>
        </w:tabs>
        <w:kinsoku w:val="0"/>
        <w:overflowPunct w:val="0"/>
        <w:autoSpaceDE w:val="0"/>
        <w:autoSpaceDN w:val="0"/>
        <w:adjustRightInd w:val="0"/>
        <w:spacing w:line="360" w:lineRule="auto"/>
        <w:ind w:left="100" w:right="111" w:firstLine="359"/>
        <w:jc w:val="both"/>
        <w:rPr>
          <w:rFonts w:ascii="宋体" w:hAnsi="宋体" w:eastAsia="宋体" w:cs="宋体"/>
          <w:spacing w:val="-1"/>
          <w:w w:val="95"/>
          <w:szCs w:val="21"/>
        </w:rPr>
      </w:pPr>
      <w:r>
        <w:rPr>
          <w:rFonts w:hint="eastAsia" w:ascii="宋体" w:hAnsi="宋体" w:eastAsia="宋体"/>
          <w:spacing w:val="-1"/>
          <w:szCs w:val="21"/>
          <w:u w:val="single"/>
        </w:rPr>
        <w:t xml:space="preserve">       </w:t>
      </w:r>
      <w:r>
        <w:rPr>
          <w:rFonts w:hint="eastAsia" w:ascii="宋体" w:hAnsi="宋体" w:eastAsia="宋体" w:cs="宋体"/>
          <w:szCs w:val="21"/>
        </w:rPr>
        <w:t>（买方名称，以下简称</w:t>
      </w:r>
      <w:r>
        <w:rPr>
          <w:rFonts w:ascii="宋体" w:hAnsi="宋体" w:eastAsia="宋体" w:cs="宋体"/>
          <w:szCs w:val="21"/>
        </w:rPr>
        <w:t>“</w:t>
      </w:r>
      <w:r>
        <w:rPr>
          <w:rFonts w:hint="eastAsia" w:ascii="宋体" w:hAnsi="宋体" w:eastAsia="宋体" w:cs="宋体"/>
          <w:szCs w:val="21"/>
        </w:rPr>
        <w:t>买方</w:t>
      </w:r>
      <w:r>
        <w:rPr>
          <w:rFonts w:ascii="宋体" w:hAnsi="宋体" w:eastAsia="宋体" w:cs="宋体"/>
          <w:szCs w:val="21"/>
        </w:rPr>
        <w:t>”</w:t>
      </w:r>
      <w:r>
        <w:rPr>
          <w:rFonts w:hint="eastAsia" w:ascii="宋体" w:hAnsi="宋体" w:eastAsia="宋体" w:cs="宋体"/>
          <w:szCs w:val="21"/>
        </w:rPr>
        <w:t>）为获得</w:t>
      </w:r>
      <w:r>
        <w:rPr>
          <w:rFonts w:hint="eastAsia" w:ascii="宋体" w:hAnsi="宋体" w:eastAsia="宋体" w:cs="宋体"/>
          <w:szCs w:val="21"/>
          <w:u w:val="single"/>
        </w:rPr>
        <w:t>南通轨道交通集团有限公司运营分公司2024年1、2号线接触网车辆段增设可视化接地装置采购项目</w:t>
      </w:r>
      <w:r>
        <w:rPr>
          <w:rFonts w:hint="eastAsia" w:ascii="宋体" w:hAnsi="宋体" w:eastAsia="宋体" w:cs="宋体"/>
          <w:szCs w:val="21"/>
        </w:rPr>
        <w:t>（</w:t>
      </w:r>
      <w:r>
        <w:rPr>
          <w:rFonts w:hint="eastAsia" w:ascii="宋体" w:hAnsi="宋体" w:eastAsia="宋体" w:cs="宋体"/>
          <w:spacing w:val="-1"/>
          <w:szCs w:val="21"/>
        </w:rPr>
        <w:t>项目名称）合同相关服务，已接受</w:t>
      </w:r>
      <w:r>
        <w:rPr>
          <w:rFonts w:hint="eastAsia" w:ascii="宋体" w:hAnsi="宋体" w:eastAsia="宋体"/>
          <w:spacing w:val="-1"/>
          <w:szCs w:val="21"/>
          <w:u w:val="single"/>
        </w:rPr>
        <w:t xml:space="preserve">       </w:t>
      </w:r>
      <w:r>
        <w:rPr>
          <w:rFonts w:hint="eastAsia" w:ascii="宋体" w:hAnsi="宋体" w:eastAsia="宋体" w:cs="宋体"/>
          <w:szCs w:val="21"/>
        </w:rPr>
        <w:t>（卖方名称，以下简称</w:t>
      </w:r>
      <w:r>
        <w:rPr>
          <w:rFonts w:ascii="宋体" w:hAnsi="宋体" w:eastAsia="宋体" w:cs="宋体"/>
          <w:szCs w:val="21"/>
        </w:rPr>
        <w:t>“</w:t>
      </w:r>
      <w:r>
        <w:rPr>
          <w:rFonts w:hint="eastAsia" w:ascii="宋体" w:hAnsi="宋体" w:eastAsia="宋体" w:cs="宋体"/>
          <w:szCs w:val="21"/>
        </w:rPr>
        <w:t>卖方</w:t>
      </w:r>
      <w:r>
        <w:rPr>
          <w:rFonts w:ascii="宋体" w:hAnsi="宋体" w:eastAsia="宋体" w:cs="宋体"/>
          <w:szCs w:val="21"/>
        </w:rPr>
        <w:t>”</w:t>
      </w:r>
      <w:r>
        <w:rPr>
          <w:rFonts w:hint="eastAsia" w:ascii="宋体" w:hAnsi="宋体" w:eastAsia="宋体" w:cs="宋体"/>
          <w:szCs w:val="21"/>
        </w:rPr>
        <w:t>）为提供上述合同相关服务所作的投标，买方和卖方共同达成如下协议：</w:t>
      </w:r>
    </w:p>
    <w:p>
      <w:pPr>
        <w:widowControl w:val="0"/>
        <w:kinsoku w:val="0"/>
        <w:overflowPunct w:val="0"/>
        <w:autoSpaceDE w:val="0"/>
        <w:autoSpaceDN w:val="0"/>
        <w:adjustRightInd w:val="0"/>
        <w:spacing w:line="360" w:lineRule="auto"/>
        <w:ind w:left="520" w:right="113"/>
        <w:rPr>
          <w:rFonts w:ascii="宋体" w:hAnsi="宋体" w:eastAsia="宋体" w:cs="宋体"/>
          <w:szCs w:val="21"/>
        </w:rPr>
      </w:pPr>
      <w:r>
        <w:rPr>
          <w:rFonts w:ascii="宋体" w:hAnsi="宋体" w:eastAsia="宋体"/>
          <w:szCs w:val="21"/>
        </w:rPr>
        <w:t>1.</w:t>
      </w:r>
      <w:r>
        <w:rPr>
          <w:rFonts w:hint="eastAsia" w:ascii="宋体" w:hAnsi="宋体" w:eastAsia="宋体" w:cs="宋体"/>
          <w:szCs w:val="21"/>
        </w:rPr>
        <w:t>本协议书与下列文件一起构成合同文件：</w:t>
      </w:r>
    </w:p>
    <w:p>
      <w:pPr>
        <w:widowControl w:val="0"/>
        <w:kinsoku w:val="0"/>
        <w:overflowPunct w:val="0"/>
        <w:autoSpaceDE w:val="0"/>
        <w:autoSpaceDN w:val="0"/>
        <w:adjustRightInd w:val="0"/>
        <w:spacing w:line="360" w:lineRule="auto"/>
        <w:ind w:left="520" w:right="113"/>
        <w:rPr>
          <w:rFonts w:ascii="宋体" w:hAnsi="宋体" w:eastAsia="宋体" w:cs="宋体"/>
          <w:szCs w:val="21"/>
        </w:rPr>
      </w:pPr>
      <w:r>
        <w:rPr>
          <w:rFonts w:hint="eastAsia" w:ascii="宋体" w:hAnsi="宋体" w:eastAsia="宋体" w:cs="宋体"/>
          <w:szCs w:val="21"/>
        </w:rPr>
        <w:t>（</w:t>
      </w:r>
      <w:r>
        <w:rPr>
          <w:rFonts w:ascii="宋体" w:hAnsi="宋体" w:eastAsia="宋体"/>
          <w:szCs w:val="21"/>
        </w:rPr>
        <w:t>1</w:t>
      </w:r>
      <w:r>
        <w:rPr>
          <w:rFonts w:hint="eastAsia" w:ascii="宋体" w:hAnsi="宋体" w:eastAsia="宋体" w:cs="宋体"/>
          <w:szCs w:val="21"/>
        </w:rPr>
        <w:t>）中标通知书；</w:t>
      </w:r>
    </w:p>
    <w:p>
      <w:pPr>
        <w:widowControl w:val="0"/>
        <w:kinsoku w:val="0"/>
        <w:overflowPunct w:val="0"/>
        <w:autoSpaceDE w:val="0"/>
        <w:autoSpaceDN w:val="0"/>
        <w:adjustRightInd w:val="0"/>
        <w:spacing w:line="360" w:lineRule="auto"/>
        <w:ind w:left="520" w:right="113"/>
        <w:rPr>
          <w:rFonts w:ascii="宋体" w:hAnsi="宋体" w:eastAsia="宋体" w:cs="宋体"/>
          <w:szCs w:val="21"/>
        </w:rPr>
      </w:pPr>
      <w:r>
        <w:rPr>
          <w:rFonts w:hint="eastAsia" w:ascii="宋体" w:hAnsi="宋体" w:eastAsia="宋体" w:cs="宋体"/>
          <w:szCs w:val="21"/>
        </w:rPr>
        <w:t>（</w:t>
      </w:r>
      <w:r>
        <w:rPr>
          <w:rFonts w:hint="eastAsia" w:ascii="宋体" w:hAnsi="宋体" w:eastAsia="宋体"/>
          <w:szCs w:val="21"/>
        </w:rPr>
        <w:t>2</w:t>
      </w:r>
      <w:r>
        <w:rPr>
          <w:rFonts w:hint="eastAsia" w:ascii="宋体" w:hAnsi="宋体" w:eastAsia="宋体" w:cs="宋体"/>
          <w:szCs w:val="21"/>
        </w:rPr>
        <w:t>）合同条款；</w:t>
      </w:r>
    </w:p>
    <w:p>
      <w:pPr>
        <w:widowControl w:val="0"/>
        <w:kinsoku w:val="0"/>
        <w:overflowPunct w:val="0"/>
        <w:autoSpaceDE w:val="0"/>
        <w:autoSpaceDN w:val="0"/>
        <w:adjustRightInd w:val="0"/>
        <w:spacing w:line="360" w:lineRule="auto"/>
        <w:ind w:left="520" w:right="113"/>
        <w:rPr>
          <w:rFonts w:ascii="宋体" w:hAnsi="宋体" w:eastAsia="宋体" w:cs="宋体"/>
          <w:szCs w:val="21"/>
        </w:rPr>
      </w:pPr>
      <w:r>
        <w:rPr>
          <w:rFonts w:hint="eastAsia" w:ascii="宋体" w:hAnsi="宋体" w:eastAsia="宋体" w:cs="宋体"/>
          <w:szCs w:val="21"/>
        </w:rPr>
        <w:t>（</w:t>
      </w:r>
      <w:r>
        <w:rPr>
          <w:rFonts w:hint="eastAsia" w:ascii="宋体" w:hAnsi="宋体" w:eastAsia="宋体"/>
          <w:szCs w:val="21"/>
        </w:rPr>
        <w:t>3</w:t>
      </w:r>
      <w:r>
        <w:rPr>
          <w:rFonts w:hint="eastAsia" w:ascii="宋体" w:hAnsi="宋体" w:eastAsia="宋体" w:cs="宋体"/>
          <w:szCs w:val="21"/>
        </w:rPr>
        <w:t>）用户需求；</w:t>
      </w:r>
    </w:p>
    <w:p>
      <w:pPr>
        <w:widowControl w:val="0"/>
        <w:kinsoku w:val="0"/>
        <w:overflowPunct w:val="0"/>
        <w:autoSpaceDE w:val="0"/>
        <w:autoSpaceDN w:val="0"/>
        <w:adjustRightInd w:val="0"/>
        <w:spacing w:line="360" w:lineRule="auto"/>
        <w:ind w:left="520" w:right="113"/>
        <w:rPr>
          <w:rFonts w:ascii="宋体" w:hAnsi="宋体" w:eastAsia="宋体" w:cs="宋体"/>
          <w:szCs w:val="21"/>
        </w:rPr>
      </w:pPr>
      <w:r>
        <w:rPr>
          <w:rFonts w:hint="eastAsia" w:ascii="宋体" w:hAnsi="宋体" w:eastAsia="宋体" w:cs="宋体"/>
          <w:szCs w:val="21"/>
        </w:rPr>
        <w:t>（</w:t>
      </w:r>
      <w:r>
        <w:rPr>
          <w:rFonts w:hint="eastAsia" w:ascii="宋体" w:hAnsi="宋体" w:eastAsia="宋体"/>
          <w:szCs w:val="21"/>
        </w:rPr>
        <w:t>4</w:t>
      </w:r>
      <w:r>
        <w:rPr>
          <w:rFonts w:hint="eastAsia" w:ascii="宋体" w:hAnsi="宋体" w:eastAsia="宋体" w:cs="宋体"/>
          <w:szCs w:val="21"/>
        </w:rPr>
        <w:t>）报价表；</w:t>
      </w:r>
    </w:p>
    <w:p>
      <w:pPr>
        <w:widowControl w:val="0"/>
        <w:kinsoku w:val="0"/>
        <w:overflowPunct w:val="0"/>
        <w:autoSpaceDE w:val="0"/>
        <w:autoSpaceDN w:val="0"/>
        <w:adjustRightInd w:val="0"/>
        <w:spacing w:line="360" w:lineRule="auto"/>
        <w:ind w:left="520" w:right="113"/>
        <w:rPr>
          <w:rFonts w:ascii="宋体" w:hAnsi="宋体" w:eastAsia="宋体" w:cs="宋体"/>
          <w:szCs w:val="21"/>
        </w:rPr>
      </w:pPr>
      <w:r>
        <w:rPr>
          <w:rFonts w:hint="eastAsia" w:ascii="宋体" w:hAnsi="宋体" w:eastAsia="宋体" w:cs="宋体"/>
          <w:szCs w:val="21"/>
        </w:rPr>
        <w:t>（</w:t>
      </w:r>
      <w:r>
        <w:rPr>
          <w:rFonts w:hint="eastAsia" w:ascii="宋体" w:hAnsi="宋体" w:eastAsia="宋体"/>
          <w:szCs w:val="21"/>
        </w:rPr>
        <w:t>5</w:t>
      </w:r>
      <w:r>
        <w:rPr>
          <w:rFonts w:hint="eastAsia" w:ascii="宋体" w:hAnsi="宋体" w:eastAsia="宋体" w:cs="宋体"/>
          <w:szCs w:val="21"/>
        </w:rPr>
        <w:t>）相关项目计划；</w:t>
      </w:r>
    </w:p>
    <w:p>
      <w:pPr>
        <w:widowControl w:val="0"/>
        <w:kinsoku w:val="0"/>
        <w:overflowPunct w:val="0"/>
        <w:autoSpaceDE w:val="0"/>
        <w:autoSpaceDN w:val="0"/>
        <w:adjustRightInd w:val="0"/>
        <w:spacing w:line="360" w:lineRule="auto"/>
        <w:ind w:left="520" w:right="113"/>
        <w:rPr>
          <w:rFonts w:ascii="宋体" w:hAnsi="宋体" w:eastAsia="宋体" w:cs="宋体"/>
          <w:szCs w:val="21"/>
        </w:rPr>
      </w:pPr>
      <w:r>
        <w:rPr>
          <w:rFonts w:hint="eastAsia" w:ascii="宋体" w:hAnsi="宋体" w:eastAsia="宋体" w:cs="宋体"/>
          <w:szCs w:val="21"/>
        </w:rPr>
        <w:t>（</w:t>
      </w:r>
      <w:r>
        <w:rPr>
          <w:rFonts w:hint="eastAsia" w:ascii="宋体" w:hAnsi="宋体" w:eastAsia="宋体"/>
          <w:szCs w:val="21"/>
        </w:rPr>
        <w:t>6</w:t>
      </w:r>
      <w:r>
        <w:rPr>
          <w:rFonts w:hint="eastAsia" w:ascii="宋体" w:hAnsi="宋体" w:eastAsia="宋体" w:cs="宋体"/>
          <w:szCs w:val="21"/>
        </w:rPr>
        <w:t>）其他合同文件。</w:t>
      </w:r>
    </w:p>
    <w:p>
      <w:pPr>
        <w:widowControl w:val="0"/>
        <w:kinsoku w:val="0"/>
        <w:overflowPunct w:val="0"/>
        <w:autoSpaceDE w:val="0"/>
        <w:autoSpaceDN w:val="0"/>
        <w:adjustRightInd w:val="0"/>
        <w:spacing w:line="360" w:lineRule="auto"/>
        <w:ind w:left="100" w:right="113" w:firstLine="419"/>
        <w:rPr>
          <w:rFonts w:ascii="宋体" w:hAnsi="宋体" w:eastAsia="宋体" w:cs="宋体"/>
          <w:szCs w:val="21"/>
        </w:rPr>
      </w:pPr>
      <w:r>
        <w:rPr>
          <w:rFonts w:ascii="宋体" w:hAnsi="宋体" w:eastAsia="宋体"/>
          <w:szCs w:val="21"/>
        </w:rPr>
        <w:t>2.</w:t>
      </w:r>
      <w:r>
        <w:rPr>
          <w:rFonts w:hint="eastAsia" w:ascii="宋体" w:hAnsi="宋体" w:eastAsia="宋体" w:cs="宋体"/>
          <w:spacing w:val="-3"/>
          <w:szCs w:val="21"/>
        </w:rPr>
        <w:t>上述合同文件互相补充和解释。如果合同文件之间存在矛盾或不一致之处，以上述文件</w:t>
      </w:r>
      <w:r>
        <w:rPr>
          <w:rFonts w:hint="eastAsia" w:ascii="宋体" w:hAnsi="宋体" w:eastAsia="宋体" w:cs="宋体"/>
          <w:szCs w:val="21"/>
        </w:rPr>
        <w:t>的排列顺序在先者为准。</w:t>
      </w:r>
    </w:p>
    <w:p>
      <w:pPr>
        <w:widowControl w:val="0"/>
        <w:tabs>
          <w:tab w:val="left" w:pos="4984"/>
          <w:tab w:val="left" w:pos="6768"/>
        </w:tabs>
        <w:kinsoku w:val="0"/>
        <w:overflowPunct w:val="0"/>
        <w:autoSpaceDE w:val="0"/>
        <w:autoSpaceDN w:val="0"/>
        <w:adjustRightInd w:val="0"/>
        <w:spacing w:line="360" w:lineRule="auto"/>
        <w:ind w:left="520" w:right="113"/>
        <w:rPr>
          <w:rFonts w:ascii="宋体" w:hAnsi="宋体" w:eastAsia="宋体" w:cs="宋体"/>
          <w:spacing w:val="-53"/>
          <w:szCs w:val="21"/>
        </w:rPr>
      </w:pPr>
      <w:r>
        <w:rPr>
          <w:rFonts w:ascii="宋体" w:hAnsi="宋体" w:eastAsia="宋体"/>
          <w:szCs w:val="21"/>
        </w:rPr>
        <w:t>3.</w:t>
      </w:r>
      <w:r>
        <w:rPr>
          <w:rFonts w:hint="eastAsia" w:ascii="宋体" w:hAnsi="宋体" w:eastAsia="宋体" w:cs="宋体"/>
          <w:szCs w:val="21"/>
        </w:rPr>
        <w:t>签约合同价：暂定含税总价人民币（大写）</w:t>
      </w:r>
      <w:r>
        <w:rPr>
          <w:rFonts w:hint="eastAsia" w:ascii="宋体" w:hAnsi="宋体" w:eastAsia="宋体"/>
          <w:szCs w:val="21"/>
          <w:u w:val="single"/>
        </w:rPr>
        <w:t xml:space="preserve">            </w:t>
      </w:r>
      <w:r>
        <w:rPr>
          <w:rFonts w:hint="eastAsia" w:ascii="宋体" w:hAnsi="宋体" w:eastAsia="宋体" w:cs="宋体"/>
          <w:spacing w:val="-3"/>
          <w:szCs w:val="21"/>
        </w:rPr>
        <w:t>（</w:t>
      </w:r>
      <w:r>
        <w:rPr>
          <w:rFonts w:ascii="宋体" w:hAnsi="宋体" w:eastAsia="宋体"/>
          <w:spacing w:val="-3"/>
          <w:szCs w:val="21"/>
        </w:rPr>
        <w:t>¥</w:t>
      </w:r>
      <w:r>
        <w:rPr>
          <w:rFonts w:hint="eastAsia" w:ascii="宋体" w:hAnsi="宋体" w:eastAsia="宋体"/>
          <w:spacing w:val="-3"/>
          <w:szCs w:val="21"/>
          <w:u w:val="single"/>
        </w:rPr>
        <w:t xml:space="preserve">        </w:t>
      </w:r>
      <w:r>
        <w:rPr>
          <w:rFonts w:hint="eastAsia" w:ascii="宋体" w:hAnsi="宋体" w:eastAsia="宋体" w:cs="宋体"/>
          <w:spacing w:val="-53"/>
          <w:szCs w:val="21"/>
        </w:rPr>
        <w:t>）。</w:t>
      </w:r>
    </w:p>
    <w:p>
      <w:pPr>
        <w:widowControl w:val="0"/>
        <w:kinsoku w:val="0"/>
        <w:overflowPunct w:val="0"/>
        <w:autoSpaceDE w:val="0"/>
        <w:autoSpaceDN w:val="0"/>
        <w:adjustRightInd w:val="0"/>
        <w:spacing w:line="360" w:lineRule="auto"/>
        <w:ind w:left="520" w:right="113"/>
        <w:rPr>
          <w:rFonts w:ascii="宋体" w:hAnsi="宋体" w:eastAsia="宋体" w:cs="宋体"/>
          <w:szCs w:val="21"/>
        </w:rPr>
      </w:pPr>
      <w:r>
        <w:rPr>
          <w:rFonts w:ascii="宋体" w:hAnsi="宋体" w:eastAsia="宋体"/>
          <w:szCs w:val="21"/>
        </w:rPr>
        <w:t>4.</w:t>
      </w:r>
      <w:r>
        <w:rPr>
          <w:rFonts w:hint="eastAsia" w:ascii="宋体" w:hAnsi="宋体" w:eastAsia="宋体" w:cs="宋体"/>
          <w:szCs w:val="21"/>
        </w:rPr>
        <w:t>卖方承诺保证完全按照合同约定提供合同相关项目并修补缺陷。</w:t>
      </w:r>
    </w:p>
    <w:p>
      <w:pPr>
        <w:widowControl w:val="0"/>
        <w:kinsoku w:val="0"/>
        <w:overflowPunct w:val="0"/>
        <w:autoSpaceDE w:val="0"/>
        <w:autoSpaceDN w:val="0"/>
        <w:adjustRightInd w:val="0"/>
        <w:spacing w:line="360" w:lineRule="auto"/>
        <w:ind w:left="520" w:right="113"/>
        <w:rPr>
          <w:rFonts w:ascii="宋体" w:hAnsi="宋体" w:eastAsia="宋体" w:cs="宋体"/>
          <w:szCs w:val="21"/>
        </w:rPr>
      </w:pPr>
      <w:r>
        <w:rPr>
          <w:rFonts w:ascii="宋体" w:hAnsi="宋体" w:eastAsia="宋体"/>
          <w:szCs w:val="21"/>
        </w:rPr>
        <w:t>5.</w:t>
      </w:r>
      <w:r>
        <w:rPr>
          <w:rFonts w:hint="eastAsia" w:ascii="宋体" w:hAnsi="宋体" w:eastAsia="宋体" w:cs="宋体"/>
          <w:szCs w:val="21"/>
        </w:rPr>
        <w:t>买方承诺保证按照合同约定的条件、时间和方式向卖方支付合同价款。</w:t>
      </w:r>
    </w:p>
    <w:p>
      <w:pPr>
        <w:widowControl w:val="0"/>
        <w:tabs>
          <w:tab w:val="left" w:pos="3199"/>
          <w:tab w:val="left" w:pos="5614"/>
        </w:tabs>
        <w:kinsoku w:val="0"/>
        <w:overflowPunct w:val="0"/>
        <w:autoSpaceDE w:val="0"/>
        <w:autoSpaceDN w:val="0"/>
        <w:adjustRightInd w:val="0"/>
        <w:spacing w:line="360" w:lineRule="auto"/>
        <w:ind w:left="520" w:right="113"/>
        <w:rPr>
          <w:rFonts w:ascii="宋体" w:hAnsi="宋体" w:eastAsia="宋体" w:cs="宋体"/>
          <w:szCs w:val="21"/>
        </w:rPr>
      </w:pPr>
      <w:r>
        <w:rPr>
          <w:rFonts w:ascii="宋体" w:hAnsi="宋体" w:eastAsia="宋体"/>
          <w:szCs w:val="21"/>
        </w:rPr>
        <w:t>6.</w:t>
      </w:r>
      <w:r>
        <w:rPr>
          <w:rFonts w:hint="eastAsia" w:ascii="宋体" w:hAnsi="宋体" w:eastAsia="宋体" w:cs="宋体"/>
          <w:spacing w:val="-2"/>
          <w:szCs w:val="21"/>
        </w:rPr>
        <w:t>本合同正本贰份，合同双方各执壹份；副本捌份，甲方执陆份，乙方执贰份。</w:t>
      </w:r>
    </w:p>
    <w:p>
      <w:pPr>
        <w:widowControl w:val="0"/>
        <w:kinsoku w:val="0"/>
        <w:overflowPunct w:val="0"/>
        <w:autoSpaceDE w:val="0"/>
        <w:autoSpaceDN w:val="0"/>
        <w:adjustRightInd w:val="0"/>
        <w:spacing w:line="360" w:lineRule="auto"/>
        <w:ind w:left="520" w:right="113"/>
        <w:rPr>
          <w:rFonts w:ascii="宋体" w:hAnsi="宋体" w:eastAsia="宋体" w:cs="宋体"/>
          <w:szCs w:val="21"/>
        </w:rPr>
      </w:pPr>
      <w:r>
        <w:rPr>
          <w:rFonts w:ascii="宋体" w:hAnsi="宋体" w:eastAsia="宋体"/>
          <w:szCs w:val="21"/>
        </w:rPr>
        <w:t>7.</w:t>
      </w:r>
      <w:r>
        <w:rPr>
          <w:rFonts w:hint="eastAsia" w:ascii="宋体" w:hAnsi="宋体" w:eastAsia="宋体" w:cs="宋体"/>
          <w:szCs w:val="21"/>
        </w:rPr>
        <w:t>合同未尽事宜，双方另行签订补充协议，补充协议是合同的组成部分。</w:t>
      </w:r>
    </w:p>
    <w:tbl>
      <w:tblPr>
        <w:tblStyle w:val="60"/>
        <w:tblW w:w="9465" w:type="dxa"/>
        <w:tblInd w:w="0" w:type="dxa"/>
        <w:tblLayout w:type="fixed"/>
        <w:tblCellMar>
          <w:top w:w="0" w:type="dxa"/>
          <w:left w:w="108" w:type="dxa"/>
          <w:bottom w:w="0" w:type="dxa"/>
          <w:right w:w="108" w:type="dxa"/>
        </w:tblCellMar>
      </w:tblPr>
      <w:tblGrid>
        <w:gridCol w:w="4787"/>
        <w:gridCol w:w="4678"/>
      </w:tblGrid>
      <w:tr>
        <w:tblPrEx>
          <w:tblCellMar>
            <w:top w:w="0" w:type="dxa"/>
            <w:left w:w="108" w:type="dxa"/>
            <w:bottom w:w="0" w:type="dxa"/>
            <w:right w:w="108" w:type="dxa"/>
          </w:tblCellMar>
        </w:tblPrEx>
        <w:tc>
          <w:tcPr>
            <w:tcW w:w="4786" w:type="dxa"/>
            <w:noWrap w:val="0"/>
            <w:vAlign w:val="top"/>
          </w:tcPr>
          <w:p>
            <w:pPr>
              <w:widowControl w:val="0"/>
              <w:spacing w:before="151" w:beforeLines="50"/>
              <w:jc w:val="both"/>
              <w:rPr>
                <w:rFonts w:ascii="宋体" w:hAnsi="宋体" w:eastAsia="宋体"/>
                <w:kern w:val="2"/>
                <w:szCs w:val="21"/>
              </w:rPr>
            </w:pPr>
            <w:r>
              <w:rPr>
                <w:rFonts w:hint="eastAsia" w:ascii="宋体" w:hAnsi="宋体" w:eastAsia="宋体"/>
                <w:kern w:val="2"/>
                <w:szCs w:val="21"/>
              </w:rPr>
              <w:t>买方（盖章）：</w:t>
            </w:r>
            <w:r>
              <w:rPr>
                <w:rFonts w:hint="eastAsia" w:ascii="宋体" w:hAnsi="宋体" w:eastAsia="宋体"/>
                <w:kern w:val="2"/>
                <w:szCs w:val="24"/>
                <w:u w:val="single"/>
              </w:rPr>
              <w:t xml:space="preserve">                          </w:t>
            </w:r>
          </w:p>
          <w:p>
            <w:pPr>
              <w:widowControl w:val="0"/>
              <w:spacing w:before="151" w:beforeLines="50"/>
              <w:jc w:val="both"/>
              <w:rPr>
                <w:rFonts w:ascii="宋体" w:hAnsi="宋体" w:eastAsia="宋体"/>
                <w:kern w:val="2"/>
                <w:szCs w:val="21"/>
              </w:rPr>
            </w:pPr>
            <w:r>
              <w:rPr>
                <w:rFonts w:hint="eastAsia" w:ascii="宋体" w:hAnsi="宋体" w:eastAsia="宋体"/>
                <w:kern w:val="2"/>
                <w:szCs w:val="21"/>
              </w:rPr>
              <w:t>法定代表人或</w:t>
            </w:r>
          </w:p>
          <w:p>
            <w:pPr>
              <w:widowControl w:val="0"/>
              <w:spacing w:before="151" w:beforeLines="50"/>
              <w:jc w:val="both"/>
              <w:rPr>
                <w:rFonts w:ascii="宋体" w:hAnsi="宋体" w:eastAsia="宋体"/>
                <w:kern w:val="2"/>
                <w:szCs w:val="21"/>
              </w:rPr>
            </w:pPr>
            <w:r>
              <w:rPr>
                <w:rFonts w:hint="eastAsia" w:ascii="宋体" w:hAnsi="宋体" w:eastAsia="宋体"/>
                <w:kern w:val="2"/>
                <w:szCs w:val="21"/>
              </w:rPr>
              <w:t>其授权委托人（签字或盖章）：</w:t>
            </w:r>
            <w:r>
              <w:rPr>
                <w:rFonts w:hint="eastAsia" w:ascii="宋体" w:hAnsi="宋体" w:eastAsia="宋体"/>
                <w:kern w:val="2"/>
                <w:szCs w:val="24"/>
                <w:u w:val="single"/>
              </w:rPr>
              <w:t xml:space="preserve">            </w:t>
            </w:r>
          </w:p>
          <w:p>
            <w:pPr>
              <w:widowControl w:val="0"/>
              <w:spacing w:before="151" w:beforeLines="50"/>
              <w:jc w:val="both"/>
              <w:rPr>
                <w:rFonts w:ascii="宋体" w:hAnsi="宋体" w:eastAsia="宋体"/>
                <w:kern w:val="2"/>
                <w:szCs w:val="21"/>
              </w:rPr>
            </w:pPr>
            <w:r>
              <w:rPr>
                <w:rFonts w:hint="eastAsia" w:ascii="宋体" w:hAnsi="宋体" w:eastAsia="宋体"/>
                <w:kern w:val="2"/>
                <w:szCs w:val="21"/>
              </w:rPr>
              <w:t>日期：</w:t>
            </w:r>
          </w:p>
          <w:p>
            <w:pPr>
              <w:widowControl w:val="0"/>
              <w:autoSpaceDE w:val="0"/>
              <w:autoSpaceDN w:val="0"/>
              <w:adjustRightInd w:val="0"/>
              <w:spacing w:before="151" w:beforeLines="50"/>
              <w:rPr>
                <w:rFonts w:ascii="宋体" w:hAnsi="宋体" w:eastAsia="宋体"/>
                <w:szCs w:val="21"/>
              </w:rPr>
            </w:pPr>
            <w:r>
              <w:rPr>
                <w:rFonts w:hint="eastAsia" w:ascii="宋体" w:hAnsi="宋体" w:eastAsia="宋体"/>
                <w:szCs w:val="21"/>
              </w:rPr>
              <w:t xml:space="preserve">地址： </w:t>
            </w:r>
          </w:p>
          <w:p>
            <w:pPr>
              <w:widowControl w:val="0"/>
              <w:autoSpaceDE w:val="0"/>
              <w:autoSpaceDN w:val="0"/>
              <w:adjustRightInd w:val="0"/>
              <w:spacing w:before="151" w:beforeLines="50"/>
              <w:rPr>
                <w:rFonts w:ascii="宋体" w:hAnsi="宋体" w:eastAsia="宋体"/>
                <w:szCs w:val="21"/>
                <w:u w:val="single"/>
              </w:rPr>
            </w:pPr>
            <w:r>
              <w:rPr>
                <w:rFonts w:hint="eastAsia" w:ascii="宋体" w:hAnsi="宋体" w:eastAsia="宋体"/>
                <w:szCs w:val="21"/>
              </w:rPr>
              <w:t>电话：</w:t>
            </w:r>
            <w:r>
              <w:rPr>
                <w:rFonts w:hint="eastAsia" w:ascii="宋体" w:hAnsi="宋体" w:eastAsia="宋体"/>
                <w:szCs w:val="21"/>
                <w:u w:val="single"/>
              </w:rPr>
              <w:t xml:space="preserve">                    </w:t>
            </w:r>
          </w:p>
          <w:p>
            <w:pPr>
              <w:widowControl w:val="0"/>
              <w:spacing w:before="151" w:beforeLines="50"/>
              <w:jc w:val="both"/>
              <w:rPr>
                <w:rFonts w:ascii="宋体" w:hAnsi="宋体" w:eastAsia="宋体"/>
                <w:kern w:val="2"/>
                <w:szCs w:val="21"/>
              </w:rPr>
            </w:pPr>
            <w:r>
              <w:rPr>
                <w:rFonts w:hint="eastAsia" w:ascii="宋体" w:hAnsi="宋体" w:eastAsia="宋体"/>
                <w:szCs w:val="21"/>
              </w:rPr>
              <w:t>传真：</w:t>
            </w:r>
            <w:r>
              <w:rPr>
                <w:rFonts w:hint="eastAsia" w:ascii="宋体" w:hAnsi="宋体" w:eastAsia="宋体"/>
                <w:szCs w:val="21"/>
                <w:u w:val="single"/>
              </w:rPr>
              <w:t xml:space="preserve">                    </w:t>
            </w:r>
          </w:p>
        </w:tc>
        <w:tc>
          <w:tcPr>
            <w:tcW w:w="4678" w:type="dxa"/>
            <w:noWrap w:val="0"/>
            <w:vAlign w:val="top"/>
          </w:tcPr>
          <w:p>
            <w:pPr>
              <w:widowControl w:val="0"/>
              <w:spacing w:before="151" w:beforeLines="50"/>
              <w:jc w:val="both"/>
              <w:rPr>
                <w:rFonts w:ascii="宋体" w:hAnsi="宋体" w:eastAsia="宋体"/>
                <w:kern w:val="2"/>
                <w:szCs w:val="21"/>
              </w:rPr>
            </w:pPr>
            <w:r>
              <w:rPr>
                <w:rFonts w:hint="eastAsia" w:ascii="宋体" w:hAnsi="宋体" w:eastAsia="宋体"/>
                <w:kern w:val="2"/>
                <w:szCs w:val="21"/>
              </w:rPr>
              <w:t>卖方（盖章）：</w:t>
            </w:r>
            <w:r>
              <w:rPr>
                <w:rFonts w:hint="eastAsia" w:ascii="宋体" w:hAnsi="宋体" w:eastAsia="宋体"/>
                <w:kern w:val="2"/>
                <w:szCs w:val="24"/>
                <w:u w:val="single"/>
              </w:rPr>
              <w:t xml:space="preserve">                      </w:t>
            </w:r>
            <w:r>
              <w:rPr>
                <w:rFonts w:hint="eastAsia" w:ascii="宋体" w:hAnsi="宋体" w:eastAsia="宋体"/>
                <w:kern w:val="2"/>
                <w:szCs w:val="21"/>
              </w:rPr>
              <w:t xml:space="preserve">  </w:t>
            </w:r>
          </w:p>
          <w:p>
            <w:pPr>
              <w:widowControl w:val="0"/>
              <w:spacing w:before="151" w:beforeLines="50"/>
              <w:jc w:val="both"/>
              <w:rPr>
                <w:rFonts w:ascii="宋体" w:hAnsi="宋体" w:eastAsia="宋体"/>
                <w:kern w:val="2"/>
                <w:szCs w:val="21"/>
              </w:rPr>
            </w:pPr>
            <w:r>
              <w:rPr>
                <w:rFonts w:hint="eastAsia" w:ascii="宋体" w:hAnsi="宋体" w:eastAsia="宋体"/>
                <w:kern w:val="2"/>
                <w:szCs w:val="21"/>
              </w:rPr>
              <w:t>法定代表人或</w:t>
            </w:r>
          </w:p>
          <w:p>
            <w:pPr>
              <w:widowControl w:val="0"/>
              <w:spacing w:before="151" w:beforeLines="50"/>
              <w:jc w:val="both"/>
              <w:rPr>
                <w:rFonts w:ascii="宋体" w:hAnsi="宋体" w:eastAsia="宋体"/>
                <w:kern w:val="2"/>
                <w:szCs w:val="21"/>
              </w:rPr>
            </w:pPr>
            <w:r>
              <w:rPr>
                <w:rFonts w:hint="eastAsia" w:ascii="宋体" w:hAnsi="宋体" w:eastAsia="宋体"/>
                <w:kern w:val="2"/>
                <w:szCs w:val="21"/>
              </w:rPr>
              <w:t>其授权委托人（签字或盖章）：</w:t>
            </w:r>
            <w:r>
              <w:rPr>
                <w:rFonts w:hint="eastAsia" w:ascii="宋体" w:hAnsi="宋体" w:eastAsia="宋体"/>
                <w:kern w:val="2"/>
                <w:szCs w:val="24"/>
                <w:u w:val="single"/>
              </w:rPr>
              <w:t xml:space="preserve">        </w:t>
            </w:r>
          </w:p>
          <w:p>
            <w:pPr>
              <w:widowControl w:val="0"/>
              <w:spacing w:before="151" w:beforeLines="50"/>
              <w:jc w:val="both"/>
              <w:rPr>
                <w:rFonts w:ascii="宋体" w:hAnsi="宋体" w:eastAsia="宋体"/>
                <w:kern w:val="2"/>
                <w:szCs w:val="21"/>
              </w:rPr>
            </w:pPr>
            <w:r>
              <w:rPr>
                <w:rFonts w:hint="eastAsia" w:ascii="宋体" w:hAnsi="宋体" w:eastAsia="宋体"/>
                <w:kern w:val="2"/>
                <w:szCs w:val="21"/>
              </w:rPr>
              <w:t>日期：</w:t>
            </w:r>
          </w:p>
          <w:p>
            <w:pPr>
              <w:widowControl w:val="0"/>
              <w:spacing w:before="151" w:beforeLines="50"/>
              <w:jc w:val="both"/>
              <w:rPr>
                <w:rFonts w:ascii="宋体" w:hAnsi="宋体" w:eastAsia="宋体"/>
                <w:kern w:val="2"/>
                <w:u w:val="single"/>
              </w:rPr>
            </w:pPr>
            <w:r>
              <w:rPr>
                <w:rFonts w:hint="eastAsia" w:ascii="宋体" w:hAnsi="宋体" w:eastAsia="宋体"/>
                <w:kern w:val="2"/>
              </w:rPr>
              <w:t>地址：</w:t>
            </w:r>
            <w:r>
              <w:rPr>
                <w:rFonts w:hint="eastAsia" w:ascii="宋体" w:hAnsi="宋体" w:eastAsia="宋体"/>
                <w:kern w:val="2"/>
                <w:u w:val="single"/>
              </w:rPr>
              <w:t xml:space="preserve">                             </w:t>
            </w:r>
          </w:p>
          <w:p>
            <w:pPr>
              <w:widowControl w:val="0"/>
              <w:spacing w:before="151" w:beforeLines="50"/>
              <w:jc w:val="both"/>
              <w:rPr>
                <w:rFonts w:ascii="宋体" w:hAnsi="宋体" w:eastAsia="宋体"/>
                <w:kern w:val="2"/>
              </w:rPr>
            </w:pPr>
            <w:r>
              <w:rPr>
                <w:rFonts w:hint="eastAsia" w:ascii="宋体" w:hAnsi="宋体" w:eastAsia="宋体"/>
                <w:kern w:val="2"/>
              </w:rPr>
              <w:t>电话：</w:t>
            </w:r>
            <w:r>
              <w:rPr>
                <w:rFonts w:hint="eastAsia" w:ascii="宋体" w:hAnsi="宋体" w:eastAsia="宋体"/>
                <w:kern w:val="2"/>
                <w:u w:val="single"/>
              </w:rPr>
              <w:t xml:space="preserve">                             </w:t>
            </w:r>
          </w:p>
          <w:p>
            <w:pPr>
              <w:widowControl w:val="0"/>
              <w:spacing w:before="151" w:beforeLines="50"/>
              <w:jc w:val="both"/>
              <w:rPr>
                <w:rFonts w:ascii="宋体" w:hAnsi="宋体" w:eastAsia="宋体"/>
                <w:kern w:val="2"/>
                <w:szCs w:val="21"/>
              </w:rPr>
            </w:pPr>
            <w:r>
              <w:rPr>
                <w:rFonts w:hint="eastAsia" w:ascii="宋体" w:hAnsi="宋体" w:eastAsia="宋体"/>
                <w:kern w:val="2"/>
                <w:szCs w:val="24"/>
              </w:rPr>
              <w:t>传真：</w:t>
            </w:r>
            <w:r>
              <w:rPr>
                <w:rFonts w:hint="eastAsia" w:ascii="宋体" w:hAnsi="宋体" w:eastAsia="宋体"/>
                <w:kern w:val="2"/>
                <w:szCs w:val="24"/>
                <w:u w:val="single"/>
              </w:rPr>
              <w:t xml:space="preserve">                            </w:t>
            </w:r>
            <w:r>
              <w:rPr>
                <w:rFonts w:hint="eastAsia" w:ascii="宋体" w:hAnsi="宋体" w:eastAsia="宋体"/>
                <w:kern w:val="2"/>
                <w:szCs w:val="21"/>
                <w:u w:val="single"/>
              </w:rPr>
              <w:t xml:space="preserve"> </w:t>
            </w:r>
          </w:p>
        </w:tc>
      </w:tr>
    </w:tbl>
    <w:p>
      <w:pPr>
        <w:widowControl w:val="0"/>
        <w:jc w:val="both"/>
        <w:rPr>
          <w:rFonts w:ascii="Calibri" w:hAnsi="Calibri" w:eastAsia="宋体"/>
          <w:kern w:val="2"/>
          <w:szCs w:val="24"/>
        </w:rPr>
      </w:pPr>
    </w:p>
    <w:p>
      <w:pPr>
        <w:widowControl w:val="0"/>
        <w:kinsoku w:val="0"/>
        <w:overflowPunct w:val="0"/>
        <w:autoSpaceDE w:val="0"/>
        <w:autoSpaceDN w:val="0"/>
        <w:adjustRightInd w:val="0"/>
        <w:spacing w:line="360" w:lineRule="auto"/>
        <w:jc w:val="center"/>
        <w:outlineLvl w:val="1"/>
        <w:rPr>
          <w:rFonts w:ascii="宋体" w:hAnsi="宋体" w:eastAsia="宋体" w:cs="Microsoft JhengHei"/>
          <w:b/>
          <w:bCs/>
          <w:sz w:val="32"/>
          <w:szCs w:val="32"/>
        </w:rPr>
      </w:pPr>
      <w:r>
        <w:rPr>
          <w:rFonts w:ascii="宋体" w:hAnsi="宋体" w:eastAsia="宋体" w:cs="Microsoft JhengHei"/>
          <w:b/>
          <w:bCs/>
          <w:sz w:val="32"/>
          <w:szCs w:val="32"/>
        </w:rPr>
        <w:br w:type="page"/>
      </w:r>
      <w:bookmarkStart w:id="1340" w:name="_Toc9851"/>
      <w:bookmarkStart w:id="1341" w:name="_Toc21267"/>
      <w:bookmarkStart w:id="1342" w:name="_Toc3901"/>
      <w:bookmarkStart w:id="1343" w:name="_Toc5910"/>
      <w:bookmarkStart w:id="1344" w:name="_Toc21085"/>
      <w:bookmarkStart w:id="1345" w:name="_Toc3568"/>
      <w:bookmarkStart w:id="1346" w:name="_Toc25997"/>
      <w:r>
        <w:rPr>
          <w:rFonts w:hint="eastAsia" w:ascii="宋体" w:hAnsi="宋体" w:eastAsia="宋体" w:cs="Microsoft JhengHei"/>
          <w:b/>
          <w:bCs/>
          <w:sz w:val="32"/>
          <w:szCs w:val="32"/>
        </w:rPr>
        <w:t>第二部分 中标通知书</w:t>
      </w:r>
      <w:bookmarkEnd w:id="1340"/>
      <w:bookmarkEnd w:id="1341"/>
      <w:bookmarkEnd w:id="1342"/>
      <w:bookmarkEnd w:id="1343"/>
      <w:bookmarkEnd w:id="1344"/>
      <w:bookmarkEnd w:id="1345"/>
      <w:bookmarkEnd w:id="1346"/>
    </w:p>
    <w:p>
      <w:pPr>
        <w:widowControl w:val="0"/>
        <w:jc w:val="both"/>
        <w:rPr>
          <w:rFonts w:ascii="Calibri" w:hAnsi="Calibri" w:eastAsia="宋体"/>
          <w:kern w:val="2"/>
          <w:szCs w:val="24"/>
        </w:rPr>
      </w:pPr>
    </w:p>
    <w:p>
      <w:pPr>
        <w:rPr>
          <w:rFonts w:ascii="宋体" w:hAnsi="宋体" w:eastAsia="宋体" w:cs="Microsoft JhengHei"/>
          <w:b/>
          <w:bCs/>
          <w:sz w:val="32"/>
          <w:szCs w:val="32"/>
        </w:rPr>
      </w:pPr>
      <w:r>
        <w:rPr>
          <w:rFonts w:ascii="宋体" w:hAnsi="宋体" w:eastAsia="宋体" w:cs="Microsoft JhengHei"/>
          <w:b/>
          <w:bCs/>
          <w:sz w:val="32"/>
          <w:szCs w:val="32"/>
        </w:rPr>
        <w:br w:type="page"/>
      </w:r>
    </w:p>
    <w:p>
      <w:pPr>
        <w:widowControl w:val="0"/>
        <w:kinsoku w:val="0"/>
        <w:overflowPunct w:val="0"/>
        <w:autoSpaceDE w:val="0"/>
        <w:autoSpaceDN w:val="0"/>
        <w:adjustRightInd w:val="0"/>
        <w:spacing w:line="360" w:lineRule="auto"/>
        <w:jc w:val="center"/>
        <w:outlineLvl w:val="1"/>
        <w:rPr>
          <w:rFonts w:ascii="宋体" w:hAnsi="宋体" w:eastAsia="宋体" w:cs="Microsoft JhengHei"/>
          <w:b/>
          <w:bCs/>
          <w:sz w:val="32"/>
          <w:szCs w:val="32"/>
        </w:rPr>
      </w:pPr>
      <w:bookmarkStart w:id="1347" w:name="_Toc23227"/>
      <w:bookmarkStart w:id="1348" w:name="_Toc4917"/>
      <w:bookmarkStart w:id="1349" w:name="_Toc22482"/>
      <w:bookmarkStart w:id="1350" w:name="_Toc1405"/>
      <w:bookmarkStart w:id="1351" w:name="_Toc26731"/>
      <w:bookmarkStart w:id="1352" w:name="_Toc25449"/>
      <w:bookmarkStart w:id="1353" w:name="_Toc14346"/>
      <w:r>
        <w:rPr>
          <w:rFonts w:hint="eastAsia" w:ascii="宋体" w:hAnsi="宋体" w:eastAsia="宋体" w:cs="Microsoft JhengHei"/>
          <w:b/>
          <w:bCs/>
          <w:sz w:val="32"/>
          <w:szCs w:val="32"/>
        </w:rPr>
        <w:t>第三部分 合同条款</w:t>
      </w:r>
      <w:bookmarkEnd w:id="1347"/>
      <w:bookmarkEnd w:id="1348"/>
      <w:bookmarkEnd w:id="1349"/>
      <w:bookmarkEnd w:id="1350"/>
      <w:bookmarkEnd w:id="1351"/>
      <w:bookmarkEnd w:id="1352"/>
      <w:bookmarkEnd w:id="1353"/>
    </w:p>
    <w:p>
      <w:pPr>
        <w:widowControl w:val="0"/>
        <w:kinsoku w:val="0"/>
        <w:overflowPunct w:val="0"/>
        <w:autoSpaceDE w:val="0"/>
        <w:autoSpaceDN w:val="0"/>
        <w:adjustRightInd w:val="0"/>
        <w:spacing w:line="360" w:lineRule="auto"/>
        <w:ind w:left="100"/>
        <w:outlineLvl w:val="2"/>
        <w:rPr>
          <w:rFonts w:ascii="黑体" w:hAnsi="黑体" w:eastAsia="黑体"/>
          <w:bCs/>
          <w:sz w:val="32"/>
          <w:szCs w:val="32"/>
        </w:rPr>
      </w:pPr>
      <w:bookmarkStart w:id="1354" w:name="bookmark105"/>
      <w:bookmarkEnd w:id="1354"/>
      <w:bookmarkStart w:id="1355" w:name="_Toc17711"/>
      <w:bookmarkStart w:id="1356" w:name="_Toc14855"/>
      <w:bookmarkStart w:id="1357" w:name="_Toc13828"/>
      <w:r>
        <w:rPr>
          <w:rFonts w:ascii="黑体" w:hAnsi="黑体" w:eastAsia="黑体"/>
          <w:bCs/>
          <w:sz w:val="32"/>
          <w:szCs w:val="32"/>
        </w:rPr>
        <w:t>1.</w:t>
      </w:r>
      <w:r>
        <w:rPr>
          <w:rFonts w:hint="eastAsia" w:ascii="黑体" w:hAnsi="黑体" w:eastAsia="黑体"/>
          <w:bCs/>
          <w:sz w:val="32"/>
          <w:szCs w:val="32"/>
        </w:rPr>
        <w:t>一般约定</w:t>
      </w:r>
      <w:bookmarkEnd w:id="1355"/>
      <w:bookmarkEnd w:id="1356"/>
      <w:bookmarkEnd w:id="1357"/>
    </w:p>
    <w:p>
      <w:pPr>
        <w:widowControl w:val="0"/>
        <w:kinsoku w:val="0"/>
        <w:overflowPunct w:val="0"/>
        <w:autoSpaceDE w:val="0"/>
        <w:autoSpaceDN w:val="0"/>
        <w:adjustRightInd w:val="0"/>
        <w:spacing w:line="360" w:lineRule="auto"/>
        <w:ind w:left="237"/>
        <w:outlineLvl w:val="3"/>
        <w:rPr>
          <w:rFonts w:ascii="宋体" w:hAnsi="宋体" w:eastAsia="宋体" w:cs="宋体"/>
          <w:b/>
          <w:sz w:val="28"/>
          <w:szCs w:val="28"/>
        </w:rPr>
      </w:pPr>
      <w:bookmarkStart w:id="1358" w:name="bookmark106"/>
      <w:bookmarkEnd w:id="1358"/>
      <w:bookmarkStart w:id="1359" w:name="_Toc6383"/>
      <w:r>
        <w:rPr>
          <w:rFonts w:ascii="宋体" w:hAnsi="宋体" w:eastAsia="宋体"/>
          <w:b/>
          <w:sz w:val="28"/>
          <w:szCs w:val="28"/>
        </w:rPr>
        <w:t xml:space="preserve">1.1 </w:t>
      </w:r>
      <w:r>
        <w:rPr>
          <w:rFonts w:ascii="宋体" w:hAnsi="宋体" w:eastAsia="宋体"/>
          <w:b/>
          <w:spacing w:val="1"/>
          <w:sz w:val="28"/>
          <w:szCs w:val="28"/>
        </w:rPr>
        <w:t xml:space="preserve"> </w:t>
      </w:r>
      <w:r>
        <w:rPr>
          <w:rFonts w:hint="eastAsia" w:ascii="宋体" w:eastAsia="宋体" w:cs="宋体"/>
          <w:b/>
          <w:sz w:val="28"/>
          <w:szCs w:val="28"/>
        </w:rPr>
        <w:t>词语定义</w:t>
      </w:r>
      <w:bookmarkEnd w:id="1359"/>
    </w:p>
    <w:p>
      <w:pPr>
        <w:widowControl w:val="0"/>
        <w:kinsoku w:val="0"/>
        <w:overflowPunct w:val="0"/>
        <w:autoSpaceDE w:val="0"/>
        <w:autoSpaceDN w:val="0"/>
        <w:adjustRightInd w:val="0"/>
        <w:spacing w:line="360" w:lineRule="auto"/>
        <w:ind w:firstLine="422" w:firstLineChars="200"/>
        <w:outlineLvl w:val="4"/>
        <w:rPr>
          <w:rFonts w:ascii="宋体" w:hAnsi="宋体" w:eastAsia="宋体" w:cs="Microsoft JhengHei"/>
          <w:szCs w:val="21"/>
        </w:rPr>
      </w:pPr>
      <w:bookmarkStart w:id="1360" w:name="_Toc14011"/>
      <w:r>
        <w:rPr>
          <w:rFonts w:ascii="宋体" w:hAnsi="宋体" w:eastAsia="宋体"/>
          <w:b/>
          <w:bCs/>
          <w:szCs w:val="21"/>
        </w:rPr>
        <w:t xml:space="preserve">1.1.1 </w:t>
      </w:r>
      <w:r>
        <w:rPr>
          <w:rFonts w:ascii="宋体" w:hAnsi="宋体" w:eastAsia="宋体"/>
          <w:b/>
          <w:bCs/>
          <w:spacing w:val="2"/>
          <w:szCs w:val="21"/>
        </w:rPr>
        <w:t xml:space="preserve"> </w:t>
      </w:r>
      <w:r>
        <w:rPr>
          <w:rFonts w:hint="eastAsia" w:ascii="宋体" w:hAnsi="宋体" w:eastAsia="宋体" w:cs="Microsoft JhengHei"/>
          <w:b/>
          <w:bCs/>
          <w:szCs w:val="21"/>
        </w:rPr>
        <w:t>合同</w:t>
      </w:r>
      <w:bookmarkEnd w:id="1360"/>
    </w:p>
    <w:p>
      <w:pPr>
        <w:widowControl w:val="0"/>
        <w:kinsoku w:val="0"/>
        <w:overflowPunct w:val="0"/>
        <w:autoSpaceDE w:val="0"/>
        <w:autoSpaceDN w:val="0"/>
        <w:spacing w:line="360" w:lineRule="auto"/>
        <w:ind w:firstLine="420" w:firstLineChars="200"/>
        <w:jc w:val="both"/>
        <w:rPr>
          <w:rFonts w:ascii="宋体" w:hAnsi="宋体" w:eastAsia="宋体" w:cs="宋体"/>
          <w:szCs w:val="21"/>
        </w:rPr>
      </w:pPr>
      <w:r>
        <w:rPr>
          <w:rFonts w:ascii="宋体" w:hAnsi="宋体" w:eastAsia="宋体"/>
          <w:szCs w:val="21"/>
        </w:rPr>
        <w:t>1.1.1.1</w:t>
      </w:r>
      <w:r>
        <w:rPr>
          <w:rFonts w:ascii="宋体" w:hAnsi="宋体" w:eastAsia="宋体"/>
          <w:spacing w:val="45"/>
          <w:szCs w:val="21"/>
        </w:rPr>
        <w:t xml:space="preserve"> </w:t>
      </w:r>
      <w:r>
        <w:rPr>
          <w:rFonts w:hint="eastAsia" w:ascii="宋体" w:hAnsi="宋体" w:eastAsia="宋体" w:cs="宋体"/>
          <w:spacing w:val="-8"/>
          <w:szCs w:val="21"/>
        </w:rPr>
        <w:t>合同文件（或称合同）：指合同协议书、</w:t>
      </w:r>
      <w:r>
        <w:rPr>
          <w:rFonts w:hint="eastAsia" w:ascii="宋体" w:hAnsi="宋体" w:eastAsia="宋体" w:cs="宋体"/>
          <w:spacing w:val="-1"/>
          <w:szCs w:val="21"/>
        </w:rPr>
        <w:t>合同条款、项目要求、报价表、中选材料质量标准的详细描述、相关</w:t>
      </w:r>
      <w:r>
        <w:rPr>
          <w:rFonts w:hint="eastAsia" w:ascii="宋体" w:hAnsi="宋体" w:eastAsia="宋体" w:cs="宋体"/>
          <w:spacing w:val="-39"/>
          <w:szCs w:val="21"/>
        </w:rPr>
        <w:t xml:space="preserve"> </w:t>
      </w:r>
      <w:r>
        <w:rPr>
          <w:rFonts w:hint="eastAsia" w:ascii="宋体" w:hAnsi="宋体" w:eastAsia="宋体" w:cs="宋体"/>
          <w:szCs w:val="21"/>
        </w:rPr>
        <w:t>服务计划，以及其他构成合同组成部分的文件。</w:t>
      </w:r>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ascii="宋体" w:hAnsi="宋体" w:eastAsia="宋体"/>
          <w:szCs w:val="21"/>
        </w:rPr>
        <w:t xml:space="preserve">1.1.1.2 </w:t>
      </w:r>
      <w:r>
        <w:rPr>
          <w:rFonts w:hint="eastAsia" w:ascii="宋体" w:hAnsi="宋体" w:eastAsia="宋体"/>
          <w:szCs w:val="21"/>
        </w:rPr>
        <w:t>合同协议书：指买方和卖方共同签署的合同协议书。</w:t>
      </w:r>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ascii="宋体" w:hAnsi="宋体" w:eastAsia="宋体"/>
          <w:szCs w:val="21"/>
        </w:rPr>
        <w:t xml:space="preserve">1.1.1.3 </w:t>
      </w:r>
      <w:r>
        <w:rPr>
          <w:rFonts w:hint="eastAsia" w:ascii="宋体" w:hAnsi="宋体" w:eastAsia="宋体"/>
          <w:szCs w:val="21"/>
        </w:rPr>
        <w:t>中标通知书：指买方通知卖方中选的函件。</w:t>
      </w:r>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ascii="宋体" w:hAnsi="宋体" w:eastAsia="宋体"/>
          <w:szCs w:val="21"/>
        </w:rPr>
        <w:t>1.1.1.</w:t>
      </w:r>
      <w:r>
        <w:rPr>
          <w:rFonts w:hint="eastAsia" w:ascii="宋体" w:hAnsi="宋体" w:eastAsia="宋体"/>
          <w:szCs w:val="21"/>
        </w:rPr>
        <w:t>4</w:t>
      </w:r>
      <w:r>
        <w:rPr>
          <w:rFonts w:ascii="宋体" w:hAnsi="宋体" w:eastAsia="宋体"/>
          <w:szCs w:val="21"/>
        </w:rPr>
        <w:t xml:space="preserve"> </w:t>
      </w:r>
      <w:r>
        <w:rPr>
          <w:rFonts w:hint="eastAsia" w:ascii="宋体" w:hAnsi="宋体" w:eastAsia="宋体"/>
          <w:szCs w:val="21"/>
        </w:rPr>
        <w:t>服务要求：指合同文件中名为“服务要求”的文件。</w:t>
      </w:r>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ascii="宋体" w:hAnsi="宋体" w:eastAsia="宋体"/>
          <w:szCs w:val="21"/>
        </w:rPr>
        <w:t>1.1.1.</w:t>
      </w:r>
      <w:r>
        <w:rPr>
          <w:rFonts w:hint="eastAsia" w:ascii="宋体" w:hAnsi="宋体" w:eastAsia="宋体"/>
          <w:szCs w:val="21"/>
        </w:rPr>
        <w:t>5 中选材料质量标准的详细描述：指卖方投标文件中的投标材料质量标准的详细描述。</w:t>
      </w:r>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ascii="宋体" w:hAnsi="宋体" w:eastAsia="宋体"/>
          <w:szCs w:val="21"/>
        </w:rPr>
        <w:t>1.1.1.</w:t>
      </w:r>
      <w:r>
        <w:rPr>
          <w:rFonts w:hint="eastAsia" w:ascii="宋体" w:hAnsi="宋体" w:eastAsia="宋体"/>
          <w:szCs w:val="21"/>
        </w:rPr>
        <w:t>6</w:t>
      </w:r>
      <w:r>
        <w:rPr>
          <w:rFonts w:ascii="宋体" w:hAnsi="宋体" w:eastAsia="宋体"/>
          <w:szCs w:val="21"/>
        </w:rPr>
        <w:t xml:space="preserve"> </w:t>
      </w:r>
      <w:r>
        <w:rPr>
          <w:rFonts w:hint="eastAsia" w:ascii="宋体" w:hAnsi="宋体" w:eastAsia="宋体"/>
          <w:szCs w:val="21"/>
        </w:rPr>
        <w:t>相关服务计划：指卖方投标文件中的相关服务计划。</w:t>
      </w:r>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ascii="宋体" w:hAnsi="宋体" w:eastAsia="宋体"/>
          <w:szCs w:val="21"/>
        </w:rPr>
        <w:t>1.1.1.</w:t>
      </w:r>
      <w:r>
        <w:rPr>
          <w:rFonts w:hint="eastAsia" w:ascii="宋体" w:hAnsi="宋体" w:eastAsia="宋体"/>
          <w:szCs w:val="21"/>
        </w:rPr>
        <w:t>7</w:t>
      </w:r>
      <w:r>
        <w:rPr>
          <w:rFonts w:ascii="宋体" w:hAnsi="宋体" w:eastAsia="宋体"/>
          <w:szCs w:val="21"/>
        </w:rPr>
        <w:t xml:space="preserve"> </w:t>
      </w:r>
      <w:r>
        <w:rPr>
          <w:rFonts w:hint="eastAsia" w:ascii="宋体" w:hAnsi="宋体" w:eastAsia="宋体"/>
          <w:szCs w:val="21"/>
        </w:rPr>
        <w:t>分项报价表：指卖方投标文件中的分项报价表。</w:t>
      </w:r>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ascii="宋体" w:hAnsi="宋体" w:eastAsia="宋体"/>
          <w:szCs w:val="21"/>
        </w:rPr>
        <w:t>1.1.1.</w:t>
      </w:r>
      <w:r>
        <w:rPr>
          <w:rFonts w:hint="eastAsia" w:ascii="宋体" w:hAnsi="宋体" w:eastAsia="宋体"/>
          <w:szCs w:val="21"/>
        </w:rPr>
        <w:t>8</w:t>
      </w:r>
      <w:r>
        <w:rPr>
          <w:rFonts w:ascii="宋体" w:hAnsi="宋体" w:eastAsia="宋体"/>
          <w:szCs w:val="21"/>
        </w:rPr>
        <w:t xml:space="preserve"> </w:t>
      </w:r>
      <w:r>
        <w:rPr>
          <w:rFonts w:hint="eastAsia" w:ascii="宋体" w:hAnsi="宋体" w:eastAsia="宋体"/>
          <w:szCs w:val="21"/>
        </w:rPr>
        <w:t>其他合同文件：指经合同双方当事人确认构成合同文件的其他文件。</w:t>
      </w:r>
    </w:p>
    <w:p>
      <w:pPr>
        <w:widowControl w:val="0"/>
        <w:kinsoku w:val="0"/>
        <w:overflowPunct w:val="0"/>
        <w:autoSpaceDE w:val="0"/>
        <w:autoSpaceDN w:val="0"/>
        <w:adjustRightInd w:val="0"/>
        <w:spacing w:line="360" w:lineRule="auto"/>
        <w:ind w:firstLine="422" w:firstLineChars="200"/>
        <w:outlineLvl w:val="4"/>
        <w:rPr>
          <w:rFonts w:ascii="宋体" w:hAnsi="宋体" w:eastAsia="宋体"/>
          <w:b/>
          <w:bCs/>
          <w:szCs w:val="21"/>
        </w:rPr>
      </w:pPr>
      <w:bookmarkStart w:id="1361" w:name="_Toc19618"/>
      <w:r>
        <w:rPr>
          <w:rFonts w:ascii="宋体" w:hAnsi="宋体" w:eastAsia="宋体"/>
          <w:b/>
          <w:bCs/>
          <w:szCs w:val="21"/>
        </w:rPr>
        <w:t xml:space="preserve">1.1.2  </w:t>
      </w:r>
      <w:r>
        <w:rPr>
          <w:rFonts w:hint="eastAsia" w:ascii="宋体" w:hAnsi="宋体" w:eastAsia="宋体"/>
          <w:b/>
          <w:bCs/>
          <w:szCs w:val="21"/>
        </w:rPr>
        <w:t>合同当事人</w:t>
      </w:r>
      <w:bookmarkEnd w:id="1361"/>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ascii="宋体" w:hAnsi="宋体" w:eastAsia="宋体"/>
          <w:szCs w:val="21"/>
        </w:rPr>
        <w:t xml:space="preserve">1.1.2.1 </w:t>
      </w:r>
      <w:r>
        <w:rPr>
          <w:rFonts w:hint="eastAsia" w:ascii="宋体" w:hAnsi="宋体" w:eastAsia="宋体"/>
          <w:szCs w:val="21"/>
        </w:rPr>
        <w:t>合同当事人：指买方和卖方。</w:t>
      </w:r>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ascii="宋体" w:hAnsi="宋体" w:eastAsia="宋体"/>
          <w:szCs w:val="21"/>
        </w:rPr>
        <w:t xml:space="preserve">1.1.2.2 </w:t>
      </w:r>
      <w:r>
        <w:rPr>
          <w:rFonts w:hint="eastAsia" w:ascii="宋体" w:hAnsi="宋体" w:eastAsia="宋体"/>
          <w:szCs w:val="21"/>
        </w:rPr>
        <w:t>买方：指与卖方签订合同协议书，购买合同相关服务的当事人，及其合法继承人。</w:t>
      </w:r>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ascii="宋体" w:hAnsi="宋体" w:eastAsia="宋体"/>
          <w:szCs w:val="21"/>
        </w:rPr>
        <w:t xml:space="preserve">1.1.2.3 </w:t>
      </w:r>
      <w:r>
        <w:rPr>
          <w:rFonts w:hint="eastAsia" w:ascii="宋体" w:hAnsi="宋体" w:eastAsia="宋体"/>
          <w:szCs w:val="21"/>
        </w:rPr>
        <w:t>卖方：指与买方签订合同协议书，提供合同相关服务的当事人，及其合法继承人。</w:t>
      </w:r>
    </w:p>
    <w:p>
      <w:pPr>
        <w:widowControl w:val="0"/>
        <w:kinsoku w:val="0"/>
        <w:overflowPunct w:val="0"/>
        <w:autoSpaceDE w:val="0"/>
        <w:autoSpaceDN w:val="0"/>
        <w:adjustRightInd w:val="0"/>
        <w:spacing w:line="360" w:lineRule="auto"/>
        <w:ind w:firstLine="422" w:firstLineChars="200"/>
        <w:outlineLvl w:val="4"/>
        <w:rPr>
          <w:rFonts w:ascii="宋体" w:hAnsi="宋体" w:eastAsia="宋体"/>
          <w:b/>
          <w:bCs/>
          <w:szCs w:val="21"/>
        </w:rPr>
      </w:pPr>
      <w:bookmarkStart w:id="1362" w:name="_Toc19897"/>
      <w:r>
        <w:rPr>
          <w:rFonts w:ascii="宋体" w:hAnsi="宋体" w:eastAsia="宋体"/>
          <w:b/>
          <w:bCs/>
          <w:szCs w:val="21"/>
        </w:rPr>
        <w:t xml:space="preserve">1.1.3  </w:t>
      </w:r>
      <w:r>
        <w:rPr>
          <w:rFonts w:hint="eastAsia" w:ascii="宋体" w:hAnsi="宋体" w:eastAsia="宋体"/>
          <w:b/>
          <w:bCs/>
          <w:szCs w:val="21"/>
        </w:rPr>
        <w:t>合同价格</w:t>
      </w:r>
      <w:bookmarkEnd w:id="1362"/>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ascii="宋体" w:hAnsi="宋体" w:eastAsia="宋体"/>
          <w:szCs w:val="21"/>
        </w:rPr>
        <w:t xml:space="preserve">1.1.3.1 </w:t>
      </w:r>
      <w:r>
        <w:rPr>
          <w:rFonts w:hint="eastAsia" w:ascii="宋体" w:hAnsi="宋体" w:eastAsia="宋体"/>
          <w:szCs w:val="21"/>
        </w:rPr>
        <w:t>签约合同价：是签订合同时合同协议书中写明的合同总金额。</w:t>
      </w:r>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ascii="宋体" w:hAnsi="宋体" w:eastAsia="宋体"/>
          <w:szCs w:val="21"/>
        </w:rPr>
        <w:t xml:space="preserve">1.1.3.2 </w:t>
      </w:r>
      <w:r>
        <w:rPr>
          <w:rFonts w:hint="eastAsia" w:ascii="宋体" w:hAnsi="宋体" w:eastAsia="宋体"/>
          <w:szCs w:val="21"/>
        </w:rPr>
        <w:t>合同价格：指卖方按合同约定履行全部合同义务后，买方应付给卖方的金额。</w:t>
      </w:r>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ascii="宋体" w:hAnsi="宋体" w:eastAsia="宋体"/>
          <w:szCs w:val="21"/>
        </w:rPr>
        <w:t xml:space="preserve">1.1.4  </w:t>
      </w:r>
      <w:r>
        <w:rPr>
          <w:rFonts w:hint="eastAsia" w:ascii="宋体" w:hAnsi="宋体" w:eastAsia="宋体"/>
          <w:szCs w:val="21"/>
        </w:rPr>
        <w:t>合同服务：指卖方按合同约定应向买方提供的服务及技术资料，或其中任何一部分。</w:t>
      </w:r>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ascii="宋体" w:hAnsi="宋体" w:eastAsia="宋体"/>
          <w:szCs w:val="21"/>
        </w:rPr>
        <w:t xml:space="preserve">1.1.5  </w:t>
      </w:r>
      <w:r>
        <w:rPr>
          <w:rFonts w:hint="eastAsia" w:ascii="宋体" w:hAnsi="宋体" w:eastAsia="宋体"/>
          <w:szCs w:val="21"/>
        </w:rPr>
        <w:t>技术资料：指各种纸质及电子载体的与合同服务、使用、修补等有关的技术指标、规格、图纸和说明文件。</w:t>
      </w:r>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ascii="宋体" w:hAnsi="宋体" w:eastAsia="宋体"/>
          <w:szCs w:val="21"/>
        </w:rPr>
        <w:t xml:space="preserve">1.1.6 </w:t>
      </w:r>
      <w:r>
        <w:rPr>
          <w:rFonts w:hint="eastAsia" w:ascii="宋体" w:hAnsi="宋体" w:eastAsia="宋体"/>
          <w:szCs w:val="21"/>
        </w:rPr>
        <w:t>验收：指合同服务经检验合格后，买方做出接受合同服务的确认。</w:t>
      </w:r>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ascii="宋体" w:hAnsi="宋体" w:eastAsia="宋体"/>
          <w:szCs w:val="21"/>
        </w:rPr>
        <w:t xml:space="preserve">1.1.7 </w:t>
      </w:r>
      <w:r>
        <w:rPr>
          <w:rFonts w:hint="eastAsia" w:ascii="宋体" w:hAnsi="宋体" w:eastAsia="宋体"/>
          <w:szCs w:val="21"/>
        </w:rPr>
        <w:t>相关服务：是指在质量保证期届满前卖方提供的与合同服务有关的辅助服务，包括简单加工、解决合同服务存在的质量问题，以及为买方检验、使用和修补合同服务进行的技术指导、培训、协助等。</w:t>
      </w:r>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ascii="宋体" w:hAnsi="宋体" w:eastAsia="宋体"/>
          <w:szCs w:val="21"/>
        </w:rPr>
        <w:t xml:space="preserve">1.1.8 </w:t>
      </w:r>
      <w:r>
        <w:rPr>
          <w:rFonts w:hint="eastAsia" w:ascii="宋体" w:hAnsi="宋体" w:eastAsia="宋体"/>
          <w:szCs w:val="21"/>
        </w:rPr>
        <w:t>质量保证期：（24个月）。</w:t>
      </w:r>
    </w:p>
    <w:p>
      <w:pPr>
        <w:widowControl w:val="0"/>
        <w:kinsoku w:val="0"/>
        <w:overflowPunct w:val="0"/>
        <w:autoSpaceDE w:val="0"/>
        <w:autoSpaceDN w:val="0"/>
        <w:adjustRightInd w:val="0"/>
        <w:spacing w:line="360" w:lineRule="auto"/>
        <w:ind w:firstLine="422" w:firstLineChars="200"/>
        <w:outlineLvl w:val="4"/>
        <w:rPr>
          <w:rFonts w:ascii="宋体" w:hAnsi="宋体" w:eastAsia="宋体"/>
          <w:b/>
          <w:bCs/>
          <w:szCs w:val="21"/>
        </w:rPr>
      </w:pPr>
      <w:bookmarkStart w:id="1363" w:name="_Toc4098"/>
      <w:r>
        <w:rPr>
          <w:rFonts w:ascii="宋体" w:hAnsi="宋体" w:eastAsia="宋体"/>
          <w:b/>
          <w:bCs/>
          <w:szCs w:val="21"/>
        </w:rPr>
        <w:t xml:space="preserve">1.1.9  </w:t>
      </w:r>
      <w:r>
        <w:rPr>
          <w:rFonts w:hint="eastAsia" w:ascii="宋体" w:hAnsi="宋体" w:eastAsia="宋体"/>
          <w:b/>
          <w:bCs/>
          <w:szCs w:val="21"/>
        </w:rPr>
        <w:t>工程</w:t>
      </w:r>
      <w:bookmarkEnd w:id="1363"/>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ascii="宋体" w:hAnsi="宋体" w:eastAsia="宋体"/>
          <w:szCs w:val="21"/>
        </w:rPr>
        <w:t xml:space="preserve">1.1.9.1 </w:t>
      </w:r>
      <w:r>
        <w:rPr>
          <w:rFonts w:hint="eastAsia" w:ascii="宋体" w:hAnsi="宋体" w:eastAsia="宋体"/>
          <w:szCs w:val="21"/>
        </w:rPr>
        <w:t>工程：指使用合同服务的工程，南通轨道交通集团有限公司运营分公司2024年1、2号线接触网车辆段增设可视化接地装置采购项目。</w:t>
      </w:r>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ascii="宋体" w:hAnsi="宋体" w:eastAsia="宋体"/>
          <w:szCs w:val="21"/>
        </w:rPr>
        <w:t xml:space="preserve">1.1.9.2 </w:t>
      </w:r>
      <w:r>
        <w:rPr>
          <w:rFonts w:hint="eastAsia" w:ascii="宋体" w:hAnsi="宋体" w:eastAsia="宋体"/>
          <w:szCs w:val="21"/>
        </w:rPr>
        <w:t>施工场地（或称工地、施工现场）：买方指定地点（南通市范围内）。</w:t>
      </w:r>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ascii="宋体" w:hAnsi="宋体" w:eastAsia="宋体"/>
          <w:szCs w:val="21"/>
        </w:rPr>
        <w:t xml:space="preserve">1.1.10 </w:t>
      </w:r>
      <w:r>
        <w:rPr>
          <w:rFonts w:hint="eastAsia" w:ascii="宋体" w:hAnsi="宋体" w:eastAsia="宋体"/>
          <w:szCs w:val="21"/>
        </w:rPr>
        <w:t>天（或称日）：除特别指明外，指日历天。合同中按天计算时间的，开始当天不计入，从次日开始计算。合同约定的期间的最后一天是星期日或者其他法定休假日的，以休假日的次日为期间的最后一天。</w:t>
      </w:r>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ascii="宋体" w:hAnsi="宋体" w:eastAsia="宋体"/>
          <w:szCs w:val="21"/>
        </w:rPr>
        <w:t xml:space="preserve">1.1.11 </w:t>
      </w:r>
      <w:r>
        <w:rPr>
          <w:rFonts w:hint="eastAsia" w:ascii="宋体" w:hAnsi="宋体" w:eastAsia="宋体"/>
          <w:szCs w:val="21"/>
        </w:rPr>
        <w:t>月：按照公历月计算。合同中按月计算时间的，开始当天不计入，从次日开始计算。合同约定的期间的最后一天是星期日或者其他法定休假日的，以休假日的次日为期间的最后一天。</w:t>
      </w:r>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ascii="宋体" w:hAnsi="宋体" w:eastAsia="宋体"/>
          <w:szCs w:val="21"/>
        </w:rPr>
        <w:t xml:space="preserve">1.1.12 </w:t>
      </w:r>
      <w:r>
        <w:rPr>
          <w:rFonts w:hint="eastAsia" w:ascii="宋体" w:hAnsi="宋体" w:eastAsia="宋体"/>
          <w:szCs w:val="21"/>
        </w:rPr>
        <w:t>书面形式：指合同文件、信件和数据电文（包括电报、电传、传真、电子数据交换 和电子邮件）等可以有形地表现所载内容的形式。</w:t>
      </w:r>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ascii="宋体" w:hAnsi="宋体" w:eastAsia="宋体"/>
          <w:szCs w:val="21"/>
        </w:rPr>
        <w:t xml:space="preserve">1.1.13 </w:t>
      </w:r>
      <w:r>
        <w:rPr>
          <w:rFonts w:hint="eastAsia" w:ascii="宋体" w:hAnsi="宋体" w:eastAsia="宋体"/>
          <w:szCs w:val="21"/>
        </w:rPr>
        <w:t>不可抗力：是指任何一方当事人不能预见、不能避免并不能克服的自然灾害和社会性突发事件，如地震、海啸、瘟疫、水灾、骚乱、暴动、战争等。</w:t>
      </w:r>
    </w:p>
    <w:p>
      <w:pPr>
        <w:widowControl w:val="0"/>
        <w:kinsoku w:val="0"/>
        <w:overflowPunct w:val="0"/>
        <w:autoSpaceDE w:val="0"/>
        <w:autoSpaceDN w:val="0"/>
        <w:adjustRightInd w:val="0"/>
        <w:spacing w:line="360" w:lineRule="auto"/>
        <w:ind w:left="237" w:right="113"/>
        <w:outlineLvl w:val="3"/>
        <w:rPr>
          <w:rFonts w:ascii="宋体" w:hAnsi="宋体" w:eastAsia="宋体" w:cs="宋体"/>
          <w:b/>
          <w:sz w:val="28"/>
          <w:szCs w:val="28"/>
        </w:rPr>
      </w:pPr>
      <w:bookmarkStart w:id="1364" w:name="bookmark107"/>
      <w:bookmarkEnd w:id="1364"/>
      <w:bookmarkStart w:id="1365" w:name="_Toc3752"/>
      <w:r>
        <w:rPr>
          <w:rFonts w:ascii="宋体" w:hAnsi="宋体" w:eastAsia="宋体"/>
          <w:b/>
          <w:sz w:val="28"/>
          <w:szCs w:val="28"/>
        </w:rPr>
        <w:t xml:space="preserve">1.2 </w:t>
      </w:r>
      <w:r>
        <w:rPr>
          <w:rFonts w:ascii="宋体" w:hAnsi="宋体" w:eastAsia="宋体"/>
          <w:b/>
          <w:spacing w:val="1"/>
          <w:sz w:val="28"/>
          <w:szCs w:val="28"/>
        </w:rPr>
        <w:t xml:space="preserve"> </w:t>
      </w:r>
      <w:r>
        <w:rPr>
          <w:rFonts w:hint="eastAsia" w:ascii="宋体" w:hAnsi="宋体" w:eastAsia="宋体" w:cs="宋体"/>
          <w:b/>
          <w:sz w:val="28"/>
          <w:szCs w:val="28"/>
        </w:rPr>
        <w:t>语言文字</w:t>
      </w:r>
      <w:bookmarkEnd w:id="1365"/>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hint="eastAsia" w:ascii="宋体" w:hAnsi="宋体" w:eastAsia="宋体"/>
          <w:szCs w:val="21"/>
        </w:rPr>
        <w:t>合同使用的语言文字为中文。专用术语使用外文的，应附有中文注释。</w:t>
      </w:r>
    </w:p>
    <w:p>
      <w:pPr>
        <w:widowControl w:val="0"/>
        <w:kinsoku w:val="0"/>
        <w:overflowPunct w:val="0"/>
        <w:autoSpaceDE w:val="0"/>
        <w:autoSpaceDN w:val="0"/>
        <w:adjustRightInd w:val="0"/>
        <w:spacing w:line="360" w:lineRule="auto"/>
        <w:ind w:left="237" w:right="113"/>
        <w:outlineLvl w:val="3"/>
        <w:rPr>
          <w:rFonts w:ascii="宋体" w:hAnsi="宋体" w:eastAsia="宋体" w:cs="宋体"/>
          <w:b/>
          <w:sz w:val="28"/>
          <w:szCs w:val="28"/>
        </w:rPr>
      </w:pPr>
      <w:bookmarkStart w:id="1366" w:name="bookmark108"/>
      <w:bookmarkEnd w:id="1366"/>
      <w:bookmarkStart w:id="1367" w:name="_Toc28054"/>
      <w:r>
        <w:rPr>
          <w:rFonts w:ascii="宋体" w:hAnsi="宋体" w:eastAsia="宋体"/>
          <w:b/>
          <w:sz w:val="28"/>
          <w:szCs w:val="28"/>
        </w:rPr>
        <w:t>1.3</w:t>
      </w:r>
      <w:r>
        <w:rPr>
          <w:rFonts w:ascii="宋体" w:hAnsi="宋体" w:eastAsia="宋体"/>
          <w:b/>
          <w:spacing w:val="69"/>
          <w:sz w:val="28"/>
          <w:szCs w:val="28"/>
        </w:rPr>
        <w:t xml:space="preserve"> </w:t>
      </w:r>
      <w:r>
        <w:rPr>
          <w:rFonts w:hint="eastAsia" w:ascii="宋体" w:hAnsi="宋体" w:eastAsia="宋体" w:cs="宋体"/>
          <w:b/>
          <w:sz w:val="28"/>
          <w:szCs w:val="28"/>
        </w:rPr>
        <w:t>合同文件的优先顺序</w:t>
      </w:r>
      <w:bookmarkEnd w:id="1367"/>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hint="eastAsia" w:ascii="宋体" w:hAnsi="宋体" w:eastAsia="宋体"/>
          <w:szCs w:val="21"/>
        </w:rPr>
        <w:t>组成合同的各项文件应互相解释，互为说明。解释合同文件的优先顺序如下：</w:t>
      </w:r>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hint="eastAsia" w:ascii="宋体" w:hAnsi="宋体" w:eastAsia="宋体"/>
          <w:szCs w:val="21"/>
        </w:rPr>
        <w:t>（</w:t>
      </w:r>
      <w:r>
        <w:rPr>
          <w:rFonts w:ascii="宋体" w:hAnsi="宋体" w:eastAsia="宋体"/>
          <w:szCs w:val="21"/>
        </w:rPr>
        <w:t>1</w:t>
      </w:r>
      <w:r>
        <w:rPr>
          <w:rFonts w:hint="eastAsia" w:ascii="宋体" w:hAnsi="宋体" w:eastAsia="宋体"/>
          <w:szCs w:val="21"/>
        </w:rPr>
        <w:t>）合同协议书；</w:t>
      </w:r>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）中标通知书；</w:t>
      </w:r>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hint="eastAsia" w:ascii="宋体" w:hAnsi="宋体" w:eastAsia="宋体"/>
          <w:szCs w:val="21"/>
        </w:rPr>
        <w:t>（3）合同条款；</w:t>
      </w:r>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hint="eastAsia" w:ascii="宋体" w:hAnsi="宋体" w:eastAsia="宋体"/>
          <w:szCs w:val="21"/>
        </w:rPr>
        <w:t>（4）用户需求；</w:t>
      </w:r>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hint="eastAsia" w:ascii="宋体" w:hAnsi="宋体" w:eastAsia="宋体"/>
          <w:szCs w:val="21"/>
        </w:rPr>
        <w:t>（5）报价表；</w:t>
      </w:r>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hint="eastAsia" w:ascii="宋体" w:hAnsi="宋体" w:eastAsia="宋体"/>
          <w:szCs w:val="21"/>
        </w:rPr>
        <w:t>（6）相关服务计划；</w:t>
      </w:r>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hint="eastAsia" w:ascii="宋体" w:hAnsi="宋体" w:eastAsia="宋体"/>
          <w:szCs w:val="21"/>
        </w:rPr>
        <w:t>（7）其他合同文件。</w:t>
      </w:r>
    </w:p>
    <w:p>
      <w:pPr>
        <w:widowControl w:val="0"/>
        <w:kinsoku w:val="0"/>
        <w:overflowPunct w:val="0"/>
        <w:autoSpaceDE w:val="0"/>
        <w:autoSpaceDN w:val="0"/>
        <w:adjustRightInd w:val="0"/>
        <w:spacing w:line="360" w:lineRule="auto"/>
        <w:ind w:left="237" w:right="113"/>
        <w:outlineLvl w:val="3"/>
        <w:rPr>
          <w:rFonts w:ascii="宋体" w:hAnsi="宋体" w:eastAsia="宋体"/>
          <w:b/>
          <w:sz w:val="28"/>
          <w:szCs w:val="28"/>
        </w:rPr>
      </w:pPr>
      <w:bookmarkStart w:id="1368" w:name="bookmark109"/>
      <w:bookmarkEnd w:id="1368"/>
      <w:bookmarkStart w:id="1369" w:name="_Toc2558"/>
      <w:r>
        <w:rPr>
          <w:rFonts w:ascii="宋体" w:hAnsi="宋体" w:eastAsia="宋体"/>
          <w:b/>
          <w:sz w:val="28"/>
          <w:szCs w:val="28"/>
        </w:rPr>
        <w:t xml:space="preserve">1.4 </w:t>
      </w:r>
      <w:r>
        <w:rPr>
          <w:rFonts w:hint="eastAsia" w:ascii="宋体" w:hAnsi="宋体" w:eastAsia="宋体"/>
          <w:b/>
          <w:sz w:val="28"/>
          <w:szCs w:val="28"/>
        </w:rPr>
        <w:t>合同的生效及变更</w:t>
      </w:r>
      <w:bookmarkEnd w:id="1369"/>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ascii="宋体" w:hAnsi="宋体" w:eastAsia="宋体"/>
          <w:szCs w:val="21"/>
        </w:rPr>
        <w:t>1.4.1</w:t>
      </w:r>
      <w:r>
        <w:rPr>
          <w:rFonts w:hint="eastAsia" w:ascii="宋体" w:hAnsi="宋体" w:eastAsia="宋体"/>
          <w:szCs w:val="21"/>
        </w:rPr>
        <w:t xml:space="preserve"> 卖方提供履约担保后，买方和卖方的法定代表人（单位负责人）或其授权代表在合同协议书上签字并加盖单位章后，合同生效。</w:t>
      </w:r>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ascii="宋体" w:hAnsi="宋体" w:eastAsia="宋体"/>
          <w:szCs w:val="21"/>
        </w:rPr>
        <w:t>1.4.2</w:t>
      </w:r>
      <w:r>
        <w:rPr>
          <w:rFonts w:hint="eastAsia" w:ascii="宋体" w:hAnsi="宋体" w:eastAsia="宋体"/>
          <w:szCs w:val="21"/>
        </w:rPr>
        <w:t xml:space="preserve"> 在合同履行过程中，如需对合同进行变更，双方应签订书面协议，并经双方法定代表人（单位负责人）或其授权代表签字并加盖单位章后生效。</w:t>
      </w:r>
    </w:p>
    <w:p>
      <w:pPr>
        <w:widowControl w:val="0"/>
        <w:kinsoku w:val="0"/>
        <w:overflowPunct w:val="0"/>
        <w:autoSpaceDE w:val="0"/>
        <w:autoSpaceDN w:val="0"/>
        <w:adjustRightInd w:val="0"/>
        <w:spacing w:line="360" w:lineRule="auto"/>
        <w:ind w:left="237" w:right="113"/>
        <w:outlineLvl w:val="3"/>
        <w:rPr>
          <w:rFonts w:ascii="宋体" w:hAnsi="宋体" w:eastAsia="宋体" w:cs="宋体"/>
          <w:b/>
          <w:sz w:val="28"/>
          <w:szCs w:val="28"/>
        </w:rPr>
      </w:pPr>
      <w:bookmarkStart w:id="1370" w:name="bookmark110"/>
      <w:bookmarkEnd w:id="1370"/>
      <w:bookmarkStart w:id="1371" w:name="_Toc2214"/>
      <w:r>
        <w:rPr>
          <w:rFonts w:ascii="宋体" w:hAnsi="宋体" w:eastAsia="宋体"/>
          <w:b/>
          <w:sz w:val="28"/>
          <w:szCs w:val="28"/>
        </w:rPr>
        <w:t>1.5</w:t>
      </w:r>
      <w:r>
        <w:rPr>
          <w:rFonts w:ascii="宋体" w:hAnsi="宋体" w:eastAsia="宋体"/>
          <w:b/>
          <w:spacing w:val="69"/>
          <w:sz w:val="28"/>
          <w:szCs w:val="28"/>
        </w:rPr>
        <w:t xml:space="preserve"> </w:t>
      </w:r>
      <w:r>
        <w:rPr>
          <w:rFonts w:hint="eastAsia" w:ascii="宋体" w:hAnsi="宋体" w:eastAsia="宋体" w:cs="宋体"/>
          <w:b/>
          <w:sz w:val="28"/>
          <w:szCs w:val="28"/>
        </w:rPr>
        <w:t>联络</w:t>
      </w:r>
      <w:bookmarkEnd w:id="1371"/>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ascii="宋体" w:hAnsi="宋体" w:eastAsia="宋体"/>
          <w:szCs w:val="21"/>
        </w:rPr>
        <w:t xml:space="preserve">1.5.1 </w:t>
      </w:r>
      <w:r>
        <w:rPr>
          <w:rFonts w:hint="eastAsia" w:ascii="宋体" w:hAnsi="宋体" w:eastAsia="宋体"/>
          <w:szCs w:val="21"/>
        </w:rPr>
        <w:t>买卖双方应就合同履行中有关的事项及时进行联络，重要事项应通过书面形式进行联 络。</w:t>
      </w:r>
    </w:p>
    <w:p>
      <w:pPr>
        <w:widowControl w:val="0"/>
        <w:kinsoku w:val="0"/>
        <w:overflowPunct w:val="0"/>
        <w:autoSpaceDE w:val="0"/>
        <w:autoSpaceDN w:val="0"/>
        <w:adjustRightInd w:val="0"/>
        <w:spacing w:line="360" w:lineRule="auto"/>
        <w:ind w:left="237"/>
        <w:outlineLvl w:val="3"/>
        <w:rPr>
          <w:rFonts w:ascii="宋体" w:hAnsi="宋体" w:eastAsia="宋体" w:cs="宋体"/>
          <w:b/>
          <w:sz w:val="28"/>
          <w:szCs w:val="28"/>
        </w:rPr>
      </w:pPr>
      <w:bookmarkStart w:id="1372" w:name="bookmark111"/>
      <w:bookmarkEnd w:id="1372"/>
      <w:bookmarkStart w:id="1373" w:name="bookmark112"/>
      <w:bookmarkEnd w:id="1373"/>
      <w:bookmarkStart w:id="1374" w:name="_Toc1976"/>
      <w:r>
        <w:rPr>
          <w:rFonts w:ascii="宋体" w:hAnsi="宋体" w:eastAsia="宋体"/>
          <w:b/>
          <w:sz w:val="28"/>
          <w:szCs w:val="28"/>
        </w:rPr>
        <w:t>1.</w:t>
      </w:r>
      <w:r>
        <w:rPr>
          <w:rFonts w:hint="eastAsia" w:ascii="宋体" w:hAnsi="宋体" w:eastAsia="宋体"/>
          <w:b/>
          <w:sz w:val="28"/>
          <w:szCs w:val="28"/>
        </w:rPr>
        <w:t>6</w:t>
      </w:r>
      <w:r>
        <w:rPr>
          <w:rFonts w:ascii="宋体" w:hAnsi="宋体" w:eastAsia="宋体"/>
          <w:b/>
          <w:spacing w:val="69"/>
          <w:sz w:val="28"/>
          <w:szCs w:val="28"/>
        </w:rPr>
        <w:t xml:space="preserve"> </w:t>
      </w:r>
      <w:r>
        <w:rPr>
          <w:rFonts w:hint="eastAsia" w:ascii="宋体" w:hAnsi="宋体" w:eastAsia="宋体" w:cs="宋体"/>
          <w:b/>
          <w:sz w:val="28"/>
          <w:szCs w:val="28"/>
        </w:rPr>
        <w:t>转让</w:t>
      </w:r>
      <w:bookmarkEnd w:id="1374"/>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hint="eastAsia" w:ascii="宋体" w:hAnsi="宋体" w:eastAsia="宋体"/>
          <w:szCs w:val="21"/>
        </w:rPr>
        <w:t>未经对方当事人书面同意，合同任何一方均不得转让其在本合同项下的权利和（或）义务。</w:t>
      </w:r>
    </w:p>
    <w:p>
      <w:pPr>
        <w:widowControl w:val="0"/>
        <w:kinsoku w:val="0"/>
        <w:overflowPunct w:val="0"/>
        <w:autoSpaceDE w:val="0"/>
        <w:autoSpaceDN w:val="0"/>
        <w:adjustRightInd w:val="0"/>
        <w:spacing w:line="360" w:lineRule="auto"/>
        <w:ind w:left="237"/>
        <w:outlineLvl w:val="3"/>
        <w:rPr>
          <w:rFonts w:ascii="宋体" w:hAnsi="宋体" w:eastAsia="宋体" w:cs="宋体"/>
          <w:b/>
          <w:sz w:val="28"/>
          <w:szCs w:val="28"/>
        </w:rPr>
      </w:pPr>
      <w:bookmarkStart w:id="1375" w:name="bookmark113"/>
      <w:bookmarkEnd w:id="1375"/>
      <w:bookmarkStart w:id="1376" w:name="_Toc29791"/>
      <w:r>
        <w:rPr>
          <w:rFonts w:ascii="宋体" w:hAnsi="宋体" w:eastAsia="宋体"/>
          <w:b/>
          <w:sz w:val="28"/>
          <w:szCs w:val="28"/>
        </w:rPr>
        <w:t>1.</w:t>
      </w:r>
      <w:r>
        <w:rPr>
          <w:rFonts w:hint="eastAsia" w:ascii="宋体" w:hAnsi="宋体" w:eastAsia="宋体"/>
          <w:b/>
          <w:sz w:val="28"/>
          <w:szCs w:val="28"/>
        </w:rPr>
        <w:t>7</w:t>
      </w:r>
      <w:r>
        <w:rPr>
          <w:rFonts w:ascii="宋体" w:hAnsi="宋体" w:eastAsia="宋体"/>
          <w:b/>
          <w:sz w:val="28"/>
          <w:szCs w:val="28"/>
        </w:rPr>
        <w:t xml:space="preserve"> </w:t>
      </w:r>
      <w:r>
        <w:rPr>
          <w:rFonts w:hint="eastAsia" w:ascii="宋体" w:hAnsi="宋体" w:eastAsia="宋体" w:cs="宋体"/>
          <w:b/>
          <w:sz w:val="28"/>
          <w:szCs w:val="28"/>
        </w:rPr>
        <w:t>知识产权</w:t>
      </w:r>
      <w:bookmarkEnd w:id="1376"/>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ascii="宋体" w:hAnsi="宋体" w:eastAsia="宋体"/>
          <w:szCs w:val="21"/>
        </w:rPr>
        <w:t xml:space="preserve">1.8.1 </w:t>
      </w:r>
      <w:r>
        <w:rPr>
          <w:rFonts w:hint="eastAsia" w:ascii="宋体" w:hAnsi="宋体" w:eastAsia="宋体"/>
          <w:szCs w:val="21"/>
        </w:rPr>
        <w:t>合同服务或其中的技术资料涉及知识产权的，卖方保证买方免于受到任何知识产权侵 权的主张、索赔或诉讼的伤害。</w:t>
      </w:r>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ascii="宋体" w:hAnsi="宋体" w:eastAsia="宋体"/>
          <w:szCs w:val="21"/>
        </w:rPr>
        <w:t xml:space="preserve">1.8.2 </w:t>
      </w:r>
      <w:r>
        <w:rPr>
          <w:rFonts w:hint="eastAsia" w:ascii="宋体" w:hAnsi="宋体" w:eastAsia="宋体"/>
          <w:szCs w:val="21"/>
        </w:rPr>
        <w:t>如果买方收到任何第三方有关知识产权的主张、索赔或诉讼，卖方在收到买方通知后， 应以买方名义处理与第三方的索赔或诉讼，并承担因此产生的费用以及给买方造成的损失。</w:t>
      </w:r>
    </w:p>
    <w:p>
      <w:pPr>
        <w:widowControl w:val="0"/>
        <w:kinsoku w:val="0"/>
        <w:overflowPunct w:val="0"/>
        <w:autoSpaceDE w:val="0"/>
        <w:autoSpaceDN w:val="0"/>
        <w:adjustRightInd w:val="0"/>
        <w:spacing w:line="360" w:lineRule="auto"/>
        <w:ind w:left="237"/>
        <w:outlineLvl w:val="3"/>
        <w:rPr>
          <w:rFonts w:ascii="宋体" w:hAnsi="宋体" w:eastAsia="宋体" w:cs="宋体"/>
          <w:b/>
          <w:sz w:val="28"/>
          <w:szCs w:val="28"/>
        </w:rPr>
      </w:pPr>
      <w:bookmarkStart w:id="1377" w:name="bookmark114"/>
      <w:bookmarkEnd w:id="1377"/>
      <w:bookmarkStart w:id="1378" w:name="_Toc5383"/>
      <w:r>
        <w:rPr>
          <w:rFonts w:ascii="宋体" w:hAnsi="宋体" w:eastAsia="宋体"/>
          <w:b/>
          <w:sz w:val="28"/>
          <w:szCs w:val="28"/>
        </w:rPr>
        <w:t>1.</w:t>
      </w:r>
      <w:r>
        <w:rPr>
          <w:rFonts w:hint="eastAsia" w:ascii="宋体" w:hAnsi="宋体" w:eastAsia="宋体"/>
          <w:b/>
          <w:sz w:val="28"/>
          <w:szCs w:val="28"/>
        </w:rPr>
        <w:t>8</w:t>
      </w:r>
      <w:r>
        <w:rPr>
          <w:rFonts w:ascii="宋体" w:hAnsi="宋体" w:eastAsia="宋体"/>
          <w:b/>
          <w:spacing w:val="69"/>
          <w:sz w:val="28"/>
          <w:szCs w:val="28"/>
        </w:rPr>
        <w:t xml:space="preserve"> </w:t>
      </w:r>
      <w:r>
        <w:rPr>
          <w:rFonts w:hint="eastAsia" w:ascii="宋体" w:hAnsi="宋体" w:eastAsia="宋体" w:cs="宋体"/>
          <w:b/>
          <w:sz w:val="28"/>
          <w:szCs w:val="28"/>
        </w:rPr>
        <w:t>保密</w:t>
      </w:r>
      <w:bookmarkEnd w:id="1378"/>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hint="eastAsia" w:ascii="宋体" w:hAnsi="宋体" w:eastAsia="宋体"/>
          <w:szCs w:val="21"/>
        </w:rPr>
        <w:t>合同双方应对因履行合同而取得的另一方当事人的信息、资料等予以保密。未经另一方当事人书面同意，任何一方均不得为与履行合同无关的目的使用或向第三方披露另一方当事人提供的信息、资料。</w:t>
      </w:r>
    </w:p>
    <w:p>
      <w:pPr>
        <w:widowControl w:val="0"/>
        <w:kinsoku w:val="0"/>
        <w:overflowPunct w:val="0"/>
        <w:autoSpaceDE w:val="0"/>
        <w:autoSpaceDN w:val="0"/>
        <w:adjustRightInd w:val="0"/>
        <w:spacing w:line="360" w:lineRule="auto"/>
        <w:ind w:left="100"/>
        <w:outlineLvl w:val="2"/>
        <w:rPr>
          <w:rFonts w:ascii="黑体" w:hAnsi="黑体" w:eastAsia="黑体" w:cs="Microsoft JhengHei"/>
          <w:sz w:val="32"/>
          <w:szCs w:val="32"/>
        </w:rPr>
      </w:pPr>
      <w:bookmarkStart w:id="1379" w:name="bookmark115"/>
      <w:bookmarkEnd w:id="1379"/>
      <w:bookmarkStart w:id="1380" w:name="_Toc21157"/>
      <w:bookmarkStart w:id="1381" w:name="_Toc32562"/>
      <w:bookmarkStart w:id="1382" w:name="_Toc1662"/>
      <w:r>
        <w:rPr>
          <w:rFonts w:ascii="黑体" w:hAnsi="黑体" w:eastAsia="黑体"/>
          <w:bCs/>
          <w:sz w:val="32"/>
          <w:szCs w:val="32"/>
        </w:rPr>
        <w:t>2.</w:t>
      </w:r>
      <w:r>
        <w:rPr>
          <w:rFonts w:hint="eastAsia" w:ascii="黑体" w:hAnsi="黑体" w:eastAsia="黑体" w:cs="Microsoft JhengHei"/>
          <w:bCs/>
          <w:sz w:val="32"/>
          <w:szCs w:val="32"/>
        </w:rPr>
        <w:t>合同范围</w:t>
      </w:r>
      <w:bookmarkEnd w:id="1380"/>
      <w:bookmarkEnd w:id="1381"/>
      <w:bookmarkEnd w:id="1382"/>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hint="eastAsia" w:ascii="宋体" w:hAnsi="宋体" w:eastAsia="宋体"/>
          <w:szCs w:val="21"/>
        </w:rPr>
        <w:t>卖方应根据服务要求、相关服务计划等合同文件的约定向买方提供合同相关服务。</w:t>
      </w:r>
    </w:p>
    <w:p>
      <w:pPr>
        <w:widowControl w:val="0"/>
        <w:kinsoku w:val="0"/>
        <w:overflowPunct w:val="0"/>
        <w:autoSpaceDE w:val="0"/>
        <w:autoSpaceDN w:val="0"/>
        <w:adjustRightInd w:val="0"/>
        <w:spacing w:line="360" w:lineRule="auto"/>
        <w:ind w:left="100"/>
        <w:outlineLvl w:val="2"/>
        <w:rPr>
          <w:rFonts w:ascii="黑体" w:hAnsi="黑体" w:eastAsia="黑体"/>
          <w:bCs/>
          <w:sz w:val="32"/>
          <w:szCs w:val="32"/>
        </w:rPr>
      </w:pPr>
      <w:bookmarkStart w:id="1383" w:name="bookmark116"/>
      <w:bookmarkEnd w:id="1383"/>
      <w:bookmarkStart w:id="1384" w:name="_Toc185"/>
      <w:bookmarkStart w:id="1385" w:name="_Toc1669"/>
      <w:bookmarkStart w:id="1386" w:name="_Toc27004"/>
      <w:r>
        <w:rPr>
          <w:rFonts w:ascii="黑体" w:hAnsi="黑体" w:eastAsia="黑体"/>
          <w:bCs/>
          <w:sz w:val="32"/>
          <w:szCs w:val="32"/>
        </w:rPr>
        <w:t>3.</w:t>
      </w:r>
      <w:r>
        <w:rPr>
          <w:rFonts w:hint="eastAsia" w:ascii="黑体" w:hAnsi="黑体" w:eastAsia="黑体"/>
          <w:bCs/>
          <w:sz w:val="32"/>
          <w:szCs w:val="32"/>
        </w:rPr>
        <w:t>合同价格与支付</w:t>
      </w:r>
      <w:bookmarkEnd w:id="1384"/>
      <w:bookmarkEnd w:id="1385"/>
      <w:bookmarkEnd w:id="1386"/>
    </w:p>
    <w:p>
      <w:pPr>
        <w:widowControl w:val="0"/>
        <w:kinsoku w:val="0"/>
        <w:overflowPunct w:val="0"/>
        <w:autoSpaceDE w:val="0"/>
        <w:autoSpaceDN w:val="0"/>
        <w:adjustRightInd w:val="0"/>
        <w:spacing w:line="360" w:lineRule="auto"/>
        <w:ind w:left="237"/>
        <w:outlineLvl w:val="3"/>
        <w:rPr>
          <w:rFonts w:ascii="宋体" w:hAnsi="宋体" w:eastAsia="宋体" w:cs="宋体"/>
          <w:b/>
          <w:sz w:val="28"/>
          <w:szCs w:val="28"/>
        </w:rPr>
      </w:pPr>
      <w:bookmarkStart w:id="1387" w:name="bookmark117"/>
      <w:bookmarkEnd w:id="1387"/>
      <w:bookmarkStart w:id="1388" w:name="_Toc12450"/>
      <w:r>
        <w:rPr>
          <w:rFonts w:ascii="宋体" w:hAnsi="宋体" w:eastAsia="宋体"/>
          <w:b/>
          <w:sz w:val="28"/>
          <w:szCs w:val="28"/>
        </w:rPr>
        <w:t xml:space="preserve">3.1 </w:t>
      </w:r>
      <w:r>
        <w:rPr>
          <w:rFonts w:ascii="宋体" w:hAnsi="宋体" w:eastAsia="宋体"/>
          <w:b/>
          <w:spacing w:val="1"/>
          <w:sz w:val="28"/>
          <w:szCs w:val="28"/>
        </w:rPr>
        <w:t xml:space="preserve"> </w:t>
      </w:r>
      <w:r>
        <w:rPr>
          <w:rFonts w:hint="eastAsia" w:ascii="宋体" w:hAnsi="宋体" w:eastAsia="宋体" w:cs="宋体"/>
          <w:b/>
          <w:sz w:val="28"/>
          <w:szCs w:val="28"/>
        </w:rPr>
        <w:t>合同价格</w:t>
      </w:r>
      <w:bookmarkEnd w:id="1388"/>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ascii="宋体" w:hAnsi="宋体" w:eastAsia="宋体"/>
          <w:szCs w:val="21"/>
        </w:rPr>
        <w:t>3.1.1</w:t>
      </w:r>
      <w:r>
        <w:rPr>
          <w:rFonts w:hint="eastAsia" w:ascii="宋体" w:hAnsi="宋体" w:eastAsia="宋体"/>
          <w:szCs w:val="21"/>
        </w:rPr>
        <w:t xml:space="preserve">  本项目采用固定单价方式，合同约定数量为暂定数量，实际服务数量以买方正式订货通知单通知到货后实际验收数量为准，货款按照单价乘以数量结算。</w:t>
      </w:r>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ascii="宋体" w:hAnsi="宋体" w:eastAsia="宋体"/>
          <w:szCs w:val="21"/>
        </w:rPr>
        <w:t xml:space="preserve">3.1.2  </w:t>
      </w:r>
      <w:r>
        <w:rPr>
          <w:rFonts w:hint="eastAsia" w:ascii="宋体" w:hAnsi="宋体" w:eastAsia="宋体"/>
          <w:szCs w:val="21"/>
        </w:rPr>
        <w:t>合同固定单价为现场交货价，其范围包括但不限于货物的制造前准备、制造、包装、服务、运输、保险费、装卸费、搬运费、检测费、验收费、技术服务费、技术资料费、税费、质保期服务费及合同文件所要求的相关服务等全过程产生的所有成本和费用以及一切税费。</w:t>
      </w:r>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hint="eastAsia" w:ascii="宋体" w:hAnsi="宋体" w:eastAsia="宋体"/>
          <w:szCs w:val="21"/>
        </w:rPr>
        <w:t>3.1.3  本项目合同：</w:t>
      </w:r>
    </w:p>
    <w:p>
      <w:pPr>
        <w:widowControl w:val="0"/>
        <w:tabs>
          <w:tab w:val="left" w:pos="0"/>
          <w:tab w:val="left" w:pos="1134"/>
        </w:tabs>
        <w:autoSpaceDE w:val="0"/>
        <w:autoSpaceDN w:val="0"/>
        <w:adjustRightInd w:val="0"/>
        <w:spacing w:line="360" w:lineRule="auto"/>
        <w:ind w:firstLine="404" w:firstLineChars="200"/>
        <w:jc w:val="both"/>
        <w:rPr>
          <w:rFonts w:ascii="宋体" w:hAnsi="宋体" w:eastAsia="宋体" w:cs="宋体"/>
          <w:spacing w:val="-4"/>
          <w:szCs w:val="21"/>
        </w:rPr>
      </w:pPr>
      <w:r>
        <w:rPr>
          <w:rFonts w:hint="eastAsia" w:ascii="宋体" w:hAnsi="宋体" w:eastAsia="宋体" w:cs="宋体"/>
          <w:spacing w:val="-4"/>
          <w:szCs w:val="21"/>
        </w:rPr>
        <w:t>暂定合同总价为：人民币</w:t>
      </w:r>
      <w:r>
        <w:rPr>
          <w:rFonts w:hint="eastAsia" w:ascii="宋体" w:hAnsi="宋体" w:eastAsia="宋体"/>
          <w:szCs w:val="21"/>
          <w:u w:val="single"/>
        </w:rPr>
        <w:t xml:space="preserve">             </w:t>
      </w:r>
      <w:r>
        <w:rPr>
          <w:rFonts w:hint="eastAsia" w:ascii="宋体" w:hAnsi="宋体" w:eastAsia="宋体" w:cs="宋体"/>
          <w:spacing w:val="-3"/>
          <w:szCs w:val="21"/>
        </w:rPr>
        <w:t>（</w:t>
      </w:r>
      <w:r>
        <w:rPr>
          <w:rFonts w:ascii="宋体" w:hAnsi="宋体" w:eastAsia="宋体"/>
          <w:spacing w:val="-3"/>
          <w:szCs w:val="21"/>
        </w:rPr>
        <w:t>¥</w:t>
      </w:r>
      <w:r>
        <w:rPr>
          <w:rFonts w:hint="eastAsia" w:ascii="宋体" w:hAnsi="宋体" w:eastAsia="宋体"/>
          <w:spacing w:val="-3"/>
          <w:szCs w:val="21"/>
          <w:u w:val="single"/>
        </w:rPr>
        <w:t xml:space="preserve">           </w:t>
      </w:r>
      <w:r>
        <w:rPr>
          <w:rFonts w:ascii="宋体" w:hAnsi="宋体" w:eastAsia="宋体"/>
          <w:spacing w:val="-3"/>
          <w:szCs w:val="21"/>
          <w:u w:val="single"/>
        </w:rPr>
        <w:t>元</w:t>
      </w:r>
      <w:r>
        <w:rPr>
          <w:rFonts w:hint="eastAsia" w:ascii="宋体" w:hAnsi="宋体" w:eastAsia="宋体" w:cs="宋体"/>
          <w:spacing w:val="-53"/>
          <w:szCs w:val="21"/>
        </w:rPr>
        <w:t>）</w:t>
      </w:r>
      <w:r>
        <w:rPr>
          <w:rFonts w:hint="eastAsia" w:ascii="宋体" w:hAnsi="宋体" w:eastAsia="宋体" w:cs="宋体"/>
          <w:spacing w:val="-4"/>
          <w:szCs w:val="21"/>
        </w:rPr>
        <w:t>。（以大写及数字分别表示）</w:t>
      </w:r>
    </w:p>
    <w:p>
      <w:pPr>
        <w:widowControl w:val="0"/>
        <w:tabs>
          <w:tab w:val="left" w:pos="0"/>
          <w:tab w:val="left" w:pos="1134"/>
        </w:tabs>
        <w:autoSpaceDE w:val="0"/>
        <w:autoSpaceDN w:val="0"/>
        <w:adjustRightInd w:val="0"/>
        <w:spacing w:line="360" w:lineRule="auto"/>
        <w:ind w:firstLine="404" w:firstLineChars="200"/>
        <w:jc w:val="both"/>
        <w:rPr>
          <w:rFonts w:ascii="宋体" w:hAnsi="宋体" w:eastAsia="宋体" w:cs="宋体"/>
          <w:spacing w:val="-4"/>
          <w:szCs w:val="21"/>
        </w:rPr>
      </w:pPr>
      <w:r>
        <w:rPr>
          <w:rFonts w:hint="eastAsia" w:ascii="宋体" w:hAnsi="宋体" w:eastAsia="宋体" w:cs="宋体"/>
          <w:spacing w:val="-4"/>
          <w:szCs w:val="21"/>
        </w:rPr>
        <w:t>不含税暂定合同总价为：人民币</w:t>
      </w:r>
      <w:r>
        <w:rPr>
          <w:rFonts w:hint="eastAsia" w:ascii="宋体" w:hAnsi="宋体" w:eastAsia="宋体"/>
          <w:szCs w:val="21"/>
          <w:u w:val="single"/>
        </w:rPr>
        <w:t xml:space="preserve">             </w:t>
      </w:r>
      <w:r>
        <w:rPr>
          <w:rFonts w:hint="eastAsia" w:ascii="宋体" w:hAnsi="宋体" w:eastAsia="宋体" w:cs="宋体"/>
          <w:spacing w:val="-3"/>
          <w:szCs w:val="21"/>
        </w:rPr>
        <w:t>（</w:t>
      </w:r>
      <w:r>
        <w:rPr>
          <w:rFonts w:ascii="宋体" w:hAnsi="宋体" w:eastAsia="宋体"/>
          <w:spacing w:val="-3"/>
          <w:szCs w:val="21"/>
        </w:rPr>
        <w:t>¥</w:t>
      </w:r>
      <w:r>
        <w:rPr>
          <w:rFonts w:hint="eastAsia" w:ascii="宋体" w:hAnsi="宋体" w:eastAsia="宋体"/>
          <w:spacing w:val="-3"/>
          <w:szCs w:val="21"/>
          <w:u w:val="single"/>
        </w:rPr>
        <w:t xml:space="preserve">           </w:t>
      </w:r>
      <w:r>
        <w:rPr>
          <w:rFonts w:ascii="宋体" w:hAnsi="宋体" w:eastAsia="宋体"/>
          <w:spacing w:val="-3"/>
          <w:szCs w:val="21"/>
          <w:u w:val="single"/>
        </w:rPr>
        <w:t>元</w:t>
      </w:r>
      <w:r>
        <w:rPr>
          <w:rFonts w:hint="eastAsia" w:ascii="宋体" w:hAnsi="宋体" w:eastAsia="宋体" w:cs="宋体"/>
          <w:spacing w:val="-53"/>
          <w:szCs w:val="21"/>
        </w:rPr>
        <w:t>）</w:t>
      </w:r>
      <w:r>
        <w:rPr>
          <w:rFonts w:hint="eastAsia" w:ascii="宋体" w:hAnsi="宋体" w:eastAsia="宋体" w:cs="宋体"/>
          <w:spacing w:val="-4"/>
          <w:szCs w:val="21"/>
        </w:rPr>
        <w:t>。（以大写及数字分别表示）</w:t>
      </w:r>
    </w:p>
    <w:p>
      <w:pPr>
        <w:widowControl w:val="0"/>
        <w:kinsoku w:val="0"/>
        <w:overflowPunct w:val="0"/>
        <w:autoSpaceDE w:val="0"/>
        <w:autoSpaceDN w:val="0"/>
        <w:adjustRightInd w:val="0"/>
        <w:spacing w:line="360" w:lineRule="auto"/>
        <w:ind w:left="237"/>
        <w:outlineLvl w:val="3"/>
        <w:rPr>
          <w:rFonts w:ascii="宋体" w:hAnsi="宋体" w:eastAsia="宋体" w:cs="宋体"/>
          <w:b/>
          <w:sz w:val="28"/>
          <w:szCs w:val="28"/>
        </w:rPr>
      </w:pPr>
      <w:bookmarkStart w:id="1389" w:name="bookmark118"/>
      <w:bookmarkEnd w:id="1389"/>
      <w:bookmarkStart w:id="1390" w:name="_Toc26029"/>
      <w:r>
        <w:rPr>
          <w:rFonts w:ascii="宋体" w:hAnsi="宋体" w:eastAsia="宋体"/>
          <w:b/>
          <w:sz w:val="28"/>
          <w:szCs w:val="28"/>
        </w:rPr>
        <w:t xml:space="preserve">3.2  </w:t>
      </w:r>
      <w:r>
        <w:rPr>
          <w:rFonts w:hint="eastAsia" w:ascii="宋体" w:hAnsi="宋体" w:eastAsia="宋体" w:cs="宋体"/>
          <w:b/>
          <w:sz w:val="28"/>
          <w:szCs w:val="28"/>
        </w:rPr>
        <w:t>合同价款的支付</w:t>
      </w:r>
      <w:bookmarkEnd w:id="1390"/>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hint="eastAsia" w:ascii="宋体" w:hAnsi="宋体" w:eastAsia="宋体"/>
          <w:szCs w:val="21"/>
        </w:rPr>
        <w:t>买方应通过以下方式和比例向卖方支付合同价款：</w:t>
      </w:r>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ascii="宋体" w:hAnsi="宋体" w:eastAsia="宋体"/>
          <w:szCs w:val="21"/>
        </w:rPr>
        <w:t>3.2.1</w:t>
      </w:r>
      <w:r>
        <w:rPr>
          <w:rFonts w:hint="eastAsia" w:ascii="宋体" w:hAnsi="宋体" w:eastAsia="宋体"/>
          <w:szCs w:val="21"/>
        </w:rPr>
        <w:t xml:space="preserve"> 到货验收款</w:t>
      </w:r>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hint="eastAsia" w:ascii="宋体" w:hAnsi="宋体" w:eastAsia="宋体"/>
          <w:szCs w:val="21"/>
        </w:rPr>
        <w:t>卖方按照买方要求的进度交付合同设备且验收通过后，买方在收到卖方提供以下资料经买方审核批准后30天内，向卖方支付进度款，进度款支付该批次合同货物的合同价格的</w:t>
      </w:r>
      <w:r>
        <w:rPr>
          <w:rFonts w:hint="eastAsia" w:ascii="宋体" w:hAnsi="宋体" w:eastAsia="宋体"/>
          <w:szCs w:val="21"/>
          <w:u w:val="single"/>
        </w:rPr>
        <w:t>百分之九十五（95%）</w:t>
      </w:r>
      <w:r>
        <w:rPr>
          <w:rFonts w:hint="eastAsia" w:ascii="宋体" w:hAnsi="宋体" w:eastAsia="宋体"/>
          <w:szCs w:val="21"/>
        </w:rPr>
        <w:t>：</w:t>
      </w:r>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hint="eastAsia" w:ascii="宋体" w:hAnsi="宋体" w:eastAsia="宋体"/>
          <w:szCs w:val="21"/>
        </w:rPr>
        <w:t>（1）卖方出具的本次支付申请；</w:t>
      </w:r>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hint="eastAsia" w:ascii="宋体" w:hAnsi="宋体" w:eastAsia="宋体"/>
          <w:szCs w:val="21"/>
        </w:rPr>
        <w:t>（2）卖方出具的交货清单；</w:t>
      </w:r>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hint="eastAsia" w:ascii="宋体" w:hAnsi="宋体" w:eastAsia="宋体"/>
          <w:szCs w:val="21"/>
        </w:rPr>
        <w:t>（3）买方验收合格证明；</w:t>
      </w:r>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hint="eastAsia" w:ascii="宋体" w:hAnsi="宋体" w:eastAsia="宋体"/>
          <w:szCs w:val="21"/>
        </w:rPr>
        <w:t>（4）该批次货物</w:t>
      </w:r>
      <w:r>
        <w:rPr>
          <w:rFonts w:ascii="宋体" w:hAnsi="宋体" w:eastAsia="宋体"/>
          <w:szCs w:val="21"/>
        </w:rPr>
        <w:t>100%</w:t>
      </w:r>
      <w:r>
        <w:rPr>
          <w:rFonts w:hint="eastAsia" w:ascii="宋体" w:hAnsi="宋体" w:eastAsia="宋体"/>
          <w:szCs w:val="21"/>
        </w:rPr>
        <w:t>金额的增值税专用发票。</w:t>
      </w:r>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ascii="宋体" w:hAnsi="宋体" w:eastAsia="宋体"/>
          <w:szCs w:val="21"/>
        </w:rPr>
        <w:t>3.2.</w:t>
      </w:r>
      <w:r>
        <w:rPr>
          <w:rFonts w:hint="eastAsia" w:ascii="宋体" w:hAnsi="宋体" w:eastAsia="宋体"/>
          <w:szCs w:val="21"/>
        </w:rPr>
        <w:t>2 质量保证期</w:t>
      </w:r>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hint="eastAsia" w:ascii="宋体" w:hAnsi="宋体" w:eastAsia="宋体"/>
          <w:szCs w:val="21"/>
        </w:rPr>
        <w:t>质保期满后，卖方须提供以下资料，经买方审核批准后30天内，支付至合同结算价的</w:t>
      </w:r>
      <w:r>
        <w:rPr>
          <w:rFonts w:hint="eastAsia" w:ascii="宋体" w:hAnsi="宋体" w:eastAsia="宋体"/>
          <w:szCs w:val="21"/>
          <w:u w:val="single"/>
        </w:rPr>
        <w:t>百分之一百（100%）</w:t>
      </w:r>
      <w:r>
        <w:rPr>
          <w:rFonts w:hint="eastAsia" w:ascii="宋体" w:hAnsi="宋体" w:eastAsia="宋体"/>
          <w:szCs w:val="21"/>
        </w:rPr>
        <w:t>。</w:t>
      </w:r>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hint="eastAsia" w:ascii="宋体" w:hAnsi="宋体" w:eastAsia="宋体"/>
          <w:szCs w:val="21"/>
        </w:rPr>
        <w:t>（1）卖方出具的本次支付申请；</w:t>
      </w:r>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hint="eastAsia" w:ascii="宋体" w:hAnsi="宋体" w:eastAsia="宋体"/>
          <w:szCs w:val="21"/>
        </w:rPr>
        <w:t>（2）提供本项目结算报告。</w:t>
      </w:r>
    </w:p>
    <w:p>
      <w:pPr>
        <w:widowControl w:val="0"/>
        <w:kinsoku w:val="0"/>
        <w:overflowPunct w:val="0"/>
        <w:autoSpaceDE w:val="0"/>
        <w:autoSpaceDN w:val="0"/>
        <w:adjustRightInd w:val="0"/>
        <w:spacing w:line="360" w:lineRule="auto"/>
        <w:ind w:left="237" w:right="113"/>
        <w:outlineLvl w:val="3"/>
        <w:rPr>
          <w:rFonts w:ascii="宋体" w:hAnsi="宋体" w:eastAsia="宋体" w:cs="宋体"/>
          <w:b/>
          <w:sz w:val="28"/>
          <w:szCs w:val="28"/>
        </w:rPr>
      </w:pPr>
      <w:bookmarkStart w:id="1391" w:name="bookmark119"/>
      <w:bookmarkEnd w:id="1391"/>
      <w:bookmarkStart w:id="1392" w:name="_Toc24232"/>
      <w:r>
        <w:rPr>
          <w:rFonts w:ascii="宋体" w:hAnsi="宋体" w:eastAsia="宋体"/>
          <w:b/>
          <w:sz w:val="28"/>
          <w:szCs w:val="28"/>
        </w:rPr>
        <w:t xml:space="preserve">3.3  </w:t>
      </w:r>
      <w:r>
        <w:rPr>
          <w:rFonts w:hint="eastAsia" w:ascii="宋体" w:hAnsi="宋体" w:eastAsia="宋体" w:cs="宋体"/>
          <w:b/>
          <w:sz w:val="28"/>
          <w:szCs w:val="28"/>
        </w:rPr>
        <w:t>买方扣款的权利</w:t>
      </w:r>
      <w:bookmarkEnd w:id="1392"/>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hint="eastAsia" w:ascii="宋体" w:hAnsi="宋体" w:eastAsia="宋体"/>
          <w:szCs w:val="21"/>
        </w:rPr>
        <w:t>当卖方应向买方支付合同项下的违约金或赔偿金时，买方有权从上述任何一笔应付款中予以直接扣除和（或）兑付履约保证金。</w:t>
      </w:r>
    </w:p>
    <w:p>
      <w:pPr>
        <w:widowControl w:val="0"/>
        <w:kinsoku w:val="0"/>
        <w:overflowPunct w:val="0"/>
        <w:autoSpaceDE w:val="0"/>
        <w:autoSpaceDN w:val="0"/>
        <w:adjustRightInd w:val="0"/>
        <w:spacing w:line="360" w:lineRule="auto"/>
        <w:ind w:left="100"/>
        <w:outlineLvl w:val="2"/>
        <w:rPr>
          <w:rFonts w:ascii="黑体" w:hAnsi="黑体" w:eastAsia="黑体"/>
          <w:bCs/>
          <w:sz w:val="32"/>
          <w:szCs w:val="32"/>
        </w:rPr>
      </w:pPr>
      <w:bookmarkStart w:id="1393" w:name="bookmark120"/>
      <w:bookmarkEnd w:id="1393"/>
      <w:bookmarkStart w:id="1394" w:name="_Toc14355"/>
      <w:bookmarkStart w:id="1395" w:name="_Toc5200"/>
      <w:bookmarkStart w:id="1396" w:name="_Toc7583"/>
      <w:r>
        <w:rPr>
          <w:rFonts w:ascii="黑体" w:hAnsi="黑体" w:eastAsia="黑体"/>
          <w:bCs/>
          <w:sz w:val="32"/>
          <w:szCs w:val="32"/>
        </w:rPr>
        <w:t>4.</w:t>
      </w:r>
      <w:r>
        <w:rPr>
          <w:rFonts w:hint="eastAsia" w:ascii="黑体" w:hAnsi="黑体" w:eastAsia="黑体"/>
          <w:bCs/>
          <w:sz w:val="32"/>
          <w:szCs w:val="32"/>
        </w:rPr>
        <w:t>包装、标记、运输和交付</w:t>
      </w:r>
      <w:bookmarkEnd w:id="1394"/>
      <w:bookmarkEnd w:id="1395"/>
      <w:bookmarkEnd w:id="1396"/>
    </w:p>
    <w:p>
      <w:pPr>
        <w:widowControl w:val="0"/>
        <w:kinsoku w:val="0"/>
        <w:overflowPunct w:val="0"/>
        <w:autoSpaceDE w:val="0"/>
        <w:autoSpaceDN w:val="0"/>
        <w:adjustRightInd w:val="0"/>
        <w:spacing w:line="360" w:lineRule="auto"/>
        <w:ind w:left="237"/>
        <w:outlineLvl w:val="3"/>
        <w:rPr>
          <w:rFonts w:ascii="宋体" w:hAnsi="宋体" w:eastAsia="宋体"/>
          <w:b/>
          <w:sz w:val="28"/>
          <w:szCs w:val="28"/>
        </w:rPr>
      </w:pPr>
      <w:bookmarkStart w:id="1397" w:name="bookmark121"/>
      <w:bookmarkEnd w:id="1397"/>
      <w:bookmarkStart w:id="1398" w:name="_Toc30890"/>
      <w:r>
        <w:rPr>
          <w:rFonts w:ascii="宋体" w:hAnsi="宋体" w:eastAsia="宋体"/>
          <w:b/>
          <w:sz w:val="28"/>
          <w:szCs w:val="28"/>
        </w:rPr>
        <w:t xml:space="preserve">4.1 </w:t>
      </w:r>
      <w:r>
        <w:rPr>
          <w:rFonts w:hint="eastAsia" w:ascii="宋体" w:hAnsi="宋体" w:eastAsia="宋体"/>
          <w:b/>
          <w:sz w:val="28"/>
          <w:szCs w:val="28"/>
        </w:rPr>
        <w:t>包装</w:t>
      </w:r>
      <w:bookmarkEnd w:id="1398"/>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ascii="宋体" w:hAnsi="宋体" w:eastAsia="宋体"/>
          <w:szCs w:val="21"/>
        </w:rPr>
        <w:t xml:space="preserve">4.1.1 </w:t>
      </w:r>
      <w:r>
        <w:rPr>
          <w:rFonts w:hint="eastAsia" w:ascii="宋体" w:hAnsi="宋体" w:eastAsia="宋体"/>
          <w:szCs w:val="21"/>
        </w:rPr>
        <w:t>卖方应对合同货物进行妥善包装，以满足合同货物运至施工场地及在施工场地保管的 需要。包装应采取防潮、防晒、防锈、防腐蚀、防震动及防止其它损坏的必要保护措施，从而保护合同货物能够经受多次搬运、装卸、长途运输并适宜保管。</w:t>
      </w:r>
    </w:p>
    <w:p>
      <w:pPr>
        <w:widowControl w:val="0"/>
        <w:kinsoku w:val="0"/>
        <w:overflowPunct w:val="0"/>
        <w:autoSpaceDE w:val="0"/>
        <w:autoSpaceDN w:val="0"/>
        <w:adjustRightInd w:val="0"/>
        <w:spacing w:line="360" w:lineRule="auto"/>
        <w:ind w:left="237"/>
        <w:outlineLvl w:val="3"/>
        <w:rPr>
          <w:rFonts w:ascii="宋体" w:hAnsi="宋体" w:eastAsia="宋体"/>
          <w:b/>
          <w:sz w:val="28"/>
          <w:szCs w:val="28"/>
        </w:rPr>
      </w:pPr>
      <w:bookmarkStart w:id="1399" w:name="_Toc17042"/>
      <w:r>
        <w:rPr>
          <w:rFonts w:ascii="宋体" w:hAnsi="宋体" w:eastAsia="宋体"/>
          <w:b/>
          <w:sz w:val="28"/>
          <w:szCs w:val="28"/>
        </w:rPr>
        <w:t xml:space="preserve">4.2 </w:t>
      </w:r>
      <w:r>
        <w:rPr>
          <w:rFonts w:hint="eastAsia" w:ascii="宋体" w:hAnsi="宋体" w:eastAsia="宋体"/>
          <w:b/>
          <w:sz w:val="28"/>
          <w:szCs w:val="28"/>
        </w:rPr>
        <w:t>标记</w:t>
      </w:r>
      <w:bookmarkEnd w:id="1399"/>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ascii="宋体" w:hAnsi="宋体" w:eastAsia="宋体"/>
          <w:szCs w:val="21"/>
        </w:rPr>
        <w:t>4.2.1</w:t>
      </w:r>
      <w:r>
        <w:rPr>
          <w:rFonts w:hint="eastAsia" w:ascii="宋体" w:hAnsi="宋体" w:eastAsia="宋体"/>
          <w:szCs w:val="21"/>
        </w:rPr>
        <w:t xml:space="preserve"> 卖方应按合同约定在材料包装上以不可擦除的、明显的方式作出必要的标记。</w:t>
      </w:r>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ascii="宋体" w:hAnsi="宋体" w:eastAsia="宋体"/>
          <w:szCs w:val="21"/>
        </w:rPr>
        <w:t xml:space="preserve">4.2.2 </w:t>
      </w:r>
      <w:r>
        <w:rPr>
          <w:rFonts w:hint="eastAsia" w:ascii="宋体" w:hAnsi="宋体" w:eastAsia="宋体"/>
          <w:szCs w:val="21"/>
        </w:rPr>
        <w:t>根据合同货物的特点和运输、保管的不同要求，卖方应对合同货物清楚地标注</w:t>
      </w:r>
      <w:r>
        <w:rPr>
          <w:rFonts w:ascii="宋体" w:hAnsi="宋体" w:eastAsia="宋体"/>
          <w:szCs w:val="21"/>
        </w:rPr>
        <w:t>“</w:t>
      </w:r>
      <w:r>
        <w:rPr>
          <w:rFonts w:hint="eastAsia" w:ascii="宋体" w:hAnsi="宋体" w:eastAsia="宋体"/>
          <w:szCs w:val="21"/>
        </w:rPr>
        <w:t>小心 轻放</w:t>
      </w:r>
      <w:r>
        <w:rPr>
          <w:rFonts w:ascii="宋体" w:hAnsi="宋体" w:eastAsia="宋体"/>
          <w:szCs w:val="21"/>
        </w:rPr>
        <w:t>”</w:t>
      </w:r>
      <w:r>
        <w:rPr>
          <w:rFonts w:hint="eastAsia" w:ascii="宋体" w:hAnsi="宋体" w:eastAsia="宋体"/>
          <w:szCs w:val="21"/>
        </w:rPr>
        <w:t>、</w:t>
      </w:r>
      <w:r>
        <w:rPr>
          <w:rFonts w:ascii="宋体" w:hAnsi="宋体" w:eastAsia="宋体"/>
          <w:szCs w:val="21"/>
        </w:rPr>
        <w:t>“</w:t>
      </w:r>
      <w:r>
        <w:rPr>
          <w:rFonts w:hint="eastAsia" w:ascii="宋体" w:hAnsi="宋体" w:eastAsia="宋体"/>
          <w:szCs w:val="21"/>
        </w:rPr>
        <w:t>此端朝上，请勿倒置</w:t>
      </w:r>
      <w:r>
        <w:rPr>
          <w:rFonts w:ascii="宋体" w:hAnsi="宋体" w:eastAsia="宋体"/>
          <w:szCs w:val="21"/>
        </w:rPr>
        <w:t>”</w:t>
      </w:r>
      <w:r>
        <w:rPr>
          <w:rFonts w:hint="eastAsia" w:ascii="宋体" w:hAnsi="宋体" w:eastAsia="宋体"/>
          <w:szCs w:val="21"/>
        </w:rPr>
        <w:t>、</w:t>
      </w:r>
      <w:r>
        <w:rPr>
          <w:rFonts w:ascii="宋体" w:hAnsi="宋体" w:eastAsia="宋体"/>
          <w:szCs w:val="21"/>
        </w:rPr>
        <w:t>“</w:t>
      </w:r>
      <w:r>
        <w:rPr>
          <w:rFonts w:hint="eastAsia" w:ascii="宋体" w:hAnsi="宋体" w:eastAsia="宋体"/>
          <w:szCs w:val="21"/>
        </w:rPr>
        <w:t>保持干燥</w:t>
      </w:r>
      <w:r>
        <w:rPr>
          <w:rFonts w:ascii="宋体" w:hAnsi="宋体" w:eastAsia="宋体"/>
          <w:szCs w:val="21"/>
        </w:rPr>
        <w:t>”</w:t>
      </w:r>
      <w:r>
        <w:rPr>
          <w:rFonts w:hint="eastAsia" w:ascii="宋体" w:hAnsi="宋体" w:eastAsia="宋体"/>
          <w:szCs w:val="21"/>
        </w:rPr>
        <w:t>等字样和其他适当标记。如果合同货物中含有易燃 易爆物品、腐蚀物品、放射性物质等危险品，卖方应标明危险品标志。</w:t>
      </w:r>
    </w:p>
    <w:p>
      <w:pPr>
        <w:widowControl w:val="0"/>
        <w:kinsoku w:val="0"/>
        <w:overflowPunct w:val="0"/>
        <w:autoSpaceDE w:val="0"/>
        <w:autoSpaceDN w:val="0"/>
        <w:adjustRightInd w:val="0"/>
        <w:spacing w:line="360" w:lineRule="auto"/>
        <w:ind w:left="237"/>
        <w:outlineLvl w:val="3"/>
        <w:rPr>
          <w:rFonts w:ascii="宋体" w:hAnsi="宋体" w:eastAsia="宋体"/>
          <w:b/>
          <w:sz w:val="28"/>
          <w:szCs w:val="28"/>
        </w:rPr>
      </w:pPr>
      <w:bookmarkStart w:id="1400" w:name="bookmark123"/>
      <w:bookmarkEnd w:id="1400"/>
      <w:bookmarkStart w:id="1401" w:name="_Toc11078"/>
      <w:r>
        <w:rPr>
          <w:rFonts w:ascii="宋体" w:hAnsi="宋体" w:eastAsia="宋体"/>
          <w:b/>
          <w:sz w:val="28"/>
          <w:szCs w:val="28"/>
        </w:rPr>
        <w:t xml:space="preserve">4.3 </w:t>
      </w:r>
      <w:r>
        <w:rPr>
          <w:rFonts w:hint="eastAsia" w:ascii="宋体" w:hAnsi="宋体" w:eastAsia="宋体"/>
          <w:b/>
          <w:sz w:val="28"/>
          <w:szCs w:val="28"/>
        </w:rPr>
        <w:t>运输</w:t>
      </w:r>
      <w:bookmarkEnd w:id="1401"/>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ascii="宋体" w:hAnsi="宋体" w:eastAsia="宋体"/>
          <w:szCs w:val="21"/>
        </w:rPr>
        <w:t>4.3.1</w:t>
      </w:r>
      <w:r>
        <w:rPr>
          <w:rFonts w:hint="eastAsia" w:ascii="宋体" w:hAnsi="宋体" w:eastAsia="宋体"/>
          <w:szCs w:val="21"/>
        </w:rPr>
        <w:t xml:space="preserve"> 卖方应自行选择适宜的运输工具及线路安排合同货物运输。</w:t>
      </w:r>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ascii="宋体" w:hAnsi="宋体" w:eastAsia="宋体"/>
          <w:szCs w:val="21"/>
        </w:rPr>
        <w:t>4.3.2</w:t>
      </w:r>
      <w:r>
        <w:rPr>
          <w:rFonts w:hint="eastAsia" w:ascii="宋体" w:hAnsi="宋体" w:eastAsia="宋体"/>
          <w:szCs w:val="21"/>
        </w:rPr>
        <w:t xml:space="preserve"> 卖方应在合同货物预计启运 </w:t>
      </w:r>
      <w:r>
        <w:rPr>
          <w:rFonts w:ascii="宋体" w:hAnsi="宋体" w:eastAsia="宋体"/>
          <w:szCs w:val="21"/>
        </w:rPr>
        <w:t xml:space="preserve">7 </w:t>
      </w:r>
      <w:r>
        <w:rPr>
          <w:rFonts w:hint="eastAsia" w:ascii="宋体" w:hAnsi="宋体" w:eastAsia="宋体"/>
          <w:szCs w:val="21"/>
        </w:rPr>
        <w:t>日前，将合同货物名称、装运材料数量、重量、体积（用</w:t>
      </w:r>
      <w:r>
        <w:rPr>
          <w:rFonts w:ascii="宋体" w:hAnsi="宋体" w:eastAsia="宋体"/>
          <w:szCs w:val="21"/>
        </w:rPr>
        <w:t>m3</w:t>
      </w:r>
      <w:r>
        <w:rPr>
          <w:rFonts w:hint="eastAsia" w:ascii="宋体" w:hAnsi="宋体" w:eastAsia="宋体"/>
          <w:szCs w:val="21"/>
        </w:rPr>
        <w:t xml:space="preserve">表示）、合同货物单价、总金额、运输方式、预计交付日期 和合同货物在装卸、保管中的注意事项等预通知买方，并在合同货物启运后 </w:t>
      </w:r>
      <w:r>
        <w:rPr>
          <w:rFonts w:ascii="宋体" w:hAnsi="宋体" w:eastAsia="宋体"/>
          <w:szCs w:val="21"/>
        </w:rPr>
        <w:t xml:space="preserve">24 </w:t>
      </w:r>
      <w:r>
        <w:rPr>
          <w:rFonts w:hint="eastAsia" w:ascii="宋体" w:hAnsi="宋体" w:eastAsia="宋体"/>
          <w:szCs w:val="21"/>
        </w:rPr>
        <w:t>小时之内正式通知买方。</w:t>
      </w:r>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ascii="宋体" w:hAnsi="宋体" w:eastAsia="宋体"/>
          <w:szCs w:val="21"/>
        </w:rPr>
        <w:t xml:space="preserve">4.3.3 </w:t>
      </w:r>
      <w:r>
        <w:rPr>
          <w:rFonts w:hint="eastAsia" w:ascii="宋体" w:hAnsi="宋体" w:eastAsia="宋体"/>
          <w:szCs w:val="21"/>
        </w:rPr>
        <w:t xml:space="preserve">卖方在根据第 </w:t>
      </w:r>
      <w:r>
        <w:rPr>
          <w:rFonts w:ascii="宋体" w:hAnsi="宋体" w:eastAsia="宋体"/>
          <w:szCs w:val="21"/>
        </w:rPr>
        <w:t xml:space="preserve">4.3.2 </w:t>
      </w:r>
      <w:r>
        <w:rPr>
          <w:rFonts w:hint="eastAsia" w:ascii="宋体" w:hAnsi="宋体" w:eastAsia="宋体"/>
          <w:szCs w:val="21"/>
        </w:rPr>
        <w:t>项进行通知时，如果合同货物中包括单个包装超大和（或）超重的，卖方应将超大和（或）超重的每个包装的重量和尺寸通知买方；如果合同货物中包括易燃易爆物品、腐蚀物品、放射性物质等危险品，则危险品的品名、性质、在装卸、保管方面的特殊要求、注意事项和处理意外情况的方法等，也应一并通知买方。</w:t>
      </w:r>
    </w:p>
    <w:p>
      <w:pPr>
        <w:widowControl w:val="0"/>
        <w:kinsoku w:val="0"/>
        <w:overflowPunct w:val="0"/>
        <w:autoSpaceDE w:val="0"/>
        <w:autoSpaceDN w:val="0"/>
        <w:adjustRightInd w:val="0"/>
        <w:spacing w:line="360" w:lineRule="auto"/>
        <w:ind w:left="237"/>
        <w:outlineLvl w:val="3"/>
        <w:rPr>
          <w:rFonts w:ascii="宋体" w:hAnsi="宋体" w:eastAsia="宋体"/>
          <w:b/>
          <w:sz w:val="28"/>
          <w:szCs w:val="28"/>
        </w:rPr>
      </w:pPr>
      <w:bookmarkStart w:id="1402" w:name="bookmark124"/>
      <w:bookmarkEnd w:id="1402"/>
      <w:bookmarkStart w:id="1403" w:name="_Toc8595"/>
      <w:r>
        <w:rPr>
          <w:rFonts w:ascii="宋体" w:hAnsi="宋体" w:eastAsia="宋体"/>
          <w:b/>
          <w:sz w:val="28"/>
          <w:szCs w:val="28"/>
        </w:rPr>
        <w:t xml:space="preserve">4.4 </w:t>
      </w:r>
      <w:r>
        <w:rPr>
          <w:rFonts w:hint="eastAsia" w:ascii="宋体" w:hAnsi="宋体" w:eastAsia="宋体"/>
          <w:b/>
          <w:sz w:val="28"/>
          <w:szCs w:val="28"/>
        </w:rPr>
        <w:t>交付</w:t>
      </w:r>
      <w:bookmarkEnd w:id="1403"/>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ascii="宋体" w:hAnsi="宋体" w:eastAsia="宋体"/>
          <w:szCs w:val="21"/>
        </w:rPr>
        <w:t>4.4.1</w:t>
      </w:r>
      <w:r>
        <w:rPr>
          <w:rFonts w:hint="eastAsia" w:ascii="宋体" w:hAnsi="宋体" w:eastAsia="宋体"/>
          <w:szCs w:val="21"/>
        </w:rPr>
        <w:t xml:space="preserve"> </w:t>
      </w:r>
      <w:r>
        <w:rPr>
          <w:rFonts w:ascii="宋体" w:hAnsi="宋体" w:eastAsia="宋体"/>
          <w:szCs w:val="21"/>
        </w:rPr>
        <w:t>卖</w:t>
      </w:r>
      <w:r>
        <w:rPr>
          <w:rFonts w:hint="eastAsia" w:ascii="宋体" w:hAnsi="宋体" w:eastAsia="宋体"/>
          <w:szCs w:val="21"/>
        </w:rPr>
        <w:t>方应根据合同约定的交付时间和批次在施工场地卸货后将合同货物交付给买方，买方对卖方交付的合同货物的外观及件数进行清点核验后应签发收货清单。买方签发收货清单不代表对合同货物的接受，双方还应按合同约定进行后续的检验和验收。</w:t>
      </w:r>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ascii="宋体" w:hAnsi="宋体" w:eastAsia="宋体"/>
          <w:szCs w:val="21"/>
        </w:rPr>
        <w:t xml:space="preserve">4.4.2 </w:t>
      </w:r>
      <w:r>
        <w:rPr>
          <w:rFonts w:hint="eastAsia" w:ascii="宋体" w:hAnsi="宋体" w:eastAsia="宋体"/>
          <w:szCs w:val="21"/>
        </w:rPr>
        <w:t>合同货物的所有权和风险自交付时起由卖方转移至买方，合同货物交付给买方之前包 括运输在内的所有风险均由卖方承担。</w:t>
      </w:r>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ascii="宋体" w:hAnsi="宋体" w:eastAsia="宋体"/>
          <w:szCs w:val="21"/>
        </w:rPr>
        <w:t>4.4.3</w:t>
      </w:r>
      <w:r>
        <w:rPr>
          <w:rFonts w:hint="eastAsia" w:ascii="宋体" w:hAnsi="宋体" w:eastAsia="宋体"/>
          <w:szCs w:val="21"/>
        </w:rPr>
        <w:t xml:space="preserve"> 买方如果发现技术资料存在短缺和（或）损坏，卖方应在收到买方的通知后 </w:t>
      </w:r>
      <w:r>
        <w:rPr>
          <w:rFonts w:ascii="宋体" w:hAnsi="宋体" w:eastAsia="宋体"/>
          <w:szCs w:val="21"/>
        </w:rPr>
        <w:t xml:space="preserve">7 </w:t>
      </w:r>
      <w:r>
        <w:rPr>
          <w:rFonts w:hint="eastAsia" w:ascii="宋体" w:hAnsi="宋体" w:eastAsia="宋体"/>
          <w:szCs w:val="21"/>
        </w:rPr>
        <w:t xml:space="preserve">日内免费补齐短缺和（或）损坏的部分。如果买方发现卖方提供的技术资料有误，卖方应在收到买方通知后 </w:t>
      </w:r>
      <w:r>
        <w:rPr>
          <w:rFonts w:ascii="宋体" w:hAnsi="宋体" w:eastAsia="宋体"/>
          <w:szCs w:val="21"/>
        </w:rPr>
        <w:t xml:space="preserve">7 </w:t>
      </w:r>
      <w:r>
        <w:rPr>
          <w:rFonts w:hint="eastAsia" w:ascii="宋体" w:hAnsi="宋体" w:eastAsia="宋体"/>
          <w:szCs w:val="21"/>
        </w:rPr>
        <w:t xml:space="preserve">日内免费替换。如由于买方原因导致技术资料丢失和（或）损坏，卖方应在收到买方的通知后 </w:t>
      </w:r>
      <w:r>
        <w:rPr>
          <w:rFonts w:ascii="宋体" w:hAnsi="宋体" w:eastAsia="宋体"/>
          <w:szCs w:val="21"/>
        </w:rPr>
        <w:t xml:space="preserve">7 </w:t>
      </w:r>
      <w:r>
        <w:rPr>
          <w:rFonts w:hint="eastAsia" w:ascii="宋体" w:hAnsi="宋体" w:eastAsia="宋体"/>
          <w:szCs w:val="21"/>
        </w:rPr>
        <w:t>日内补齐丢失（和）或损坏的部分，但买方应向卖方支付 合理的复制、邮寄费用。</w:t>
      </w:r>
    </w:p>
    <w:p>
      <w:pPr>
        <w:widowControl w:val="0"/>
        <w:kinsoku w:val="0"/>
        <w:overflowPunct w:val="0"/>
        <w:autoSpaceDE w:val="0"/>
        <w:autoSpaceDN w:val="0"/>
        <w:adjustRightInd w:val="0"/>
        <w:spacing w:line="360" w:lineRule="auto"/>
        <w:ind w:left="100"/>
        <w:outlineLvl w:val="2"/>
        <w:rPr>
          <w:rFonts w:ascii="宋体" w:hAnsi="宋体" w:eastAsia="宋体" w:cs="Microsoft JhengHei"/>
          <w:sz w:val="32"/>
          <w:szCs w:val="32"/>
        </w:rPr>
      </w:pPr>
      <w:bookmarkStart w:id="1404" w:name="bookmark125"/>
      <w:bookmarkEnd w:id="1404"/>
      <w:bookmarkStart w:id="1405" w:name="_Toc31860"/>
      <w:bookmarkStart w:id="1406" w:name="_Toc25905"/>
      <w:bookmarkStart w:id="1407" w:name="_Toc22020"/>
      <w:r>
        <w:rPr>
          <w:rFonts w:ascii="宋体" w:hAnsi="宋体" w:eastAsia="宋体"/>
          <w:b/>
          <w:bCs/>
          <w:sz w:val="32"/>
          <w:szCs w:val="32"/>
        </w:rPr>
        <w:t>5.</w:t>
      </w:r>
      <w:r>
        <w:rPr>
          <w:rFonts w:hint="eastAsia" w:ascii="宋体" w:hAnsi="宋体" w:eastAsia="宋体" w:cs="Microsoft JhengHei"/>
          <w:b/>
          <w:bCs/>
          <w:sz w:val="32"/>
          <w:szCs w:val="32"/>
        </w:rPr>
        <w:t>检验和验收</w:t>
      </w:r>
      <w:bookmarkEnd w:id="1405"/>
      <w:bookmarkEnd w:id="1406"/>
      <w:bookmarkEnd w:id="1407"/>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ascii="宋体" w:hAnsi="宋体" w:eastAsia="宋体"/>
          <w:szCs w:val="21"/>
        </w:rPr>
        <w:t xml:space="preserve">5.1 </w:t>
      </w:r>
      <w:r>
        <w:rPr>
          <w:rFonts w:hint="eastAsia" w:ascii="宋体" w:hAnsi="宋体" w:eastAsia="宋体"/>
          <w:szCs w:val="21"/>
        </w:rPr>
        <w:t>合同货物交付前，卖方应对其进行全面检验，并在交付合同货物时向买方提交合同货物的质量合格证书。</w:t>
      </w:r>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ascii="宋体" w:hAnsi="宋体" w:eastAsia="宋体"/>
          <w:szCs w:val="21"/>
        </w:rPr>
        <w:t xml:space="preserve">5.2 </w:t>
      </w:r>
      <w:r>
        <w:rPr>
          <w:rFonts w:hint="eastAsia" w:ascii="宋体" w:hAnsi="宋体" w:eastAsia="宋体"/>
          <w:szCs w:val="21"/>
        </w:rPr>
        <w:t>合同货物交付后，买方应在7天内安排对合同货物的规格、质量等进行检验，检验由买方和供电相关部门对合同货物进行检验。同时合同货物应送相关检测单位进行检测，检测费用含在合同价中。</w:t>
      </w:r>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ascii="宋体" w:hAnsi="宋体" w:eastAsia="宋体"/>
          <w:szCs w:val="21"/>
        </w:rPr>
        <w:t xml:space="preserve">5.3 </w:t>
      </w:r>
      <w:r>
        <w:rPr>
          <w:rFonts w:hint="eastAsia" w:ascii="宋体" w:hAnsi="宋体" w:eastAsia="宋体"/>
          <w:szCs w:val="21"/>
        </w:rPr>
        <w:t>买方应在检验日期</w:t>
      </w:r>
      <w:r>
        <w:rPr>
          <w:rFonts w:ascii="宋体" w:hAnsi="宋体" w:eastAsia="宋体"/>
          <w:szCs w:val="21"/>
        </w:rPr>
        <w:t>3</w:t>
      </w:r>
      <w:r>
        <w:rPr>
          <w:rFonts w:hint="eastAsia" w:ascii="宋体" w:hAnsi="宋体" w:eastAsia="宋体"/>
          <w:szCs w:val="21"/>
        </w:rPr>
        <w:t>日前将检验的时间和地点通知卖方，卖方应自负费用派遣代表参加检验。若卖方未按买方通知到场参加检验，则检验可正常进行，卖方应接受对合同货物的检验结果。</w:t>
      </w:r>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ascii="宋体" w:hAnsi="宋体" w:eastAsia="宋体"/>
          <w:szCs w:val="21"/>
        </w:rPr>
        <w:t xml:space="preserve">5.4 </w:t>
      </w:r>
      <w:r>
        <w:rPr>
          <w:rFonts w:hint="eastAsia" w:ascii="宋体" w:hAnsi="宋体" w:eastAsia="宋体"/>
          <w:szCs w:val="21"/>
        </w:rPr>
        <w:t>合同货物经检验合格后，买卖双方共同签署验收证书。</w:t>
      </w:r>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ascii="宋体" w:hAnsi="宋体" w:eastAsia="宋体"/>
          <w:szCs w:val="21"/>
        </w:rPr>
        <w:t>5.</w:t>
      </w:r>
      <w:r>
        <w:rPr>
          <w:rFonts w:hint="eastAsia" w:ascii="宋体" w:hAnsi="宋体" w:eastAsia="宋体"/>
          <w:szCs w:val="21"/>
        </w:rPr>
        <w:t>5</w:t>
      </w:r>
      <w:r>
        <w:rPr>
          <w:rFonts w:ascii="宋体" w:hAnsi="宋体" w:eastAsia="宋体"/>
          <w:szCs w:val="21"/>
        </w:rPr>
        <w:t xml:space="preserve"> </w:t>
      </w:r>
      <w:r>
        <w:rPr>
          <w:rFonts w:hint="eastAsia" w:ascii="宋体" w:hAnsi="宋体" w:eastAsia="宋体"/>
          <w:szCs w:val="21"/>
        </w:rPr>
        <w:t>合同货物验收证书的签署不能免除卖方在质量保证期内对合同货物应承担的保证责任。</w:t>
      </w:r>
    </w:p>
    <w:p>
      <w:pPr>
        <w:widowControl w:val="0"/>
        <w:kinsoku w:val="0"/>
        <w:overflowPunct w:val="0"/>
        <w:autoSpaceDE w:val="0"/>
        <w:autoSpaceDN w:val="0"/>
        <w:adjustRightInd w:val="0"/>
        <w:spacing w:line="360" w:lineRule="auto"/>
        <w:ind w:left="100"/>
        <w:outlineLvl w:val="2"/>
        <w:rPr>
          <w:rFonts w:ascii="宋体" w:hAnsi="宋体" w:eastAsia="宋体" w:cs="Microsoft JhengHei"/>
          <w:sz w:val="32"/>
          <w:szCs w:val="32"/>
        </w:rPr>
      </w:pPr>
      <w:bookmarkStart w:id="1408" w:name="bookmark126"/>
      <w:bookmarkEnd w:id="1408"/>
      <w:bookmarkStart w:id="1409" w:name="_Toc30329"/>
      <w:bookmarkStart w:id="1410" w:name="_Toc4901"/>
      <w:bookmarkStart w:id="1411" w:name="_Toc13671"/>
      <w:r>
        <w:rPr>
          <w:rFonts w:ascii="宋体" w:hAnsi="宋体" w:eastAsia="宋体"/>
          <w:b/>
          <w:bCs/>
          <w:sz w:val="32"/>
          <w:szCs w:val="32"/>
        </w:rPr>
        <w:t>6.</w:t>
      </w:r>
      <w:r>
        <w:rPr>
          <w:rFonts w:hint="eastAsia" w:ascii="宋体" w:hAnsi="宋体" w:eastAsia="宋体" w:cs="Microsoft JhengHei"/>
          <w:b/>
          <w:bCs/>
          <w:sz w:val="32"/>
          <w:szCs w:val="32"/>
        </w:rPr>
        <w:t>相关服务</w:t>
      </w:r>
      <w:bookmarkEnd w:id="1409"/>
      <w:bookmarkEnd w:id="1410"/>
      <w:bookmarkEnd w:id="1411"/>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ascii="宋体" w:hAnsi="宋体" w:eastAsia="宋体"/>
          <w:szCs w:val="21"/>
        </w:rPr>
        <w:t xml:space="preserve">6.1 </w:t>
      </w:r>
      <w:r>
        <w:rPr>
          <w:rFonts w:hint="eastAsia" w:ascii="宋体" w:hAnsi="宋体" w:eastAsia="宋体"/>
          <w:szCs w:val="21"/>
        </w:rPr>
        <w:t>卖方应配备充足的技术人员，并根据买方要求，通过进行电话联系或派遣技术熟练、称职的技术人员到施工场地为买方提供服务。如果卖方技术人员不合格，买方有权要求卖方撤换，因撤换而产生的费用应由卖方承担。</w:t>
      </w:r>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ascii="宋体" w:hAnsi="宋体" w:eastAsia="宋体"/>
          <w:szCs w:val="21"/>
        </w:rPr>
        <w:t xml:space="preserve">6.2 </w:t>
      </w:r>
      <w:r>
        <w:rPr>
          <w:rFonts w:hint="eastAsia" w:ascii="宋体" w:hAnsi="宋体" w:eastAsia="宋体"/>
          <w:szCs w:val="21"/>
        </w:rPr>
        <w:t>买方应免费为卖方技术人员提供工作条件及便利，包括但不限于必要的办公场所、技术资料及出入许可等。卖方技术人员的交通、食宿费用由卖方承担。</w:t>
      </w:r>
    </w:p>
    <w:p>
      <w:pPr>
        <w:widowControl w:val="0"/>
        <w:kinsoku w:val="0"/>
        <w:overflowPunct w:val="0"/>
        <w:autoSpaceDE w:val="0"/>
        <w:autoSpaceDN w:val="0"/>
        <w:adjustRightInd w:val="0"/>
        <w:spacing w:line="360" w:lineRule="auto"/>
        <w:ind w:left="100" w:right="113"/>
        <w:outlineLvl w:val="2"/>
        <w:rPr>
          <w:rFonts w:ascii="宋体" w:hAnsi="宋体" w:eastAsia="宋体" w:cs="Microsoft JhengHei"/>
          <w:sz w:val="32"/>
          <w:szCs w:val="32"/>
        </w:rPr>
      </w:pPr>
      <w:bookmarkStart w:id="1412" w:name="bookmark127"/>
      <w:bookmarkEnd w:id="1412"/>
      <w:bookmarkStart w:id="1413" w:name="_Toc4875"/>
      <w:bookmarkStart w:id="1414" w:name="_Toc31757"/>
      <w:bookmarkStart w:id="1415" w:name="_Toc10611"/>
      <w:r>
        <w:rPr>
          <w:rFonts w:ascii="宋体" w:hAnsi="宋体" w:eastAsia="宋体"/>
          <w:b/>
          <w:bCs/>
          <w:sz w:val="32"/>
          <w:szCs w:val="32"/>
        </w:rPr>
        <w:t>7.</w:t>
      </w:r>
      <w:r>
        <w:rPr>
          <w:rFonts w:hint="eastAsia" w:ascii="宋体" w:hAnsi="宋体" w:eastAsia="宋体" w:cs="Microsoft JhengHei"/>
          <w:b/>
          <w:bCs/>
          <w:sz w:val="32"/>
          <w:szCs w:val="32"/>
        </w:rPr>
        <w:t>质量保证期</w:t>
      </w:r>
      <w:bookmarkEnd w:id="1413"/>
      <w:bookmarkEnd w:id="1414"/>
      <w:bookmarkEnd w:id="1415"/>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ascii="宋体" w:hAnsi="宋体" w:eastAsia="宋体"/>
          <w:szCs w:val="21"/>
        </w:rPr>
        <w:t xml:space="preserve">7.1 </w:t>
      </w:r>
      <w:r>
        <w:rPr>
          <w:rFonts w:hint="eastAsia" w:ascii="宋体" w:hAnsi="宋体" w:eastAsia="宋体"/>
          <w:szCs w:val="21"/>
        </w:rPr>
        <w:t>合同货物的质量保证期自合同货物验收之日起算，至合同货物验收证书签署之日起 24个月止（以卖方实际承诺的质保期为准）。</w:t>
      </w:r>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ascii="宋体" w:hAnsi="宋体" w:eastAsia="宋体"/>
          <w:szCs w:val="21"/>
        </w:rPr>
        <w:t xml:space="preserve">7.2 </w:t>
      </w:r>
      <w:r>
        <w:rPr>
          <w:rFonts w:hint="eastAsia" w:ascii="宋体" w:hAnsi="宋体" w:eastAsia="宋体"/>
          <w:szCs w:val="21"/>
        </w:rPr>
        <w:t>除非因买方使用不当，合同货物在质量保证期内如破损、变质或被发现存在任何质量问题，卖方应负责对合同货物进行修补和退换。更换的合同货物的质量保证期应重新计算。</w:t>
      </w:r>
    </w:p>
    <w:p>
      <w:pPr>
        <w:widowControl w:val="0"/>
        <w:kinsoku w:val="0"/>
        <w:overflowPunct w:val="0"/>
        <w:autoSpaceDE w:val="0"/>
        <w:autoSpaceDN w:val="0"/>
        <w:adjustRightInd w:val="0"/>
        <w:spacing w:line="360" w:lineRule="auto"/>
        <w:ind w:left="100" w:right="113"/>
        <w:outlineLvl w:val="2"/>
        <w:rPr>
          <w:rFonts w:ascii="宋体" w:hAnsi="宋体" w:eastAsia="宋体" w:cs="Microsoft JhengHei"/>
          <w:sz w:val="32"/>
          <w:szCs w:val="32"/>
        </w:rPr>
      </w:pPr>
      <w:bookmarkStart w:id="1416" w:name="bookmark128"/>
      <w:bookmarkEnd w:id="1416"/>
      <w:bookmarkStart w:id="1417" w:name="_Toc16445"/>
      <w:bookmarkStart w:id="1418" w:name="_Toc10967"/>
      <w:bookmarkStart w:id="1419" w:name="_Toc18082"/>
      <w:r>
        <w:rPr>
          <w:rFonts w:ascii="宋体" w:hAnsi="宋体" w:eastAsia="宋体"/>
          <w:b/>
          <w:bCs/>
          <w:sz w:val="32"/>
          <w:szCs w:val="32"/>
        </w:rPr>
        <w:t>8.</w:t>
      </w:r>
      <w:r>
        <w:rPr>
          <w:rFonts w:hint="eastAsia" w:ascii="宋体" w:hAnsi="宋体" w:eastAsia="宋体" w:cs="Microsoft JhengHei"/>
          <w:b/>
          <w:bCs/>
          <w:sz w:val="32"/>
          <w:szCs w:val="32"/>
        </w:rPr>
        <w:t>履约保证金</w:t>
      </w:r>
      <w:bookmarkEnd w:id="1417"/>
      <w:bookmarkEnd w:id="1418"/>
      <w:bookmarkEnd w:id="1419"/>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hint="eastAsia" w:ascii="宋体" w:hAnsi="宋体" w:eastAsia="宋体"/>
          <w:szCs w:val="21"/>
        </w:rPr>
        <w:t>8.1 卖方应在收到中选通知书后十（10）天内，向买方提交合同含税总价5%的履约保证金。履约保证金优先采用在中国境内营业的经买方认可的银行开立的、以买方为受益人、可凭买方申索即作无条件付款的不可撤销的人民币银行保函。</w:t>
      </w:r>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hint="eastAsia" w:ascii="宋体" w:hAnsi="宋体" w:eastAsia="宋体"/>
          <w:szCs w:val="21"/>
        </w:rPr>
        <w:t>8.2 履约保证金自合同生效之日起生效，在合同规定的质保期结束后30日失效。如果卖方不履行合同约定的义务或其履行不符合合同的约定，买方有权扣划相应金额的履约保证金。</w:t>
      </w:r>
    </w:p>
    <w:p>
      <w:pPr>
        <w:widowControl w:val="0"/>
        <w:kinsoku w:val="0"/>
        <w:overflowPunct w:val="0"/>
        <w:autoSpaceDE w:val="0"/>
        <w:autoSpaceDN w:val="0"/>
        <w:adjustRightInd w:val="0"/>
        <w:spacing w:line="360" w:lineRule="auto"/>
        <w:ind w:left="100" w:right="113"/>
        <w:outlineLvl w:val="2"/>
        <w:rPr>
          <w:rFonts w:ascii="宋体" w:hAnsi="宋体" w:eastAsia="宋体" w:cs="Microsoft JhengHei"/>
          <w:sz w:val="32"/>
          <w:szCs w:val="32"/>
        </w:rPr>
      </w:pPr>
      <w:bookmarkStart w:id="1420" w:name="bookmark129"/>
      <w:bookmarkEnd w:id="1420"/>
      <w:bookmarkStart w:id="1421" w:name="_Toc18054"/>
      <w:bookmarkStart w:id="1422" w:name="_Toc20635"/>
      <w:bookmarkStart w:id="1423" w:name="_Toc45"/>
      <w:r>
        <w:rPr>
          <w:rFonts w:ascii="宋体" w:hAnsi="宋体" w:eastAsia="宋体"/>
          <w:b/>
          <w:bCs/>
          <w:sz w:val="32"/>
          <w:szCs w:val="32"/>
        </w:rPr>
        <w:t>9.</w:t>
      </w:r>
      <w:r>
        <w:rPr>
          <w:rFonts w:hint="eastAsia" w:ascii="宋体" w:hAnsi="宋体" w:eastAsia="宋体" w:cs="Microsoft JhengHei"/>
          <w:b/>
          <w:bCs/>
          <w:sz w:val="32"/>
          <w:szCs w:val="32"/>
        </w:rPr>
        <w:t>保证</w:t>
      </w:r>
      <w:bookmarkEnd w:id="1421"/>
      <w:bookmarkEnd w:id="1422"/>
      <w:bookmarkEnd w:id="1423"/>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ascii="宋体" w:hAnsi="宋体" w:eastAsia="宋体"/>
          <w:szCs w:val="21"/>
        </w:rPr>
        <w:t xml:space="preserve">9.1 </w:t>
      </w:r>
      <w:r>
        <w:rPr>
          <w:rFonts w:hint="eastAsia" w:ascii="宋体" w:hAnsi="宋体" w:eastAsia="宋体"/>
          <w:szCs w:val="21"/>
        </w:rPr>
        <w:t>卖方保证其具有完全的能力履行本合同项下的全部义务。</w:t>
      </w:r>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ascii="宋体" w:hAnsi="宋体" w:eastAsia="宋体"/>
          <w:szCs w:val="21"/>
        </w:rPr>
        <w:t xml:space="preserve">9.2 </w:t>
      </w:r>
      <w:r>
        <w:rPr>
          <w:rFonts w:hint="eastAsia" w:ascii="宋体" w:hAnsi="宋体" w:eastAsia="宋体"/>
          <w:szCs w:val="21"/>
        </w:rPr>
        <w:t>卖方保证其所提供的合同货物及对合同的履行符合所有应适用的法律、行政法规、地方性法规、自治条例和单行条例、规章及其他规范性文件的强制性规定。</w:t>
      </w:r>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ascii="宋体" w:hAnsi="宋体" w:eastAsia="宋体"/>
          <w:szCs w:val="21"/>
        </w:rPr>
        <w:t xml:space="preserve">9.3 </w:t>
      </w:r>
      <w:r>
        <w:rPr>
          <w:rFonts w:hint="eastAsia" w:ascii="宋体" w:hAnsi="宋体" w:eastAsia="宋体"/>
          <w:szCs w:val="21"/>
        </w:rPr>
        <w:t>卖方保证其对合同货物的销售不损害任何第三方的合法权益和社会公众利益。任何第三方不会因卖方原因而基于所有权、抵押权、留置权或其他任何权利或事由对合同货物主张权利。</w:t>
      </w:r>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ascii="宋体" w:hAnsi="宋体" w:eastAsia="宋体"/>
          <w:szCs w:val="21"/>
        </w:rPr>
        <w:t xml:space="preserve">9.4 </w:t>
      </w:r>
      <w:r>
        <w:rPr>
          <w:rFonts w:hint="eastAsia" w:ascii="宋体" w:hAnsi="宋体" w:eastAsia="宋体"/>
          <w:szCs w:val="21"/>
        </w:rPr>
        <w:t>卖方保证合同货物符合合同约定的规格、质量标准，并且全新、完整，能够安全使用。</w:t>
      </w:r>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ascii="宋体" w:hAnsi="宋体" w:eastAsia="宋体"/>
          <w:szCs w:val="21"/>
        </w:rPr>
        <w:t xml:space="preserve">9.5 </w:t>
      </w:r>
      <w:r>
        <w:rPr>
          <w:rFonts w:hint="eastAsia" w:ascii="宋体" w:hAnsi="宋体" w:eastAsia="宋体"/>
          <w:szCs w:val="21"/>
        </w:rPr>
        <w:t>卖方保证，卖方所提供的技术资料完整、清晰、准确，符合合同约定并且能够满足买 方使用合同货物的需要。</w:t>
      </w:r>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ascii="宋体" w:hAnsi="宋体" w:eastAsia="宋体"/>
          <w:szCs w:val="21"/>
        </w:rPr>
        <w:t xml:space="preserve">9.6 </w:t>
      </w:r>
      <w:r>
        <w:rPr>
          <w:rFonts w:hint="eastAsia" w:ascii="宋体" w:hAnsi="宋体" w:eastAsia="宋体"/>
          <w:szCs w:val="21"/>
        </w:rPr>
        <w:t>卖方保证，在合同货物使用寿命期内，如果卖方发现合同货物存在足以危及人身、财产安全的缺陷，卖方将及时通知买方并及时采取修补、更换等措施消除缺陷。</w:t>
      </w:r>
    </w:p>
    <w:p>
      <w:pPr>
        <w:widowControl w:val="0"/>
        <w:kinsoku w:val="0"/>
        <w:overflowPunct w:val="0"/>
        <w:autoSpaceDE w:val="0"/>
        <w:autoSpaceDN w:val="0"/>
        <w:adjustRightInd w:val="0"/>
        <w:spacing w:line="360" w:lineRule="auto"/>
        <w:ind w:left="100"/>
        <w:outlineLvl w:val="2"/>
        <w:rPr>
          <w:rFonts w:ascii="宋体" w:hAnsi="宋体" w:eastAsia="宋体" w:cs="Microsoft JhengHei"/>
          <w:sz w:val="32"/>
          <w:szCs w:val="32"/>
        </w:rPr>
      </w:pPr>
      <w:bookmarkStart w:id="1424" w:name="bookmark130"/>
      <w:bookmarkEnd w:id="1424"/>
      <w:bookmarkStart w:id="1425" w:name="_Toc14039"/>
      <w:bookmarkStart w:id="1426" w:name="_Toc13903"/>
      <w:bookmarkStart w:id="1427" w:name="_Toc16161"/>
      <w:r>
        <w:rPr>
          <w:rFonts w:ascii="宋体" w:hAnsi="宋体" w:eastAsia="宋体"/>
          <w:b/>
          <w:bCs/>
          <w:sz w:val="32"/>
          <w:szCs w:val="32"/>
        </w:rPr>
        <w:t>10.</w:t>
      </w:r>
      <w:r>
        <w:rPr>
          <w:rFonts w:hint="eastAsia" w:ascii="宋体" w:hAnsi="宋体" w:eastAsia="宋体" w:cs="Microsoft JhengHei"/>
          <w:b/>
          <w:bCs/>
          <w:sz w:val="32"/>
          <w:szCs w:val="32"/>
        </w:rPr>
        <w:t>违约责任</w:t>
      </w:r>
      <w:bookmarkEnd w:id="1425"/>
      <w:bookmarkEnd w:id="1426"/>
      <w:bookmarkEnd w:id="1427"/>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ascii="宋体" w:hAnsi="宋体" w:eastAsia="宋体"/>
          <w:szCs w:val="21"/>
        </w:rPr>
        <w:t xml:space="preserve">10.1 </w:t>
      </w:r>
      <w:r>
        <w:rPr>
          <w:rFonts w:hint="eastAsia" w:ascii="宋体" w:hAnsi="宋体" w:eastAsia="宋体"/>
          <w:szCs w:val="21"/>
        </w:rPr>
        <w:t>合同一方不履行合同义务、履行合同义务不符合约定或者违反合同项下所作保证的， 应向对方承担继续履行、采取补救措施或者赔偿损失等违约责任。</w:t>
      </w:r>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ascii="宋体" w:hAnsi="宋体" w:eastAsia="宋体"/>
          <w:szCs w:val="21"/>
        </w:rPr>
        <w:t xml:space="preserve">10.2 </w:t>
      </w:r>
      <w:r>
        <w:rPr>
          <w:rFonts w:hint="eastAsia" w:ascii="宋体" w:hAnsi="宋体" w:eastAsia="宋体"/>
          <w:szCs w:val="21"/>
        </w:rPr>
        <w:t>质保期内，若每年故障率（达到更换标准）超过5%，将出具扣款通知书，扣除履约保证金的10%。</w:t>
      </w:r>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ascii="宋体" w:hAnsi="宋体" w:eastAsia="宋体"/>
          <w:szCs w:val="21"/>
        </w:rPr>
        <w:t xml:space="preserve">10.3 </w:t>
      </w:r>
      <w:r>
        <w:rPr>
          <w:rFonts w:hint="eastAsia" w:ascii="宋体" w:hAnsi="宋体" w:eastAsia="宋体"/>
          <w:szCs w:val="21"/>
        </w:rPr>
        <w:t>卖方保证货物是全新的，完全符合国家有关标准和合同规定的质量、规格和性能要求，有产品合格证或产品质量证明书。严禁提供假冒伪劣产品，一经发现，买方有权解除本合同且扣除履约保证金，且由此而产生的一切费用和责任由乙方承担。</w:t>
      </w:r>
    </w:p>
    <w:p>
      <w:pPr>
        <w:widowControl w:val="0"/>
        <w:kinsoku w:val="0"/>
        <w:overflowPunct w:val="0"/>
        <w:autoSpaceDE w:val="0"/>
        <w:autoSpaceDN w:val="0"/>
        <w:spacing w:line="360" w:lineRule="auto"/>
        <w:ind w:firstLine="420" w:firstLineChars="200"/>
        <w:jc w:val="both"/>
        <w:rPr>
          <w:rFonts w:hint="eastAsia" w:ascii="宋体" w:hAnsi="宋体" w:eastAsia="宋体"/>
          <w:szCs w:val="21"/>
        </w:rPr>
      </w:pPr>
      <w:r>
        <w:rPr>
          <w:rFonts w:ascii="宋体" w:hAnsi="宋体" w:eastAsia="宋体"/>
          <w:szCs w:val="21"/>
        </w:rPr>
        <w:t>10.</w:t>
      </w:r>
      <w:r>
        <w:rPr>
          <w:rFonts w:hint="eastAsia" w:ascii="宋体" w:hAnsi="宋体" w:eastAsia="宋体"/>
          <w:szCs w:val="21"/>
        </w:rPr>
        <w:t>4</w:t>
      </w:r>
      <w:r>
        <w:rPr>
          <w:rFonts w:ascii="宋体" w:hAnsi="宋体" w:eastAsia="宋体"/>
          <w:szCs w:val="21"/>
        </w:rPr>
        <w:t xml:space="preserve"> </w:t>
      </w:r>
      <w:r>
        <w:rPr>
          <w:rFonts w:hint="eastAsia" w:ascii="宋体" w:hAnsi="宋体" w:eastAsia="宋体"/>
          <w:szCs w:val="21"/>
        </w:rPr>
        <w:t>交货检验过程中，如不合格率低于2%，则更换不合格品，且处以不合格品价值10%的违约金；如不合格率高于2%，则买方有权拒绝接收该批货物，卖方按该批货物价款的10%向买方支付违约金。买方有权采取15%送验的方法对货物进行检验，检测不合格部分检测费用由中标单位承担。</w:t>
      </w:r>
    </w:p>
    <w:p>
      <w:pPr>
        <w:widowControl w:val="0"/>
        <w:spacing w:line="360" w:lineRule="auto"/>
        <w:ind w:firstLine="424" w:firstLineChars="202"/>
        <w:jc w:val="both"/>
        <w:rPr>
          <w:rFonts w:ascii="宋体" w:hAnsi="宋体" w:eastAsia="宋体"/>
          <w:szCs w:val="21"/>
        </w:rPr>
      </w:pPr>
      <w:r>
        <w:rPr>
          <w:rFonts w:hint="eastAsia" w:ascii="宋体" w:hAnsi="宋体" w:eastAsia="宋体"/>
          <w:szCs w:val="21"/>
        </w:rPr>
        <w:t>10.5除非买卖双方书面同意延迟到货外，若卖方未能按合同规定的或双方协商确定的到货期到货和提供服务，则卖方应根据以下标准向买方支付违约金：到货期后每</w:t>
      </w:r>
      <w:r>
        <w:rPr>
          <w:rFonts w:hint="eastAsia" w:ascii="宋体" w:hAnsi="宋体" w:eastAsia="宋体"/>
          <w:szCs w:val="21"/>
          <w:u w:val="single"/>
        </w:rPr>
        <w:t>7</w:t>
      </w:r>
      <w:r>
        <w:rPr>
          <w:rFonts w:hint="eastAsia" w:ascii="宋体" w:hAnsi="宋体" w:eastAsia="宋体"/>
          <w:szCs w:val="21"/>
        </w:rPr>
        <w:t>天违约金为该批到货金额的</w:t>
      </w:r>
      <w:r>
        <w:rPr>
          <w:rFonts w:hint="eastAsia" w:ascii="宋体" w:hAnsi="宋体" w:eastAsia="宋体"/>
          <w:szCs w:val="21"/>
          <w:u w:val="single"/>
        </w:rPr>
        <w:t>1</w:t>
      </w:r>
      <w:r>
        <w:rPr>
          <w:rFonts w:hint="eastAsia" w:ascii="宋体" w:hAnsi="宋体" w:eastAsia="宋体"/>
          <w:szCs w:val="21"/>
        </w:rPr>
        <w:t>%，未满7天按7天计。</w:t>
      </w:r>
    </w:p>
    <w:p>
      <w:pPr>
        <w:widowControl w:val="0"/>
        <w:kinsoku w:val="0"/>
        <w:overflowPunct w:val="0"/>
        <w:autoSpaceDE w:val="0"/>
        <w:autoSpaceDN w:val="0"/>
        <w:adjustRightInd w:val="0"/>
        <w:spacing w:line="360" w:lineRule="auto"/>
        <w:ind w:left="100"/>
        <w:outlineLvl w:val="2"/>
        <w:rPr>
          <w:rFonts w:ascii="宋体" w:hAnsi="宋体" w:eastAsia="宋体" w:cs="Microsoft JhengHei"/>
          <w:sz w:val="32"/>
          <w:szCs w:val="32"/>
        </w:rPr>
      </w:pPr>
      <w:bookmarkStart w:id="1428" w:name="bookmark131"/>
      <w:bookmarkEnd w:id="1428"/>
      <w:bookmarkStart w:id="1429" w:name="_Toc8941"/>
      <w:bookmarkStart w:id="1430" w:name="_Toc29626"/>
      <w:bookmarkStart w:id="1431" w:name="_Toc6728"/>
      <w:r>
        <w:rPr>
          <w:rFonts w:ascii="宋体" w:hAnsi="宋体" w:eastAsia="宋体"/>
          <w:b/>
          <w:bCs/>
          <w:spacing w:val="-6"/>
          <w:sz w:val="32"/>
          <w:szCs w:val="32"/>
        </w:rPr>
        <w:t>11.</w:t>
      </w:r>
      <w:r>
        <w:rPr>
          <w:rFonts w:hint="eastAsia" w:ascii="宋体" w:hAnsi="宋体" w:eastAsia="宋体" w:cs="Microsoft JhengHei"/>
          <w:b/>
          <w:bCs/>
          <w:sz w:val="32"/>
          <w:szCs w:val="32"/>
        </w:rPr>
        <w:t>合同的解除</w:t>
      </w:r>
      <w:bookmarkEnd w:id="1429"/>
      <w:bookmarkEnd w:id="1430"/>
      <w:bookmarkEnd w:id="1431"/>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hint="eastAsia" w:ascii="宋体" w:hAnsi="宋体" w:eastAsia="宋体"/>
          <w:szCs w:val="21"/>
        </w:rPr>
        <w:t>有下述情形之一，当事人可发出书面通知全部或部分地解除合同，合同自通知到达对方时全部或部分地解除：</w:t>
      </w:r>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hint="eastAsia" w:ascii="宋体" w:hAnsi="宋体" w:eastAsia="宋体"/>
          <w:szCs w:val="21"/>
        </w:rPr>
        <w:t>（</w:t>
      </w:r>
      <w:r>
        <w:rPr>
          <w:rFonts w:ascii="宋体" w:hAnsi="宋体" w:eastAsia="宋体"/>
          <w:szCs w:val="21"/>
        </w:rPr>
        <w:t>1</w:t>
      </w:r>
      <w:r>
        <w:rPr>
          <w:rFonts w:hint="eastAsia" w:ascii="宋体" w:hAnsi="宋体" w:eastAsia="宋体"/>
          <w:szCs w:val="21"/>
        </w:rPr>
        <w:t>）合同一方当事人无法继续履行或明确表示不履行或实质上已停止履行合同；</w:t>
      </w:r>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）合同一方当事人需支付的违约金已达合同约定的最高限额；</w:t>
      </w:r>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szCs w:val="21"/>
        </w:rPr>
        <w:t>）合同货物未能达到质量标准，或在合同约定了最低质量标准时，不能达到最低质量标准；</w:t>
      </w:r>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hint="eastAsia" w:ascii="宋体" w:hAnsi="宋体" w:eastAsia="宋体"/>
          <w:szCs w:val="21"/>
        </w:rPr>
        <w:t>（</w:t>
      </w:r>
      <w:r>
        <w:rPr>
          <w:rFonts w:ascii="宋体" w:hAnsi="宋体" w:eastAsia="宋体"/>
          <w:szCs w:val="21"/>
        </w:rPr>
        <w:t>4</w:t>
      </w:r>
      <w:r>
        <w:rPr>
          <w:rFonts w:hint="eastAsia" w:ascii="宋体" w:hAnsi="宋体" w:eastAsia="宋体"/>
          <w:szCs w:val="21"/>
        </w:rPr>
        <w:t>）合同一方当事人出现破产、清算、资不抵债、成为失信被执行人等可能丧失履约能力的情形，且未能提供令对方满意的履约保证金；</w:t>
      </w:r>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hint="eastAsia" w:ascii="宋体" w:hAnsi="宋体" w:eastAsia="宋体"/>
          <w:szCs w:val="21"/>
        </w:rPr>
        <w:t>（</w:t>
      </w:r>
      <w:r>
        <w:rPr>
          <w:rFonts w:ascii="宋体" w:hAnsi="宋体" w:eastAsia="宋体"/>
          <w:szCs w:val="21"/>
        </w:rPr>
        <w:t>5</w:t>
      </w:r>
      <w:r>
        <w:rPr>
          <w:rFonts w:hint="eastAsia" w:ascii="宋体" w:hAnsi="宋体" w:eastAsia="宋体"/>
          <w:szCs w:val="21"/>
        </w:rPr>
        <w:t>）因不可抗力不能实现合同目的。</w:t>
      </w:r>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hint="eastAsia" w:ascii="宋体" w:hAnsi="宋体" w:eastAsia="宋体"/>
          <w:szCs w:val="21"/>
        </w:rPr>
        <w:t>（6）卖方严禁提供假冒伪劣产品，一经发现，买方有权无条件解除本合同。</w:t>
      </w:r>
    </w:p>
    <w:p>
      <w:pPr>
        <w:widowControl w:val="0"/>
        <w:kinsoku w:val="0"/>
        <w:overflowPunct w:val="0"/>
        <w:autoSpaceDE w:val="0"/>
        <w:autoSpaceDN w:val="0"/>
        <w:adjustRightInd w:val="0"/>
        <w:spacing w:line="360" w:lineRule="auto"/>
        <w:ind w:left="100"/>
        <w:outlineLvl w:val="2"/>
        <w:rPr>
          <w:rFonts w:ascii="宋体" w:hAnsi="宋体" w:eastAsia="宋体"/>
          <w:b/>
          <w:bCs/>
          <w:spacing w:val="-6"/>
          <w:sz w:val="32"/>
          <w:szCs w:val="32"/>
        </w:rPr>
      </w:pPr>
      <w:bookmarkStart w:id="1432" w:name="bookmark132"/>
      <w:bookmarkEnd w:id="1432"/>
      <w:bookmarkStart w:id="1433" w:name="_Toc19383"/>
      <w:bookmarkStart w:id="1434" w:name="_Toc32447"/>
      <w:bookmarkStart w:id="1435" w:name="_Toc3927"/>
      <w:r>
        <w:rPr>
          <w:rFonts w:ascii="宋体" w:hAnsi="宋体" w:eastAsia="宋体"/>
          <w:b/>
          <w:bCs/>
          <w:spacing w:val="-6"/>
          <w:sz w:val="32"/>
          <w:szCs w:val="32"/>
        </w:rPr>
        <w:t>12.</w:t>
      </w:r>
      <w:r>
        <w:rPr>
          <w:rFonts w:hint="eastAsia" w:ascii="宋体" w:hAnsi="宋体" w:eastAsia="宋体"/>
          <w:b/>
          <w:bCs/>
          <w:spacing w:val="-6"/>
          <w:sz w:val="32"/>
          <w:szCs w:val="32"/>
        </w:rPr>
        <w:t>争议的解决</w:t>
      </w:r>
      <w:bookmarkEnd w:id="1433"/>
      <w:bookmarkEnd w:id="1434"/>
      <w:bookmarkEnd w:id="1435"/>
    </w:p>
    <w:p>
      <w:pPr>
        <w:widowControl w:val="0"/>
        <w:kinsoku w:val="0"/>
        <w:overflowPunct w:val="0"/>
        <w:autoSpaceDE w:val="0"/>
        <w:autoSpaceDN w:val="0"/>
        <w:adjustRightInd w:val="0"/>
        <w:spacing w:line="360" w:lineRule="auto"/>
        <w:ind w:left="100" w:firstLine="419"/>
        <w:rPr>
          <w:rFonts w:ascii="宋体" w:hAnsi="宋体" w:eastAsia="宋体" w:cs="宋体"/>
          <w:spacing w:val="-2"/>
          <w:szCs w:val="21"/>
        </w:rPr>
      </w:pPr>
      <w:r>
        <w:rPr>
          <w:rFonts w:hint="eastAsia" w:ascii="宋体" w:hAnsi="宋体" w:eastAsia="宋体" w:cs="宋体"/>
          <w:spacing w:val="-2"/>
          <w:szCs w:val="21"/>
        </w:rPr>
        <w:t>12.1 合同实施中或与合同有关的一切争议可通过双方友好协商解决。如未协商或友好协商开始后六十（60）天内不能达成协议时，争议应提交仲裁。</w:t>
      </w:r>
    </w:p>
    <w:p>
      <w:pPr>
        <w:widowControl w:val="0"/>
        <w:kinsoku w:val="0"/>
        <w:overflowPunct w:val="0"/>
        <w:autoSpaceDE w:val="0"/>
        <w:autoSpaceDN w:val="0"/>
        <w:adjustRightInd w:val="0"/>
        <w:spacing w:line="360" w:lineRule="auto"/>
        <w:ind w:left="100" w:firstLine="419"/>
        <w:rPr>
          <w:rFonts w:ascii="宋体" w:hAnsi="宋体" w:eastAsia="宋体" w:cs="宋体"/>
          <w:spacing w:val="-2"/>
          <w:szCs w:val="21"/>
        </w:rPr>
      </w:pPr>
      <w:r>
        <w:rPr>
          <w:rFonts w:hint="eastAsia" w:ascii="宋体" w:hAnsi="宋体" w:eastAsia="宋体" w:cs="宋体"/>
          <w:spacing w:val="-2"/>
          <w:szCs w:val="21"/>
        </w:rPr>
        <w:t>12.2 仲裁应由南通仲裁委员会根据其仲裁程序和规则进行。仲裁的官方语言为中文。</w:t>
      </w:r>
    </w:p>
    <w:p>
      <w:pPr>
        <w:widowControl w:val="0"/>
        <w:kinsoku w:val="0"/>
        <w:overflowPunct w:val="0"/>
        <w:autoSpaceDE w:val="0"/>
        <w:autoSpaceDN w:val="0"/>
        <w:adjustRightInd w:val="0"/>
        <w:spacing w:line="360" w:lineRule="auto"/>
        <w:ind w:left="100" w:firstLine="419"/>
        <w:rPr>
          <w:rFonts w:ascii="宋体" w:hAnsi="宋体" w:eastAsia="宋体" w:cs="宋体"/>
          <w:spacing w:val="-2"/>
          <w:szCs w:val="21"/>
        </w:rPr>
      </w:pPr>
      <w:r>
        <w:rPr>
          <w:rFonts w:hint="eastAsia" w:ascii="宋体" w:hAnsi="宋体" w:eastAsia="宋体" w:cs="宋体"/>
          <w:spacing w:val="-2"/>
          <w:szCs w:val="21"/>
        </w:rPr>
        <w:t>12.3 仲裁裁决为最终裁决，对双方均具有约束力。除仲裁机关另有裁决外，仲裁费（包括但不限于胜诉方为此支付的鉴定费、评估费、公证费、交通费、律师费等）应由败诉方负担。</w:t>
      </w:r>
    </w:p>
    <w:p>
      <w:pPr>
        <w:widowControl w:val="0"/>
        <w:kinsoku w:val="0"/>
        <w:overflowPunct w:val="0"/>
        <w:autoSpaceDE w:val="0"/>
        <w:autoSpaceDN w:val="0"/>
        <w:adjustRightInd w:val="0"/>
        <w:spacing w:line="360" w:lineRule="auto"/>
        <w:ind w:left="100" w:firstLine="419"/>
        <w:rPr>
          <w:rFonts w:ascii="宋体" w:hAnsi="宋体" w:eastAsia="宋体" w:cs="宋体"/>
          <w:spacing w:val="-2"/>
          <w:szCs w:val="21"/>
        </w:rPr>
      </w:pPr>
      <w:r>
        <w:rPr>
          <w:rFonts w:hint="eastAsia" w:ascii="宋体" w:hAnsi="宋体" w:eastAsia="宋体" w:cs="宋体"/>
          <w:spacing w:val="-2"/>
          <w:szCs w:val="21"/>
        </w:rPr>
        <w:t>12.4 在仲裁期间，除正在进行仲裁的部分外，应继续执行本合同其它部分。</w:t>
      </w:r>
    </w:p>
    <w:p>
      <w:pPr>
        <w:widowControl w:val="0"/>
        <w:jc w:val="both"/>
        <w:rPr>
          <w:rFonts w:ascii="Calibri" w:hAnsi="Calibri" w:eastAsia="宋体"/>
          <w:kern w:val="2"/>
          <w:szCs w:val="24"/>
        </w:rPr>
      </w:pPr>
    </w:p>
    <w:p>
      <w:pPr>
        <w:rPr>
          <w:rFonts w:ascii="Calibri" w:hAnsi="Calibri" w:eastAsia="宋体"/>
          <w:kern w:val="2"/>
          <w:szCs w:val="24"/>
        </w:rPr>
      </w:pPr>
      <w:r>
        <w:rPr>
          <w:rFonts w:ascii="Calibri" w:hAnsi="Calibri" w:eastAsia="宋体"/>
          <w:kern w:val="2"/>
          <w:szCs w:val="24"/>
        </w:rPr>
        <w:br w:type="page"/>
      </w:r>
    </w:p>
    <w:p>
      <w:pPr>
        <w:widowControl w:val="0"/>
        <w:kinsoku w:val="0"/>
        <w:overflowPunct w:val="0"/>
        <w:autoSpaceDE w:val="0"/>
        <w:autoSpaceDN w:val="0"/>
        <w:adjustRightInd w:val="0"/>
        <w:spacing w:line="360" w:lineRule="auto"/>
        <w:jc w:val="center"/>
        <w:outlineLvl w:val="1"/>
        <w:rPr>
          <w:rFonts w:ascii="宋体" w:hAnsi="宋体" w:eastAsia="宋体" w:cs="Microsoft JhengHei"/>
          <w:sz w:val="32"/>
          <w:szCs w:val="32"/>
        </w:rPr>
      </w:pPr>
      <w:bookmarkStart w:id="1436" w:name="_Toc23659"/>
      <w:bookmarkStart w:id="1437" w:name="_Toc27265"/>
      <w:bookmarkStart w:id="1438" w:name="_Toc16255"/>
      <w:bookmarkStart w:id="1439" w:name="_Toc358"/>
      <w:bookmarkStart w:id="1440" w:name="_Toc29578"/>
      <w:bookmarkStart w:id="1441" w:name="_Toc11864"/>
      <w:r>
        <w:rPr>
          <w:rFonts w:hint="eastAsia" w:ascii="宋体" w:hAnsi="宋体" w:eastAsia="宋体" w:cs="Microsoft JhengHei"/>
          <w:b/>
          <w:bCs/>
          <w:sz w:val="32"/>
          <w:szCs w:val="32"/>
        </w:rPr>
        <w:t>第四部分 报价表</w:t>
      </w:r>
      <w:bookmarkEnd w:id="1436"/>
      <w:bookmarkEnd w:id="1437"/>
      <w:bookmarkEnd w:id="1438"/>
      <w:bookmarkEnd w:id="1439"/>
      <w:bookmarkEnd w:id="1440"/>
      <w:bookmarkEnd w:id="1441"/>
    </w:p>
    <w:p>
      <w:pPr>
        <w:widowControl w:val="0"/>
        <w:jc w:val="both"/>
        <w:rPr>
          <w:rFonts w:ascii="Calibri" w:hAnsi="Calibri" w:eastAsia="宋体"/>
          <w:kern w:val="2"/>
          <w:szCs w:val="24"/>
        </w:rPr>
      </w:pPr>
      <w:r>
        <w:rPr>
          <w:rFonts w:ascii="Calibri" w:hAnsi="Calibri" w:eastAsia="宋体"/>
          <w:kern w:val="2"/>
          <w:szCs w:val="24"/>
        </w:rPr>
        <w:br w:type="page"/>
      </w:r>
    </w:p>
    <w:p>
      <w:pPr>
        <w:widowControl w:val="0"/>
        <w:kinsoku w:val="0"/>
        <w:overflowPunct w:val="0"/>
        <w:autoSpaceDE w:val="0"/>
        <w:autoSpaceDN w:val="0"/>
        <w:adjustRightInd w:val="0"/>
        <w:spacing w:line="360" w:lineRule="auto"/>
        <w:jc w:val="center"/>
        <w:outlineLvl w:val="1"/>
        <w:rPr>
          <w:rFonts w:ascii="宋体" w:hAnsi="宋体" w:eastAsia="宋体" w:cs="Microsoft JhengHei"/>
          <w:sz w:val="32"/>
          <w:szCs w:val="32"/>
        </w:rPr>
      </w:pPr>
      <w:bookmarkStart w:id="1442" w:name="_Toc14814"/>
      <w:bookmarkStart w:id="1443" w:name="_Toc6512"/>
      <w:bookmarkStart w:id="1444" w:name="_Toc9898"/>
      <w:bookmarkStart w:id="1445" w:name="_Toc728"/>
      <w:bookmarkStart w:id="1446" w:name="_Toc9920"/>
      <w:bookmarkStart w:id="1447" w:name="_Toc18043"/>
      <w:r>
        <w:rPr>
          <w:rFonts w:hint="eastAsia" w:ascii="宋体" w:hAnsi="宋体" w:eastAsia="宋体" w:cs="Microsoft JhengHei"/>
          <w:b/>
          <w:bCs/>
          <w:sz w:val="32"/>
          <w:szCs w:val="32"/>
        </w:rPr>
        <w:t xml:space="preserve">第五部分 </w:t>
      </w:r>
      <w:bookmarkEnd w:id="1442"/>
      <w:bookmarkEnd w:id="1443"/>
      <w:bookmarkEnd w:id="1444"/>
      <w:bookmarkEnd w:id="1445"/>
      <w:r>
        <w:rPr>
          <w:rFonts w:hint="eastAsia" w:ascii="宋体" w:hAnsi="宋体" w:eastAsia="宋体" w:cs="Microsoft JhengHei"/>
          <w:b/>
          <w:bCs/>
          <w:sz w:val="32"/>
          <w:szCs w:val="32"/>
        </w:rPr>
        <w:t>用户需求书</w:t>
      </w:r>
      <w:bookmarkEnd w:id="1446"/>
      <w:bookmarkEnd w:id="1447"/>
    </w:p>
    <w:p>
      <w:pPr>
        <w:rPr>
          <w:rFonts w:ascii="Calibri" w:hAnsi="Calibri" w:eastAsia="宋体"/>
          <w:kern w:val="2"/>
          <w:szCs w:val="24"/>
        </w:rPr>
      </w:pPr>
      <w:r>
        <w:rPr>
          <w:rFonts w:ascii="Calibri" w:hAnsi="Calibri" w:eastAsia="宋体"/>
          <w:kern w:val="2"/>
          <w:szCs w:val="24"/>
        </w:rPr>
        <w:br w:type="page"/>
      </w:r>
    </w:p>
    <w:p>
      <w:pPr>
        <w:widowControl w:val="0"/>
        <w:kinsoku w:val="0"/>
        <w:overflowPunct w:val="0"/>
        <w:autoSpaceDE w:val="0"/>
        <w:autoSpaceDN w:val="0"/>
        <w:adjustRightInd w:val="0"/>
        <w:spacing w:line="360" w:lineRule="auto"/>
        <w:jc w:val="center"/>
        <w:outlineLvl w:val="1"/>
        <w:rPr>
          <w:rFonts w:ascii="宋体" w:hAnsi="宋体" w:eastAsia="宋体" w:cs="Microsoft JhengHei"/>
          <w:sz w:val="32"/>
          <w:szCs w:val="32"/>
        </w:rPr>
      </w:pPr>
      <w:bookmarkStart w:id="1448" w:name="_Toc28483"/>
      <w:bookmarkStart w:id="1449" w:name="_Toc9895"/>
      <w:bookmarkStart w:id="1450" w:name="_Toc10193"/>
      <w:bookmarkStart w:id="1451" w:name="_Toc9412"/>
      <w:bookmarkStart w:id="1452" w:name="_Toc1888"/>
      <w:bookmarkStart w:id="1453" w:name="_Toc11978"/>
      <w:bookmarkStart w:id="1454" w:name="_Toc8351"/>
      <w:r>
        <w:rPr>
          <w:rFonts w:hint="eastAsia" w:ascii="宋体" w:hAnsi="宋体" w:eastAsia="宋体" w:cs="Microsoft JhengHei"/>
          <w:b/>
          <w:bCs/>
          <w:sz w:val="32"/>
          <w:szCs w:val="32"/>
        </w:rPr>
        <w:t>第六部分 合同附件（廉政合同）</w:t>
      </w:r>
      <w:bookmarkEnd w:id="1448"/>
      <w:bookmarkEnd w:id="1449"/>
      <w:bookmarkEnd w:id="1450"/>
      <w:bookmarkEnd w:id="1451"/>
      <w:bookmarkEnd w:id="1452"/>
      <w:bookmarkEnd w:id="1453"/>
      <w:bookmarkEnd w:id="1454"/>
    </w:p>
    <w:p>
      <w:pPr>
        <w:widowControl w:val="0"/>
        <w:spacing w:line="360" w:lineRule="auto"/>
        <w:ind w:firstLine="420" w:firstLineChars="200"/>
        <w:jc w:val="both"/>
        <w:rPr>
          <w:rFonts w:hint="eastAsia" w:ascii="宋体" w:hAnsi="宋体" w:eastAsia="宋体" w:cs="宋体"/>
          <w:kern w:val="2"/>
          <w:szCs w:val="24"/>
        </w:rPr>
      </w:pPr>
      <w:r>
        <w:rPr>
          <w:rFonts w:hint="eastAsia" w:ascii="宋体" w:hAnsi="宋体" w:eastAsia="宋体" w:cs="宋体"/>
          <w:kern w:val="2"/>
          <w:szCs w:val="24"/>
        </w:rPr>
        <w:t>甲方：</w:t>
      </w:r>
      <w:r>
        <w:rPr>
          <w:rFonts w:hint="eastAsia" w:ascii="宋体" w:hAnsi="宋体" w:eastAsia="宋体" w:cs="宋体"/>
          <w:kern w:val="2"/>
          <w:szCs w:val="24"/>
          <w:u w:val="single"/>
        </w:rPr>
        <w:t xml:space="preserve">南通轨道交通集团有限公司运营分公司  </w:t>
      </w:r>
    </w:p>
    <w:p>
      <w:pPr>
        <w:widowControl w:val="0"/>
        <w:spacing w:line="360" w:lineRule="auto"/>
        <w:ind w:firstLine="420" w:firstLineChars="200"/>
        <w:jc w:val="both"/>
        <w:rPr>
          <w:rFonts w:hint="eastAsia" w:ascii="宋体" w:hAnsi="宋体" w:eastAsia="宋体" w:cs="宋体"/>
          <w:kern w:val="2"/>
          <w:szCs w:val="24"/>
          <w:u w:val="single"/>
        </w:rPr>
      </w:pPr>
      <w:r>
        <w:rPr>
          <w:rFonts w:hint="eastAsia" w:ascii="宋体" w:hAnsi="宋体" w:eastAsia="宋体" w:cs="宋体"/>
          <w:kern w:val="2"/>
          <w:szCs w:val="24"/>
        </w:rPr>
        <w:t>乙方：</w:t>
      </w:r>
      <w:r>
        <w:rPr>
          <w:rFonts w:hint="eastAsia" w:ascii="宋体" w:hAnsi="宋体" w:eastAsia="宋体" w:cs="宋体"/>
          <w:kern w:val="2"/>
          <w:szCs w:val="24"/>
          <w:u w:val="single"/>
        </w:rPr>
        <w:t xml:space="preserve">                                    </w:t>
      </w:r>
    </w:p>
    <w:p>
      <w:pPr>
        <w:widowControl w:val="0"/>
        <w:spacing w:line="360" w:lineRule="auto"/>
        <w:ind w:firstLine="420" w:firstLineChars="200"/>
        <w:jc w:val="both"/>
        <w:rPr>
          <w:rFonts w:hint="eastAsia" w:ascii="宋体" w:hAnsi="宋体" w:eastAsia="宋体" w:cs="宋体"/>
          <w:kern w:val="2"/>
          <w:szCs w:val="24"/>
        </w:rPr>
      </w:pPr>
      <w:r>
        <w:rPr>
          <w:rFonts w:hint="eastAsia" w:ascii="宋体" w:hAnsi="宋体" w:eastAsia="宋体" w:cs="宋体"/>
          <w:kern w:val="2"/>
          <w:szCs w:val="24"/>
        </w:rPr>
        <w:t>为加强廉政建设，规范甲、乙双方的各项活动，防止发生各种谋取不正当利益的违法违纪行为，保护国家、集体和当事人的合法权益，根据国家有关廉政建设规定，特订立本廉政合同。</w:t>
      </w:r>
    </w:p>
    <w:p>
      <w:pPr>
        <w:widowControl w:val="0"/>
        <w:spacing w:line="360" w:lineRule="auto"/>
        <w:ind w:firstLine="420" w:firstLineChars="200"/>
        <w:jc w:val="both"/>
        <w:rPr>
          <w:rFonts w:hint="eastAsia" w:ascii="宋体" w:hAnsi="宋体" w:eastAsia="宋体" w:cs="宋体"/>
          <w:kern w:val="2"/>
          <w:szCs w:val="24"/>
        </w:rPr>
      </w:pPr>
      <w:r>
        <w:rPr>
          <w:rFonts w:hint="eastAsia" w:ascii="宋体" w:hAnsi="宋体" w:eastAsia="宋体" w:cs="宋体"/>
          <w:kern w:val="2"/>
          <w:szCs w:val="24"/>
        </w:rPr>
        <w:t>第一条 双方的权利和义务</w:t>
      </w:r>
    </w:p>
    <w:p>
      <w:pPr>
        <w:widowControl w:val="0"/>
        <w:spacing w:line="360" w:lineRule="auto"/>
        <w:ind w:firstLine="420" w:firstLineChars="200"/>
        <w:jc w:val="both"/>
        <w:rPr>
          <w:rFonts w:hint="eastAsia" w:ascii="宋体" w:hAnsi="宋体" w:eastAsia="宋体" w:cs="宋体"/>
          <w:kern w:val="2"/>
          <w:szCs w:val="24"/>
        </w:rPr>
      </w:pPr>
      <w:r>
        <w:rPr>
          <w:rFonts w:hint="eastAsia" w:ascii="宋体" w:hAnsi="宋体" w:eastAsia="宋体" w:cs="宋体"/>
          <w:kern w:val="2"/>
          <w:szCs w:val="24"/>
        </w:rPr>
        <w:t>(一) 应严格遵守国家关于市场准入、项目招标投标、采购工作、招标代理管理、市场活动的有关法律、法规，相关政策，以及廉政建设的各项规定。</w:t>
      </w:r>
    </w:p>
    <w:p>
      <w:pPr>
        <w:widowControl w:val="0"/>
        <w:spacing w:line="360" w:lineRule="auto"/>
        <w:ind w:firstLine="420" w:firstLineChars="200"/>
        <w:jc w:val="both"/>
        <w:rPr>
          <w:rFonts w:hint="eastAsia" w:ascii="宋体" w:hAnsi="宋体" w:eastAsia="宋体" w:cs="宋体"/>
          <w:kern w:val="2"/>
          <w:szCs w:val="24"/>
        </w:rPr>
      </w:pPr>
      <w:r>
        <w:rPr>
          <w:rFonts w:hint="eastAsia" w:ascii="宋体" w:hAnsi="宋体" w:eastAsia="宋体" w:cs="宋体"/>
          <w:kern w:val="2"/>
          <w:szCs w:val="24"/>
        </w:rPr>
        <w:t>(二) 严格执行本项目甲、乙双方签订的合同（协议）文件，自觉按合同（协议）办事。</w:t>
      </w:r>
    </w:p>
    <w:p>
      <w:pPr>
        <w:widowControl w:val="0"/>
        <w:spacing w:line="360" w:lineRule="auto"/>
        <w:ind w:firstLine="420" w:firstLineChars="200"/>
        <w:jc w:val="both"/>
        <w:rPr>
          <w:rFonts w:hint="eastAsia" w:ascii="宋体" w:hAnsi="宋体" w:eastAsia="宋体" w:cs="宋体"/>
          <w:kern w:val="2"/>
          <w:szCs w:val="24"/>
        </w:rPr>
      </w:pPr>
      <w:r>
        <w:rPr>
          <w:rFonts w:hint="eastAsia" w:ascii="宋体" w:hAnsi="宋体" w:eastAsia="宋体" w:cs="宋体"/>
          <w:kern w:val="2"/>
          <w:szCs w:val="24"/>
        </w:rPr>
        <w:t>(三) 业务活动必须坚持公开、公平、公正、诚信、透明的原则（除法律法规和合同文件另有规定者外），双方人员不得获取不正当利益，不得损害国家和集体利益。</w:t>
      </w:r>
    </w:p>
    <w:p>
      <w:pPr>
        <w:widowControl w:val="0"/>
        <w:spacing w:line="360" w:lineRule="auto"/>
        <w:ind w:firstLine="420" w:firstLineChars="200"/>
        <w:jc w:val="both"/>
        <w:rPr>
          <w:rFonts w:hint="eastAsia" w:ascii="宋体" w:hAnsi="宋体" w:eastAsia="宋体" w:cs="宋体"/>
          <w:kern w:val="2"/>
          <w:szCs w:val="24"/>
        </w:rPr>
      </w:pPr>
      <w:r>
        <w:rPr>
          <w:rFonts w:hint="eastAsia" w:ascii="宋体" w:hAnsi="宋体" w:eastAsia="宋体" w:cs="宋体"/>
          <w:kern w:val="2"/>
          <w:szCs w:val="24"/>
        </w:rPr>
        <w:t>(四) 建立健全廉政制度，开展廉政教育，公布举报电话，监督并认真查处违法违纪行为。发现对方在业务活动中有违反本合同行为的，有及时提醒对方纠正的权利和义务。情节严重的，有向其上级有关部门举报、建议给予处理并要求告知处理结果的权利。</w:t>
      </w:r>
    </w:p>
    <w:p>
      <w:pPr>
        <w:widowControl w:val="0"/>
        <w:spacing w:line="360" w:lineRule="auto"/>
        <w:ind w:firstLine="420" w:firstLineChars="200"/>
        <w:jc w:val="both"/>
        <w:rPr>
          <w:rFonts w:hint="eastAsia" w:ascii="宋体" w:hAnsi="宋体" w:eastAsia="宋体" w:cs="宋体"/>
          <w:kern w:val="2"/>
          <w:szCs w:val="24"/>
        </w:rPr>
      </w:pPr>
      <w:r>
        <w:rPr>
          <w:rFonts w:hint="eastAsia" w:ascii="宋体" w:hAnsi="宋体" w:eastAsia="宋体" w:cs="宋体"/>
          <w:kern w:val="2"/>
          <w:szCs w:val="24"/>
        </w:rPr>
        <w:t>第二条  甲方的责任</w:t>
      </w:r>
    </w:p>
    <w:p>
      <w:pPr>
        <w:widowControl w:val="0"/>
        <w:spacing w:line="360" w:lineRule="auto"/>
        <w:ind w:firstLine="420" w:firstLineChars="200"/>
        <w:jc w:val="both"/>
        <w:rPr>
          <w:rFonts w:hint="eastAsia" w:ascii="宋体" w:hAnsi="宋体" w:eastAsia="宋体" w:cs="宋体"/>
          <w:kern w:val="2"/>
          <w:szCs w:val="24"/>
        </w:rPr>
      </w:pPr>
      <w:r>
        <w:rPr>
          <w:rFonts w:hint="eastAsia" w:ascii="宋体" w:hAnsi="宋体" w:eastAsia="宋体" w:cs="宋体"/>
          <w:kern w:val="2"/>
          <w:szCs w:val="24"/>
        </w:rPr>
        <w:t>甲方的领导和从事该项目的工作人员，在项目的事前、事中、事后应遵守以下规定：</w:t>
      </w:r>
    </w:p>
    <w:p>
      <w:pPr>
        <w:widowControl w:val="0"/>
        <w:spacing w:line="360" w:lineRule="auto"/>
        <w:ind w:firstLine="420" w:firstLineChars="200"/>
        <w:jc w:val="both"/>
        <w:rPr>
          <w:rFonts w:hint="eastAsia" w:ascii="宋体" w:hAnsi="宋体" w:eastAsia="宋体" w:cs="宋体"/>
          <w:kern w:val="2"/>
          <w:szCs w:val="24"/>
        </w:rPr>
      </w:pPr>
      <w:r>
        <w:rPr>
          <w:rFonts w:hint="eastAsia" w:ascii="宋体" w:hAnsi="宋体" w:eastAsia="宋体" w:cs="宋体"/>
          <w:kern w:val="2"/>
          <w:szCs w:val="24"/>
        </w:rPr>
        <w:t>(一) 不准向乙方索要或接受回扣、礼金、有价证券、贵重物品和好处费、感谢费等；不准在乙方报销任何由甲方或个人支付的费用。</w:t>
      </w:r>
    </w:p>
    <w:p>
      <w:pPr>
        <w:widowControl w:val="0"/>
        <w:spacing w:line="360" w:lineRule="auto"/>
        <w:ind w:firstLine="420" w:firstLineChars="200"/>
        <w:jc w:val="both"/>
        <w:rPr>
          <w:rFonts w:hint="eastAsia" w:ascii="宋体" w:hAnsi="宋体" w:eastAsia="宋体" w:cs="宋体"/>
          <w:kern w:val="2"/>
          <w:szCs w:val="24"/>
        </w:rPr>
      </w:pPr>
      <w:r>
        <w:rPr>
          <w:rFonts w:hint="eastAsia" w:ascii="宋体" w:hAnsi="宋体" w:eastAsia="宋体" w:cs="宋体"/>
          <w:kern w:val="2"/>
          <w:szCs w:val="24"/>
        </w:rPr>
        <w:t>(二) 不准参加乙方安排的超标准宴请及健身、娱乐等活动；不得接受乙方提供的通讯工具、交通工具、高档办公用品等。</w:t>
      </w:r>
    </w:p>
    <w:p>
      <w:pPr>
        <w:widowControl w:val="0"/>
        <w:spacing w:line="360" w:lineRule="auto"/>
        <w:ind w:firstLine="420" w:firstLineChars="200"/>
        <w:jc w:val="both"/>
        <w:rPr>
          <w:rFonts w:hint="eastAsia" w:ascii="宋体" w:hAnsi="宋体" w:eastAsia="宋体" w:cs="宋体"/>
          <w:kern w:val="2"/>
          <w:szCs w:val="24"/>
        </w:rPr>
      </w:pPr>
      <w:r>
        <w:rPr>
          <w:rFonts w:hint="eastAsia" w:ascii="宋体" w:hAnsi="宋体" w:eastAsia="宋体" w:cs="宋体"/>
          <w:kern w:val="2"/>
          <w:szCs w:val="24"/>
        </w:rPr>
        <w:t>(三) 不准要求、暗示和接受乙方为个人装修住房、婚丧嫁娶、配偶子女工作安排以及出国（境）、旅游等提供方便。</w:t>
      </w:r>
    </w:p>
    <w:p>
      <w:pPr>
        <w:widowControl w:val="0"/>
        <w:spacing w:line="360" w:lineRule="auto"/>
        <w:ind w:firstLine="420" w:firstLineChars="200"/>
        <w:jc w:val="both"/>
        <w:rPr>
          <w:rFonts w:hint="eastAsia" w:ascii="宋体" w:hAnsi="宋体" w:eastAsia="宋体" w:cs="宋体"/>
          <w:kern w:val="2"/>
          <w:szCs w:val="24"/>
        </w:rPr>
      </w:pPr>
      <w:r>
        <w:rPr>
          <w:rFonts w:hint="eastAsia" w:ascii="宋体" w:hAnsi="宋体" w:eastAsia="宋体" w:cs="宋体"/>
          <w:kern w:val="2"/>
          <w:szCs w:val="24"/>
        </w:rPr>
        <w:t>(四) 配偶、子女不得从事与乙方承接本项目工作有关业务活动。</w:t>
      </w:r>
    </w:p>
    <w:p>
      <w:pPr>
        <w:widowControl w:val="0"/>
        <w:spacing w:line="360" w:lineRule="auto"/>
        <w:ind w:firstLine="420" w:firstLineChars="200"/>
        <w:jc w:val="both"/>
        <w:rPr>
          <w:rFonts w:hint="eastAsia" w:ascii="宋体" w:hAnsi="宋体" w:eastAsia="宋体" w:cs="宋体"/>
          <w:kern w:val="2"/>
          <w:szCs w:val="24"/>
        </w:rPr>
      </w:pPr>
      <w:r>
        <w:rPr>
          <w:rFonts w:hint="eastAsia" w:ascii="宋体" w:hAnsi="宋体" w:eastAsia="宋体" w:cs="宋体"/>
          <w:kern w:val="2"/>
          <w:szCs w:val="24"/>
        </w:rPr>
        <w:t>第三条  乙方责任</w:t>
      </w:r>
    </w:p>
    <w:p>
      <w:pPr>
        <w:widowControl w:val="0"/>
        <w:spacing w:line="360" w:lineRule="auto"/>
        <w:ind w:firstLine="420" w:firstLineChars="200"/>
        <w:jc w:val="both"/>
        <w:rPr>
          <w:rFonts w:hint="eastAsia" w:ascii="宋体" w:hAnsi="宋体" w:eastAsia="宋体" w:cs="宋体"/>
          <w:kern w:val="2"/>
          <w:szCs w:val="24"/>
        </w:rPr>
      </w:pPr>
      <w:r>
        <w:rPr>
          <w:rFonts w:hint="eastAsia" w:ascii="宋体" w:hAnsi="宋体" w:eastAsia="宋体" w:cs="宋体"/>
          <w:kern w:val="2"/>
          <w:szCs w:val="24"/>
        </w:rPr>
        <w:t>乙方应与甲方保持正常的业务交往，按照有关法律法规和程序开展业务工作，并遵守以下规定：</w:t>
      </w:r>
    </w:p>
    <w:p>
      <w:pPr>
        <w:widowControl w:val="0"/>
        <w:spacing w:line="360" w:lineRule="auto"/>
        <w:ind w:firstLine="420" w:firstLineChars="200"/>
        <w:jc w:val="both"/>
        <w:rPr>
          <w:rFonts w:hint="eastAsia" w:ascii="宋体" w:hAnsi="宋体" w:eastAsia="宋体" w:cs="宋体"/>
          <w:kern w:val="2"/>
          <w:szCs w:val="24"/>
        </w:rPr>
      </w:pPr>
      <w:r>
        <w:rPr>
          <w:rFonts w:hint="eastAsia" w:ascii="宋体" w:hAnsi="宋体" w:eastAsia="宋体" w:cs="宋体"/>
          <w:kern w:val="2"/>
          <w:szCs w:val="24"/>
        </w:rPr>
        <w:t>(一) 不准以任何理由向甲方及其工作人员行贿或赠送礼金、有价证券、贵重物品。</w:t>
      </w:r>
    </w:p>
    <w:p>
      <w:pPr>
        <w:widowControl w:val="0"/>
        <w:spacing w:line="360" w:lineRule="auto"/>
        <w:ind w:firstLine="420" w:firstLineChars="200"/>
        <w:jc w:val="both"/>
        <w:rPr>
          <w:rFonts w:hint="eastAsia" w:ascii="宋体" w:hAnsi="宋体" w:eastAsia="宋体" w:cs="宋体"/>
          <w:kern w:val="2"/>
          <w:szCs w:val="24"/>
        </w:rPr>
      </w:pPr>
      <w:r>
        <w:rPr>
          <w:rFonts w:hint="eastAsia" w:ascii="宋体" w:hAnsi="宋体" w:eastAsia="宋体" w:cs="宋体"/>
          <w:kern w:val="2"/>
          <w:szCs w:val="24"/>
        </w:rPr>
        <w:t>(二) 不准以任何名义为甲方及其工作人员报销应由对方或个人支付的费用。</w:t>
      </w:r>
    </w:p>
    <w:p>
      <w:pPr>
        <w:widowControl w:val="0"/>
        <w:spacing w:line="360" w:lineRule="auto"/>
        <w:ind w:firstLine="420" w:firstLineChars="200"/>
        <w:jc w:val="both"/>
        <w:rPr>
          <w:rFonts w:hint="eastAsia" w:ascii="宋体" w:hAnsi="宋体" w:eastAsia="宋体" w:cs="宋体"/>
          <w:kern w:val="2"/>
          <w:szCs w:val="24"/>
        </w:rPr>
      </w:pPr>
      <w:r>
        <w:rPr>
          <w:rFonts w:hint="eastAsia" w:ascii="宋体" w:hAnsi="宋体" w:eastAsia="宋体" w:cs="宋体"/>
          <w:kern w:val="2"/>
          <w:szCs w:val="24"/>
        </w:rPr>
        <w:t>(三) 不准以任何理由安排甲方工作人员参加的超标准宴请及健身、娱乐和旅游等活动。</w:t>
      </w:r>
    </w:p>
    <w:p>
      <w:pPr>
        <w:widowControl w:val="0"/>
        <w:spacing w:line="360" w:lineRule="auto"/>
        <w:ind w:firstLine="420" w:firstLineChars="200"/>
        <w:jc w:val="both"/>
        <w:rPr>
          <w:rFonts w:hint="eastAsia" w:ascii="宋体" w:hAnsi="宋体" w:eastAsia="宋体" w:cs="宋体"/>
          <w:kern w:val="2"/>
          <w:szCs w:val="24"/>
        </w:rPr>
      </w:pPr>
      <w:r>
        <w:rPr>
          <w:rFonts w:hint="eastAsia" w:ascii="宋体" w:hAnsi="宋体" w:eastAsia="宋体" w:cs="宋体"/>
          <w:kern w:val="2"/>
          <w:szCs w:val="24"/>
        </w:rPr>
        <w:t>(四) 不准为甲方单位和工作人员购置或提供通讯工具、交通工具、高档办公用品和装修住房等。</w:t>
      </w:r>
    </w:p>
    <w:p>
      <w:pPr>
        <w:widowControl w:val="0"/>
        <w:spacing w:line="360" w:lineRule="auto"/>
        <w:ind w:firstLine="420" w:firstLineChars="200"/>
        <w:jc w:val="both"/>
        <w:rPr>
          <w:rFonts w:hint="eastAsia" w:ascii="宋体" w:hAnsi="宋体" w:eastAsia="宋体" w:cs="宋体"/>
          <w:kern w:val="2"/>
          <w:szCs w:val="24"/>
        </w:rPr>
      </w:pPr>
      <w:r>
        <w:rPr>
          <w:rFonts w:hint="eastAsia" w:ascii="宋体" w:hAnsi="宋体" w:eastAsia="宋体" w:cs="宋体"/>
          <w:kern w:val="2"/>
          <w:szCs w:val="24"/>
        </w:rPr>
        <w:t>第四条  违约责任</w:t>
      </w:r>
    </w:p>
    <w:p>
      <w:pPr>
        <w:widowControl w:val="0"/>
        <w:spacing w:line="360" w:lineRule="auto"/>
        <w:ind w:firstLine="420" w:firstLineChars="200"/>
        <w:jc w:val="both"/>
        <w:rPr>
          <w:rFonts w:hint="eastAsia" w:ascii="宋体" w:hAnsi="宋体" w:eastAsia="宋体" w:cs="宋体"/>
          <w:kern w:val="2"/>
          <w:szCs w:val="24"/>
        </w:rPr>
      </w:pPr>
      <w:r>
        <w:rPr>
          <w:rFonts w:hint="eastAsia" w:ascii="宋体" w:hAnsi="宋体" w:eastAsia="宋体" w:cs="宋体"/>
          <w:kern w:val="2"/>
          <w:szCs w:val="24"/>
        </w:rPr>
        <w:t>(一) 甲方工作人员有违反本合同第一、二条责任行为的，按照管理权限，依据有关法律法规和规定给予党纪、政纪处分或组织处理；涉嫌犯罪的，移交司法机关追究刑事责任；给乙方单位造成经济损失的，应予以赔偿。</w:t>
      </w:r>
    </w:p>
    <w:p>
      <w:pPr>
        <w:widowControl w:val="0"/>
        <w:spacing w:line="360" w:lineRule="auto"/>
        <w:ind w:firstLine="420" w:firstLineChars="200"/>
        <w:jc w:val="both"/>
        <w:rPr>
          <w:rFonts w:hint="eastAsia" w:ascii="宋体" w:hAnsi="宋体" w:eastAsia="宋体" w:cs="宋体"/>
          <w:kern w:val="2"/>
          <w:szCs w:val="24"/>
        </w:rPr>
      </w:pPr>
      <w:r>
        <w:rPr>
          <w:rFonts w:hint="eastAsia" w:ascii="宋体" w:hAnsi="宋体" w:eastAsia="宋体" w:cs="宋体"/>
          <w:kern w:val="2"/>
          <w:szCs w:val="24"/>
        </w:rPr>
        <w:t>(二) 乙方工作人员有违反本合同第一、三条责任行为的，按照管理权限，依据有关法律法规和规定给予党纪、政纪处分或组织处理；涉嫌犯罪的，移交司法机关追究刑事责任；给甲方单位造成经济损失的，应予以赔偿。</w:t>
      </w:r>
    </w:p>
    <w:p>
      <w:pPr>
        <w:widowControl w:val="0"/>
        <w:spacing w:line="360" w:lineRule="auto"/>
        <w:ind w:firstLine="420" w:firstLineChars="200"/>
        <w:jc w:val="both"/>
        <w:rPr>
          <w:rFonts w:hint="eastAsia" w:ascii="宋体" w:hAnsi="宋体" w:eastAsia="宋体" w:cs="宋体"/>
          <w:kern w:val="2"/>
          <w:szCs w:val="24"/>
        </w:rPr>
      </w:pPr>
      <w:r>
        <w:rPr>
          <w:rFonts w:hint="eastAsia" w:ascii="宋体" w:hAnsi="宋体" w:eastAsia="宋体" w:cs="宋体"/>
          <w:kern w:val="2"/>
          <w:szCs w:val="24"/>
        </w:rPr>
        <w:t>第五条  双方约定：本合同由运营分公司纪检监督部负责监督，并对本合同履行情况进行检查。</w:t>
      </w:r>
    </w:p>
    <w:p>
      <w:pPr>
        <w:widowControl w:val="0"/>
        <w:spacing w:line="360" w:lineRule="auto"/>
        <w:ind w:firstLine="420" w:firstLineChars="200"/>
        <w:jc w:val="both"/>
        <w:rPr>
          <w:rFonts w:hint="eastAsia" w:ascii="宋体" w:hAnsi="宋体" w:eastAsia="宋体" w:cs="宋体"/>
          <w:kern w:val="2"/>
          <w:szCs w:val="24"/>
        </w:rPr>
      </w:pPr>
      <w:r>
        <w:rPr>
          <w:rFonts w:hint="eastAsia" w:ascii="宋体" w:hAnsi="宋体" w:eastAsia="宋体" w:cs="宋体"/>
          <w:kern w:val="2"/>
          <w:szCs w:val="24"/>
        </w:rPr>
        <w:t>第六条  本合同作为合同的附件，与主合同具有同等法律效力。甲乙双方签署后立即生效。</w:t>
      </w:r>
    </w:p>
    <w:p>
      <w:pPr>
        <w:widowControl w:val="0"/>
        <w:spacing w:line="360" w:lineRule="auto"/>
        <w:rPr>
          <w:rFonts w:hint="eastAsia" w:ascii="宋体" w:hAnsi="宋体" w:eastAsia="宋体" w:cs="宋体"/>
          <w:kern w:val="2"/>
          <w:szCs w:val="24"/>
        </w:rPr>
      </w:pPr>
    </w:p>
    <w:p>
      <w:pPr>
        <w:widowControl w:val="0"/>
        <w:jc w:val="center"/>
        <w:rPr>
          <w:rFonts w:ascii="宋体" w:hAnsi="宋体" w:eastAsia="宋体" w:cs="Microsoft JhengHei"/>
          <w:b/>
          <w:bCs/>
          <w:sz w:val="32"/>
          <w:szCs w:val="32"/>
        </w:rPr>
      </w:pPr>
      <w:r>
        <w:rPr>
          <w:rFonts w:hint="eastAsia" w:ascii="宋体" w:hAnsi="宋体" w:eastAsia="宋体" w:cs="宋体"/>
          <w:kern w:val="2"/>
          <w:szCs w:val="24"/>
        </w:rPr>
        <w:t xml:space="preserve">甲方（盖章）：南通轨道交通集团有限公司运营分公司           乙方（盖章）：       </w:t>
      </w:r>
      <w:r>
        <w:rPr>
          <w:rFonts w:hint="eastAsia" w:ascii="宋体" w:hAnsi="宋体" w:eastAsia="宋体" w:cs="宋体"/>
          <w:kern w:val="2"/>
          <w:szCs w:val="21"/>
        </w:rPr>
        <w:br w:type="page"/>
      </w:r>
      <w:r>
        <w:rPr>
          <w:rFonts w:hint="eastAsia" w:ascii="宋体" w:hAnsi="宋体" w:eastAsia="宋体" w:cs="Microsoft JhengHei"/>
          <w:b/>
          <w:bCs/>
          <w:sz w:val="32"/>
          <w:szCs w:val="32"/>
        </w:rPr>
        <w:t>履约保函（格式）</w:t>
      </w:r>
    </w:p>
    <w:p>
      <w:pPr>
        <w:widowControl w:val="0"/>
        <w:snapToGrid w:val="0"/>
        <w:spacing w:line="360" w:lineRule="auto"/>
        <w:rPr>
          <w:rFonts w:eastAsia="宋体"/>
          <w:kern w:val="2"/>
          <w:szCs w:val="21"/>
        </w:rPr>
      </w:pPr>
      <w:r>
        <w:rPr>
          <w:rFonts w:hint="eastAsia" w:eastAsia="宋体"/>
          <w:kern w:val="2"/>
          <w:szCs w:val="21"/>
          <w:u w:val="single"/>
        </w:rPr>
        <w:t xml:space="preserve">           </w:t>
      </w:r>
      <w:r>
        <w:rPr>
          <w:rFonts w:eastAsia="宋体"/>
          <w:kern w:val="2"/>
          <w:szCs w:val="21"/>
        </w:rPr>
        <w:t>：</w:t>
      </w:r>
      <w:r>
        <w:rPr>
          <w:rFonts w:hint="eastAsia" w:eastAsia="宋体"/>
          <w:kern w:val="2"/>
          <w:szCs w:val="21"/>
        </w:rPr>
        <w:t xml:space="preserve">                                           保函编号：</w:t>
      </w:r>
    </w:p>
    <w:p>
      <w:pPr>
        <w:widowControl w:val="0"/>
        <w:snapToGrid w:val="0"/>
        <w:spacing w:line="360" w:lineRule="auto"/>
        <w:ind w:firstLine="420" w:firstLineChars="200"/>
        <w:rPr>
          <w:rFonts w:eastAsia="宋体"/>
          <w:kern w:val="2"/>
          <w:szCs w:val="21"/>
        </w:rPr>
      </w:pPr>
      <w:r>
        <w:rPr>
          <w:rFonts w:eastAsia="宋体"/>
          <w:kern w:val="2"/>
          <w:szCs w:val="21"/>
        </w:rPr>
        <w:t xml:space="preserve">鉴于你方向 </w:t>
      </w:r>
      <w:r>
        <w:rPr>
          <w:rFonts w:eastAsia="宋体"/>
          <w:kern w:val="2"/>
          <w:szCs w:val="21"/>
          <w:u w:val="single"/>
        </w:rPr>
        <w:t xml:space="preserve">             </w:t>
      </w:r>
      <w:r>
        <w:rPr>
          <w:rFonts w:eastAsia="宋体"/>
          <w:kern w:val="2"/>
          <w:szCs w:val="21"/>
        </w:rPr>
        <w:t>（以下简称“卖方”）发出</w:t>
      </w:r>
      <w:r>
        <w:rPr>
          <w:rFonts w:eastAsia="宋体"/>
          <w:kern w:val="2"/>
          <w:szCs w:val="21"/>
          <w:u w:val="single"/>
        </w:rPr>
        <w:t xml:space="preserve">               </w:t>
      </w:r>
      <w:r>
        <w:rPr>
          <w:rFonts w:eastAsia="宋体"/>
          <w:kern w:val="2"/>
          <w:szCs w:val="21"/>
        </w:rPr>
        <w:t>标的中标通知书，并将与卖方签订</w:t>
      </w:r>
      <w:r>
        <w:rPr>
          <w:rFonts w:eastAsia="宋体"/>
          <w:kern w:val="2"/>
          <w:szCs w:val="21"/>
          <w:u w:val="single"/>
        </w:rPr>
        <w:t xml:space="preserve">                        </w:t>
      </w:r>
      <w:r>
        <w:rPr>
          <w:rFonts w:eastAsia="宋体"/>
          <w:kern w:val="2"/>
          <w:szCs w:val="21"/>
        </w:rPr>
        <w:t>标合同（以下称“合同”），我方（银行名称）同意为卖方履行上述合同义务作出如下不可撤销的担保：</w:t>
      </w:r>
    </w:p>
    <w:p>
      <w:pPr>
        <w:widowControl w:val="0"/>
        <w:snapToGrid w:val="0"/>
        <w:spacing w:line="360" w:lineRule="auto"/>
        <w:ind w:left="15" w:firstLine="420" w:firstLineChars="200"/>
        <w:rPr>
          <w:rFonts w:eastAsia="宋体"/>
          <w:kern w:val="2"/>
          <w:szCs w:val="21"/>
        </w:rPr>
      </w:pPr>
      <w:r>
        <w:rPr>
          <w:rFonts w:eastAsia="宋体"/>
          <w:kern w:val="2"/>
          <w:szCs w:val="21"/>
        </w:rPr>
        <w:t>本保函金额为</w:t>
      </w:r>
      <w:r>
        <w:rPr>
          <w:rFonts w:eastAsia="宋体"/>
          <w:kern w:val="2"/>
          <w:szCs w:val="21"/>
          <w:u w:val="single"/>
        </w:rPr>
        <w:t xml:space="preserve">            </w:t>
      </w:r>
      <w:r>
        <w:rPr>
          <w:rFonts w:eastAsia="宋体"/>
          <w:kern w:val="2"/>
          <w:szCs w:val="21"/>
        </w:rPr>
        <w:t>元人民币（大写</w:t>
      </w:r>
      <w:r>
        <w:rPr>
          <w:rFonts w:eastAsia="宋体"/>
          <w:kern w:val="2"/>
          <w:szCs w:val="21"/>
          <w:u w:val="single"/>
        </w:rPr>
        <w:t xml:space="preserve">：            </w:t>
      </w:r>
      <w:r>
        <w:rPr>
          <w:rFonts w:eastAsia="宋体"/>
          <w:kern w:val="2"/>
          <w:szCs w:val="21"/>
        </w:rPr>
        <w:t>元人民币）。我方在接到你方提出的因卖方在履行合同过程中未能履约或者违背合同规定的义务而要求索赔的书面通知之日起10天内，无条件向你方支付上述金额内的任何你方要求的金额，并放弃向你方提出异议的权利，也不要求你方出具证明或者说明理由。</w:t>
      </w:r>
    </w:p>
    <w:p>
      <w:pPr>
        <w:widowControl w:val="0"/>
        <w:snapToGrid w:val="0"/>
        <w:spacing w:line="360" w:lineRule="auto"/>
        <w:ind w:left="15" w:firstLine="420" w:firstLineChars="200"/>
        <w:rPr>
          <w:rFonts w:eastAsia="宋体"/>
          <w:kern w:val="2"/>
          <w:szCs w:val="21"/>
        </w:rPr>
      </w:pPr>
      <w:r>
        <w:rPr>
          <w:rFonts w:eastAsia="宋体"/>
          <w:kern w:val="2"/>
          <w:szCs w:val="21"/>
        </w:rPr>
        <w:t>我方确认并同意，我方受本保函制约的责任是连续的，在你方和卖方之间的合同条件、合同项下的工程或合同发生变更（洽商）、解除、终止或失效，我方承担保函的责任也不改变，有关上述变化、补充和修改也无须通知我方。</w:t>
      </w:r>
    </w:p>
    <w:p>
      <w:pPr>
        <w:widowControl w:val="0"/>
        <w:snapToGrid w:val="0"/>
        <w:spacing w:line="360" w:lineRule="auto"/>
        <w:ind w:firstLine="420" w:firstLineChars="200"/>
        <w:rPr>
          <w:rFonts w:eastAsia="宋体"/>
          <w:kern w:val="2"/>
          <w:szCs w:val="21"/>
        </w:rPr>
      </w:pPr>
      <w:r>
        <w:rPr>
          <w:rFonts w:eastAsia="宋体"/>
          <w:kern w:val="2"/>
          <w:szCs w:val="21"/>
        </w:rPr>
        <w:t>本保函有效期从本保函开具之日起直至合同规定的质量保证期满后三十天（30）内完全有效，若本保函原件在到期前退回我行，则本保函自我行收到该保函原件之日起失效。</w:t>
      </w:r>
    </w:p>
    <w:p>
      <w:pPr>
        <w:widowControl w:val="0"/>
        <w:spacing w:line="360" w:lineRule="auto"/>
        <w:ind w:left="420" w:leftChars="200"/>
        <w:rPr>
          <w:rFonts w:eastAsia="宋体"/>
          <w:kern w:val="2"/>
          <w:szCs w:val="21"/>
        </w:rPr>
      </w:pPr>
      <w:r>
        <w:rPr>
          <w:rFonts w:eastAsia="宋体"/>
          <w:kern w:val="2"/>
          <w:szCs w:val="21"/>
        </w:rPr>
        <w:t>银行名称：___________________（盖章）</w:t>
      </w:r>
    </w:p>
    <w:p>
      <w:pPr>
        <w:widowControl w:val="0"/>
        <w:spacing w:line="360" w:lineRule="auto"/>
        <w:ind w:left="420" w:leftChars="200"/>
        <w:rPr>
          <w:rFonts w:eastAsia="宋体"/>
          <w:kern w:val="2"/>
          <w:szCs w:val="21"/>
        </w:rPr>
      </w:pPr>
      <w:r>
        <w:rPr>
          <w:rFonts w:eastAsia="宋体"/>
          <w:kern w:val="2"/>
          <w:szCs w:val="21"/>
        </w:rPr>
        <w:t>银行法定代表人或负责人：___________________（签字）</w:t>
      </w:r>
    </w:p>
    <w:p>
      <w:pPr>
        <w:widowControl w:val="0"/>
        <w:spacing w:line="360" w:lineRule="auto"/>
        <w:ind w:left="420" w:leftChars="200"/>
        <w:rPr>
          <w:rFonts w:eastAsia="宋体"/>
          <w:kern w:val="2"/>
          <w:szCs w:val="21"/>
          <w:u w:val="single"/>
        </w:rPr>
      </w:pPr>
      <w:r>
        <w:rPr>
          <w:rFonts w:eastAsia="宋体"/>
          <w:kern w:val="2"/>
          <w:szCs w:val="21"/>
        </w:rPr>
        <w:t>职    务：</w:t>
      </w:r>
      <w:r>
        <w:rPr>
          <w:rFonts w:eastAsia="宋体"/>
          <w:kern w:val="2"/>
          <w:szCs w:val="21"/>
          <w:u w:val="single"/>
        </w:rPr>
        <w:t xml:space="preserve">                                   </w:t>
      </w:r>
    </w:p>
    <w:p>
      <w:pPr>
        <w:widowControl w:val="0"/>
        <w:spacing w:line="360" w:lineRule="auto"/>
        <w:ind w:left="420" w:leftChars="200"/>
        <w:rPr>
          <w:rFonts w:eastAsia="宋体"/>
          <w:kern w:val="2"/>
          <w:szCs w:val="21"/>
        </w:rPr>
      </w:pPr>
      <w:r>
        <w:rPr>
          <w:rFonts w:eastAsia="宋体"/>
          <w:kern w:val="2"/>
          <w:szCs w:val="21"/>
        </w:rPr>
        <w:t>地    址：</w:t>
      </w:r>
      <w:r>
        <w:rPr>
          <w:rFonts w:eastAsia="宋体"/>
          <w:kern w:val="2"/>
          <w:szCs w:val="21"/>
          <w:u w:val="single"/>
        </w:rPr>
        <w:t xml:space="preserve">                                   </w:t>
      </w:r>
    </w:p>
    <w:p>
      <w:pPr>
        <w:widowControl w:val="0"/>
        <w:tabs>
          <w:tab w:val="left" w:pos="4820"/>
        </w:tabs>
        <w:spacing w:line="360" w:lineRule="auto"/>
        <w:ind w:left="420" w:leftChars="200"/>
        <w:rPr>
          <w:rFonts w:eastAsia="宋体"/>
          <w:kern w:val="2"/>
          <w:szCs w:val="21"/>
        </w:rPr>
      </w:pPr>
      <w:r>
        <w:rPr>
          <w:rFonts w:eastAsia="宋体"/>
          <w:kern w:val="2"/>
          <w:szCs w:val="21"/>
        </w:rPr>
        <w:t>电    话：</w:t>
      </w:r>
    </w:p>
    <w:p>
      <w:pPr>
        <w:widowControl w:val="0"/>
        <w:tabs>
          <w:tab w:val="left" w:pos="4820"/>
        </w:tabs>
        <w:spacing w:line="360" w:lineRule="auto"/>
        <w:ind w:left="420" w:leftChars="200"/>
        <w:rPr>
          <w:rFonts w:eastAsia="宋体"/>
          <w:kern w:val="2"/>
          <w:szCs w:val="21"/>
          <w:u w:val="single"/>
        </w:rPr>
      </w:pPr>
      <w:r>
        <w:rPr>
          <w:rFonts w:eastAsia="宋体"/>
          <w:kern w:val="2"/>
          <w:szCs w:val="21"/>
        </w:rPr>
        <w:t>传    真：</w:t>
      </w:r>
      <w:r>
        <w:rPr>
          <w:rFonts w:eastAsia="宋体"/>
          <w:kern w:val="2"/>
          <w:szCs w:val="21"/>
          <w:u w:val="single"/>
        </w:rPr>
        <w:t xml:space="preserve">                                   </w:t>
      </w:r>
    </w:p>
    <w:p>
      <w:pPr>
        <w:widowControl w:val="0"/>
        <w:tabs>
          <w:tab w:val="left" w:pos="4820"/>
        </w:tabs>
        <w:spacing w:line="360" w:lineRule="auto"/>
        <w:ind w:left="420" w:leftChars="200"/>
        <w:rPr>
          <w:rFonts w:eastAsia="宋体"/>
          <w:kern w:val="2"/>
          <w:szCs w:val="21"/>
        </w:rPr>
      </w:pPr>
      <w:r>
        <w:rPr>
          <w:rFonts w:eastAsia="宋体"/>
          <w:kern w:val="2"/>
          <w:szCs w:val="21"/>
        </w:rPr>
        <w:t>邮    编：</w:t>
      </w:r>
    </w:p>
    <w:p>
      <w:pPr>
        <w:widowControl w:val="0"/>
        <w:tabs>
          <w:tab w:val="left" w:pos="4820"/>
        </w:tabs>
        <w:spacing w:line="360" w:lineRule="auto"/>
        <w:ind w:left="420" w:leftChars="200"/>
        <w:rPr>
          <w:rFonts w:eastAsia="宋体"/>
          <w:kern w:val="2"/>
          <w:szCs w:val="21"/>
        </w:rPr>
      </w:pPr>
      <w:r>
        <w:rPr>
          <w:rFonts w:eastAsia="宋体"/>
          <w:kern w:val="2"/>
          <w:szCs w:val="21"/>
        </w:rPr>
        <w:t>日    期：</w:t>
      </w:r>
      <w:r>
        <w:rPr>
          <w:rFonts w:eastAsia="宋体"/>
          <w:kern w:val="2"/>
          <w:szCs w:val="21"/>
          <w:u w:val="single"/>
        </w:rPr>
        <w:t xml:space="preserve">                                   </w:t>
      </w:r>
      <w:r>
        <w:rPr>
          <w:rFonts w:eastAsia="宋体"/>
          <w:kern w:val="2"/>
          <w:szCs w:val="21"/>
        </w:rPr>
        <w:t xml:space="preserve"> </w:t>
      </w:r>
    </w:p>
    <w:p>
      <w:pPr>
        <w:widowControl w:val="0"/>
        <w:tabs>
          <w:tab w:val="left" w:pos="4820"/>
        </w:tabs>
        <w:spacing w:line="360" w:lineRule="auto"/>
        <w:ind w:left="420" w:leftChars="200"/>
        <w:rPr>
          <w:rFonts w:eastAsia="宋体"/>
          <w:kern w:val="2"/>
          <w:szCs w:val="21"/>
        </w:rPr>
      </w:pPr>
      <w:r>
        <w:rPr>
          <w:rFonts w:hint="eastAsia" w:eastAsia="宋体"/>
          <w:kern w:val="2"/>
          <w:szCs w:val="21"/>
        </w:rPr>
        <w:t>注：保函应由国有商业银行或股份制商业银行的分行及以上银行出具。</w:t>
      </w:r>
      <w:r>
        <w:rPr>
          <w:rFonts w:eastAsia="宋体"/>
          <w:kern w:val="2"/>
          <w:szCs w:val="21"/>
        </w:rPr>
        <w:t xml:space="preserve">  </w:t>
      </w:r>
    </w:p>
    <w:p>
      <w:pPr>
        <w:keepNext/>
        <w:keepLines/>
        <w:widowControl w:val="0"/>
        <w:spacing w:line="360" w:lineRule="auto"/>
        <w:ind w:firstLine="482"/>
        <w:jc w:val="center"/>
        <w:textAlignment w:val="center"/>
        <w:rPr>
          <w:rFonts w:eastAsia="宋体"/>
          <w:b/>
          <w:kern w:val="2"/>
          <w:sz w:val="24"/>
          <w:szCs w:val="21"/>
        </w:rPr>
      </w:pPr>
      <w:r>
        <w:rPr>
          <w:rFonts w:ascii="宋体" w:hAnsi="宋体" w:eastAsia="宋体" w:cs="宋体"/>
        </w:rPr>
        <w:br w:type="page"/>
      </w:r>
      <w:bookmarkStart w:id="1455" w:name="_Toc20146"/>
    </w:p>
    <w:bookmarkEnd w:id="1455"/>
    <w:p>
      <w:pPr>
        <w:pStyle w:val="2"/>
        <w:numPr>
          <w:ilvl w:val="0"/>
          <w:numId w:val="2"/>
        </w:numPr>
        <w:tabs>
          <w:tab w:val="left" w:pos="1701"/>
        </w:tabs>
        <w:ind w:left="0" w:firstLine="0"/>
        <w:rPr>
          <w:rFonts w:ascii="宋体" w:hAnsi="宋体" w:cs="宋体"/>
        </w:rPr>
      </w:pPr>
      <w:bookmarkStart w:id="1456" w:name="_Toc8676"/>
      <w:bookmarkStart w:id="1457" w:name="_Toc8682"/>
      <w:bookmarkStart w:id="1458" w:name="_Toc4353"/>
      <w:bookmarkStart w:id="1459" w:name="_Toc13453"/>
      <w:bookmarkStart w:id="1460" w:name="_Toc7889"/>
      <w:bookmarkStart w:id="1461" w:name="_Toc17579"/>
      <w:bookmarkStart w:id="1462" w:name="_Toc31080"/>
      <w:bookmarkStart w:id="1463" w:name="_Toc22348"/>
      <w:bookmarkStart w:id="1464" w:name="_Toc24494"/>
      <w:bookmarkStart w:id="1465" w:name="_Toc21128"/>
      <w:bookmarkStart w:id="1466" w:name="_Toc18205"/>
      <w:bookmarkStart w:id="1467" w:name="_Toc12510"/>
      <w:bookmarkStart w:id="1468" w:name="_Toc514430465"/>
      <w:bookmarkStart w:id="1469" w:name="_Toc6244"/>
      <w:bookmarkStart w:id="1470" w:name="_Toc24626"/>
      <w:r>
        <w:rPr>
          <w:rFonts w:hint="eastAsia" w:ascii="宋体" w:hAnsi="宋体" w:cs="宋体"/>
        </w:rPr>
        <w:t>项目要求</w:t>
      </w:r>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p>
    <w:p>
      <w:pPr>
        <w:jc w:val="center"/>
        <w:rPr>
          <w:rFonts w:hint="eastAsia" w:ascii="宋体" w:hAnsi="宋体" w:eastAsia="宋体"/>
          <w:szCs w:val="21"/>
        </w:rPr>
      </w:pPr>
    </w:p>
    <w:p>
      <w:pPr>
        <w:widowControl w:val="0"/>
        <w:spacing w:line="360" w:lineRule="auto"/>
        <w:jc w:val="center"/>
        <w:rPr>
          <w:rFonts w:hint="eastAsia" w:ascii="黑体" w:hAnsi="宋体" w:eastAsia="黑体" w:cs="黑体"/>
          <w:b/>
          <w:bCs/>
          <w:sz w:val="24"/>
          <w:szCs w:val="24"/>
        </w:rPr>
      </w:pPr>
      <w:bookmarkStart w:id="1471" w:name="page73"/>
      <w:bookmarkEnd w:id="1471"/>
      <w:bookmarkStart w:id="1472" w:name="page75"/>
      <w:bookmarkEnd w:id="1472"/>
      <w:r>
        <w:rPr>
          <w:rFonts w:hint="eastAsia" w:ascii="黑体" w:hAnsi="宋体" w:eastAsia="黑体" w:cs="黑体"/>
          <w:b/>
          <w:bCs/>
          <w:kern w:val="2"/>
          <w:sz w:val="24"/>
          <w:szCs w:val="24"/>
          <w:lang w:bidi="ar"/>
        </w:rPr>
        <w:t>南通轨道交通集团有限公司运营分公司2024年1、2号线接触网车辆段增设可视化接地装置采购项目用户需求书</w:t>
      </w:r>
    </w:p>
    <w:p>
      <w:pPr>
        <w:pStyle w:val="3"/>
        <w:numPr>
          <w:ilvl w:val="0"/>
          <w:numId w:val="0"/>
        </w:numPr>
        <w:spacing w:before="0" w:after="0" w:line="360" w:lineRule="auto"/>
        <w:rPr>
          <w:rFonts w:hint="eastAsia" w:ascii="宋体" w:hAnsi="宋体" w:eastAsia="宋体" w:cs="宋体"/>
          <w:kern w:val="2"/>
          <w:sz w:val="21"/>
          <w:szCs w:val="21"/>
        </w:rPr>
      </w:pPr>
      <w:bookmarkStart w:id="1473" w:name="_Toc11161"/>
      <w:bookmarkStart w:id="1474" w:name="_Toc30014"/>
      <w:r>
        <w:rPr>
          <w:rFonts w:hint="eastAsia" w:ascii="宋体" w:hAnsi="宋体" w:eastAsia="宋体" w:cs="宋体"/>
          <w:b w:val="0"/>
          <w:bCs w:val="0"/>
          <w:sz w:val="21"/>
          <w:szCs w:val="21"/>
        </w:rPr>
        <w:t>一、</w:t>
      </w:r>
      <w:r>
        <w:rPr>
          <w:rFonts w:hint="eastAsia" w:ascii="宋体" w:hAnsi="宋体" w:eastAsia="宋体" w:cs="宋体"/>
          <w:sz w:val="21"/>
          <w:szCs w:val="21"/>
        </w:rPr>
        <w:t>项目概况</w:t>
      </w:r>
      <w:bookmarkEnd w:id="1473"/>
      <w:bookmarkEnd w:id="1474"/>
      <w:bookmarkStart w:id="1475" w:name="_Toc294600410"/>
      <w:bookmarkStart w:id="1476" w:name="_Toc294858427"/>
      <w:bookmarkStart w:id="1477" w:name="_Toc294599934"/>
      <w:bookmarkStart w:id="1478" w:name="_Toc294600095"/>
      <w:bookmarkStart w:id="1479" w:name="_Toc294599097"/>
      <w:bookmarkStart w:id="1480" w:name="_Toc294860201"/>
      <w:bookmarkStart w:id="1481" w:name="_Toc294860242"/>
      <w:bookmarkStart w:id="1482" w:name="_Toc295821992"/>
      <w:bookmarkStart w:id="1483" w:name="_Toc295822023"/>
      <w:bookmarkStart w:id="1484" w:name="_Toc294603089"/>
    </w:p>
    <w:p>
      <w:pPr>
        <w:pStyle w:val="3"/>
        <w:numPr>
          <w:ilvl w:val="0"/>
          <w:numId w:val="0"/>
        </w:numPr>
        <w:spacing w:before="0" w:after="0" w:line="360" w:lineRule="auto"/>
        <w:ind w:firstLine="420" w:firstLineChars="200"/>
        <w:rPr>
          <w:rFonts w:hint="eastAsia" w:ascii="宋体" w:hAnsi="宋体" w:eastAsia="宋体" w:cs="宋体"/>
          <w:b w:val="0"/>
          <w:bCs w:val="0"/>
          <w:kern w:val="2"/>
          <w:sz w:val="21"/>
          <w:szCs w:val="21"/>
        </w:rPr>
      </w:pPr>
      <w:bookmarkStart w:id="1485" w:name="_Toc22609"/>
      <w:bookmarkStart w:id="1486" w:name="_Toc18645"/>
      <w:r>
        <w:rPr>
          <w:rFonts w:hint="eastAsia" w:ascii="宋体" w:hAnsi="宋体" w:eastAsia="宋体" w:cs="宋体"/>
          <w:b w:val="0"/>
          <w:bCs w:val="0"/>
          <w:kern w:val="2"/>
          <w:sz w:val="21"/>
          <w:szCs w:val="21"/>
        </w:rPr>
        <w:t>南通轨道交通1号线平东车辆段设计供电分区6个（1D01-1D06），小海停车场设计供电分区3个(1P01-1P03)，2号线幸福车辆段设计供电分区5个（2D01-2D05），现已设置26台可视化自动接地装置，分布在各个分区上网隔离开关及出入段、场联络线处，并在场段牵混所内设置一台站级可视化监控主机，控制中心设置两台中央级可视化接地系统分别监控1、2号线全部可视化接地装置。</w:t>
      </w:r>
      <w:bookmarkEnd w:id="1485"/>
      <w:bookmarkEnd w:id="1486"/>
    </w:p>
    <w:p>
      <w:pPr>
        <w:pStyle w:val="3"/>
        <w:numPr>
          <w:ilvl w:val="0"/>
          <w:numId w:val="0"/>
        </w:numPr>
        <w:spacing w:before="0" w:after="0" w:line="360" w:lineRule="auto"/>
        <w:ind w:firstLine="420" w:firstLineChars="200"/>
        <w:rPr>
          <w:rFonts w:hint="eastAsia" w:ascii="宋体" w:hAnsi="宋体" w:eastAsia="宋体" w:cs="宋体"/>
          <w:sz w:val="21"/>
          <w:szCs w:val="21"/>
        </w:rPr>
      </w:pPr>
      <w:bookmarkStart w:id="1487" w:name="_Toc12201"/>
      <w:bookmarkStart w:id="1488" w:name="_Toc12256"/>
      <w:r>
        <w:rPr>
          <w:rFonts w:hint="eastAsia" w:ascii="宋体" w:hAnsi="宋体" w:eastAsia="宋体" w:cs="宋体"/>
          <w:b w:val="0"/>
          <w:bCs w:val="0"/>
          <w:kern w:val="2"/>
          <w:sz w:val="21"/>
          <w:szCs w:val="21"/>
        </w:rPr>
        <w:t>本项目工程需在南通地铁1、2号线场段各分区间分段绝缘器两侧加装可视化接地系统，并接入原有可视化系统。</w:t>
      </w:r>
      <w:bookmarkEnd w:id="1487"/>
      <w:bookmarkEnd w:id="1488"/>
    </w:p>
    <w:p>
      <w:pPr>
        <w:spacing w:line="360" w:lineRule="auto"/>
        <w:ind w:firstLine="643"/>
        <w:rPr>
          <w:rFonts w:hint="eastAsia" w:ascii="宋体" w:hAnsi="宋体" w:eastAsia="宋体" w:cs="宋体"/>
          <w:b/>
          <w:bCs/>
          <w:szCs w:val="21"/>
        </w:rPr>
      </w:pPr>
      <w:r>
        <w:rPr>
          <w:rFonts w:hint="eastAsia" w:ascii="宋体" w:hAnsi="宋体" w:eastAsia="宋体" w:cs="宋体"/>
          <w:b/>
          <w:bCs/>
          <w:szCs w:val="21"/>
        </w:rPr>
        <w:t>1.1项目实施范围</w:t>
      </w:r>
    </w:p>
    <w:p>
      <w:pPr>
        <w:pStyle w:val="3"/>
        <w:numPr>
          <w:ilvl w:val="0"/>
          <w:numId w:val="0"/>
        </w:numPr>
        <w:spacing w:before="0" w:after="0" w:line="360" w:lineRule="auto"/>
        <w:ind w:firstLine="420" w:firstLineChars="200"/>
        <w:rPr>
          <w:rFonts w:hint="eastAsia" w:ascii="宋体" w:hAnsi="宋体" w:eastAsia="宋体" w:cs="宋体"/>
          <w:b w:val="0"/>
          <w:bCs w:val="0"/>
          <w:kern w:val="2"/>
          <w:sz w:val="21"/>
          <w:szCs w:val="21"/>
        </w:rPr>
      </w:pPr>
      <w:bookmarkStart w:id="1489" w:name="_Toc29128"/>
      <w:bookmarkStart w:id="1490" w:name="_Toc18770"/>
      <w:r>
        <w:rPr>
          <w:rFonts w:hint="eastAsia" w:ascii="宋体" w:hAnsi="宋体" w:eastAsia="宋体" w:cs="宋体"/>
          <w:b w:val="0"/>
          <w:bCs w:val="0"/>
          <w:kern w:val="2"/>
          <w:sz w:val="21"/>
          <w:szCs w:val="21"/>
        </w:rPr>
        <w:t>本项目施工范围为南通地铁1号线平东车辆段和小海停车场及2号线幸福车辆段。可视化接地装置平东车辆段5处、小海停车场4处、幸福车辆段4处，共计13处；盘控装置平东车辆段1处、小海停车场1处、幸福车辆段1处，共计3处。</w:t>
      </w:r>
      <w:bookmarkEnd w:id="1489"/>
      <w:bookmarkEnd w:id="1490"/>
    </w:p>
    <w:p>
      <w:pPr>
        <w:pStyle w:val="3"/>
        <w:numPr>
          <w:ilvl w:val="1"/>
          <w:numId w:val="0"/>
        </w:numPr>
        <w:spacing w:before="0" w:after="0" w:line="360" w:lineRule="auto"/>
        <w:rPr>
          <w:rFonts w:hint="eastAsia" w:ascii="宋体" w:hAnsi="宋体" w:eastAsia="宋体" w:cs="宋体"/>
          <w:sz w:val="21"/>
          <w:szCs w:val="21"/>
        </w:rPr>
      </w:pPr>
      <w:bookmarkStart w:id="1491" w:name="_Toc28937"/>
      <w:bookmarkStart w:id="1492" w:name="_Toc30032"/>
      <w:r>
        <w:rPr>
          <w:rFonts w:hint="eastAsia" w:ascii="宋体" w:hAnsi="宋体" w:eastAsia="宋体" w:cs="宋体"/>
          <w:sz w:val="21"/>
          <w:szCs w:val="21"/>
        </w:rPr>
        <w:t>二、项目需求一览表</w:t>
      </w:r>
      <w:bookmarkEnd w:id="1491"/>
      <w:bookmarkEnd w:id="1492"/>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在南通地铁1、2号线平东车辆段、小海停车场、幸福车辆段各分区分段绝缘器两边轨行区安装13台可视化接地装置，在三个场段牵混所内各安装一台站级可视化监控主机，并将新增设备接入既有可视化系统内。在现有可视化监控主站内增加场段可视化装置时，需使用最新版本的软件对现有软件进行替换优化。</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施工内容包含所有相应设备的电力电缆及通信缆敷设，以及所有设备的安装调试。</w:t>
      </w:r>
    </w:p>
    <w:p>
      <w:pPr>
        <w:spacing w:line="360" w:lineRule="auto"/>
        <w:ind w:firstLine="480"/>
        <w:rPr>
          <w:rFonts w:hint="eastAsia" w:ascii="宋体" w:hAnsi="宋体" w:eastAsia="宋体" w:cs="宋体"/>
          <w:szCs w:val="21"/>
        </w:rPr>
      </w:pPr>
      <w:r>
        <w:rPr>
          <w:rFonts w:hint="eastAsia" w:ascii="宋体" w:hAnsi="宋体" w:eastAsia="宋体" w:cs="宋体"/>
          <w:kern w:val="2"/>
          <w:szCs w:val="21"/>
        </w:rPr>
        <w:t>投标人提供的可视化接地系统需包含就地级、盘控级、中央级（原系统接入）等，</w:t>
      </w:r>
      <w:r>
        <w:rPr>
          <w:rFonts w:hint="eastAsia" w:ascii="宋体" w:hAnsi="宋体" w:eastAsia="宋体" w:cs="宋体"/>
          <w:b/>
          <w:bCs/>
          <w:kern w:val="2"/>
          <w:szCs w:val="21"/>
        </w:rPr>
        <w:t>设备进场前需经业主确认同意</w:t>
      </w:r>
      <w:r>
        <w:rPr>
          <w:rFonts w:hint="eastAsia" w:ascii="宋体" w:hAnsi="宋体" w:eastAsia="宋体" w:cs="宋体"/>
          <w:kern w:val="2"/>
          <w:szCs w:val="21"/>
        </w:rPr>
        <w:t>，功能需求见技术要求部分，项目需求一览表见表1。</w:t>
      </w:r>
    </w:p>
    <w:p>
      <w:pPr>
        <w:pStyle w:val="14"/>
        <w:spacing w:line="360" w:lineRule="auto"/>
        <w:ind w:firstLine="3162" w:firstLineChars="1500"/>
        <w:rPr>
          <w:rFonts w:hint="eastAsia" w:ascii="宋体" w:hAnsi="宋体" w:eastAsia="宋体" w:cs="宋体"/>
          <w:b/>
          <w:bCs/>
          <w:szCs w:val="21"/>
        </w:rPr>
      </w:pPr>
      <w:r>
        <w:rPr>
          <w:rFonts w:hint="eastAsia" w:ascii="宋体" w:hAnsi="宋体" w:eastAsia="宋体" w:cs="宋体"/>
          <w:b/>
          <w:bCs/>
          <w:szCs w:val="21"/>
        </w:rPr>
        <w:t>表1项目需求一览表</w:t>
      </w:r>
    </w:p>
    <w:tbl>
      <w:tblPr>
        <w:tblStyle w:val="60"/>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2694"/>
        <w:gridCol w:w="992"/>
        <w:gridCol w:w="992"/>
        <w:gridCol w:w="851"/>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62" w:type="dxa"/>
            <w:noWrap w:val="0"/>
            <w:vAlign w:val="center"/>
          </w:tcPr>
          <w:p>
            <w:pPr>
              <w:spacing w:line="360" w:lineRule="auto"/>
              <w:rPr>
                <w:rFonts w:hint="eastAsia" w:ascii="宋体" w:hAnsi="宋体" w:eastAsia="宋体" w:cs="宋体"/>
                <w:b/>
                <w:bCs/>
                <w:szCs w:val="21"/>
              </w:rPr>
            </w:pPr>
            <w:r>
              <w:rPr>
                <w:rFonts w:hint="eastAsia" w:ascii="宋体" w:hAnsi="宋体" w:eastAsia="宋体" w:cs="宋体"/>
                <w:b/>
                <w:bCs/>
                <w:szCs w:val="21"/>
              </w:rPr>
              <w:t>序号</w:t>
            </w:r>
          </w:p>
        </w:tc>
        <w:tc>
          <w:tcPr>
            <w:tcW w:w="2694" w:type="dxa"/>
            <w:noWrap w:val="0"/>
            <w:vAlign w:val="center"/>
          </w:tcPr>
          <w:p>
            <w:pPr>
              <w:spacing w:line="360" w:lineRule="auto"/>
              <w:ind w:firstLine="632" w:firstLineChars="300"/>
              <w:rPr>
                <w:rFonts w:hint="eastAsia" w:ascii="宋体" w:hAnsi="宋体" w:eastAsia="宋体" w:cs="宋体"/>
                <w:b/>
                <w:bCs/>
                <w:szCs w:val="21"/>
              </w:rPr>
            </w:pPr>
            <w:r>
              <w:rPr>
                <w:rFonts w:hint="eastAsia" w:ascii="宋体" w:hAnsi="宋体" w:eastAsia="宋体" w:cs="宋体"/>
                <w:b/>
                <w:bCs/>
                <w:szCs w:val="21"/>
              </w:rPr>
              <w:t>物资名称</w:t>
            </w:r>
          </w:p>
        </w:tc>
        <w:tc>
          <w:tcPr>
            <w:tcW w:w="992" w:type="dxa"/>
            <w:noWrap w:val="0"/>
            <w:vAlign w:val="center"/>
          </w:tcPr>
          <w:p>
            <w:pPr>
              <w:spacing w:line="360" w:lineRule="auto"/>
              <w:jc w:val="center"/>
              <w:rPr>
                <w:rFonts w:hint="eastAsia" w:ascii="宋体" w:hAnsi="宋体" w:eastAsia="宋体" w:cs="宋体"/>
                <w:b/>
                <w:bCs/>
                <w:szCs w:val="21"/>
              </w:rPr>
            </w:pPr>
            <w:r>
              <w:rPr>
                <w:rFonts w:hint="eastAsia" w:ascii="宋体" w:hAnsi="宋体" w:eastAsia="宋体" w:cs="宋体"/>
                <w:b/>
                <w:bCs/>
                <w:szCs w:val="21"/>
              </w:rPr>
              <w:t>型号</w:t>
            </w:r>
          </w:p>
        </w:tc>
        <w:tc>
          <w:tcPr>
            <w:tcW w:w="992" w:type="dxa"/>
            <w:noWrap w:val="0"/>
            <w:vAlign w:val="center"/>
          </w:tcPr>
          <w:p>
            <w:pPr>
              <w:spacing w:line="360" w:lineRule="auto"/>
              <w:rPr>
                <w:rFonts w:hint="eastAsia" w:ascii="宋体" w:hAnsi="宋体" w:eastAsia="宋体" w:cs="宋体"/>
                <w:b/>
                <w:bCs/>
                <w:szCs w:val="21"/>
              </w:rPr>
            </w:pPr>
            <w:r>
              <w:rPr>
                <w:rFonts w:hint="eastAsia" w:ascii="宋体" w:hAnsi="宋体" w:eastAsia="宋体" w:cs="宋体"/>
                <w:b/>
                <w:bCs/>
                <w:szCs w:val="21"/>
              </w:rPr>
              <w:t>单位</w:t>
            </w:r>
          </w:p>
        </w:tc>
        <w:tc>
          <w:tcPr>
            <w:tcW w:w="851" w:type="dxa"/>
            <w:noWrap w:val="0"/>
            <w:vAlign w:val="center"/>
          </w:tcPr>
          <w:p>
            <w:pPr>
              <w:spacing w:line="360" w:lineRule="auto"/>
              <w:ind w:firstLine="36" w:firstLineChars="17"/>
              <w:rPr>
                <w:rFonts w:hint="eastAsia" w:ascii="宋体" w:hAnsi="宋体" w:eastAsia="宋体" w:cs="宋体"/>
                <w:b/>
                <w:bCs/>
                <w:szCs w:val="21"/>
              </w:rPr>
            </w:pPr>
            <w:r>
              <w:rPr>
                <w:rFonts w:hint="eastAsia" w:ascii="宋体" w:hAnsi="宋体" w:eastAsia="宋体" w:cs="宋体"/>
                <w:b/>
                <w:bCs/>
                <w:szCs w:val="21"/>
              </w:rPr>
              <w:t>数量</w:t>
            </w:r>
          </w:p>
        </w:tc>
        <w:tc>
          <w:tcPr>
            <w:tcW w:w="2126" w:type="dxa"/>
            <w:noWrap w:val="0"/>
            <w:vAlign w:val="center"/>
          </w:tcPr>
          <w:p>
            <w:pPr>
              <w:spacing w:line="360" w:lineRule="auto"/>
              <w:ind w:firstLine="632" w:firstLineChars="300"/>
              <w:rPr>
                <w:rFonts w:hint="eastAsia" w:ascii="宋体" w:hAnsi="宋体" w:eastAsia="宋体" w:cs="宋体"/>
                <w:b/>
                <w:bCs/>
                <w:szCs w:val="21"/>
              </w:rPr>
            </w:pPr>
            <w:r>
              <w:rPr>
                <w:rFonts w:hint="eastAsia" w:ascii="宋体" w:hAnsi="宋体" w:eastAsia="宋体" w:cs="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1</w:t>
            </w:r>
          </w:p>
        </w:tc>
        <w:tc>
          <w:tcPr>
            <w:tcW w:w="2694"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可视化接地装置</w:t>
            </w:r>
          </w:p>
        </w:tc>
        <w:tc>
          <w:tcPr>
            <w:tcW w:w="992" w:type="dxa"/>
            <w:noWrap w:val="0"/>
            <w:vAlign w:val="center"/>
          </w:tcPr>
          <w:p>
            <w:pPr>
              <w:spacing w:line="360" w:lineRule="auto"/>
              <w:ind w:firstLine="86" w:firstLineChars="41"/>
              <w:jc w:val="center"/>
              <w:rPr>
                <w:rFonts w:hint="eastAsia" w:ascii="宋体" w:hAnsi="宋体" w:eastAsia="宋体" w:cs="宋体"/>
                <w:szCs w:val="21"/>
              </w:rPr>
            </w:pPr>
            <w:r>
              <w:rPr>
                <w:rFonts w:hint="eastAsia" w:ascii="宋体" w:hAnsi="宋体" w:eastAsia="宋体" w:cs="宋体"/>
                <w:szCs w:val="21"/>
              </w:rPr>
              <w:t>/</w:t>
            </w:r>
          </w:p>
        </w:tc>
        <w:tc>
          <w:tcPr>
            <w:tcW w:w="992" w:type="dxa"/>
            <w:noWrap w:val="0"/>
            <w:vAlign w:val="center"/>
          </w:tcPr>
          <w:p>
            <w:pPr>
              <w:spacing w:line="360" w:lineRule="auto"/>
              <w:ind w:firstLine="86" w:firstLineChars="41"/>
              <w:jc w:val="center"/>
              <w:rPr>
                <w:rFonts w:hint="eastAsia" w:ascii="宋体" w:hAnsi="宋体" w:eastAsia="宋体" w:cs="宋体"/>
                <w:szCs w:val="21"/>
              </w:rPr>
            </w:pPr>
            <w:r>
              <w:rPr>
                <w:rFonts w:hint="eastAsia" w:ascii="宋体" w:hAnsi="宋体" w:eastAsia="宋体" w:cs="宋体"/>
                <w:szCs w:val="21"/>
              </w:rPr>
              <w:t>套</w:t>
            </w:r>
          </w:p>
        </w:tc>
        <w:tc>
          <w:tcPr>
            <w:tcW w:w="851" w:type="dxa"/>
            <w:noWrap w:val="0"/>
            <w:vAlign w:val="center"/>
          </w:tcPr>
          <w:p>
            <w:pPr>
              <w:spacing w:line="360" w:lineRule="auto"/>
              <w:ind w:firstLine="157" w:firstLineChars="75"/>
              <w:jc w:val="center"/>
              <w:rPr>
                <w:rFonts w:hint="eastAsia" w:ascii="宋体" w:hAnsi="宋体" w:eastAsia="宋体" w:cs="宋体"/>
                <w:szCs w:val="21"/>
              </w:rPr>
            </w:pPr>
            <w:r>
              <w:rPr>
                <w:rFonts w:hint="eastAsia" w:ascii="宋体" w:hAnsi="宋体" w:eastAsia="宋体" w:cs="宋体"/>
                <w:szCs w:val="21"/>
              </w:rPr>
              <w:t>13</w:t>
            </w:r>
          </w:p>
        </w:tc>
        <w:tc>
          <w:tcPr>
            <w:tcW w:w="2126" w:type="dxa"/>
            <w:noWrap w:val="0"/>
            <w:vAlign w:val="center"/>
          </w:tcPr>
          <w:p>
            <w:pPr>
              <w:spacing w:line="360" w:lineRule="auto"/>
              <w:rPr>
                <w:rFonts w:hint="eastAsia" w:ascii="宋体" w:hAnsi="宋体" w:eastAsia="宋体" w:cs="宋体"/>
                <w:szCs w:val="21"/>
              </w:rPr>
            </w:pPr>
            <w:r>
              <w:rPr>
                <w:rFonts w:hint="eastAsia" w:ascii="宋体" w:hAnsi="宋体" w:eastAsia="宋体" w:cs="宋体"/>
                <w:szCs w:val="21"/>
              </w:rPr>
              <w:t>设于场段内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2</w:t>
            </w:r>
          </w:p>
        </w:tc>
        <w:tc>
          <w:tcPr>
            <w:tcW w:w="2694"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可视化接地装置监控主机</w:t>
            </w:r>
          </w:p>
        </w:tc>
        <w:tc>
          <w:tcPr>
            <w:tcW w:w="992" w:type="dxa"/>
            <w:noWrap w:val="0"/>
            <w:vAlign w:val="center"/>
          </w:tcPr>
          <w:p>
            <w:pPr>
              <w:spacing w:line="360" w:lineRule="auto"/>
              <w:ind w:firstLine="86" w:firstLineChars="41"/>
              <w:jc w:val="center"/>
              <w:rPr>
                <w:rFonts w:hint="eastAsia" w:ascii="宋体" w:hAnsi="宋体" w:eastAsia="宋体" w:cs="宋体"/>
                <w:szCs w:val="21"/>
              </w:rPr>
            </w:pPr>
            <w:r>
              <w:rPr>
                <w:rFonts w:hint="eastAsia" w:ascii="宋体" w:hAnsi="宋体" w:eastAsia="宋体" w:cs="宋体"/>
                <w:szCs w:val="21"/>
              </w:rPr>
              <w:t>/</w:t>
            </w:r>
          </w:p>
        </w:tc>
        <w:tc>
          <w:tcPr>
            <w:tcW w:w="992" w:type="dxa"/>
            <w:noWrap w:val="0"/>
            <w:vAlign w:val="center"/>
          </w:tcPr>
          <w:p>
            <w:pPr>
              <w:spacing w:line="360" w:lineRule="auto"/>
              <w:ind w:firstLine="86" w:firstLineChars="41"/>
              <w:jc w:val="center"/>
              <w:rPr>
                <w:rFonts w:hint="eastAsia" w:ascii="宋体" w:hAnsi="宋体" w:eastAsia="宋体" w:cs="宋体"/>
                <w:szCs w:val="21"/>
              </w:rPr>
            </w:pPr>
            <w:r>
              <w:rPr>
                <w:rFonts w:hint="eastAsia" w:ascii="宋体" w:hAnsi="宋体" w:eastAsia="宋体" w:cs="宋体"/>
                <w:szCs w:val="21"/>
              </w:rPr>
              <w:t>套</w:t>
            </w:r>
          </w:p>
        </w:tc>
        <w:tc>
          <w:tcPr>
            <w:tcW w:w="851" w:type="dxa"/>
            <w:noWrap w:val="0"/>
            <w:vAlign w:val="center"/>
          </w:tcPr>
          <w:p>
            <w:pPr>
              <w:spacing w:line="360" w:lineRule="auto"/>
              <w:ind w:firstLine="157" w:firstLineChars="75"/>
              <w:jc w:val="center"/>
              <w:rPr>
                <w:rFonts w:hint="eastAsia" w:ascii="宋体" w:hAnsi="宋体" w:eastAsia="宋体" w:cs="宋体"/>
                <w:szCs w:val="21"/>
              </w:rPr>
            </w:pPr>
            <w:r>
              <w:rPr>
                <w:rFonts w:hint="eastAsia" w:ascii="宋体" w:hAnsi="宋体" w:eastAsia="宋体" w:cs="宋体"/>
                <w:szCs w:val="21"/>
              </w:rPr>
              <w:t>3</w:t>
            </w:r>
          </w:p>
        </w:tc>
        <w:tc>
          <w:tcPr>
            <w:tcW w:w="2126" w:type="dxa"/>
            <w:noWrap w:val="0"/>
            <w:vAlign w:val="center"/>
          </w:tcPr>
          <w:p>
            <w:pPr>
              <w:spacing w:line="360" w:lineRule="auto"/>
              <w:jc w:val="both"/>
              <w:rPr>
                <w:rFonts w:hint="eastAsia" w:ascii="宋体" w:hAnsi="宋体" w:eastAsia="宋体" w:cs="宋体"/>
                <w:szCs w:val="21"/>
              </w:rPr>
            </w:pPr>
            <w:r>
              <w:rPr>
                <w:rFonts w:hint="eastAsia" w:ascii="宋体" w:hAnsi="宋体" w:eastAsia="宋体" w:cs="宋体"/>
                <w:szCs w:val="21"/>
              </w:rPr>
              <w:t>设于牵引所控制室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62"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3</w:t>
            </w:r>
          </w:p>
        </w:tc>
        <w:tc>
          <w:tcPr>
            <w:tcW w:w="2694"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中央级后台工作站</w:t>
            </w:r>
          </w:p>
        </w:tc>
        <w:tc>
          <w:tcPr>
            <w:tcW w:w="992" w:type="dxa"/>
            <w:noWrap w:val="0"/>
            <w:vAlign w:val="center"/>
          </w:tcPr>
          <w:p>
            <w:pPr>
              <w:spacing w:line="360" w:lineRule="auto"/>
              <w:ind w:firstLine="86" w:firstLineChars="41"/>
              <w:jc w:val="center"/>
              <w:rPr>
                <w:rFonts w:hint="eastAsia" w:ascii="宋体" w:hAnsi="宋体" w:eastAsia="宋体" w:cs="宋体"/>
                <w:szCs w:val="21"/>
              </w:rPr>
            </w:pPr>
            <w:r>
              <w:rPr>
                <w:rFonts w:hint="eastAsia" w:ascii="宋体" w:hAnsi="宋体" w:eastAsia="宋体" w:cs="宋体"/>
                <w:szCs w:val="21"/>
              </w:rPr>
              <w:t>/</w:t>
            </w:r>
          </w:p>
        </w:tc>
        <w:tc>
          <w:tcPr>
            <w:tcW w:w="992" w:type="dxa"/>
            <w:noWrap w:val="0"/>
            <w:vAlign w:val="center"/>
          </w:tcPr>
          <w:p>
            <w:pPr>
              <w:spacing w:line="360" w:lineRule="auto"/>
              <w:ind w:firstLine="86" w:firstLineChars="41"/>
              <w:jc w:val="center"/>
              <w:rPr>
                <w:rFonts w:hint="eastAsia" w:ascii="宋体" w:hAnsi="宋体" w:eastAsia="宋体" w:cs="宋体"/>
                <w:szCs w:val="21"/>
              </w:rPr>
            </w:pPr>
            <w:r>
              <w:rPr>
                <w:rFonts w:hint="eastAsia" w:ascii="宋体" w:hAnsi="宋体" w:eastAsia="宋体" w:cs="宋体"/>
                <w:szCs w:val="21"/>
              </w:rPr>
              <w:t>套</w:t>
            </w:r>
          </w:p>
        </w:tc>
        <w:tc>
          <w:tcPr>
            <w:tcW w:w="851" w:type="dxa"/>
            <w:noWrap w:val="0"/>
            <w:vAlign w:val="center"/>
          </w:tcPr>
          <w:p>
            <w:pPr>
              <w:spacing w:line="360" w:lineRule="auto"/>
              <w:ind w:firstLine="157" w:firstLineChars="75"/>
              <w:jc w:val="center"/>
              <w:rPr>
                <w:rFonts w:hint="eastAsia" w:ascii="宋体" w:hAnsi="宋体" w:eastAsia="宋体" w:cs="宋体"/>
                <w:szCs w:val="21"/>
              </w:rPr>
            </w:pPr>
            <w:r>
              <w:rPr>
                <w:rFonts w:hint="eastAsia" w:ascii="宋体" w:hAnsi="宋体" w:eastAsia="宋体" w:cs="宋体"/>
                <w:szCs w:val="21"/>
              </w:rPr>
              <w:t>2</w:t>
            </w:r>
          </w:p>
        </w:tc>
        <w:tc>
          <w:tcPr>
            <w:tcW w:w="2126" w:type="dxa"/>
            <w:noWrap w:val="0"/>
            <w:vAlign w:val="center"/>
          </w:tcPr>
          <w:p>
            <w:pPr>
              <w:spacing w:line="360" w:lineRule="auto"/>
              <w:jc w:val="both"/>
              <w:rPr>
                <w:rFonts w:hint="eastAsia" w:ascii="宋体" w:hAnsi="宋体" w:eastAsia="宋体" w:cs="宋体"/>
                <w:szCs w:val="21"/>
              </w:rPr>
            </w:pPr>
            <w:r>
              <w:rPr>
                <w:rFonts w:hint="eastAsia" w:ascii="宋体" w:hAnsi="宋体" w:eastAsia="宋体" w:cs="宋体"/>
                <w:kern w:val="2"/>
                <w:szCs w:val="21"/>
              </w:rPr>
              <w:t>原系统接入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62"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4</w:t>
            </w:r>
          </w:p>
        </w:tc>
        <w:tc>
          <w:tcPr>
            <w:tcW w:w="2694"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现场设备安装与调试</w:t>
            </w:r>
          </w:p>
        </w:tc>
        <w:tc>
          <w:tcPr>
            <w:tcW w:w="992" w:type="dxa"/>
            <w:noWrap w:val="0"/>
            <w:vAlign w:val="center"/>
          </w:tcPr>
          <w:p>
            <w:pPr>
              <w:spacing w:line="360" w:lineRule="auto"/>
              <w:ind w:firstLine="86" w:firstLineChars="41"/>
              <w:jc w:val="center"/>
              <w:rPr>
                <w:rFonts w:hint="eastAsia" w:ascii="宋体" w:hAnsi="宋体" w:eastAsia="宋体" w:cs="宋体"/>
                <w:szCs w:val="21"/>
              </w:rPr>
            </w:pPr>
            <w:r>
              <w:rPr>
                <w:rFonts w:hint="eastAsia" w:ascii="宋体" w:hAnsi="宋体" w:eastAsia="宋体" w:cs="宋体"/>
                <w:szCs w:val="21"/>
              </w:rPr>
              <w:t>/</w:t>
            </w:r>
          </w:p>
        </w:tc>
        <w:tc>
          <w:tcPr>
            <w:tcW w:w="992" w:type="dxa"/>
            <w:noWrap w:val="0"/>
            <w:vAlign w:val="center"/>
          </w:tcPr>
          <w:p>
            <w:pPr>
              <w:spacing w:line="360" w:lineRule="auto"/>
              <w:ind w:firstLine="86" w:firstLineChars="41"/>
              <w:jc w:val="center"/>
              <w:rPr>
                <w:rFonts w:hint="eastAsia" w:ascii="宋体" w:hAnsi="宋体" w:eastAsia="宋体" w:cs="宋体"/>
                <w:szCs w:val="21"/>
              </w:rPr>
            </w:pPr>
            <w:r>
              <w:rPr>
                <w:rFonts w:hint="eastAsia" w:ascii="宋体" w:hAnsi="宋体" w:eastAsia="宋体" w:cs="宋体"/>
                <w:szCs w:val="21"/>
              </w:rPr>
              <w:t>处</w:t>
            </w:r>
          </w:p>
        </w:tc>
        <w:tc>
          <w:tcPr>
            <w:tcW w:w="851" w:type="dxa"/>
            <w:noWrap w:val="0"/>
            <w:vAlign w:val="center"/>
          </w:tcPr>
          <w:p>
            <w:pPr>
              <w:spacing w:line="360" w:lineRule="auto"/>
              <w:ind w:firstLine="157" w:firstLineChars="75"/>
              <w:jc w:val="center"/>
              <w:rPr>
                <w:rFonts w:hint="eastAsia" w:ascii="宋体" w:hAnsi="宋体" w:eastAsia="宋体" w:cs="宋体"/>
                <w:szCs w:val="21"/>
              </w:rPr>
            </w:pPr>
            <w:r>
              <w:rPr>
                <w:rFonts w:hint="eastAsia" w:ascii="宋体" w:hAnsi="宋体" w:eastAsia="宋体" w:cs="宋体"/>
                <w:szCs w:val="21"/>
              </w:rPr>
              <w:t>16</w:t>
            </w:r>
          </w:p>
        </w:tc>
        <w:tc>
          <w:tcPr>
            <w:tcW w:w="2126" w:type="dxa"/>
            <w:noWrap w:val="0"/>
            <w:vAlign w:val="center"/>
          </w:tcPr>
          <w:p>
            <w:pPr>
              <w:spacing w:line="360" w:lineRule="auto"/>
              <w:jc w:val="both"/>
              <w:rPr>
                <w:rFonts w:hint="eastAsia" w:ascii="宋体" w:hAnsi="宋体" w:eastAsia="宋体" w:cs="宋体"/>
                <w:szCs w:val="21"/>
              </w:rPr>
            </w:pPr>
            <w:r>
              <w:rPr>
                <w:rFonts w:hint="eastAsia" w:ascii="宋体" w:hAnsi="宋体" w:eastAsia="宋体" w:cs="宋体"/>
                <w:szCs w:val="21"/>
              </w:rPr>
              <w:t>与原系统匹配接入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862"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5</w:t>
            </w:r>
          </w:p>
        </w:tc>
        <w:tc>
          <w:tcPr>
            <w:tcW w:w="2694"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项目培训</w:t>
            </w:r>
          </w:p>
        </w:tc>
        <w:tc>
          <w:tcPr>
            <w:tcW w:w="992" w:type="dxa"/>
            <w:noWrap w:val="0"/>
            <w:vAlign w:val="center"/>
          </w:tcPr>
          <w:p>
            <w:pPr>
              <w:spacing w:line="360" w:lineRule="auto"/>
              <w:ind w:firstLine="86" w:firstLineChars="41"/>
              <w:jc w:val="center"/>
              <w:rPr>
                <w:rFonts w:hint="eastAsia" w:ascii="宋体" w:hAnsi="宋体" w:eastAsia="宋体" w:cs="宋体"/>
                <w:szCs w:val="21"/>
              </w:rPr>
            </w:pPr>
            <w:r>
              <w:rPr>
                <w:rFonts w:hint="eastAsia" w:ascii="宋体" w:hAnsi="宋体" w:eastAsia="宋体" w:cs="宋体"/>
                <w:szCs w:val="21"/>
              </w:rPr>
              <w:t>/</w:t>
            </w:r>
          </w:p>
        </w:tc>
        <w:tc>
          <w:tcPr>
            <w:tcW w:w="992" w:type="dxa"/>
            <w:noWrap w:val="0"/>
            <w:vAlign w:val="center"/>
          </w:tcPr>
          <w:p>
            <w:pPr>
              <w:spacing w:line="360" w:lineRule="auto"/>
              <w:ind w:firstLine="86" w:firstLineChars="41"/>
              <w:jc w:val="center"/>
              <w:rPr>
                <w:rFonts w:hint="eastAsia" w:ascii="宋体" w:hAnsi="宋体" w:eastAsia="宋体" w:cs="宋体"/>
                <w:szCs w:val="21"/>
              </w:rPr>
            </w:pPr>
            <w:r>
              <w:rPr>
                <w:rFonts w:hint="eastAsia" w:ascii="宋体" w:hAnsi="宋体" w:eastAsia="宋体" w:cs="宋体"/>
                <w:szCs w:val="21"/>
              </w:rPr>
              <w:t>次</w:t>
            </w:r>
          </w:p>
        </w:tc>
        <w:tc>
          <w:tcPr>
            <w:tcW w:w="851" w:type="dxa"/>
            <w:noWrap w:val="0"/>
            <w:vAlign w:val="center"/>
          </w:tcPr>
          <w:p>
            <w:pPr>
              <w:spacing w:line="360" w:lineRule="auto"/>
              <w:ind w:firstLine="157" w:firstLineChars="75"/>
              <w:jc w:val="center"/>
              <w:rPr>
                <w:rFonts w:hint="eastAsia" w:ascii="宋体" w:hAnsi="宋体" w:eastAsia="宋体" w:cs="宋体"/>
                <w:szCs w:val="21"/>
              </w:rPr>
            </w:pPr>
            <w:r>
              <w:rPr>
                <w:rFonts w:hint="eastAsia" w:ascii="宋体" w:hAnsi="宋体" w:eastAsia="宋体" w:cs="宋体"/>
                <w:szCs w:val="21"/>
              </w:rPr>
              <w:t>2</w:t>
            </w:r>
          </w:p>
        </w:tc>
        <w:tc>
          <w:tcPr>
            <w:tcW w:w="2126" w:type="dxa"/>
            <w:noWrap w:val="0"/>
            <w:vAlign w:val="top"/>
          </w:tcPr>
          <w:p>
            <w:pPr>
              <w:spacing w:line="360" w:lineRule="auto"/>
              <w:rPr>
                <w:rFonts w:hint="eastAsia" w:ascii="宋体" w:hAnsi="宋体" w:eastAsia="宋体" w:cs="宋体"/>
                <w:szCs w:val="21"/>
              </w:rPr>
            </w:pPr>
            <w:r>
              <w:rPr>
                <w:rFonts w:hint="eastAsia" w:ascii="宋体" w:hAnsi="宋体" w:eastAsia="宋体" w:cs="宋体"/>
                <w:szCs w:val="21"/>
              </w:rPr>
              <w:t>1、2号线分别培训</w:t>
            </w:r>
          </w:p>
        </w:tc>
      </w:tr>
      <w:bookmarkEnd w:id="1475"/>
      <w:bookmarkEnd w:id="1476"/>
      <w:bookmarkEnd w:id="1477"/>
      <w:bookmarkEnd w:id="1478"/>
      <w:bookmarkEnd w:id="1479"/>
      <w:bookmarkEnd w:id="1480"/>
      <w:bookmarkEnd w:id="1481"/>
      <w:bookmarkEnd w:id="1482"/>
      <w:bookmarkEnd w:id="1483"/>
      <w:bookmarkEnd w:id="1484"/>
    </w:tbl>
    <w:p>
      <w:pPr>
        <w:pStyle w:val="3"/>
        <w:numPr>
          <w:ilvl w:val="1"/>
          <w:numId w:val="0"/>
        </w:numPr>
        <w:spacing w:before="0" w:after="0" w:line="360" w:lineRule="auto"/>
        <w:rPr>
          <w:rFonts w:hint="eastAsia" w:ascii="宋体" w:hAnsi="宋体" w:eastAsia="宋体" w:cs="宋体"/>
          <w:sz w:val="21"/>
          <w:szCs w:val="21"/>
        </w:rPr>
      </w:pPr>
      <w:bookmarkStart w:id="1493" w:name="_Toc14755"/>
      <w:bookmarkStart w:id="1494" w:name="_Toc31927"/>
      <w:bookmarkStart w:id="1495" w:name="_Toc13934"/>
      <w:bookmarkStart w:id="1496" w:name="_Toc348894802"/>
      <w:bookmarkStart w:id="1497" w:name="_Toc10883"/>
      <w:bookmarkStart w:id="1498" w:name="_Toc22562"/>
      <w:bookmarkStart w:id="1499" w:name="_Toc31799"/>
      <w:bookmarkStart w:id="1500" w:name="_Toc23682"/>
      <w:bookmarkStart w:id="1501" w:name="_Toc25762"/>
      <w:bookmarkStart w:id="1502" w:name="_Toc27832"/>
      <w:bookmarkStart w:id="1503" w:name="_Toc3551202"/>
      <w:bookmarkStart w:id="1504" w:name="_Toc533073147"/>
      <w:bookmarkStart w:id="1505" w:name="_Toc15943"/>
      <w:bookmarkStart w:id="1506" w:name="_Toc26141"/>
      <w:r>
        <w:rPr>
          <w:rFonts w:hint="eastAsia" w:ascii="宋体" w:hAnsi="宋体" w:eastAsia="宋体" w:cs="宋体"/>
          <w:sz w:val="21"/>
          <w:szCs w:val="21"/>
        </w:rPr>
        <w:t>三、技术</w:t>
      </w:r>
      <w:bookmarkEnd w:id="1493"/>
      <w:bookmarkEnd w:id="1494"/>
      <w:bookmarkEnd w:id="1495"/>
      <w:bookmarkEnd w:id="1496"/>
      <w:bookmarkEnd w:id="1497"/>
      <w:bookmarkEnd w:id="1498"/>
      <w:bookmarkEnd w:id="1499"/>
      <w:bookmarkEnd w:id="1500"/>
      <w:bookmarkEnd w:id="1501"/>
      <w:bookmarkEnd w:id="1502"/>
      <w:bookmarkEnd w:id="1503"/>
      <w:bookmarkEnd w:id="1504"/>
      <w:r>
        <w:rPr>
          <w:rFonts w:hint="eastAsia" w:ascii="宋体" w:hAnsi="宋体" w:eastAsia="宋体" w:cs="宋体"/>
          <w:sz w:val="21"/>
          <w:szCs w:val="21"/>
        </w:rPr>
        <w:t>要求</w:t>
      </w:r>
      <w:bookmarkEnd w:id="1505"/>
      <w:bookmarkEnd w:id="1506"/>
    </w:p>
    <w:p>
      <w:pPr>
        <w:spacing w:line="360" w:lineRule="auto"/>
        <w:ind w:firstLine="643"/>
        <w:rPr>
          <w:rFonts w:hint="eastAsia" w:ascii="宋体" w:hAnsi="宋体" w:eastAsia="宋体" w:cs="宋体"/>
          <w:szCs w:val="21"/>
        </w:rPr>
      </w:pPr>
      <w:bookmarkStart w:id="1507" w:name="_Toc30654"/>
      <w:r>
        <w:rPr>
          <w:rFonts w:hint="eastAsia" w:ascii="宋体" w:hAnsi="宋体" w:eastAsia="宋体" w:cs="宋体"/>
          <w:b/>
          <w:bCs/>
          <w:szCs w:val="21"/>
        </w:rPr>
        <w:t>3.1项目功能需求</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系统由可视化接地装置、站级可视化监控主机、中央级可视化接地系统、光缆及连接电缆以及系统软件等组成，其中中央级可视化接地系统采用1、2号线既有中央级系统，不再另外增加，同时将新增可视化接入现有复视系统。</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可视化接地装置与监控主机之间采用光纤以太网通信。站级可视化接地主机与中央级系统监控之间通过通信系统提供传输通道实现通信。</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可视化监控主机主要由工控机、光纤网络设备、人机界面及管理软件等部分组成。</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可视化接地装置由柜体、接地开关、RTU自动化装置、联锁等部分组成。</w:t>
      </w:r>
    </w:p>
    <w:p>
      <w:pPr>
        <w:spacing w:line="360" w:lineRule="auto"/>
        <w:ind w:firstLine="480"/>
        <w:rPr>
          <w:rFonts w:hint="eastAsia" w:ascii="宋体" w:hAnsi="宋体" w:eastAsia="宋体" w:cs="宋体"/>
          <w:kern w:val="2"/>
          <w:szCs w:val="21"/>
        </w:rPr>
      </w:pPr>
      <w:bookmarkStart w:id="1508" w:name="_Toc58583318"/>
      <w:bookmarkStart w:id="1509" w:name="_Toc452636793"/>
      <w:r>
        <w:rPr>
          <w:rFonts w:hint="eastAsia" w:ascii="宋体" w:hAnsi="宋体" w:eastAsia="宋体" w:cs="宋体"/>
          <w:kern w:val="2"/>
          <w:szCs w:val="21"/>
        </w:rPr>
        <w:t>3.1.1系统主要功能</w:t>
      </w:r>
      <w:bookmarkEnd w:id="1508"/>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3.1.1.1中央级可视化接地系统</w:t>
      </w:r>
      <w:bookmarkEnd w:id="1509"/>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（1）中央级可视化接地系统采用监控计算机，能够动态显示全线接地装置分布图、动态显示接地主回路的模拟线图；</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（2）能够实现遥信、遥控功能，可显示接地开关状态、带电状态、操作模式、故障状态信息等，能够实现接地开关的分合闸遥控功能。</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（3）能够显示可视化接地装置监控系统构成图、接地装置监控系统网络运行图等，可动态监视系统设备运行状况。</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（4）应配置实时数据库和历史数据库，能实现监控数据的归档和统计报表功能。</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（5）应配置具有光纤通信接口，实现与综合监控系统或与通信系统传输通道的通信实现监控数据的传输。</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（6）远程操作前验电功能必须实时、准确、迅速完成，分、合闸操作后，有明显的提示声音。</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（7）视频监控系统应具有良好的稳定性，当视频出现卡屏、视频丢失等故障时，能及时的自动修复。</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（8）通信设备能适应现有通讯网络，不可与其他设备通讯发生冲突。</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（9）管理软件应具备友好的人机界面，具备用户权限分级功能，包含并不限于以下权限分级：系统维护员级别具有所有权限；操作员级别具有操控权限；监视员级别仅具备查看权限。</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（10）视频存储功能：控制主机具有全线所有接地刀闸分、合操作视频自动存储功能，硬盘存储空间满足操作视频存储6个月以上且存储空间不小于1T。</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（11）控制电脑配置：满足可视化软件运行要求，并不得低于当前（供货期）主流配置。</w:t>
      </w:r>
    </w:p>
    <w:p>
      <w:pPr>
        <w:spacing w:line="360" w:lineRule="auto"/>
        <w:ind w:firstLine="480"/>
        <w:rPr>
          <w:rFonts w:hint="eastAsia" w:ascii="宋体" w:hAnsi="宋体" w:eastAsia="宋体" w:cs="宋体"/>
          <w:kern w:val="2"/>
          <w:szCs w:val="21"/>
        </w:rPr>
      </w:pPr>
      <w:bookmarkStart w:id="1510" w:name="_Toc452636794"/>
      <w:r>
        <w:rPr>
          <w:rFonts w:hint="eastAsia" w:ascii="宋体" w:hAnsi="宋体" w:eastAsia="宋体" w:cs="宋体"/>
          <w:kern w:val="2"/>
          <w:szCs w:val="21"/>
        </w:rPr>
        <w:t>3.1.1.2站级可视化监控</w:t>
      </w:r>
      <w:bookmarkEnd w:id="1510"/>
      <w:r>
        <w:rPr>
          <w:rFonts w:hint="eastAsia" w:ascii="宋体" w:hAnsi="宋体" w:eastAsia="宋体" w:cs="宋体"/>
          <w:kern w:val="2"/>
          <w:szCs w:val="21"/>
        </w:rPr>
        <w:t>主机</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（1）装置采用壁挂一体式监控主机，能够动态显示接地主回路的模拟线图；</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（2）监控主机能够实现遥信、遥控功能，可显示接地开关状态、带电状态、操作模式、故障状态信息等，能够实现接地开关的分合闸遥控功能。</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（3）监控主机具有光纤通信接口，能够接入监控范围内的接地装置实现可视化监控功能。</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监控主机具备远传通信接口，具备接地装置的远程监控通信转发功能。</w:t>
      </w:r>
    </w:p>
    <w:p>
      <w:pPr>
        <w:spacing w:line="360" w:lineRule="auto"/>
        <w:ind w:firstLine="480"/>
        <w:rPr>
          <w:rFonts w:hint="eastAsia" w:ascii="宋体" w:hAnsi="宋体" w:eastAsia="宋体" w:cs="宋体"/>
          <w:kern w:val="2"/>
          <w:szCs w:val="21"/>
        </w:rPr>
      </w:pPr>
      <w:bookmarkStart w:id="1511" w:name="_Toc452636795"/>
      <w:r>
        <w:rPr>
          <w:rFonts w:hint="eastAsia" w:ascii="宋体" w:hAnsi="宋体" w:eastAsia="宋体" w:cs="宋体"/>
          <w:kern w:val="2"/>
          <w:szCs w:val="21"/>
        </w:rPr>
        <w:t>3.1.1.3可视化接地装置</w:t>
      </w:r>
      <w:bookmarkEnd w:id="1511"/>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（1）接地装置的接地开关由操作机构和接地刀闸组成，具有手动操作、电动操作及远程操作方式，装置具有锁定开关位置功能。</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（2）为便于巡视和检修，接地装置前门和左侧设置巡视窗，巡视窗应可清楚观察接地开关的触头，能清晰分辨开关的分闸及合闸状态。</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（3）接地装置设置摄像头及LED照明灯，照明灯应能自动或手动开启并延时关闭，能满足巡视及图像采集的照度要求，监控主机应能实时清晰地观察接地开关触头的视频状态。</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（4）接地装置应设置正极、负极连接的铜材接线端子，满足一次电缆接线规格。</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（5）一次电缆采用箱体底部或侧面进线方式，具体进线方式在设计联络时确定。</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（6）为确保接地装置带电显示及验电功能安全可靠，在正极设置冗余的带电传感器，即使有一只带电传感器失效，另一只带电传感器仍可正常工作,并能发出传感器故障告警信号。</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（7）装置应具备完善的联锁功能：</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1）通过设置带电检测传感器防止接触网带电合闸接地开关。</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2）接地装置具备信号远传及遥控功能，可通过SCADA系统接入综合监控系统，在OCC电力调度端送电操作过程可预先检验该供电分区的接地装置是否全分闸状态，实现可靠供电。</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3）装置的手动、电动及远程控制方式应具有开关模式选择；</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4）装置具有接地开关状态锁定功能，在必要时可防止人为误分接地开关。</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5）当接地装置接地开关处于远程控制模式时，接地装置应具有防止其他人员就地误操作接地开关（误合、误分）功能。</w:t>
      </w:r>
    </w:p>
    <w:p>
      <w:pPr>
        <w:spacing w:line="360" w:lineRule="auto"/>
        <w:ind w:firstLine="643"/>
        <w:rPr>
          <w:rFonts w:hint="eastAsia" w:ascii="宋体" w:hAnsi="宋体" w:eastAsia="宋体" w:cs="宋体"/>
          <w:b/>
          <w:bCs/>
          <w:szCs w:val="21"/>
        </w:rPr>
      </w:pPr>
      <w:r>
        <w:rPr>
          <w:rFonts w:hint="eastAsia" w:ascii="宋体" w:hAnsi="宋体" w:eastAsia="宋体" w:cs="宋体"/>
          <w:b/>
          <w:bCs/>
          <w:szCs w:val="21"/>
        </w:rPr>
        <w:t>3.2参照标准</w:t>
      </w:r>
    </w:p>
    <w:p>
      <w:pPr>
        <w:pStyle w:val="154"/>
        <w:adjustRightInd/>
        <w:snapToGrid/>
        <w:ind w:firstLineChars="200"/>
        <w:rPr>
          <w:rFonts w:hint="eastAsia" w:hAnsi="宋体" w:cs="宋体"/>
          <w:kern w:val="2"/>
          <w:sz w:val="21"/>
          <w:szCs w:val="21"/>
        </w:rPr>
      </w:pPr>
      <w:r>
        <w:rPr>
          <w:rFonts w:hint="eastAsia" w:hAnsi="宋体" w:cs="宋体"/>
          <w:kern w:val="2"/>
          <w:sz w:val="21"/>
          <w:szCs w:val="21"/>
        </w:rPr>
        <w:t>设备的制造、试验和验收除了满足本用户需求书的要求外，还应符合如下标准：</w:t>
      </w:r>
    </w:p>
    <w:p>
      <w:pPr>
        <w:pStyle w:val="403"/>
        <w:spacing w:line="360" w:lineRule="auto"/>
        <w:ind w:left="488"/>
        <w:rPr>
          <w:rFonts w:hint="eastAsia" w:hAnsi="宋体" w:cs="宋体"/>
          <w:color w:val="000000"/>
          <w:sz w:val="21"/>
          <w:szCs w:val="21"/>
        </w:rPr>
      </w:pPr>
      <w:r>
        <w:rPr>
          <w:rFonts w:hint="eastAsia" w:hAnsi="宋体" w:cs="宋体"/>
          <w:color w:val="000000"/>
          <w:sz w:val="21"/>
          <w:szCs w:val="21"/>
        </w:rPr>
        <w:t>GB 50157-2013   《地铁设计规范》</w:t>
      </w:r>
    </w:p>
    <w:p>
      <w:pPr>
        <w:pStyle w:val="403"/>
        <w:spacing w:line="360" w:lineRule="auto"/>
        <w:ind w:left="488"/>
        <w:rPr>
          <w:rFonts w:hint="eastAsia" w:hAnsi="宋体" w:cs="宋体"/>
          <w:color w:val="000000"/>
          <w:sz w:val="21"/>
          <w:szCs w:val="21"/>
        </w:rPr>
      </w:pPr>
      <w:r>
        <w:rPr>
          <w:rFonts w:hint="eastAsia" w:hAnsi="宋体" w:cs="宋体"/>
          <w:color w:val="000000"/>
          <w:sz w:val="21"/>
          <w:szCs w:val="21"/>
        </w:rPr>
        <w:t>GB/T 10411-2005 《城市轨道交通直流牵引供电系统》</w:t>
      </w:r>
    </w:p>
    <w:p>
      <w:pPr>
        <w:pStyle w:val="403"/>
        <w:spacing w:line="360" w:lineRule="auto"/>
        <w:ind w:left="488"/>
        <w:rPr>
          <w:rFonts w:hint="eastAsia" w:hAnsi="宋体" w:cs="宋体"/>
          <w:color w:val="000000"/>
          <w:sz w:val="21"/>
          <w:szCs w:val="21"/>
        </w:rPr>
      </w:pPr>
      <w:r>
        <w:rPr>
          <w:rFonts w:hint="eastAsia" w:hAnsi="宋体" w:cs="宋体"/>
          <w:color w:val="000000"/>
          <w:sz w:val="21"/>
          <w:szCs w:val="21"/>
        </w:rPr>
        <w:t>GB/T 25890.1-2010《轨道交通 地面装置 直流开关设备第1部分》</w:t>
      </w:r>
    </w:p>
    <w:p>
      <w:pPr>
        <w:pStyle w:val="403"/>
        <w:spacing w:line="360" w:lineRule="auto"/>
        <w:ind w:left="488"/>
        <w:rPr>
          <w:rFonts w:hint="eastAsia" w:hAnsi="宋体" w:cs="宋体"/>
          <w:color w:val="000000"/>
          <w:sz w:val="21"/>
          <w:szCs w:val="21"/>
        </w:rPr>
      </w:pPr>
      <w:r>
        <w:rPr>
          <w:rFonts w:hint="eastAsia" w:hAnsi="宋体" w:cs="宋体"/>
          <w:color w:val="000000"/>
          <w:sz w:val="21"/>
          <w:szCs w:val="21"/>
        </w:rPr>
        <w:t>GB/T 25890.3-2010《轨道交通地面装置直流开关设备第3部分》</w:t>
      </w:r>
    </w:p>
    <w:p>
      <w:pPr>
        <w:pStyle w:val="403"/>
        <w:spacing w:line="360" w:lineRule="auto"/>
        <w:ind w:left="488"/>
        <w:rPr>
          <w:rFonts w:hint="eastAsia" w:hAnsi="宋体" w:cs="宋体"/>
          <w:color w:val="000000"/>
          <w:sz w:val="21"/>
          <w:szCs w:val="21"/>
        </w:rPr>
      </w:pPr>
      <w:r>
        <w:rPr>
          <w:rFonts w:hint="eastAsia" w:hAnsi="宋体" w:cs="宋体"/>
          <w:color w:val="000000"/>
          <w:sz w:val="21"/>
          <w:szCs w:val="21"/>
        </w:rPr>
        <w:t>GB 4208-2008    《外壳防护等级》</w:t>
      </w:r>
    </w:p>
    <w:p>
      <w:pPr>
        <w:pStyle w:val="403"/>
        <w:spacing w:line="360" w:lineRule="auto"/>
        <w:ind w:left="488"/>
        <w:rPr>
          <w:rFonts w:hint="eastAsia" w:hAnsi="宋体" w:cs="宋体"/>
          <w:color w:val="000000"/>
          <w:sz w:val="21"/>
          <w:szCs w:val="21"/>
        </w:rPr>
      </w:pPr>
      <w:r>
        <w:rPr>
          <w:rFonts w:hint="eastAsia" w:hAnsi="宋体" w:cs="宋体"/>
          <w:color w:val="000000"/>
          <w:sz w:val="21"/>
          <w:szCs w:val="21"/>
        </w:rPr>
        <w:t>JB/T 8456-2005  《低压直流成套开关设备和控制设备》</w:t>
      </w:r>
    </w:p>
    <w:p>
      <w:pPr>
        <w:pStyle w:val="403"/>
        <w:spacing w:line="360" w:lineRule="auto"/>
        <w:ind w:left="488"/>
        <w:rPr>
          <w:rFonts w:hint="eastAsia" w:hAnsi="宋体" w:cs="宋体"/>
          <w:color w:val="000000"/>
          <w:sz w:val="21"/>
          <w:szCs w:val="21"/>
        </w:rPr>
      </w:pPr>
      <w:r>
        <w:rPr>
          <w:rFonts w:hint="eastAsia" w:hAnsi="宋体" w:cs="宋体"/>
          <w:color w:val="000000"/>
          <w:sz w:val="21"/>
          <w:szCs w:val="21"/>
        </w:rPr>
        <w:t>EN 50123-1      《概述》</w:t>
      </w:r>
    </w:p>
    <w:p>
      <w:pPr>
        <w:pStyle w:val="403"/>
        <w:spacing w:line="360" w:lineRule="auto"/>
        <w:ind w:left="488"/>
        <w:rPr>
          <w:rFonts w:hint="eastAsia" w:hAnsi="宋体" w:cs="宋体"/>
          <w:color w:val="000000"/>
          <w:sz w:val="21"/>
          <w:szCs w:val="21"/>
        </w:rPr>
      </w:pPr>
      <w:r>
        <w:rPr>
          <w:rFonts w:hint="eastAsia" w:hAnsi="宋体" w:cs="宋体"/>
          <w:color w:val="000000"/>
          <w:sz w:val="21"/>
          <w:szCs w:val="21"/>
        </w:rPr>
        <w:t>EN 50123-2      《直流断路器》</w:t>
      </w:r>
    </w:p>
    <w:p>
      <w:pPr>
        <w:pStyle w:val="403"/>
        <w:spacing w:line="360" w:lineRule="auto"/>
        <w:ind w:left="488"/>
        <w:rPr>
          <w:rFonts w:hint="eastAsia" w:hAnsi="宋体" w:cs="宋体"/>
          <w:color w:val="000000"/>
          <w:sz w:val="21"/>
          <w:szCs w:val="21"/>
        </w:rPr>
      </w:pPr>
      <w:r>
        <w:rPr>
          <w:rFonts w:hint="eastAsia" w:hAnsi="宋体" w:cs="宋体"/>
          <w:color w:val="000000"/>
          <w:sz w:val="21"/>
          <w:szCs w:val="21"/>
        </w:rPr>
        <w:t>EN 50123-3      《户内直流转换隔离开关和直流隔离开关》</w:t>
      </w:r>
    </w:p>
    <w:p>
      <w:pPr>
        <w:pStyle w:val="403"/>
        <w:spacing w:line="360" w:lineRule="auto"/>
        <w:ind w:left="488"/>
        <w:rPr>
          <w:rFonts w:hint="eastAsia" w:hAnsi="宋体" w:cs="宋体"/>
          <w:color w:val="000000"/>
          <w:sz w:val="21"/>
          <w:szCs w:val="21"/>
        </w:rPr>
      </w:pPr>
      <w:r>
        <w:rPr>
          <w:rFonts w:hint="eastAsia" w:hAnsi="宋体" w:cs="宋体"/>
          <w:color w:val="000000"/>
          <w:sz w:val="21"/>
          <w:szCs w:val="21"/>
        </w:rPr>
        <w:t>EN 50123-6      《直流开关柜装配》</w:t>
      </w:r>
    </w:p>
    <w:p>
      <w:pPr>
        <w:pStyle w:val="403"/>
        <w:spacing w:line="360" w:lineRule="auto"/>
        <w:ind w:left="488"/>
        <w:rPr>
          <w:rFonts w:hint="eastAsia" w:hAnsi="宋体" w:cs="宋体"/>
          <w:color w:val="000000"/>
          <w:sz w:val="21"/>
          <w:szCs w:val="21"/>
        </w:rPr>
      </w:pPr>
      <w:r>
        <w:rPr>
          <w:rFonts w:hint="eastAsia" w:hAnsi="宋体" w:cs="宋体"/>
          <w:color w:val="000000"/>
          <w:sz w:val="21"/>
          <w:szCs w:val="21"/>
        </w:rPr>
        <w:t>EN 50123-7      《直流牵引系统测量、控制与保护》</w:t>
      </w:r>
    </w:p>
    <w:p>
      <w:pPr>
        <w:pStyle w:val="403"/>
        <w:spacing w:line="360" w:lineRule="auto"/>
        <w:ind w:left="488"/>
        <w:rPr>
          <w:rFonts w:hint="eastAsia" w:hAnsi="宋体" w:cs="宋体"/>
          <w:color w:val="000000"/>
          <w:sz w:val="21"/>
          <w:szCs w:val="21"/>
        </w:rPr>
      </w:pPr>
      <w:r>
        <w:rPr>
          <w:rFonts w:hint="eastAsia" w:hAnsi="宋体" w:cs="宋体"/>
          <w:color w:val="000000"/>
          <w:sz w:val="21"/>
          <w:szCs w:val="21"/>
        </w:rPr>
        <w:t>EN 50124-1       《铁路应用 绝缘配合 部分1：对绝缘和爬距的基本要求》</w:t>
      </w:r>
    </w:p>
    <w:p>
      <w:pPr>
        <w:pStyle w:val="403"/>
        <w:spacing w:line="360" w:lineRule="auto"/>
        <w:ind w:left="488"/>
        <w:rPr>
          <w:rFonts w:hint="eastAsia" w:hAnsi="宋体" w:cs="宋体"/>
          <w:color w:val="000000"/>
          <w:sz w:val="21"/>
          <w:szCs w:val="21"/>
        </w:rPr>
      </w:pPr>
      <w:r>
        <w:rPr>
          <w:rFonts w:hint="eastAsia" w:hAnsi="宋体" w:cs="宋体"/>
          <w:color w:val="000000"/>
          <w:sz w:val="21"/>
          <w:szCs w:val="21"/>
        </w:rPr>
        <w:t>IEC 60947       《低压开关设备和控制设备》</w:t>
      </w:r>
    </w:p>
    <w:p>
      <w:pPr>
        <w:pStyle w:val="403"/>
        <w:spacing w:line="360" w:lineRule="auto"/>
        <w:ind w:left="488"/>
        <w:rPr>
          <w:rFonts w:hint="eastAsia" w:hAnsi="宋体" w:cs="宋体"/>
          <w:color w:val="000000"/>
          <w:sz w:val="21"/>
          <w:szCs w:val="21"/>
        </w:rPr>
      </w:pPr>
      <w:r>
        <w:rPr>
          <w:rFonts w:hint="eastAsia" w:hAnsi="宋体" w:cs="宋体"/>
          <w:color w:val="000000"/>
          <w:sz w:val="21"/>
          <w:szCs w:val="21"/>
        </w:rPr>
        <w:t>IEC 60051       《电力指示仪表》</w:t>
      </w:r>
    </w:p>
    <w:p>
      <w:pPr>
        <w:pStyle w:val="154"/>
        <w:adjustRightInd/>
        <w:snapToGrid/>
        <w:ind w:firstLineChars="200"/>
        <w:rPr>
          <w:rFonts w:hint="eastAsia" w:hAnsi="宋体" w:cs="宋体"/>
          <w:kern w:val="2"/>
          <w:sz w:val="21"/>
          <w:szCs w:val="21"/>
        </w:rPr>
      </w:pPr>
      <w:r>
        <w:rPr>
          <w:rFonts w:hint="eastAsia" w:hAnsi="宋体" w:cs="宋体"/>
          <w:kern w:val="2"/>
          <w:sz w:val="21"/>
          <w:szCs w:val="21"/>
        </w:rPr>
        <w:t>所采用的标准均应为项目执行时的最新有效版本。若投标人采用除上述之外的其它被承认的相关国内国际标准，应明确提出并提供相应标准复印件，经招标人批准后方可采用。</w:t>
      </w:r>
    </w:p>
    <w:p>
      <w:pPr>
        <w:pStyle w:val="154"/>
        <w:adjustRightInd/>
        <w:snapToGrid/>
        <w:ind w:firstLineChars="200"/>
        <w:rPr>
          <w:rFonts w:hint="eastAsia" w:hAnsi="宋体" w:cs="宋体"/>
          <w:kern w:val="2"/>
          <w:sz w:val="21"/>
          <w:szCs w:val="21"/>
        </w:rPr>
      </w:pPr>
      <w:r>
        <w:rPr>
          <w:rFonts w:hint="eastAsia" w:hAnsi="宋体" w:cs="宋体"/>
          <w:kern w:val="2"/>
          <w:sz w:val="21"/>
          <w:szCs w:val="21"/>
        </w:rPr>
        <w:t>若以上标准之间发生冲突，应采用要求更高的标准。</w:t>
      </w:r>
    </w:p>
    <w:p>
      <w:pPr>
        <w:pStyle w:val="3"/>
        <w:numPr>
          <w:ilvl w:val="1"/>
          <w:numId w:val="0"/>
        </w:numPr>
        <w:spacing w:before="0" w:after="0" w:line="360" w:lineRule="auto"/>
        <w:rPr>
          <w:rFonts w:hint="eastAsia" w:ascii="宋体" w:hAnsi="宋体" w:eastAsia="宋体" w:cs="宋体"/>
          <w:sz w:val="21"/>
          <w:szCs w:val="21"/>
        </w:rPr>
      </w:pPr>
      <w:bookmarkStart w:id="1512" w:name="_Toc9032"/>
      <w:bookmarkStart w:id="1513" w:name="_Toc6844"/>
      <w:r>
        <w:rPr>
          <w:rFonts w:hint="eastAsia" w:ascii="宋体" w:hAnsi="宋体" w:eastAsia="宋体" w:cs="宋体"/>
          <w:sz w:val="21"/>
          <w:szCs w:val="21"/>
        </w:rPr>
        <w:t>四、一般要求及关键技术参数</w:t>
      </w:r>
      <w:bookmarkEnd w:id="1512"/>
      <w:bookmarkEnd w:id="1513"/>
    </w:p>
    <w:p>
      <w:pPr>
        <w:spacing w:line="360" w:lineRule="auto"/>
        <w:ind w:firstLine="643"/>
        <w:rPr>
          <w:rFonts w:hint="eastAsia" w:ascii="宋体" w:hAnsi="宋体" w:eastAsia="宋体" w:cs="宋体"/>
          <w:b/>
          <w:bCs/>
          <w:szCs w:val="21"/>
        </w:rPr>
      </w:pPr>
      <w:r>
        <w:rPr>
          <w:rFonts w:hint="eastAsia" w:ascii="宋体" w:hAnsi="宋体" w:eastAsia="宋体" w:cs="宋体"/>
          <w:b/>
          <w:bCs/>
          <w:szCs w:val="21"/>
        </w:rPr>
        <w:t>4.1一般要求</w:t>
      </w:r>
    </w:p>
    <w:p>
      <w:pPr>
        <w:pStyle w:val="32"/>
        <w:ind w:left="315" w:firstLine="420" w:firstLineChars="200"/>
        <w:rPr>
          <w:rFonts w:hint="eastAsia" w:hAnsi="宋体" w:cs="宋体"/>
          <w:kern w:val="2"/>
          <w:sz w:val="21"/>
        </w:rPr>
      </w:pPr>
      <w:r>
        <w:rPr>
          <w:rFonts w:hint="eastAsia" w:hAnsi="宋体" w:cs="宋体"/>
          <w:kern w:val="2"/>
          <w:sz w:val="21"/>
        </w:rPr>
        <w:t>（1）投标人应向招标人提供全套的技术文件，包括但不限于以下内容：</w:t>
      </w:r>
    </w:p>
    <w:p>
      <w:pPr>
        <w:spacing w:line="360" w:lineRule="auto"/>
        <w:ind w:firstLine="455" w:firstLineChars="217"/>
        <w:rPr>
          <w:rFonts w:hint="eastAsia" w:ascii="宋体" w:hAnsi="宋体" w:eastAsia="宋体" w:cs="宋体"/>
          <w:kern w:val="2"/>
          <w:szCs w:val="21"/>
        </w:rPr>
      </w:pPr>
      <w:r>
        <w:rPr>
          <w:rFonts w:hint="eastAsia" w:ascii="宋体" w:hAnsi="宋体" w:eastAsia="宋体" w:cs="宋体"/>
          <w:kern w:val="2"/>
          <w:szCs w:val="21"/>
        </w:rPr>
        <w:t>1）系统文件；</w:t>
      </w:r>
    </w:p>
    <w:p>
      <w:pPr>
        <w:spacing w:line="360" w:lineRule="auto"/>
        <w:ind w:firstLine="455" w:firstLineChars="217"/>
        <w:rPr>
          <w:rFonts w:hint="eastAsia" w:ascii="宋体" w:hAnsi="宋体" w:eastAsia="宋体" w:cs="宋体"/>
          <w:kern w:val="2"/>
          <w:szCs w:val="21"/>
        </w:rPr>
      </w:pPr>
      <w:r>
        <w:rPr>
          <w:rFonts w:hint="eastAsia" w:ascii="宋体" w:hAnsi="宋体" w:eastAsia="宋体" w:cs="宋体"/>
          <w:kern w:val="2"/>
          <w:szCs w:val="21"/>
        </w:rPr>
        <w:t>2）技术建议书；</w:t>
      </w:r>
    </w:p>
    <w:p>
      <w:pPr>
        <w:spacing w:line="360" w:lineRule="auto"/>
        <w:ind w:firstLine="455" w:firstLineChars="217"/>
        <w:rPr>
          <w:rFonts w:hint="eastAsia" w:ascii="宋体" w:hAnsi="宋体" w:eastAsia="宋体" w:cs="宋体"/>
          <w:kern w:val="2"/>
          <w:szCs w:val="21"/>
        </w:rPr>
      </w:pPr>
      <w:r>
        <w:rPr>
          <w:rFonts w:hint="eastAsia" w:ascii="宋体" w:hAnsi="宋体" w:eastAsia="宋体" w:cs="宋体"/>
          <w:kern w:val="2"/>
          <w:szCs w:val="21"/>
        </w:rPr>
        <w:t>3）设计联络计划文件；</w:t>
      </w:r>
    </w:p>
    <w:p>
      <w:pPr>
        <w:spacing w:line="360" w:lineRule="auto"/>
        <w:ind w:firstLine="455" w:firstLineChars="217"/>
        <w:rPr>
          <w:rFonts w:hint="eastAsia" w:ascii="宋体" w:hAnsi="宋体" w:eastAsia="宋体" w:cs="宋体"/>
          <w:kern w:val="2"/>
          <w:szCs w:val="21"/>
        </w:rPr>
      </w:pPr>
      <w:r>
        <w:rPr>
          <w:rFonts w:hint="eastAsia" w:ascii="宋体" w:hAnsi="宋体" w:eastAsia="宋体" w:cs="宋体"/>
          <w:kern w:val="2"/>
          <w:szCs w:val="21"/>
        </w:rPr>
        <w:t>4）硬件设备技术文件；</w:t>
      </w:r>
    </w:p>
    <w:p>
      <w:pPr>
        <w:spacing w:line="360" w:lineRule="auto"/>
        <w:ind w:firstLine="455" w:firstLineChars="217"/>
        <w:rPr>
          <w:rFonts w:hint="eastAsia" w:ascii="宋体" w:hAnsi="宋体" w:eastAsia="宋体" w:cs="宋体"/>
          <w:kern w:val="2"/>
          <w:szCs w:val="21"/>
        </w:rPr>
      </w:pPr>
      <w:r>
        <w:rPr>
          <w:rFonts w:hint="eastAsia" w:ascii="宋体" w:hAnsi="宋体" w:eastAsia="宋体" w:cs="宋体"/>
          <w:kern w:val="2"/>
          <w:szCs w:val="21"/>
        </w:rPr>
        <w:t>5）软件系统技术文件；</w:t>
      </w:r>
    </w:p>
    <w:p>
      <w:pPr>
        <w:spacing w:line="360" w:lineRule="auto"/>
        <w:ind w:firstLine="455" w:firstLineChars="217"/>
        <w:rPr>
          <w:rFonts w:hint="eastAsia" w:ascii="宋体" w:hAnsi="宋体" w:eastAsia="宋体" w:cs="宋体"/>
          <w:kern w:val="2"/>
          <w:szCs w:val="21"/>
        </w:rPr>
      </w:pPr>
      <w:r>
        <w:rPr>
          <w:rFonts w:hint="eastAsia" w:ascii="宋体" w:hAnsi="宋体" w:eastAsia="宋体" w:cs="宋体"/>
          <w:kern w:val="2"/>
          <w:szCs w:val="21"/>
        </w:rPr>
        <w:t>6）产品设计的图纸、资料；</w:t>
      </w:r>
    </w:p>
    <w:p>
      <w:pPr>
        <w:spacing w:line="360" w:lineRule="auto"/>
        <w:ind w:firstLine="455" w:firstLineChars="217"/>
        <w:rPr>
          <w:rFonts w:hint="eastAsia" w:ascii="宋体" w:hAnsi="宋体" w:eastAsia="宋体" w:cs="宋体"/>
          <w:kern w:val="2"/>
          <w:szCs w:val="21"/>
        </w:rPr>
      </w:pPr>
      <w:r>
        <w:rPr>
          <w:rFonts w:hint="eastAsia" w:ascii="宋体" w:hAnsi="宋体" w:eastAsia="宋体" w:cs="宋体"/>
          <w:kern w:val="2"/>
          <w:szCs w:val="21"/>
        </w:rPr>
        <w:t>7）各阶段各项测试检验规范书和测试检验报告；</w:t>
      </w:r>
    </w:p>
    <w:p>
      <w:pPr>
        <w:spacing w:line="360" w:lineRule="auto"/>
        <w:ind w:firstLine="455" w:firstLineChars="217"/>
        <w:rPr>
          <w:rFonts w:hint="eastAsia" w:ascii="宋体" w:hAnsi="宋体" w:eastAsia="宋体" w:cs="宋体"/>
          <w:kern w:val="2"/>
          <w:szCs w:val="21"/>
        </w:rPr>
      </w:pPr>
      <w:r>
        <w:rPr>
          <w:rFonts w:hint="eastAsia" w:ascii="宋体" w:hAnsi="宋体" w:eastAsia="宋体" w:cs="宋体"/>
          <w:kern w:val="2"/>
          <w:szCs w:val="21"/>
        </w:rPr>
        <w:t>8）工程安装设计图、资料</w:t>
      </w:r>
    </w:p>
    <w:p>
      <w:pPr>
        <w:spacing w:line="360" w:lineRule="auto"/>
        <w:ind w:firstLine="455" w:firstLineChars="217"/>
        <w:rPr>
          <w:rFonts w:hint="eastAsia" w:ascii="宋体" w:hAnsi="宋体" w:eastAsia="宋体" w:cs="宋体"/>
          <w:kern w:val="2"/>
          <w:szCs w:val="21"/>
        </w:rPr>
      </w:pPr>
      <w:r>
        <w:rPr>
          <w:rFonts w:hint="eastAsia" w:ascii="宋体" w:hAnsi="宋体" w:eastAsia="宋体" w:cs="宋体"/>
          <w:kern w:val="2"/>
          <w:szCs w:val="21"/>
        </w:rPr>
        <w:t>9）安装验收规范书；</w:t>
      </w:r>
    </w:p>
    <w:p>
      <w:pPr>
        <w:spacing w:line="360" w:lineRule="auto"/>
        <w:ind w:firstLine="455" w:firstLineChars="217"/>
        <w:rPr>
          <w:rFonts w:hint="eastAsia" w:ascii="宋体" w:hAnsi="宋体" w:eastAsia="宋体" w:cs="宋体"/>
          <w:kern w:val="2"/>
          <w:szCs w:val="21"/>
        </w:rPr>
      </w:pPr>
      <w:r>
        <w:rPr>
          <w:rFonts w:hint="eastAsia" w:ascii="宋体" w:hAnsi="宋体" w:eastAsia="宋体" w:cs="宋体"/>
          <w:kern w:val="2"/>
          <w:szCs w:val="21"/>
        </w:rPr>
        <w:t>10）安装手册；</w:t>
      </w:r>
    </w:p>
    <w:p>
      <w:pPr>
        <w:spacing w:line="360" w:lineRule="auto"/>
        <w:ind w:firstLine="455" w:firstLineChars="217"/>
        <w:rPr>
          <w:rFonts w:hint="eastAsia" w:ascii="宋体" w:hAnsi="宋体" w:eastAsia="宋体" w:cs="宋体"/>
          <w:kern w:val="2"/>
          <w:szCs w:val="21"/>
        </w:rPr>
      </w:pPr>
      <w:r>
        <w:rPr>
          <w:rFonts w:hint="eastAsia" w:ascii="宋体" w:hAnsi="宋体" w:eastAsia="宋体" w:cs="宋体"/>
          <w:kern w:val="2"/>
          <w:szCs w:val="21"/>
        </w:rPr>
        <w:t>11）操作手册；</w:t>
      </w:r>
    </w:p>
    <w:p>
      <w:pPr>
        <w:spacing w:line="360" w:lineRule="auto"/>
        <w:ind w:firstLine="455" w:firstLineChars="217"/>
        <w:rPr>
          <w:rFonts w:hint="eastAsia" w:ascii="宋体" w:hAnsi="宋体" w:eastAsia="宋体" w:cs="宋体"/>
          <w:kern w:val="2"/>
          <w:szCs w:val="21"/>
        </w:rPr>
      </w:pPr>
      <w:r>
        <w:rPr>
          <w:rFonts w:hint="eastAsia" w:ascii="宋体" w:hAnsi="宋体" w:eastAsia="宋体" w:cs="宋体"/>
          <w:kern w:val="2"/>
          <w:szCs w:val="21"/>
        </w:rPr>
        <w:t>12）用于维护的图纸、资料、手册；</w:t>
      </w:r>
    </w:p>
    <w:p>
      <w:pPr>
        <w:spacing w:line="360" w:lineRule="auto"/>
        <w:ind w:firstLine="455" w:firstLineChars="217"/>
        <w:rPr>
          <w:rFonts w:hint="eastAsia" w:ascii="宋体" w:hAnsi="宋体" w:eastAsia="宋体" w:cs="宋体"/>
          <w:kern w:val="2"/>
          <w:szCs w:val="21"/>
        </w:rPr>
      </w:pPr>
      <w:r>
        <w:rPr>
          <w:rFonts w:hint="eastAsia" w:ascii="宋体" w:hAnsi="宋体" w:eastAsia="宋体" w:cs="宋体"/>
          <w:kern w:val="2"/>
          <w:szCs w:val="21"/>
        </w:rPr>
        <w:t>13）用于培训的图纸、资料、手册；</w:t>
      </w:r>
    </w:p>
    <w:p>
      <w:pPr>
        <w:spacing w:line="360" w:lineRule="auto"/>
        <w:ind w:firstLine="455" w:firstLineChars="217"/>
        <w:rPr>
          <w:rFonts w:hint="eastAsia" w:ascii="宋体" w:hAnsi="宋体" w:eastAsia="宋体" w:cs="宋体"/>
          <w:szCs w:val="21"/>
        </w:rPr>
      </w:pPr>
      <w:r>
        <w:rPr>
          <w:rFonts w:hint="eastAsia" w:ascii="宋体" w:hAnsi="宋体" w:eastAsia="宋体" w:cs="宋体"/>
          <w:kern w:val="2"/>
          <w:szCs w:val="21"/>
        </w:rPr>
        <w:t>14）最终的技术文件。</w:t>
      </w:r>
    </w:p>
    <w:p>
      <w:pPr>
        <w:spacing w:line="360" w:lineRule="auto"/>
        <w:ind w:firstLine="643"/>
        <w:rPr>
          <w:rFonts w:hint="eastAsia" w:ascii="宋体" w:hAnsi="宋体" w:eastAsia="宋体" w:cs="宋体"/>
          <w:b/>
          <w:bCs/>
          <w:szCs w:val="21"/>
        </w:rPr>
      </w:pPr>
      <w:r>
        <w:rPr>
          <w:rFonts w:hint="eastAsia" w:ascii="宋体" w:hAnsi="宋体" w:eastAsia="宋体" w:cs="宋体"/>
          <w:b/>
          <w:bCs/>
          <w:szCs w:val="21"/>
        </w:rPr>
        <w:t>4.2可视化接地装置</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可视化接地装置由金属箱体、接地开关、测控装置和联锁四部分组成，接地装置箱体内设置接地开关室和二次设备室。需满足如下要求：</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接地装置的接地开关由操作机构和接地刀闸组成，具有手动操作、电动操作及远程操作方式，装置应具备防止人为误分合接地刀闸的技术措施。</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装置在短路时电动力作用的情况下不应损坏。</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开关刀闸触头应采取镀银措施。开关动、静触头在合闸位置时应保证紧密接触，其接触面需满足最大导流截面的要求。</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接地装置应设置正极、负极连接的铜材接线端子，满足一次电缆接线规格。</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一次电缆采用箱体底部或侧面进线方式，具体进线方式在设计联络时确定。</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为便于巡视和检修，接地装置前门或侧面设置巡视窗，巡视窗应可清楚观察接地开关的触头，能清晰分辨开关的分闸及合闸状态，监视窗应采用防爆玻璃。</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接地装置设置摄像头及LED照明灯，照明灯应能自动或手动开启并延时关闭，能满足巡视及图像采集的照度要求，监控主机应能实时清晰地观察接地开关触头的视频状态。</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为确保接地装置带电显示及验电功能安全可靠，在正极设置冗余的带电传感器，即使有一只带电传感器失效，另一只带电传感器仍可正常工作,并能发出传感器故障告警信号。</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装置应具备完善的联锁功能：</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fldChar w:fldCharType="begin"/>
      </w:r>
      <w:r>
        <w:rPr>
          <w:rFonts w:hint="eastAsia" w:ascii="宋体" w:hAnsi="宋体" w:eastAsia="宋体" w:cs="宋体"/>
          <w:kern w:val="2"/>
          <w:szCs w:val="21"/>
        </w:rPr>
        <w:instrText xml:space="preserve"> = 1 \* GB3 </w:instrText>
      </w:r>
      <w:r>
        <w:rPr>
          <w:rFonts w:hint="eastAsia" w:ascii="宋体" w:hAnsi="宋体" w:eastAsia="宋体" w:cs="宋体"/>
          <w:kern w:val="2"/>
          <w:szCs w:val="21"/>
        </w:rPr>
        <w:fldChar w:fldCharType="separate"/>
      </w:r>
      <w:r>
        <w:rPr>
          <w:rFonts w:hint="eastAsia" w:ascii="宋体" w:hAnsi="宋体" w:eastAsia="宋体" w:cs="宋体"/>
          <w:kern w:val="2"/>
          <w:szCs w:val="21"/>
        </w:rPr>
        <w:t>①</w:t>
      </w:r>
      <w:r>
        <w:rPr>
          <w:rFonts w:hint="eastAsia" w:ascii="宋体" w:hAnsi="宋体" w:eastAsia="宋体" w:cs="宋体"/>
          <w:kern w:val="2"/>
          <w:szCs w:val="21"/>
        </w:rPr>
        <w:fldChar w:fldCharType="end"/>
      </w:r>
      <w:r>
        <w:rPr>
          <w:rFonts w:hint="eastAsia" w:ascii="宋体" w:hAnsi="宋体" w:eastAsia="宋体" w:cs="宋体"/>
          <w:kern w:val="2"/>
          <w:szCs w:val="21"/>
        </w:rPr>
        <w:t>通过设置带电检测传感器防止接触网（轨）带电合闸接地开关。</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fldChar w:fldCharType="begin"/>
      </w:r>
      <w:r>
        <w:rPr>
          <w:rFonts w:hint="eastAsia" w:ascii="宋体" w:hAnsi="宋体" w:eastAsia="宋体" w:cs="宋体"/>
          <w:kern w:val="2"/>
          <w:szCs w:val="21"/>
        </w:rPr>
        <w:instrText xml:space="preserve"> = 2 \* GB3 </w:instrText>
      </w:r>
      <w:r>
        <w:rPr>
          <w:rFonts w:hint="eastAsia" w:ascii="宋体" w:hAnsi="宋体" w:eastAsia="宋体" w:cs="宋体"/>
          <w:kern w:val="2"/>
          <w:szCs w:val="21"/>
        </w:rPr>
        <w:fldChar w:fldCharType="separate"/>
      </w:r>
      <w:r>
        <w:rPr>
          <w:rFonts w:hint="eastAsia" w:ascii="宋体" w:hAnsi="宋体" w:eastAsia="宋体" w:cs="宋体"/>
          <w:kern w:val="2"/>
          <w:szCs w:val="21"/>
        </w:rPr>
        <w:t>②</w:t>
      </w:r>
      <w:r>
        <w:rPr>
          <w:rFonts w:hint="eastAsia" w:ascii="宋体" w:hAnsi="宋体" w:eastAsia="宋体" w:cs="宋体"/>
          <w:kern w:val="2"/>
          <w:szCs w:val="21"/>
        </w:rPr>
        <w:fldChar w:fldCharType="end"/>
      </w:r>
      <w:r>
        <w:rPr>
          <w:rFonts w:hint="eastAsia" w:ascii="宋体" w:hAnsi="宋体" w:eastAsia="宋体" w:cs="宋体"/>
          <w:kern w:val="2"/>
          <w:szCs w:val="21"/>
        </w:rPr>
        <w:t>接地装置具备信号远传及遥控功能，可通过通信网络接入综合监控系统，OCC电力监控调度端送电操作过程可预先检验该供电分区的接地装置是否处于全分闸状态，实现可靠供电。</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fldChar w:fldCharType="begin"/>
      </w:r>
      <w:r>
        <w:rPr>
          <w:rFonts w:hint="eastAsia" w:ascii="宋体" w:hAnsi="宋体" w:eastAsia="宋体" w:cs="宋体"/>
          <w:kern w:val="2"/>
          <w:szCs w:val="21"/>
        </w:rPr>
        <w:instrText xml:space="preserve"> = 3 \* GB3 </w:instrText>
      </w:r>
      <w:r>
        <w:rPr>
          <w:rFonts w:hint="eastAsia" w:ascii="宋体" w:hAnsi="宋体" w:eastAsia="宋体" w:cs="宋体"/>
          <w:kern w:val="2"/>
          <w:szCs w:val="21"/>
        </w:rPr>
        <w:fldChar w:fldCharType="separate"/>
      </w:r>
      <w:r>
        <w:rPr>
          <w:rFonts w:hint="eastAsia" w:ascii="宋体" w:hAnsi="宋体" w:eastAsia="宋体" w:cs="宋体"/>
          <w:kern w:val="2"/>
          <w:szCs w:val="21"/>
        </w:rPr>
        <w:t>③</w:t>
      </w:r>
      <w:r>
        <w:rPr>
          <w:rFonts w:hint="eastAsia" w:ascii="宋体" w:hAnsi="宋体" w:eastAsia="宋体" w:cs="宋体"/>
          <w:kern w:val="2"/>
          <w:szCs w:val="21"/>
        </w:rPr>
        <w:fldChar w:fldCharType="end"/>
      </w:r>
      <w:r>
        <w:rPr>
          <w:rFonts w:hint="eastAsia" w:ascii="宋体" w:hAnsi="宋体" w:eastAsia="宋体" w:cs="宋体"/>
          <w:kern w:val="2"/>
          <w:szCs w:val="21"/>
        </w:rPr>
        <w:t>装置应具备远方/就地模式选择，手动、电动操作应保证互锁，即手动操作的同时不能电动操作，电动操作的同时不能手动操作；</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fldChar w:fldCharType="begin"/>
      </w:r>
      <w:r>
        <w:rPr>
          <w:rFonts w:hint="eastAsia" w:ascii="宋体" w:hAnsi="宋体" w:eastAsia="宋体" w:cs="宋体"/>
          <w:kern w:val="2"/>
          <w:szCs w:val="21"/>
        </w:rPr>
        <w:instrText xml:space="preserve"> = 4 \* GB3 </w:instrText>
      </w:r>
      <w:r>
        <w:rPr>
          <w:rFonts w:hint="eastAsia" w:ascii="宋体" w:hAnsi="宋体" w:eastAsia="宋体" w:cs="宋体"/>
          <w:kern w:val="2"/>
          <w:szCs w:val="21"/>
        </w:rPr>
        <w:fldChar w:fldCharType="separate"/>
      </w:r>
      <w:r>
        <w:rPr>
          <w:rFonts w:hint="eastAsia" w:ascii="宋体" w:hAnsi="宋体" w:eastAsia="宋体" w:cs="宋体"/>
          <w:kern w:val="2"/>
          <w:szCs w:val="21"/>
        </w:rPr>
        <w:t>④</w:t>
      </w:r>
      <w:r>
        <w:rPr>
          <w:rFonts w:hint="eastAsia" w:ascii="宋体" w:hAnsi="宋体" w:eastAsia="宋体" w:cs="宋体"/>
          <w:kern w:val="2"/>
          <w:szCs w:val="21"/>
        </w:rPr>
        <w:fldChar w:fldCharType="end"/>
      </w:r>
      <w:r>
        <w:rPr>
          <w:rFonts w:hint="eastAsia" w:ascii="宋体" w:hAnsi="宋体" w:eastAsia="宋体" w:cs="宋体"/>
          <w:kern w:val="2"/>
          <w:szCs w:val="21"/>
        </w:rPr>
        <w:t>装置应具备防止人为误分合接地刀闸的技术措施。</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fldChar w:fldCharType="begin"/>
      </w:r>
      <w:r>
        <w:rPr>
          <w:rFonts w:hint="eastAsia" w:ascii="宋体" w:hAnsi="宋体" w:eastAsia="宋体" w:cs="宋体"/>
          <w:kern w:val="2"/>
          <w:szCs w:val="21"/>
        </w:rPr>
        <w:instrText xml:space="preserve"> = 5 \* GB3 </w:instrText>
      </w:r>
      <w:r>
        <w:rPr>
          <w:rFonts w:hint="eastAsia" w:ascii="宋体" w:hAnsi="宋体" w:eastAsia="宋体" w:cs="宋体"/>
          <w:kern w:val="2"/>
          <w:szCs w:val="21"/>
        </w:rPr>
        <w:fldChar w:fldCharType="separate"/>
      </w:r>
      <w:r>
        <w:rPr>
          <w:rFonts w:hint="eastAsia" w:ascii="宋体" w:hAnsi="宋体" w:eastAsia="宋体" w:cs="宋体"/>
          <w:kern w:val="2"/>
          <w:szCs w:val="21"/>
        </w:rPr>
        <w:t>⑤</w:t>
      </w:r>
      <w:r>
        <w:rPr>
          <w:rFonts w:hint="eastAsia" w:ascii="宋体" w:hAnsi="宋体" w:eastAsia="宋体" w:cs="宋体"/>
          <w:kern w:val="2"/>
          <w:szCs w:val="21"/>
        </w:rPr>
        <w:fldChar w:fldCharType="end"/>
      </w:r>
      <w:r>
        <w:rPr>
          <w:rFonts w:hint="eastAsia" w:ascii="宋体" w:hAnsi="宋体" w:eastAsia="宋体" w:cs="宋体"/>
          <w:kern w:val="2"/>
          <w:szCs w:val="21"/>
        </w:rPr>
        <w:t>接地装置与馈线隔离开关、相关越区隔离开关形成互锁关系，以保证其安全工作，即在隔离开关未断开时，闭锁接地装置无法合闸接地，从而达到安全可靠的目的。</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fldChar w:fldCharType="begin"/>
      </w:r>
      <w:r>
        <w:rPr>
          <w:rFonts w:hint="eastAsia" w:ascii="宋体" w:hAnsi="宋体" w:eastAsia="宋体" w:cs="宋体"/>
          <w:kern w:val="2"/>
          <w:szCs w:val="21"/>
        </w:rPr>
        <w:instrText xml:space="preserve"> = 6 \* GB3 </w:instrText>
      </w:r>
      <w:r>
        <w:rPr>
          <w:rFonts w:hint="eastAsia" w:ascii="宋体" w:hAnsi="宋体" w:eastAsia="宋体" w:cs="宋体"/>
          <w:kern w:val="2"/>
          <w:szCs w:val="21"/>
        </w:rPr>
        <w:fldChar w:fldCharType="separate"/>
      </w:r>
      <w:r>
        <w:rPr>
          <w:rFonts w:hint="eastAsia" w:ascii="宋体" w:hAnsi="宋体" w:eastAsia="宋体" w:cs="宋体"/>
          <w:kern w:val="2"/>
          <w:szCs w:val="21"/>
        </w:rPr>
        <w:t>⑥</w:t>
      </w:r>
      <w:r>
        <w:rPr>
          <w:rFonts w:hint="eastAsia" w:ascii="宋体" w:hAnsi="宋体" w:eastAsia="宋体" w:cs="宋体"/>
          <w:kern w:val="2"/>
          <w:szCs w:val="21"/>
        </w:rPr>
        <w:fldChar w:fldCharType="end"/>
      </w:r>
      <w:r>
        <w:rPr>
          <w:rFonts w:hint="eastAsia" w:ascii="宋体" w:hAnsi="宋体" w:eastAsia="宋体" w:cs="宋体"/>
          <w:kern w:val="2"/>
          <w:szCs w:val="21"/>
        </w:rPr>
        <w:t>接地开关控制回路中应具备由可视化远程监控主站、可视化站级监控主机控制的闭锁接点，防止误分合接地开关或由于远程验电失效而造成带电合接地开关。</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⑦接地刀闸传动部件需提供“抗拉、抗扭测试报告”。</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卖方应对可视化接地系统的安全性、可靠性进行详细描述。可视化接地装置技术参数表见表2。</w:t>
      </w:r>
    </w:p>
    <w:p>
      <w:pPr>
        <w:spacing w:line="360" w:lineRule="auto"/>
        <w:ind w:firstLine="482"/>
        <w:jc w:val="center"/>
        <w:rPr>
          <w:rFonts w:hint="eastAsia" w:ascii="宋体" w:hAnsi="宋体" w:eastAsia="宋体" w:cs="宋体"/>
          <w:b/>
          <w:bCs/>
          <w:szCs w:val="21"/>
        </w:rPr>
      </w:pPr>
      <w:r>
        <w:rPr>
          <w:rFonts w:hint="eastAsia" w:ascii="宋体" w:hAnsi="宋体" w:eastAsia="宋体" w:cs="宋体"/>
          <w:b/>
          <w:bCs/>
          <w:szCs w:val="21"/>
        </w:rPr>
        <w:t>表2  可视化接地装置关键技术参数表</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9"/>
        <w:gridCol w:w="1668"/>
        <w:gridCol w:w="2329"/>
        <w:gridCol w:w="2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3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both"/>
              <w:rPr>
                <w:rFonts w:hint="eastAsia" w:ascii="宋体" w:hAnsi="宋体" w:eastAsia="宋体" w:cs="宋体"/>
                <w:szCs w:val="21"/>
              </w:rPr>
            </w:pPr>
            <w:r>
              <w:rPr>
                <w:rFonts w:hint="eastAsia" w:ascii="宋体" w:hAnsi="宋体" w:eastAsia="宋体" w:cs="宋体"/>
                <w:szCs w:val="21"/>
              </w:rPr>
              <w:t>序号</w:t>
            </w:r>
          </w:p>
        </w:tc>
        <w:tc>
          <w:tcPr>
            <w:tcW w:w="399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项目</w:t>
            </w:r>
          </w:p>
        </w:tc>
        <w:tc>
          <w:tcPr>
            <w:tcW w:w="27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3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both"/>
              <w:rPr>
                <w:rFonts w:hint="eastAsia" w:ascii="宋体" w:hAnsi="宋体" w:eastAsia="宋体" w:cs="宋体"/>
                <w:szCs w:val="21"/>
              </w:rPr>
            </w:pPr>
            <w:r>
              <w:rPr>
                <w:rFonts w:hint="eastAsia" w:ascii="宋体" w:hAnsi="宋体" w:eastAsia="宋体" w:cs="宋体"/>
                <w:szCs w:val="21"/>
              </w:rPr>
              <w:t>1</w:t>
            </w:r>
          </w:p>
        </w:tc>
        <w:tc>
          <w:tcPr>
            <w:tcW w:w="399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标称电压</w:t>
            </w:r>
          </w:p>
        </w:tc>
        <w:tc>
          <w:tcPr>
            <w:tcW w:w="27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DC1500V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3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both"/>
              <w:rPr>
                <w:rFonts w:hint="eastAsia" w:ascii="宋体" w:hAnsi="宋体" w:eastAsia="宋体" w:cs="宋体"/>
                <w:szCs w:val="21"/>
              </w:rPr>
            </w:pPr>
            <w:r>
              <w:rPr>
                <w:rFonts w:hint="eastAsia" w:ascii="宋体" w:hAnsi="宋体" w:eastAsia="宋体" w:cs="宋体"/>
                <w:szCs w:val="21"/>
              </w:rPr>
              <w:t>2</w:t>
            </w:r>
          </w:p>
        </w:tc>
        <w:tc>
          <w:tcPr>
            <w:tcW w:w="399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额定电压</w:t>
            </w:r>
          </w:p>
        </w:tc>
        <w:tc>
          <w:tcPr>
            <w:tcW w:w="27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DC1800V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3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both"/>
              <w:rPr>
                <w:rFonts w:hint="eastAsia" w:ascii="宋体" w:hAnsi="宋体" w:eastAsia="宋体" w:cs="宋体"/>
                <w:szCs w:val="21"/>
              </w:rPr>
            </w:pPr>
            <w:r>
              <w:rPr>
                <w:rFonts w:hint="eastAsia" w:ascii="宋体" w:hAnsi="宋体" w:eastAsia="宋体" w:cs="宋体"/>
                <w:szCs w:val="21"/>
              </w:rPr>
              <w:t>3</w:t>
            </w:r>
          </w:p>
        </w:tc>
        <w:tc>
          <w:tcPr>
            <w:tcW w:w="399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额定绝缘电压</w:t>
            </w:r>
          </w:p>
        </w:tc>
        <w:tc>
          <w:tcPr>
            <w:tcW w:w="27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3000V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3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both"/>
              <w:rPr>
                <w:rFonts w:hint="eastAsia" w:ascii="宋体" w:hAnsi="宋体" w:eastAsia="宋体" w:cs="宋体"/>
                <w:szCs w:val="21"/>
              </w:rPr>
            </w:pPr>
            <w:r>
              <w:rPr>
                <w:rFonts w:hint="eastAsia" w:ascii="宋体" w:hAnsi="宋体" w:eastAsia="宋体" w:cs="宋体"/>
                <w:szCs w:val="21"/>
              </w:rPr>
              <w:t>4</w:t>
            </w:r>
          </w:p>
        </w:tc>
        <w:tc>
          <w:tcPr>
            <w:tcW w:w="399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接地回路短时耐受</w:t>
            </w:r>
          </w:p>
        </w:tc>
        <w:tc>
          <w:tcPr>
            <w:tcW w:w="27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80kA（0.25s）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349"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both"/>
              <w:rPr>
                <w:rFonts w:hint="eastAsia" w:ascii="宋体" w:hAnsi="宋体" w:eastAsia="宋体" w:cs="宋体"/>
                <w:szCs w:val="21"/>
              </w:rPr>
            </w:pPr>
            <w:r>
              <w:rPr>
                <w:rFonts w:hint="eastAsia" w:ascii="宋体" w:hAnsi="宋体" w:eastAsia="宋体" w:cs="宋体"/>
                <w:szCs w:val="21"/>
              </w:rPr>
              <w:t>5</w:t>
            </w:r>
          </w:p>
        </w:tc>
        <w:tc>
          <w:tcPr>
            <w:tcW w:w="1668"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1min工频耐受电压</w:t>
            </w:r>
          </w:p>
        </w:tc>
        <w:tc>
          <w:tcPr>
            <w:tcW w:w="232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静触头对地</w:t>
            </w:r>
          </w:p>
        </w:tc>
        <w:tc>
          <w:tcPr>
            <w:tcW w:w="27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9.2kV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349"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both"/>
              <w:rPr>
                <w:rFonts w:hint="eastAsia" w:ascii="宋体" w:hAnsi="宋体" w:eastAsia="宋体" w:cs="宋体"/>
                <w:szCs w:val="21"/>
              </w:rPr>
            </w:pPr>
          </w:p>
        </w:tc>
        <w:tc>
          <w:tcPr>
            <w:tcW w:w="1668"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zCs w:val="21"/>
              </w:rPr>
            </w:pPr>
          </w:p>
        </w:tc>
        <w:tc>
          <w:tcPr>
            <w:tcW w:w="232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开关断口</w:t>
            </w:r>
          </w:p>
        </w:tc>
        <w:tc>
          <w:tcPr>
            <w:tcW w:w="27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11kV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349"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both"/>
              <w:rPr>
                <w:rFonts w:hint="eastAsia" w:ascii="宋体" w:hAnsi="宋体" w:eastAsia="宋体" w:cs="宋体"/>
                <w:szCs w:val="21"/>
              </w:rPr>
            </w:pPr>
            <w:r>
              <w:rPr>
                <w:rFonts w:hint="eastAsia" w:ascii="宋体" w:hAnsi="宋体" w:eastAsia="宋体" w:cs="宋体"/>
                <w:szCs w:val="21"/>
              </w:rPr>
              <w:t>6</w:t>
            </w:r>
          </w:p>
        </w:tc>
        <w:tc>
          <w:tcPr>
            <w:tcW w:w="1668"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额定冲击耐受电压</w:t>
            </w:r>
          </w:p>
        </w:tc>
        <w:tc>
          <w:tcPr>
            <w:tcW w:w="232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静触头对地</w:t>
            </w:r>
          </w:p>
        </w:tc>
        <w:tc>
          <w:tcPr>
            <w:tcW w:w="27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20kV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349"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both"/>
              <w:rPr>
                <w:rFonts w:hint="eastAsia" w:ascii="宋体" w:hAnsi="宋体" w:eastAsia="宋体" w:cs="宋体"/>
                <w:szCs w:val="21"/>
              </w:rPr>
            </w:pPr>
          </w:p>
        </w:tc>
        <w:tc>
          <w:tcPr>
            <w:tcW w:w="1668"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zCs w:val="21"/>
              </w:rPr>
            </w:pPr>
          </w:p>
        </w:tc>
        <w:tc>
          <w:tcPr>
            <w:tcW w:w="232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开关断口</w:t>
            </w:r>
          </w:p>
        </w:tc>
        <w:tc>
          <w:tcPr>
            <w:tcW w:w="27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24kV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3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both"/>
              <w:rPr>
                <w:rFonts w:hint="eastAsia" w:ascii="宋体" w:hAnsi="宋体" w:eastAsia="宋体" w:cs="宋体"/>
                <w:szCs w:val="21"/>
              </w:rPr>
            </w:pPr>
            <w:r>
              <w:rPr>
                <w:rFonts w:hint="eastAsia" w:ascii="宋体" w:hAnsi="宋体" w:eastAsia="宋体" w:cs="宋体"/>
                <w:szCs w:val="21"/>
              </w:rPr>
              <w:t>7</w:t>
            </w:r>
          </w:p>
        </w:tc>
        <w:tc>
          <w:tcPr>
            <w:tcW w:w="399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辅助和控制回路1min工频耐压</w:t>
            </w:r>
          </w:p>
        </w:tc>
        <w:tc>
          <w:tcPr>
            <w:tcW w:w="27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2000V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3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both"/>
              <w:rPr>
                <w:rFonts w:hint="eastAsia" w:ascii="宋体" w:hAnsi="宋体" w:eastAsia="宋体" w:cs="宋体"/>
                <w:szCs w:val="21"/>
              </w:rPr>
            </w:pPr>
            <w:r>
              <w:rPr>
                <w:rFonts w:hint="eastAsia" w:ascii="宋体" w:hAnsi="宋体" w:eastAsia="宋体" w:cs="宋体"/>
                <w:szCs w:val="21"/>
              </w:rPr>
              <w:t>8</w:t>
            </w:r>
          </w:p>
        </w:tc>
        <w:tc>
          <w:tcPr>
            <w:tcW w:w="399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机械寿命</w:t>
            </w:r>
          </w:p>
        </w:tc>
        <w:tc>
          <w:tcPr>
            <w:tcW w:w="27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10000次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3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both"/>
              <w:rPr>
                <w:rFonts w:hint="eastAsia" w:ascii="宋体" w:hAnsi="宋体" w:eastAsia="宋体" w:cs="宋体"/>
                <w:szCs w:val="21"/>
              </w:rPr>
            </w:pPr>
            <w:r>
              <w:rPr>
                <w:rFonts w:hint="eastAsia" w:ascii="宋体" w:hAnsi="宋体" w:eastAsia="宋体" w:cs="宋体"/>
                <w:szCs w:val="21"/>
              </w:rPr>
              <w:t>9</w:t>
            </w:r>
          </w:p>
        </w:tc>
        <w:tc>
          <w:tcPr>
            <w:tcW w:w="399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接地回路电阻(接地合闸时，箱内隔离断口两铜端子之间)</w:t>
            </w:r>
          </w:p>
        </w:tc>
        <w:tc>
          <w:tcPr>
            <w:tcW w:w="27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≤100μΩ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3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both"/>
              <w:rPr>
                <w:rFonts w:hint="eastAsia" w:ascii="宋体" w:hAnsi="宋体" w:eastAsia="宋体" w:cs="宋体"/>
                <w:szCs w:val="21"/>
              </w:rPr>
            </w:pPr>
            <w:r>
              <w:rPr>
                <w:rFonts w:hint="eastAsia" w:ascii="宋体" w:hAnsi="宋体" w:eastAsia="宋体" w:cs="宋体"/>
                <w:szCs w:val="21"/>
              </w:rPr>
              <w:t>10</w:t>
            </w:r>
          </w:p>
        </w:tc>
        <w:tc>
          <w:tcPr>
            <w:tcW w:w="399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操作方式</w:t>
            </w:r>
          </w:p>
        </w:tc>
        <w:tc>
          <w:tcPr>
            <w:tcW w:w="27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电动/手动  远方/就地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3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both"/>
              <w:rPr>
                <w:rFonts w:hint="eastAsia" w:ascii="宋体" w:hAnsi="宋体" w:eastAsia="宋体" w:cs="宋体"/>
                <w:szCs w:val="21"/>
              </w:rPr>
            </w:pPr>
            <w:r>
              <w:rPr>
                <w:rFonts w:hint="eastAsia" w:ascii="宋体" w:hAnsi="宋体" w:eastAsia="宋体" w:cs="宋体"/>
                <w:szCs w:val="21"/>
              </w:rPr>
              <w:t>11</w:t>
            </w:r>
          </w:p>
        </w:tc>
        <w:tc>
          <w:tcPr>
            <w:tcW w:w="399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辅助电源</w:t>
            </w:r>
          </w:p>
        </w:tc>
        <w:tc>
          <w:tcPr>
            <w:tcW w:w="27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接地装置DC220V/监控主站AC220V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3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both"/>
              <w:rPr>
                <w:rFonts w:hint="eastAsia" w:ascii="宋体" w:hAnsi="宋体" w:eastAsia="宋体" w:cs="宋体"/>
                <w:szCs w:val="21"/>
              </w:rPr>
            </w:pPr>
            <w:r>
              <w:rPr>
                <w:rFonts w:hint="eastAsia" w:ascii="宋体" w:hAnsi="宋体" w:eastAsia="宋体" w:cs="宋体"/>
                <w:szCs w:val="21"/>
              </w:rPr>
              <w:t>12</w:t>
            </w:r>
          </w:p>
        </w:tc>
        <w:tc>
          <w:tcPr>
            <w:tcW w:w="399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电动操作单分单合时间</w:t>
            </w:r>
          </w:p>
        </w:tc>
        <w:tc>
          <w:tcPr>
            <w:tcW w:w="27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≤3s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3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both"/>
              <w:rPr>
                <w:rFonts w:hint="eastAsia" w:ascii="宋体" w:hAnsi="宋体" w:eastAsia="宋体" w:cs="宋体"/>
                <w:szCs w:val="21"/>
              </w:rPr>
            </w:pPr>
            <w:r>
              <w:rPr>
                <w:rFonts w:hint="eastAsia" w:ascii="宋体" w:hAnsi="宋体" w:eastAsia="宋体" w:cs="宋体"/>
                <w:szCs w:val="21"/>
              </w:rPr>
              <w:t>13</w:t>
            </w:r>
          </w:p>
        </w:tc>
        <w:tc>
          <w:tcPr>
            <w:tcW w:w="399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分/合闸电流</w:t>
            </w:r>
          </w:p>
        </w:tc>
        <w:tc>
          <w:tcPr>
            <w:tcW w:w="27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3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both"/>
              <w:rPr>
                <w:rFonts w:hint="eastAsia" w:ascii="宋体" w:hAnsi="宋体" w:eastAsia="宋体" w:cs="宋体"/>
                <w:szCs w:val="21"/>
              </w:rPr>
            </w:pPr>
            <w:r>
              <w:rPr>
                <w:rFonts w:hint="eastAsia" w:ascii="宋体" w:hAnsi="宋体" w:eastAsia="宋体" w:cs="宋体"/>
                <w:szCs w:val="21"/>
              </w:rPr>
              <w:t>14</w:t>
            </w:r>
          </w:p>
        </w:tc>
        <w:tc>
          <w:tcPr>
            <w:tcW w:w="399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绝缘等级</w:t>
            </w:r>
          </w:p>
        </w:tc>
        <w:tc>
          <w:tcPr>
            <w:tcW w:w="27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OV4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349"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both"/>
              <w:rPr>
                <w:rFonts w:hint="eastAsia" w:ascii="宋体" w:hAnsi="宋体" w:eastAsia="宋体" w:cs="宋体"/>
                <w:szCs w:val="21"/>
              </w:rPr>
            </w:pPr>
            <w:r>
              <w:rPr>
                <w:rFonts w:hint="eastAsia" w:ascii="宋体" w:hAnsi="宋体" w:eastAsia="宋体" w:cs="宋体"/>
                <w:szCs w:val="21"/>
              </w:rPr>
              <w:t>15</w:t>
            </w:r>
          </w:p>
        </w:tc>
        <w:tc>
          <w:tcPr>
            <w:tcW w:w="1668"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外壳防护等级</w:t>
            </w:r>
          </w:p>
        </w:tc>
        <w:tc>
          <w:tcPr>
            <w:tcW w:w="232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户内</w:t>
            </w:r>
          </w:p>
        </w:tc>
        <w:tc>
          <w:tcPr>
            <w:tcW w:w="27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IP3X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349"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both"/>
              <w:rPr>
                <w:rFonts w:hint="eastAsia" w:ascii="宋体" w:hAnsi="宋体" w:eastAsia="宋体" w:cs="宋体"/>
                <w:szCs w:val="21"/>
              </w:rPr>
            </w:pPr>
          </w:p>
        </w:tc>
        <w:tc>
          <w:tcPr>
            <w:tcW w:w="1668"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zCs w:val="21"/>
              </w:rPr>
            </w:pPr>
          </w:p>
        </w:tc>
        <w:tc>
          <w:tcPr>
            <w:tcW w:w="232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户外</w:t>
            </w:r>
          </w:p>
        </w:tc>
        <w:tc>
          <w:tcPr>
            <w:tcW w:w="27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IP54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3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both"/>
              <w:rPr>
                <w:rFonts w:hint="eastAsia" w:ascii="宋体" w:hAnsi="宋体" w:eastAsia="宋体" w:cs="宋体"/>
                <w:szCs w:val="21"/>
              </w:rPr>
            </w:pPr>
            <w:r>
              <w:rPr>
                <w:rFonts w:hint="eastAsia" w:ascii="宋体" w:hAnsi="宋体" w:eastAsia="宋体" w:cs="宋体"/>
                <w:szCs w:val="21"/>
              </w:rPr>
              <w:t>16</w:t>
            </w:r>
          </w:p>
        </w:tc>
        <w:tc>
          <w:tcPr>
            <w:tcW w:w="399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zCs w:val="21"/>
              </w:rPr>
            </w:pPr>
            <w:bookmarkStart w:id="1514" w:name="OLE_LINK5"/>
            <w:bookmarkStart w:id="1515" w:name="OLE_LINK6"/>
            <w:r>
              <w:rPr>
                <w:rFonts w:hint="eastAsia" w:ascii="宋体" w:hAnsi="宋体" w:eastAsia="宋体" w:cs="宋体"/>
                <w:bCs/>
                <w:szCs w:val="21"/>
              </w:rPr>
              <w:t>接地装置</w:t>
            </w:r>
            <w:r>
              <w:rPr>
                <w:rFonts w:hint="eastAsia" w:ascii="宋体" w:hAnsi="宋体" w:eastAsia="宋体" w:cs="宋体"/>
                <w:szCs w:val="21"/>
              </w:rPr>
              <w:t>外形尺寸</w:t>
            </w:r>
            <w:bookmarkEnd w:id="1514"/>
            <w:bookmarkEnd w:id="1515"/>
          </w:p>
        </w:tc>
        <w:tc>
          <w:tcPr>
            <w:tcW w:w="27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≤宽760mm×深510mm×高1760mm（具体尺寸设计联络阶段明确）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3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both"/>
              <w:rPr>
                <w:rFonts w:hint="eastAsia" w:ascii="宋体" w:hAnsi="宋体" w:eastAsia="宋体" w:cs="宋体"/>
                <w:szCs w:val="21"/>
              </w:rPr>
            </w:pPr>
            <w:r>
              <w:rPr>
                <w:rFonts w:hint="eastAsia" w:ascii="宋体" w:hAnsi="宋体" w:eastAsia="宋体" w:cs="宋体"/>
                <w:szCs w:val="21"/>
              </w:rPr>
              <w:t>17</w:t>
            </w:r>
          </w:p>
        </w:tc>
        <w:tc>
          <w:tcPr>
            <w:tcW w:w="399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zCs w:val="21"/>
              </w:rPr>
            </w:pPr>
            <w:r>
              <w:rPr>
                <w:rFonts w:hint="eastAsia" w:ascii="宋体" w:hAnsi="宋体" w:eastAsia="宋体" w:cs="宋体"/>
                <w:bCs/>
                <w:szCs w:val="21"/>
              </w:rPr>
              <w:t>接地装置</w:t>
            </w:r>
            <w:r>
              <w:rPr>
                <w:rFonts w:hint="eastAsia" w:ascii="宋体" w:hAnsi="宋体" w:eastAsia="宋体" w:cs="宋体"/>
                <w:szCs w:val="21"/>
              </w:rPr>
              <w:t>总重量</w:t>
            </w:r>
          </w:p>
        </w:tc>
        <w:tc>
          <w:tcPr>
            <w:tcW w:w="27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由卖方提供</w:t>
            </w:r>
          </w:p>
        </w:tc>
      </w:tr>
    </w:tbl>
    <w:p>
      <w:pPr>
        <w:spacing w:line="360" w:lineRule="auto"/>
        <w:ind w:firstLine="643"/>
        <w:rPr>
          <w:rFonts w:hint="eastAsia" w:ascii="宋体" w:hAnsi="宋体" w:eastAsia="宋体" w:cs="宋体"/>
          <w:b/>
          <w:bCs/>
          <w:szCs w:val="21"/>
        </w:rPr>
      </w:pPr>
      <w:r>
        <w:rPr>
          <w:rFonts w:hint="eastAsia" w:ascii="宋体" w:hAnsi="宋体" w:eastAsia="宋体" w:cs="宋体"/>
          <w:b/>
          <w:bCs/>
          <w:szCs w:val="21"/>
        </w:rPr>
        <w:t>4.3可视化接地监控主机</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 xml:space="preserve">可视化接地监控主机实现本车站内的接触网（轨）接地操作。装置内置接地操作安全联锁规则，可直观显示接线图及各接地柜位置状态，该监控终端可通过触摸屏进行操作，可进行设备状态对位、遥控接地操作，就地接地预演等操作。可视化接地监控主机关键技术参数表见表3。  </w:t>
      </w:r>
    </w:p>
    <w:p>
      <w:pPr>
        <w:spacing w:line="360" w:lineRule="auto"/>
        <w:ind w:firstLine="482"/>
        <w:jc w:val="center"/>
        <w:rPr>
          <w:rFonts w:hint="eastAsia" w:ascii="宋体" w:hAnsi="宋体" w:eastAsia="宋体" w:cs="宋体"/>
          <w:szCs w:val="21"/>
        </w:rPr>
      </w:pPr>
      <w:r>
        <w:rPr>
          <w:rFonts w:hint="eastAsia" w:ascii="宋体" w:hAnsi="宋体" w:eastAsia="宋体" w:cs="宋体"/>
          <w:b/>
          <w:bCs/>
          <w:szCs w:val="21"/>
        </w:rPr>
        <w:t>表3  可视化接地监控主机关键技术参数表</w:t>
      </w:r>
    </w:p>
    <w:tbl>
      <w:tblPr>
        <w:tblStyle w:val="6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7"/>
        <w:gridCol w:w="2716"/>
        <w:gridCol w:w="40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jc w:val="center"/>
        </w:trPr>
        <w:tc>
          <w:tcPr>
            <w:tcW w:w="1207" w:type="dxa"/>
            <w:tcBorders>
              <w:top w:val="single" w:color="000000" w:sz="4" w:space="0"/>
              <w:left w:val="single" w:color="000000" w:sz="4" w:space="0"/>
              <w:bottom w:val="single" w:color="000000" w:sz="4" w:space="0"/>
              <w:right w:val="single" w:color="auto" w:sz="4" w:space="0"/>
            </w:tcBorders>
            <w:noWrap w:val="0"/>
            <w:vAlign w:val="top"/>
          </w:tcPr>
          <w:p>
            <w:pPr>
              <w:spacing w:line="360" w:lineRule="auto"/>
              <w:rPr>
                <w:rFonts w:hint="eastAsia" w:ascii="宋体" w:hAnsi="宋体" w:eastAsia="宋体" w:cs="宋体"/>
                <w:szCs w:val="21"/>
              </w:rPr>
            </w:pPr>
            <w:r>
              <w:rPr>
                <w:rFonts w:hint="eastAsia" w:ascii="宋体" w:hAnsi="宋体" w:eastAsia="宋体" w:cs="宋体"/>
                <w:szCs w:val="21"/>
              </w:rPr>
              <w:t>序号</w:t>
            </w:r>
          </w:p>
        </w:tc>
        <w:tc>
          <w:tcPr>
            <w:tcW w:w="2716" w:type="dxa"/>
            <w:tcBorders>
              <w:top w:val="single" w:color="000000" w:sz="4" w:space="0"/>
              <w:left w:val="single" w:color="auto" w:sz="4" w:space="0"/>
              <w:bottom w:val="single" w:color="000000" w:sz="4" w:space="0"/>
              <w:right w:val="single" w:color="000000" w:sz="4" w:space="0"/>
            </w:tcBorders>
            <w:noWrap w:val="0"/>
            <w:vAlign w:val="top"/>
          </w:tcPr>
          <w:p>
            <w:pPr>
              <w:spacing w:line="360" w:lineRule="auto"/>
              <w:rPr>
                <w:rFonts w:hint="eastAsia" w:ascii="宋体" w:hAnsi="宋体" w:eastAsia="宋体" w:cs="宋体"/>
                <w:szCs w:val="21"/>
              </w:rPr>
            </w:pPr>
            <w:r>
              <w:rPr>
                <w:rFonts w:hint="eastAsia" w:ascii="宋体" w:hAnsi="宋体" w:eastAsia="宋体" w:cs="宋体"/>
                <w:szCs w:val="21"/>
              </w:rPr>
              <w:t>项目</w:t>
            </w:r>
          </w:p>
        </w:tc>
        <w:tc>
          <w:tcPr>
            <w:tcW w:w="4015"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Cs w:val="21"/>
              </w:rPr>
            </w:pPr>
            <w:r>
              <w:rPr>
                <w:rFonts w:hint="eastAsia" w:ascii="宋体" w:hAnsi="宋体" w:eastAsia="宋体" w:cs="宋体"/>
                <w:szCs w:val="21"/>
              </w:rPr>
              <w:t>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7" w:type="dxa"/>
            <w:tcBorders>
              <w:top w:val="single" w:color="000000" w:sz="4" w:space="0"/>
              <w:left w:val="single" w:color="000000" w:sz="4" w:space="0"/>
              <w:bottom w:val="single" w:color="000000" w:sz="4" w:space="0"/>
              <w:right w:val="single" w:color="auto" w:sz="4" w:space="0"/>
            </w:tcBorders>
            <w:noWrap w:val="0"/>
            <w:vAlign w:val="top"/>
          </w:tcPr>
          <w:p>
            <w:pPr>
              <w:spacing w:line="360" w:lineRule="auto"/>
              <w:rPr>
                <w:rFonts w:hint="eastAsia" w:ascii="宋体" w:hAnsi="宋体" w:eastAsia="宋体" w:cs="宋体"/>
                <w:szCs w:val="21"/>
              </w:rPr>
            </w:pPr>
            <w:r>
              <w:rPr>
                <w:rFonts w:hint="eastAsia" w:ascii="宋体" w:hAnsi="宋体" w:eastAsia="宋体" w:cs="宋体"/>
                <w:szCs w:val="21"/>
              </w:rPr>
              <w:t>1</w:t>
            </w:r>
          </w:p>
        </w:tc>
        <w:tc>
          <w:tcPr>
            <w:tcW w:w="2716" w:type="dxa"/>
            <w:tcBorders>
              <w:top w:val="single" w:color="000000" w:sz="4" w:space="0"/>
              <w:left w:val="single" w:color="auto" w:sz="4" w:space="0"/>
              <w:bottom w:val="single" w:color="000000" w:sz="4" w:space="0"/>
              <w:right w:val="single" w:color="000000" w:sz="4" w:space="0"/>
            </w:tcBorders>
            <w:noWrap w:val="0"/>
            <w:vAlign w:val="top"/>
          </w:tcPr>
          <w:p>
            <w:pPr>
              <w:spacing w:line="360" w:lineRule="auto"/>
              <w:rPr>
                <w:rFonts w:hint="eastAsia" w:ascii="宋体" w:hAnsi="宋体" w:eastAsia="宋体" w:cs="宋体"/>
                <w:szCs w:val="21"/>
              </w:rPr>
            </w:pPr>
            <w:r>
              <w:rPr>
                <w:rFonts w:hint="eastAsia" w:ascii="宋体" w:hAnsi="宋体" w:eastAsia="宋体" w:cs="宋体"/>
                <w:szCs w:val="21"/>
              </w:rPr>
              <w:t>额定电压</w:t>
            </w:r>
          </w:p>
        </w:tc>
        <w:tc>
          <w:tcPr>
            <w:tcW w:w="4015"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Cs w:val="21"/>
              </w:rPr>
            </w:pPr>
            <w:r>
              <w:rPr>
                <w:rFonts w:hint="eastAsia" w:ascii="宋体" w:hAnsi="宋体" w:eastAsia="宋体" w:cs="宋体"/>
                <w:szCs w:val="21"/>
              </w:rPr>
              <w:t>AC220V</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7" w:type="dxa"/>
            <w:tcBorders>
              <w:top w:val="single" w:color="000000" w:sz="4" w:space="0"/>
              <w:left w:val="single" w:color="000000" w:sz="4" w:space="0"/>
              <w:bottom w:val="single" w:color="000000" w:sz="4" w:space="0"/>
              <w:right w:val="single" w:color="auto" w:sz="4" w:space="0"/>
            </w:tcBorders>
            <w:noWrap w:val="0"/>
            <w:vAlign w:val="top"/>
          </w:tcPr>
          <w:p>
            <w:pPr>
              <w:spacing w:line="360" w:lineRule="auto"/>
              <w:rPr>
                <w:rFonts w:hint="eastAsia" w:ascii="宋体" w:hAnsi="宋体" w:eastAsia="宋体" w:cs="宋体"/>
                <w:szCs w:val="21"/>
              </w:rPr>
            </w:pPr>
            <w:r>
              <w:rPr>
                <w:rFonts w:hint="eastAsia" w:ascii="宋体" w:hAnsi="宋体" w:eastAsia="宋体" w:cs="宋体"/>
                <w:szCs w:val="21"/>
              </w:rPr>
              <w:t>2</w:t>
            </w:r>
          </w:p>
        </w:tc>
        <w:tc>
          <w:tcPr>
            <w:tcW w:w="2716" w:type="dxa"/>
            <w:tcBorders>
              <w:top w:val="single" w:color="000000" w:sz="4" w:space="0"/>
              <w:left w:val="single" w:color="auto" w:sz="4" w:space="0"/>
              <w:bottom w:val="single" w:color="000000" w:sz="4" w:space="0"/>
              <w:right w:val="single" w:color="000000" w:sz="4" w:space="0"/>
            </w:tcBorders>
            <w:noWrap w:val="0"/>
            <w:vAlign w:val="top"/>
          </w:tcPr>
          <w:p>
            <w:pPr>
              <w:spacing w:line="360" w:lineRule="auto"/>
              <w:rPr>
                <w:rFonts w:hint="eastAsia" w:ascii="宋体" w:hAnsi="宋体" w:eastAsia="宋体" w:cs="宋体"/>
                <w:szCs w:val="21"/>
              </w:rPr>
            </w:pPr>
            <w:r>
              <w:rPr>
                <w:rFonts w:hint="eastAsia" w:ascii="宋体" w:hAnsi="宋体" w:eastAsia="宋体" w:cs="宋体"/>
                <w:szCs w:val="21"/>
              </w:rPr>
              <w:t>静态电流</w:t>
            </w:r>
          </w:p>
        </w:tc>
        <w:tc>
          <w:tcPr>
            <w:tcW w:w="4015"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Cs w:val="21"/>
              </w:rPr>
            </w:pPr>
            <w:r>
              <w:rPr>
                <w:rFonts w:hint="eastAsia" w:ascii="宋体" w:hAnsi="宋体" w:eastAsia="宋体" w:cs="宋体"/>
                <w:szCs w:val="21"/>
              </w:rPr>
              <w:t>≤200mA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7" w:type="dxa"/>
            <w:tcBorders>
              <w:top w:val="single" w:color="000000" w:sz="4" w:space="0"/>
              <w:left w:val="single" w:color="000000" w:sz="4" w:space="0"/>
              <w:bottom w:val="single" w:color="000000" w:sz="4" w:space="0"/>
              <w:right w:val="single" w:color="auto" w:sz="4" w:space="0"/>
            </w:tcBorders>
            <w:noWrap w:val="0"/>
            <w:vAlign w:val="top"/>
          </w:tcPr>
          <w:p>
            <w:pPr>
              <w:spacing w:line="360" w:lineRule="auto"/>
              <w:rPr>
                <w:rFonts w:hint="eastAsia" w:ascii="宋体" w:hAnsi="宋体" w:eastAsia="宋体" w:cs="宋体"/>
                <w:szCs w:val="21"/>
              </w:rPr>
            </w:pPr>
            <w:r>
              <w:rPr>
                <w:rFonts w:hint="eastAsia" w:ascii="宋体" w:hAnsi="宋体" w:eastAsia="宋体" w:cs="宋体"/>
                <w:szCs w:val="21"/>
              </w:rPr>
              <w:t>3</w:t>
            </w:r>
          </w:p>
        </w:tc>
        <w:tc>
          <w:tcPr>
            <w:tcW w:w="2716" w:type="dxa"/>
            <w:tcBorders>
              <w:top w:val="single" w:color="000000" w:sz="4" w:space="0"/>
              <w:left w:val="single" w:color="auto" w:sz="4" w:space="0"/>
              <w:bottom w:val="single" w:color="000000" w:sz="4" w:space="0"/>
              <w:right w:val="single" w:color="000000" w:sz="4" w:space="0"/>
            </w:tcBorders>
            <w:noWrap w:val="0"/>
            <w:vAlign w:val="top"/>
          </w:tcPr>
          <w:p>
            <w:pPr>
              <w:spacing w:line="360" w:lineRule="auto"/>
              <w:rPr>
                <w:rFonts w:hint="eastAsia" w:ascii="宋体" w:hAnsi="宋体" w:eastAsia="宋体" w:cs="宋体"/>
                <w:szCs w:val="21"/>
              </w:rPr>
            </w:pPr>
            <w:r>
              <w:rPr>
                <w:rFonts w:hint="eastAsia" w:ascii="宋体" w:hAnsi="宋体" w:eastAsia="宋体" w:cs="宋体"/>
                <w:szCs w:val="21"/>
              </w:rPr>
              <w:t>主机 方式</w:t>
            </w:r>
          </w:p>
        </w:tc>
        <w:tc>
          <w:tcPr>
            <w:tcW w:w="4015"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Cs w:val="21"/>
              </w:rPr>
            </w:pPr>
            <w:r>
              <w:rPr>
                <w:rFonts w:hint="eastAsia" w:ascii="宋体" w:hAnsi="宋体" w:eastAsia="宋体" w:cs="宋体"/>
                <w:szCs w:val="21"/>
              </w:rPr>
              <w:t>嵌入式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7" w:type="dxa"/>
            <w:tcBorders>
              <w:top w:val="single" w:color="000000" w:sz="4" w:space="0"/>
              <w:left w:val="single" w:color="000000" w:sz="4" w:space="0"/>
              <w:bottom w:val="single" w:color="000000" w:sz="4" w:space="0"/>
              <w:right w:val="single" w:color="auto" w:sz="4" w:space="0"/>
            </w:tcBorders>
            <w:noWrap w:val="0"/>
            <w:vAlign w:val="top"/>
          </w:tcPr>
          <w:p>
            <w:pPr>
              <w:spacing w:line="360" w:lineRule="auto"/>
              <w:rPr>
                <w:rFonts w:hint="eastAsia" w:ascii="宋体" w:hAnsi="宋体" w:eastAsia="宋体" w:cs="宋体"/>
                <w:szCs w:val="21"/>
              </w:rPr>
            </w:pPr>
            <w:r>
              <w:rPr>
                <w:rFonts w:hint="eastAsia" w:ascii="宋体" w:hAnsi="宋体" w:eastAsia="宋体" w:cs="宋体"/>
                <w:szCs w:val="21"/>
              </w:rPr>
              <w:t>4</w:t>
            </w:r>
          </w:p>
        </w:tc>
        <w:tc>
          <w:tcPr>
            <w:tcW w:w="2716" w:type="dxa"/>
            <w:tcBorders>
              <w:top w:val="single" w:color="000000" w:sz="4" w:space="0"/>
              <w:left w:val="single" w:color="auto" w:sz="4" w:space="0"/>
              <w:bottom w:val="single" w:color="000000" w:sz="4" w:space="0"/>
              <w:right w:val="single" w:color="000000" w:sz="4" w:space="0"/>
            </w:tcBorders>
            <w:noWrap w:val="0"/>
            <w:vAlign w:val="top"/>
          </w:tcPr>
          <w:p>
            <w:pPr>
              <w:spacing w:line="360" w:lineRule="auto"/>
              <w:rPr>
                <w:rFonts w:hint="eastAsia" w:ascii="宋体" w:hAnsi="宋体" w:eastAsia="宋体" w:cs="宋体"/>
                <w:szCs w:val="21"/>
              </w:rPr>
            </w:pPr>
            <w:r>
              <w:rPr>
                <w:rFonts w:hint="eastAsia" w:ascii="宋体" w:hAnsi="宋体" w:eastAsia="宋体" w:cs="宋体"/>
                <w:szCs w:val="21"/>
              </w:rPr>
              <w:t>处理器主频</w:t>
            </w:r>
          </w:p>
        </w:tc>
        <w:tc>
          <w:tcPr>
            <w:tcW w:w="4015"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Cs w:val="21"/>
              </w:rPr>
            </w:pPr>
            <w:r>
              <w:rPr>
                <w:rFonts w:hint="eastAsia" w:ascii="宋体" w:hAnsi="宋体" w:eastAsia="宋体" w:cs="宋体"/>
                <w:szCs w:val="21"/>
              </w:rPr>
              <w:t>≥1.6GHz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7" w:type="dxa"/>
            <w:tcBorders>
              <w:top w:val="single" w:color="000000" w:sz="4" w:space="0"/>
              <w:left w:val="single" w:color="000000" w:sz="4" w:space="0"/>
              <w:bottom w:val="single" w:color="000000" w:sz="4" w:space="0"/>
              <w:right w:val="single" w:color="auto" w:sz="4" w:space="0"/>
            </w:tcBorders>
            <w:noWrap w:val="0"/>
            <w:vAlign w:val="top"/>
          </w:tcPr>
          <w:p>
            <w:pPr>
              <w:spacing w:line="360" w:lineRule="auto"/>
              <w:rPr>
                <w:rFonts w:hint="eastAsia" w:ascii="宋体" w:hAnsi="宋体" w:eastAsia="宋体" w:cs="宋体"/>
                <w:szCs w:val="21"/>
              </w:rPr>
            </w:pPr>
            <w:r>
              <w:rPr>
                <w:rFonts w:hint="eastAsia" w:ascii="宋体" w:hAnsi="宋体" w:eastAsia="宋体" w:cs="宋体"/>
                <w:szCs w:val="21"/>
              </w:rPr>
              <w:t>5</w:t>
            </w:r>
          </w:p>
        </w:tc>
        <w:tc>
          <w:tcPr>
            <w:tcW w:w="2716" w:type="dxa"/>
            <w:tcBorders>
              <w:top w:val="single" w:color="000000" w:sz="4" w:space="0"/>
              <w:left w:val="single" w:color="auto" w:sz="4" w:space="0"/>
              <w:bottom w:val="single" w:color="000000" w:sz="4" w:space="0"/>
              <w:right w:val="single" w:color="000000" w:sz="4" w:space="0"/>
            </w:tcBorders>
            <w:noWrap w:val="0"/>
            <w:vAlign w:val="top"/>
          </w:tcPr>
          <w:p>
            <w:pPr>
              <w:spacing w:line="360" w:lineRule="auto"/>
              <w:rPr>
                <w:rFonts w:hint="eastAsia" w:ascii="宋体" w:hAnsi="宋体" w:eastAsia="宋体" w:cs="宋体"/>
                <w:szCs w:val="21"/>
              </w:rPr>
            </w:pPr>
            <w:r>
              <w:rPr>
                <w:rFonts w:hint="eastAsia" w:ascii="宋体" w:hAnsi="宋体" w:eastAsia="宋体" w:cs="宋体"/>
                <w:szCs w:val="21"/>
              </w:rPr>
              <w:t>内存</w:t>
            </w:r>
          </w:p>
        </w:tc>
        <w:tc>
          <w:tcPr>
            <w:tcW w:w="4015"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Cs w:val="21"/>
              </w:rPr>
            </w:pPr>
            <w:r>
              <w:rPr>
                <w:rFonts w:hint="eastAsia" w:ascii="宋体" w:hAnsi="宋体" w:eastAsia="宋体" w:cs="宋体"/>
                <w:szCs w:val="21"/>
              </w:rPr>
              <w:t>≥2G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7" w:type="dxa"/>
            <w:tcBorders>
              <w:top w:val="single" w:color="000000" w:sz="4" w:space="0"/>
              <w:left w:val="single" w:color="000000" w:sz="4" w:space="0"/>
              <w:bottom w:val="single" w:color="000000" w:sz="4" w:space="0"/>
              <w:right w:val="single" w:color="auto" w:sz="4" w:space="0"/>
            </w:tcBorders>
            <w:noWrap w:val="0"/>
            <w:vAlign w:val="top"/>
          </w:tcPr>
          <w:p>
            <w:pPr>
              <w:spacing w:line="360" w:lineRule="auto"/>
              <w:rPr>
                <w:rFonts w:hint="eastAsia" w:ascii="宋体" w:hAnsi="宋体" w:eastAsia="宋体" w:cs="宋体"/>
                <w:szCs w:val="21"/>
              </w:rPr>
            </w:pPr>
            <w:r>
              <w:rPr>
                <w:rFonts w:hint="eastAsia" w:ascii="宋体" w:hAnsi="宋体" w:eastAsia="宋体" w:cs="宋体"/>
                <w:szCs w:val="21"/>
              </w:rPr>
              <w:t>6</w:t>
            </w:r>
          </w:p>
        </w:tc>
        <w:tc>
          <w:tcPr>
            <w:tcW w:w="2716" w:type="dxa"/>
            <w:tcBorders>
              <w:top w:val="single" w:color="000000" w:sz="4" w:space="0"/>
              <w:left w:val="single" w:color="auto" w:sz="4" w:space="0"/>
              <w:bottom w:val="single" w:color="000000" w:sz="4" w:space="0"/>
              <w:right w:val="single" w:color="000000" w:sz="4" w:space="0"/>
            </w:tcBorders>
            <w:noWrap w:val="0"/>
            <w:vAlign w:val="top"/>
          </w:tcPr>
          <w:p>
            <w:pPr>
              <w:spacing w:line="360" w:lineRule="auto"/>
              <w:rPr>
                <w:rFonts w:hint="eastAsia" w:ascii="宋体" w:hAnsi="宋体" w:eastAsia="宋体" w:cs="宋体"/>
                <w:szCs w:val="21"/>
              </w:rPr>
            </w:pPr>
            <w:r>
              <w:rPr>
                <w:rFonts w:hint="eastAsia" w:ascii="宋体" w:hAnsi="宋体" w:eastAsia="宋体" w:cs="宋体"/>
                <w:szCs w:val="21"/>
              </w:rPr>
              <w:t>硬盘</w:t>
            </w:r>
          </w:p>
        </w:tc>
        <w:tc>
          <w:tcPr>
            <w:tcW w:w="4015"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Cs w:val="21"/>
              </w:rPr>
            </w:pPr>
            <w:r>
              <w:rPr>
                <w:rFonts w:hint="eastAsia" w:ascii="宋体" w:hAnsi="宋体" w:eastAsia="宋体" w:cs="宋体"/>
                <w:szCs w:val="21"/>
              </w:rPr>
              <w:t>≥8G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7" w:type="dxa"/>
            <w:tcBorders>
              <w:top w:val="single" w:color="000000" w:sz="4" w:space="0"/>
              <w:left w:val="single" w:color="000000" w:sz="4" w:space="0"/>
              <w:bottom w:val="single" w:color="000000" w:sz="4" w:space="0"/>
              <w:right w:val="single" w:color="auto" w:sz="4" w:space="0"/>
            </w:tcBorders>
            <w:noWrap w:val="0"/>
            <w:vAlign w:val="top"/>
          </w:tcPr>
          <w:p>
            <w:pPr>
              <w:spacing w:line="360" w:lineRule="auto"/>
              <w:rPr>
                <w:rFonts w:hint="eastAsia" w:ascii="宋体" w:hAnsi="宋体" w:eastAsia="宋体" w:cs="宋体"/>
                <w:szCs w:val="21"/>
              </w:rPr>
            </w:pPr>
            <w:r>
              <w:rPr>
                <w:rFonts w:hint="eastAsia" w:ascii="宋体" w:hAnsi="宋体" w:eastAsia="宋体" w:cs="宋体"/>
                <w:szCs w:val="21"/>
              </w:rPr>
              <w:t>7</w:t>
            </w:r>
          </w:p>
        </w:tc>
        <w:tc>
          <w:tcPr>
            <w:tcW w:w="2716" w:type="dxa"/>
            <w:tcBorders>
              <w:top w:val="single" w:color="000000" w:sz="4" w:space="0"/>
              <w:left w:val="single" w:color="auto" w:sz="4" w:space="0"/>
              <w:bottom w:val="single" w:color="000000" w:sz="4" w:space="0"/>
              <w:right w:val="single" w:color="000000" w:sz="4" w:space="0"/>
            </w:tcBorders>
            <w:noWrap w:val="0"/>
            <w:vAlign w:val="top"/>
          </w:tcPr>
          <w:p>
            <w:pPr>
              <w:spacing w:line="360" w:lineRule="auto"/>
              <w:rPr>
                <w:rFonts w:hint="eastAsia" w:ascii="宋体" w:hAnsi="宋体" w:eastAsia="宋体" w:cs="宋体"/>
                <w:szCs w:val="21"/>
              </w:rPr>
            </w:pPr>
            <w:r>
              <w:rPr>
                <w:rFonts w:hint="eastAsia" w:ascii="宋体" w:hAnsi="宋体" w:eastAsia="宋体" w:cs="宋体"/>
                <w:szCs w:val="21"/>
              </w:rPr>
              <w:t>液晶屏</w:t>
            </w:r>
          </w:p>
        </w:tc>
        <w:tc>
          <w:tcPr>
            <w:tcW w:w="4015"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Cs w:val="21"/>
              </w:rPr>
            </w:pPr>
            <w:r>
              <w:rPr>
                <w:rFonts w:hint="eastAsia" w:ascii="宋体" w:hAnsi="宋体" w:eastAsia="宋体" w:cs="宋体"/>
                <w:szCs w:val="21"/>
              </w:rPr>
              <w:t>TFT触摸屏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7" w:type="dxa"/>
            <w:tcBorders>
              <w:top w:val="single" w:color="000000" w:sz="4" w:space="0"/>
              <w:left w:val="single" w:color="000000" w:sz="4" w:space="0"/>
              <w:bottom w:val="single" w:color="000000" w:sz="4" w:space="0"/>
              <w:right w:val="single" w:color="auto" w:sz="4" w:space="0"/>
            </w:tcBorders>
            <w:noWrap w:val="0"/>
            <w:vAlign w:val="top"/>
          </w:tcPr>
          <w:p>
            <w:pPr>
              <w:spacing w:line="360" w:lineRule="auto"/>
              <w:rPr>
                <w:rFonts w:hint="eastAsia" w:ascii="宋体" w:hAnsi="宋体" w:eastAsia="宋体" w:cs="宋体"/>
                <w:szCs w:val="21"/>
              </w:rPr>
            </w:pPr>
            <w:r>
              <w:rPr>
                <w:rFonts w:hint="eastAsia" w:ascii="宋体" w:hAnsi="宋体" w:eastAsia="宋体" w:cs="宋体"/>
                <w:szCs w:val="21"/>
              </w:rPr>
              <w:t>8</w:t>
            </w:r>
          </w:p>
        </w:tc>
        <w:tc>
          <w:tcPr>
            <w:tcW w:w="2716" w:type="dxa"/>
            <w:tcBorders>
              <w:top w:val="single" w:color="000000" w:sz="4" w:space="0"/>
              <w:left w:val="single" w:color="auto" w:sz="4" w:space="0"/>
              <w:bottom w:val="single" w:color="000000" w:sz="4" w:space="0"/>
              <w:right w:val="single" w:color="000000" w:sz="4" w:space="0"/>
            </w:tcBorders>
            <w:noWrap w:val="0"/>
            <w:vAlign w:val="top"/>
          </w:tcPr>
          <w:p>
            <w:pPr>
              <w:spacing w:line="360" w:lineRule="auto"/>
              <w:rPr>
                <w:rFonts w:hint="eastAsia" w:ascii="宋体" w:hAnsi="宋体" w:eastAsia="宋体" w:cs="宋体"/>
                <w:szCs w:val="21"/>
              </w:rPr>
            </w:pPr>
            <w:r>
              <w:rPr>
                <w:rFonts w:hint="eastAsia" w:ascii="宋体" w:hAnsi="宋体" w:eastAsia="宋体" w:cs="宋体"/>
                <w:szCs w:val="21"/>
              </w:rPr>
              <w:t>液晶屏尺寸</w:t>
            </w:r>
          </w:p>
        </w:tc>
        <w:tc>
          <w:tcPr>
            <w:tcW w:w="4015"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Cs w:val="21"/>
              </w:rPr>
            </w:pPr>
            <w:r>
              <w:rPr>
                <w:rFonts w:hint="eastAsia" w:ascii="宋体" w:hAnsi="宋体" w:eastAsia="宋体" w:cs="宋体"/>
                <w:szCs w:val="21"/>
              </w:rPr>
              <w:t>≥12寸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7" w:type="dxa"/>
            <w:tcBorders>
              <w:top w:val="single" w:color="000000" w:sz="4" w:space="0"/>
              <w:left w:val="single" w:color="000000" w:sz="4" w:space="0"/>
              <w:bottom w:val="single" w:color="000000" w:sz="4" w:space="0"/>
              <w:right w:val="single" w:color="auto" w:sz="4" w:space="0"/>
            </w:tcBorders>
            <w:noWrap w:val="0"/>
            <w:vAlign w:val="top"/>
          </w:tcPr>
          <w:p>
            <w:pPr>
              <w:spacing w:line="360" w:lineRule="auto"/>
              <w:rPr>
                <w:rFonts w:hint="eastAsia" w:ascii="宋体" w:hAnsi="宋体" w:eastAsia="宋体" w:cs="宋体"/>
                <w:szCs w:val="21"/>
              </w:rPr>
            </w:pPr>
            <w:r>
              <w:rPr>
                <w:rFonts w:hint="eastAsia" w:ascii="宋体" w:hAnsi="宋体" w:eastAsia="宋体" w:cs="宋体"/>
                <w:szCs w:val="21"/>
              </w:rPr>
              <w:t>9</w:t>
            </w:r>
          </w:p>
        </w:tc>
        <w:tc>
          <w:tcPr>
            <w:tcW w:w="2716" w:type="dxa"/>
            <w:tcBorders>
              <w:top w:val="single" w:color="000000" w:sz="4" w:space="0"/>
              <w:left w:val="single" w:color="auto" w:sz="4" w:space="0"/>
              <w:bottom w:val="single" w:color="000000" w:sz="4" w:space="0"/>
              <w:right w:val="single" w:color="000000" w:sz="4" w:space="0"/>
            </w:tcBorders>
            <w:noWrap w:val="0"/>
            <w:vAlign w:val="top"/>
          </w:tcPr>
          <w:p>
            <w:pPr>
              <w:spacing w:line="360" w:lineRule="auto"/>
              <w:rPr>
                <w:rFonts w:hint="eastAsia" w:ascii="宋体" w:hAnsi="宋体" w:eastAsia="宋体" w:cs="宋体"/>
                <w:szCs w:val="21"/>
              </w:rPr>
            </w:pPr>
            <w:r>
              <w:rPr>
                <w:rFonts w:hint="eastAsia" w:ascii="宋体" w:hAnsi="宋体" w:eastAsia="宋体" w:cs="宋体"/>
                <w:szCs w:val="21"/>
              </w:rPr>
              <w:t>液晶屏分辨率</w:t>
            </w:r>
          </w:p>
        </w:tc>
        <w:tc>
          <w:tcPr>
            <w:tcW w:w="4015"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Cs w:val="21"/>
              </w:rPr>
            </w:pPr>
            <w:r>
              <w:rPr>
                <w:rFonts w:hint="eastAsia" w:ascii="宋体" w:hAnsi="宋体" w:eastAsia="宋体" w:cs="宋体"/>
                <w:szCs w:val="21"/>
              </w:rPr>
              <w:t>≥800X600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7" w:type="dxa"/>
            <w:tcBorders>
              <w:top w:val="single" w:color="000000" w:sz="4" w:space="0"/>
              <w:left w:val="single" w:color="000000" w:sz="4" w:space="0"/>
              <w:bottom w:val="single" w:color="000000" w:sz="4" w:space="0"/>
              <w:right w:val="single" w:color="auto" w:sz="4" w:space="0"/>
            </w:tcBorders>
            <w:noWrap w:val="0"/>
            <w:vAlign w:val="top"/>
          </w:tcPr>
          <w:p>
            <w:pPr>
              <w:spacing w:line="360" w:lineRule="auto"/>
              <w:rPr>
                <w:rFonts w:hint="eastAsia" w:ascii="宋体" w:hAnsi="宋体" w:eastAsia="宋体" w:cs="宋体"/>
                <w:szCs w:val="21"/>
              </w:rPr>
            </w:pPr>
            <w:r>
              <w:rPr>
                <w:rFonts w:hint="eastAsia" w:ascii="宋体" w:hAnsi="宋体" w:eastAsia="宋体" w:cs="宋体"/>
                <w:szCs w:val="21"/>
              </w:rPr>
              <w:t>10</w:t>
            </w:r>
          </w:p>
        </w:tc>
        <w:tc>
          <w:tcPr>
            <w:tcW w:w="2716" w:type="dxa"/>
            <w:tcBorders>
              <w:top w:val="single" w:color="000000" w:sz="4" w:space="0"/>
              <w:left w:val="single" w:color="auto" w:sz="4" w:space="0"/>
              <w:bottom w:val="single" w:color="000000" w:sz="4" w:space="0"/>
              <w:right w:val="single" w:color="000000" w:sz="4" w:space="0"/>
            </w:tcBorders>
            <w:noWrap w:val="0"/>
            <w:vAlign w:val="center"/>
          </w:tcPr>
          <w:p>
            <w:pPr>
              <w:spacing w:line="360" w:lineRule="auto"/>
              <w:rPr>
                <w:rFonts w:hint="eastAsia" w:ascii="宋体" w:hAnsi="宋体" w:eastAsia="宋体" w:cs="宋体"/>
                <w:szCs w:val="21"/>
              </w:rPr>
            </w:pPr>
            <w:r>
              <w:rPr>
                <w:rFonts w:hint="eastAsia" w:ascii="宋体" w:hAnsi="宋体" w:eastAsia="宋体" w:cs="宋体"/>
                <w:szCs w:val="21"/>
              </w:rPr>
              <w:t>通讯接口</w:t>
            </w:r>
          </w:p>
        </w:tc>
        <w:tc>
          <w:tcPr>
            <w:tcW w:w="4015"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Cs w:val="21"/>
              </w:rPr>
            </w:pPr>
            <w:r>
              <w:rPr>
                <w:rFonts w:hint="eastAsia" w:ascii="宋体" w:hAnsi="宋体" w:eastAsia="宋体" w:cs="宋体"/>
                <w:szCs w:val="21"/>
              </w:rPr>
              <w:t>不少于2个100M以太网口，2路232串口，2个USB接口。</w:t>
            </w:r>
          </w:p>
        </w:tc>
      </w:tr>
    </w:tbl>
    <w:p>
      <w:pPr>
        <w:spacing w:line="360" w:lineRule="auto"/>
        <w:rPr>
          <w:rFonts w:hint="eastAsia" w:ascii="宋体" w:hAnsi="宋体" w:eastAsia="宋体" w:cs="宋体"/>
          <w:b/>
          <w:bCs/>
          <w:szCs w:val="21"/>
        </w:rPr>
      </w:pPr>
    </w:p>
    <w:p>
      <w:pPr>
        <w:pStyle w:val="3"/>
        <w:numPr>
          <w:ilvl w:val="1"/>
          <w:numId w:val="0"/>
        </w:numPr>
        <w:spacing w:before="0" w:after="0" w:line="360" w:lineRule="auto"/>
        <w:rPr>
          <w:rFonts w:hint="eastAsia" w:ascii="宋体" w:hAnsi="宋体" w:eastAsia="宋体" w:cs="宋体"/>
          <w:sz w:val="21"/>
          <w:szCs w:val="21"/>
        </w:rPr>
      </w:pPr>
      <w:bookmarkStart w:id="1516" w:name="_Toc30660"/>
      <w:bookmarkStart w:id="1517" w:name="_Toc17599"/>
      <w:bookmarkStart w:id="1518" w:name="_Toc54874744"/>
      <w:r>
        <w:rPr>
          <w:rFonts w:hint="eastAsia" w:ascii="宋体" w:hAnsi="宋体" w:eastAsia="宋体" w:cs="宋体"/>
          <w:sz w:val="21"/>
          <w:szCs w:val="21"/>
        </w:rPr>
        <w:t>五、施工安装技术要求</w:t>
      </w:r>
      <w:bookmarkEnd w:id="1516"/>
      <w:bookmarkEnd w:id="1517"/>
      <w:bookmarkEnd w:id="1518"/>
    </w:p>
    <w:p>
      <w:pPr>
        <w:spacing w:line="360" w:lineRule="auto"/>
        <w:ind w:firstLine="643"/>
        <w:rPr>
          <w:rFonts w:hint="eastAsia" w:ascii="宋体" w:hAnsi="宋体" w:eastAsia="宋体" w:cs="宋体"/>
          <w:b/>
          <w:bCs/>
          <w:szCs w:val="21"/>
        </w:rPr>
      </w:pPr>
      <w:r>
        <w:rPr>
          <w:rFonts w:hint="eastAsia" w:ascii="宋体" w:hAnsi="宋体" w:eastAsia="宋体" w:cs="宋体"/>
          <w:b/>
          <w:bCs/>
          <w:szCs w:val="21"/>
        </w:rPr>
        <w:t>5.1参照标准</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应急预案：南通轨道交通集团有限公司运营分公司运营突发事件应急处置综合预案及各专项应急预案、现场处置方案；</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施工管理：南通轨道交通集团有限公司运营分公司企业标准《行车组织规则》、《场段运作规程》、《维修施工管理规则》等相关文件；</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安全规则：南通轨道交通集团有限公司运营分公司企业标准《接触网安全规则》、《工务安全规则》等相关文件；</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管理办法：南通轨道交通集团有限公司运营分公司企业标准《安全生产管理办法》、《外单位施工管理办法》、《密闭空间作业安全管理办法》等相关文件。</w:t>
      </w:r>
    </w:p>
    <w:p>
      <w:pPr>
        <w:spacing w:line="360" w:lineRule="auto"/>
        <w:ind w:firstLine="643"/>
        <w:rPr>
          <w:rFonts w:hint="eastAsia" w:ascii="宋体" w:hAnsi="宋体" w:eastAsia="宋体" w:cs="宋体"/>
          <w:b/>
          <w:bCs/>
          <w:szCs w:val="21"/>
        </w:rPr>
      </w:pPr>
      <w:r>
        <w:rPr>
          <w:rFonts w:hint="eastAsia" w:ascii="宋体" w:hAnsi="宋体" w:eastAsia="宋体" w:cs="宋体"/>
          <w:b/>
          <w:bCs/>
          <w:szCs w:val="21"/>
        </w:rPr>
        <w:t>5.2施工安装基本要求</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本项目是在既有运营线路上进行施工，因此中标人应保证施工作业全过程都按照招标人发布的管理规定的要求进行相关施工作业，包括施工计划、施工安全要求、施工管理考核等方面的内容。</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现场安装须充分考虑现场条件，中标人针对本项目的总体情况，为本项目提供系统、设备、材料、工器具、安装施工及其它相应的所有服务。</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中标人所选择并提供的设备应完全符合招标人的要求，并在投标文件中详细描述其所供系统、设备、材料的规格、型号、数量、参数等。</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中标人所提供的设备、材料的计划和方案应报送招标人备案，并应得到招标人的认可方可实施。</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实施过程包括但不限于可视化接地装置、站级可视化监控主机的安装、设备安装配置等。</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中标人所提供的设备及材料必须满足和适应本项目的现场条件，任何对现场条件的特殊要求和不合理的修改建议，招标人将有权予以否决。</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中标人所提供的设备、材料须满足在本项目的现场条件下达到本合同中的系统功能、设备性能要求。</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中标人保证本项目的技术服务质量，并按招标人规定的项目进度完成各阶段的工作，服从招标人对整个项目实施的管理和协调。</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在招标人的协调下，中标人在本项目实施过程中负责和相关系统及相关专业进行与施工安装接口相关工作的协调及配合。</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在设备安装、配合调试等项目实施过程中，如因中标人原因造成安全事故，中标人须承担全部责任和后果。</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设备及材料到达目的地后，中标人应与相关各方一起根据运单和装箱单对货物的包装、外观、件数、规格、型号等进行清点检验。如发现有任何不符之处，由中标人自行负责并妥善处理。</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现场检验时，如发现设备有任何损坏、缺陷、短少或不符合合同中规定的质量标准和规范时，由中标人无条件予以补齐、更换直至满足质量标准，符合招标人要求。</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项目涉及的安装服务包括提供系统、设备（设备主体、软件、设备附件、各种辅助材料（含缆线等）、安装及调试工器具等、安装基础、支撑架及附件、技术文件（含技术资料）、其它服务（运输和仓储、安装、测试、试运行、系统维护和技术支持、质量保证期服务、本合同中所描述的其它类似义务及工作）。</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在合同签订后，中标人应了解现场的各种现场情况，落实可视化接地装置的安装预留条件，以确保设备的安装符合现场条件。中标人需按招标人《外单位施工管理办法》的要求签订施工安全协议，并缴纳施工安全保证金。变电所电缆层为密闭场所，中标人施工时需严格按照《密闭空间作业安全管理办法》等相关制度和文件进行。</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本工程实施是在既有线路上进行，施工管理全过程纳入运营公司的施工管理，中标人应服从招标人的协调与管理，遵照南通轨道交通集团有限公司运营公司的相关要求进行施工安装工作。</w:t>
      </w:r>
    </w:p>
    <w:p>
      <w:pPr>
        <w:spacing w:line="360" w:lineRule="auto"/>
        <w:ind w:firstLine="643"/>
        <w:rPr>
          <w:rFonts w:hint="eastAsia" w:ascii="宋体" w:hAnsi="宋体" w:eastAsia="宋体" w:cs="宋体"/>
          <w:b/>
          <w:bCs/>
          <w:szCs w:val="21"/>
        </w:rPr>
      </w:pPr>
      <w:r>
        <w:rPr>
          <w:rFonts w:hint="eastAsia" w:ascii="宋体" w:hAnsi="宋体" w:eastAsia="宋体" w:cs="宋体"/>
          <w:b/>
          <w:bCs/>
          <w:szCs w:val="21"/>
        </w:rPr>
        <w:t>5.3设备安装管理</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中标人应综合现场既有设备的情况，制定施工步骤方法、工艺，在满足功能要求、质量要求、既有设备保护要求的前提下，采取合理步骤和措施，保证现场现有设备设施的安全及完整，不对日常运营造成影响。</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施工方法及顺序需要修改时，须得招标人批准，同意后才可作出变更。</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中标人须清除和搬走在施工过程中所产生的垃圾，并搬离施工现场，不能有任何垃圾杂物堆积。须遵守丢弃、处理垃圾的有关条例规定，如果出现违反有关管理条例的情况，自行承担相关责任。</w:t>
      </w:r>
    </w:p>
    <w:p>
      <w:pPr>
        <w:spacing w:line="360" w:lineRule="auto"/>
        <w:ind w:firstLine="643"/>
        <w:rPr>
          <w:rFonts w:hint="eastAsia" w:ascii="宋体" w:hAnsi="宋体" w:eastAsia="宋体" w:cs="宋体"/>
          <w:b/>
          <w:bCs/>
          <w:szCs w:val="21"/>
        </w:rPr>
      </w:pPr>
      <w:r>
        <w:rPr>
          <w:rFonts w:hint="eastAsia" w:ascii="宋体" w:hAnsi="宋体" w:eastAsia="宋体" w:cs="宋体"/>
          <w:b/>
          <w:bCs/>
          <w:szCs w:val="21"/>
        </w:rPr>
        <w:t>5.4施工技术要求</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5.4.1配线一般要求：</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配线应符合现场要求，线条中间不得有接头或绝缘破损，配线电缆排列整齐，剥切时不得损伤线芯及绝缘，线把捆扎整齐，到位准确。</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5.4.2接线应符合下列要求：</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接线必须牢固，不得有脱落、断股现象；接线端子应套塑料软管，软管长度应一致，不得有线头裸露；压接配线应满足相应的工艺要求。</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本次工程中线缆、辅材由中标方负责提供，施工工艺按照运营公司要求实施。</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5.4.3通信线缆基本技术规格要求：</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本项目中所用到的通信线缆由中标人根据系统构成需要进行相应配置。</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所用通信线缆的规格均符合相关的标准、规范，经国家电线电缆质量监督检验中心或铁道部产品质量监督检验中心测试合格，绝缘护套均应采用低烟、无卤、阻燃的材料。</w:t>
      </w:r>
    </w:p>
    <w:p>
      <w:pPr>
        <w:pStyle w:val="3"/>
        <w:numPr>
          <w:ilvl w:val="1"/>
          <w:numId w:val="0"/>
        </w:numPr>
        <w:spacing w:before="0" w:after="0" w:line="360" w:lineRule="auto"/>
        <w:rPr>
          <w:rFonts w:hint="eastAsia" w:ascii="宋体" w:hAnsi="宋体" w:eastAsia="宋体" w:cs="宋体"/>
          <w:sz w:val="21"/>
          <w:szCs w:val="21"/>
        </w:rPr>
      </w:pPr>
      <w:bookmarkStart w:id="1519" w:name="_Toc29386"/>
      <w:bookmarkStart w:id="1520" w:name="_Toc54874746"/>
      <w:bookmarkStart w:id="1521" w:name="_Toc6211"/>
      <w:r>
        <w:rPr>
          <w:rFonts w:hint="eastAsia" w:ascii="宋体" w:hAnsi="宋体" w:eastAsia="宋体" w:cs="宋体"/>
          <w:sz w:val="21"/>
          <w:szCs w:val="21"/>
        </w:rPr>
        <w:t>六、质保期</w:t>
      </w:r>
      <w:bookmarkEnd w:id="1519"/>
      <w:bookmarkEnd w:id="1520"/>
      <w:bookmarkEnd w:id="1521"/>
    </w:p>
    <w:p>
      <w:pPr>
        <w:spacing w:line="360" w:lineRule="auto"/>
        <w:ind w:firstLine="643"/>
        <w:rPr>
          <w:rFonts w:hint="eastAsia" w:ascii="宋体" w:hAnsi="宋体" w:eastAsia="宋体" w:cs="宋体"/>
          <w:b/>
          <w:bCs/>
          <w:szCs w:val="21"/>
        </w:rPr>
      </w:pPr>
      <w:r>
        <w:rPr>
          <w:rFonts w:hint="eastAsia" w:ascii="宋体" w:hAnsi="宋体" w:eastAsia="宋体" w:cs="宋体"/>
          <w:b/>
          <w:bCs/>
          <w:szCs w:val="21"/>
        </w:rPr>
        <w:t>6.1一般要求</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自最终验收合格后签发最终验收证书之日起，可视化接地装置开始进入质量保证期阶段，本项目的质量保证期为24个月。</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可视化接地装置应不受设计、材料、零部件和工艺方面缺陷的影响，并且满足合同中规定的功能要求；保修费用已包含在合同总价中。</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在质量保证期内，中标人应派遣资深技术人员在本项目的现场跟踪所提供系统的运行性能。需要时，应设计并执行修改，以保证在正常维护条件下完成规定的服务。中标人应在投标文件中说明保证期内的保证措施、人员配备情况、备品备件情况、人员服务地点等。</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在质量保证期届满后，中标人应根据其它合约提供售后维护支持服务，针对招标人每次技术支持请求，中标人应承诺在24小时内给予回应并完全解决，针对部分需返厂维修的设备及器件，中标人应在约定的时间内给予完成，具体时间另行约定；招标人需中标人提供现场技术支持时，中标人须按照招标人约定的时间派员到达现场，实施技术支持，中标人派遣现场的工程技术人员到达现场后，应在规定的时间内解决招标人遇到的技术问题。</w:t>
      </w:r>
    </w:p>
    <w:p>
      <w:pPr>
        <w:spacing w:line="360" w:lineRule="auto"/>
        <w:ind w:firstLine="643"/>
        <w:rPr>
          <w:rFonts w:hint="eastAsia" w:ascii="宋体" w:hAnsi="宋体" w:eastAsia="宋体" w:cs="宋体"/>
          <w:b/>
          <w:bCs/>
          <w:szCs w:val="21"/>
        </w:rPr>
      </w:pPr>
      <w:r>
        <w:rPr>
          <w:rFonts w:hint="eastAsia" w:ascii="宋体" w:hAnsi="宋体" w:eastAsia="宋体" w:cs="宋体"/>
          <w:b/>
          <w:bCs/>
          <w:szCs w:val="21"/>
        </w:rPr>
        <w:t>6.2质量保证的内容及义务</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6.2.1在质量保证期内，如果系统设备发生的故障源于下列原材料质量问题，中标人应用令人满意的零部件来替换相同功能的全部零部件，且费用由中标人负担。</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（1）材料质量问题；</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（2）零部件设计和生产中出现的严重缺陷；</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（3）对某些零部件（最小可更换单元）的更换和修理超过同类产品在同类型号零部件中的更换率。中标人应在投标文件中注明各种零部件的更换率。</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6.2.2质量保证期内的义务包括对有缺陷零部件进行调查研究、拆卸、更换和重新安装。</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6.2.3如果在质保期内出现软件故障时，中标人应查清故障原因并进行软件更换。</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6.2.4在质量保证期内对系统缺陷的纠正及更换只能在非运营时段进行，中标人应对其作出周密的修改施工方案和计划，系统修改后应做必要的安全试验，确保在非运营时段内完成修改及试验，保证系统的安全运营。</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6.2.5中标人应对质量保证期内因修改系统设备引起的安全和效率问题负全责。</w:t>
      </w:r>
      <w:bookmarkStart w:id="1522" w:name="_Toc54874747"/>
    </w:p>
    <w:p>
      <w:pPr>
        <w:pStyle w:val="3"/>
        <w:numPr>
          <w:ilvl w:val="1"/>
          <w:numId w:val="0"/>
        </w:numPr>
        <w:spacing w:before="0" w:after="0" w:line="360" w:lineRule="auto"/>
        <w:rPr>
          <w:rFonts w:hint="eastAsia" w:ascii="宋体" w:hAnsi="宋体" w:eastAsia="宋体" w:cs="宋体"/>
          <w:sz w:val="21"/>
          <w:szCs w:val="21"/>
        </w:rPr>
      </w:pPr>
      <w:bookmarkStart w:id="1523" w:name="_Toc758"/>
      <w:bookmarkStart w:id="1524" w:name="_Toc14841"/>
      <w:r>
        <w:rPr>
          <w:rFonts w:hint="eastAsia" w:ascii="宋体" w:hAnsi="宋体" w:eastAsia="宋体" w:cs="宋体"/>
          <w:sz w:val="21"/>
          <w:szCs w:val="21"/>
        </w:rPr>
        <w:t>七、项目培训</w:t>
      </w:r>
      <w:bookmarkEnd w:id="1523"/>
      <w:bookmarkEnd w:id="1524"/>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中标人应在工程实施过程中指派专人负责组织、计划和实施培训工作，并于各阶段培训开始之前提供详细的培训计划及培训教材。为达到培训目的，投标人的培训计划建议表中应包括但不限于下列内容。</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（1）总体概念</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1）了解、掌握系统的基本概念、原理、功能。</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2）了解、掌握系统的配置。</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3）了解、掌握系统与其他系统的接口。</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4）了解、掌握有关规程、规范。</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（2）设备、材料和电气元件</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1）了解主要设备、材料和电气元件的性能和功能。</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2）掌握主要设备操作过程。</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（3）维护</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1）供电系统维护标准、技术参数。</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2）供电系统维护基本操作及相关注意事项。</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3）维护工具的使用。</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4）提供一套标准的供电系统维护工具。</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5）提供可供参考的维护模式及维护周期。</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6）各设备单元的更换。</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（4）故障检测</w:t>
      </w:r>
    </w:p>
    <w:p>
      <w:pPr>
        <w:spacing w:line="360" w:lineRule="auto"/>
        <w:ind w:firstLine="480"/>
        <w:rPr>
          <w:rFonts w:hint="eastAsia" w:ascii="宋体" w:hAnsi="宋体" w:eastAsia="宋体" w:cs="宋体"/>
          <w:szCs w:val="21"/>
        </w:rPr>
      </w:pPr>
      <w:r>
        <w:rPr>
          <w:rFonts w:hint="eastAsia" w:ascii="宋体" w:hAnsi="宋体" w:eastAsia="宋体" w:cs="宋体"/>
          <w:kern w:val="2"/>
          <w:szCs w:val="21"/>
        </w:rPr>
        <w:t>各类故障识别、分析及排除。</w:t>
      </w:r>
    </w:p>
    <w:p>
      <w:pPr>
        <w:pStyle w:val="3"/>
        <w:numPr>
          <w:ilvl w:val="1"/>
          <w:numId w:val="0"/>
        </w:numPr>
        <w:spacing w:before="0" w:after="0" w:line="360" w:lineRule="auto"/>
        <w:rPr>
          <w:rFonts w:hint="eastAsia" w:ascii="宋体" w:hAnsi="宋体" w:eastAsia="宋体" w:cs="宋体"/>
          <w:sz w:val="21"/>
          <w:szCs w:val="21"/>
        </w:rPr>
      </w:pPr>
      <w:bookmarkStart w:id="1525" w:name="_Toc3397"/>
      <w:bookmarkStart w:id="1526" w:name="_Toc20133"/>
      <w:r>
        <w:rPr>
          <w:rFonts w:hint="eastAsia" w:ascii="宋体" w:hAnsi="宋体" w:eastAsia="宋体" w:cs="宋体"/>
          <w:sz w:val="21"/>
          <w:szCs w:val="21"/>
        </w:rPr>
        <w:t>八、项目验收</w:t>
      </w:r>
      <w:bookmarkEnd w:id="1522"/>
      <w:bookmarkEnd w:id="1525"/>
      <w:bookmarkEnd w:id="1526"/>
    </w:p>
    <w:p>
      <w:pPr>
        <w:spacing w:line="360" w:lineRule="auto"/>
        <w:ind w:firstLine="643"/>
        <w:rPr>
          <w:rFonts w:hint="eastAsia" w:ascii="宋体" w:hAnsi="宋体" w:eastAsia="宋体" w:cs="宋体"/>
          <w:b/>
          <w:bCs/>
          <w:szCs w:val="21"/>
        </w:rPr>
      </w:pPr>
      <w:r>
        <w:rPr>
          <w:rFonts w:hint="eastAsia" w:ascii="宋体" w:hAnsi="宋体" w:eastAsia="宋体" w:cs="宋体"/>
          <w:b/>
          <w:bCs/>
          <w:szCs w:val="21"/>
        </w:rPr>
        <w:t>8.1本项目验收标准</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单体调试及联合调试</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（1）调试由投标人按照程序进行，用以验证设备运输、安装之后是否有损坏、运行是否正常，调试应包含系统所有设备及招标要求的所有功能。</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（2）投标人必须在监理的组织和监督下，按期进行现场调试工作。</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（3）投标人必须负责确认现场试验的方法和结果。并负责解决可能出现的问题和承担相应的损失。</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4）投标人负责现场调试的实施，并应按照招标人的总工期要求，提出调试内容、调试计划和现场单体调试大纲。投标人按照招标人批准的单体调试大纲进行单体调试工作。现场调试包括但不限于以下试验内容：</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通电试验，检验设备是否在工作状态；</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单体试验：针对单个设备的检验，检查其功能。</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系统调试：针对整个可视化系统的整体调试，至少应包括：功能、操作、性能、接口信号等，以使系统功能满足要求。</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投标人需积极配合其他单位和部门做好设备调试与接口配合工作。</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fldChar w:fldCharType="begin"/>
      </w:r>
      <w:r>
        <w:rPr>
          <w:rFonts w:hint="eastAsia" w:ascii="宋体" w:hAnsi="宋体" w:eastAsia="宋体" w:cs="宋体"/>
          <w:kern w:val="2"/>
          <w:szCs w:val="21"/>
        </w:rPr>
        <w:instrText xml:space="preserve"> HYPERLINK \l "_Toc254684819" </w:instrText>
      </w:r>
      <w:r>
        <w:rPr>
          <w:rFonts w:hint="eastAsia" w:ascii="宋体" w:hAnsi="宋体" w:eastAsia="宋体" w:cs="宋体"/>
          <w:kern w:val="2"/>
          <w:szCs w:val="21"/>
        </w:rPr>
        <w:fldChar w:fldCharType="separate"/>
      </w:r>
      <w:bookmarkStart w:id="1527" w:name="_Toc264548024"/>
      <w:r>
        <w:rPr>
          <w:rFonts w:hint="eastAsia" w:ascii="宋体" w:hAnsi="宋体" w:eastAsia="宋体" w:cs="宋体"/>
          <w:kern w:val="2"/>
          <w:szCs w:val="21"/>
        </w:rPr>
        <w:t>调试结果报告</w:t>
      </w:r>
      <w:bookmarkEnd w:id="1527"/>
      <w:r>
        <w:rPr>
          <w:rFonts w:hint="eastAsia" w:ascii="宋体" w:hAnsi="宋体" w:eastAsia="宋体" w:cs="宋体"/>
          <w:kern w:val="2"/>
          <w:szCs w:val="21"/>
        </w:rPr>
        <w:fldChar w:fldCharType="end"/>
      </w:r>
      <w:r>
        <w:rPr>
          <w:rFonts w:hint="eastAsia" w:ascii="宋体" w:hAnsi="宋体" w:eastAsia="宋体" w:cs="宋体"/>
          <w:kern w:val="2"/>
          <w:szCs w:val="21"/>
        </w:rPr>
        <w:t>：单调的调试结果报告应由投标人签章。</w:t>
      </w:r>
    </w:p>
    <w:p>
      <w:pPr>
        <w:spacing w:line="360" w:lineRule="auto"/>
        <w:ind w:firstLine="643"/>
        <w:rPr>
          <w:rFonts w:hint="eastAsia" w:ascii="宋体" w:hAnsi="宋体" w:eastAsia="宋体" w:cs="宋体"/>
          <w:b/>
          <w:bCs/>
          <w:szCs w:val="21"/>
        </w:rPr>
      </w:pPr>
      <w:r>
        <w:rPr>
          <w:rFonts w:hint="eastAsia" w:ascii="宋体" w:hAnsi="宋体" w:eastAsia="宋体" w:cs="宋体"/>
          <w:b/>
          <w:bCs/>
          <w:szCs w:val="21"/>
        </w:rPr>
        <w:t>8.2项目验收要求</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根据运营公司的相关条款，开展项目的验收工作，在合同执行期招标人新增或修订相关制度，招标人、中标人双方按最新制度执行。</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对于验收不达标，中标人应对招标人提出的质量要求进行进一步整改及调试，以完善设备性能。系统/设备试验结束时，当系统/设备出现不能满足质量要求的情况，通过整改仍达不到要求时，将视为竣工验收不合格。</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竣工验收由招标人组织、中标人参加，由中标人按验收标准进行设备运行试验及测试，设备验收所需的所有工具、仪器由中标人负责。</w:t>
      </w:r>
      <w:bookmarkEnd w:id="1507"/>
    </w:p>
    <w:p>
      <w:pPr>
        <w:spacing w:line="360" w:lineRule="auto"/>
        <w:ind w:firstLine="480"/>
        <w:rPr>
          <w:rFonts w:hint="eastAsia" w:ascii="宋体" w:hAnsi="宋体" w:eastAsia="宋体" w:cs="宋体"/>
          <w:sz w:val="22"/>
        </w:rPr>
      </w:pPr>
      <w:r>
        <w:rPr>
          <w:rFonts w:hint="eastAsia" w:ascii="宋体" w:hAnsi="宋体" w:eastAsia="宋体" w:cs="宋体"/>
          <w:kern w:val="2"/>
          <w:szCs w:val="21"/>
        </w:rPr>
        <w:br w:type="page"/>
      </w:r>
    </w:p>
    <w:p>
      <w:pPr>
        <w:rPr>
          <w:sz w:val="20"/>
          <w:szCs w:val="20"/>
        </w:rPr>
      </w:pPr>
    </w:p>
    <w:p>
      <w:pPr>
        <w:spacing w:line="9" w:lineRule="exact"/>
        <w:rPr>
          <w:sz w:val="20"/>
          <w:szCs w:val="20"/>
        </w:rPr>
      </w:pPr>
      <w:bookmarkStart w:id="1528" w:name="page76"/>
      <w:bookmarkEnd w:id="1528"/>
    </w:p>
    <w:p>
      <w:pPr>
        <w:pStyle w:val="2"/>
        <w:numPr>
          <w:ilvl w:val="0"/>
          <w:numId w:val="2"/>
        </w:numPr>
        <w:tabs>
          <w:tab w:val="left" w:pos="1701"/>
        </w:tabs>
        <w:ind w:left="0" w:firstLine="0"/>
      </w:pPr>
      <w:bookmarkStart w:id="1529" w:name="_Toc25095"/>
      <w:bookmarkStart w:id="1530" w:name="_Toc598"/>
      <w:bookmarkStart w:id="1531" w:name="_Toc27918"/>
      <w:bookmarkStart w:id="1532" w:name="_Toc5325"/>
      <w:bookmarkStart w:id="1533" w:name="_Toc19420"/>
      <w:bookmarkStart w:id="1534" w:name="_Toc17796"/>
      <w:bookmarkStart w:id="1535" w:name="_Toc29811"/>
      <w:bookmarkStart w:id="1536" w:name="_Toc25494"/>
      <w:bookmarkStart w:id="1537" w:name="_Toc15991"/>
      <w:bookmarkStart w:id="1538" w:name="_Toc7685"/>
      <w:bookmarkStart w:id="1539" w:name="_Toc14130"/>
      <w:bookmarkStart w:id="1540" w:name="_Toc17815"/>
      <w:bookmarkStart w:id="1541" w:name="_Toc18179"/>
      <w:bookmarkStart w:id="1542" w:name="_Toc654"/>
      <w:bookmarkStart w:id="1543" w:name="_Toc514430466"/>
      <w:r>
        <w:t>投标文件格式</w:t>
      </w:r>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p>
    <w:p>
      <w:pPr>
        <w:rPr>
          <w:rFonts w:eastAsia="宋体"/>
        </w:rPr>
      </w:pPr>
      <w:bookmarkStart w:id="1544" w:name="_Toc384840725"/>
      <w:bookmarkStart w:id="1545" w:name="_Toc455145946"/>
      <w:bookmarkStart w:id="1546" w:name="_Toc459729768"/>
      <w:bookmarkStart w:id="1547" w:name="_Toc388189051"/>
      <w:bookmarkStart w:id="1548" w:name="_Toc467764289"/>
      <w:r>
        <w:rPr>
          <w:rFonts w:eastAsia="宋体"/>
        </w:rPr>
        <w:t>封面格式</w:t>
      </w:r>
      <w:bookmarkEnd w:id="1544"/>
      <w:bookmarkEnd w:id="1545"/>
      <w:bookmarkEnd w:id="1546"/>
      <w:bookmarkEnd w:id="1547"/>
      <w:bookmarkEnd w:id="1548"/>
    </w:p>
    <w:p>
      <w:pPr>
        <w:jc w:val="center"/>
        <w:rPr>
          <w:rFonts w:eastAsia="宋体"/>
          <w:sz w:val="44"/>
          <w:szCs w:val="44"/>
        </w:rPr>
      </w:pPr>
    </w:p>
    <w:p>
      <w:pPr>
        <w:tabs>
          <w:tab w:val="left" w:pos="6100"/>
        </w:tabs>
        <w:spacing w:line="360" w:lineRule="auto"/>
        <w:jc w:val="center"/>
        <w:rPr>
          <w:rFonts w:hint="eastAsia" w:ascii="黑体" w:hAnsi="黑体" w:eastAsia="黑体"/>
          <w:b/>
          <w:sz w:val="44"/>
          <w:szCs w:val="44"/>
        </w:rPr>
      </w:pPr>
      <w:r>
        <w:rPr>
          <w:rFonts w:hint="eastAsia" w:ascii="黑体" w:hAnsi="黑体" w:eastAsia="黑体"/>
          <w:b/>
          <w:sz w:val="44"/>
          <w:szCs w:val="44"/>
        </w:rPr>
        <w:t>南通轨道交通集团有限公司运营分公司2024年1、2号线接触网车辆段增设可视化接地装置采购项目</w:t>
      </w:r>
    </w:p>
    <w:p>
      <w:pPr>
        <w:pStyle w:val="57"/>
        <w:ind w:left="1063" w:hanging="643"/>
      </w:pPr>
    </w:p>
    <w:p>
      <w:pPr>
        <w:tabs>
          <w:tab w:val="left" w:pos="6100"/>
        </w:tabs>
        <w:spacing w:line="360" w:lineRule="auto"/>
        <w:jc w:val="center"/>
        <w:rPr>
          <w:rFonts w:hint="eastAsia" w:eastAsia="宋体"/>
          <w:sz w:val="20"/>
          <w:szCs w:val="20"/>
        </w:rPr>
      </w:pPr>
      <w:r>
        <w:rPr>
          <w:rFonts w:eastAsia="宋体"/>
          <w:sz w:val="28"/>
          <w:szCs w:val="28"/>
        </w:rPr>
        <w:t>招标编号：</w:t>
      </w:r>
      <w:r>
        <w:rPr>
          <w:rFonts w:hint="eastAsia" w:eastAsia="宋体"/>
          <w:sz w:val="28"/>
          <w:szCs w:val="28"/>
        </w:rPr>
        <w:t>NTGY-2024-HW-ZB-002</w:t>
      </w:r>
    </w:p>
    <w:p>
      <w:pPr>
        <w:jc w:val="center"/>
        <w:rPr>
          <w:rFonts w:eastAsia="宋体"/>
          <w:sz w:val="44"/>
          <w:szCs w:val="44"/>
        </w:rPr>
      </w:pPr>
    </w:p>
    <w:p>
      <w:pPr>
        <w:jc w:val="center"/>
        <w:rPr>
          <w:rFonts w:eastAsia="宋体"/>
          <w:sz w:val="44"/>
          <w:szCs w:val="44"/>
        </w:rPr>
      </w:pPr>
    </w:p>
    <w:p>
      <w:pPr>
        <w:jc w:val="center"/>
        <w:rPr>
          <w:rFonts w:eastAsia="宋体"/>
          <w:b/>
          <w:sz w:val="84"/>
          <w:szCs w:val="72"/>
        </w:rPr>
      </w:pPr>
      <w:r>
        <w:rPr>
          <w:rFonts w:eastAsia="宋体"/>
          <w:b/>
          <w:sz w:val="84"/>
          <w:szCs w:val="72"/>
        </w:rPr>
        <w:t>投标文件</w:t>
      </w:r>
    </w:p>
    <w:p>
      <w:pPr>
        <w:jc w:val="center"/>
        <w:rPr>
          <w:rFonts w:eastAsia="宋体"/>
          <w:b/>
          <w:sz w:val="44"/>
          <w:szCs w:val="44"/>
        </w:rPr>
      </w:pPr>
      <w:r>
        <w:rPr>
          <w:rFonts w:eastAsia="宋体"/>
          <w:b/>
          <w:sz w:val="44"/>
          <w:szCs w:val="44"/>
        </w:rPr>
        <w:t>《</w:t>
      </w:r>
      <w:r>
        <w:rPr>
          <w:rFonts w:eastAsia="宋体"/>
          <w:b/>
          <w:sz w:val="44"/>
          <w:szCs w:val="44"/>
          <w:u w:val="single"/>
        </w:rPr>
        <w:t xml:space="preserve">                </w:t>
      </w:r>
      <w:r>
        <w:rPr>
          <w:rFonts w:eastAsia="宋体"/>
          <w:b/>
          <w:sz w:val="44"/>
          <w:szCs w:val="44"/>
        </w:rPr>
        <w:t>部分》</w:t>
      </w:r>
    </w:p>
    <w:p>
      <w:pPr>
        <w:jc w:val="center"/>
        <w:rPr>
          <w:rFonts w:eastAsia="宋体"/>
          <w:b/>
          <w:sz w:val="72"/>
          <w:szCs w:val="72"/>
        </w:rPr>
      </w:pPr>
    </w:p>
    <w:p>
      <w:pPr>
        <w:jc w:val="center"/>
        <w:rPr>
          <w:rFonts w:eastAsia="宋体"/>
          <w:b/>
          <w:sz w:val="72"/>
          <w:szCs w:val="72"/>
        </w:rPr>
      </w:pPr>
    </w:p>
    <w:p>
      <w:pPr>
        <w:jc w:val="center"/>
        <w:rPr>
          <w:rFonts w:eastAsia="宋体"/>
          <w:b/>
          <w:sz w:val="72"/>
          <w:szCs w:val="72"/>
        </w:rPr>
      </w:pPr>
    </w:p>
    <w:p>
      <w:pPr>
        <w:jc w:val="center"/>
        <w:rPr>
          <w:rFonts w:eastAsia="宋体"/>
          <w:b/>
          <w:sz w:val="72"/>
          <w:szCs w:val="72"/>
        </w:rPr>
      </w:pPr>
    </w:p>
    <w:p>
      <w:pPr>
        <w:tabs>
          <w:tab w:val="left" w:pos="6200"/>
        </w:tabs>
        <w:spacing w:line="360" w:lineRule="auto"/>
        <w:jc w:val="center"/>
        <w:rPr>
          <w:rFonts w:ascii="黑体" w:hAnsi="黑体" w:eastAsia="黑体"/>
          <w:sz w:val="32"/>
          <w:szCs w:val="32"/>
        </w:rPr>
      </w:pPr>
      <w:r>
        <w:rPr>
          <w:rFonts w:ascii="黑体" w:hAnsi="黑体" w:eastAsia="黑体"/>
          <w:sz w:val="32"/>
          <w:szCs w:val="32"/>
        </w:rPr>
        <w:t>投标人：</w:t>
      </w:r>
      <w:r>
        <w:rPr>
          <w:rFonts w:ascii="黑体" w:hAnsi="黑体" w:eastAsia="黑体"/>
          <w:sz w:val="32"/>
          <w:szCs w:val="32"/>
          <w:u w:val="single"/>
        </w:rPr>
        <w:t xml:space="preserve">               </w:t>
      </w:r>
      <w:r>
        <w:rPr>
          <w:rFonts w:ascii="黑体" w:hAnsi="黑体" w:eastAsia="黑体"/>
          <w:sz w:val="32"/>
          <w:szCs w:val="32"/>
        </w:rPr>
        <w:t>（全称、盖章）</w:t>
      </w:r>
    </w:p>
    <w:p>
      <w:pPr>
        <w:tabs>
          <w:tab w:val="left" w:pos="6200"/>
        </w:tabs>
        <w:spacing w:line="360" w:lineRule="auto"/>
        <w:jc w:val="center"/>
        <w:rPr>
          <w:rFonts w:ascii="黑体" w:hAnsi="黑体" w:eastAsia="黑体"/>
          <w:sz w:val="32"/>
          <w:szCs w:val="32"/>
        </w:rPr>
      </w:pPr>
      <w:r>
        <w:rPr>
          <w:rFonts w:ascii="黑体" w:hAnsi="黑体" w:eastAsia="黑体"/>
          <w:sz w:val="32"/>
          <w:szCs w:val="32"/>
        </w:rPr>
        <w:t>日  期：</w:t>
      </w:r>
      <w:r>
        <w:rPr>
          <w:rFonts w:ascii="黑体" w:hAnsi="黑体" w:eastAsia="黑体"/>
          <w:sz w:val="32"/>
          <w:szCs w:val="32"/>
          <w:u w:val="single"/>
        </w:rPr>
        <w:t xml:space="preserve">            </w:t>
      </w:r>
      <w:r>
        <w:rPr>
          <w:rFonts w:ascii="黑体" w:hAnsi="黑体" w:eastAsia="黑体"/>
          <w:sz w:val="32"/>
          <w:szCs w:val="32"/>
        </w:rPr>
        <w:t>年</w:t>
      </w:r>
      <w:r>
        <w:rPr>
          <w:rFonts w:ascii="黑体" w:hAnsi="黑体" w:eastAsia="黑体"/>
          <w:sz w:val="32"/>
          <w:szCs w:val="32"/>
          <w:u w:val="single"/>
        </w:rPr>
        <w:t xml:space="preserve">      </w:t>
      </w:r>
      <w:r>
        <w:rPr>
          <w:rFonts w:ascii="黑体" w:hAnsi="黑体" w:eastAsia="黑体"/>
          <w:sz w:val="32"/>
          <w:szCs w:val="32"/>
        </w:rPr>
        <w:t>月</w:t>
      </w:r>
      <w:r>
        <w:rPr>
          <w:rFonts w:ascii="黑体" w:hAnsi="黑体" w:eastAsia="黑体"/>
          <w:sz w:val="32"/>
          <w:szCs w:val="32"/>
          <w:u w:val="single"/>
        </w:rPr>
        <w:t xml:space="preserve">     </w:t>
      </w:r>
      <w:r>
        <w:rPr>
          <w:rFonts w:ascii="黑体" w:hAnsi="黑体" w:eastAsia="黑体"/>
          <w:sz w:val="32"/>
          <w:szCs w:val="32"/>
        </w:rPr>
        <w:t>日</w:t>
      </w:r>
    </w:p>
    <w:p>
      <w:pPr>
        <w:tabs>
          <w:tab w:val="left" w:pos="6200"/>
        </w:tabs>
        <w:spacing w:line="360" w:lineRule="auto"/>
        <w:jc w:val="center"/>
        <w:rPr>
          <w:rFonts w:eastAsia="宋体"/>
          <w:sz w:val="32"/>
          <w:szCs w:val="32"/>
        </w:rPr>
      </w:pPr>
      <w:r>
        <w:rPr>
          <w:rFonts w:eastAsia="宋体"/>
          <w:sz w:val="32"/>
          <w:szCs w:val="32"/>
        </w:rPr>
        <w:br w:type="page"/>
      </w:r>
    </w:p>
    <w:p>
      <w:pPr>
        <w:widowControl w:val="0"/>
        <w:jc w:val="center"/>
        <w:rPr>
          <w:rFonts w:eastAsia="宋体"/>
          <w:b/>
          <w:bCs/>
          <w:sz w:val="28"/>
          <w:szCs w:val="28"/>
        </w:rPr>
      </w:pPr>
      <w:bookmarkStart w:id="1549" w:name="page77"/>
      <w:bookmarkEnd w:id="1549"/>
      <w:r>
        <w:rPr>
          <w:rFonts w:eastAsia="宋体"/>
          <w:b/>
          <w:bCs/>
          <w:sz w:val="28"/>
          <w:szCs w:val="28"/>
        </w:rPr>
        <w:t>目 录</w:t>
      </w:r>
    </w:p>
    <w:p>
      <w:pPr>
        <w:spacing w:line="360" w:lineRule="auto"/>
        <w:ind w:firstLine="422" w:firstLineChars="200"/>
        <w:rPr>
          <w:rFonts w:eastAsia="宋体"/>
          <w:b/>
          <w:szCs w:val="21"/>
        </w:rPr>
      </w:pPr>
      <w:r>
        <w:rPr>
          <w:rFonts w:eastAsia="宋体"/>
          <w:b/>
          <w:szCs w:val="21"/>
        </w:rPr>
        <w:t>《商务（含资格审查）部分》册：</w:t>
      </w:r>
    </w:p>
    <w:p>
      <w:pPr>
        <w:spacing w:line="360" w:lineRule="auto"/>
        <w:ind w:firstLine="420" w:firstLineChars="200"/>
        <w:rPr>
          <w:rFonts w:eastAsia="宋体"/>
          <w:szCs w:val="21"/>
        </w:rPr>
      </w:pPr>
      <w:r>
        <w:rPr>
          <w:rFonts w:eastAsia="宋体"/>
          <w:szCs w:val="21"/>
        </w:rPr>
        <w:t>（1）投标函</w:t>
      </w:r>
    </w:p>
    <w:p>
      <w:pPr>
        <w:spacing w:line="360" w:lineRule="auto"/>
        <w:ind w:firstLine="420" w:firstLineChars="200"/>
        <w:rPr>
          <w:rFonts w:eastAsia="宋体"/>
          <w:szCs w:val="21"/>
        </w:rPr>
      </w:pPr>
      <w:r>
        <w:rPr>
          <w:rFonts w:eastAsia="宋体"/>
          <w:szCs w:val="21"/>
        </w:rPr>
        <w:t>（2）法定代表人（单位负责人）身份证明或授权委托书</w:t>
      </w:r>
    </w:p>
    <w:p>
      <w:pPr>
        <w:spacing w:line="360" w:lineRule="auto"/>
        <w:ind w:firstLine="420" w:firstLineChars="200"/>
        <w:rPr>
          <w:rFonts w:eastAsia="宋体"/>
          <w:szCs w:val="21"/>
        </w:rPr>
      </w:pPr>
      <w:r>
        <w:rPr>
          <w:rFonts w:eastAsia="宋体"/>
          <w:szCs w:val="21"/>
        </w:rPr>
        <w:t>（</w:t>
      </w:r>
      <w:r>
        <w:rPr>
          <w:rFonts w:hint="eastAsia" w:eastAsia="宋体"/>
          <w:szCs w:val="21"/>
        </w:rPr>
        <w:t>3</w:t>
      </w:r>
      <w:r>
        <w:rPr>
          <w:rFonts w:eastAsia="宋体"/>
          <w:szCs w:val="21"/>
        </w:rPr>
        <w:t>）商务和技术偏差表-商务偏差表</w:t>
      </w:r>
    </w:p>
    <w:p>
      <w:pPr>
        <w:spacing w:line="360" w:lineRule="auto"/>
        <w:ind w:firstLine="420" w:firstLineChars="200"/>
        <w:rPr>
          <w:rFonts w:eastAsia="宋体"/>
          <w:szCs w:val="21"/>
        </w:rPr>
      </w:pPr>
      <w:r>
        <w:rPr>
          <w:rFonts w:eastAsia="宋体"/>
          <w:szCs w:val="21"/>
        </w:rPr>
        <w:t>（</w:t>
      </w:r>
      <w:r>
        <w:rPr>
          <w:rFonts w:hint="eastAsia" w:eastAsia="宋体"/>
          <w:szCs w:val="21"/>
        </w:rPr>
        <w:t>4</w:t>
      </w:r>
      <w:r>
        <w:rPr>
          <w:rFonts w:eastAsia="宋体"/>
          <w:szCs w:val="21"/>
        </w:rPr>
        <w:t>）资格审查资料</w:t>
      </w:r>
    </w:p>
    <w:p>
      <w:pPr>
        <w:spacing w:line="360" w:lineRule="auto"/>
        <w:ind w:firstLine="420" w:firstLineChars="200"/>
        <w:rPr>
          <w:rFonts w:eastAsia="宋体"/>
          <w:szCs w:val="21"/>
        </w:rPr>
      </w:pPr>
      <w:r>
        <w:rPr>
          <w:rFonts w:eastAsia="宋体"/>
          <w:szCs w:val="21"/>
        </w:rPr>
        <w:t>（</w:t>
      </w:r>
      <w:r>
        <w:rPr>
          <w:rFonts w:hint="eastAsia" w:eastAsia="宋体"/>
          <w:szCs w:val="21"/>
        </w:rPr>
        <w:t>5</w:t>
      </w:r>
      <w:r>
        <w:rPr>
          <w:rFonts w:eastAsia="宋体"/>
          <w:szCs w:val="21"/>
        </w:rPr>
        <w:t xml:space="preserve">）其他资料 </w:t>
      </w:r>
    </w:p>
    <w:p>
      <w:pPr>
        <w:spacing w:line="360" w:lineRule="auto"/>
        <w:ind w:firstLine="422" w:firstLineChars="200"/>
        <w:rPr>
          <w:rFonts w:eastAsia="宋体"/>
          <w:b/>
          <w:szCs w:val="21"/>
        </w:rPr>
      </w:pPr>
      <w:r>
        <w:rPr>
          <w:rFonts w:eastAsia="宋体"/>
          <w:b/>
          <w:szCs w:val="21"/>
        </w:rPr>
        <w:t xml:space="preserve">《技术部分》册： </w:t>
      </w:r>
    </w:p>
    <w:p>
      <w:pPr>
        <w:numPr>
          <w:ilvl w:val="0"/>
          <w:numId w:val="13"/>
        </w:numPr>
        <w:spacing w:line="360" w:lineRule="auto"/>
        <w:ind w:firstLine="420" w:firstLineChars="200"/>
        <w:rPr>
          <w:rFonts w:eastAsia="宋体"/>
          <w:szCs w:val="21"/>
        </w:rPr>
      </w:pPr>
      <w:r>
        <w:rPr>
          <w:rFonts w:eastAsia="宋体"/>
          <w:szCs w:val="21"/>
        </w:rPr>
        <w:t>商务和技术偏差表-技术偏差表</w:t>
      </w:r>
    </w:p>
    <w:p>
      <w:pPr>
        <w:numPr>
          <w:ilvl w:val="0"/>
          <w:numId w:val="13"/>
        </w:numPr>
        <w:spacing w:line="360" w:lineRule="auto"/>
        <w:ind w:firstLine="420" w:firstLineChars="200"/>
        <w:rPr>
          <w:rFonts w:eastAsia="宋体"/>
          <w:szCs w:val="21"/>
        </w:rPr>
      </w:pPr>
      <w:r>
        <w:rPr>
          <w:rFonts w:hint="eastAsia" w:eastAsia="宋体"/>
          <w:szCs w:val="21"/>
        </w:rPr>
        <w:t>企业业绩</w:t>
      </w:r>
    </w:p>
    <w:p>
      <w:pPr>
        <w:numPr>
          <w:ilvl w:val="0"/>
          <w:numId w:val="13"/>
        </w:numPr>
        <w:spacing w:line="360" w:lineRule="auto"/>
        <w:ind w:firstLine="420" w:firstLineChars="200"/>
        <w:rPr>
          <w:rFonts w:eastAsia="宋体"/>
          <w:szCs w:val="21"/>
        </w:rPr>
      </w:pPr>
      <w:r>
        <w:rPr>
          <w:rFonts w:hint="eastAsia" w:eastAsia="宋体"/>
          <w:szCs w:val="21"/>
        </w:rPr>
        <w:t>项目负责人业绩</w:t>
      </w:r>
    </w:p>
    <w:p>
      <w:pPr>
        <w:spacing w:line="360" w:lineRule="auto"/>
        <w:ind w:firstLine="420" w:firstLineChars="200"/>
        <w:rPr>
          <w:rFonts w:eastAsia="宋体"/>
          <w:szCs w:val="21"/>
        </w:rPr>
      </w:pPr>
      <w:r>
        <w:rPr>
          <w:rFonts w:eastAsia="宋体"/>
          <w:szCs w:val="21"/>
        </w:rPr>
        <w:t>（</w:t>
      </w:r>
      <w:r>
        <w:rPr>
          <w:rFonts w:hint="eastAsia" w:eastAsia="宋体"/>
          <w:szCs w:val="21"/>
        </w:rPr>
        <w:t>4</w:t>
      </w:r>
      <w:r>
        <w:rPr>
          <w:rFonts w:eastAsia="宋体"/>
          <w:szCs w:val="21"/>
        </w:rPr>
        <w:t>）</w:t>
      </w:r>
      <w:r>
        <w:rPr>
          <w:rFonts w:hint="eastAsia" w:eastAsia="宋体"/>
          <w:szCs w:val="21"/>
        </w:rPr>
        <w:t>可视化加装技术方案</w:t>
      </w:r>
    </w:p>
    <w:p>
      <w:pPr>
        <w:spacing w:line="360" w:lineRule="auto"/>
        <w:ind w:firstLine="420" w:firstLineChars="200"/>
        <w:rPr>
          <w:rFonts w:eastAsia="宋体"/>
          <w:szCs w:val="21"/>
        </w:rPr>
      </w:pPr>
      <w:r>
        <w:rPr>
          <w:rFonts w:eastAsia="宋体"/>
          <w:szCs w:val="21"/>
        </w:rPr>
        <w:t>（</w:t>
      </w:r>
      <w:r>
        <w:rPr>
          <w:rFonts w:hint="eastAsia" w:eastAsia="宋体"/>
          <w:szCs w:val="21"/>
        </w:rPr>
        <w:t>5</w:t>
      </w:r>
      <w:r>
        <w:rPr>
          <w:rFonts w:eastAsia="宋体"/>
          <w:szCs w:val="21"/>
        </w:rPr>
        <w:t>）</w:t>
      </w:r>
      <w:r>
        <w:rPr>
          <w:rFonts w:hint="eastAsia" w:eastAsia="宋体"/>
          <w:szCs w:val="21"/>
        </w:rPr>
        <w:t>安全文明保障措施</w:t>
      </w:r>
    </w:p>
    <w:p>
      <w:pPr>
        <w:spacing w:line="360" w:lineRule="auto"/>
        <w:ind w:firstLine="420" w:firstLineChars="200"/>
        <w:rPr>
          <w:rFonts w:eastAsia="宋体"/>
          <w:szCs w:val="21"/>
        </w:rPr>
      </w:pPr>
      <w:r>
        <w:rPr>
          <w:rFonts w:eastAsia="宋体"/>
          <w:szCs w:val="21"/>
        </w:rPr>
        <w:t>（</w:t>
      </w:r>
      <w:r>
        <w:rPr>
          <w:rFonts w:hint="eastAsia" w:eastAsia="宋体"/>
          <w:szCs w:val="21"/>
        </w:rPr>
        <w:t>6</w:t>
      </w:r>
      <w:r>
        <w:rPr>
          <w:rFonts w:eastAsia="宋体"/>
          <w:szCs w:val="21"/>
        </w:rPr>
        <w:t>）</w:t>
      </w:r>
      <w:r>
        <w:rPr>
          <w:rFonts w:hint="eastAsia" w:eastAsia="宋体"/>
          <w:szCs w:val="21"/>
        </w:rPr>
        <w:t>资源投入</w:t>
      </w:r>
    </w:p>
    <w:p>
      <w:pPr>
        <w:spacing w:line="360" w:lineRule="auto"/>
        <w:ind w:firstLine="422" w:firstLineChars="200"/>
        <w:rPr>
          <w:rFonts w:eastAsia="宋体"/>
          <w:b/>
          <w:szCs w:val="21"/>
        </w:rPr>
      </w:pPr>
      <w:r>
        <w:rPr>
          <w:rFonts w:eastAsia="宋体"/>
          <w:b/>
          <w:szCs w:val="21"/>
        </w:rPr>
        <w:t xml:space="preserve">《报价部分》册： </w:t>
      </w:r>
    </w:p>
    <w:p>
      <w:pPr>
        <w:spacing w:line="360" w:lineRule="auto"/>
        <w:ind w:firstLine="420" w:firstLineChars="200"/>
        <w:rPr>
          <w:rFonts w:eastAsia="宋体"/>
          <w:szCs w:val="21"/>
        </w:rPr>
      </w:pPr>
      <w:r>
        <w:rPr>
          <w:rFonts w:eastAsia="宋体"/>
          <w:szCs w:val="21"/>
        </w:rPr>
        <w:t>（1）投标函</w:t>
      </w:r>
    </w:p>
    <w:p>
      <w:pPr>
        <w:spacing w:line="360" w:lineRule="auto"/>
        <w:ind w:firstLine="420" w:firstLineChars="200"/>
        <w:rPr>
          <w:rFonts w:eastAsia="宋体"/>
          <w:szCs w:val="21"/>
        </w:rPr>
      </w:pPr>
      <w:r>
        <w:rPr>
          <w:rFonts w:eastAsia="宋体"/>
          <w:szCs w:val="21"/>
        </w:rPr>
        <w:t>（2）分项报价表</w:t>
      </w:r>
    </w:p>
    <w:p>
      <w:pPr>
        <w:jc w:val="both"/>
        <w:rPr>
          <w:rFonts w:eastAsia="宋体"/>
          <w:b/>
          <w:bCs/>
          <w:sz w:val="32"/>
          <w:szCs w:val="32"/>
        </w:rPr>
      </w:pPr>
    </w:p>
    <w:p>
      <w:pPr>
        <w:jc w:val="both"/>
        <w:rPr>
          <w:rFonts w:eastAsia="宋体"/>
          <w:b/>
          <w:bCs/>
          <w:sz w:val="32"/>
          <w:szCs w:val="32"/>
        </w:rPr>
      </w:pPr>
    </w:p>
    <w:p>
      <w:pPr>
        <w:jc w:val="both"/>
        <w:rPr>
          <w:rFonts w:eastAsia="宋体"/>
          <w:b/>
          <w:bCs/>
          <w:sz w:val="32"/>
          <w:szCs w:val="32"/>
        </w:rPr>
      </w:pPr>
    </w:p>
    <w:p>
      <w:pPr>
        <w:jc w:val="both"/>
        <w:rPr>
          <w:rFonts w:eastAsia="宋体"/>
          <w:b/>
          <w:bCs/>
          <w:sz w:val="32"/>
          <w:szCs w:val="32"/>
        </w:rPr>
      </w:pPr>
      <w:r>
        <w:rPr>
          <w:rFonts w:eastAsia="宋体"/>
          <w:b/>
          <w:bCs/>
          <w:sz w:val="32"/>
          <w:szCs w:val="32"/>
        </w:rPr>
        <w:br w:type="page"/>
      </w:r>
    </w:p>
    <w:p>
      <w:pPr>
        <w:jc w:val="both"/>
        <w:rPr>
          <w:rFonts w:eastAsia="宋体"/>
          <w:b/>
          <w:bCs/>
          <w:sz w:val="32"/>
          <w:szCs w:val="32"/>
        </w:rPr>
      </w:pPr>
    </w:p>
    <w:p>
      <w:pPr>
        <w:pStyle w:val="3"/>
        <w:numPr>
          <w:ilvl w:val="0"/>
          <w:numId w:val="0"/>
        </w:numPr>
        <w:tabs>
          <w:tab w:val="left" w:pos="1080"/>
        </w:tabs>
        <w:spacing w:line="480" w:lineRule="auto"/>
        <w:jc w:val="center"/>
        <w:rPr>
          <w:rFonts w:ascii="Times New Roman" w:hAnsi="Times New Roman" w:eastAsia="宋体"/>
        </w:rPr>
      </w:pPr>
      <w:bookmarkStart w:id="1550" w:name="_Toc19417"/>
      <w:bookmarkStart w:id="1551" w:name="_Toc480365205"/>
      <w:bookmarkStart w:id="1552" w:name="_Toc6702"/>
      <w:bookmarkStart w:id="1553" w:name="_Toc440290071"/>
      <w:bookmarkStart w:id="1554" w:name="_Toc4453"/>
      <w:bookmarkStart w:id="1555" w:name="_Toc356825957"/>
      <w:r>
        <w:rPr>
          <w:rFonts w:ascii="Times New Roman" w:hAnsi="Times New Roman" w:eastAsia="宋体"/>
        </w:rPr>
        <w:t>A.《商务（含资格审查）部分》册投标文件格式</w:t>
      </w:r>
      <w:bookmarkEnd w:id="1550"/>
      <w:bookmarkEnd w:id="1551"/>
      <w:bookmarkEnd w:id="1552"/>
      <w:bookmarkEnd w:id="1553"/>
      <w:bookmarkEnd w:id="1554"/>
      <w:bookmarkEnd w:id="1555"/>
    </w:p>
    <w:p>
      <w:pPr>
        <w:jc w:val="center"/>
        <w:rPr>
          <w:rFonts w:eastAsia="宋体"/>
          <w:b/>
          <w:sz w:val="32"/>
          <w:szCs w:val="32"/>
        </w:rPr>
      </w:pPr>
      <w:r>
        <w:rPr>
          <w:rFonts w:eastAsia="宋体"/>
          <w:b/>
          <w:sz w:val="32"/>
          <w:szCs w:val="32"/>
        </w:rPr>
        <w:t>（第一阶段开标）</w:t>
      </w:r>
    </w:p>
    <w:p>
      <w:pPr>
        <w:pStyle w:val="316"/>
        <w:shd w:val="clear" w:color="auto" w:fill="auto"/>
        <w:tabs>
          <w:tab w:val="left" w:pos="1467"/>
        </w:tabs>
        <w:spacing w:beforeLines="0" w:afterLines="0"/>
        <w:ind w:left="0" w:leftChars="0" w:firstLine="0" w:firstLineChars="0"/>
        <w:jc w:val="both"/>
        <w:outlineLvl w:val="9"/>
        <w:rPr>
          <w:rFonts w:ascii="Times New Roman" w:hAnsi="Times New Roman" w:eastAsia="宋体"/>
          <w:b/>
          <w:sz w:val="28"/>
          <w:szCs w:val="28"/>
        </w:rPr>
      </w:pPr>
    </w:p>
    <w:p>
      <w:pPr>
        <w:pStyle w:val="4"/>
        <w:numPr>
          <w:ilvl w:val="0"/>
          <w:numId w:val="14"/>
        </w:numPr>
        <w:spacing w:before="0" w:after="0"/>
        <w:ind w:left="0" w:firstLine="0"/>
      </w:pPr>
      <w:bookmarkStart w:id="1556" w:name="_Toc26159"/>
      <w:bookmarkStart w:id="1557" w:name="_Toc23671"/>
      <w:bookmarkStart w:id="1558" w:name="_Toc21433"/>
      <w:bookmarkStart w:id="1559" w:name="_Toc10534"/>
      <w:bookmarkStart w:id="1560" w:name="_Toc534461581"/>
      <w:bookmarkStart w:id="1561" w:name="_Toc15913"/>
      <w:bookmarkStart w:id="1562" w:name="_Toc28709"/>
      <w:bookmarkStart w:id="1563" w:name="_Toc19118"/>
      <w:bookmarkStart w:id="1564" w:name="_Toc9393"/>
      <w:bookmarkStart w:id="1565" w:name="_Toc22319"/>
      <w:bookmarkStart w:id="1566" w:name="_Toc27221"/>
      <w:bookmarkStart w:id="1567" w:name="_Toc30164"/>
      <w:bookmarkStart w:id="1568" w:name="_Toc514430467"/>
      <w:bookmarkStart w:id="1569" w:name="_Toc133468939"/>
      <w:bookmarkStart w:id="1570" w:name="_Toc144265955"/>
      <w:bookmarkStart w:id="1571" w:name="_Toc185930159"/>
      <w:bookmarkStart w:id="1572" w:name="_Toc2692815"/>
      <w:bookmarkStart w:id="1573" w:name="_Toc133214115"/>
      <w:bookmarkStart w:id="1574" w:name="_Toc520198842"/>
      <w:r>
        <w:br w:type="page"/>
      </w:r>
      <w:bookmarkStart w:id="1575" w:name="_Toc22061"/>
      <w:r>
        <w:t>投标函</w:t>
      </w:r>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75"/>
    </w:p>
    <w:p>
      <w:pPr>
        <w:spacing w:line="360" w:lineRule="auto"/>
        <w:rPr>
          <w:rFonts w:eastAsia="宋体"/>
          <w:szCs w:val="21"/>
        </w:rPr>
      </w:pPr>
      <w:r>
        <w:rPr>
          <w:rFonts w:eastAsia="宋体"/>
          <w:szCs w:val="21"/>
          <w:u w:val="single"/>
        </w:rPr>
        <w:t xml:space="preserve">                             （招标人名称）</w:t>
      </w:r>
      <w:r>
        <w:rPr>
          <w:rFonts w:eastAsia="宋体"/>
          <w:szCs w:val="21"/>
        </w:rPr>
        <w:t>：</w:t>
      </w:r>
    </w:p>
    <w:p>
      <w:pPr>
        <w:spacing w:line="360" w:lineRule="auto"/>
        <w:ind w:firstLine="420" w:firstLineChars="200"/>
        <w:rPr>
          <w:rFonts w:eastAsia="宋体"/>
          <w:szCs w:val="21"/>
        </w:rPr>
      </w:pPr>
      <w:r>
        <w:rPr>
          <w:rFonts w:eastAsia="宋体"/>
          <w:szCs w:val="21"/>
        </w:rPr>
        <w:t>1．我方已仔细研究了</w:t>
      </w:r>
      <w:r>
        <w:rPr>
          <w:rFonts w:eastAsia="宋体"/>
          <w:szCs w:val="21"/>
          <w:u w:val="single"/>
        </w:rPr>
        <w:t xml:space="preserve">                       </w:t>
      </w:r>
      <w:r>
        <w:rPr>
          <w:rFonts w:eastAsia="宋体"/>
          <w:szCs w:val="21"/>
        </w:rPr>
        <w:t>（项目名称）采购招标项目招标文件的全部内容，愿意以《报价部分》册中的报价提供</w:t>
      </w:r>
      <w:r>
        <w:rPr>
          <w:rFonts w:eastAsia="宋体"/>
          <w:szCs w:val="21"/>
          <w:u w:val="single"/>
        </w:rPr>
        <w:t xml:space="preserve">               </w:t>
      </w:r>
      <w:r>
        <w:rPr>
          <w:rFonts w:hint="eastAsia" w:eastAsia="宋体"/>
          <w:szCs w:val="21"/>
          <w:u w:val="single"/>
        </w:rPr>
        <w:t xml:space="preserve">    </w:t>
      </w:r>
      <w:r>
        <w:rPr>
          <w:rFonts w:eastAsia="宋体"/>
          <w:szCs w:val="21"/>
          <w:u w:val="single"/>
        </w:rPr>
        <w:t xml:space="preserve">     </w:t>
      </w:r>
      <w:r>
        <w:rPr>
          <w:rFonts w:eastAsia="宋体"/>
          <w:szCs w:val="21"/>
        </w:rPr>
        <w:t>（</w:t>
      </w:r>
      <w:r>
        <w:rPr>
          <w:rFonts w:hint="eastAsia" w:eastAsia="宋体"/>
          <w:szCs w:val="21"/>
        </w:rPr>
        <w:t>项目</w:t>
      </w:r>
      <w:r>
        <w:rPr>
          <w:rFonts w:eastAsia="宋体"/>
          <w:szCs w:val="21"/>
        </w:rPr>
        <w:t>名称及技术服务）</w:t>
      </w:r>
      <w:r>
        <w:rPr>
          <w:rFonts w:hint="eastAsia" w:eastAsia="宋体"/>
          <w:szCs w:val="21"/>
        </w:rPr>
        <w:t>，</w:t>
      </w:r>
      <w:r>
        <w:rPr>
          <w:rFonts w:eastAsia="宋体"/>
          <w:szCs w:val="21"/>
        </w:rPr>
        <w:t>按合同约定履行义务。</w:t>
      </w:r>
    </w:p>
    <w:p>
      <w:pPr>
        <w:spacing w:line="360" w:lineRule="auto"/>
        <w:ind w:firstLine="420" w:firstLineChars="200"/>
        <w:rPr>
          <w:rFonts w:eastAsia="宋体"/>
          <w:szCs w:val="21"/>
        </w:rPr>
      </w:pPr>
      <w:r>
        <w:rPr>
          <w:rFonts w:eastAsia="宋体"/>
          <w:szCs w:val="21"/>
        </w:rPr>
        <w:t>2．我方的投标文件包括下列内容：</w:t>
      </w:r>
    </w:p>
    <w:p>
      <w:pPr>
        <w:spacing w:line="360" w:lineRule="auto"/>
        <w:ind w:firstLine="422" w:firstLineChars="200"/>
        <w:rPr>
          <w:rFonts w:eastAsia="宋体"/>
          <w:b/>
          <w:szCs w:val="21"/>
        </w:rPr>
      </w:pPr>
      <w:r>
        <w:rPr>
          <w:rFonts w:eastAsia="宋体"/>
          <w:b/>
          <w:szCs w:val="21"/>
        </w:rPr>
        <w:t>《商务（含资格审查）部分》册：</w:t>
      </w:r>
    </w:p>
    <w:p>
      <w:pPr>
        <w:spacing w:line="360" w:lineRule="auto"/>
        <w:ind w:firstLine="420" w:firstLineChars="200"/>
        <w:rPr>
          <w:rFonts w:eastAsia="宋体"/>
          <w:szCs w:val="21"/>
        </w:rPr>
      </w:pPr>
      <w:r>
        <w:rPr>
          <w:rFonts w:eastAsia="宋体"/>
          <w:szCs w:val="21"/>
        </w:rPr>
        <w:t>（1）投标函</w:t>
      </w:r>
    </w:p>
    <w:p>
      <w:pPr>
        <w:spacing w:line="360" w:lineRule="auto"/>
        <w:ind w:firstLine="420" w:firstLineChars="200"/>
        <w:rPr>
          <w:rFonts w:eastAsia="宋体"/>
          <w:szCs w:val="21"/>
        </w:rPr>
      </w:pPr>
      <w:r>
        <w:rPr>
          <w:rFonts w:eastAsia="宋体"/>
          <w:szCs w:val="21"/>
        </w:rPr>
        <w:t>（2）法定代表人（单位负责人）身份证明或授权委托书</w:t>
      </w:r>
    </w:p>
    <w:p>
      <w:pPr>
        <w:spacing w:line="360" w:lineRule="auto"/>
        <w:ind w:firstLine="420" w:firstLineChars="200"/>
        <w:rPr>
          <w:rFonts w:eastAsia="宋体"/>
          <w:szCs w:val="21"/>
        </w:rPr>
      </w:pPr>
      <w:r>
        <w:rPr>
          <w:rFonts w:eastAsia="宋体"/>
          <w:szCs w:val="21"/>
        </w:rPr>
        <w:t>（</w:t>
      </w:r>
      <w:r>
        <w:rPr>
          <w:rFonts w:hint="eastAsia" w:eastAsia="宋体"/>
          <w:szCs w:val="21"/>
        </w:rPr>
        <w:t>3</w:t>
      </w:r>
      <w:r>
        <w:rPr>
          <w:rFonts w:eastAsia="宋体"/>
          <w:szCs w:val="21"/>
        </w:rPr>
        <w:t>）商务和技术偏差表-商务偏差表</w:t>
      </w:r>
    </w:p>
    <w:p>
      <w:pPr>
        <w:spacing w:line="360" w:lineRule="auto"/>
        <w:ind w:firstLine="420" w:firstLineChars="200"/>
        <w:rPr>
          <w:rFonts w:eastAsia="宋体"/>
          <w:szCs w:val="21"/>
        </w:rPr>
      </w:pPr>
      <w:r>
        <w:rPr>
          <w:rFonts w:eastAsia="宋体"/>
          <w:szCs w:val="21"/>
        </w:rPr>
        <w:t>（</w:t>
      </w:r>
      <w:r>
        <w:rPr>
          <w:rFonts w:hint="eastAsia" w:eastAsia="宋体"/>
          <w:szCs w:val="21"/>
        </w:rPr>
        <w:t>4</w:t>
      </w:r>
      <w:r>
        <w:rPr>
          <w:rFonts w:eastAsia="宋体"/>
          <w:szCs w:val="21"/>
        </w:rPr>
        <w:t>）资格审查资料</w:t>
      </w:r>
    </w:p>
    <w:p>
      <w:pPr>
        <w:spacing w:line="360" w:lineRule="auto"/>
        <w:ind w:firstLine="420" w:firstLineChars="200"/>
        <w:rPr>
          <w:rFonts w:eastAsia="宋体"/>
          <w:szCs w:val="21"/>
        </w:rPr>
      </w:pPr>
      <w:r>
        <w:rPr>
          <w:rFonts w:eastAsia="宋体"/>
          <w:szCs w:val="21"/>
        </w:rPr>
        <w:t>（</w:t>
      </w:r>
      <w:r>
        <w:rPr>
          <w:rFonts w:hint="eastAsia" w:eastAsia="宋体"/>
          <w:szCs w:val="21"/>
        </w:rPr>
        <w:t>5</w:t>
      </w:r>
      <w:r>
        <w:rPr>
          <w:rFonts w:eastAsia="宋体"/>
          <w:szCs w:val="21"/>
        </w:rPr>
        <w:t xml:space="preserve">）其他资料 </w:t>
      </w:r>
    </w:p>
    <w:p>
      <w:pPr>
        <w:spacing w:line="360" w:lineRule="auto"/>
        <w:ind w:firstLine="422" w:firstLineChars="200"/>
        <w:rPr>
          <w:rFonts w:eastAsia="宋体"/>
          <w:b/>
          <w:szCs w:val="21"/>
        </w:rPr>
      </w:pPr>
      <w:r>
        <w:rPr>
          <w:rFonts w:eastAsia="宋体"/>
          <w:b/>
          <w:szCs w:val="21"/>
        </w:rPr>
        <w:t xml:space="preserve">《技术部分》册： </w:t>
      </w:r>
    </w:p>
    <w:p>
      <w:pPr>
        <w:numPr>
          <w:ilvl w:val="0"/>
          <w:numId w:val="13"/>
        </w:numPr>
        <w:spacing w:line="360" w:lineRule="auto"/>
        <w:ind w:firstLine="420" w:firstLineChars="200"/>
        <w:rPr>
          <w:rFonts w:eastAsia="宋体"/>
          <w:szCs w:val="21"/>
        </w:rPr>
      </w:pPr>
      <w:r>
        <w:rPr>
          <w:rFonts w:eastAsia="宋体"/>
          <w:szCs w:val="21"/>
        </w:rPr>
        <w:t>商务和技术偏差表-技术偏差表</w:t>
      </w:r>
    </w:p>
    <w:p>
      <w:pPr>
        <w:numPr>
          <w:ilvl w:val="0"/>
          <w:numId w:val="13"/>
        </w:numPr>
        <w:spacing w:line="360" w:lineRule="auto"/>
        <w:ind w:firstLine="420" w:firstLineChars="200"/>
        <w:rPr>
          <w:rFonts w:eastAsia="宋体"/>
          <w:szCs w:val="21"/>
        </w:rPr>
      </w:pPr>
      <w:r>
        <w:rPr>
          <w:rFonts w:hint="eastAsia" w:eastAsia="宋体"/>
          <w:szCs w:val="21"/>
        </w:rPr>
        <w:t>企业业绩</w:t>
      </w:r>
    </w:p>
    <w:p>
      <w:pPr>
        <w:numPr>
          <w:ilvl w:val="0"/>
          <w:numId w:val="13"/>
        </w:numPr>
        <w:spacing w:line="360" w:lineRule="auto"/>
        <w:ind w:firstLine="420" w:firstLineChars="200"/>
        <w:rPr>
          <w:rFonts w:eastAsia="宋体"/>
          <w:szCs w:val="21"/>
        </w:rPr>
      </w:pPr>
      <w:r>
        <w:rPr>
          <w:rFonts w:hint="eastAsia" w:eastAsia="宋体"/>
          <w:szCs w:val="21"/>
        </w:rPr>
        <w:t>项目负责人业绩</w:t>
      </w:r>
    </w:p>
    <w:p>
      <w:pPr>
        <w:spacing w:line="360" w:lineRule="auto"/>
        <w:ind w:firstLine="420" w:firstLineChars="200"/>
        <w:rPr>
          <w:rFonts w:eastAsia="宋体"/>
          <w:szCs w:val="21"/>
        </w:rPr>
      </w:pPr>
      <w:r>
        <w:rPr>
          <w:rFonts w:eastAsia="宋体"/>
          <w:szCs w:val="21"/>
        </w:rPr>
        <w:t>（</w:t>
      </w:r>
      <w:r>
        <w:rPr>
          <w:rFonts w:hint="eastAsia" w:eastAsia="宋体"/>
          <w:szCs w:val="21"/>
        </w:rPr>
        <w:t>4</w:t>
      </w:r>
      <w:r>
        <w:rPr>
          <w:rFonts w:eastAsia="宋体"/>
          <w:szCs w:val="21"/>
        </w:rPr>
        <w:t>）</w:t>
      </w:r>
      <w:r>
        <w:rPr>
          <w:rFonts w:hint="eastAsia" w:eastAsia="宋体"/>
          <w:szCs w:val="21"/>
        </w:rPr>
        <w:t>可视化加装技术方案</w:t>
      </w:r>
    </w:p>
    <w:p>
      <w:pPr>
        <w:spacing w:line="360" w:lineRule="auto"/>
        <w:ind w:firstLine="420" w:firstLineChars="200"/>
        <w:rPr>
          <w:rFonts w:eastAsia="宋体"/>
          <w:szCs w:val="21"/>
        </w:rPr>
      </w:pPr>
      <w:r>
        <w:rPr>
          <w:rFonts w:eastAsia="宋体"/>
          <w:szCs w:val="21"/>
        </w:rPr>
        <w:t>（</w:t>
      </w:r>
      <w:r>
        <w:rPr>
          <w:rFonts w:hint="eastAsia" w:eastAsia="宋体"/>
          <w:szCs w:val="21"/>
        </w:rPr>
        <w:t>5</w:t>
      </w:r>
      <w:r>
        <w:rPr>
          <w:rFonts w:eastAsia="宋体"/>
          <w:szCs w:val="21"/>
        </w:rPr>
        <w:t>）</w:t>
      </w:r>
      <w:r>
        <w:rPr>
          <w:rFonts w:hint="eastAsia" w:eastAsia="宋体"/>
          <w:szCs w:val="21"/>
        </w:rPr>
        <w:t>安全文明保障措施</w:t>
      </w:r>
    </w:p>
    <w:p>
      <w:pPr>
        <w:spacing w:line="360" w:lineRule="auto"/>
        <w:ind w:firstLine="420" w:firstLineChars="200"/>
        <w:rPr>
          <w:rFonts w:eastAsia="宋体"/>
          <w:szCs w:val="21"/>
        </w:rPr>
      </w:pPr>
      <w:r>
        <w:rPr>
          <w:rFonts w:eastAsia="宋体"/>
          <w:szCs w:val="21"/>
        </w:rPr>
        <w:t>（</w:t>
      </w:r>
      <w:r>
        <w:rPr>
          <w:rFonts w:hint="eastAsia" w:eastAsia="宋体"/>
          <w:szCs w:val="21"/>
        </w:rPr>
        <w:t>6</w:t>
      </w:r>
      <w:r>
        <w:rPr>
          <w:rFonts w:eastAsia="宋体"/>
          <w:szCs w:val="21"/>
        </w:rPr>
        <w:t>）</w:t>
      </w:r>
      <w:r>
        <w:rPr>
          <w:rFonts w:hint="eastAsia" w:eastAsia="宋体"/>
          <w:szCs w:val="21"/>
        </w:rPr>
        <w:t>资源投入</w:t>
      </w:r>
    </w:p>
    <w:p>
      <w:pPr>
        <w:spacing w:line="360" w:lineRule="auto"/>
        <w:ind w:firstLine="422" w:firstLineChars="200"/>
        <w:rPr>
          <w:rFonts w:eastAsia="宋体"/>
          <w:b/>
          <w:szCs w:val="21"/>
        </w:rPr>
      </w:pPr>
      <w:r>
        <w:rPr>
          <w:rFonts w:eastAsia="宋体"/>
          <w:b/>
          <w:szCs w:val="21"/>
        </w:rPr>
        <w:t xml:space="preserve">《报价部分》册： </w:t>
      </w:r>
    </w:p>
    <w:p>
      <w:pPr>
        <w:spacing w:line="360" w:lineRule="auto"/>
        <w:ind w:firstLine="420" w:firstLineChars="200"/>
        <w:rPr>
          <w:rFonts w:eastAsia="宋体"/>
          <w:szCs w:val="21"/>
        </w:rPr>
      </w:pPr>
      <w:r>
        <w:rPr>
          <w:rFonts w:eastAsia="宋体"/>
          <w:szCs w:val="21"/>
        </w:rPr>
        <w:t>（1）投标函</w:t>
      </w:r>
    </w:p>
    <w:p>
      <w:pPr>
        <w:spacing w:line="360" w:lineRule="auto"/>
        <w:ind w:firstLine="420" w:firstLineChars="200"/>
        <w:rPr>
          <w:rFonts w:eastAsia="宋体"/>
          <w:szCs w:val="21"/>
        </w:rPr>
      </w:pPr>
      <w:r>
        <w:rPr>
          <w:rFonts w:eastAsia="宋体"/>
          <w:szCs w:val="21"/>
        </w:rPr>
        <w:t>（2）分项报价表</w:t>
      </w:r>
    </w:p>
    <w:p>
      <w:pPr>
        <w:spacing w:line="360" w:lineRule="auto"/>
        <w:ind w:firstLine="420" w:firstLineChars="200"/>
        <w:rPr>
          <w:rFonts w:eastAsia="宋体"/>
          <w:szCs w:val="21"/>
        </w:rPr>
      </w:pPr>
      <w:r>
        <w:rPr>
          <w:rFonts w:eastAsia="宋体"/>
          <w:szCs w:val="21"/>
        </w:rPr>
        <w:t>投标文件的上述组成部分如存在内容不一致的，以投标函为准。</w:t>
      </w:r>
    </w:p>
    <w:p>
      <w:pPr>
        <w:spacing w:line="360" w:lineRule="auto"/>
        <w:ind w:firstLine="420" w:firstLineChars="200"/>
        <w:rPr>
          <w:rFonts w:eastAsia="宋体"/>
          <w:szCs w:val="21"/>
        </w:rPr>
      </w:pPr>
      <w:r>
        <w:rPr>
          <w:rFonts w:eastAsia="宋体"/>
          <w:szCs w:val="21"/>
        </w:rPr>
        <w:t>3．我方承诺除商务和技术偏差表列出的偏差外，我方响应招标文件的全部要求。</w:t>
      </w:r>
    </w:p>
    <w:p>
      <w:pPr>
        <w:spacing w:line="360" w:lineRule="auto"/>
        <w:ind w:firstLine="420" w:firstLineChars="200"/>
        <w:rPr>
          <w:rFonts w:eastAsia="宋体"/>
          <w:szCs w:val="21"/>
        </w:rPr>
      </w:pPr>
      <w:r>
        <w:rPr>
          <w:rFonts w:eastAsia="宋体"/>
          <w:szCs w:val="21"/>
        </w:rPr>
        <w:t>4．我方承诺在招标文件规定的投标有效期内不撤销投标文件。</w:t>
      </w:r>
    </w:p>
    <w:p>
      <w:pPr>
        <w:spacing w:line="360" w:lineRule="auto"/>
        <w:ind w:firstLine="420" w:firstLineChars="200"/>
        <w:rPr>
          <w:rFonts w:eastAsia="宋体"/>
          <w:szCs w:val="21"/>
        </w:rPr>
      </w:pPr>
      <w:r>
        <w:rPr>
          <w:rFonts w:eastAsia="宋体"/>
          <w:szCs w:val="21"/>
        </w:rPr>
        <w:t>5．如我方中标，我方承诺：</w:t>
      </w:r>
    </w:p>
    <w:p>
      <w:pPr>
        <w:spacing w:line="360" w:lineRule="auto"/>
        <w:ind w:firstLine="420" w:firstLineChars="200"/>
        <w:rPr>
          <w:rFonts w:eastAsia="宋体"/>
          <w:szCs w:val="21"/>
        </w:rPr>
      </w:pPr>
      <w:r>
        <w:rPr>
          <w:rFonts w:eastAsia="宋体"/>
          <w:szCs w:val="21"/>
        </w:rPr>
        <w:t>（1）在收到中标通知书后，在中标通知书规定的期限内与你方签订合同；</w:t>
      </w:r>
    </w:p>
    <w:p>
      <w:pPr>
        <w:spacing w:line="360" w:lineRule="auto"/>
        <w:ind w:firstLine="420" w:firstLineChars="200"/>
        <w:rPr>
          <w:rFonts w:eastAsia="宋体"/>
          <w:szCs w:val="21"/>
        </w:rPr>
      </w:pPr>
      <w:r>
        <w:rPr>
          <w:rFonts w:eastAsia="宋体"/>
          <w:szCs w:val="21"/>
        </w:rPr>
        <w:t>（2）在签订合同时不向你方提出附加条件；</w:t>
      </w:r>
    </w:p>
    <w:p>
      <w:pPr>
        <w:spacing w:line="360" w:lineRule="auto"/>
        <w:ind w:firstLine="420" w:firstLineChars="200"/>
        <w:rPr>
          <w:rFonts w:eastAsia="宋体"/>
          <w:szCs w:val="21"/>
        </w:rPr>
      </w:pPr>
      <w:r>
        <w:rPr>
          <w:rFonts w:eastAsia="宋体"/>
          <w:szCs w:val="21"/>
        </w:rPr>
        <w:t>（3）按照招标文件要求提交履约保证金；</w:t>
      </w:r>
    </w:p>
    <w:p>
      <w:pPr>
        <w:spacing w:line="360" w:lineRule="auto"/>
        <w:ind w:firstLine="420" w:firstLineChars="200"/>
        <w:rPr>
          <w:rFonts w:eastAsia="宋体"/>
          <w:szCs w:val="21"/>
        </w:rPr>
      </w:pPr>
      <w:r>
        <w:rPr>
          <w:rFonts w:eastAsia="宋体"/>
          <w:szCs w:val="21"/>
        </w:rPr>
        <w:t>（4）在合同约定的期限内完成合同规定的全部义务。</w:t>
      </w:r>
    </w:p>
    <w:p>
      <w:pPr>
        <w:spacing w:line="360" w:lineRule="auto"/>
        <w:ind w:firstLine="420" w:firstLineChars="200"/>
        <w:rPr>
          <w:rFonts w:eastAsia="宋体"/>
          <w:szCs w:val="21"/>
        </w:rPr>
      </w:pPr>
      <w:r>
        <w:rPr>
          <w:rFonts w:eastAsia="宋体"/>
          <w:szCs w:val="21"/>
        </w:rPr>
        <w:t>6．我方在此声明，所递交的投标文件及有关资料内容完整、真实和准确，且不存在第</w:t>
      </w:r>
      <w:r>
        <w:rPr>
          <w:rFonts w:ascii="宋体" w:hAnsi="宋体" w:eastAsia="宋体"/>
          <w:szCs w:val="21"/>
        </w:rPr>
        <w:t>二章“投标人须知”第</w:t>
      </w:r>
      <w:r>
        <w:rPr>
          <w:rFonts w:eastAsia="宋体"/>
          <w:szCs w:val="21"/>
        </w:rPr>
        <w:t>1.4.3项规定的任何一种情形。</w:t>
      </w:r>
    </w:p>
    <w:p>
      <w:pPr>
        <w:spacing w:line="360" w:lineRule="auto"/>
        <w:ind w:firstLine="420" w:firstLineChars="200"/>
        <w:rPr>
          <w:rFonts w:eastAsia="宋体"/>
          <w:szCs w:val="21"/>
        </w:rPr>
      </w:pPr>
      <w:r>
        <w:rPr>
          <w:rFonts w:eastAsia="宋体"/>
          <w:szCs w:val="21"/>
        </w:rPr>
        <w:t>7．其他补充说明</w:t>
      </w:r>
    </w:p>
    <w:p>
      <w:pPr>
        <w:numPr>
          <w:ilvl w:val="0"/>
          <w:numId w:val="15"/>
        </w:numPr>
        <w:spacing w:line="360" w:lineRule="auto"/>
        <w:ind w:left="0" w:firstLine="0"/>
        <w:jc w:val="both"/>
        <w:rPr>
          <w:rFonts w:eastAsia="宋体"/>
          <w:szCs w:val="21"/>
        </w:rPr>
      </w:pPr>
      <w:r>
        <w:rPr>
          <w:rFonts w:hint="eastAsia" w:eastAsia="宋体"/>
          <w:szCs w:val="21"/>
        </w:rPr>
        <w:t>我方按招标文件要求履行全部合同义务的投标总价如本投标文件中“投标报价汇总表”中“投标总价”一栏所述。</w:t>
      </w:r>
    </w:p>
    <w:p>
      <w:pPr>
        <w:numPr>
          <w:ilvl w:val="0"/>
          <w:numId w:val="15"/>
        </w:numPr>
        <w:spacing w:line="360" w:lineRule="auto"/>
        <w:ind w:left="0" w:firstLine="0"/>
        <w:jc w:val="both"/>
        <w:rPr>
          <w:rFonts w:eastAsia="宋体"/>
          <w:szCs w:val="21"/>
        </w:rPr>
      </w:pPr>
      <w:r>
        <w:rPr>
          <w:rFonts w:eastAsia="宋体"/>
          <w:szCs w:val="21"/>
        </w:rPr>
        <w:t>投标保证金已通过____</w:t>
      </w:r>
      <w:r>
        <w:rPr>
          <w:rFonts w:hint="eastAsia" w:eastAsia="宋体"/>
          <w:szCs w:val="21"/>
        </w:rPr>
        <w:t>/</w:t>
      </w:r>
      <w:r>
        <w:rPr>
          <w:rFonts w:eastAsia="宋体"/>
          <w:szCs w:val="21"/>
        </w:rPr>
        <w:t>___（电汇、银行保函）方式出具，金额为人民币__</w:t>
      </w:r>
      <w:r>
        <w:rPr>
          <w:rFonts w:hint="eastAsia" w:eastAsia="宋体"/>
          <w:szCs w:val="21"/>
        </w:rPr>
        <w:t>/</w:t>
      </w:r>
      <w:r>
        <w:rPr>
          <w:rFonts w:eastAsia="宋体"/>
          <w:szCs w:val="21"/>
        </w:rPr>
        <w:t>_____元。</w:t>
      </w:r>
    </w:p>
    <w:p>
      <w:pPr>
        <w:numPr>
          <w:ilvl w:val="0"/>
          <w:numId w:val="15"/>
        </w:numPr>
        <w:spacing w:line="360" w:lineRule="auto"/>
        <w:ind w:left="0" w:firstLine="0"/>
        <w:jc w:val="both"/>
        <w:rPr>
          <w:rFonts w:eastAsia="宋体"/>
          <w:szCs w:val="21"/>
        </w:rPr>
      </w:pPr>
      <w:r>
        <w:rPr>
          <w:rFonts w:eastAsia="宋体"/>
          <w:szCs w:val="21"/>
        </w:rPr>
        <w:t>我方计划</w:t>
      </w:r>
      <w:r>
        <w:rPr>
          <w:rFonts w:hint="eastAsia" w:eastAsia="宋体"/>
          <w:szCs w:val="21"/>
        </w:rPr>
        <w:t>服务</w:t>
      </w:r>
      <w:r>
        <w:rPr>
          <w:rFonts w:eastAsia="宋体"/>
          <w:szCs w:val="21"/>
        </w:rPr>
        <w:t>期满足招标文件的要求。</w:t>
      </w:r>
    </w:p>
    <w:p>
      <w:pPr>
        <w:numPr>
          <w:ilvl w:val="0"/>
          <w:numId w:val="15"/>
        </w:numPr>
        <w:spacing w:line="360" w:lineRule="auto"/>
        <w:ind w:left="0" w:firstLine="0"/>
        <w:jc w:val="both"/>
        <w:rPr>
          <w:rFonts w:eastAsia="宋体"/>
          <w:szCs w:val="21"/>
        </w:rPr>
      </w:pPr>
      <w:r>
        <w:rPr>
          <w:rFonts w:eastAsia="宋体"/>
          <w:szCs w:val="21"/>
        </w:rPr>
        <w:t>如果你方接受我方的投标，我方将完全执行与你方签订的</w:t>
      </w:r>
      <w:r>
        <w:rPr>
          <w:rFonts w:hint="eastAsia" w:eastAsia="宋体"/>
          <w:szCs w:val="21"/>
        </w:rPr>
        <w:t>服务</w:t>
      </w:r>
      <w:r>
        <w:rPr>
          <w:rFonts w:eastAsia="宋体"/>
          <w:szCs w:val="21"/>
        </w:rPr>
        <w:t>计划，在规定的期限内完成本合同的</w:t>
      </w:r>
      <w:r>
        <w:rPr>
          <w:rFonts w:hint="eastAsia" w:eastAsia="宋体"/>
          <w:szCs w:val="21"/>
        </w:rPr>
        <w:t>服务</w:t>
      </w:r>
      <w:r>
        <w:rPr>
          <w:rFonts w:eastAsia="宋体"/>
          <w:szCs w:val="21"/>
        </w:rPr>
        <w:t>，达到合同规定的要求。</w:t>
      </w:r>
    </w:p>
    <w:p>
      <w:pPr>
        <w:numPr>
          <w:ilvl w:val="0"/>
          <w:numId w:val="15"/>
        </w:numPr>
        <w:spacing w:line="360" w:lineRule="auto"/>
        <w:ind w:left="0" w:firstLine="0"/>
        <w:jc w:val="both"/>
        <w:rPr>
          <w:rFonts w:eastAsia="宋体"/>
          <w:szCs w:val="21"/>
        </w:rPr>
      </w:pPr>
      <w:r>
        <w:rPr>
          <w:rFonts w:eastAsia="宋体"/>
          <w:szCs w:val="21"/>
        </w:rPr>
        <w:t>我方已详细审查全部招标文件包括澄清函和修改文件（如果有）、所有已提供的资料以及有关附件，投标人已完全理解上述文件的全部内容，并放弃提出任何误解或不明作为抗辩的权利。</w:t>
      </w:r>
    </w:p>
    <w:p>
      <w:pPr>
        <w:numPr>
          <w:ilvl w:val="0"/>
          <w:numId w:val="15"/>
        </w:numPr>
        <w:spacing w:line="360" w:lineRule="auto"/>
        <w:ind w:left="0" w:firstLine="0"/>
        <w:jc w:val="both"/>
        <w:rPr>
          <w:rFonts w:eastAsia="宋体"/>
          <w:szCs w:val="21"/>
        </w:rPr>
      </w:pPr>
      <w:r>
        <w:rPr>
          <w:rFonts w:eastAsia="宋体"/>
          <w:szCs w:val="21"/>
        </w:rPr>
        <w:t>如果你方接受我方的投标，我方将保证按你方认可的条件，以本招标文件写明的金额提交履约担保。</w:t>
      </w:r>
    </w:p>
    <w:p>
      <w:pPr>
        <w:numPr>
          <w:ilvl w:val="0"/>
          <w:numId w:val="15"/>
        </w:numPr>
        <w:spacing w:line="360" w:lineRule="auto"/>
        <w:ind w:left="0" w:firstLine="0"/>
        <w:jc w:val="both"/>
        <w:rPr>
          <w:rFonts w:eastAsia="宋体"/>
          <w:szCs w:val="21"/>
        </w:rPr>
      </w:pPr>
      <w:r>
        <w:rPr>
          <w:rFonts w:eastAsia="宋体"/>
          <w:szCs w:val="21"/>
        </w:rPr>
        <w:t>我方同意在从规定的开标之日起</w:t>
      </w:r>
      <w:r>
        <w:rPr>
          <w:rFonts w:hint="eastAsia" w:eastAsia="宋体"/>
          <w:szCs w:val="21"/>
          <w:u w:val="single"/>
        </w:rPr>
        <w:t>90</w:t>
      </w:r>
      <w:r>
        <w:rPr>
          <w:rFonts w:eastAsia="宋体"/>
          <w:szCs w:val="21"/>
        </w:rPr>
        <w:t>天的投标文件有效期内严格遵守本投标函的各项承诺。在此期限届满之前，本投标函始终将对我方具有约束力。</w:t>
      </w:r>
    </w:p>
    <w:p>
      <w:pPr>
        <w:numPr>
          <w:ilvl w:val="0"/>
          <w:numId w:val="15"/>
        </w:numPr>
        <w:spacing w:line="360" w:lineRule="auto"/>
        <w:ind w:left="0" w:firstLine="0"/>
        <w:jc w:val="both"/>
        <w:rPr>
          <w:rFonts w:eastAsia="宋体"/>
          <w:szCs w:val="21"/>
        </w:rPr>
      </w:pPr>
      <w:r>
        <w:rPr>
          <w:rFonts w:eastAsia="宋体"/>
          <w:szCs w:val="21"/>
        </w:rPr>
        <w:t>在合同协议书正式签署生效之前，本投标函连同中标通知书将构成你我双方共同遵守的文件，对双方具有约束力。</w:t>
      </w:r>
    </w:p>
    <w:p>
      <w:pPr>
        <w:numPr>
          <w:ilvl w:val="0"/>
          <w:numId w:val="15"/>
        </w:numPr>
        <w:spacing w:line="360" w:lineRule="auto"/>
        <w:ind w:left="0" w:firstLine="0"/>
        <w:jc w:val="both"/>
        <w:rPr>
          <w:rFonts w:eastAsia="宋体"/>
          <w:szCs w:val="21"/>
        </w:rPr>
      </w:pPr>
      <w:r>
        <w:rPr>
          <w:rFonts w:eastAsia="宋体"/>
          <w:szCs w:val="21"/>
        </w:rPr>
        <w:t>我方理解，你方不一定接受最低标价的投标或其他任何投标。同时也理解，你方不负担我方的任何投标费用。</w:t>
      </w:r>
    </w:p>
    <w:p>
      <w:pPr>
        <w:numPr>
          <w:ilvl w:val="0"/>
          <w:numId w:val="15"/>
        </w:numPr>
        <w:spacing w:line="360" w:lineRule="auto"/>
        <w:ind w:left="0" w:firstLine="0"/>
        <w:jc w:val="both"/>
        <w:rPr>
          <w:rFonts w:eastAsia="宋体"/>
          <w:szCs w:val="21"/>
        </w:rPr>
      </w:pPr>
      <w:r>
        <w:rPr>
          <w:rFonts w:eastAsia="宋体"/>
          <w:szCs w:val="21"/>
        </w:rPr>
        <w:t>如果我方在投标有效期内撤回投标文件或在接到中标通知后的30天内未能或拒绝签订合同协议书；或未能提交履约担保，你方有权没收投标保证金并可另选中标单位。</w:t>
      </w:r>
    </w:p>
    <w:p>
      <w:pPr>
        <w:spacing w:line="360" w:lineRule="auto"/>
        <w:ind w:left="2125" w:leftChars="1012"/>
        <w:rPr>
          <w:rFonts w:eastAsia="宋体"/>
          <w:szCs w:val="21"/>
        </w:rPr>
      </w:pPr>
      <w:r>
        <w:rPr>
          <w:rFonts w:eastAsia="宋体"/>
          <w:szCs w:val="21"/>
        </w:rPr>
        <w:t>投  标  人：</w:t>
      </w:r>
      <w:r>
        <w:rPr>
          <w:rFonts w:eastAsia="宋体"/>
          <w:szCs w:val="21"/>
          <w:u w:val="single"/>
        </w:rPr>
        <w:t xml:space="preserve">                                          </w:t>
      </w:r>
      <w:r>
        <w:rPr>
          <w:rFonts w:eastAsia="宋体"/>
          <w:szCs w:val="21"/>
        </w:rPr>
        <w:t>（盖单位章）</w:t>
      </w:r>
    </w:p>
    <w:p>
      <w:pPr>
        <w:spacing w:line="360" w:lineRule="auto"/>
        <w:ind w:left="2125" w:leftChars="1012"/>
        <w:rPr>
          <w:rFonts w:eastAsia="宋体"/>
          <w:szCs w:val="21"/>
        </w:rPr>
      </w:pPr>
      <w:r>
        <w:rPr>
          <w:rFonts w:eastAsia="宋体"/>
          <w:szCs w:val="21"/>
        </w:rPr>
        <w:t>法定代表人（单位负责人）或其委托代理人：</w:t>
      </w:r>
      <w:r>
        <w:rPr>
          <w:rFonts w:eastAsia="宋体"/>
          <w:szCs w:val="21"/>
          <w:u w:val="single"/>
        </w:rPr>
        <w:t xml:space="preserve">                 </w:t>
      </w:r>
      <w:r>
        <w:rPr>
          <w:rFonts w:eastAsia="宋体"/>
          <w:szCs w:val="21"/>
        </w:rPr>
        <w:t xml:space="preserve"> （签字）</w:t>
      </w:r>
    </w:p>
    <w:p>
      <w:pPr>
        <w:spacing w:line="360" w:lineRule="auto"/>
        <w:ind w:left="2125" w:leftChars="1012"/>
        <w:rPr>
          <w:rFonts w:eastAsia="宋体"/>
          <w:szCs w:val="21"/>
          <w:u w:val="single"/>
        </w:rPr>
      </w:pPr>
      <w:r>
        <w:rPr>
          <w:rFonts w:eastAsia="宋体"/>
          <w:szCs w:val="21"/>
        </w:rPr>
        <w:t>地     址：</w:t>
      </w:r>
      <w:r>
        <w:rPr>
          <w:rFonts w:eastAsia="宋体"/>
          <w:szCs w:val="21"/>
          <w:u w:val="single"/>
        </w:rPr>
        <w:t xml:space="preserve">                                                       </w:t>
      </w:r>
    </w:p>
    <w:p>
      <w:pPr>
        <w:spacing w:line="360" w:lineRule="auto"/>
        <w:ind w:left="2125" w:leftChars="1012"/>
        <w:rPr>
          <w:rFonts w:eastAsia="宋体"/>
          <w:szCs w:val="21"/>
          <w:u w:val="single"/>
        </w:rPr>
      </w:pPr>
      <w:r>
        <w:rPr>
          <w:rFonts w:eastAsia="宋体"/>
          <w:szCs w:val="21"/>
        </w:rPr>
        <w:t>网     址：</w:t>
      </w:r>
      <w:r>
        <w:rPr>
          <w:rFonts w:eastAsia="宋体"/>
          <w:szCs w:val="21"/>
          <w:u w:val="single"/>
        </w:rPr>
        <w:t xml:space="preserve">                                                        </w:t>
      </w:r>
    </w:p>
    <w:p>
      <w:pPr>
        <w:spacing w:line="360" w:lineRule="auto"/>
        <w:ind w:left="2125" w:leftChars="1012"/>
        <w:rPr>
          <w:rFonts w:eastAsia="宋体"/>
          <w:szCs w:val="21"/>
          <w:u w:val="single"/>
        </w:rPr>
      </w:pPr>
      <w:r>
        <w:rPr>
          <w:rFonts w:eastAsia="宋体"/>
          <w:szCs w:val="21"/>
        </w:rPr>
        <w:t>电     话：</w:t>
      </w:r>
      <w:r>
        <w:rPr>
          <w:rFonts w:eastAsia="宋体"/>
          <w:szCs w:val="21"/>
          <w:u w:val="single"/>
        </w:rPr>
        <w:t xml:space="preserve">                                                       </w:t>
      </w:r>
      <w:r>
        <w:rPr>
          <w:rFonts w:eastAsia="宋体"/>
          <w:szCs w:val="21"/>
        </w:rPr>
        <w:t xml:space="preserve">                </w:t>
      </w:r>
    </w:p>
    <w:p>
      <w:pPr>
        <w:spacing w:line="360" w:lineRule="auto"/>
        <w:ind w:left="2125" w:leftChars="1012"/>
        <w:rPr>
          <w:rFonts w:eastAsia="宋体"/>
          <w:szCs w:val="21"/>
          <w:u w:val="single"/>
        </w:rPr>
      </w:pPr>
      <w:r>
        <w:rPr>
          <w:rFonts w:eastAsia="宋体"/>
          <w:szCs w:val="21"/>
        </w:rPr>
        <w:t>传     真：</w:t>
      </w:r>
      <w:r>
        <w:rPr>
          <w:rFonts w:eastAsia="宋体"/>
          <w:szCs w:val="21"/>
          <w:u w:val="single"/>
        </w:rPr>
        <w:t xml:space="preserve">                                                       </w:t>
      </w:r>
      <w:r>
        <w:rPr>
          <w:rFonts w:eastAsia="宋体"/>
          <w:szCs w:val="21"/>
        </w:rPr>
        <w:t xml:space="preserve">            </w:t>
      </w:r>
    </w:p>
    <w:p>
      <w:pPr>
        <w:spacing w:line="360" w:lineRule="auto"/>
        <w:ind w:left="2125" w:leftChars="1012"/>
        <w:rPr>
          <w:rFonts w:eastAsia="宋体"/>
          <w:szCs w:val="21"/>
          <w:u w:val="single"/>
        </w:rPr>
      </w:pPr>
      <w:r>
        <w:rPr>
          <w:rFonts w:eastAsia="宋体"/>
          <w:szCs w:val="21"/>
        </w:rPr>
        <w:t>邮政编码：</w:t>
      </w:r>
      <w:r>
        <w:rPr>
          <w:rFonts w:eastAsia="宋体"/>
          <w:szCs w:val="21"/>
          <w:u w:val="single"/>
        </w:rPr>
        <w:t xml:space="preserve">                                                        </w:t>
      </w:r>
    </w:p>
    <w:p>
      <w:pPr>
        <w:spacing w:line="360" w:lineRule="auto"/>
        <w:ind w:left="2125" w:leftChars="1012"/>
        <w:jc w:val="right"/>
        <w:rPr>
          <w:rFonts w:eastAsia="宋体"/>
          <w:szCs w:val="21"/>
        </w:rPr>
      </w:pPr>
      <w:r>
        <w:rPr>
          <w:rFonts w:eastAsia="宋体"/>
          <w:szCs w:val="21"/>
        </w:rPr>
        <w:t>年     月    日</w:t>
      </w:r>
    </w:p>
    <w:p>
      <w:pPr>
        <w:spacing w:line="360" w:lineRule="auto"/>
        <w:ind w:left="2125" w:leftChars="1012"/>
        <w:jc w:val="right"/>
        <w:rPr>
          <w:rFonts w:eastAsia="宋体"/>
          <w:szCs w:val="21"/>
        </w:rPr>
      </w:pPr>
      <w:r>
        <w:rPr>
          <w:rFonts w:eastAsia="宋体"/>
          <w:szCs w:val="21"/>
        </w:rPr>
        <w:br w:type="page"/>
      </w:r>
    </w:p>
    <w:p>
      <w:pPr>
        <w:pStyle w:val="4"/>
        <w:numPr>
          <w:ilvl w:val="0"/>
          <w:numId w:val="14"/>
        </w:numPr>
        <w:spacing w:before="0" w:after="0"/>
        <w:ind w:left="0" w:firstLine="0"/>
      </w:pPr>
      <w:bookmarkStart w:id="1576" w:name="_Toc8487"/>
      <w:bookmarkStart w:id="1577" w:name="_Toc534461582"/>
      <w:bookmarkStart w:id="1578" w:name="_Toc11253"/>
      <w:bookmarkStart w:id="1579" w:name="_Toc2534"/>
      <w:bookmarkStart w:id="1580" w:name="_Toc459729770"/>
      <w:bookmarkStart w:id="1581" w:name="_Toc21196"/>
      <w:bookmarkStart w:id="1582" w:name="_Toc455145948"/>
      <w:bookmarkStart w:id="1583" w:name="_Toc514430468"/>
      <w:bookmarkStart w:id="1584" w:name="_Toc3186"/>
      <w:bookmarkStart w:id="1585" w:name="_Toc31787"/>
      <w:bookmarkStart w:id="1586" w:name="_Toc4287"/>
      <w:bookmarkStart w:id="1587" w:name="_Toc11213"/>
      <w:bookmarkStart w:id="1588" w:name="_Toc467764294"/>
      <w:bookmarkStart w:id="1589" w:name="_Toc20216"/>
      <w:bookmarkStart w:id="1590" w:name="_Toc4774"/>
      <w:bookmarkStart w:id="1591" w:name="_Toc25272"/>
      <w:bookmarkStart w:id="1592" w:name="_Toc388189057"/>
      <w:r>
        <w:t>法定代表人（单位负责人）身份证明</w:t>
      </w:r>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p>
    <w:p>
      <w:pPr>
        <w:pStyle w:val="32"/>
        <w:ind w:left="0" w:leftChars="0" w:firstLine="0" w:firstLineChars="0"/>
        <w:rPr>
          <w:rFonts w:ascii="Times New Roman" w:hAnsi="Times New Roman"/>
          <w:sz w:val="24"/>
        </w:rPr>
      </w:pPr>
    </w:p>
    <w:p>
      <w:pPr>
        <w:widowControl w:val="0"/>
        <w:spacing w:line="360" w:lineRule="auto"/>
        <w:jc w:val="both"/>
        <w:textAlignment w:val="center"/>
        <w:rPr>
          <w:rFonts w:eastAsia="宋体"/>
          <w:sz w:val="24"/>
          <w:szCs w:val="21"/>
        </w:rPr>
      </w:pPr>
    </w:p>
    <w:p>
      <w:pPr>
        <w:widowControl w:val="0"/>
        <w:spacing w:line="360" w:lineRule="auto"/>
        <w:jc w:val="both"/>
        <w:textAlignment w:val="center"/>
        <w:rPr>
          <w:rFonts w:eastAsia="宋体"/>
          <w:szCs w:val="21"/>
          <w:u w:val="single"/>
        </w:rPr>
      </w:pPr>
      <w:r>
        <w:rPr>
          <w:rFonts w:eastAsia="宋体"/>
          <w:szCs w:val="21"/>
        </w:rPr>
        <w:t>投标人名称：</w:t>
      </w:r>
      <w:r>
        <w:rPr>
          <w:rFonts w:eastAsia="宋体"/>
          <w:szCs w:val="21"/>
          <w:u w:val="single"/>
        </w:rPr>
        <w:t xml:space="preserve">                                  </w:t>
      </w:r>
    </w:p>
    <w:p>
      <w:pPr>
        <w:widowControl w:val="0"/>
        <w:spacing w:line="360" w:lineRule="auto"/>
        <w:jc w:val="both"/>
        <w:textAlignment w:val="center"/>
        <w:rPr>
          <w:rFonts w:eastAsia="宋体"/>
          <w:szCs w:val="21"/>
          <w:u w:val="single"/>
        </w:rPr>
      </w:pPr>
      <w:r>
        <w:rPr>
          <w:rFonts w:eastAsia="宋体"/>
          <w:szCs w:val="21"/>
        </w:rPr>
        <w:t>单位性质：</w:t>
      </w:r>
      <w:r>
        <w:rPr>
          <w:rFonts w:eastAsia="宋体"/>
          <w:szCs w:val="21"/>
          <w:u w:val="single"/>
        </w:rPr>
        <w:t xml:space="preserve">                                    </w:t>
      </w:r>
    </w:p>
    <w:p>
      <w:pPr>
        <w:widowControl w:val="0"/>
        <w:spacing w:line="360" w:lineRule="auto"/>
        <w:jc w:val="both"/>
        <w:textAlignment w:val="center"/>
        <w:rPr>
          <w:rFonts w:eastAsia="宋体"/>
          <w:szCs w:val="21"/>
        </w:rPr>
      </w:pPr>
      <w:r>
        <w:rPr>
          <w:rFonts w:eastAsia="宋体"/>
          <w:szCs w:val="21"/>
        </w:rPr>
        <w:t>地址：</w:t>
      </w:r>
      <w:r>
        <w:rPr>
          <w:rFonts w:eastAsia="宋体"/>
          <w:szCs w:val="21"/>
          <w:u w:val="single"/>
        </w:rPr>
        <w:t xml:space="preserve">                                        </w:t>
      </w:r>
    </w:p>
    <w:p>
      <w:pPr>
        <w:widowControl w:val="0"/>
        <w:spacing w:line="360" w:lineRule="auto"/>
        <w:jc w:val="both"/>
        <w:textAlignment w:val="center"/>
        <w:rPr>
          <w:rFonts w:eastAsia="宋体"/>
          <w:szCs w:val="21"/>
        </w:rPr>
      </w:pPr>
      <w:r>
        <w:rPr>
          <w:rFonts w:eastAsia="宋体"/>
          <w:szCs w:val="21"/>
        </w:rPr>
        <w:t>成立时间：</w:t>
      </w:r>
      <w:r>
        <w:rPr>
          <w:rFonts w:eastAsia="宋体"/>
          <w:szCs w:val="21"/>
          <w:u w:val="single"/>
        </w:rPr>
        <w:t xml:space="preserve">            </w:t>
      </w:r>
      <w:r>
        <w:rPr>
          <w:rFonts w:eastAsia="宋体"/>
          <w:szCs w:val="21"/>
        </w:rPr>
        <w:t>年</w:t>
      </w:r>
      <w:r>
        <w:rPr>
          <w:rFonts w:eastAsia="宋体"/>
          <w:szCs w:val="21"/>
          <w:u w:val="single"/>
        </w:rPr>
        <w:t xml:space="preserve">         </w:t>
      </w:r>
      <w:r>
        <w:rPr>
          <w:rFonts w:eastAsia="宋体"/>
          <w:szCs w:val="21"/>
        </w:rPr>
        <w:t>月</w:t>
      </w:r>
      <w:r>
        <w:rPr>
          <w:rFonts w:eastAsia="宋体"/>
          <w:szCs w:val="21"/>
          <w:u w:val="single"/>
        </w:rPr>
        <w:t xml:space="preserve">         </w:t>
      </w:r>
      <w:r>
        <w:rPr>
          <w:rFonts w:eastAsia="宋体"/>
          <w:szCs w:val="21"/>
        </w:rPr>
        <w:t>日</w:t>
      </w:r>
    </w:p>
    <w:p>
      <w:pPr>
        <w:widowControl w:val="0"/>
        <w:spacing w:line="360" w:lineRule="auto"/>
        <w:jc w:val="both"/>
        <w:textAlignment w:val="center"/>
        <w:rPr>
          <w:rFonts w:eastAsia="宋体"/>
          <w:szCs w:val="21"/>
          <w:u w:val="single"/>
        </w:rPr>
      </w:pPr>
      <w:r>
        <w:rPr>
          <w:rFonts w:eastAsia="宋体"/>
          <w:szCs w:val="21"/>
        </w:rPr>
        <w:t>经营期限：</w:t>
      </w:r>
      <w:r>
        <w:rPr>
          <w:rFonts w:eastAsia="宋体"/>
          <w:szCs w:val="21"/>
          <w:u w:val="single"/>
        </w:rPr>
        <w:t xml:space="preserve">                       </w:t>
      </w:r>
    </w:p>
    <w:p>
      <w:pPr>
        <w:widowControl w:val="0"/>
        <w:spacing w:line="360" w:lineRule="auto"/>
        <w:jc w:val="both"/>
        <w:textAlignment w:val="center"/>
        <w:rPr>
          <w:rFonts w:eastAsia="宋体"/>
          <w:szCs w:val="21"/>
        </w:rPr>
      </w:pPr>
      <w:r>
        <w:rPr>
          <w:rFonts w:eastAsia="宋体"/>
          <w:szCs w:val="21"/>
        </w:rPr>
        <w:t>姓名：</w:t>
      </w:r>
      <w:r>
        <w:rPr>
          <w:rFonts w:eastAsia="宋体"/>
          <w:szCs w:val="21"/>
          <w:u w:val="single"/>
        </w:rPr>
        <w:t xml:space="preserve">            </w:t>
      </w:r>
      <w:r>
        <w:rPr>
          <w:rFonts w:eastAsia="宋体"/>
          <w:szCs w:val="21"/>
        </w:rPr>
        <w:t>性    别：</w:t>
      </w:r>
      <w:r>
        <w:rPr>
          <w:rFonts w:eastAsia="宋体"/>
          <w:szCs w:val="21"/>
          <w:u w:val="single"/>
        </w:rPr>
        <w:t xml:space="preserve">          </w:t>
      </w:r>
      <w:r>
        <w:rPr>
          <w:rFonts w:eastAsia="宋体"/>
          <w:szCs w:val="21"/>
        </w:rPr>
        <w:t>年龄：</w:t>
      </w:r>
      <w:r>
        <w:rPr>
          <w:rFonts w:eastAsia="宋体"/>
          <w:szCs w:val="21"/>
          <w:u w:val="single"/>
        </w:rPr>
        <w:t xml:space="preserve">          </w:t>
      </w:r>
      <w:r>
        <w:rPr>
          <w:rFonts w:eastAsia="宋体"/>
          <w:szCs w:val="21"/>
        </w:rPr>
        <w:t>职务：</w:t>
      </w:r>
      <w:r>
        <w:rPr>
          <w:rFonts w:eastAsia="宋体"/>
          <w:szCs w:val="21"/>
          <w:u w:val="single"/>
        </w:rPr>
        <w:t>　            　</w:t>
      </w:r>
    </w:p>
    <w:p>
      <w:pPr>
        <w:widowControl w:val="0"/>
        <w:spacing w:line="360" w:lineRule="auto"/>
        <w:jc w:val="both"/>
        <w:textAlignment w:val="center"/>
        <w:rPr>
          <w:rFonts w:eastAsia="宋体"/>
          <w:szCs w:val="21"/>
        </w:rPr>
      </w:pPr>
      <w:r>
        <w:rPr>
          <w:rFonts w:eastAsia="宋体"/>
          <w:szCs w:val="21"/>
        </w:rPr>
        <w:t>系</w:t>
      </w:r>
      <w:r>
        <w:rPr>
          <w:rFonts w:eastAsia="宋体"/>
          <w:szCs w:val="21"/>
          <w:u w:val="single"/>
        </w:rPr>
        <w:t xml:space="preserve">                    </w:t>
      </w:r>
      <w:r>
        <w:rPr>
          <w:rFonts w:eastAsia="宋体"/>
          <w:szCs w:val="21"/>
        </w:rPr>
        <w:t>（投标人名称）的法定代表人。</w:t>
      </w:r>
    </w:p>
    <w:p>
      <w:pPr>
        <w:widowControl w:val="0"/>
        <w:spacing w:line="360" w:lineRule="auto"/>
        <w:jc w:val="both"/>
        <w:textAlignment w:val="center"/>
        <w:rPr>
          <w:rFonts w:eastAsia="宋体"/>
          <w:szCs w:val="21"/>
        </w:rPr>
      </w:pPr>
      <w:r>
        <w:rPr>
          <w:rFonts w:eastAsia="宋体"/>
          <w:szCs w:val="21"/>
        </w:rPr>
        <w:t>特此证明。</w:t>
      </w:r>
    </w:p>
    <w:p>
      <w:pPr>
        <w:spacing w:line="360" w:lineRule="auto"/>
        <w:jc w:val="both"/>
        <w:rPr>
          <w:rFonts w:eastAsia="宋体"/>
          <w:szCs w:val="21"/>
        </w:rPr>
      </w:pPr>
    </w:p>
    <w:p>
      <w:pPr>
        <w:spacing w:line="360" w:lineRule="auto"/>
        <w:jc w:val="both"/>
        <w:rPr>
          <w:rFonts w:eastAsia="宋体"/>
          <w:szCs w:val="21"/>
        </w:rPr>
      </w:pPr>
      <w:r>
        <w:rPr>
          <w:rFonts w:eastAsia="宋体"/>
          <w:szCs w:val="21"/>
        </w:rPr>
        <w:t>附：法定代表人（单位负责人）身份证复印件。</w:t>
      </w:r>
    </w:p>
    <w:p>
      <w:pPr>
        <w:spacing w:line="360" w:lineRule="auto"/>
        <w:jc w:val="both"/>
        <w:rPr>
          <w:rFonts w:eastAsia="宋体"/>
          <w:szCs w:val="21"/>
        </w:rPr>
      </w:pPr>
    </w:p>
    <w:p>
      <w:pPr>
        <w:spacing w:line="360" w:lineRule="auto"/>
        <w:jc w:val="both"/>
        <w:rPr>
          <w:rFonts w:eastAsia="宋体"/>
          <w:szCs w:val="21"/>
        </w:rPr>
      </w:pPr>
      <w:r>
        <w:rPr>
          <w:rFonts w:eastAsia="宋体"/>
          <w:szCs w:val="21"/>
        </w:rPr>
        <w:t>注：本身份证明需由投标人加盖单位公章。</w:t>
      </w:r>
    </w:p>
    <w:p>
      <w:pPr>
        <w:widowControl w:val="0"/>
        <w:spacing w:line="360" w:lineRule="auto"/>
        <w:jc w:val="both"/>
        <w:textAlignment w:val="center"/>
        <w:rPr>
          <w:rFonts w:eastAsia="宋体"/>
          <w:szCs w:val="21"/>
        </w:rPr>
      </w:pPr>
    </w:p>
    <w:tbl>
      <w:tblPr>
        <w:tblStyle w:val="6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3" w:hRule="atLeast"/>
        </w:trPr>
        <w:tc>
          <w:tcPr>
            <w:tcW w:w="9174" w:type="dxa"/>
            <w:noWrap w:val="0"/>
            <w:vAlign w:val="center"/>
          </w:tcPr>
          <w:p>
            <w:pPr>
              <w:widowControl w:val="0"/>
              <w:adjustRightInd w:val="0"/>
              <w:snapToGrid w:val="0"/>
              <w:spacing w:line="360" w:lineRule="auto"/>
              <w:ind w:left="707" w:leftChars="150" w:hanging="392" w:hangingChars="187"/>
              <w:jc w:val="center"/>
              <w:textAlignment w:val="center"/>
              <w:rPr>
                <w:rFonts w:eastAsia="宋体"/>
                <w:szCs w:val="21"/>
              </w:rPr>
            </w:pPr>
            <w:r>
              <w:rPr>
                <w:rFonts w:eastAsia="宋体"/>
                <w:szCs w:val="21"/>
              </w:rPr>
              <w:t>法定代表人身份证复印件</w:t>
            </w:r>
          </w:p>
        </w:tc>
      </w:tr>
    </w:tbl>
    <w:p>
      <w:pPr>
        <w:widowControl w:val="0"/>
        <w:adjustRightInd w:val="0"/>
        <w:snapToGrid w:val="0"/>
        <w:spacing w:line="360" w:lineRule="auto"/>
        <w:ind w:left="707" w:leftChars="150" w:hanging="392" w:hangingChars="187"/>
        <w:jc w:val="both"/>
        <w:textAlignment w:val="center"/>
        <w:rPr>
          <w:rFonts w:eastAsia="宋体"/>
          <w:szCs w:val="21"/>
        </w:rPr>
      </w:pPr>
    </w:p>
    <w:p>
      <w:pPr>
        <w:widowControl w:val="0"/>
        <w:adjustRightInd w:val="0"/>
        <w:snapToGrid w:val="0"/>
        <w:spacing w:line="360" w:lineRule="auto"/>
        <w:ind w:left="707" w:leftChars="150" w:hanging="392" w:hangingChars="187"/>
        <w:jc w:val="right"/>
        <w:textAlignment w:val="center"/>
        <w:rPr>
          <w:rFonts w:eastAsia="宋体"/>
          <w:szCs w:val="21"/>
          <w:u w:val="single"/>
        </w:rPr>
      </w:pPr>
      <w:r>
        <w:rPr>
          <w:rFonts w:eastAsia="宋体"/>
          <w:szCs w:val="21"/>
        </w:rPr>
        <w:t xml:space="preserve">                             投标人：</w:t>
      </w:r>
      <w:r>
        <w:rPr>
          <w:rFonts w:eastAsia="宋体"/>
          <w:szCs w:val="21"/>
          <w:u w:val="single"/>
        </w:rPr>
        <w:t xml:space="preserve">                     </w:t>
      </w:r>
      <w:r>
        <w:rPr>
          <w:rFonts w:eastAsia="宋体"/>
          <w:szCs w:val="21"/>
        </w:rPr>
        <w:t>（盖单位公章）</w:t>
      </w:r>
    </w:p>
    <w:p>
      <w:pPr>
        <w:widowControl w:val="0"/>
        <w:adjustRightInd w:val="0"/>
        <w:snapToGrid w:val="0"/>
        <w:spacing w:line="360" w:lineRule="auto"/>
        <w:ind w:left="707" w:leftChars="150" w:right="420" w:hanging="392" w:hangingChars="187"/>
        <w:jc w:val="right"/>
        <w:textAlignment w:val="center"/>
        <w:rPr>
          <w:rFonts w:eastAsia="宋体"/>
          <w:szCs w:val="21"/>
        </w:rPr>
      </w:pPr>
      <w:r>
        <w:rPr>
          <w:rFonts w:eastAsia="宋体"/>
          <w:szCs w:val="21"/>
        </w:rPr>
        <w:t xml:space="preserve">                                        </w:t>
      </w:r>
      <w:r>
        <w:rPr>
          <w:rFonts w:eastAsia="宋体"/>
          <w:szCs w:val="21"/>
          <w:u w:val="single"/>
        </w:rPr>
        <w:t xml:space="preserve">          </w:t>
      </w:r>
      <w:r>
        <w:rPr>
          <w:rFonts w:eastAsia="宋体"/>
          <w:szCs w:val="21"/>
        </w:rPr>
        <w:t>年</w:t>
      </w:r>
      <w:r>
        <w:rPr>
          <w:rFonts w:eastAsia="宋体"/>
          <w:szCs w:val="21"/>
          <w:u w:val="single"/>
        </w:rPr>
        <w:t xml:space="preserve"> 　 　</w:t>
      </w:r>
      <w:r>
        <w:rPr>
          <w:rFonts w:eastAsia="宋体"/>
          <w:szCs w:val="21"/>
        </w:rPr>
        <w:t>月</w:t>
      </w:r>
      <w:r>
        <w:rPr>
          <w:rFonts w:eastAsia="宋体"/>
          <w:szCs w:val="21"/>
          <w:u w:val="single"/>
        </w:rPr>
        <w:t xml:space="preserve"> 　　</w:t>
      </w:r>
      <w:r>
        <w:rPr>
          <w:rFonts w:eastAsia="宋体"/>
          <w:szCs w:val="21"/>
        </w:rPr>
        <w:t>日</w:t>
      </w:r>
    </w:p>
    <w:p>
      <w:pPr>
        <w:rPr>
          <w:rFonts w:eastAsia="宋体"/>
          <w:szCs w:val="21"/>
        </w:rPr>
      </w:pPr>
    </w:p>
    <w:p>
      <w:pPr>
        <w:pStyle w:val="4"/>
        <w:numPr>
          <w:ilvl w:val="0"/>
          <w:numId w:val="16"/>
        </w:numPr>
        <w:spacing w:before="0" w:after="0"/>
        <w:ind w:left="0" w:firstLine="0"/>
      </w:pPr>
      <w:bookmarkStart w:id="1593" w:name="_Toc24345"/>
      <w:bookmarkStart w:id="1594" w:name="_Toc455145949"/>
      <w:bookmarkStart w:id="1595" w:name="_Toc2797"/>
      <w:bookmarkStart w:id="1596" w:name="_Toc514430469"/>
      <w:bookmarkStart w:id="1597" w:name="_Toc5627"/>
      <w:bookmarkStart w:id="1598" w:name="_Toc7783"/>
      <w:bookmarkStart w:id="1599" w:name="_Toc388189058"/>
      <w:bookmarkStart w:id="1600" w:name="_Toc17963"/>
      <w:bookmarkStart w:id="1601" w:name="_Toc534461583"/>
      <w:bookmarkStart w:id="1602" w:name="_Toc12517"/>
      <w:bookmarkStart w:id="1603" w:name="_Toc21014"/>
      <w:bookmarkStart w:id="1604" w:name="_Toc8379"/>
      <w:bookmarkStart w:id="1605" w:name="_Toc459729771"/>
      <w:bookmarkStart w:id="1606" w:name="_Toc467764295"/>
      <w:bookmarkStart w:id="1607" w:name="_Toc21361"/>
      <w:bookmarkStart w:id="1608" w:name="_Toc23027"/>
      <w:bookmarkStart w:id="1609" w:name="_Toc25789"/>
      <w:bookmarkStart w:id="1610" w:name="_Toc29790"/>
      <w:r>
        <w:t>授权委托书</w:t>
      </w:r>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p>
    <w:p>
      <w:pPr>
        <w:spacing w:line="360" w:lineRule="auto"/>
        <w:ind w:firstLine="420" w:firstLineChars="200"/>
        <w:jc w:val="both"/>
        <w:rPr>
          <w:rFonts w:eastAsia="宋体"/>
          <w:szCs w:val="21"/>
        </w:rPr>
      </w:pPr>
      <w:bookmarkStart w:id="1611" w:name="_Toc32707"/>
      <w:bookmarkStart w:id="1612" w:name="_Toc514430470"/>
      <w:bookmarkStart w:id="1613" w:name="_Toc4842"/>
      <w:bookmarkStart w:id="1614" w:name="_Toc6638"/>
      <w:bookmarkStart w:id="1615" w:name="_Toc28358"/>
      <w:bookmarkStart w:id="1616" w:name="_Toc534461584"/>
      <w:bookmarkStart w:id="1617" w:name="_Toc20377"/>
      <w:bookmarkStart w:id="1618" w:name="_Toc11618"/>
      <w:bookmarkStart w:id="1619" w:name="_Toc20414"/>
      <w:bookmarkStart w:id="1620" w:name="_Toc22203"/>
      <w:bookmarkStart w:id="1621" w:name="_Toc21588"/>
      <w:bookmarkStart w:id="1622" w:name="_Toc17824"/>
      <w:bookmarkStart w:id="1623" w:name="_Toc23539"/>
      <w:r>
        <w:rPr>
          <w:rFonts w:eastAsia="宋体"/>
          <w:szCs w:val="21"/>
        </w:rPr>
        <w:t>本人</w:t>
      </w:r>
      <w:r>
        <w:rPr>
          <w:rFonts w:eastAsia="宋体"/>
          <w:szCs w:val="21"/>
          <w:u w:val="single"/>
        </w:rPr>
        <w:t xml:space="preserve">           </w:t>
      </w:r>
      <w:r>
        <w:rPr>
          <w:rFonts w:eastAsia="宋体"/>
          <w:szCs w:val="21"/>
        </w:rPr>
        <w:t>（姓名），系</w:t>
      </w:r>
      <w:r>
        <w:rPr>
          <w:rFonts w:eastAsia="宋体"/>
          <w:szCs w:val="21"/>
          <w:u w:val="single"/>
        </w:rPr>
        <w:t xml:space="preserve">                            （</w:t>
      </w:r>
      <w:r>
        <w:rPr>
          <w:rFonts w:eastAsia="宋体"/>
          <w:szCs w:val="21"/>
        </w:rPr>
        <w:t>投标人名称）的法定代表人（单位负责人），现委托</w:t>
      </w:r>
      <w:r>
        <w:rPr>
          <w:rFonts w:eastAsia="宋体"/>
          <w:szCs w:val="21"/>
          <w:u w:val="single"/>
        </w:rPr>
        <w:t xml:space="preserve">                </w:t>
      </w:r>
      <w:r>
        <w:rPr>
          <w:rFonts w:eastAsia="宋体"/>
          <w:szCs w:val="21"/>
        </w:rPr>
        <w:t>（姓名）为我方代理人，代理人有权以我方名义签署、澄清确认、递交、撤回、修改</w:t>
      </w:r>
      <w:r>
        <w:rPr>
          <w:rFonts w:eastAsia="宋体"/>
          <w:szCs w:val="21"/>
          <w:u w:val="single"/>
        </w:rPr>
        <w:t xml:space="preserve">        </w:t>
      </w:r>
      <w:r>
        <w:rPr>
          <w:rFonts w:eastAsia="宋体"/>
          <w:szCs w:val="21"/>
        </w:rPr>
        <w:t>项目投标文件、签订合同和处理有关事宜，其法律后果由我方承担。</w:t>
      </w:r>
    </w:p>
    <w:p>
      <w:pPr>
        <w:spacing w:line="360" w:lineRule="auto"/>
        <w:ind w:firstLine="420" w:firstLineChars="200"/>
        <w:jc w:val="both"/>
        <w:rPr>
          <w:rFonts w:eastAsia="宋体"/>
          <w:szCs w:val="21"/>
        </w:rPr>
      </w:pPr>
      <w:r>
        <w:rPr>
          <w:rFonts w:eastAsia="宋体"/>
          <w:szCs w:val="21"/>
        </w:rPr>
        <w:t>代理人无转委托权。</w:t>
      </w:r>
    </w:p>
    <w:p>
      <w:pPr>
        <w:spacing w:line="360" w:lineRule="auto"/>
        <w:ind w:firstLine="420" w:firstLineChars="200"/>
        <w:jc w:val="both"/>
        <w:rPr>
          <w:rFonts w:eastAsia="宋体"/>
          <w:szCs w:val="21"/>
        </w:rPr>
      </w:pPr>
    </w:p>
    <w:p>
      <w:pPr>
        <w:spacing w:line="360" w:lineRule="auto"/>
        <w:ind w:firstLine="420" w:firstLineChars="200"/>
        <w:jc w:val="both"/>
        <w:rPr>
          <w:rFonts w:eastAsia="宋体"/>
          <w:szCs w:val="21"/>
        </w:rPr>
      </w:pPr>
    </w:p>
    <w:p>
      <w:pPr>
        <w:spacing w:line="360" w:lineRule="auto"/>
        <w:ind w:firstLine="420" w:firstLineChars="200"/>
        <w:jc w:val="both"/>
        <w:rPr>
          <w:rFonts w:eastAsia="宋体"/>
          <w:szCs w:val="21"/>
        </w:rPr>
      </w:pPr>
      <w:r>
        <w:rPr>
          <w:rFonts w:eastAsia="宋体"/>
          <w:szCs w:val="21"/>
        </w:rPr>
        <w:t>附：法定代表人（单位负责人）身份证复印件及委托代理人身份证复印件</w:t>
      </w:r>
    </w:p>
    <w:p>
      <w:pPr>
        <w:spacing w:line="360" w:lineRule="auto"/>
        <w:ind w:firstLine="420" w:firstLineChars="200"/>
        <w:jc w:val="both"/>
        <w:rPr>
          <w:rFonts w:eastAsia="宋体"/>
          <w:szCs w:val="21"/>
        </w:rPr>
      </w:pPr>
      <w:r>
        <w:rPr>
          <w:rFonts w:eastAsia="宋体"/>
          <w:szCs w:val="21"/>
        </w:rPr>
        <w:t>注：本授权委托书需由投标人加盖单位公章并由其法定代表人（单位负责人）和委托代理人签字。</w:t>
      </w:r>
    </w:p>
    <w:p>
      <w:pPr>
        <w:spacing w:line="360" w:lineRule="auto"/>
        <w:ind w:firstLine="420" w:firstLineChars="200"/>
        <w:jc w:val="both"/>
        <w:rPr>
          <w:rFonts w:eastAsia="宋体"/>
          <w:szCs w:val="21"/>
        </w:rPr>
      </w:pPr>
    </w:p>
    <w:p>
      <w:pPr>
        <w:spacing w:line="360" w:lineRule="auto"/>
        <w:ind w:firstLine="420" w:firstLineChars="200"/>
        <w:jc w:val="both"/>
        <w:rPr>
          <w:rFonts w:eastAsia="宋体"/>
          <w:szCs w:val="21"/>
        </w:rPr>
      </w:pPr>
    </w:p>
    <w:p>
      <w:pPr>
        <w:spacing w:line="360" w:lineRule="auto"/>
        <w:ind w:firstLine="420" w:firstLineChars="200"/>
        <w:jc w:val="both"/>
        <w:rPr>
          <w:rFonts w:eastAsia="宋体"/>
          <w:szCs w:val="21"/>
        </w:rPr>
      </w:pPr>
    </w:p>
    <w:p>
      <w:pPr>
        <w:spacing w:line="500" w:lineRule="exact"/>
        <w:ind w:left="315" w:firstLine="2236" w:firstLineChars="1065"/>
        <w:rPr>
          <w:rFonts w:eastAsia="宋体"/>
          <w:szCs w:val="21"/>
        </w:rPr>
      </w:pPr>
      <w:r>
        <w:rPr>
          <w:rFonts w:eastAsia="宋体"/>
          <w:szCs w:val="21"/>
        </w:rPr>
        <w:t>投标人：</w:t>
      </w:r>
      <w:r>
        <w:rPr>
          <w:rFonts w:eastAsia="宋体"/>
          <w:szCs w:val="21"/>
          <w:u w:val="single"/>
        </w:rPr>
        <w:t xml:space="preserve">                                        </w:t>
      </w:r>
      <w:r>
        <w:rPr>
          <w:rFonts w:eastAsia="宋体"/>
          <w:szCs w:val="21"/>
        </w:rPr>
        <w:t>（盖单位公章）</w:t>
      </w:r>
    </w:p>
    <w:p>
      <w:pPr>
        <w:spacing w:line="500" w:lineRule="exact"/>
        <w:ind w:left="315" w:firstLine="2236" w:firstLineChars="1065"/>
        <w:rPr>
          <w:rFonts w:eastAsia="宋体"/>
          <w:szCs w:val="21"/>
        </w:rPr>
      </w:pPr>
      <w:r>
        <w:rPr>
          <w:rFonts w:eastAsia="宋体"/>
          <w:szCs w:val="21"/>
        </w:rPr>
        <w:t>法定代表人（单位负责人）：</w:t>
      </w:r>
      <w:r>
        <w:rPr>
          <w:rFonts w:eastAsia="宋体"/>
          <w:szCs w:val="21"/>
          <w:u w:val="single"/>
        </w:rPr>
        <w:t xml:space="preserve">                            </w:t>
      </w:r>
      <w:r>
        <w:rPr>
          <w:rFonts w:eastAsia="宋体"/>
          <w:szCs w:val="21"/>
        </w:rPr>
        <w:t>（签字）</w:t>
      </w:r>
    </w:p>
    <w:p>
      <w:pPr>
        <w:spacing w:line="500" w:lineRule="exact"/>
        <w:ind w:left="315" w:firstLine="2236" w:firstLineChars="1065"/>
        <w:rPr>
          <w:rFonts w:eastAsia="宋体"/>
          <w:szCs w:val="21"/>
        </w:rPr>
      </w:pPr>
      <w:r>
        <w:rPr>
          <w:rFonts w:eastAsia="宋体"/>
          <w:szCs w:val="21"/>
        </w:rPr>
        <w:t>身份证号码：</w:t>
      </w:r>
      <w:r>
        <w:rPr>
          <w:rFonts w:eastAsia="宋体"/>
          <w:szCs w:val="21"/>
          <w:u w:val="single"/>
        </w:rPr>
        <w:t xml:space="preserve">                                                 </w:t>
      </w:r>
    </w:p>
    <w:p>
      <w:pPr>
        <w:spacing w:line="500" w:lineRule="exact"/>
        <w:ind w:left="315" w:firstLine="2236" w:firstLineChars="1065"/>
        <w:rPr>
          <w:rFonts w:eastAsia="宋体"/>
          <w:szCs w:val="21"/>
        </w:rPr>
      </w:pPr>
      <w:r>
        <w:rPr>
          <w:rFonts w:eastAsia="宋体"/>
          <w:szCs w:val="21"/>
        </w:rPr>
        <w:t>委托代理人：</w:t>
      </w:r>
      <w:r>
        <w:rPr>
          <w:rFonts w:eastAsia="宋体"/>
          <w:szCs w:val="21"/>
          <w:u w:val="single"/>
        </w:rPr>
        <w:t xml:space="preserve">                                          </w:t>
      </w:r>
      <w:r>
        <w:rPr>
          <w:rFonts w:eastAsia="宋体"/>
          <w:szCs w:val="21"/>
        </w:rPr>
        <w:t>（签字）</w:t>
      </w:r>
    </w:p>
    <w:p>
      <w:pPr>
        <w:spacing w:line="500" w:lineRule="exact"/>
        <w:ind w:left="315" w:firstLine="2236" w:firstLineChars="1065"/>
        <w:rPr>
          <w:rFonts w:eastAsia="宋体"/>
          <w:szCs w:val="21"/>
        </w:rPr>
      </w:pPr>
      <w:r>
        <w:rPr>
          <w:rFonts w:eastAsia="宋体"/>
          <w:szCs w:val="21"/>
        </w:rPr>
        <w:t>身份证号码：</w:t>
      </w:r>
      <w:r>
        <w:rPr>
          <w:rFonts w:eastAsia="宋体"/>
          <w:szCs w:val="21"/>
          <w:u w:val="single"/>
        </w:rPr>
        <w:t xml:space="preserve">                                                  </w:t>
      </w:r>
    </w:p>
    <w:p>
      <w:pPr>
        <w:spacing w:line="380" w:lineRule="exact"/>
        <w:ind w:left="315" w:right="-29"/>
        <w:jc w:val="right"/>
        <w:rPr>
          <w:rFonts w:eastAsia="宋体"/>
          <w:szCs w:val="21"/>
        </w:rPr>
      </w:pPr>
      <w:r>
        <w:rPr>
          <w:rFonts w:eastAsia="宋体"/>
          <w:szCs w:val="21"/>
          <w:u w:val="single"/>
        </w:rPr>
        <w:t xml:space="preserve">            </w:t>
      </w:r>
      <w:r>
        <w:rPr>
          <w:rFonts w:eastAsia="宋体"/>
          <w:szCs w:val="21"/>
        </w:rPr>
        <w:t>年</w:t>
      </w:r>
      <w:r>
        <w:rPr>
          <w:rFonts w:eastAsia="宋体"/>
          <w:szCs w:val="21"/>
          <w:u w:val="single"/>
        </w:rPr>
        <w:t xml:space="preserve">     </w:t>
      </w:r>
      <w:r>
        <w:rPr>
          <w:rFonts w:eastAsia="宋体"/>
          <w:szCs w:val="21"/>
        </w:rPr>
        <w:t>月</w:t>
      </w:r>
      <w:r>
        <w:rPr>
          <w:rFonts w:eastAsia="宋体"/>
          <w:szCs w:val="21"/>
          <w:u w:val="single"/>
        </w:rPr>
        <w:t xml:space="preserve">     </w:t>
      </w:r>
      <w:r>
        <w:rPr>
          <w:rFonts w:eastAsia="宋体"/>
          <w:szCs w:val="21"/>
        </w:rPr>
        <w:t>日</w:t>
      </w:r>
    </w:p>
    <w:p>
      <w:pPr>
        <w:rPr>
          <w:rFonts w:eastAsia="宋体"/>
          <w:szCs w:val="21"/>
        </w:rPr>
      </w:pPr>
      <w:r>
        <w:br w:type="page"/>
      </w:r>
      <w:bookmarkEnd w:id="1611"/>
      <w:bookmarkEnd w:id="1612"/>
      <w:bookmarkEnd w:id="1613"/>
      <w:bookmarkEnd w:id="1614"/>
      <w:bookmarkEnd w:id="1615"/>
      <w:bookmarkEnd w:id="1616"/>
      <w:bookmarkEnd w:id="1617"/>
      <w:bookmarkEnd w:id="1618"/>
      <w:bookmarkEnd w:id="1619"/>
      <w:bookmarkEnd w:id="1620"/>
      <w:bookmarkEnd w:id="1621"/>
      <w:bookmarkEnd w:id="1622"/>
      <w:bookmarkEnd w:id="1623"/>
    </w:p>
    <w:p>
      <w:pPr>
        <w:pStyle w:val="4"/>
        <w:numPr>
          <w:ilvl w:val="0"/>
          <w:numId w:val="14"/>
        </w:numPr>
        <w:spacing w:before="0" w:after="0"/>
        <w:ind w:left="0" w:firstLine="0"/>
      </w:pPr>
      <w:bookmarkStart w:id="1624" w:name="_Toc534461586"/>
      <w:bookmarkStart w:id="1625" w:name="_Toc21415"/>
      <w:r>
        <w:t>商务偏差表</w:t>
      </w:r>
      <w:bookmarkEnd w:id="1624"/>
      <w:bookmarkEnd w:id="1625"/>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2551"/>
        <w:gridCol w:w="3705"/>
        <w:gridCol w:w="2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noWrap w:val="0"/>
            <w:vAlign w:val="top"/>
          </w:tcPr>
          <w:p>
            <w:pPr>
              <w:spacing w:line="360" w:lineRule="auto"/>
              <w:jc w:val="center"/>
              <w:rPr>
                <w:rFonts w:eastAsia="宋体"/>
                <w:szCs w:val="21"/>
              </w:rPr>
            </w:pPr>
            <w:r>
              <w:rPr>
                <w:rFonts w:eastAsia="宋体"/>
                <w:b/>
                <w:bCs/>
                <w:szCs w:val="21"/>
              </w:rPr>
              <w:t>序号</w:t>
            </w:r>
          </w:p>
        </w:tc>
        <w:tc>
          <w:tcPr>
            <w:tcW w:w="2551" w:type="dxa"/>
            <w:noWrap w:val="0"/>
            <w:vAlign w:val="top"/>
          </w:tcPr>
          <w:p>
            <w:pPr>
              <w:spacing w:line="360" w:lineRule="auto"/>
              <w:jc w:val="center"/>
              <w:rPr>
                <w:rFonts w:eastAsia="宋体"/>
                <w:szCs w:val="21"/>
              </w:rPr>
            </w:pPr>
            <w:r>
              <w:rPr>
                <w:rFonts w:eastAsia="宋体"/>
                <w:b/>
                <w:bCs/>
                <w:szCs w:val="21"/>
              </w:rPr>
              <w:t>招标文件章节及条款号</w:t>
            </w:r>
          </w:p>
        </w:tc>
        <w:tc>
          <w:tcPr>
            <w:tcW w:w="3705" w:type="dxa"/>
            <w:noWrap w:val="0"/>
            <w:vAlign w:val="top"/>
          </w:tcPr>
          <w:p>
            <w:pPr>
              <w:spacing w:line="360" w:lineRule="auto"/>
              <w:jc w:val="center"/>
              <w:rPr>
                <w:rFonts w:eastAsia="宋体"/>
                <w:szCs w:val="21"/>
              </w:rPr>
            </w:pPr>
            <w:r>
              <w:rPr>
                <w:rFonts w:eastAsia="宋体"/>
                <w:b/>
                <w:bCs/>
                <w:szCs w:val="21"/>
              </w:rPr>
              <w:t>投标文件商务部分章节及条款号</w:t>
            </w:r>
          </w:p>
        </w:tc>
        <w:tc>
          <w:tcPr>
            <w:tcW w:w="2423" w:type="dxa"/>
            <w:noWrap w:val="0"/>
            <w:vAlign w:val="top"/>
          </w:tcPr>
          <w:p>
            <w:pPr>
              <w:spacing w:line="360" w:lineRule="auto"/>
              <w:jc w:val="center"/>
              <w:rPr>
                <w:rFonts w:eastAsia="宋体"/>
                <w:szCs w:val="21"/>
              </w:rPr>
            </w:pPr>
            <w:r>
              <w:rPr>
                <w:rFonts w:eastAsia="宋体"/>
                <w:b/>
                <w:bCs/>
                <w:w w:val="97"/>
                <w:szCs w:val="21"/>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noWrap w:val="0"/>
            <w:vAlign w:val="top"/>
          </w:tcPr>
          <w:p>
            <w:pPr>
              <w:spacing w:line="360" w:lineRule="auto"/>
              <w:jc w:val="center"/>
              <w:rPr>
                <w:rFonts w:eastAsia="宋体"/>
                <w:szCs w:val="21"/>
              </w:rPr>
            </w:pPr>
            <w:r>
              <w:rPr>
                <w:rFonts w:eastAsia="宋体"/>
                <w:szCs w:val="21"/>
              </w:rPr>
              <w:t>1</w:t>
            </w:r>
          </w:p>
        </w:tc>
        <w:tc>
          <w:tcPr>
            <w:tcW w:w="2551" w:type="dxa"/>
            <w:noWrap w:val="0"/>
            <w:vAlign w:val="top"/>
          </w:tcPr>
          <w:p>
            <w:pPr>
              <w:spacing w:line="360" w:lineRule="auto"/>
              <w:rPr>
                <w:rFonts w:eastAsia="宋体"/>
                <w:szCs w:val="21"/>
              </w:rPr>
            </w:pPr>
          </w:p>
        </w:tc>
        <w:tc>
          <w:tcPr>
            <w:tcW w:w="3705" w:type="dxa"/>
            <w:noWrap w:val="0"/>
            <w:vAlign w:val="top"/>
          </w:tcPr>
          <w:p>
            <w:pPr>
              <w:spacing w:line="360" w:lineRule="auto"/>
              <w:rPr>
                <w:rFonts w:eastAsia="宋体"/>
                <w:szCs w:val="21"/>
              </w:rPr>
            </w:pPr>
          </w:p>
        </w:tc>
        <w:tc>
          <w:tcPr>
            <w:tcW w:w="2423" w:type="dxa"/>
            <w:noWrap w:val="0"/>
            <w:vAlign w:val="top"/>
          </w:tcPr>
          <w:p>
            <w:pPr>
              <w:spacing w:line="360" w:lineRule="auto"/>
              <w:rPr>
                <w:rFonts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noWrap w:val="0"/>
            <w:vAlign w:val="top"/>
          </w:tcPr>
          <w:p>
            <w:pPr>
              <w:spacing w:line="360" w:lineRule="auto"/>
              <w:jc w:val="center"/>
              <w:rPr>
                <w:rFonts w:eastAsia="宋体"/>
                <w:szCs w:val="21"/>
              </w:rPr>
            </w:pPr>
            <w:r>
              <w:rPr>
                <w:rFonts w:eastAsia="宋体"/>
                <w:szCs w:val="21"/>
              </w:rPr>
              <w:t>2</w:t>
            </w:r>
          </w:p>
        </w:tc>
        <w:tc>
          <w:tcPr>
            <w:tcW w:w="2551" w:type="dxa"/>
            <w:noWrap w:val="0"/>
            <w:vAlign w:val="top"/>
          </w:tcPr>
          <w:p>
            <w:pPr>
              <w:spacing w:line="360" w:lineRule="auto"/>
              <w:rPr>
                <w:rFonts w:eastAsia="宋体"/>
                <w:szCs w:val="21"/>
              </w:rPr>
            </w:pPr>
          </w:p>
        </w:tc>
        <w:tc>
          <w:tcPr>
            <w:tcW w:w="3705" w:type="dxa"/>
            <w:noWrap w:val="0"/>
            <w:vAlign w:val="top"/>
          </w:tcPr>
          <w:p>
            <w:pPr>
              <w:spacing w:line="360" w:lineRule="auto"/>
              <w:rPr>
                <w:rFonts w:eastAsia="宋体"/>
                <w:szCs w:val="21"/>
              </w:rPr>
            </w:pPr>
          </w:p>
        </w:tc>
        <w:tc>
          <w:tcPr>
            <w:tcW w:w="2423" w:type="dxa"/>
            <w:noWrap w:val="0"/>
            <w:vAlign w:val="top"/>
          </w:tcPr>
          <w:p>
            <w:pPr>
              <w:spacing w:line="360" w:lineRule="auto"/>
              <w:rPr>
                <w:rFonts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noWrap w:val="0"/>
            <w:vAlign w:val="top"/>
          </w:tcPr>
          <w:p>
            <w:pPr>
              <w:spacing w:line="360" w:lineRule="auto"/>
              <w:jc w:val="center"/>
              <w:rPr>
                <w:rFonts w:eastAsia="宋体"/>
                <w:szCs w:val="21"/>
              </w:rPr>
            </w:pPr>
            <w:r>
              <w:rPr>
                <w:rFonts w:eastAsia="宋体"/>
                <w:szCs w:val="21"/>
              </w:rPr>
              <w:t>3</w:t>
            </w:r>
          </w:p>
        </w:tc>
        <w:tc>
          <w:tcPr>
            <w:tcW w:w="2551" w:type="dxa"/>
            <w:noWrap w:val="0"/>
            <w:vAlign w:val="top"/>
          </w:tcPr>
          <w:p>
            <w:pPr>
              <w:spacing w:line="360" w:lineRule="auto"/>
              <w:rPr>
                <w:rFonts w:eastAsia="宋体"/>
                <w:szCs w:val="21"/>
              </w:rPr>
            </w:pPr>
          </w:p>
        </w:tc>
        <w:tc>
          <w:tcPr>
            <w:tcW w:w="3705" w:type="dxa"/>
            <w:noWrap w:val="0"/>
            <w:vAlign w:val="top"/>
          </w:tcPr>
          <w:p>
            <w:pPr>
              <w:spacing w:line="360" w:lineRule="auto"/>
              <w:rPr>
                <w:rFonts w:eastAsia="宋体"/>
                <w:szCs w:val="21"/>
              </w:rPr>
            </w:pPr>
          </w:p>
        </w:tc>
        <w:tc>
          <w:tcPr>
            <w:tcW w:w="2423" w:type="dxa"/>
            <w:noWrap w:val="0"/>
            <w:vAlign w:val="top"/>
          </w:tcPr>
          <w:p>
            <w:pPr>
              <w:spacing w:line="360" w:lineRule="auto"/>
              <w:rPr>
                <w:rFonts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noWrap w:val="0"/>
            <w:vAlign w:val="top"/>
          </w:tcPr>
          <w:p>
            <w:pPr>
              <w:spacing w:line="360" w:lineRule="auto"/>
              <w:jc w:val="center"/>
              <w:rPr>
                <w:rFonts w:eastAsia="宋体"/>
                <w:szCs w:val="21"/>
              </w:rPr>
            </w:pPr>
            <w:r>
              <w:rPr>
                <w:rFonts w:eastAsia="宋体"/>
                <w:szCs w:val="21"/>
              </w:rPr>
              <w:t>4</w:t>
            </w:r>
          </w:p>
        </w:tc>
        <w:tc>
          <w:tcPr>
            <w:tcW w:w="2551" w:type="dxa"/>
            <w:noWrap w:val="0"/>
            <w:vAlign w:val="top"/>
          </w:tcPr>
          <w:p>
            <w:pPr>
              <w:spacing w:line="360" w:lineRule="auto"/>
              <w:rPr>
                <w:rFonts w:eastAsia="宋体"/>
                <w:szCs w:val="21"/>
              </w:rPr>
            </w:pPr>
          </w:p>
        </w:tc>
        <w:tc>
          <w:tcPr>
            <w:tcW w:w="3705" w:type="dxa"/>
            <w:noWrap w:val="0"/>
            <w:vAlign w:val="top"/>
          </w:tcPr>
          <w:p>
            <w:pPr>
              <w:spacing w:line="360" w:lineRule="auto"/>
              <w:rPr>
                <w:rFonts w:eastAsia="宋体"/>
                <w:szCs w:val="21"/>
              </w:rPr>
            </w:pPr>
          </w:p>
        </w:tc>
        <w:tc>
          <w:tcPr>
            <w:tcW w:w="2423" w:type="dxa"/>
            <w:noWrap w:val="0"/>
            <w:vAlign w:val="top"/>
          </w:tcPr>
          <w:p>
            <w:pPr>
              <w:spacing w:line="360" w:lineRule="auto"/>
              <w:rPr>
                <w:rFonts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noWrap w:val="0"/>
            <w:vAlign w:val="top"/>
          </w:tcPr>
          <w:p>
            <w:pPr>
              <w:spacing w:line="360" w:lineRule="auto"/>
              <w:jc w:val="center"/>
              <w:rPr>
                <w:rFonts w:eastAsia="宋体"/>
                <w:szCs w:val="21"/>
              </w:rPr>
            </w:pPr>
            <w:r>
              <w:rPr>
                <w:rFonts w:eastAsia="宋体"/>
                <w:szCs w:val="21"/>
              </w:rPr>
              <w:t>5</w:t>
            </w:r>
          </w:p>
        </w:tc>
        <w:tc>
          <w:tcPr>
            <w:tcW w:w="2551" w:type="dxa"/>
            <w:noWrap w:val="0"/>
            <w:vAlign w:val="top"/>
          </w:tcPr>
          <w:p>
            <w:pPr>
              <w:spacing w:line="360" w:lineRule="auto"/>
              <w:rPr>
                <w:rFonts w:eastAsia="宋体"/>
                <w:szCs w:val="21"/>
              </w:rPr>
            </w:pPr>
          </w:p>
        </w:tc>
        <w:tc>
          <w:tcPr>
            <w:tcW w:w="3705" w:type="dxa"/>
            <w:noWrap w:val="0"/>
            <w:vAlign w:val="top"/>
          </w:tcPr>
          <w:p>
            <w:pPr>
              <w:spacing w:line="360" w:lineRule="auto"/>
              <w:rPr>
                <w:rFonts w:eastAsia="宋体"/>
                <w:szCs w:val="21"/>
              </w:rPr>
            </w:pPr>
          </w:p>
        </w:tc>
        <w:tc>
          <w:tcPr>
            <w:tcW w:w="2423" w:type="dxa"/>
            <w:noWrap w:val="0"/>
            <w:vAlign w:val="top"/>
          </w:tcPr>
          <w:p>
            <w:pPr>
              <w:spacing w:line="360" w:lineRule="auto"/>
              <w:rPr>
                <w:rFonts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noWrap w:val="0"/>
            <w:vAlign w:val="top"/>
          </w:tcPr>
          <w:p>
            <w:pPr>
              <w:spacing w:line="360" w:lineRule="auto"/>
              <w:jc w:val="center"/>
              <w:rPr>
                <w:rFonts w:eastAsia="宋体"/>
                <w:szCs w:val="21"/>
              </w:rPr>
            </w:pPr>
            <w:r>
              <w:rPr>
                <w:rFonts w:eastAsia="宋体"/>
                <w:szCs w:val="21"/>
              </w:rPr>
              <w:t>……</w:t>
            </w:r>
          </w:p>
        </w:tc>
        <w:tc>
          <w:tcPr>
            <w:tcW w:w="2551" w:type="dxa"/>
            <w:noWrap w:val="0"/>
            <w:vAlign w:val="top"/>
          </w:tcPr>
          <w:p>
            <w:pPr>
              <w:spacing w:line="360" w:lineRule="auto"/>
              <w:rPr>
                <w:rFonts w:eastAsia="宋体"/>
                <w:szCs w:val="21"/>
              </w:rPr>
            </w:pPr>
          </w:p>
        </w:tc>
        <w:tc>
          <w:tcPr>
            <w:tcW w:w="3705" w:type="dxa"/>
            <w:noWrap w:val="0"/>
            <w:vAlign w:val="top"/>
          </w:tcPr>
          <w:p>
            <w:pPr>
              <w:spacing w:line="360" w:lineRule="auto"/>
              <w:rPr>
                <w:rFonts w:eastAsia="宋体"/>
                <w:szCs w:val="21"/>
              </w:rPr>
            </w:pPr>
          </w:p>
        </w:tc>
        <w:tc>
          <w:tcPr>
            <w:tcW w:w="2423" w:type="dxa"/>
            <w:noWrap w:val="0"/>
            <w:vAlign w:val="top"/>
          </w:tcPr>
          <w:p>
            <w:pPr>
              <w:spacing w:line="360" w:lineRule="auto"/>
              <w:rPr>
                <w:rFonts w:eastAsia="宋体"/>
                <w:szCs w:val="21"/>
              </w:rPr>
            </w:pPr>
          </w:p>
        </w:tc>
      </w:tr>
    </w:tbl>
    <w:p>
      <w:pPr>
        <w:spacing w:line="360" w:lineRule="auto"/>
        <w:ind w:firstLine="420" w:firstLineChars="200"/>
        <w:jc w:val="both"/>
        <w:rPr>
          <w:rFonts w:eastAsia="宋体"/>
          <w:szCs w:val="21"/>
        </w:rPr>
      </w:pPr>
      <w:bookmarkStart w:id="1626" w:name="_Toc514430478"/>
      <w:bookmarkStart w:id="1627" w:name="_Toc5430"/>
      <w:bookmarkStart w:id="1628" w:name="_Toc24840"/>
      <w:bookmarkStart w:id="1629" w:name="_Toc534461587"/>
      <w:bookmarkStart w:id="1630" w:name="_Toc20429"/>
      <w:bookmarkStart w:id="1631" w:name="_Toc22614"/>
      <w:bookmarkStart w:id="1632" w:name="_Toc25867"/>
      <w:bookmarkStart w:id="1633" w:name="_Toc27955"/>
      <w:bookmarkStart w:id="1634" w:name="_Toc29456"/>
      <w:bookmarkStart w:id="1635" w:name="_Toc28414"/>
      <w:bookmarkStart w:id="1636" w:name="_Toc22949"/>
      <w:bookmarkStart w:id="1637" w:name="_Toc23720"/>
      <w:bookmarkStart w:id="1638" w:name="_Toc5877"/>
      <w:bookmarkStart w:id="1639" w:name="_Toc31033"/>
      <w:bookmarkStart w:id="1640" w:name="_Toc514430479"/>
      <w:bookmarkStart w:id="1641" w:name="_Toc27186"/>
      <w:bookmarkStart w:id="1642" w:name="_Toc21273"/>
      <w:bookmarkStart w:id="1643" w:name="_Toc30741"/>
      <w:bookmarkStart w:id="1644" w:name="_Toc31325"/>
      <w:bookmarkStart w:id="1645" w:name="_Toc5140"/>
      <w:bookmarkStart w:id="1646" w:name="_Toc1703"/>
      <w:bookmarkStart w:id="1647" w:name="_Toc11333"/>
      <w:bookmarkStart w:id="1648" w:name="_Toc516160972"/>
      <w:bookmarkStart w:id="1649" w:name="_Toc10897"/>
      <w:bookmarkStart w:id="1650" w:name="_Toc20059"/>
      <w:bookmarkStart w:id="1651" w:name="_Toc13834"/>
      <w:r>
        <w:rPr>
          <w:rFonts w:eastAsia="宋体"/>
          <w:szCs w:val="21"/>
        </w:rPr>
        <w:t>投标人保证：除商务和技术偏差表列出的偏差外，投标人响应招标文件的全部要求。</w:t>
      </w:r>
    </w:p>
    <w:p>
      <w:pPr>
        <w:spacing w:line="360" w:lineRule="auto"/>
        <w:ind w:firstLine="420" w:firstLineChars="200"/>
        <w:jc w:val="both"/>
        <w:rPr>
          <w:rFonts w:eastAsia="宋体"/>
          <w:szCs w:val="21"/>
        </w:rPr>
      </w:pPr>
      <w:r>
        <w:rPr>
          <w:rFonts w:eastAsia="宋体"/>
          <w:szCs w:val="21"/>
        </w:rPr>
        <w:t>注：</w:t>
      </w:r>
    </w:p>
    <w:p>
      <w:pPr>
        <w:numPr>
          <w:ilvl w:val="0"/>
          <w:numId w:val="17"/>
        </w:numPr>
        <w:tabs>
          <w:tab w:val="left" w:pos="851"/>
        </w:tabs>
        <w:spacing w:line="360" w:lineRule="auto"/>
        <w:ind w:left="0" w:firstLine="420" w:firstLineChars="200"/>
        <w:jc w:val="both"/>
        <w:rPr>
          <w:rFonts w:eastAsia="宋体"/>
          <w:szCs w:val="21"/>
        </w:rPr>
      </w:pPr>
      <w:r>
        <w:rPr>
          <w:rFonts w:eastAsia="宋体"/>
          <w:szCs w:val="21"/>
        </w:rPr>
        <w:t>对招标文件完全响应的，不填写本表，只需在投标文件中附本空白表格。</w:t>
      </w:r>
    </w:p>
    <w:p>
      <w:pPr>
        <w:numPr>
          <w:ilvl w:val="0"/>
          <w:numId w:val="17"/>
        </w:numPr>
        <w:tabs>
          <w:tab w:val="left" w:pos="851"/>
        </w:tabs>
        <w:spacing w:line="360" w:lineRule="auto"/>
        <w:ind w:left="0" w:firstLine="420" w:firstLineChars="200"/>
        <w:jc w:val="both"/>
        <w:rPr>
          <w:rFonts w:ascii="宋体" w:hAnsi="宋体" w:eastAsia="宋体"/>
          <w:szCs w:val="21"/>
        </w:rPr>
      </w:pPr>
      <w:r>
        <w:rPr>
          <w:rFonts w:eastAsia="宋体"/>
          <w:szCs w:val="21"/>
        </w:rPr>
        <w:t>对有偏离的条</w:t>
      </w:r>
      <w:r>
        <w:rPr>
          <w:rFonts w:ascii="宋体" w:hAnsi="宋体" w:eastAsia="宋体"/>
          <w:szCs w:val="21"/>
        </w:rPr>
        <w:t>目在本表“偏差说明”列中填写“正偏离”或“负偏离”，同时补充进行“偏离描述”。</w:t>
      </w:r>
    </w:p>
    <w:p>
      <w:pPr>
        <w:numPr>
          <w:ilvl w:val="0"/>
          <w:numId w:val="17"/>
        </w:numPr>
        <w:tabs>
          <w:tab w:val="left" w:pos="851"/>
        </w:tabs>
        <w:spacing w:line="360" w:lineRule="auto"/>
        <w:ind w:left="0" w:firstLine="420" w:firstLineChars="200"/>
        <w:jc w:val="both"/>
        <w:rPr>
          <w:rFonts w:eastAsia="宋体"/>
          <w:szCs w:val="21"/>
        </w:rPr>
      </w:pPr>
      <w:r>
        <w:rPr>
          <w:rFonts w:eastAsia="宋体"/>
          <w:szCs w:val="21"/>
        </w:rPr>
        <w:t>正偏离是指应答的条件高于招标文件要求，负偏离是指应答的条件低于招标文件要求；属于重大偏离的，其投标将被拒绝；正偏离项目不作扣分处理；按照招标文件规定的评分办法进行扣分。</w:t>
      </w:r>
    </w:p>
    <w:p>
      <w:pPr>
        <w:numPr>
          <w:ilvl w:val="0"/>
          <w:numId w:val="17"/>
        </w:numPr>
        <w:tabs>
          <w:tab w:val="left" w:pos="851"/>
        </w:tabs>
        <w:spacing w:line="360" w:lineRule="auto"/>
        <w:ind w:left="0" w:firstLine="420" w:firstLineChars="200"/>
        <w:jc w:val="both"/>
        <w:rPr>
          <w:rFonts w:eastAsia="宋体"/>
          <w:szCs w:val="21"/>
        </w:rPr>
      </w:pPr>
      <w:r>
        <w:rPr>
          <w:rFonts w:eastAsia="宋体"/>
          <w:szCs w:val="21"/>
        </w:rPr>
        <w:t>投标人须完整填写响应表。如果未完整填写本表的各项内容则视作投标人已经对招标文件相关要求和内容完全理解并同意，其投标报价为在此基础上的完全价格。</w:t>
      </w:r>
    </w:p>
    <w:p>
      <w:pPr>
        <w:numPr>
          <w:ilvl w:val="0"/>
          <w:numId w:val="17"/>
        </w:numPr>
        <w:tabs>
          <w:tab w:val="left" w:pos="851"/>
        </w:tabs>
        <w:spacing w:line="360" w:lineRule="auto"/>
        <w:ind w:left="0" w:firstLine="420" w:firstLineChars="200"/>
        <w:jc w:val="both"/>
        <w:rPr>
          <w:rFonts w:eastAsia="宋体"/>
          <w:szCs w:val="21"/>
        </w:rPr>
      </w:pPr>
      <w:r>
        <w:rPr>
          <w:rFonts w:hint="eastAsia" w:eastAsia="宋体"/>
          <w:szCs w:val="21"/>
        </w:rPr>
        <w:t>商务偏离表中对“合同的价格与支付”的条款不允许偏离。</w:t>
      </w:r>
    </w:p>
    <w:p>
      <w:pPr>
        <w:numPr>
          <w:ilvl w:val="0"/>
          <w:numId w:val="17"/>
        </w:numPr>
        <w:tabs>
          <w:tab w:val="left" w:pos="851"/>
        </w:tabs>
        <w:spacing w:line="360" w:lineRule="auto"/>
        <w:ind w:left="0" w:firstLine="420" w:firstLineChars="200"/>
        <w:jc w:val="both"/>
        <w:rPr>
          <w:rFonts w:eastAsia="宋体"/>
          <w:szCs w:val="21"/>
        </w:rPr>
      </w:pPr>
      <w:r>
        <w:rPr>
          <w:rFonts w:eastAsia="宋体"/>
          <w:szCs w:val="21"/>
        </w:rPr>
        <w:t>在招标人与中标人签约阶段，中标人未在其投标文</w:t>
      </w:r>
      <w:r>
        <w:rPr>
          <w:rFonts w:ascii="宋体" w:hAnsi="宋体" w:eastAsia="宋体"/>
          <w:szCs w:val="21"/>
        </w:rPr>
        <w:t>件“商务偏差表”中列出偏</w:t>
      </w:r>
      <w:r>
        <w:rPr>
          <w:rFonts w:eastAsia="宋体"/>
          <w:szCs w:val="21"/>
        </w:rPr>
        <w:t>差说明，即使其在投标文件的其他部分说明与招标文件要求有所不同或回避不答，或在评标时已对该项目做了偏离扣分处理，亦均视为完全符合招标文件中所要求的最佳值并写入合同。若中标人在定标后及合同签订前，以上述事项为借口而不履行合同签订手续及执行合同，则视作放弃中标资格，招标人有权没收其投标保证金。</w:t>
      </w:r>
    </w:p>
    <w:p>
      <w:pPr>
        <w:tabs>
          <w:tab w:val="left" w:pos="1200"/>
        </w:tabs>
        <w:spacing w:line="360" w:lineRule="auto"/>
        <w:ind w:left="360" w:firstLine="4174" w:firstLineChars="1988"/>
        <w:rPr>
          <w:rFonts w:eastAsia="宋体"/>
          <w:szCs w:val="21"/>
        </w:rPr>
      </w:pPr>
      <w:r>
        <w:rPr>
          <w:rFonts w:eastAsia="宋体"/>
          <w:szCs w:val="21"/>
        </w:rPr>
        <w:t>投标人：</w:t>
      </w:r>
      <w:r>
        <w:rPr>
          <w:rFonts w:eastAsia="宋体"/>
          <w:szCs w:val="21"/>
          <w:u w:val="single"/>
        </w:rPr>
        <w:t xml:space="preserve">                </w:t>
      </w:r>
      <w:r>
        <w:rPr>
          <w:rFonts w:eastAsia="宋体"/>
          <w:szCs w:val="21"/>
        </w:rPr>
        <w:t xml:space="preserve">   （盖单位公章）</w:t>
      </w:r>
    </w:p>
    <w:p>
      <w:pPr>
        <w:tabs>
          <w:tab w:val="left" w:pos="1200"/>
        </w:tabs>
        <w:spacing w:line="360" w:lineRule="auto"/>
        <w:ind w:left="360" w:firstLine="4174" w:firstLineChars="1988"/>
        <w:rPr>
          <w:rFonts w:eastAsia="宋体"/>
          <w:szCs w:val="21"/>
        </w:rPr>
      </w:pPr>
      <w:r>
        <w:rPr>
          <w:rFonts w:eastAsia="宋体"/>
          <w:szCs w:val="21"/>
        </w:rPr>
        <w:t>法定代表人或其委托代理人：</w:t>
      </w:r>
      <w:r>
        <w:rPr>
          <w:rFonts w:eastAsia="宋体"/>
          <w:szCs w:val="21"/>
          <w:u w:val="single"/>
        </w:rPr>
        <w:t xml:space="preserve">       </w:t>
      </w:r>
      <w:r>
        <w:rPr>
          <w:rFonts w:eastAsia="宋体"/>
          <w:szCs w:val="21"/>
        </w:rPr>
        <w:t>（签字）</w:t>
      </w:r>
    </w:p>
    <w:p>
      <w:pPr>
        <w:tabs>
          <w:tab w:val="left" w:pos="1200"/>
        </w:tabs>
        <w:spacing w:line="360" w:lineRule="auto"/>
        <w:ind w:left="360" w:firstLine="4174" w:firstLineChars="1988"/>
        <w:rPr>
          <w:rFonts w:eastAsia="宋体"/>
          <w:szCs w:val="21"/>
        </w:rPr>
      </w:pPr>
      <w:r>
        <w:rPr>
          <w:rFonts w:eastAsia="宋体"/>
          <w:szCs w:val="21"/>
        </w:rPr>
        <w:t xml:space="preserve">日期：    </w:t>
      </w:r>
      <w:r>
        <w:rPr>
          <w:rFonts w:eastAsia="宋体"/>
          <w:szCs w:val="21"/>
          <w:u w:val="single"/>
        </w:rPr>
        <w:t xml:space="preserve">        </w:t>
      </w:r>
      <w:r>
        <w:rPr>
          <w:rFonts w:eastAsia="宋体"/>
          <w:szCs w:val="21"/>
        </w:rPr>
        <w:t xml:space="preserve"> 年</w:t>
      </w:r>
      <w:r>
        <w:rPr>
          <w:rFonts w:eastAsia="宋体"/>
          <w:szCs w:val="21"/>
          <w:u w:val="single"/>
        </w:rPr>
        <w:t xml:space="preserve">        </w:t>
      </w:r>
      <w:r>
        <w:rPr>
          <w:rFonts w:eastAsia="宋体"/>
          <w:szCs w:val="21"/>
        </w:rPr>
        <w:t>月</w:t>
      </w:r>
      <w:r>
        <w:rPr>
          <w:rFonts w:eastAsia="宋体"/>
          <w:szCs w:val="21"/>
          <w:u w:val="single"/>
        </w:rPr>
        <w:t xml:space="preserve">       </w:t>
      </w:r>
      <w:r>
        <w:rPr>
          <w:rFonts w:eastAsia="宋体"/>
          <w:szCs w:val="21"/>
        </w:rPr>
        <w:t xml:space="preserve"> 日</w:t>
      </w:r>
    </w:p>
    <w:p>
      <w:pPr>
        <w:tabs>
          <w:tab w:val="left" w:pos="1200"/>
        </w:tabs>
        <w:spacing w:line="360" w:lineRule="auto"/>
        <w:rPr>
          <w:rFonts w:eastAsia="宋体"/>
          <w:szCs w:val="21"/>
        </w:rPr>
      </w:pPr>
    </w:p>
    <w:p>
      <w:pPr>
        <w:pStyle w:val="4"/>
        <w:numPr>
          <w:ilvl w:val="0"/>
          <w:numId w:val="14"/>
        </w:numPr>
        <w:spacing w:before="0" w:after="0"/>
        <w:ind w:left="0" w:firstLine="0"/>
      </w:pPr>
      <w:bookmarkStart w:id="1652" w:name="_Toc7076"/>
      <w:r>
        <w:t>资格审查资料</w:t>
      </w:r>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52"/>
    </w:p>
    <w:p>
      <w:pPr>
        <w:pStyle w:val="6"/>
        <w:numPr>
          <w:ilvl w:val="0"/>
          <w:numId w:val="18"/>
        </w:numPr>
        <w:spacing w:before="0" w:after="0" w:line="240" w:lineRule="auto"/>
        <w:ind w:left="0" w:firstLine="0"/>
        <w:rPr>
          <w:rFonts w:ascii="Times New Roman" w:hAnsi="Times New Roman" w:eastAsia="宋体"/>
          <w:bCs w:val="0"/>
        </w:rPr>
      </w:pPr>
      <w:bookmarkStart w:id="1653" w:name="_Toc25268"/>
      <w:bookmarkStart w:id="1654" w:name="_Toc534461588"/>
      <w:bookmarkStart w:id="1655" w:name="_Toc21670"/>
      <w:bookmarkStart w:id="1656" w:name="_Toc23308"/>
      <w:r>
        <w:rPr>
          <w:rFonts w:ascii="Times New Roman" w:hAnsi="Times New Roman" w:eastAsia="宋体"/>
          <w:bCs w:val="0"/>
        </w:rPr>
        <w:t>基本情况表</w:t>
      </w:r>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3"/>
      <w:bookmarkEnd w:id="1654"/>
      <w:bookmarkEnd w:id="1655"/>
      <w:bookmarkEnd w:id="1656"/>
    </w:p>
    <w:p>
      <w:pPr>
        <w:ind w:left="709" w:hanging="394"/>
        <w:jc w:val="center"/>
        <w:rPr>
          <w:rFonts w:eastAsia="宋体"/>
          <w:bCs/>
        </w:rPr>
      </w:pPr>
    </w:p>
    <w:tbl>
      <w:tblPr>
        <w:tblStyle w:val="60"/>
        <w:tblW w:w="9325"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946"/>
        <w:gridCol w:w="767"/>
        <w:gridCol w:w="938"/>
        <w:gridCol w:w="674"/>
        <w:gridCol w:w="1169"/>
        <w:gridCol w:w="1418"/>
        <w:gridCol w:w="2413"/>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20" w:hRule="atLeast"/>
          <w:jc w:val="center"/>
        </w:trPr>
        <w:tc>
          <w:tcPr>
            <w:tcW w:w="2713" w:type="dxa"/>
            <w:gridSpan w:val="2"/>
            <w:noWrap w:val="0"/>
            <w:vAlign w:val="center"/>
          </w:tcPr>
          <w:p>
            <w:pPr>
              <w:topLinePunct/>
              <w:spacing w:line="360" w:lineRule="auto"/>
              <w:jc w:val="center"/>
              <w:rPr>
                <w:rFonts w:eastAsia="宋体"/>
                <w:szCs w:val="21"/>
              </w:rPr>
            </w:pPr>
            <w:r>
              <w:rPr>
                <w:rFonts w:eastAsia="宋体"/>
                <w:szCs w:val="21"/>
              </w:rPr>
              <w:t>投标人名称</w:t>
            </w:r>
          </w:p>
        </w:tc>
        <w:tc>
          <w:tcPr>
            <w:tcW w:w="6612" w:type="dxa"/>
            <w:gridSpan w:val="5"/>
            <w:noWrap w:val="0"/>
            <w:vAlign w:val="center"/>
          </w:tcPr>
          <w:p>
            <w:pPr>
              <w:topLinePunct/>
              <w:spacing w:line="360" w:lineRule="auto"/>
              <w:jc w:val="both"/>
              <w:rPr>
                <w:rFonts w:eastAsia="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20" w:hRule="atLeast"/>
          <w:jc w:val="center"/>
        </w:trPr>
        <w:tc>
          <w:tcPr>
            <w:tcW w:w="2713" w:type="dxa"/>
            <w:gridSpan w:val="2"/>
            <w:noWrap w:val="0"/>
            <w:vAlign w:val="center"/>
          </w:tcPr>
          <w:p>
            <w:pPr>
              <w:topLinePunct/>
              <w:spacing w:line="360" w:lineRule="auto"/>
              <w:jc w:val="center"/>
              <w:rPr>
                <w:rFonts w:eastAsia="宋体"/>
                <w:szCs w:val="21"/>
              </w:rPr>
            </w:pPr>
            <w:r>
              <w:rPr>
                <w:rFonts w:eastAsia="宋体"/>
                <w:szCs w:val="21"/>
              </w:rPr>
              <w:t>注册资金</w:t>
            </w:r>
          </w:p>
        </w:tc>
        <w:tc>
          <w:tcPr>
            <w:tcW w:w="2781" w:type="dxa"/>
            <w:gridSpan w:val="3"/>
            <w:noWrap w:val="0"/>
            <w:vAlign w:val="center"/>
          </w:tcPr>
          <w:p>
            <w:pPr>
              <w:topLinePunct/>
              <w:spacing w:line="360" w:lineRule="auto"/>
              <w:jc w:val="both"/>
              <w:rPr>
                <w:rFonts w:eastAsia="宋体"/>
                <w:szCs w:val="21"/>
              </w:rPr>
            </w:pPr>
          </w:p>
        </w:tc>
        <w:tc>
          <w:tcPr>
            <w:tcW w:w="1418" w:type="dxa"/>
            <w:noWrap w:val="0"/>
            <w:vAlign w:val="center"/>
          </w:tcPr>
          <w:p>
            <w:pPr>
              <w:topLinePunct/>
              <w:spacing w:line="360" w:lineRule="auto"/>
              <w:jc w:val="center"/>
              <w:rPr>
                <w:rFonts w:eastAsia="宋体"/>
                <w:szCs w:val="21"/>
              </w:rPr>
            </w:pPr>
            <w:r>
              <w:rPr>
                <w:rFonts w:eastAsia="宋体"/>
                <w:szCs w:val="21"/>
              </w:rPr>
              <w:t>成立时间</w:t>
            </w:r>
          </w:p>
        </w:tc>
        <w:tc>
          <w:tcPr>
            <w:tcW w:w="2413" w:type="dxa"/>
            <w:noWrap w:val="0"/>
            <w:vAlign w:val="center"/>
          </w:tcPr>
          <w:p>
            <w:pPr>
              <w:topLinePunct/>
              <w:spacing w:line="360" w:lineRule="auto"/>
              <w:jc w:val="both"/>
              <w:rPr>
                <w:rFonts w:eastAsia="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20" w:hRule="atLeast"/>
          <w:jc w:val="center"/>
        </w:trPr>
        <w:tc>
          <w:tcPr>
            <w:tcW w:w="2713" w:type="dxa"/>
            <w:gridSpan w:val="2"/>
            <w:noWrap w:val="0"/>
            <w:vAlign w:val="center"/>
          </w:tcPr>
          <w:p>
            <w:pPr>
              <w:topLinePunct/>
              <w:spacing w:line="360" w:lineRule="auto"/>
              <w:jc w:val="center"/>
              <w:rPr>
                <w:rFonts w:eastAsia="宋体"/>
                <w:szCs w:val="21"/>
              </w:rPr>
            </w:pPr>
            <w:r>
              <w:rPr>
                <w:rFonts w:eastAsia="宋体"/>
                <w:szCs w:val="21"/>
              </w:rPr>
              <w:t>注册地址</w:t>
            </w:r>
          </w:p>
        </w:tc>
        <w:tc>
          <w:tcPr>
            <w:tcW w:w="6612" w:type="dxa"/>
            <w:gridSpan w:val="5"/>
            <w:noWrap w:val="0"/>
            <w:vAlign w:val="center"/>
          </w:tcPr>
          <w:p>
            <w:pPr>
              <w:topLinePunct/>
              <w:spacing w:line="360" w:lineRule="auto"/>
              <w:jc w:val="both"/>
              <w:rPr>
                <w:rFonts w:eastAsia="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20" w:hRule="atLeast"/>
          <w:jc w:val="center"/>
        </w:trPr>
        <w:tc>
          <w:tcPr>
            <w:tcW w:w="2713" w:type="dxa"/>
            <w:gridSpan w:val="2"/>
            <w:noWrap w:val="0"/>
            <w:vAlign w:val="center"/>
          </w:tcPr>
          <w:p>
            <w:pPr>
              <w:topLinePunct/>
              <w:spacing w:line="360" w:lineRule="auto"/>
              <w:jc w:val="center"/>
              <w:rPr>
                <w:rFonts w:eastAsia="宋体"/>
                <w:szCs w:val="21"/>
              </w:rPr>
            </w:pPr>
            <w:r>
              <w:rPr>
                <w:rFonts w:eastAsia="宋体"/>
                <w:szCs w:val="21"/>
              </w:rPr>
              <w:t>邮政编码</w:t>
            </w:r>
          </w:p>
        </w:tc>
        <w:tc>
          <w:tcPr>
            <w:tcW w:w="2781" w:type="dxa"/>
            <w:gridSpan w:val="3"/>
            <w:noWrap w:val="0"/>
            <w:vAlign w:val="center"/>
          </w:tcPr>
          <w:p>
            <w:pPr>
              <w:topLinePunct/>
              <w:spacing w:line="360" w:lineRule="auto"/>
              <w:jc w:val="both"/>
              <w:rPr>
                <w:rFonts w:eastAsia="宋体"/>
                <w:szCs w:val="21"/>
              </w:rPr>
            </w:pPr>
          </w:p>
        </w:tc>
        <w:tc>
          <w:tcPr>
            <w:tcW w:w="1418" w:type="dxa"/>
            <w:noWrap w:val="0"/>
            <w:vAlign w:val="center"/>
          </w:tcPr>
          <w:p>
            <w:pPr>
              <w:topLinePunct/>
              <w:spacing w:line="360" w:lineRule="auto"/>
              <w:jc w:val="center"/>
              <w:rPr>
                <w:rFonts w:eastAsia="宋体"/>
                <w:szCs w:val="21"/>
              </w:rPr>
            </w:pPr>
            <w:r>
              <w:rPr>
                <w:rFonts w:eastAsia="宋体"/>
                <w:szCs w:val="21"/>
              </w:rPr>
              <w:t>员工总数</w:t>
            </w:r>
          </w:p>
        </w:tc>
        <w:tc>
          <w:tcPr>
            <w:tcW w:w="2413" w:type="dxa"/>
            <w:noWrap w:val="0"/>
            <w:vAlign w:val="center"/>
          </w:tcPr>
          <w:p>
            <w:pPr>
              <w:topLinePunct/>
              <w:spacing w:line="360" w:lineRule="auto"/>
              <w:jc w:val="both"/>
              <w:rPr>
                <w:rFonts w:eastAsia="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20" w:hRule="atLeast"/>
          <w:jc w:val="center"/>
        </w:trPr>
        <w:tc>
          <w:tcPr>
            <w:tcW w:w="2713" w:type="dxa"/>
            <w:gridSpan w:val="2"/>
            <w:vMerge w:val="restart"/>
            <w:noWrap w:val="0"/>
            <w:vAlign w:val="center"/>
          </w:tcPr>
          <w:p>
            <w:pPr>
              <w:topLinePunct/>
              <w:spacing w:line="360" w:lineRule="auto"/>
              <w:jc w:val="center"/>
              <w:rPr>
                <w:rFonts w:eastAsia="宋体"/>
                <w:szCs w:val="21"/>
              </w:rPr>
            </w:pPr>
            <w:r>
              <w:rPr>
                <w:rFonts w:eastAsia="宋体"/>
                <w:szCs w:val="21"/>
              </w:rPr>
              <w:t>联系方式</w:t>
            </w:r>
          </w:p>
        </w:tc>
        <w:tc>
          <w:tcPr>
            <w:tcW w:w="938" w:type="dxa"/>
            <w:noWrap w:val="0"/>
            <w:vAlign w:val="center"/>
          </w:tcPr>
          <w:p>
            <w:pPr>
              <w:topLinePunct/>
              <w:spacing w:line="360" w:lineRule="auto"/>
              <w:jc w:val="center"/>
              <w:rPr>
                <w:rFonts w:eastAsia="宋体"/>
                <w:szCs w:val="21"/>
              </w:rPr>
            </w:pPr>
            <w:r>
              <w:rPr>
                <w:rFonts w:eastAsia="宋体"/>
                <w:szCs w:val="21"/>
              </w:rPr>
              <w:t>联系人</w:t>
            </w:r>
          </w:p>
        </w:tc>
        <w:tc>
          <w:tcPr>
            <w:tcW w:w="1843" w:type="dxa"/>
            <w:gridSpan w:val="2"/>
            <w:noWrap w:val="0"/>
            <w:vAlign w:val="center"/>
          </w:tcPr>
          <w:p>
            <w:pPr>
              <w:topLinePunct/>
              <w:spacing w:line="360" w:lineRule="auto"/>
              <w:jc w:val="both"/>
              <w:rPr>
                <w:rFonts w:eastAsia="宋体"/>
                <w:szCs w:val="21"/>
              </w:rPr>
            </w:pPr>
          </w:p>
        </w:tc>
        <w:tc>
          <w:tcPr>
            <w:tcW w:w="1418" w:type="dxa"/>
            <w:noWrap w:val="0"/>
            <w:vAlign w:val="center"/>
          </w:tcPr>
          <w:p>
            <w:pPr>
              <w:topLinePunct/>
              <w:spacing w:line="360" w:lineRule="auto"/>
              <w:jc w:val="center"/>
              <w:rPr>
                <w:rFonts w:eastAsia="宋体"/>
                <w:szCs w:val="21"/>
              </w:rPr>
            </w:pPr>
            <w:r>
              <w:rPr>
                <w:rFonts w:eastAsia="宋体"/>
                <w:szCs w:val="21"/>
              </w:rPr>
              <w:t>电话</w:t>
            </w:r>
          </w:p>
        </w:tc>
        <w:tc>
          <w:tcPr>
            <w:tcW w:w="2413" w:type="dxa"/>
            <w:noWrap w:val="0"/>
            <w:vAlign w:val="center"/>
          </w:tcPr>
          <w:p>
            <w:pPr>
              <w:topLinePunct/>
              <w:spacing w:line="360" w:lineRule="auto"/>
              <w:jc w:val="both"/>
              <w:rPr>
                <w:rFonts w:eastAsia="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20" w:hRule="atLeast"/>
          <w:jc w:val="center"/>
        </w:trPr>
        <w:tc>
          <w:tcPr>
            <w:tcW w:w="2713" w:type="dxa"/>
            <w:gridSpan w:val="2"/>
            <w:vMerge w:val="continue"/>
            <w:noWrap w:val="0"/>
            <w:vAlign w:val="center"/>
          </w:tcPr>
          <w:p>
            <w:pPr>
              <w:topLinePunct/>
              <w:spacing w:line="360" w:lineRule="auto"/>
              <w:jc w:val="center"/>
              <w:rPr>
                <w:rFonts w:eastAsia="宋体"/>
                <w:szCs w:val="21"/>
              </w:rPr>
            </w:pPr>
          </w:p>
        </w:tc>
        <w:tc>
          <w:tcPr>
            <w:tcW w:w="938" w:type="dxa"/>
            <w:noWrap w:val="0"/>
            <w:vAlign w:val="center"/>
          </w:tcPr>
          <w:p>
            <w:pPr>
              <w:topLinePunct/>
              <w:spacing w:line="360" w:lineRule="auto"/>
              <w:jc w:val="center"/>
              <w:rPr>
                <w:rFonts w:eastAsia="宋体"/>
                <w:szCs w:val="21"/>
              </w:rPr>
            </w:pPr>
            <w:r>
              <w:rPr>
                <w:rFonts w:eastAsia="宋体"/>
                <w:szCs w:val="21"/>
              </w:rPr>
              <w:t>网址</w:t>
            </w:r>
          </w:p>
        </w:tc>
        <w:tc>
          <w:tcPr>
            <w:tcW w:w="1843" w:type="dxa"/>
            <w:gridSpan w:val="2"/>
            <w:noWrap w:val="0"/>
            <w:vAlign w:val="center"/>
          </w:tcPr>
          <w:p>
            <w:pPr>
              <w:topLinePunct/>
              <w:spacing w:line="360" w:lineRule="auto"/>
              <w:jc w:val="both"/>
              <w:rPr>
                <w:rFonts w:eastAsia="宋体"/>
                <w:szCs w:val="21"/>
              </w:rPr>
            </w:pPr>
          </w:p>
        </w:tc>
        <w:tc>
          <w:tcPr>
            <w:tcW w:w="1418" w:type="dxa"/>
            <w:noWrap w:val="0"/>
            <w:vAlign w:val="center"/>
          </w:tcPr>
          <w:p>
            <w:pPr>
              <w:topLinePunct/>
              <w:spacing w:line="360" w:lineRule="auto"/>
              <w:jc w:val="center"/>
              <w:rPr>
                <w:rFonts w:eastAsia="宋体"/>
                <w:szCs w:val="21"/>
              </w:rPr>
            </w:pPr>
            <w:r>
              <w:rPr>
                <w:rFonts w:eastAsia="宋体"/>
                <w:szCs w:val="21"/>
              </w:rPr>
              <w:t>传真</w:t>
            </w:r>
          </w:p>
        </w:tc>
        <w:tc>
          <w:tcPr>
            <w:tcW w:w="2413" w:type="dxa"/>
            <w:noWrap w:val="0"/>
            <w:vAlign w:val="center"/>
          </w:tcPr>
          <w:p>
            <w:pPr>
              <w:topLinePunct/>
              <w:spacing w:line="360" w:lineRule="auto"/>
              <w:jc w:val="both"/>
              <w:rPr>
                <w:rFonts w:eastAsia="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20" w:hRule="atLeast"/>
          <w:jc w:val="center"/>
        </w:trPr>
        <w:tc>
          <w:tcPr>
            <w:tcW w:w="2713" w:type="dxa"/>
            <w:gridSpan w:val="2"/>
            <w:noWrap w:val="0"/>
            <w:vAlign w:val="center"/>
          </w:tcPr>
          <w:p>
            <w:pPr>
              <w:topLinePunct/>
              <w:spacing w:line="360" w:lineRule="auto"/>
              <w:jc w:val="center"/>
              <w:rPr>
                <w:rFonts w:eastAsia="宋体"/>
                <w:szCs w:val="21"/>
              </w:rPr>
            </w:pPr>
            <w:r>
              <w:rPr>
                <w:rFonts w:eastAsia="宋体"/>
                <w:szCs w:val="21"/>
              </w:rPr>
              <w:t>法定代表人</w:t>
            </w:r>
          </w:p>
        </w:tc>
        <w:tc>
          <w:tcPr>
            <w:tcW w:w="938" w:type="dxa"/>
            <w:noWrap w:val="0"/>
            <w:vAlign w:val="center"/>
          </w:tcPr>
          <w:p>
            <w:pPr>
              <w:topLinePunct/>
              <w:spacing w:line="360" w:lineRule="auto"/>
              <w:jc w:val="center"/>
              <w:rPr>
                <w:rFonts w:eastAsia="宋体"/>
                <w:szCs w:val="21"/>
              </w:rPr>
            </w:pPr>
            <w:r>
              <w:rPr>
                <w:rFonts w:eastAsia="宋体"/>
                <w:szCs w:val="21"/>
              </w:rPr>
              <w:t>姓名</w:t>
            </w:r>
          </w:p>
        </w:tc>
        <w:tc>
          <w:tcPr>
            <w:tcW w:w="1843" w:type="dxa"/>
            <w:gridSpan w:val="2"/>
            <w:noWrap w:val="0"/>
            <w:vAlign w:val="center"/>
          </w:tcPr>
          <w:p>
            <w:pPr>
              <w:topLinePunct/>
              <w:spacing w:line="360" w:lineRule="auto"/>
              <w:jc w:val="both"/>
              <w:rPr>
                <w:rFonts w:eastAsia="宋体"/>
                <w:szCs w:val="21"/>
              </w:rPr>
            </w:pPr>
          </w:p>
        </w:tc>
        <w:tc>
          <w:tcPr>
            <w:tcW w:w="1418" w:type="dxa"/>
            <w:noWrap w:val="0"/>
            <w:vAlign w:val="center"/>
          </w:tcPr>
          <w:p>
            <w:pPr>
              <w:topLinePunct/>
              <w:spacing w:line="360" w:lineRule="auto"/>
              <w:jc w:val="center"/>
              <w:rPr>
                <w:rFonts w:eastAsia="宋体"/>
                <w:szCs w:val="21"/>
              </w:rPr>
            </w:pPr>
            <w:r>
              <w:rPr>
                <w:rFonts w:eastAsia="宋体"/>
                <w:szCs w:val="21"/>
              </w:rPr>
              <w:t>电话</w:t>
            </w:r>
          </w:p>
        </w:tc>
        <w:tc>
          <w:tcPr>
            <w:tcW w:w="2413" w:type="dxa"/>
            <w:noWrap w:val="0"/>
            <w:vAlign w:val="center"/>
          </w:tcPr>
          <w:p>
            <w:pPr>
              <w:topLinePunct/>
              <w:spacing w:line="360" w:lineRule="auto"/>
              <w:jc w:val="both"/>
              <w:rPr>
                <w:rFonts w:eastAsia="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20" w:hRule="atLeast"/>
          <w:jc w:val="center"/>
        </w:trPr>
        <w:tc>
          <w:tcPr>
            <w:tcW w:w="2713" w:type="dxa"/>
            <w:gridSpan w:val="2"/>
            <w:noWrap w:val="0"/>
            <w:vAlign w:val="center"/>
          </w:tcPr>
          <w:p>
            <w:pPr>
              <w:topLinePunct/>
              <w:spacing w:line="360" w:lineRule="auto"/>
              <w:jc w:val="center"/>
              <w:rPr>
                <w:rFonts w:eastAsia="宋体"/>
                <w:szCs w:val="21"/>
              </w:rPr>
            </w:pPr>
            <w:r>
              <w:rPr>
                <w:rFonts w:eastAsia="宋体"/>
                <w:szCs w:val="21"/>
              </w:rPr>
              <w:t>投标人须知要求投标人需具有的各类资质证书</w:t>
            </w:r>
          </w:p>
        </w:tc>
        <w:tc>
          <w:tcPr>
            <w:tcW w:w="6612" w:type="dxa"/>
            <w:gridSpan w:val="5"/>
            <w:noWrap w:val="0"/>
            <w:vAlign w:val="center"/>
          </w:tcPr>
          <w:p>
            <w:pPr>
              <w:topLinePunct/>
              <w:spacing w:line="360" w:lineRule="auto"/>
              <w:jc w:val="both"/>
              <w:rPr>
                <w:rFonts w:eastAsia="宋体"/>
                <w:szCs w:val="21"/>
              </w:rPr>
            </w:pPr>
            <w:r>
              <w:rPr>
                <w:rFonts w:eastAsia="宋体"/>
                <w:szCs w:val="21"/>
              </w:rPr>
              <w:t>类型：           等级：             证书号：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20" w:hRule="atLeast"/>
          <w:jc w:val="center"/>
        </w:trPr>
        <w:tc>
          <w:tcPr>
            <w:tcW w:w="2713" w:type="dxa"/>
            <w:gridSpan w:val="2"/>
            <w:noWrap w:val="0"/>
            <w:vAlign w:val="center"/>
          </w:tcPr>
          <w:p>
            <w:pPr>
              <w:topLinePunct/>
              <w:spacing w:line="360" w:lineRule="auto"/>
              <w:jc w:val="center"/>
              <w:rPr>
                <w:rFonts w:eastAsia="宋体"/>
                <w:szCs w:val="21"/>
              </w:rPr>
            </w:pPr>
            <w:r>
              <w:rPr>
                <w:rFonts w:eastAsia="宋体"/>
                <w:szCs w:val="21"/>
              </w:rPr>
              <w:t>基本账户开户银行</w:t>
            </w:r>
          </w:p>
        </w:tc>
        <w:tc>
          <w:tcPr>
            <w:tcW w:w="6612" w:type="dxa"/>
            <w:gridSpan w:val="5"/>
            <w:noWrap w:val="0"/>
            <w:vAlign w:val="center"/>
          </w:tcPr>
          <w:p>
            <w:pPr>
              <w:topLinePunct/>
              <w:spacing w:line="360" w:lineRule="auto"/>
              <w:jc w:val="both"/>
              <w:rPr>
                <w:rFonts w:eastAsia="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20" w:hRule="atLeast"/>
          <w:jc w:val="center"/>
        </w:trPr>
        <w:tc>
          <w:tcPr>
            <w:tcW w:w="2713" w:type="dxa"/>
            <w:gridSpan w:val="2"/>
            <w:noWrap w:val="0"/>
            <w:vAlign w:val="center"/>
          </w:tcPr>
          <w:p>
            <w:pPr>
              <w:topLinePunct/>
              <w:spacing w:line="360" w:lineRule="auto"/>
              <w:jc w:val="center"/>
              <w:rPr>
                <w:rFonts w:eastAsia="宋体"/>
                <w:szCs w:val="21"/>
              </w:rPr>
            </w:pPr>
            <w:r>
              <w:rPr>
                <w:rFonts w:eastAsia="宋体"/>
                <w:szCs w:val="21"/>
              </w:rPr>
              <w:t>基本账户银行账号</w:t>
            </w:r>
          </w:p>
        </w:tc>
        <w:tc>
          <w:tcPr>
            <w:tcW w:w="6612" w:type="dxa"/>
            <w:gridSpan w:val="5"/>
            <w:noWrap w:val="0"/>
            <w:vAlign w:val="center"/>
          </w:tcPr>
          <w:p>
            <w:pPr>
              <w:topLinePunct/>
              <w:spacing w:line="360" w:lineRule="auto"/>
              <w:jc w:val="both"/>
              <w:rPr>
                <w:rFonts w:eastAsia="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20" w:hRule="atLeast"/>
          <w:jc w:val="center"/>
        </w:trPr>
        <w:tc>
          <w:tcPr>
            <w:tcW w:w="2713" w:type="dxa"/>
            <w:gridSpan w:val="2"/>
            <w:noWrap w:val="0"/>
            <w:vAlign w:val="center"/>
          </w:tcPr>
          <w:p>
            <w:pPr>
              <w:topLinePunct/>
              <w:spacing w:line="360" w:lineRule="auto"/>
              <w:jc w:val="center"/>
              <w:rPr>
                <w:rFonts w:eastAsia="宋体"/>
                <w:szCs w:val="21"/>
              </w:rPr>
            </w:pPr>
            <w:r>
              <w:rPr>
                <w:rFonts w:eastAsia="宋体"/>
                <w:szCs w:val="21"/>
              </w:rPr>
              <w:t>投标人关联企业情况（包括但不限于与投标人法定代表人（单位负责人）为同一人或者存在控股、管理关系的不同单位）</w:t>
            </w:r>
          </w:p>
        </w:tc>
        <w:tc>
          <w:tcPr>
            <w:tcW w:w="6612" w:type="dxa"/>
            <w:gridSpan w:val="5"/>
            <w:noWrap w:val="0"/>
            <w:vAlign w:val="center"/>
          </w:tcPr>
          <w:p>
            <w:pPr>
              <w:topLinePunct/>
              <w:spacing w:line="360" w:lineRule="auto"/>
              <w:jc w:val="both"/>
              <w:rPr>
                <w:rFonts w:eastAsia="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20" w:hRule="atLeast"/>
          <w:jc w:val="center"/>
        </w:trPr>
        <w:tc>
          <w:tcPr>
            <w:tcW w:w="9325" w:type="dxa"/>
            <w:gridSpan w:val="7"/>
            <w:noWrap w:val="0"/>
            <w:vAlign w:val="center"/>
          </w:tcPr>
          <w:p>
            <w:pPr>
              <w:topLinePunct/>
              <w:spacing w:line="360" w:lineRule="auto"/>
              <w:jc w:val="center"/>
              <w:rPr>
                <w:rFonts w:eastAsia="宋体"/>
                <w:szCs w:val="21"/>
              </w:rPr>
            </w:pPr>
            <w:r>
              <w:rPr>
                <w:rFonts w:eastAsia="宋体"/>
                <w:szCs w:val="21"/>
              </w:rPr>
              <w:t>备注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20" w:hRule="atLeast"/>
          <w:jc w:val="center"/>
        </w:trPr>
        <w:tc>
          <w:tcPr>
            <w:tcW w:w="1946" w:type="dxa"/>
            <w:noWrap w:val="0"/>
            <w:vAlign w:val="center"/>
          </w:tcPr>
          <w:p>
            <w:pPr>
              <w:topLinePunct/>
              <w:spacing w:line="360" w:lineRule="auto"/>
              <w:jc w:val="center"/>
              <w:rPr>
                <w:rFonts w:eastAsia="宋体"/>
                <w:szCs w:val="21"/>
              </w:rPr>
            </w:pPr>
            <w:r>
              <w:rPr>
                <w:rFonts w:eastAsia="宋体"/>
                <w:szCs w:val="21"/>
              </w:rPr>
              <w:t>法人营业执照号</w:t>
            </w:r>
          </w:p>
        </w:tc>
        <w:tc>
          <w:tcPr>
            <w:tcW w:w="1705" w:type="dxa"/>
            <w:gridSpan w:val="2"/>
            <w:noWrap w:val="0"/>
            <w:vAlign w:val="center"/>
          </w:tcPr>
          <w:p>
            <w:pPr>
              <w:topLinePunct/>
              <w:spacing w:line="360" w:lineRule="auto"/>
              <w:jc w:val="both"/>
              <w:rPr>
                <w:rFonts w:eastAsia="宋体"/>
                <w:szCs w:val="21"/>
              </w:rPr>
            </w:pPr>
          </w:p>
        </w:tc>
        <w:tc>
          <w:tcPr>
            <w:tcW w:w="5674" w:type="dxa"/>
            <w:gridSpan w:val="4"/>
            <w:noWrap w:val="0"/>
            <w:vAlign w:val="center"/>
          </w:tcPr>
          <w:p>
            <w:pPr>
              <w:topLinePunct/>
              <w:spacing w:line="360" w:lineRule="auto"/>
              <w:jc w:val="both"/>
              <w:rPr>
                <w:rFonts w:eastAsia="宋体"/>
                <w:szCs w:val="21"/>
              </w:rPr>
            </w:pPr>
            <w:r>
              <w:rPr>
                <w:rFonts w:eastAsia="宋体"/>
                <w:szCs w:val="21"/>
              </w:rPr>
              <w:t>职工总人数（人）</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20" w:hRule="atLeast"/>
          <w:jc w:val="center"/>
        </w:trPr>
        <w:tc>
          <w:tcPr>
            <w:tcW w:w="1946" w:type="dxa"/>
            <w:noWrap w:val="0"/>
            <w:vAlign w:val="center"/>
          </w:tcPr>
          <w:p>
            <w:pPr>
              <w:topLinePunct/>
              <w:spacing w:line="360" w:lineRule="auto"/>
              <w:jc w:val="center"/>
              <w:rPr>
                <w:rFonts w:eastAsia="宋体"/>
                <w:szCs w:val="21"/>
              </w:rPr>
            </w:pPr>
            <w:r>
              <w:rPr>
                <w:rFonts w:eastAsia="宋体"/>
                <w:szCs w:val="21"/>
              </w:rPr>
              <w:t>固定资产（万元）</w:t>
            </w:r>
          </w:p>
        </w:tc>
        <w:tc>
          <w:tcPr>
            <w:tcW w:w="1705" w:type="dxa"/>
            <w:gridSpan w:val="2"/>
            <w:noWrap w:val="0"/>
            <w:vAlign w:val="center"/>
          </w:tcPr>
          <w:p>
            <w:pPr>
              <w:topLinePunct/>
              <w:spacing w:line="360" w:lineRule="auto"/>
              <w:jc w:val="both"/>
              <w:rPr>
                <w:rFonts w:eastAsia="宋体"/>
                <w:szCs w:val="21"/>
              </w:rPr>
            </w:pPr>
          </w:p>
        </w:tc>
        <w:tc>
          <w:tcPr>
            <w:tcW w:w="674" w:type="dxa"/>
            <w:vMerge w:val="restart"/>
            <w:noWrap w:val="0"/>
            <w:vAlign w:val="center"/>
          </w:tcPr>
          <w:p>
            <w:pPr>
              <w:topLinePunct/>
              <w:spacing w:line="360" w:lineRule="auto"/>
              <w:jc w:val="both"/>
              <w:rPr>
                <w:rFonts w:eastAsia="宋体"/>
                <w:szCs w:val="21"/>
              </w:rPr>
            </w:pPr>
            <w:r>
              <w:rPr>
                <w:rFonts w:eastAsia="宋体"/>
                <w:szCs w:val="21"/>
              </w:rPr>
              <w:t>其中</w:t>
            </w:r>
          </w:p>
        </w:tc>
        <w:tc>
          <w:tcPr>
            <w:tcW w:w="2587" w:type="dxa"/>
            <w:gridSpan w:val="2"/>
            <w:noWrap w:val="0"/>
            <w:vAlign w:val="center"/>
          </w:tcPr>
          <w:p>
            <w:pPr>
              <w:topLinePunct/>
              <w:spacing w:line="360" w:lineRule="auto"/>
              <w:jc w:val="both"/>
              <w:rPr>
                <w:rFonts w:eastAsia="宋体"/>
                <w:szCs w:val="21"/>
              </w:rPr>
            </w:pPr>
            <w:r>
              <w:rPr>
                <w:rFonts w:eastAsia="宋体"/>
                <w:szCs w:val="21"/>
              </w:rPr>
              <w:t>商务管理人员（人）</w:t>
            </w:r>
          </w:p>
        </w:tc>
        <w:tc>
          <w:tcPr>
            <w:tcW w:w="2413" w:type="dxa"/>
            <w:noWrap w:val="0"/>
            <w:vAlign w:val="center"/>
          </w:tcPr>
          <w:p>
            <w:pPr>
              <w:topLinePunct/>
              <w:spacing w:line="360" w:lineRule="auto"/>
              <w:jc w:val="both"/>
              <w:rPr>
                <w:rFonts w:eastAsia="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20" w:hRule="atLeast"/>
          <w:jc w:val="center"/>
        </w:trPr>
        <w:tc>
          <w:tcPr>
            <w:tcW w:w="1946" w:type="dxa"/>
            <w:noWrap w:val="0"/>
            <w:vAlign w:val="center"/>
          </w:tcPr>
          <w:p>
            <w:pPr>
              <w:topLinePunct/>
              <w:spacing w:line="360" w:lineRule="auto"/>
              <w:jc w:val="center"/>
              <w:rPr>
                <w:rFonts w:eastAsia="宋体"/>
                <w:szCs w:val="21"/>
              </w:rPr>
            </w:pPr>
            <w:r>
              <w:rPr>
                <w:rFonts w:eastAsia="宋体"/>
                <w:szCs w:val="21"/>
              </w:rPr>
              <w:t>流动资金（万元）</w:t>
            </w:r>
          </w:p>
        </w:tc>
        <w:tc>
          <w:tcPr>
            <w:tcW w:w="1705" w:type="dxa"/>
            <w:gridSpan w:val="2"/>
            <w:noWrap w:val="0"/>
            <w:vAlign w:val="center"/>
          </w:tcPr>
          <w:p>
            <w:pPr>
              <w:topLinePunct/>
              <w:spacing w:line="360" w:lineRule="auto"/>
              <w:jc w:val="both"/>
              <w:rPr>
                <w:rFonts w:eastAsia="宋体"/>
                <w:szCs w:val="21"/>
              </w:rPr>
            </w:pPr>
          </w:p>
        </w:tc>
        <w:tc>
          <w:tcPr>
            <w:tcW w:w="674" w:type="dxa"/>
            <w:vMerge w:val="continue"/>
            <w:noWrap w:val="0"/>
            <w:vAlign w:val="center"/>
          </w:tcPr>
          <w:p>
            <w:pPr>
              <w:topLinePunct/>
              <w:spacing w:line="360" w:lineRule="auto"/>
              <w:jc w:val="both"/>
              <w:rPr>
                <w:rFonts w:eastAsia="宋体"/>
                <w:szCs w:val="21"/>
              </w:rPr>
            </w:pPr>
          </w:p>
        </w:tc>
        <w:tc>
          <w:tcPr>
            <w:tcW w:w="2587" w:type="dxa"/>
            <w:gridSpan w:val="2"/>
            <w:noWrap w:val="0"/>
            <w:vAlign w:val="center"/>
          </w:tcPr>
          <w:p>
            <w:pPr>
              <w:topLinePunct/>
              <w:spacing w:line="360" w:lineRule="auto"/>
              <w:jc w:val="both"/>
              <w:rPr>
                <w:rFonts w:eastAsia="宋体"/>
                <w:szCs w:val="21"/>
              </w:rPr>
            </w:pPr>
            <w:r>
              <w:rPr>
                <w:rFonts w:eastAsia="宋体"/>
                <w:szCs w:val="21"/>
              </w:rPr>
              <w:t>技术人员（人）</w:t>
            </w:r>
          </w:p>
        </w:tc>
        <w:tc>
          <w:tcPr>
            <w:tcW w:w="2413" w:type="dxa"/>
            <w:noWrap w:val="0"/>
            <w:vAlign w:val="center"/>
          </w:tcPr>
          <w:p>
            <w:pPr>
              <w:topLinePunct/>
              <w:spacing w:line="360" w:lineRule="auto"/>
              <w:jc w:val="both"/>
              <w:rPr>
                <w:rFonts w:eastAsia="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20" w:hRule="atLeast"/>
          <w:jc w:val="center"/>
        </w:trPr>
        <w:tc>
          <w:tcPr>
            <w:tcW w:w="1946" w:type="dxa"/>
            <w:noWrap w:val="0"/>
            <w:vAlign w:val="center"/>
          </w:tcPr>
          <w:p>
            <w:pPr>
              <w:topLinePunct/>
              <w:spacing w:line="360" w:lineRule="auto"/>
              <w:jc w:val="center"/>
              <w:rPr>
                <w:rFonts w:eastAsia="宋体"/>
                <w:szCs w:val="21"/>
              </w:rPr>
            </w:pPr>
            <w:r>
              <w:rPr>
                <w:rFonts w:eastAsia="宋体"/>
                <w:szCs w:val="21"/>
              </w:rPr>
              <w:t>单位性质</w:t>
            </w:r>
          </w:p>
        </w:tc>
        <w:tc>
          <w:tcPr>
            <w:tcW w:w="1705" w:type="dxa"/>
            <w:gridSpan w:val="2"/>
            <w:noWrap w:val="0"/>
            <w:vAlign w:val="center"/>
          </w:tcPr>
          <w:p>
            <w:pPr>
              <w:topLinePunct/>
              <w:spacing w:line="360" w:lineRule="auto"/>
              <w:jc w:val="both"/>
              <w:rPr>
                <w:rFonts w:eastAsia="宋体"/>
                <w:szCs w:val="21"/>
              </w:rPr>
            </w:pPr>
          </w:p>
        </w:tc>
        <w:tc>
          <w:tcPr>
            <w:tcW w:w="674" w:type="dxa"/>
            <w:vMerge w:val="continue"/>
            <w:noWrap w:val="0"/>
            <w:vAlign w:val="center"/>
          </w:tcPr>
          <w:p>
            <w:pPr>
              <w:topLinePunct/>
              <w:spacing w:line="360" w:lineRule="auto"/>
              <w:jc w:val="both"/>
              <w:rPr>
                <w:rFonts w:eastAsia="宋体"/>
                <w:szCs w:val="21"/>
              </w:rPr>
            </w:pPr>
          </w:p>
        </w:tc>
        <w:tc>
          <w:tcPr>
            <w:tcW w:w="2587" w:type="dxa"/>
            <w:gridSpan w:val="2"/>
            <w:noWrap w:val="0"/>
            <w:vAlign w:val="center"/>
          </w:tcPr>
          <w:p>
            <w:pPr>
              <w:topLinePunct/>
              <w:spacing w:line="360" w:lineRule="auto"/>
              <w:jc w:val="both"/>
              <w:rPr>
                <w:rFonts w:eastAsia="宋体"/>
                <w:szCs w:val="21"/>
              </w:rPr>
            </w:pPr>
            <w:r>
              <w:rPr>
                <w:rFonts w:eastAsia="宋体"/>
                <w:szCs w:val="21"/>
              </w:rPr>
              <w:t>销售人员（人）</w:t>
            </w:r>
          </w:p>
        </w:tc>
        <w:tc>
          <w:tcPr>
            <w:tcW w:w="2413" w:type="dxa"/>
            <w:noWrap w:val="0"/>
            <w:vAlign w:val="center"/>
          </w:tcPr>
          <w:p>
            <w:pPr>
              <w:topLinePunct/>
              <w:spacing w:line="360" w:lineRule="auto"/>
              <w:jc w:val="both"/>
              <w:rPr>
                <w:rFonts w:eastAsia="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20" w:hRule="atLeast"/>
          <w:jc w:val="center"/>
        </w:trPr>
        <w:tc>
          <w:tcPr>
            <w:tcW w:w="1946" w:type="dxa"/>
            <w:noWrap w:val="0"/>
            <w:vAlign w:val="center"/>
          </w:tcPr>
          <w:p>
            <w:pPr>
              <w:topLinePunct/>
              <w:spacing w:line="360" w:lineRule="auto"/>
              <w:jc w:val="center"/>
              <w:rPr>
                <w:rFonts w:eastAsia="宋体"/>
                <w:szCs w:val="21"/>
              </w:rPr>
            </w:pPr>
            <w:r>
              <w:rPr>
                <w:rFonts w:eastAsia="宋体"/>
                <w:szCs w:val="21"/>
              </w:rPr>
              <w:t>年设计产量</w:t>
            </w:r>
          </w:p>
        </w:tc>
        <w:tc>
          <w:tcPr>
            <w:tcW w:w="1705" w:type="dxa"/>
            <w:gridSpan w:val="2"/>
            <w:noWrap w:val="0"/>
            <w:vAlign w:val="center"/>
          </w:tcPr>
          <w:p>
            <w:pPr>
              <w:topLinePunct/>
              <w:spacing w:line="360" w:lineRule="auto"/>
              <w:jc w:val="both"/>
              <w:rPr>
                <w:rFonts w:eastAsia="宋体"/>
                <w:szCs w:val="21"/>
              </w:rPr>
            </w:pPr>
          </w:p>
        </w:tc>
        <w:tc>
          <w:tcPr>
            <w:tcW w:w="674" w:type="dxa"/>
            <w:vMerge w:val="continue"/>
            <w:noWrap w:val="0"/>
            <w:vAlign w:val="center"/>
          </w:tcPr>
          <w:p>
            <w:pPr>
              <w:topLinePunct/>
              <w:spacing w:line="360" w:lineRule="auto"/>
              <w:jc w:val="both"/>
              <w:rPr>
                <w:rFonts w:eastAsia="宋体"/>
                <w:szCs w:val="21"/>
              </w:rPr>
            </w:pPr>
          </w:p>
        </w:tc>
        <w:tc>
          <w:tcPr>
            <w:tcW w:w="2587" w:type="dxa"/>
            <w:gridSpan w:val="2"/>
            <w:noWrap w:val="0"/>
            <w:vAlign w:val="center"/>
          </w:tcPr>
          <w:p>
            <w:pPr>
              <w:topLinePunct/>
              <w:spacing w:line="360" w:lineRule="auto"/>
              <w:jc w:val="both"/>
              <w:rPr>
                <w:rFonts w:eastAsia="宋体"/>
                <w:szCs w:val="21"/>
              </w:rPr>
            </w:pPr>
            <w:r>
              <w:rPr>
                <w:rFonts w:eastAsia="宋体"/>
                <w:szCs w:val="21"/>
              </w:rPr>
              <w:t>后勤人员（人）</w:t>
            </w:r>
          </w:p>
        </w:tc>
        <w:tc>
          <w:tcPr>
            <w:tcW w:w="2413" w:type="dxa"/>
            <w:noWrap w:val="0"/>
            <w:vAlign w:val="center"/>
          </w:tcPr>
          <w:p>
            <w:pPr>
              <w:topLinePunct/>
              <w:spacing w:line="360" w:lineRule="auto"/>
              <w:jc w:val="both"/>
              <w:rPr>
                <w:rFonts w:eastAsia="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20" w:hRule="atLeast"/>
          <w:jc w:val="center"/>
        </w:trPr>
        <w:tc>
          <w:tcPr>
            <w:tcW w:w="1946" w:type="dxa"/>
            <w:noWrap w:val="0"/>
            <w:vAlign w:val="center"/>
          </w:tcPr>
          <w:p>
            <w:pPr>
              <w:topLinePunct/>
              <w:spacing w:line="360" w:lineRule="auto"/>
              <w:jc w:val="center"/>
              <w:rPr>
                <w:rFonts w:eastAsia="宋体"/>
                <w:szCs w:val="21"/>
              </w:rPr>
            </w:pPr>
            <w:r>
              <w:rPr>
                <w:rFonts w:hint="eastAsia" w:eastAsia="宋体"/>
                <w:szCs w:val="21"/>
              </w:rPr>
              <w:t>项目</w:t>
            </w:r>
            <w:r>
              <w:rPr>
                <w:rFonts w:eastAsia="宋体"/>
                <w:szCs w:val="21"/>
              </w:rPr>
              <w:t>负责人姓名</w:t>
            </w:r>
          </w:p>
        </w:tc>
        <w:tc>
          <w:tcPr>
            <w:tcW w:w="1705" w:type="dxa"/>
            <w:gridSpan w:val="2"/>
            <w:noWrap w:val="0"/>
            <w:vAlign w:val="center"/>
          </w:tcPr>
          <w:p>
            <w:pPr>
              <w:topLinePunct/>
              <w:spacing w:line="360" w:lineRule="auto"/>
              <w:jc w:val="both"/>
              <w:rPr>
                <w:rFonts w:eastAsia="宋体"/>
                <w:szCs w:val="21"/>
              </w:rPr>
            </w:pPr>
          </w:p>
        </w:tc>
        <w:tc>
          <w:tcPr>
            <w:tcW w:w="674" w:type="dxa"/>
            <w:vMerge w:val="continue"/>
            <w:noWrap w:val="0"/>
            <w:vAlign w:val="center"/>
          </w:tcPr>
          <w:p>
            <w:pPr>
              <w:topLinePunct/>
              <w:spacing w:line="360" w:lineRule="auto"/>
              <w:jc w:val="both"/>
              <w:rPr>
                <w:rFonts w:eastAsia="宋体"/>
                <w:szCs w:val="21"/>
              </w:rPr>
            </w:pPr>
          </w:p>
        </w:tc>
        <w:tc>
          <w:tcPr>
            <w:tcW w:w="2587" w:type="dxa"/>
            <w:gridSpan w:val="2"/>
            <w:noWrap w:val="0"/>
            <w:vAlign w:val="center"/>
          </w:tcPr>
          <w:p>
            <w:pPr>
              <w:topLinePunct/>
              <w:spacing w:line="360" w:lineRule="auto"/>
              <w:jc w:val="both"/>
              <w:rPr>
                <w:rFonts w:eastAsia="宋体"/>
                <w:szCs w:val="21"/>
              </w:rPr>
            </w:pPr>
            <w:r>
              <w:rPr>
                <w:rFonts w:eastAsia="宋体"/>
                <w:szCs w:val="21"/>
              </w:rPr>
              <w:t>高级职称人员（人）</w:t>
            </w:r>
          </w:p>
        </w:tc>
        <w:tc>
          <w:tcPr>
            <w:tcW w:w="2413" w:type="dxa"/>
            <w:noWrap w:val="0"/>
            <w:vAlign w:val="center"/>
          </w:tcPr>
          <w:p>
            <w:pPr>
              <w:topLinePunct/>
              <w:spacing w:line="360" w:lineRule="auto"/>
              <w:jc w:val="both"/>
              <w:rPr>
                <w:rFonts w:eastAsia="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20" w:hRule="atLeast"/>
          <w:jc w:val="center"/>
        </w:trPr>
        <w:tc>
          <w:tcPr>
            <w:tcW w:w="1946" w:type="dxa"/>
            <w:noWrap w:val="0"/>
            <w:vAlign w:val="center"/>
          </w:tcPr>
          <w:p>
            <w:pPr>
              <w:topLinePunct/>
              <w:spacing w:line="360" w:lineRule="auto"/>
              <w:jc w:val="center"/>
              <w:rPr>
                <w:rFonts w:eastAsia="宋体"/>
                <w:szCs w:val="21"/>
              </w:rPr>
            </w:pPr>
            <w:r>
              <w:rPr>
                <w:rFonts w:hint="eastAsia" w:eastAsia="宋体"/>
                <w:szCs w:val="21"/>
              </w:rPr>
              <w:t>项目</w:t>
            </w:r>
            <w:r>
              <w:rPr>
                <w:rFonts w:eastAsia="宋体"/>
                <w:szCs w:val="21"/>
              </w:rPr>
              <w:t>负责人职称</w:t>
            </w:r>
          </w:p>
        </w:tc>
        <w:tc>
          <w:tcPr>
            <w:tcW w:w="1705" w:type="dxa"/>
            <w:gridSpan w:val="2"/>
            <w:noWrap w:val="0"/>
            <w:vAlign w:val="center"/>
          </w:tcPr>
          <w:p>
            <w:pPr>
              <w:topLinePunct/>
              <w:spacing w:line="360" w:lineRule="auto"/>
              <w:jc w:val="both"/>
              <w:rPr>
                <w:rFonts w:eastAsia="宋体"/>
                <w:szCs w:val="21"/>
              </w:rPr>
            </w:pPr>
          </w:p>
        </w:tc>
        <w:tc>
          <w:tcPr>
            <w:tcW w:w="674" w:type="dxa"/>
            <w:vMerge w:val="continue"/>
            <w:noWrap w:val="0"/>
            <w:vAlign w:val="center"/>
          </w:tcPr>
          <w:p>
            <w:pPr>
              <w:topLinePunct/>
              <w:spacing w:line="360" w:lineRule="auto"/>
              <w:jc w:val="both"/>
              <w:rPr>
                <w:rFonts w:eastAsia="宋体"/>
                <w:szCs w:val="21"/>
              </w:rPr>
            </w:pPr>
          </w:p>
        </w:tc>
        <w:tc>
          <w:tcPr>
            <w:tcW w:w="2587" w:type="dxa"/>
            <w:gridSpan w:val="2"/>
            <w:noWrap w:val="0"/>
            <w:vAlign w:val="center"/>
          </w:tcPr>
          <w:p>
            <w:pPr>
              <w:topLinePunct/>
              <w:spacing w:line="360" w:lineRule="auto"/>
              <w:jc w:val="both"/>
              <w:rPr>
                <w:rFonts w:eastAsia="宋体"/>
                <w:szCs w:val="21"/>
              </w:rPr>
            </w:pPr>
            <w:r>
              <w:rPr>
                <w:rFonts w:eastAsia="宋体"/>
                <w:szCs w:val="21"/>
              </w:rPr>
              <w:t>中级职称人员（人）</w:t>
            </w:r>
          </w:p>
        </w:tc>
        <w:tc>
          <w:tcPr>
            <w:tcW w:w="2413" w:type="dxa"/>
            <w:noWrap w:val="0"/>
            <w:vAlign w:val="center"/>
          </w:tcPr>
          <w:p>
            <w:pPr>
              <w:topLinePunct/>
              <w:spacing w:line="360" w:lineRule="auto"/>
              <w:jc w:val="both"/>
              <w:rPr>
                <w:rFonts w:eastAsia="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20" w:hRule="atLeast"/>
          <w:jc w:val="center"/>
        </w:trPr>
        <w:tc>
          <w:tcPr>
            <w:tcW w:w="1946" w:type="dxa"/>
            <w:noWrap w:val="0"/>
            <w:vAlign w:val="center"/>
          </w:tcPr>
          <w:p>
            <w:pPr>
              <w:topLinePunct/>
              <w:spacing w:line="360" w:lineRule="auto"/>
              <w:jc w:val="both"/>
              <w:rPr>
                <w:rFonts w:eastAsia="宋体"/>
                <w:szCs w:val="21"/>
              </w:rPr>
            </w:pPr>
          </w:p>
        </w:tc>
        <w:tc>
          <w:tcPr>
            <w:tcW w:w="1705" w:type="dxa"/>
            <w:gridSpan w:val="2"/>
            <w:noWrap w:val="0"/>
            <w:vAlign w:val="center"/>
          </w:tcPr>
          <w:p>
            <w:pPr>
              <w:topLinePunct/>
              <w:spacing w:line="360" w:lineRule="auto"/>
              <w:jc w:val="both"/>
              <w:rPr>
                <w:rFonts w:eastAsia="宋体"/>
                <w:szCs w:val="21"/>
              </w:rPr>
            </w:pPr>
          </w:p>
        </w:tc>
        <w:tc>
          <w:tcPr>
            <w:tcW w:w="674" w:type="dxa"/>
            <w:vMerge w:val="continue"/>
            <w:noWrap w:val="0"/>
            <w:vAlign w:val="center"/>
          </w:tcPr>
          <w:p>
            <w:pPr>
              <w:topLinePunct/>
              <w:spacing w:line="360" w:lineRule="auto"/>
              <w:jc w:val="both"/>
              <w:rPr>
                <w:rFonts w:eastAsia="宋体"/>
                <w:szCs w:val="21"/>
              </w:rPr>
            </w:pPr>
          </w:p>
        </w:tc>
        <w:tc>
          <w:tcPr>
            <w:tcW w:w="2587" w:type="dxa"/>
            <w:gridSpan w:val="2"/>
            <w:noWrap w:val="0"/>
            <w:vAlign w:val="center"/>
          </w:tcPr>
          <w:p>
            <w:pPr>
              <w:topLinePunct/>
              <w:spacing w:line="360" w:lineRule="auto"/>
              <w:jc w:val="both"/>
              <w:rPr>
                <w:rFonts w:eastAsia="宋体"/>
                <w:szCs w:val="21"/>
              </w:rPr>
            </w:pPr>
            <w:r>
              <w:rPr>
                <w:rFonts w:eastAsia="宋体"/>
                <w:szCs w:val="21"/>
              </w:rPr>
              <w:t>初级职称人员（人）</w:t>
            </w:r>
          </w:p>
        </w:tc>
        <w:tc>
          <w:tcPr>
            <w:tcW w:w="2413" w:type="dxa"/>
            <w:noWrap w:val="0"/>
            <w:vAlign w:val="center"/>
          </w:tcPr>
          <w:p>
            <w:pPr>
              <w:topLinePunct/>
              <w:spacing w:line="360" w:lineRule="auto"/>
              <w:jc w:val="both"/>
              <w:rPr>
                <w:rFonts w:eastAsia="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20" w:hRule="atLeast"/>
          <w:jc w:val="center"/>
        </w:trPr>
        <w:tc>
          <w:tcPr>
            <w:tcW w:w="1946" w:type="dxa"/>
            <w:noWrap w:val="0"/>
            <w:vAlign w:val="center"/>
          </w:tcPr>
          <w:p>
            <w:pPr>
              <w:topLinePunct/>
              <w:spacing w:line="360" w:lineRule="auto"/>
              <w:jc w:val="both"/>
              <w:rPr>
                <w:rFonts w:eastAsia="宋体"/>
                <w:szCs w:val="21"/>
              </w:rPr>
            </w:pPr>
          </w:p>
        </w:tc>
        <w:tc>
          <w:tcPr>
            <w:tcW w:w="1705" w:type="dxa"/>
            <w:gridSpan w:val="2"/>
            <w:noWrap w:val="0"/>
            <w:vAlign w:val="center"/>
          </w:tcPr>
          <w:p>
            <w:pPr>
              <w:topLinePunct/>
              <w:spacing w:line="360" w:lineRule="auto"/>
              <w:jc w:val="both"/>
              <w:rPr>
                <w:rFonts w:eastAsia="宋体"/>
                <w:szCs w:val="21"/>
              </w:rPr>
            </w:pPr>
          </w:p>
        </w:tc>
        <w:tc>
          <w:tcPr>
            <w:tcW w:w="674" w:type="dxa"/>
            <w:vMerge w:val="continue"/>
            <w:noWrap w:val="0"/>
            <w:vAlign w:val="center"/>
          </w:tcPr>
          <w:p>
            <w:pPr>
              <w:topLinePunct/>
              <w:spacing w:line="360" w:lineRule="auto"/>
              <w:jc w:val="both"/>
              <w:rPr>
                <w:rFonts w:eastAsia="宋体"/>
                <w:szCs w:val="21"/>
              </w:rPr>
            </w:pPr>
          </w:p>
        </w:tc>
        <w:tc>
          <w:tcPr>
            <w:tcW w:w="2587" w:type="dxa"/>
            <w:gridSpan w:val="2"/>
            <w:noWrap w:val="0"/>
            <w:vAlign w:val="center"/>
          </w:tcPr>
          <w:p>
            <w:pPr>
              <w:topLinePunct/>
              <w:spacing w:line="360" w:lineRule="auto"/>
              <w:jc w:val="both"/>
              <w:rPr>
                <w:rFonts w:eastAsia="宋体"/>
                <w:szCs w:val="21"/>
              </w:rPr>
            </w:pPr>
            <w:r>
              <w:rPr>
                <w:rFonts w:eastAsia="宋体"/>
                <w:szCs w:val="21"/>
              </w:rPr>
              <w:t>技工（人）</w:t>
            </w:r>
          </w:p>
        </w:tc>
        <w:tc>
          <w:tcPr>
            <w:tcW w:w="2413" w:type="dxa"/>
            <w:noWrap w:val="0"/>
            <w:vAlign w:val="center"/>
          </w:tcPr>
          <w:p>
            <w:pPr>
              <w:topLinePunct/>
              <w:spacing w:line="360" w:lineRule="auto"/>
              <w:jc w:val="both"/>
              <w:rPr>
                <w:rFonts w:eastAsia="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20" w:hRule="atLeast"/>
          <w:jc w:val="center"/>
        </w:trPr>
        <w:tc>
          <w:tcPr>
            <w:tcW w:w="9325" w:type="dxa"/>
            <w:gridSpan w:val="7"/>
            <w:noWrap w:val="0"/>
            <w:vAlign w:val="center"/>
          </w:tcPr>
          <w:p>
            <w:pPr>
              <w:topLinePunct/>
              <w:spacing w:line="360" w:lineRule="auto"/>
              <w:jc w:val="both"/>
              <w:rPr>
                <w:rFonts w:eastAsia="宋体"/>
                <w:szCs w:val="21"/>
              </w:rPr>
            </w:pPr>
            <w:r>
              <w:rPr>
                <w:rFonts w:eastAsia="宋体"/>
                <w:szCs w:val="21"/>
              </w:rPr>
              <w:t>公司组织机构（请在此用叙述或用附图表示公司组织机构）</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20" w:hRule="atLeast"/>
          <w:jc w:val="center"/>
        </w:trPr>
        <w:tc>
          <w:tcPr>
            <w:tcW w:w="9325" w:type="dxa"/>
            <w:gridSpan w:val="7"/>
            <w:noWrap w:val="0"/>
            <w:vAlign w:val="center"/>
          </w:tcPr>
          <w:p>
            <w:pPr>
              <w:topLinePunct/>
              <w:spacing w:line="360" w:lineRule="auto"/>
              <w:jc w:val="both"/>
              <w:rPr>
                <w:rFonts w:eastAsia="宋体"/>
                <w:szCs w:val="21"/>
              </w:rPr>
            </w:pPr>
          </w:p>
        </w:tc>
      </w:tr>
    </w:tbl>
    <w:p>
      <w:pPr>
        <w:spacing w:line="360" w:lineRule="auto"/>
        <w:ind w:firstLine="420" w:firstLineChars="200"/>
        <w:rPr>
          <w:rFonts w:eastAsia="宋体"/>
          <w:szCs w:val="21"/>
        </w:rPr>
      </w:pPr>
    </w:p>
    <w:p>
      <w:pPr>
        <w:spacing w:line="360" w:lineRule="auto"/>
        <w:rPr>
          <w:rFonts w:eastAsia="宋体"/>
          <w:szCs w:val="21"/>
        </w:rPr>
      </w:pPr>
      <w:r>
        <w:rPr>
          <w:rFonts w:eastAsia="宋体"/>
          <w:szCs w:val="21"/>
        </w:rPr>
        <w:t>注：</w:t>
      </w:r>
    </w:p>
    <w:p>
      <w:pPr>
        <w:spacing w:line="360" w:lineRule="auto"/>
        <w:rPr>
          <w:rFonts w:eastAsia="宋体"/>
          <w:szCs w:val="21"/>
        </w:rPr>
      </w:pPr>
      <w:r>
        <w:rPr>
          <w:rFonts w:eastAsia="宋体"/>
          <w:szCs w:val="21"/>
        </w:rPr>
        <w:t xml:space="preserve">1. </w:t>
      </w:r>
      <w:r>
        <w:rPr>
          <w:rFonts w:eastAsia="宋体"/>
          <w:szCs w:val="21"/>
        </w:rPr>
        <w:tab/>
      </w:r>
      <w:r>
        <w:rPr>
          <w:rFonts w:eastAsia="宋体"/>
          <w:szCs w:val="21"/>
        </w:rPr>
        <w:t>投标人应根据投标人须知前附表第 3.5 项的要求在本表后附相关证明材料。</w:t>
      </w:r>
    </w:p>
    <w:p>
      <w:pPr>
        <w:spacing w:line="360" w:lineRule="auto"/>
        <w:rPr>
          <w:rFonts w:eastAsia="宋体"/>
          <w:szCs w:val="21"/>
        </w:rPr>
      </w:pPr>
      <w:r>
        <w:rPr>
          <w:rFonts w:hint="eastAsia" w:eastAsia="宋体"/>
          <w:szCs w:val="21"/>
        </w:rPr>
        <w:t>2.</w:t>
      </w:r>
      <w:r>
        <w:rPr>
          <w:rFonts w:eastAsia="宋体"/>
          <w:szCs w:val="21"/>
        </w:rPr>
        <w:t>此表后请</w:t>
      </w:r>
      <w:r>
        <w:rPr>
          <w:rFonts w:hint="eastAsia" w:eastAsia="宋体"/>
          <w:szCs w:val="21"/>
        </w:rPr>
        <w:t>提供</w:t>
      </w:r>
      <w:r>
        <w:rPr>
          <w:rFonts w:hint="eastAsia" w:ascii="宋体" w:hAnsi="宋体" w:eastAsia="宋体"/>
          <w:szCs w:val="21"/>
        </w:rPr>
        <w:t>投标人</w:t>
      </w:r>
      <w:r>
        <w:rPr>
          <w:rFonts w:eastAsia="宋体"/>
          <w:szCs w:val="21"/>
        </w:rPr>
        <w:t>企业法人营业执照副本、组织机构代码证书、税务登记证书（如果已完成三证合一，则仅需提供营业执照副本）。</w:t>
      </w:r>
    </w:p>
    <w:p>
      <w:pPr>
        <w:pStyle w:val="252"/>
        <w:tabs>
          <w:tab w:val="left" w:pos="993"/>
        </w:tabs>
        <w:spacing w:line="360" w:lineRule="auto"/>
        <w:ind w:firstLine="0" w:firstLineChars="0"/>
        <w:rPr>
          <w:rFonts w:eastAsia="宋体"/>
          <w:szCs w:val="21"/>
        </w:rPr>
      </w:pPr>
      <w:r>
        <w:rPr>
          <w:rFonts w:hint="eastAsia" w:eastAsia="宋体"/>
          <w:szCs w:val="21"/>
        </w:rPr>
        <w:t>3.</w:t>
      </w:r>
      <w:r>
        <w:rPr>
          <w:rFonts w:eastAsia="宋体"/>
          <w:szCs w:val="21"/>
        </w:rPr>
        <w:t>此表后请</w:t>
      </w:r>
      <w:r>
        <w:rPr>
          <w:rFonts w:hint="eastAsia" w:eastAsia="宋体"/>
          <w:szCs w:val="21"/>
        </w:rPr>
        <w:t>提供①供</w:t>
      </w:r>
      <w:r>
        <w:rPr>
          <w:rFonts w:hint="eastAsia" w:ascii="宋体" w:hAnsi="宋体" w:eastAsia="宋体"/>
          <w:szCs w:val="21"/>
        </w:rPr>
        <w:t>投标人</w:t>
      </w:r>
      <w:r>
        <w:rPr>
          <w:rFonts w:hint="eastAsia" w:eastAsia="宋体"/>
          <w:szCs w:val="21"/>
        </w:rPr>
        <w:t>铁路电气化工程专业承包三级及以上资质或承装（修、试）电力设施许可证五级及以上电力设施许可证（须在有效期内）；②具有有效的安全生产许可证。</w:t>
      </w:r>
    </w:p>
    <w:p>
      <w:pPr>
        <w:spacing w:line="360" w:lineRule="auto"/>
        <w:rPr>
          <w:rFonts w:hint="eastAsia" w:eastAsia="宋体"/>
          <w:szCs w:val="21"/>
        </w:rPr>
      </w:pPr>
    </w:p>
    <w:p>
      <w:pPr>
        <w:tabs>
          <w:tab w:val="left" w:pos="1200"/>
        </w:tabs>
        <w:spacing w:line="360" w:lineRule="auto"/>
        <w:ind w:left="360" w:firstLine="4174" w:firstLineChars="1988"/>
        <w:rPr>
          <w:rFonts w:eastAsia="宋体"/>
          <w:szCs w:val="21"/>
        </w:rPr>
      </w:pPr>
      <w:r>
        <w:rPr>
          <w:rFonts w:eastAsia="宋体"/>
          <w:szCs w:val="21"/>
        </w:rPr>
        <w:t>投标人：</w:t>
      </w:r>
      <w:r>
        <w:rPr>
          <w:rFonts w:eastAsia="宋体"/>
          <w:szCs w:val="21"/>
          <w:u w:val="single"/>
        </w:rPr>
        <w:t xml:space="preserve">                </w:t>
      </w:r>
      <w:r>
        <w:rPr>
          <w:rFonts w:eastAsia="宋体"/>
          <w:szCs w:val="21"/>
        </w:rPr>
        <w:t xml:space="preserve">   （盖单位公章）</w:t>
      </w:r>
    </w:p>
    <w:p>
      <w:pPr>
        <w:tabs>
          <w:tab w:val="left" w:pos="1200"/>
        </w:tabs>
        <w:spacing w:line="360" w:lineRule="auto"/>
        <w:ind w:left="360" w:firstLine="4174" w:firstLineChars="1988"/>
        <w:rPr>
          <w:rFonts w:eastAsia="宋体"/>
          <w:szCs w:val="21"/>
        </w:rPr>
      </w:pPr>
      <w:r>
        <w:rPr>
          <w:rFonts w:eastAsia="宋体"/>
          <w:szCs w:val="21"/>
        </w:rPr>
        <w:t>法定代表人或其委托代理人：</w:t>
      </w:r>
      <w:r>
        <w:rPr>
          <w:rFonts w:eastAsia="宋体"/>
          <w:szCs w:val="21"/>
          <w:u w:val="single"/>
        </w:rPr>
        <w:t xml:space="preserve">       </w:t>
      </w:r>
      <w:r>
        <w:rPr>
          <w:rFonts w:eastAsia="宋体"/>
          <w:szCs w:val="21"/>
        </w:rPr>
        <w:t>（签字）</w:t>
      </w:r>
    </w:p>
    <w:p>
      <w:pPr>
        <w:tabs>
          <w:tab w:val="left" w:pos="1200"/>
        </w:tabs>
        <w:spacing w:line="360" w:lineRule="auto"/>
        <w:ind w:right="210"/>
        <w:jc w:val="right"/>
        <w:rPr>
          <w:rFonts w:eastAsia="宋体"/>
          <w:szCs w:val="21"/>
        </w:rPr>
      </w:pPr>
      <w:r>
        <w:rPr>
          <w:rFonts w:eastAsia="宋体"/>
          <w:szCs w:val="21"/>
        </w:rPr>
        <w:t xml:space="preserve">日期：    </w:t>
      </w:r>
      <w:r>
        <w:rPr>
          <w:rFonts w:eastAsia="宋体"/>
          <w:szCs w:val="21"/>
          <w:u w:val="single"/>
        </w:rPr>
        <w:t xml:space="preserve">        </w:t>
      </w:r>
      <w:r>
        <w:rPr>
          <w:rFonts w:eastAsia="宋体"/>
          <w:szCs w:val="21"/>
        </w:rPr>
        <w:t xml:space="preserve"> 年</w:t>
      </w:r>
      <w:r>
        <w:rPr>
          <w:rFonts w:eastAsia="宋体"/>
          <w:szCs w:val="21"/>
          <w:u w:val="single"/>
        </w:rPr>
        <w:t xml:space="preserve">        </w:t>
      </w:r>
      <w:r>
        <w:rPr>
          <w:rFonts w:eastAsia="宋体"/>
          <w:szCs w:val="21"/>
        </w:rPr>
        <w:t>月</w:t>
      </w:r>
      <w:r>
        <w:rPr>
          <w:rFonts w:eastAsia="宋体"/>
          <w:szCs w:val="21"/>
          <w:u w:val="single"/>
        </w:rPr>
        <w:t xml:space="preserve">       </w:t>
      </w:r>
      <w:r>
        <w:rPr>
          <w:rFonts w:eastAsia="宋体"/>
          <w:szCs w:val="21"/>
        </w:rPr>
        <w:t xml:space="preserve"> 日</w:t>
      </w:r>
    </w:p>
    <w:p>
      <w:pPr>
        <w:rPr>
          <w:rFonts w:eastAsia="宋体"/>
          <w:szCs w:val="21"/>
        </w:rPr>
      </w:pPr>
      <w:bookmarkStart w:id="1657" w:name="_Toc534461589"/>
      <w:r>
        <w:rPr>
          <w:rFonts w:eastAsia="宋体"/>
          <w:b/>
        </w:rPr>
        <w:br w:type="page"/>
      </w:r>
      <w:bookmarkEnd w:id="1657"/>
    </w:p>
    <w:p>
      <w:pPr>
        <w:pStyle w:val="6"/>
        <w:numPr>
          <w:ilvl w:val="0"/>
          <w:numId w:val="18"/>
        </w:numPr>
        <w:spacing w:before="0" w:after="0" w:line="240" w:lineRule="auto"/>
        <w:ind w:left="0" w:firstLine="0"/>
        <w:rPr>
          <w:rFonts w:ascii="Times New Roman" w:hAnsi="Times New Roman" w:eastAsia="宋体"/>
          <w:bCs w:val="0"/>
        </w:rPr>
      </w:pPr>
      <w:bookmarkStart w:id="1658" w:name="_Toc23644"/>
      <w:bookmarkStart w:id="1659" w:name="_Toc30362"/>
      <w:bookmarkStart w:id="1660" w:name="_Toc32003"/>
      <w:r>
        <w:rPr>
          <w:rFonts w:ascii="Times New Roman" w:hAnsi="Times New Roman" w:eastAsia="宋体"/>
          <w:bCs w:val="0"/>
        </w:rPr>
        <w:t>承诺书（格式）</w:t>
      </w:r>
      <w:bookmarkEnd w:id="1658"/>
      <w:bookmarkEnd w:id="1659"/>
      <w:bookmarkEnd w:id="1660"/>
    </w:p>
    <w:p>
      <w:pPr>
        <w:jc w:val="center"/>
        <w:rPr>
          <w:rFonts w:hint="eastAsia" w:ascii="宋体" w:hAnsi="宋体" w:eastAsia="宋体" w:cs="宋体"/>
          <w:b/>
          <w:bCs/>
          <w:szCs w:val="21"/>
        </w:rPr>
      </w:pPr>
      <w:r>
        <w:rPr>
          <w:rFonts w:hint="eastAsia" w:ascii="宋体" w:hAnsi="宋体" w:eastAsia="宋体" w:cs="宋体"/>
          <w:b/>
          <w:bCs/>
          <w:szCs w:val="21"/>
        </w:rPr>
        <w:t>承诺书</w:t>
      </w:r>
    </w:p>
    <w:p>
      <w:pPr>
        <w:spacing w:line="360" w:lineRule="auto"/>
        <w:rPr>
          <w:rFonts w:hint="eastAsia" w:ascii="宋体" w:hAnsi="宋体" w:eastAsia="宋体" w:cs="宋体"/>
          <w:szCs w:val="21"/>
        </w:rPr>
      </w:pPr>
      <w:r>
        <w:rPr>
          <w:rFonts w:hint="eastAsia" w:ascii="宋体" w:hAnsi="宋体" w:eastAsia="宋体" w:cs="宋体"/>
          <w:szCs w:val="21"/>
        </w:rPr>
        <w:t>南通轨道交通集团有限公司运营分公司：</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我司愿就由贵公司组织实施的南通轨道交通集团有限公司运营分公司2024年1、2号线接触网车辆段增设可视化接地装置采购项目（项目编号：NTGY-2024-HW-ZB-002）采购活动进行响应。承诺如下：</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一、我司所提交的响应文件中所有的证明和陈述材料均是真实准确的，我司未提供虚假材料或存在其他弄虚作假行为；</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二、我司具有健全的财务会计制度，经营状况、商业信誉和财务信用良好，没有处于被责令停业，财产被接管、冻结、破产状态，未处于与债权人进行债务重组或其他债务安排状况下，未处于法院清盘令下，未处于自动破产申请状态下；</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三、我司没有骗取中标和严重违约引起的合同中止、纠纷、争议、仲裁和诉讼记录等情况；</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四、我司未与采购人存在利害关系；与参与本项目的其他供应商负责人不为同一人且不存在控股、管理关系；</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五、我司未以他人名义参与本项目；未与采购人及参与本项目的其他供应商串通；</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六、我司未存在被“信用中国”网站（www.creditchina.gov.cn）、“中国执行信息公开网（http://zxgk.court.gov.cn/）”或各级信用平台列入失信被执行人、重大税收违法案件当事人等不良行为的。</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上述承诺如有不实或违反上述承诺，我方愿意放弃响应或成交资格，已签订的合同无效。</w:t>
      </w:r>
    </w:p>
    <w:p>
      <w:pPr>
        <w:spacing w:line="360" w:lineRule="auto"/>
        <w:rPr>
          <w:rFonts w:hint="eastAsia" w:ascii="宋体" w:hAnsi="宋体" w:eastAsia="宋体" w:cs="宋体"/>
          <w:szCs w:val="21"/>
        </w:rPr>
      </w:pPr>
    </w:p>
    <w:p>
      <w:pPr>
        <w:spacing w:line="360" w:lineRule="auto"/>
        <w:jc w:val="right"/>
        <w:rPr>
          <w:rFonts w:hint="eastAsia" w:ascii="宋体" w:hAnsi="宋体" w:eastAsia="宋体" w:cs="宋体"/>
          <w:szCs w:val="21"/>
        </w:rPr>
      </w:pPr>
      <w:r>
        <w:rPr>
          <w:rFonts w:hint="eastAsia" w:ascii="宋体" w:hAnsi="宋体" w:eastAsia="宋体" w:cs="宋体"/>
          <w:szCs w:val="21"/>
        </w:rPr>
        <w:t xml:space="preserve">法定代表人或授权代理人：（签字或盖章） </w:t>
      </w:r>
    </w:p>
    <w:p>
      <w:pPr>
        <w:spacing w:line="360" w:lineRule="auto"/>
        <w:jc w:val="right"/>
        <w:rPr>
          <w:rFonts w:hint="eastAsia" w:ascii="宋体" w:hAnsi="宋体" w:eastAsia="宋体" w:cs="宋体"/>
          <w:szCs w:val="21"/>
        </w:rPr>
      </w:pPr>
      <w:r>
        <w:rPr>
          <w:rFonts w:hint="eastAsia" w:ascii="宋体" w:hAnsi="宋体" w:eastAsia="宋体" w:cs="宋体"/>
          <w:szCs w:val="21"/>
        </w:rPr>
        <w:t>供应商：（加盖公章）</w:t>
      </w:r>
    </w:p>
    <w:p>
      <w:pPr>
        <w:tabs>
          <w:tab w:val="left" w:pos="4394"/>
          <w:tab w:val="left" w:pos="5990"/>
        </w:tabs>
        <w:spacing w:after="120" w:line="331" w:lineRule="auto"/>
        <w:ind w:left="420" w:right="152" w:firstLine="6604" w:firstLineChars="3145"/>
        <w:jc w:val="both"/>
        <w:rPr>
          <w:rFonts w:eastAsia="宋体"/>
          <w:kern w:val="2"/>
          <w:sz w:val="22"/>
        </w:rPr>
      </w:pPr>
      <w:r>
        <w:rPr>
          <w:rFonts w:hint="eastAsia" w:ascii="宋体" w:hAnsi="宋体" w:eastAsia="宋体" w:cs="宋体"/>
          <w:szCs w:val="21"/>
        </w:rPr>
        <w:t>年    月    日</w:t>
      </w:r>
    </w:p>
    <w:p>
      <w:pPr>
        <w:pStyle w:val="6"/>
        <w:numPr>
          <w:ilvl w:val="0"/>
          <w:numId w:val="18"/>
        </w:numPr>
        <w:spacing w:before="0" w:after="0" w:line="240" w:lineRule="auto"/>
        <w:ind w:left="0" w:firstLine="0"/>
        <w:rPr>
          <w:rFonts w:ascii="Times New Roman" w:hAnsi="Times New Roman" w:eastAsia="宋体"/>
          <w:bCs w:val="0"/>
        </w:rPr>
      </w:pPr>
      <w:r>
        <w:rPr>
          <w:rFonts w:ascii="Times New Roman" w:hAnsi="Times New Roman" w:eastAsia="宋体"/>
        </w:rPr>
        <w:br w:type="page"/>
      </w:r>
      <w:r>
        <w:rPr>
          <w:rFonts w:hint="eastAsia" w:ascii="Times New Roman" w:hAnsi="Times New Roman" w:eastAsia="宋体"/>
        </w:rPr>
        <w:t>项目负责人简历表</w:t>
      </w:r>
      <w:r>
        <w:rPr>
          <w:rFonts w:ascii="Times New Roman" w:hAnsi="Times New Roman" w:eastAsia="宋体"/>
          <w:bCs w:val="0"/>
        </w:rPr>
        <w:t>（格式）</w:t>
      </w:r>
    </w:p>
    <w:p>
      <w:pPr>
        <w:tabs>
          <w:tab w:val="left" w:pos="993"/>
        </w:tabs>
        <w:spacing w:line="360" w:lineRule="auto"/>
        <w:jc w:val="center"/>
        <w:rPr>
          <w:rFonts w:hint="eastAsia" w:ascii="宋体" w:hAnsi="宋体" w:eastAsia="宋体" w:cs="宋体"/>
          <w:sz w:val="22"/>
        </w:rPr>
      </w:pPr>
      <w:r>
        <w:rPr>
          <w:rFonts w:hint="eastAsia" w:ascii="宋体" w:hAnsi="宋体" w:eastAsia="宋体" w:cs="宋体"/>
          <w:b/>
          <w:bCs/>
          <w:sz w:val="22"/>
        </w:rPr>
        <w:t>项目负责人简历表</w:t>
      </w:r>
    </w:p>
    <w:p>
      <w:pPr>
        <w:spacing w:line="380" w:lineRule="exact"/>
        <w:rPr>
          <w:rFonts w:hint="eastAsia" w:ascii="宋体" w:hAnsi="宋体" w:eastAsia="宋体" w:cs="宋体"/>
          <w:sz w:val="22"/>
        </w:rPr>
      </w:pPr>
      <w:r>
        <w:rPr>
          <w:rFonts w:hint="eastAsia" w:ascii="宋体" w:hAnsi="宋体" w:eastAsia="宋体" w:cs="宋体"/>
          <w:sz w:val="22"/>
        </w:rPr>
        <w:t>投标人名称：</w:t>
      </w:r>
    </w:p>
    <w:tbl>
      <w:tblPr>
        <w:tblStyle w:val="60"/>
        <w:tblW w:w="86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438"/>
        <w:gridCol w:w="1446"/>
        <w:gridCol w:w="96"/>
        <w:gridCol w:w="180"/>
        <w:gridCol w:w="900"/>
        <w:gridCol w:w="180"/>
        <w:gridCol w:w="540"/>
        <w:gridCol w:w="996"/>
        <w:gridCol w:w="264"/>
        <w:gridCol w:w="900"/>
        <w:gridCol w:w="282"/>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pPr>
              <w:tabs>
                <w:tab w:val="left" w:pos="993"/>
              </w:tabs>
              <w:spacing w:line="360" w:lineRule="auto"/>
              <w:jc w:val="center"/>
              <w:rPr>
                <w:rFonts w:hint="eastAsia" w:ascii="宋体" w:hAnsi="宋体" w:eastAsia="宋体" w:cs="宋体"/>
                <w:sz w:val="22"/>
              </w:rPr>
            </w:pPr>
            <w:r>
              <w:rPr>
                <w:rFonts w:hint="eastAsia" w:ascii="宋体" w:hAnsi="宋体" w:eastAsia="宋体" w:cs="宋体"/>
                <w:sz w:val="22"/>
              </w:rPr>
              <w:t>姓名</w:t>
            </w:r>
          </w:p>
        </w:tc>
        <w:tc>
          <w:tcPr>
            <w:tcW w:w="2160" w:type="dxa"/>
            <w:gridSpan w:val="4"/>
            <w:noWrap w:val="0"/>
            <w:vAlign w:val="top"/>
          </w:tcPr>
          <w:p>
            <w:pPr>
              <w:tabs>
                <w:tab w:val="left" w:pos="993"/>
              </w:tabs>
              <w:spacing w:line="360" w:lineRule="auto"/>
              <w:jc w:val="center"/>
              <w:rPr>
                <w:rFonts w:hint="eastAsia" w:ascii="宋体" w:hAnsi="宋体" w:eastAsia="宋体" w:cs="宋体"/>
                <w:sz w:val="22"/>
              </w:rPr>
            </w:pPr>
          </w:p>
        </w:tc>
        <w:tc>
          <w:tcPr>
            <w:tcW w:w="1080" w:type="dxa"/>
            <w:gridSpan w:val="2"/>
            <w:noWrap w:val="0"/>
            <w:vAlign w:val="top"/>
          </w:tcPr>
          <w:p>
            <w:pPr>
              <w:tabs>
                <w:tab w:val="left" w:pos="993"/>
              </w:tabs>
              <w:spacing w:line="360" w:lineRule="auto"/>
              <w:jc w:val="center"/>
              <w:rPr>
                <w:rFonts w:hint="eastAsia" w:ascii="宋体" w:hAnsi="宋体" w:eastAsia="宋体" w:cs="宋体"/>
                <w:sz w:val="22"/>
              </w:rPr>
            </w:pPr>
            <w:r>
              <w:rPr>
                <w:rFonts w:hint="eastAsia" w:ascii="宋体" w:hAnsi="宋体" w:eastAsia="宋体" w:cs="宋体"/>
                <w:sz w:val="22"/>
              </w:rPr>
              <w:t>性别</w:t>
            </w:r>
          </w:p>
        </w:tc>
        <w:tc>
          <w:tcPr>
            <w:tcW w:w="1800" w:type="dxa"/>
            <w:gridSpan w:val="3"/>
            <w:noWrap w:val="0"/>
            <w:vAlign w:val="top"/>
          </w:tcPr>
          <w:p>
            <w:pPr>
              <w:tabs>
                <w:tab w:val="left" w:pos="993"/>
              </w:tabs>
              <w:spacing w:line="360" w:lineRule="auto"/>
              <w:jc w:val="center"/>
              <w:rPr>
                <w:rFonts w:hint="eastAsia" w:ascii="宋体" w:hAnsi="宋体" w:eastAsia="宋体" w:cs="宋体"/>
                <w:sz w:val="22"/>
              </w:rPr>
            </w:pPr>
          </w:p>
        </w:tc>
        <w:tc>
          <w:tcPr>
            <w:tcW w:w="900" w:type="dxa"/>
            <w:noWrap w:val="0"/>
            <w:vAlign w:val="top"/>
          </w:tcPr>
          <w:p>
            <w:pPr>
              <w:tabs>
                <w:tab w:val="left" w:pos="993"/>
              </w:tabs>
              <w:spacing w:line="360" w:lineRule="auto"/>
              <w:jc w:val="center"/>
              <w:rPr>
                <w:rFonts w:hint="eastAsia" w:ascii="宋体" w:hAnsi="宋体" w:eastAsia="宋体" w:cs="宋体"/>
                <w:sz w:val="22"/>
              </w:rPr>
            </w:pPr>
            <w:r>
              <w:rPr>
                <w:rFonts w:hint="eastAsia" w:ascii="宋体" w:hAnsi="宋体" w:eastAsia="宋体" w:cs="宋体"/>
                <w:sz w:val="22"/>
              </w:rPr>
              <w:t>年龄</w:t>
            </w:r>
          </w:p>
        </w:tc>
        <w:tc>
          <w:tcPr>
            <w:tcW w:w="1728" w:type="dxa"/>
            <w:gridSpan w:val="2"/>
            <w:noWrap w:val="0"/>
            <w:vAlign w:val="top"/>
          </w:tcPr>
          <w:p>
            <w:pPr>
              <w:tabs>
                <w:tab w:val="left" w:pos="993"/>
              </w:tabs>
              <w:spacing w:line="360" w:lineRule="auto"/>
              <w:jc w:val="center"/>
              <w:rPr>
                <w:rFonts w:hint="eastAsia"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pPr>
              <w:tabs>
                <w:tab w:val="left" w:pos="993"/>
              </w:tabs>
              <w:spacing w:line="360" w:lineRule="auto"/>
              <w:jc w:val="center"/>
              <w:rPr>
                <w:rFonts w:hint="eastAsia" w:ascii="宋体" w:hAnsi="宋体" w:eastAsia="宋体" w:cs="宋体"/>
                <w:sz w:val="22"/>
              </w:rPr>
            </w:pPr>
            <w:r>
              <w:rPr>
                <w:rFonts w:hint="eastAsia" w:ascii="宋体" w:hAnsi="宋体" w:eastAsia="宋体" w:cs="宋体"/>
                <w:sz w:val="22"/>
              </w:rPr>
              <w:t>职务</w:t>
            </w:r>
          </w:p>
        </w:tc>
        <w:tc>
          <w:tcPr>
            <w:tcW w:w="2160" w:type="dxa"/>
            <w:gridSpan w:val="4"/>
            <w:noWrap w:val="0"/>
            <w:vAlign w:val="top"/>
          </w:tcPr>
          <w:p>
            <w:pPr>
              <w:tabs>
                <w:tab w:val="left" w:pos="993"/>
              </w:tabs>
              <w:spacing w:line="360" w:lineRule="auto"/>
              <w:jc w:val="center"/>
              <w:rPr>
                <w:rFonts w:hint="eastAsia" w:ascii="宋体" w:hAnsi="宋体" w:eastAsia="宋体" w:cs="宋体"/>
                <w:sz w:val="22"/>
              </w:rPr>
            </w:pPr>
          </w:p>
        </w:tc>
        <w:tc>
          <w:tcPr>
            <w:tcW w:w="1080" w:type="dxa"/>
            <w:gridSpan w:val="2"/>
            <w:noWrap w:val="0"/>
            <w:vAlign w:val="top"/>
          </w:tcPr>
          <w:p>
            <w:pPr>
              <w:tabs>
                <w:tab w:val="left" w:pos="993"/>
              </w:tabs>
              <w:spacing w:line="360" w:lineRule="auto"/>
              <w:jc w:val="center"/>
              <w:rPr>
                <w:rFonts w:hint="eastAsia" w:ascii="宋体" w:hAnsi="宋体" w:eastAsia="宋体" w:cs="宋体"/>
                <w:sz w:val="22"/>
              </w:rPr>
            </w:pPr>
            <w:r>
              <w:rPr>
                <w:rFonts w:hint="eastAsia" w:ascii="宋体" w:hAnsi="宋体" w:eastAsia="宋体" w:cs="宋体"/>
                <w:sz w:val="22"/>
              </w:rPr>
              <w:t>职称</w:t>
            </w:r>
          </w:p>
        </w:tc>
        <w:tc>
          <w:tcPr>
            <w:tcW w:w="1800" w:type="dxa"/>
            <w:gridSpan w:val="3"/>
            <w:noWrap w:val="0"/>
            <w:vAlign w:val="top"/>
          </w:tcPr>
          <w:p>
            <w:pPr>
              <w:tabs>
                <w:tab w:val="left" w:pos="993"/>
              </w:tabs>
              <w:spacing w:line="360" w:lineRule="auto"/>
              <w:jc w:val="center"/>
              <w:rPr>
                <w:rFonts w:hint="eastAsia" w:ascii="宋体" w:hAnsi="宋体" w:eastAsia="宋体" w:cs="宋体"/>
                <w:sz w:val="22"/>
              </w:rPr>
            </w:pPr>
          </w:p>
        </w:tc>
        <w:tc>
          <w:tcPr>
            <w:tcW w:w="900" w:type="dxa"/>
            <w:noWrap w:val="0"/>
            <w:vAlign w:val="top"/>
          </w:tcPr>
          <w:p>
            <w:pPr>
              <w:tabs>
                <w:tab w:val="left" w:pos="993"/>
              </w:tabs>
              <w:spacing w:line="360" w:lineRule="auto"/>
              <w:jc w:val="center"/>
              <w:rPr>
                <w:rFonts w:hint="eastAsia" w:ascii="宋体" w:hAnsi="宋体" w:eastAsia="宋体" w:cs="宋体"/>
                <w:sz w:val="22"/>
              </w:rPr>
            </w:pPr>
            <w:r>
              <w:rPr>
                <w:rFonts w:hint="eastAsia" w:ascii="宋体" w:hAnsi="宋体" w:eastAsia="宋体" w:cs="宋体"/>
                <w:sz w:val="22"/>
              </w:rPr>
              <w:t>学历</w:t>
            </w:r>
          </w:p>
        </w:tc>
        <w:tc>
          <w:tcPr>
            <w:tcW w:w="1728" w:type="dxa"/>
            <w:gridSpan w:val="2"/>
            <w:noWrap w:val="0"/>
            <w:vAlign w:val="top"/>
          </w:tcPr>
          <w:p>
            <w:pPr>
              <w:tabs>
                <w:tab w:val="left" w:pos="993"/>
              </w:tabs>
              <w:spacing w:line="360" w:lineRule="auto"/>
              <w:jc w:val="center"/>
              <w:rPr>
                <w:rFonts w:hint="eastAsia"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88" w:type="dxa"/>
            <w:gridSpan w:val="4"/>
            <w:noWrap w:val="0"/>
            <w:vAlign w:val="top"/>
          </w:tcPr>
          <w:p>
            <w:pPr>
              <w:tabs>
                <w:tab w:val="left" w:pos="993"/>
              </w:tabs>
              <w:spacing w:line="360" w:lineRule="auto"/>
              <w:jc w:val="center"/>
              <w:rPr>
                <w:rFonts w:hint="eastAsia" w:ascii="宋体" w:hAnsi="宋体" w:eastAsia="宋体" w:cs="宋体"/>
                <w:sz w:val="22"/>
              </w:rPr>
            </w:pPr>
            <w:r>
              <w:rPr>
                <w:rFonts w:hint="eastAsia" w:ascii="宋体" w:hAnsi="宋体" w:eastAsia="宋体" w:cs="宋体"/>
                <w:sz w:val="22"/>
              </w:rPr>
              <w:t>参加工作时间</w:t>
            </w:r>
          </w:p>
        </w:tc>
        <w:tc>
          <w:tcPr>
            <w:tcW w:w="1800" w:type="dxa"/>
            <w:gridSpan w:val="4"/>
            <w:noWrap w:val="0"/>
            <w:vAlign w:val="top"/>
          </w:tcPr>
          <w:p>
            <w:pPr>
              <w:tabs>
                <w:tab w:val="left" w:pos="993"/>
              </w:tabs>
              <w:spacing w:line="360" w:lineRule="auto"/>
              <w:jc w:val="center"/>
              <w:rPr>
                <w:rFonts w:hint="eastAsia" w:ascii="宋体" w:hAnsi="宋体" w:eastAsia="宋体" w:cs="宋体"/>
                <w:sz w:val="22"/>
              </w:rPr>
            </w:pPr>
          </w:p>
        </w:tc>
        <w:tc>
          <w:tcPr>
            <w:tcW w:w="2442" w:type="dxa"/>
            <w:gridSpan w:val="4"/>
            <w:noWrap w:val="0"/>
            <w:vAlign w:val="top"/>
          </w:tcPr>
          <w:p>
            <w:pPr>
              <w:tabs>
                <w:tab w:val="left" w:pos="993"/>
              </w:tabs>
              <w:spacing w:line="360" w:lineRule="auto"/>
              <w:jc w:val="center"/>
              <w:rPr>
                <w:rFonts w:hint="eastAsia" w:ascii="宋体" w:hAnsi="宋体" w:eastAsia="宋体" w:cs="宋体"/>
                <w:sz w:val="22"/>
              </w:rPr>
            </w:pPr>
            <w:r>
              <w:rPr>
                <w:rFonts w:hint="eastAsia" w:ascii="宋体" w:hAnsi="宋体" w:eastAsia="宋体" w:cs="宋体"/>
                <w:sz w:val="22"/>
              </w:rPr>
              <w:t>担任项目负责人年限</w:t>
            </w:r>
          </w:p>
        </w:tc>
        <w:tc>
          <w:tcPr>
            <w:tcW w:w="1446" w:type="dxa"/>
            <w:noWrap w:val="0"/>
            <w:vAlign w:val="top"/>
          </w:tcPr>
          <w:p>
            <w:pPr>
              <w:tabs>
                <w:tab w:val="left" w:pos="993"/>
              </w:tabs>
              <w:spacing w:line="360" w:lineRule="auto"/>
              <w:jc w:val="center"/>
              <w:rPr>
                <w:rFonts w:hint="eastAsia"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88" w:type="dxa"/>
            <w:gridSpan w:val="4"/>
            <w:noWrap w:val="0"/>
            <w:vAlign w:val="top"/>
          </w:tcPr>
          <w:p>
            <w:pPr>
              <w:tabs>
                <w:tab w:val="left" w:pos="993"/>
              </w:tabs>
              <w:spacing w:line="360" w:lineRule="auto"/>
              <w:jc w:val="center"/>
              <w:rPr>
                <w:rFonts w:hint="eastAsia" w:ascii="宋体" w:hAnsi="宋体" w:eastAsia="宋体" w:cs="宋体"/>
                <w:sz w:val="22"/>
              </w:rPr>
            </w:pPr>
            <w:r>
              <w:rPr>
                <w:rFonts w:hint="eastAsia" w:ascii="宋体" w:hAnsi="宋体" w:eastAsia="宋体" w:cs="宋体"/>
                <w:sz w:val="22"/>
              </w:rPr>
              <w:t>项目负责人证书编号</w:t>
            </w:r>
          </w:p>
        </w:tc>
        <w:tc>
          <w:tcPr>
            <w:tcW w:w="5688" w:type="dxa"/>
            <w:gridSpan w:val="9"/>
            <w:noWrap w:val="0"/>
            <w:vAlign w:val="top"/>
          </w:tcPr>
          <w:p>
            <w:pPr>
              <w:tabs>
                <w:tab w:val="left" w:pos="993"/>
              </w:tabs>
              <w:spacing w:line="360" w:lineRule="auto"/>
              <w:jc w:val="center"/>
              <w:rPr>
                <w:rFonts w:hint="eastAsia"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676" w:type="dxa"/>
            <w:gridSpan w:val="13"/>
            <w:noWrap w:val="0"/>
            <w:vAlign w:val="top"/>
          </w:tcPr>
          <w:p>
            <w:pPr>
              <w:tabs>
                <w:tab w:val="left" w:pos="993"/>
              </w:tabs>
              <w:spacing w:line="360" w:lineRule="auto"/>
              <w:jc w:val="center"/>
              <w:rPr>
                <w:rFonts w:hint="eastAsia" w:ascii="宋体" w:hAnsi="宋体" w:eastAsia="宋体" w:cs="宋体"/>
                <w:sz w:val="22"/>
              </w:rPr>
            </w:pPr>
            <w:r>
              <w:rPr>
                <w:rFonts w:hint="eastAsia" w:ascii="宋体" w:hAnsi="宋体" w:eastAsia="宋体" w:cs="宋体"/>
                <w:sz w:val="22"/>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46" w:type="dxa"/>
            <w:gridSpan w:val="2"/>
            <w:noWrap w:val="0"/>
            <w:vAlign w:val="top"/>
          </w:tcPr>
          <w:p>
            <w:pPr>
              <w:tabs>
                <w:tab w:val="left" w:pos="993"/>
              </w:tabs>
              <w:spacing w:line="360" w:lineRule="auto"/>
              <w:jc w:val="center"/>
              <w:rPr>
                <w:rFonts w:hint="eastAsia" w:ascii="宋体" w:hAnsi="宋体" w:eastAsia="宋体" w:cs="宋体"/>
                <w:sz w:val="22"/>
              </w:rPr>
            </w:pPr>
            <w:r>
              <w:rPr>
                <w:rFonts w:hint="eastAsia" w:ascii="宋体" w:hAnsi="宋体" w:eastAsia="宋体" w:cs="宋体"/>
                <w:sz w:val="22"/>
              </w:rPr>
              <w:t>建设单位</w:t>
            </w:r>
          </w:p>
        </w:tc>
        <w:tc>
          <w:tcPr>
            <w:tcW w:w="1446" w:type="dxa"/>
            <w:noWrap w:val="0"/>
            <w:vAlign w:val="top"/>
          </w:tcPr>
          <w:p>
            <w:pPr>
              <w:tabs>
                <w:tab w:val="left" w:pos="993"/>
              </w:tabs>
              <w:spacing w:line="360" w:lineRule="auto"/>
              <w:jc w:val="center"/>
              <w:rPr>
                <w:rFonts w:hint="eastAsia" w:ascii="宋体" w:hAnsi="宋体" w:eastAsia="宋体" w:cs="宋体"/>
                <w:sz w:val="22"/>
              </w:rPr>
            </w:pPr>
            <w:r>
              <w:rPr>
                <w:rFonts w:hint="eastAsia" w:ascii="宋体" w:hAnsi="宋体" w:eastAsia="宋体" w:cs="宋体"/>
                <w:sz w:val="22"/>
              </w:rPr>
              <w:t>项目名称</w:t>
            </w:r>
          </w:p>
        </w:tc>
        <w:tc>
          <w:tcPr>
            <w:tcW w:w="1176" w:type="dxa"/>
            <w:gridSpan w:val="3"/>
            <w:noWrap w:val="0"/>
            <w:vAlign w:val="top"/>
          </w:tcPr>
          <w:p>
            <w:pPr>
              <w:tabs>
                <w:tab w:val="left" w:pos="993"/>
              </w:tabs>
              <w:spacing w:line="360" w:lineRule="auto"/>
              <w:jc w:val="center"/>
              <w:rPr>
                <w:rFonts w:hint="eastAsia" w:ascii="宋体" w:hAnsi="宋体" w:eastAsia="宋体" w:cs="宋体"/>
                <w:sz w:val="22"/>
              </w:rPr>
            </w:pPr>
            <w:r>
              <w:rPr>
                <w:rFonts w:hint="eastAsia" w:ascii="宋体" w:hAnsi="宋体" w:eastAsia="宋体" w:cs="宋体"/>
                <w:sz w:val="22"/>
              </w:rPr>
              <w:t>建设规模</w:t>
            </w:r>
          </w:p>
        </w:tc>
        <w:tc>
          <w:tcPr>
            <w:tcW w:w="1716" w:type="dxa"/>
            <w:gridSpan w:val="3"/>
            <w:noWrap w:val="0"/>
            <w:vAlign w:val="top"/>
          </w:tcPr>
          <w:p>
            <w:pPr>
              <w:tabs>
                <w:tab w:val="left" w:pos="993"/>
              </w:tabs>
              <w:spacing w:line="360" w:lineRule="auto"/>
              <w:jc w:val="center"/>
              <w:rPr>
                <w:rFonts w:hint="eastAsia" w:ascii="宋体" w:hAnsi="宋体" w:eastAsia="宋体" w:cs="宋体"/>
                <w:sz w:val="22"/>
              </w:rPr>
            </w:pPr>
            <w:r>
              <w:rPr>
                <w:rFonts w:hint="eastAsia" w:ascii="宋体" w:hAnsi="宋体" w:eastAsia="宋体" w:cs="宋体"/>
                <w:sz w:val="22"/>
              </w:rPr>
              <w:t>开、竣工日期</w:t>
            </w:r>
          </w:p>
        </w:tc>
        <w:tc>
          <w:tcPr>
            <w:tcW w:w="1446" w:type="dxa"/>
            <w:gridSpan w:val="3"/>
            <w:noWrap w:val="0"/>
            <w:vAlign w:val="top"/>
          </w:tcPr>
          <w:p>
            <w:pPr>
              <w:tabs>
                <w:tab w:val="left" w:pos="993"/>
              </w:tabs>
              <w:spacing w:line="360" w:lineRule="auto"/>
              <w:jc w:val="center"/>
              <w:rPr>
                <w:rFonts w:hint="eastAsia" w:ascii="宋体" w:hAnsi="宋体" w:eastAsia="宋体" w:cs="宋体"/>
                <w:sz w:val="22"/>
              </w:rPr>
            </w:pPr>
            <w:r>
              <w:rPr>
                <w:rFonts w:hint="eastAsia" w:ascii="宋体" w:hAnsi="宋体" w:eastAsia="宋体" w:cs="宋体"/>
                <w:sz w:val="22"/>
              </w:rPr>
              <w:t>在建或已完</w:t>
            </w:r>
          </w:p>
        </w:tc>
        <w:tc>
          <w:tcPr>
            <w:tcW w:w="1446" w:type="dxa"/>
            <w:noWrap w:val="0"/>
            <w:vAlign w:val="top"/>
          </w:tcPr>
          <w:p>
            <w:pPr>
              <w:tabs>
                <w:tab w:val="left" w:pos="993"/>
              </w:tabs>
              <w:spacing w:line="360" w:lineRule="auto"/>
              <w:jc w:val="center"/>
              <w:rPr>
                <w:rFonts w:hint="eastAsia" w:ascii="宋体" w:hAnsi="宋体" w:eastAsia="宋体" w:cs="宋体"/>
                <w:sz w:val="22"/>
              </w:rPr>
            </w:pPr>
            <w:r>
              <w:rPr>
                <w:rFonts w:hint="eastAsia" w:ascii="宋体" w:hAnsi="宋体" w:eastAsia="宋体" w:cs="宋体"/>
                <w:sz w:val="22"/>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gridSpan w:val="2"/>
            <w:noWrap w:val="0"/>
            <w:vAlign w:val="top"/>
          </w:tcPr>
          <w:p>
            <w:pPr>
              <w:tabs>
                <w:tab w:val="left" w:pos="993"/>
              </w:tabs>
              <w:spacing w:line="360" w:lineRule="auto"/>
              <w:jc w:val="center"/>
              <w:rPr>
                <w:rFonts w:hint="eastAsia" w:ascii="宋体" w:hAnsi="宋体" w:eastAsia="宋体" w:cs="宋体"/>
                <w:sz w:val="22"/>
              </w:rPr>
            </w:pPr>
          </w:p>
        </w:tc>
        <w:tc>
          <w:tcPr>
            <w:tcW w:w="1446" w:type="dxa"/>
            <w:noWrap w:val="0"/>
            <w:vAlign w:val="top"/>
          </w:tcPr>
          <w:p>
            <w:pPr>
              <w:tabs>
                <w:tab w:val="left" w:pos="993"/>
              </w:tabs>
              <w:spacing w:line="360" w:lineRule="auto"/>
              <w:jc w:val="center"/>
              <w:rPr>
                <w:rFonts w:hint="eastAsia" w:ascii="宋体" w:hAnsi="宋体" w:eastAsia="宋体" w:cs="宋体"/>
                <w:sz w:val="22"/>
              </w:rPr>
            </w:pPr>
          </w:p>
        </w:tc>
        <w:tc>
          <w:tcPr>
            <w:tcW w:w="1176" w:type="dxa"/>
            <w:gridSpan w:val="3"/>
            <w:noWrap w:val="0"/>
            <w:vAlign w:val="top"/>
          </w:tcPr>
          <w:p>
            <w:pPr>
              <w:tabs>
                <w:tab w:val="left" w:pos="993"/>
              </w:tabs>
              <w:spacing w:line="360" w:lineRule="auto"/>
              <w:jc w:val="center"/>
              <w:rPr>
                <w:rFonts w:hint="eastAsia" w:ascii="宋体" w:hAnsi="宋体" w:eastAsia="宋体" w:cs="宋体"/>
                <w:sz w:val="22"/>
              </w:rPr>
            </w:pPr>
          </w:p>
        </w:tc>
        <w:tc>
          <w:tcPr>
            <w:tcW w:w="1716" w:type="dxa"/>
            <w:gridSpan w:val="3"/>
            <w:noWrap w:val="0"/>
            <w:vAlign w:val="top"/>
          </w:tcPr>
          <w:p>
            <w:pPr>
              <w:tabs>
                <w:tab w:val="left" w:pos="993"/>
              </w:tabs>
              <w:spacing w:line="360" w:lineRule="auto"/>
              <w:jc w:val="center"/>
              <w:rPr>
                <w:rFonts w:hint="eastAsia" w:ascii="宋体" w:hAnsi="宋体" w:eastAsia="宋体" w:cs="宋体"/>
                <w:sz w:val="22"/>
              </w:rPr>
            </w:pPr>
          </w:p>
        </w:tc>
        <w:tc>
          <w:tcPr>
            <w:tcW w:w="1446" w:type="dxa"/>
            <w:gridSpan w:val="3"/>
            <w:noWrap w:val="0"/>
            <w:vAlign w:val="top"/>
          </w:tcPr>
          <w:p>
            <w:pPr>
              <w:tabs>
                <w:tab w:val="left" w:pos="993"/>
              </w:tabs>
              <w:spacing w:line="360" w:lineRule="auto"/>
              <w:jc w:val="center"/>
              <w:rPr>
                <w:rFonts w:hint="eastAsia" w:ascii="宋体" w:hAnsi="宋体" w:eastAsia="宋体" w:cs="宋体"/>
                <w:sz w:val="22"/>
              </w:rPr>
            </w:pPr>
          </w:p>
        </w:tc>
        <w:tc>
          <w:tcPr>
            <w:tcW w:w="1446" w:type="dxa"/>
            <w:noWrap w:val="0"/>
            <w:vAlign w:val="top"/>
          </w:tcPr>
          <w:p>
            <w:pPr>
              <w:tabs>
                <w:tab w:val="left" w:pos="993"/>
              </w:tabs>
              <w:spacing w:line="360" w:lineRule="auto"/>
              <w:jc w:val="center"/>
              <w:rPr>
                <w:rFonts w:hint="eastAsia"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gridSpan w:val="2"/>
            <w:noWrap w:val="0"/>
            <w:vAlign w:val="top"/>
          </w:tcPr>
          <w:p>
            <w:pPr>
              <w:tabs>
                <w:tab w:val="left" w:pos="993"/>
              </w:tabs>
              <w:spacing w:line="360" w:lineRule="auto"/>
              <w:jc w:val="center"/>
              <w:rPr>
                <w:rFonts w:hint="eastAsia" w:ascii="宋体" w:hAnsi="宋体" w:eastAsia="宋体" w:cs="宋体"/>
                <w:sz w:val="22"/>
              </w:rPr>
            </w:pPr>
          </w:p>
        </w:tc>
        <w:tc>
          <w:tcPr>
            <w:tcW w:w="1446" w:type="dxa"/>
            <w:noWrap w:val="0"/>
            <w:vAlign w:val="top"/>
          </w:tcPr>
          <w:p>
            <w:pPr>
              <w:tabs>
                <w:tab w:val="left" w:pos="993"/>
              </w:tabs>
              <w:spacing w:line="360" w:lineRule="auto"/>
              <w:jc w:val="center"/>
              <w:rPr>
                <w:rFonts w:hint="eastAsia" w:ascii="宋体" w:hAnsi="宋体" w:eastAsia="宋体" w:cs="宋体"/>
                <w:sz w:val="22"/>
              </w:rPr>
            </w:pPr>
          </w:p>
        </w:tc>
        <w:tc>
          <w:tcPr>
            <w:tcW w:w="1176" w:type="dxa"/>
            <w:gridSpan w:val="3"/>
            <w:noWrap w:val="0"/>
            <w:vAlign w:val="top"/>
          </w:tcPr>
          <w:p>
            <w:pPr>
              <w:tabs>
                <w:tab w:val="left" w:pos="993"/>
              </w:tabs>
              <w:spacing w:line="360" w:lineRule="auto"/>
              <w:jc w:val="center"/>
              <w:rPr>
                <w:rFonts w:hint="eastAsia" w:ascii="宋体" w:hAnsi="宋体" w:eastAsia="宋体" w:cs="宋体"/>
                <w:sz w:val="22"/>
              </w:rPr>
            </w:pPr>
          </w:p>
        </w:tc>
        <w:tc>
          <w:tcPr>
            <w:tcW w:w="1716" w:type="dxa"/>
            <w:gridSpan w:val="3"/>
            <w:noWrap w:val="0"/>
            <w:vAlign w:val="top"/>
          </w:tcPr>
          <w:p>
            <w:pPr>
              <w:tabs>
                <w:tab w:val="left" w:pos="993"/>
              </w:tabs>
              <w:spacing w:line="360" w:lineRule="auto"/>
              <w:jc w:val="center"/>
              <w:rPr>
                <w:rFonts w:hint="eastAsia" w:ascii="宋体" w:hAnsi="宋体" w:eastAsia="宋体" w:cs="宋体"/>
                <w:sz w:val="22"/>
              </w:rPr>
            </w:pPr>
          </w:p>
        </w:tc>
        <w:tc>
          <w:tcPr>
            <w:tcW w:w="1446" w:type="dxa"/>
            <w:gridSpan w:val="3"/>
            <w:noWrap w:val="0"/>
            <w:vAlign w:val="top"/>
          </w:tcPr>
          <w:p>
            <w:pPr>
              <w:tabs>
                <w:tab w:val="left" w:pos="993"/>
              </w:tabs>
              <w:spacing w:line="360" w:lineRule="auto"/>
              <w:jc w:val="center"/>
              <w:rPr>
                <w:rFonts w:hint="eastAsia" w:ascii="宋体" w:hAnsi="宋体" w:eastAsia="宋体" w:cs="宋体"/>
                <w:sz w:val="22"/>
              </w:rPr>
            </w:pPr>
          </w:p>
        </w:tc>
        <w:tc>
          <w:tcPr>
            <w:tcW w:w="1446" w:type="dxa"/>
            <w:noWrap w:val="0"/>
            <w:vAlign w:val="top"/>
          </w:tcPr>
          <w:p>
            <w:pPr>
              <w:tabs>
                <w:tab w:val="left" w:pos="993"/>
              </w:tabs>
              <w:spacing w:line="360" w:lineRule="auto"/>
              <w:jc w:val="center"/>
              <w:rPr>
                <w:rFonts w:hint="eastAsia"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gridSpan w:val="2"/>
            <w:noWrap w:val="0"/>
            <w:vAlign w:val="top"/>
          </w:tcPr>
          <w:p>
            <w:pPr>
              <w:tabs>
                <w:tab w:val="left" w:pos="993"/>
              </w:tabs>
              <w:spacing w:line="360" w:lineRule="auto"/>
              <w:jc w:val="center"/>
              <w:rPr>
                <w:rFonts w:hint="eastAsia" w:ascii="宋体" w:hAnsi="宋体" w:eastAsia="宋体" w:cs="宋体"/>
                <w:sz w:val="22"/>
              </w:rPr>
            </w:pPr>
          </w:p>
        </w:tc>
        <w:tc>
          <w:tcPr>
            <w:tcW w:w="1446" w:type="dxa"/>
            <w:noWrap w:val="0"/>
            <w:vAlign w:val="top"/>
          </w:tcPr>
          <w:p>
            <w:pPr>
              <w:tabs>
                <w:tab w:val="left" w:pos="993"/>
              </w:tabs>
              <w:spacing w:line="360" w:lineRule="auto"/>
              <w:jc w:val="center"/>
              <w:rPr>
                <w:rFonts w:hint="eastAsia" w:ascii="宋体" w:hAnsi="宋体" w:eastAsia="宋体" w:cs="宋体"/>
                <w:sz w:val="22"/>
              </w:rPr>
            </w:pPr>
          </w:p>
        </w:tc>
        <w:tc>
          <w:tcPr>
            <w:tcW w:w="1176" w:type="dxa"/>
            <w:gridSpan w:val="3"/>
            <w:noWrap w:val="0"/>
            <w:vAlign w:val="top"/>
          </w:tcPr>
          <w:p>
            <w:pPr>
              <w:tabs>
                <w:tab w:val="left" w:pos="993"/>
              </w:tabs>
              <w:spacing w:line="360" w:lineRule="auto"/>
              <w:jc w:val="center"/>
              <w:rPr>
                <w:rFonts w:hint="eastAsia" w:ascii="宋体" w:hAnsi="宋体" w:eastAsia="宋体" w:cs="宋体"/>
                <w:sz w:val="22"/>
              </w:rPr>
            </w:pPr>
          </w:p>
        </w:tc>
        <w:tc>
          <w:tcPr>
            <w:tcW w:w="1716" w:type="dxa"/>
            <w:gridSpan w:val="3"/>
            <w:noWrap w:val="0"/>
            <w:vAlign w:val="top"/>
          </w:tcPr>
          <w:p>
            <w:pPr>
              <w:tabs>
                <w:tab w:val="left" w:pos="993"/>
              </w:tabs>
              <w:spacing w:line="360" w:lineRule="auto"/>
              <w:jc w:val="center"/>
              <w:rPr>
                <w:rFonts w:hint="eastAsia" w:ascii="宋体" w:hAnsi="宋体" w:eastAsia="宋体" w:cs="宋体"/>
                <w:sz w:val="22"/>
              </w:rPr>
            </w:pPr>
          </w:p>
        </w:tc>
        <w:tc>
          <w:tcPr>
            <w:tcW w:w="1446" w:type="dxa"/>
            <w:gridSpan w:val="3"/>
            <w:noWrap w:val="0"/>
            <w:vAlign w:val="top"/>
          </w:tcPr>
          <w:p>
            <w:pPr>
              <w:tabs>
                <w:tab w:val="left" w:pos="993"/>
              </w:tabs>
              <w:spacing w:line="360" w:lineRule="auto"/>
              <w:jc w:val="center"/>
              <w:rPr>
                <w:rFonts w:hint="eastAsia" w:ascii="宋体" w:hAnsi="宋体" w:eastAsia="宋体" w:cs="宋体"/>
                <w:sz w:val="22"/>
              </w:rPr>
            </w:pPr>
          </w:p>
        </w:tc>
        <w:tc>
          <w:tcPr>
            <w:tcW w:w="1446" w:type="dxa"/>
            <w:noWrap w:val="0"/>
            <w:vAlign w:val="top"/>
          </w:tcPr>
          <w:p>
            <w:pPr>
              <w:tabs>
                <w:tab w:val="left" w:pos="993"/>
              </w:tabs>
              <w:spacing w:line="360" w:lineRule="auto"/>
              <w:jc w:val="center"/>
              <w:rPr>
                <w:rFonts w:hint="eastAsia"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gridSpan w:val="2"/>
            <w:noWrap w:val="0"/>
            <w:vAlign w:val="top"/>
          </w:tcPr>
          <w:p>
            <w:pPr>
              <w:tabs>
                <w:tab w:val="left" w:pos="993"/>
              </w:tabs>
              <w:spacing w:line="360" w:lineRule="auto"/>
              <w:jc w:val="center"/>
              <w:rPr>
                <w:rFonts w:hint="eastAsia" w:ascii="宋体" w:hAnsi="宋体" w:eastAsia="宋体" w:cs="宋体"/>
                <w:sz w:val="22"/>
              </w:rPr>
            </w:pPr>
          </w:p>
        </w:tc>
        <w:tc>
          <w:tcPr>
            <w:tcW w:w="1446" w:type="dxa"/>
            <w:noWrap w:val="0"/>
            <w:vAlign w:val="top"/>
          </w:tcPr>
          <w:p>
            <w:pPr>
              <w:tabs>
                <w:tab w:val="left" w:pos="993"/>
              </w:tabs>
              <w:spacing w:line="360" w:lineRule="auto"/>
              <w:jc w:val="center"/>
              <w:rPr>
                <w:rFonts w:hint="eastAsia" w:ascii="宋体" w:hAnsi="宋体" w:eastAsia="宋体" w:cs="宋体"/>
                <w:sz w:val="22"/>
              </w:rPr>
            </w:pPr>
          </w:p>
        </w:tc>
        <w:tc>
          <w:tcPr>
            <w:tcW w:w="1176" w:type="dxa"/>
            <w:gridSpan w:val="3"/>
            <w:noWrap w:val="0"/>
            <w:vAlign w:val="top"/>
          </w:tcPr>
          <w:p>
            <w:pPr>
              <w:tabs>
                <w:tab w:val="left" w:pos="993"/>
              </w:tabs>
              <w:spacing w:line="360" w:lineRule="auto"/>
              <w:jc w:val="center"/>
              <w:rPr>
                <w:rFonts w:hint="eastAsia" w:ascii="宋体" w:hAnsi="宋体" w:eastAsia="宋体" w:cs="宋体"/>
                <w:sz w:val="22"/>
              </w:rPr>
            </w:pPr>
          </w:p>
        </w:tc>
        <w:tc>
          <w:tcPr>
            <w:tcW w:w="1716" w:type="dxa"/>
            <w:gridSpan w:val="3"/>
            <w:noWrap w:val="0"/>
            <w:vAlign w:val="top"/>
          </w:tcPr>
          <w:p>
            <w:pPr>
              <w:tabs>
                <w:tab w:val="left" w:pos="993"/>
              </w:tabs>
              <w:spacing w:line="360" w:lineRule="auto"/>
              <w:jc w:val="center"/>
              <w:rPr>
                <w:rFonts w:hint="eastAsia" w:ascii="宋体" w:hAnsi="宋体" w:eastAsia="宋体" w:cs="宋体"/>
                <w:sz w:val="22"/>
              </w:rPr>
            </w:pPr>
          </w:p>
        </w:tc>
        <w:tc>
          <w:tcPr>
            <w:tcW w:w="1446" w:type="dxa"/>
            <w:gridSpan w:val="3"/>
            <w:noWrap w:val="0"/>
            <w:vAlign w:val="top"/>
          </w:tcPr>
          <w:p>
            <w:pPr>
              <w:tabs>
                <w:tab w:val="left" w:pos="993"/>
              </w:tabs>
              <w:spacing w:line="360" w:lineRule="auto"/>
              <w:jc w:val="center"/>
              <w:rPr>
                <w:rFonts w:hint="eastAsia" w:ascii="宋体" w:hAnsi="宋体" w:eastAsia="宋体" w:cs="宋体"/>
                <w:sz w:val="22"/>
              </w:rPr>
            </w:pPr>
          </w:p>
        </w:tc>
        <w:tc>
          <w:tcPr>
            <w:tcW w:w="1446" w:type="dxa"/>
            <w:noWrap w:val="0"/>
            <w:vAlign w:val="top"/>
          </w:tcPr>
          <w:p>
            <w:pPr>
              <w:tabs>
                <w:tab w:val="left" w:pos="993"/>
              </w:tabs>
              <w:spacing w:line="360" w:lineRule="auto"/>
              <w:jc w:val="center"/>
              <w:rPr>
                <w:rFonts w:hint="eastAsia"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gridSpan w:val="2"/>
            <w:noWrap w:val="0"/>
            <w:vAlign w:val="top"/>
          </w:tcPr>
          <w:p>
            <w:pPr>
              <w:tabs>
                <w:tab w:val="left" w:pos="993"/>
              </w:tabs>
              <w:spacing w:line="360" w:lineRule="auto"/>
              <w:jc w:val="center"/>
              <w:rPr>
                <w:rFonts w:hint="eastAsia" w:ascii="宋体" w:hAnsi="宋体" w:eastAsia="宋体" w:cs="宋体"/>
                <w:sz w:val="22"/>
              </w:rPr>
            </w:pPr>
          </w:p>
        </w:tc>
        <w:tc>
          <w:tcPr>
            <w:tcW w:w="1446" w:type="dxa"/>
            <w:noWrap w:val="0"/>
            <w:vAlign w:val="top"/>
          </w:tcPr>
          <w:p>
            <w:pPr>
              <w:tabs>
                <w:tab w:val="left" w:pos="993"/>
              </w:tabs>
              <w:spacing w:line="360" w:lineRule="auto"/>
              <w:jc w:val="center"/>
              <w:rPr>
                <w:rFonts w:hint="eastAsia" w:ascii="宋体" w:hAnsi="宋体" w:eastAsia="宋体" w:cs="宋体"/>
                <w:sz w:val="22"/>
              </w:rPr>
            </w:pPr>
          </w:p>
        </w:tc>
        <w:tc>
          <w:tcPr>
            <w:tcW w:w="1176" w:type="dxa"/>
            <w:gridSpan w:val="3"/>
            <w:noWrap w:val="0"/>
            <w:vAlign w:val="top"/>
          </w:tcPr>
          <w:p>
            <w:pPr>
              <w:tabs>
                <w:tab w:val="left" w:pos="993"/>
              </w:tabs>
              <w:spacing w:line="360" w:lineRule="auto"/>
              <w:jc w:val="center"/>
              <w:rPr>
                <w:rFonts w:hint="eastAsia" w:ascii="宋体" w:hAnsi="宋体" w:eastAsia="宋体" w:cs="宋体"/>
                <w:sz w:val="22"/>
              </w:rPr>
            </w:pPr>
          </w:p>
        </w:tc>
        <w:tc>
          <w:tcPr>
            <w:tcW w:w="1716" w:type="dxa"/>
            <w:gridSpan w:val="3"/>
            <w:noWrap w:val="0"/>
            <w:vAlign w:val="top"/>
          </w:tcPr>
          <w:p>
            <w:pPr>
              <w:tabs>
                <w:tab w:val="left" w:pos="993"/>
              </w:tabs>
              <w:spacing w:line="360" w:lineRule="auto"/>
              <w:jc w:val="center"/>
              <w:rPr>
                <w:rFonts w:hint="eastAsia" w:ascii="宋体" w:hAnsi="宋体" w:eastAsia="宋体" w:cs="宋体"/>
                <w:sz w:val="22"/>
              </w:rPr>
            </w:pPr>
          </w:p>
        </w:tc>
        <w:tc>
          <w:tcPr>
            <w:tcW w:w="1446" w:type="dxa"/>
            <w:gridSpan w:val="3"/>
            <w:noWrap w:val="0"/>
            <w:vAlign w:val="top"/>
          </w:tcPr>
          <w:p>
            <w:pPr>
              <w:tabs>
                <w:tab w:val="left" w:pos="993"/>
              </w:tabs>
              <w:spacing w:line="360" w:lineRule="auto"/>
              <w:jc w:val="center"/>
              <w:rPr>
                <w:rFonts w:hint="eastAsia" w:ascii="宋体" w:hAnsi="宋体" w:eastAsia="宋体" w:cs="宋体"/>
                <w:sz w:val="22"/>
              </w:rPr>
            </w:pPr>
          </w:p>
        </w:tc>
        <w:tc>
          <w:tcPr>
            <w:tcW w:w="1446" w:type="dxa"/>
            <w:noWrap w:val="0"/>
            <w:vAlign w:val="top"/>
          </w:tcPr>
          <w:p>
            <w:pPr>
              <w:tabs>
                <w:tab w:val="left" w:pos="993"/>
              </w:tabs>
              <w:spacing w:line="360" w:lineRule="auto"/>
              <w:jc w:val="center"/>
              <w:rPr>
                <w:rFonts w:hint="eastAsia"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gridSpan w:val="2"/>
            <w:noWrap w:val="0"/>
            <w:vAlign w:val="top"/>
          </w:tcPr>
          <w:p>
            <w:pPr>
              <w:tabs>
                <w:tab w:val="left" w:pos="993"/>
              </w:tabs>
              <w:spacing w:line="360" w:lineRule="auto"/>
              <w:jc w:val="center"/>
              <w:rPr>
                <w:rFonts w:hint="eastAsia" w:ascii="宋体" w:hAnsi="宋体" w:eastAsia="宋体" w:cs="宋体"/>
                <w:sz w:val="22"/>
              </w:rPr>
            </w:pPr>
          </w:p>
        </w:tc>
        <w:tc>
          <w:tcPr>
            <w:tcW w:w="1446" w:type="dxa"/>
            <w:noWrap w:val="0"/>
            <w:vAlign w:val="top"/>
          </w:tcPr>
          <w:p>
            <w:pPr>
              <w:tabs>
                <w:tab w:val="left" w:pos="993"/>
              </w:tabs>
              <w:spacing w:line="360" w:lineRule="auto"/>
              <w:jc w:val="center"/>
              <w:rPr>
                <w:rFonts w:hint="eastAsia" w:ascii="宋体" w:hAnsi="宋体" w:eastAsia="宋体" w:cs="宋体"/>
                <w:sz w:val="22"/>
              </w:rPr>
            </w:pPr>
          </w:p>
        </w:tc>
        <w:tc>
          <w:tcPr>
            <w:tcW w:w="1176" w:type="dxa"/>
            <w:gridSpan w:val="3"/>
            <w:noWrap w:val="0"/>
            <w:vAlign w:val="top"/>
          </w:tcPr>
          <w:p>
            <w:pPr>
              <w:tabs>
                <w:tab w:val="left" w:pos="993"/>
              </w:tabs>
              <w:spacing w:line="360" w:lineRule="auto"/>
              <w:jc w:val="center"/>
              <w:rPr>
                <w:rFonts w:hint="eastAsia" w:ascii="宋体" w:hAnsi="宋体" w:eastAsia="宋体" w:cs="宋体"/>
                <w:sz w:val="22"/>
              </w:rPr>
            </w:pPr>
          </w:p>
        </w:tc>
        <w:tc>
          <w:tcPr>
            <w:tcW w:w="1716" w:type="dxa"/>
            <w:gridSpan w:val="3"/>
            <w:noWrap w:val="0"/>
            <w:vAlign w:val="top"/>
          </w:tcPr>
          <w:p>
            <w:pPr>
              <w:tabs>
                <w:tab w:val="left" w:pos="993"/>
              </w:tabs>
              <w:spacing w:line="360" w:lineRule="auto"/>
              <w:jc w:val="center"/>
              <w:rPr>
                <w:rFonts w:hint="eastAsia" w:ascii="宋体" w:hAnsi="宋体" w:eastAsia="宋体" w:cs="宋体"/>
                <w:sz w:val="22"/>
              </w:rPr>
            </w:pPr>
          </w:p>
        </w:tc>
        <w:tc>
          <w:tcPr>
            <w:tcW w:w="1446" w:type="dxa"/>
            <w:gridSpan w:val="3"/>
            <w:noWrap w:val="0"/>
            <w:vAlign w:val="top"/>
          </w:tcPr>
          <w:p>
            <w:pPr>
              <w:tabs>
                <w:tab w:val="left" w:pos="993"/>
              </w:tabs>
              <w:spacing w:line="360" w:lineRule="auto"/>
              <w:jc w:val="center"/>
              <w:rPr>
                <w:rFonts w:hint="eastAsia" w:ascii="宋体" w:hAnsi="宋体" w:eastAsia="宋体" w:cs="宋体"/>
                <w:sz w:val="22"/>
              </w:rPr>
            </w:pPr>
          </w:p>
        </w:tc>
        <w:tc>
          <w:tcPr>
            <w:tcW w:w="1446" w:type="dxa"/>
            <w:noWrap w:val="0"/>
            <w:vAlign w:val="top"/>
          </w:tcPr>
          <w:p>
            <w:pPr>
              <w:tabs>
                <w:tab w:val="left" w:pos="993"/>
              </w:tabs>
              <w:spacing w:line="360" w:lineRule="auto"/>
              <w:jc w:val="center"/>
              <w:rPr>
                <w:rFonts w:hint="eastAsia"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gridSpan w:val="2"/>
            <w:noWrap w:val="0"/>
            <w:vAlign w:val="top"/>
          </w:tcPr>
          <w:p>
            <w:pPr>
              <w:tabs>
                <w:tab w:val="left" w:pos="993"/>
              </w:tabs>
              <w:spacing w:line="360" w:lineRule="auto"/>
              <w:jc w:val="center"/>
              <w:rPr>
                <w:rFonts w:hint="eastAsia" w:ascii="宋体" w:hAnsi="宋体" w:eastAsia="宋体" w:cs="宋体"/>
                <w:sz w:val="22"/>
              </w:rPr>
            </w:pPr>
          </w:p>
        </w:tc>
        <w:tc>
          <w:tcPr>
            <w:tcW w:w="1446" w:type="dxa"/>
            <w:noWrap w:val="0"/>
            <w:vAlign w:val="top"/>
          </w:tcPr>
          <w:p>
            <w:pPr>
              <w:tabs>
                <w:tab w:val="left" w:pos="993"/>
              </w:tabs>
              <w:spacing w:line="360" w:lineRule="auto"/>
              <w:jc w:val="center"/>
              <w:rPr>
                <w:rFonts w:hint="eastAsia" w:ascii="宋体" w:hAnsi="宋体" w:eastAsia="宋体" w:cs="宋体"/>
                <w:sz w:val="22"/>
              </w:rPr>
            </w:pPr>
          </w:p>
        </w:tc>
        <w:tc>
          <w:tcPr>
            <w:tcW w:w="1176" w:type="dxa"/>
            <w:gridSpan w:val="3"/>
            <w:noWrap w:val="0"/>
            <w:vAlign w:val="top"/>
          </w:tcPr>
          <w:p>
            <w:pPr>
              <w:tabs>
                <w:tab w:val="left" w:pos="993"/>
              </w:tabs>
              <w:spacing w:line="360" w:lineRule="auto"/>
              <w:jc w:val="center"/>
              <w:rPr>
                <w:rFonts w:hint="eastAsia" w:ascii="宋体" w:hAnsi="宋体" w:eastAsia="宋体" w:cs="宋体"/>
                <w:sz w:val="22"/>
              </w:rPr>
            </w:pPr>
          </w:p>
        </w:tc>
        <w:tc>
          <w:tcPr>
            <w:tcW w:w="1716" w:type="dxa"/>
            <w:gridSpan w:val="3"/>
            <w:noWrap w:val="0"/>
            <w:vAlign w:val="top"/>
          </w:tcPr>
          <w:p>
            <w:pPr>
              <w:tabs>
                <w:tab w:val="left" w:pos="993"/>
              </w:tabs>
              <w:spacing w:line="360" w:lineRule="auto"/>
              <w:jc w:val="center"/>
              <w:rPr>
                <w:rFonts w:hint="eastAsia" w:ascii="宋体" w:hAnsi="宋体" w:eastAsia="宋体" w:cs="宋体"/>
                <w:sz w:val="22"/>
              </w:rPr>
            </w:pPr>
          </w:p>
        </w:tc>
        <w:tc>
          <w:tcPr>
            <w:tcW w:w="1446" w:type="dxa"/>
            <w:gridSpan w:val="3"/>
            <w:noWrap w:val="0"/>
            <w:vAlign w:val="top"/>
          </w:tcPr>
          <w:p>
            <w:pPr>
              <w:tabs>
                <w:tab w:val="left" w:pos="993"/>
              </w:tabs>
              <w:spacing w:line="360" w:lineRule="auto"/>
              <w:jc w:val="center"/>
              <w:rPr>
                <w:rFonts w:hint="eastAsia" w:ascii="宋体" w:hAnsi="宋体" w:eastAsia="宋体" w:cs="宋体"/>
                <w:sz w:val="22"/>
              </w:rPr>
            </w:pPr>
          </w:p>
        </w:tc>
        <w:tc>
          <w:tcPr>
            <w:tcW w:w="1446" w:type="dxa"/>
            <w:noWrap w:val="0"/>
            <w:vAlign w:val="top"/>
          </w:tcPr>
          <w:p>
            <w:pPr>
              <w:tabs>
                <w:tab w:val="left" w:pos="993"/>
              </w:tabs>
              <w:spacing w:line="360" w:lineRule="auto"/>
              <w:jc w:val="center"/>
              <w:rPr>
                <w:rFonts w:hint="eastAsia"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gridSpan w:val="2"/>
            <w:noWrap w:val="0"/>
            <w:vAlign w:val="top"/>
          </w:tcPr>
          <w:p>
            <w:pPr>
              <w:tabs>
                <w:tab w:val="left" w:pos="993"/>
              </w:tabs>
              <w:spacing w:line="360" w:lineRule="auto"/>
              <w:jc w:val="center"/>
              <w:rPr>
                <w:rFonts w:hint="eastAsia" w:ascii="宋体" w:hAnsi="宋体" w:eastAsia="宋体" w:cs="宋体"/>
                <w:sz w:val="22"/>
              </w:rPr>
            </w:pPr>
          </w:p>
        </w:tc>
        <w:tc>
          <w:tcPr>
            <w:tcW w:w="1446" w:type="dxa"/>
            <w:noWrap w:val="0"/>
            <w:vAlign w:val="top"/>
          </w:tcPr>
          <w:p>
            <w:pPr>
              <w:tabs>
                <w:tab w:val="left" w:pos="993"/>
              </w:tabs>
              <w:spacing w:line="360" w:lineRule="auto"/>
              <w:jc w:val="center"/>
              <w:rPr>
                <w:rFonts w:hint="eastAsia" w:ascii="宋体" w:hAnsi="宋体" w:eastAsia="宋体" w:cs="宋体"/>
                <w:sz w:val="22"/>
              </w:rPr>
            </w:pPr>
          </w:p>
        </w:tc>
        <w:tc>
          <w:tcPr>
            <w:tcW w:w="1176" w:type="dxa"/>
            <w:gridSpan w:val="3"/>
            <w:noWrap w:val="0"/>
            <w:vAlign w:val="top"/>
          </w:tcPr>
          <w:p>
            <w:pPr>
              <w:tabs>
                <w:tab w:val="left" w:pos="993"/>
              </w:tabs>
              <w:spacing w:line="360" w:lineRule="auto"/>
              <w:jc w:val="center"/>
              <w:rPr>
                <w:rFonts w:hint="eastAsia" w:ascii="宋体" w:hAnsi="宋体" w:eastAsia="宋体" w:cs="宋体"/>
                <w:sz w:val="22"/>
              </w:rPr>
            </w:pPr>
          </w:p>
        </w:tc>
        <w:tc>
          <w:tcPr>
            <w:tcW w:w="1716" w:type="dxa"/>
            <w:gridSpan w:val="3"/>
            <w:noWrap w:val="0"/>
            <w:vAlign w:val="top"/>
          </w:tcPr>
          <w:p>
            <w:pPr>
              <w:tabs>
                <w:tab w:val="left" w:pos="993"/>
              </w:tabs>
              <w:spacing w:line="360" w:lineRule="auto"/>
              <w:jc w:val="center"/>
              <w:rPr>
                <w:rFonts w:hint="eastAsia" w:ascii="宋体" w:hAnsi="宋体" w:eastAsia="宋体" w:cs="宋体"/>
                <w:sz w:val="22"/>
              </w:rPr>
            </w:pPr>
          </w:p>
        </w:tc>
        <w:tc>
          <w:tcPr>
            <w:tcW w:w="1446" w:type="dxa"/>
            <w:gridSpan w:val="3"/>
            <w:noWrap w:val="0"/>
            <w:vAlign w:val="top"/>
          </w:tcPr>
          <w:p>
            <w:pPr>
              <w:tabs>
                <w:tab w:val="left" w:pos="993"/>
              </w:tabs>
              <w:spacing w:line="360" w:lineRule="auto"/>
              <w:jc w:val="center"/>
              <w:rPr>
                <w:rFonts w:hint="eastAsia" w:ascii="宋体" w:hAnsi="宋体" w:eastAsia="宋体" w:cs="宋体"/>
                <w:sz w:val="22"/>
              </w:rPr>
            </w:pPr>
          </w:p>
        </w:tc>
        <w:tc>
          <w:tcPr>
            <w:tcW w:w="1446" w:type="dxa"/>
            <w:noWrap w:val="0"/>
            <w:vAlign w:val="top"/>
          </w:tcPr>
          <w:p>
            <w:pPr>
              <w:tabs>
                <w:tab w:val="left" w:pos="993"/>
              </w:tabs>
              <w:spacing w:line="360" w:lineRule="auto"/>
              <w:jc w:val="center"/>
              <w:rPr>
                <w:rFonts w:hint="eastAsia"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gridSpan w:val="2"/>
            <w:noWrap w:val="0"/>
            <w:vAlign w:val="top"/>
          </w:tcPr>
          <w:p>
            <w:pPr>
              <w:tabs>
                <w:tab w:val="left" w:pos="993"/>
              </w:tabs>
              <w:spacing w:line="360" w:lineRule="auto"/>
              <w:jc w:val="center"/>
              <w:rPr>
                <w:rFonts w:hint="eastAsia" w:ascii="宋体" w:hAnsi="宋体" w:eastAsia="宋体" w:cs="宋体"/>
                <w:sz w:val="22"/>
              </w:rPr>
            </w:pPr>
          </w:p>
        </w:tc>
        <w:tc>
          <w:tcPr>
            <w:tcW w:w="1446" w:type="dxa"/>
            <w:noWrap w:val="0"/>
            <w:vAlign w:val="top"/>
          </w:tcPr>
          <w:p>
            <w:pPr>
              <w:tabs>
                <w:tab w:val="left" w:pos="993"/>
              </w:tabs>
              <w:spacing w:line="360" w:lineRule="auto"/>
              <w:jc w:val="center"/>
              <w:rPr>
                <w:rFonts w:hint="eastAsia" w:ascii="宋体" w:hAnsi="宋体" w:eastAsia="宋体" w:cs="宋体"/>
                <w:sz w:val="22"/>
              </w:rPr>
            </w:pPr>
          </w:p>
        </w:tc>
        <w:tc>
          <w:tcPr>
            <w:tcW w:w="1176" w:type="dxa"/>
            <w:gridSpan w:val="3"/>
            <w:noWrap w:val="0"/>
            <w:vAlign w:val="top"/>
          </w:tcPr>
          <w:p>
            <w:pPr>
              <w:tabs>
                <w:tab w:val="left" w:pos="993"/>
              </w:tabs>
              <w:spacing w:line="360" w:lineRule="auto"/>
              <w:jc w:val="center"/>
              <w:rPr>
                <w:rFonts w:hint="eastAsia" w:ascii="宋体" w:hAnsi="宋体" w:eastAsia="宋体" w:cs="宋体"/>
                <w:sz w:val="22"/>
              </w:rPr>
            </w:pPr>
          </w:p>
        </w:tc>
        <w:tc>
          <w:tcPr>
            <w:tcW w:w="1716" w:type="dxa"/>
            <w:gridSpan w:val="3"/>
            <w:noWrap w:val="0"/>
            <w:vAlign w:val="top"/>
          </w:tcPr>
          <w:p>
            <w:pPr>
              <w:tabs>
                <w:tab w:val="left" w:pos="993"/>
              </w:tabs>
              <w:spacing w:line="360" w:lineRule="auto"/>
              <w:jc w:val="center"/>
              <w:rPr>
                <w:rFonts w:hint="eastAsia" w:ascii="宋体" w:hAnsi="宋体" w:eastAsia="宋体" w:cs="宋体"/>
                <w:sz w:val="22"/>
              </w:rPr>
            </w:pPr>
          </w:p>
        </w:tc>
        <w:tc>
          <w:tcPr>
            <w:tcW w:w="1446" w:type="dxa"/>
            <w:gridSpan w:val="3"/>
            <w:noWrap w:val="0"/>
            <w:vAlign w:val="top"/>
          </w:tcPr>
          <w:p>
            <w:pPr>
              <w:tabs>
                <w:tab w:val="left" w:pos="993"/>
              </w:tabs>
              <w:spacing w:line="360" w:lineRule="auto"/>
              <w:jc w:val="center"/>
              <w:rPr>
                <w:rFonts w:hint="eastAsia" w:ascii="宋体" w:hAnsi="宋体" w:eastAsia="宋体" w:cs="宋体"/>
                <w:sz w:val="22"/>
              </w:rPr>
            </w:pPr>
          </w:p>
        </w:tc>
        <w:tc>
          <w:tcPr>
            <w:tcW w:w="1446" w:type="dxa"/>
            <w:noWrap w:val="0"/>
            <w:vAlign w:val="top"/>
          </w:tcPr>
          <w:p>
            <w:pPr>
              <w:tabs>
                <w:tab w:val="left" w:pos="993"/>
              </w:tabs>
              <w:spacing w:line="360" w:lineRule="auto"/>
              <w:jc w:val="center"/>
              <w:rPr>
                <w:rFonts w:hint="eastAsia"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gridSpan w:val="2"/>
            <w:noWrap w:val="0"/>
            <w:vAlign w:val="top"/>
          </w:tcPr>
          <w:p>
            <w:pPr>
              <w:tabs>
                <w:tab w:val="left" w:pos="993"/>
              </w:tabs>
              <w:spacing w:line="360" w:lineRule="auto"/>
              <w:jc w:val="center"/>
              <w:rPr>
                <w:rFonts w:hint="eastAsia" w:ascii="宋体" w:hAnsi="宋体" w:eastAsia="宋体" w:cs="宋体"/>
                <w:sz w:val="22"/>
              </w:rPr>
            </w:pPr>
          </w:p>
        </w:tc>
        <w:tc>
          <w:tcPr>
            <w:tcW w:w="1446" w:type="dxa"/>
            <w:noWrap w:val="0"/>
            <w:vAlign w:val="top"/>
          </w:tcPr>
          <w:p>
            <w:pPr>
              <w:tabs>
                <w:tab w:val="left" w:pos="993"/>
              </w:tabs>
              <w:spacing w:line="360" w:lineRule="auto"/>
              <w:jc w:val="center"/>
              <w:rPr>
                <w:rFonts w:hint="eastAsia" w:ascii="宋体" w:hAnsi="宋体" w:eastAsia="宋体" w:cs="宋体"/>
                <w:sz w:val="22"/>
              </w:rPr>
            </w:pPr>
          </w:p>
        </w:tc>
        <w:tc>
          <w:tcPr>
            <w:tcW w:w="1176" w:type="dxa"/>
            <w:gridSpan w:val="3"/>
            <w:noWrap w:val="0"/>
            <w:vAlign w:val="top"/>
          </w:tcPr>
          <w:p>
            <w:pPr>
              <w:tabs>
                <w:tab w:val="left" w:pos="993"/>
              </w:tabs>
              <w:spacing w:line="360" w:lineRule="auto"/>
              <w:jc w:val="center"/>
              <w:rPr>
                <w:rFonts w:hint="eastAsia" w:ascii="宋体" w:hAnsi="宋体" w:eastAsia="宋体" w:cs="宋体"/>
                <w:sz w:val="22"/>
              </w:rPr>
            </w:pPr>
          </w:p>
        </w:tc>
        <w:tc>
          <w:tcPr>
            <w:tcW w:w="1716" w:type="dxa"/>
            <w:gridSpan w:val="3"/>
            <w:noWrap w:val="0"/>
            <w:vAlign w:val="top"/>
          </w:tcPr>
          <w:p>
            <w:pPr>
              <w:tabs>
                <w:tab w:val="left" w:pos="993"/>
              </w:tabs>
              <w:spacing w:line="360" w:lineRule="auto"/>
              <w:jc w:val="center"/>
              <w:rPr>
                <w:rFonts w:hint="eastAsia" w:ascii="宋体" w:hAnsi="宋体" w:eastAsia="宋体" w:cs="宋体"/>
                <w:sz w:val="22"/>
              </w:rPr>
            </w:pPr>
          </w:p>
        </w:tc>
        <w:tc>
          <w:tcPr>
            <w:tcW w:w="1446" w:type="dxa"/>
            <w:gridSpan w:val="3"/>
            <w:noWrap w:val="0"/>
            <w:vAlign w:val="top"/>
          </w:tcPr>
          <w:p>
            <w:pPr>
              <w:tabs>
                <w:tab w:val="left" w:pos="993"/>
              </w:tabs>
              <w:spacing w:line="360" w:lineRule="auto"/>
              <w:jc w:val="center"/>
              <w:rPr>
                <w:rFonts w:hint="eastAsia" w:ascii="宋体" w:hAnsi="宋体" w:eastAsia="宋体" w:cs="宋体"/>
                <w:sz w:val="22"/>
              </w:rPr>
            </w:pPr>
          </w:p>
        </w:tc>
        <w:tc>
          <w:tcPr>
            <w:tcW w:w="1446" w:type="dxa"/>
            <w:noWrap w:val="0"/>
            <w:vAlign w:val="top"/>
          </w:tcPr>
          <w:p>
            <w:pPr>
              <w:tabs>
                <w:tab w:val="left" w:pos="993"/>
              </w:tabs>
              <w:spacing w:line="360" w:lineRule="auto"/>
              <w:jc w:val="center"/>
              <w:rPr>
                <w:rFonts w:hint="eastAsia"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gridSpan w:val="2"/>
            <w:noWrap w:val="0"/>
            <w:vAlign w:val="top"/>
          </w:tcPr>
          <w:p>
            <w:pPr>
              <w:tabs>
                <w:tab w:val="left" w:pos="993"/>
              </w:tabs>
              <w:spacing w:line="360" w:lineRule="auto"/>
              <w:jc w:val="center"/>
              <w:rPr>
                <w:rFonts w:hint="eastAsia" w:ascii="宋体" w:hAnsi="宋体" w:eastAsia="宋体" w:cs="宋体"/>
                <w:sz w:val="22"/>
              </w:rPr>
            </w:pPr>
          </w:p>
        </w:tc>
        <w:tc>
          <w:tcPr>
            <w:tcW w:w="1446" w:type="dxa"/>
            <w:noWrap w:val="0"/>
            <w:vAlign w:val="top"/>
          </w:tcPr>
          <w:p>
            <w:pPr>
              <w:tabs>
                <w:tab w:val="left" w:pos="993"/>
              </w:tabs>
              <w:spacing w:line="360" w:lineRule="auto"/>
              <w:jc w:val="center"/>
              <w:rPr>
                <w:rFonts w:hint="eastAsia" w:ascii="宋体" w:hAnsi="宋体" w:eastAsia="宋体" w:cs="宋体"/>
                <w:sz w:val="22"/>
              </w:rPr>
            </w:pPr>
          </w:p>
        </w:tc>
        <w:tc>
          <w:tcPr>
            <w:tcW w:w="1176" w:type="dxa"/>
            <w:gridSpan w:val="3"/>
            <w:noWrap w:val="0"/>
            <w:vAlign w:val="top"/>
          </w:tcPr>
          <w:p>
            <w:pPr>
              <w:tabs>
                <w:tab w:val="left" w:pos="993"/>
              </w:tabs>
              <w:spacing w:line="360" w:lineRule="auto"/>
              <w:jc w:val="center"/>
              <w:rPr>
                <w:rFonts w:hint="eastAsia" w:ascii="宋体" w:hAnsi="宋体" w:eastAsia="宋体" w:cs="宋体"/>
                <w:sz w:val="22"/>
              </w:rPr>
            </w:pPr>
          </w:p>
        </w:tc>
        <w:tc>
          <w:tcPr>
            <w:tcW w:w="1716" w:type="dxa"/>
            <w:gridSpan w:val="3"/>
            <w:noWrap w:val="0"/>
            <w:vAlign w:val="top"/>
          </w:tcPr>
          <w:p>
            <w:pPr>
              <w:tabs>
                <w:tab w:val="left" w:pos="993"/>
              </w:tabs>
              <w:spacing w:line="360" w:lineRule="auto"/>
              <w:jc w:val="center"/>
              <w:rPr>
                <w:rFonts w:hint="eastAsia" w:ascii="宋体" w:hAnsi="宋体" w:eastAsia="宋体" w:cs="宋体"/>
                <w:sz w:val="22"/>
              </w:rPr>
            </w:pPr>
          </w:p>
        </w:tc>
        <w:tc>
          <w:tcPr>
            <w:tcW w:w="1446" w:type="dxa"/>
            <w:gridSpan w:val="3"/>
            <w:noWrap w:val="0"/>
            <w:vAlign w:val="top"/>
          </w:tcPr>
          <w:p>
            <w:pPr>
              <w:tabs>
                <w:tab w:val="left" w:pos="993"/>
              </w:tabs>
              <w:spacing w:line="360" w:lineRule="auto"/>
              <w:jc w:val="center"/>
              <w:rPr>
                <w:rFonts w:hint="eastAsia" w:ascii="宋体" w:hAnsi="宋体" w:eastAsia="宋体" w:cs="宋体"/>
                <w:sz w:val="22"/>
              </w:rPr>
            </w:pPr>
          </w:p>
        </w:tc>
        <w:tc>
          <w:tcPr>
            <w:tcW w:w="1446" w:type="dxa"/>
            <w:noWrap w:val="0"/>
            <w:vAlign w:val="top"/>
          </w:tcPr>
          <w:p>
            <w:pPr>
              <w:tabs>
                <w:tab w:val="left" w:pos="993"/>
              </w:tabs>
              <w:spacing w:line="360" w:lineRule="auto"/>
              <w:jc w:val="center"/>
              <w:rPr>
                <w:rFonts w:hint="eastAsia"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gridSpan w:val="2"/>
            <w:noWrap w:val="0"/>
            <w:vAlign w:val="top"/>
          </w:tcPr>
          <w:p>
            <w:pPr>
              <w:tabs>
                <w:tab w:val="left" w:pos="993"/>
              </w:tabs>
              <w:spacing w:line="360" w:lineRule="auto"/>
              <w:jc w:val="center"/>
              <w:rPr>
                <w:rFonts w:hint="eastAsia" w:ascii="宋体" w:hAnsi="宋体" w:eastAsia="宋体" w:cs="宋体"/>
                <w:sz w:val="22"/>
              </w:rPr>
            </w:pPr>
          </w:p>
        </w:tc>
        <w:tc>
          <w:tcPr>
            <w:tcW w:w="1446" w:type="dxa"/>
            <w:noWrap w:val="0"/>
            <w:vAlign w:val="top"/>
          </w:tcPr>
          <w:p>
            <w:pPr>
              <w:tabs>
                <w:tab w:val="left" w:pos="993"/>
              </w:tabs>
              <w:spacing w:line="360" w:lineRule="auto"/>
              <w:jc w:val="center"/>
              <w:rPr>
                <w:rFonts w:hint="eastAsia" w:ascii="宋体" w:hAnsi="宋体" w:eastAsia="宋体" w:cs="宋体"/>
                <w:sz w:val="22"/>
              </w:rPr>
            </w:pPr>
          </w:p>
        </w:tc>
        <w:tc>
          <w:tcPr>
            <w:tcW w:w="1176" w:type="dxa"/>
            <w:gridSpan w:val="3"/>
            <w:noWrap w:val="0"/>
            <w:vAlign w:val="top"/>
          </w:tcPr>
          <w:p>
            <w:pPr>
              <w:tabs>
                <w:tab w:val="left" w:pos="993"/>
              </w:tabs>
              <w:spacing w:line="360" w:lineRule="auto"/>
              <w:jc w:val="center"/>
              <w:rPr>
                <w:rFonts w:hint="eastAsia" w:ascii="宋体" w:hAnsi="宋体" w:eastAsia="宋体" w:cs="宋体"/>
                <w:sz w:val="22"/>
              </w:rPr>
            </w:pPr>
          </w:p>
        </w:tc>
        <w:tc>
          <w:tcPr>
            <w:tcW w:w="1716" w:type="dxa"/>
            <w:gridSpan w:val="3"/>
            <w:noWrap w:val="0"/>
            <w:vAlign w:val="top"/>
          </w:tcPr>
          <w:p>
            <w:pPr>
              <w:tabs>
                <w:tab w:val="left" w:pos="993"/>
              </w:tabs>
              <w:spacing w:line="360" w:lineRule="auto"/>
              <w:jc w:val="center"/>
              <w:rPr>
                <w:rFonts w:hint="eastAsia" w:ascii="宋体" w:hAnsi="宋体" w:eastAsia="宋体" w:cs="宋体"/>
                <w:sz w:val="22"/>
              </w:rPr>
            </w:pPr>
          </w:p>
        </w:tc>
        <w:tc>
          <w:tcPr>
            <w:tcW w:w="1446" w:type="dxa"/>
            <w:gridSpan w:val="3"/>
            <w:noWrap w:val="0"/>
            <w:vAlign w:val="top"/>
          </w:tcPr>
          <w:p>
            <w:pPr>
              <w:tabs>
                <w:tab w:val="left" w:pos="993"/>
              </w:tabs>
              <w:spacing w:line="360" w:lineRule="auto"/>
              <w:jc w:val="center"/>
              <w:rPr>
                <w:rFonts w:hint="eastAsia" w:ascii="宋体" w:hAnsi="宋体" w:eastAsia="宋体" w:cs="宋体"/>
                <w:sz w:val="22"/>
              </w:rPr>
            </w:pPr>
          </w:p>
        </w:tc>
        <w:tc>
          <w:tcPr>
            <w:tcW w:w="1446" w:type="dxa"/>
            <w:noWrap w:val="0"/>
            <w:vAlign w:val="top"/>
          </w:tcPr>
          <w:p>
            <w:pPr>
              <w:tabs>
                <w:tab w:val="left" w:pos="993"/>
              </w:tabs>
              <w:spacing w:line="360" w:lineRule="auto"/>
              <w:jc w:val="center"/>
              <w:rPr>
                <w:rFonts w:hint="eastAsia"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gridSpan w:val="2"/>
            <w:noWrap w:val="0"/>
            <w:vAlign w:val="top"/>
          </w:tcPr>
          <w:p>
            <w:pPr>
              <w:tabs>
                <w:tab w:val="left" w:pos="993"/>
              </w:tabs>
              <w:spacing w:line="360" w:lineRule="auto"/>
              <w:jc w:val="center"/>
              <w:rPr>
                <w:rFonts w:hint="eastAsia" w:ascii="宋体" w:hAnsi="宋体" w:eastAsia="宋体" w:cs="宋体"/>
                <w:sz w:val="22"/>
              </w:rPr>
            </w:pPr>
          </w:p>
        </w:tc>
        <w:tc>
          <w:tcPr>
            <w:tcW w:w="1446" w:type="dxa"/>
            <w:noWrap w:val="0"/>
            <w:vAlign w:val="top"/>
          </w:tcPr>
          <w:p>
            <w:pPr>
              <w:tabs>
                <w:tab w:val="left" w:pos="993"/>
              </w:tabs>
              <w:spacing w:line="360" w:lineRule="auto"/>
              <w:jc w:val="center"/>
              <w:rPr>
                <w:rFonts w:hint="eastAsia" w:ascii="宋体" w:hAnsi="宋体" w:eastAsia="宋体" w:cs="宋体"/>
                <w:sz w:val="22"/>
              </w:rPr>
            </w:pPr>
          </w:p>
        </w:tc>
        <w:tc>
          <w:tcPr>
            <w:tcW w:w="1176" w:type="dxa"/>
            <w:gridSpan w:val="3"/>
            <w:noWrap w:val="0"/>
            <w:vAlign w:val="top"/>
          </w:tcPr>
          <w:p>
            <w:pPr>
              <w:tabs>
                <w:tab w:val="left" w:pos="993"/>
              </w:tabs>
              <w:spacing w:line="360" w:lineRule="auto"/>
              <w:jc w:val="center"/>
              <w:rPr>
                <w:rFonts w:hint="eastAsia" w:ascii="宋体" w:hAnsi="宋体" w:eastAsia="宋体" w:cs="宋体"/>
                <w:sz w:val="22"/>
              </w:rPr>
            </w:pPr>
          </w:p>
        </w:tc>
        <w:tc>
          <w:tcPr>
            <w:tcW w:w="1716" w:type="dxa"/>
            <w:gridSpan w:val="3"/>
            <w:noWrap w:val="0"/>
            <w:vAlign w:val="top"/>
          </w:tcPr>
          <w:p>
            <w:pPr>
              <w:tabs>
                <w:tab w:val="left" w:pos="993"/>
              </w:tabs>
              <w:spacing w:line="360" w:lineRule="auto"/>
              <w:jc w:val="center"/>
              <w:rPr>
                <w:rFonts w:hint="eastAsia" w:ascii="宋体" w:hAnsi="宋体" w:eastAsia="宋体" w:cs="宋体"/>
                <w:sz w:val="22"/>
              </w:rPr>
            </w:pPr>
          </w:p>
        </w:tc>
        <w:tc>
          <w:tcPr>
            <w:tcW w:w="1446" w:type="dxa"/>
            <w:gridSpan w:val="3"/>
            <w:noWrap w:val="0"/>
            <w:vAlign w:val="top"/>
          </w:tcPr>
          <w:p>
            <w:pPr>
              <w:tabs>
                <w:tab w:val="left" w:pos="993"/>
              </w:tabs>
              <w:spacing w:line="360" w:lineRule="auto"/>
              <w:jc w:val="center"/>
              <w:rPr>
                <w:rFonts w:hint="eastAsia" w:ascii="宋体" w:hAnsi="宋体" w:eastAsia="宋体" w:cs="宋体"/>
                <w:sz w:val="22"/>
              </w:rPr>
            </w:pPr>
          </w:p>
        </w:tc>
        <w:tc>
          <w:tcPr>
            <w:tcW w:w="1446" w:type="dxa"/>
            <w:noWrap w:val="0"/>
            <w:vAlign w:val="top"/>
          </w:tcPr>
          <w:p>
            <w:pPr>
              <w:tabs>
                <w:tab w:val="left" w:pos="993"/>
              </w:tabs>
              <w:spacing w:line="360" w:lineRule="auto"/>
              <w:jc w:val="center"/>
              <w:rPr>
                <w:rFonts w:hint="eastAsia" w:ascii="宋体" w:hAnsi="宋体" w:eastAsia="宋体" w:cs="宋体"/>
                <w:sz w:val="22"/>
              </w:rPr>
            </w:pPr>
          </w:p>
        </w:tc>
      </w:tr>
    </w:tbl>
    <w:p>
      <w:pPr>
        <w:spacing w:line="360" w:lineRule="auto"/>
        <w:jc w:val="both"/>
        <w:rPr>
          <w:rFonts w:eastAsia="宋体"/>
          <w:strike/>
          <w:szCs w:val="21"/>
          <w:u w:val="single"/>
        </w:rPr>
      </w:pPr>
    </w:p>
    <w:p>
      <w:pPr>
        <w:spacing w:line="360" w:lineRule="auto"/>
        <w:rPr>
          <w:rFonts w:eastAsia="宋体"/>
        </w:rPr>
      </w:pPr>
      <w:r>
        <w:rPr>
          <w:rFonts w:eastAsia="宋体"/>
        </w:rPr>
        <w:t>注：投标人应根据</w:t>
      </w:r>
      <w:r>
        <w:rPr>
          <w:rFonts w:hint="eastAsia" w:eastAsia="宋体"/>
        </w:rPr>
        <w:t>第二章投标须知前附表</w:t>
      </w:r>
      <w:r>
        <w:rPr>
          <w:rFonts w:eastAsia="宋体"/>
        </w:rPr>
        <w:t>第</w:t>
      </w:r>
      <w:r>
        <w:rPr>
          <w:rFonts w:hint="eastAsia" w:eastAsia="宋体"/>
        </w:rPr>
        <w:t>1.4.1</w:t>
      </w:r>
      <w:r>
        <w:rPr>
          <w:rFonts w:eastAsia="宋体"/>
        </w:rPr>
        <w:t>项的要求在本表后附相关证明材料。</w:t>
      </w:r>
    </w:p>
    <w:p>
      <w:pPr>
        <w:pStyle w:val="4"/>
        <w:numPr>
          <w:ilvl w:val="0"/>
          <w:numId w:val="14"/>
        </w:numPr>
        <w:spacing w:before="0" w:after="0"/>
        <w:ind w:left="0" w:firstLine="0"/>
      </w:pPr>
      <w:r>
        <w:rPr>
          <w:strike/>
          <w:szCs w:val="21"/>
          <w:u w:val="single"/>
        </w:rPr>
        <w:br w:type="page"/>
      </w:r>
      <w:bookmarkStart w:id="1661" w:name="_Toc15395"/>
      <w:bookmarkStart w:id="1662" w:name="_Toc2872"/>
      <w:bookmarkStart w:id="1663" w:name="_Toc13679"/>
      <w:bookmarkStart w:id="1664" w:name="_Toc6661"/>
      <w:bookmarkStart w:id="1665" w:name="_Toc514430490"/>
      <w:bookmarkStart w:id="1666" w:name="_Toc15168"/>
      <w:bookmarkStart w:id="1667" w:name="_Toc14065"/>
      <w:bookmarkStart w:id="1668" w:name="_Toc9275"/>
      <w:bookmarkStart w:id="1669" w:name="_Toc24010"/>
      <w:bookmarkStart w:id="1670" w:name="_Toc15360"/>
      <w:bookmarkStart w:id="1671" w:name="_Toc534461594"/>
      <w:bookmarkStart w:id="1672" w:name="_Toc27124"/>
      <w:bookmarkStart w:id="1673" w:name="_Toc6205"/>
      <w:bookmarkStart w:id="1674" w:name="_Toc22490"/>
      <w:r>
        <w:t>其他资料</w:t>
      </w:r>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p>
    <w:p>
      <w:pPr>
        <w:tabs>
          <w:tab w:val="left" w:pos="1200"/>
        </w:tabs>
        <w:spacing w:line="360" w:lineRule="auto"/>
        <w:jc w:val="both"/>
        <w:rPr>
          <w:rFonts w:eastAsia="宋体"/>
          <w:szCs w:val="21"/>
        </w:rPr>
      </w:pPr>
    </w:p>
    <w:p>
      <w:pPr>
        <w:tabs>
          <w:tab w:val="left" w:pos="1200"/>
        </w:tabs>
        <w:spacing w:line="360" w:lineRule="auto"/>
        <w:jc w:val="right"/>
        <w:rPr>
          <w:rFonts w:eastAsia="宋体"/>
          <w:szCs w:val="21"/>
        </w:rPr>
      </w:pPr>
    </w:p>
    <w:bookmarkEnd w:id="1569"/>
    <w:bookmarkEnd w:id="1570"/>
    <w:bookmarkEnd w:id="1571"/>
    <w:bookmarkEnd w:id="1572"/>
    <w:bookmarkEnd w:id="1573"/>
    <w:bookmarkEnd w:id="1574"/>
    <w:p>
      <w:pPr>
        <w:spacing w:line="360" w:lineRule="auto"/>
        <w:rPr>
          <w:rFonts w:eastAsia="宋体"/>
          <w:szCs w:val="21"/>
        </w:rPr>
      </w:pPr>
    </w:p>
    <w:p>
      <w:pPr>
        <w:numPr>
          <w:ilvl w:val="1"/>
          <w:numId w:val="0"/>
        </w:numPr>
        <w:tabs>
          <w:tab w:val="left" w:pos="1080"/>
        </w:tabs>
        <w:spacing w:line="480" w:lineRule="auto"/>
        <w:jc w:val="center"/>
        <w:rPr>
          <w:rFonts w:eastAsia="宋体"/>
          <w:sz w:val="28"/>
          <w:szCs w:val="28"/>
        </w:rPr>
      </w:pPr>
      <w:r>
        <w:rPr>
          <w:rFonts w:eastAsia="宋体"/>
          <w:sz w:val="28"/>
          <w:szCs w:val="28"/>
        </w:rPr>
        <w:br w:type="page"/>
      </w:r>
    </w:p>
    <w:p>
      <w:pPr>
        <w:pStyle w:val="3"/>
        <w:numPr>
          <w:ilvl w:val="1"/>
          <w:numId w:val="0"/>
        </w:numPr>
        <w:tabs>
          <w:tab w:val="left" w:pos="1080"/>
        </w:tabs>
        <w:spacing w:line="480" w:lineRule="auto"/>
        <w:jc w:val="center"/>
        <w:rPr>
          <w:rFonts w:ascii="Times New Roman" w:hAnsi="Times New Roman" w:eastAsia="宋体"/>
        </w:rPr>
      </w:pPr>
      <w:bookmarkStart w:id="1675" w:name="_Toc20598"/>
      <w:bookmarkStart w:id="1676" w:name="_Toc23805"/>
      <w:bookmarkStart w:id="1677" w:name="_Toc2410"/>
      <w:r>
        <w:rPr>
          <w:rFonts w:ascii="Times New Roman" w:hAnsi="Times New Roman" w:eastAsia="宋体"/>
        </w:rPr>
        <w:t>B.《技术部分》册投标文件格式</w:t>
      </w:r>
      <w:bookmarkEnd w:id="1675"/>
      <w:bookmarkEnd w:id="1676"/>
      <w:bookmarkEnd w:id="1677"/>
    </w:p>
    <w:p>
      <w:pPr>
        <w:jc w:val="center"/>
        <w:rPr>
          <w:rFonts w:eastAsia="宋体"/>
          <w:b/>
          <w:sz w:val="32"/>
          <w:szCs w:val="32"/>
        </w:rPr>
      </w:pPr>
      <w:r>
        <w:rPr>
          <w:rFonts w:eastAsia="宋体"/>
          <w:b/>
          <w:sz w:val="32"/>
          <w:szCs w:val="32"/>
        </w:rPr>
        <w:t>（第一阶段开标）</w:t>
      </w:r>
    </w:p>
    <w:p>
      <w:pPr>
        <w:jc w:val="center"/>
        <w:rPr>
          <w:rFonts w:eastAsia="宋体"/>
          <w:b/>
          <w:sz w:val="32"/>
          <w:szCs w:val="32"/>
        </w:rPr>
      </w:pPr>
      <w:r>
        <w:rPr>
          <w:rFonts w:eastAsia="宋体"/>
          <w:b/>
          <w:sz w:val="32"/>
          <w:szCs w:val="32"/>
        </w:rPr>
        <w:br w:type="page"/>
      </w:r>
    </w:p>
    <w:p>
      <w:pPr>
        <w:keepNext/>
        <w:keepLines/>
        <w:widowControl w:val="0"/>
        <w:spacing w:before="120" w:after="120" w:line="480" w:lineRule="auto"/>
        <w:ind w:left="-2" w:leftChars="-1" w:firstLine="1"/>
        <w:jc w:val="center"/>
        <w:textAlignment w:val="center"/>
        <w:outlineLvl w:val="2"/>
        <w:rPr>
          <w:rFonts w:eastAsia="宋体"/>
          <w:b/>
          <w:kern w:val="2"/>
          <w:sz w:val="32"/>
          <w:szCs w:val="32"/>
        </w:rPr>
      </w:pPr>
      <w:bookmarkStart w:id="1678" w:name="_Toc214879128"/>
      <w:bookmarkEnd w:id="1678"/>
      <w:bookmarkStart w:id="1679" w:name="_Toc214878626"/>
      <w:bookmarkEnd w:id="1679"/>
      <w:bookmarkStart w:id="1680" w:name="_Toc229893937"/>
      <w:bookmarkStart w:id="1681" w:name="_Toc224720196"/>
      <w:bookmarkStart w:id="1682" w:name="_Toc237167828"/>
      <w:bookmarkStart w:id="1683" w:name="_Toc224704558"/>
      <w:bookmarkStart w:id="1684" w:name="_Toc480365232"/>
      <w:bookmarkStart w:id="1685" w:name="_Toc436644481"/>
      <w:bookmarkStart w:id="1686" w:name="_Toc15153"/>
      <w:bookmarkStart w:id="1687" w:name="_Toc225050927"/>
      <w:bookmarkStart w:id="1688" w:name="_Toc21620"/>
      <w:bookmarkStart w:id="1689" w:name="_Toc229842432"/>
      <w:bookmarkStart w:id="1690" w:name="_Toc224706843"/>
      <w:bookmarkStart w:id="1691" w:name="_Toc229842012"/>
      <w:bookmarkStart w:id="1692" w:name="_Toc140382040"/>
      <w:bookmarkStart w:id="1693" w:name="_Toc140381841"/>
      <w:r>
        <w:rPr>
          <w:rFonts w:eastAsia="宋体"/>
          <w:b/>
          <w:kern w:val="2"/>
          <w:sz w:val="32"/>
          <w:szCs w:val="32"/>
        </w:rPr>
        <w:t>一、技术偏差表</w:t>
      </w:r>
      <w:bookmarkEnd w:id="1680"/>
      <w:bookmarkEnd w:id="1681"/>
      <w:bookmarkEnd w:id="1682"/>
      <w:bookmarkEnd w:id="1683"/>
      <w:bookmarkEnd w:id="1684"/>
      <w:bookmarkEnd w:id="1685"/>
      <w:bookmarkEnd w:id="1686"/>
      <w:bookmarkEnd w:id="1687"/>
      <w:bookmarkEnd w:id="1688"/>
      <w:bookmarkEnd w:id="1689"/>
      <w:bookmarkEnd w:id="1690"/>
      <w:bookmarkEnd w:id="1691"/>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2606"/>
        <w:gridCol w:w="3785"/>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top"/>
          </w:tcPr>
          <w:p>
            <w:pPr>
              <w:spacing w:line="360" w:lineRule="auto"/>
              <w:jc w:val="center"/>
              <w:rPr>
                <w:rFonts w:eastAsia="宋体"/>
                <w:szCs w:val="21"/>
              </w:rPr>
            </w:pPr>
            <w:r>
              <w:rPr>
                <w:rFonts w:eastAsia="宋体"/>
                <w:b/>
                <w:bCs/>
                <w:szCs w:val="21"/>
              </w:rPr>
              <w:t>序号</w:t>
            </w:r>
          </w:p>
        </w:tc>
        <w:tc>
          <w:tcPr>
            <w:tcW w:w="2606" w:type="dxa"/>
            <w:noWrap w:val="0"/>
            <w:vAlign w:val="top"/>
          </w:tcPr>
          <w:p>
            <w:pPr>
              <w:spacing w:line="360" w:lineRule="auto"/>
              <w:jc w:val="center"/>
              <w:rPr>
                <w:rFonts w:eastAsia="宋体"/>
                <w:szCs w:val="21"/>
              </w:rPr>
            </w:pPr>
            <w:r>
              <w:rPr>
                <w:rFonts w:eastAsia="宋体"/>
                <w:b/>
                <w:bCs/>
                <w:szCs w:val="21"/>
              </w:rPr>
              <w:t>招标文件章节及条款号</w:t>
            </w:r>
          </w:p>
        </w:tc>
        <w:tc>
          <w:tcPr>
            <w:tcW w:w="3785" w:type="dxa"/>
            <w:noWrap w:val="0"/>
            <w:vAlign w:val="top"/>
          </w:tcPr>
          <w:p>
            <w:pPr>
              <w:spacing w:line="360" w:lineRule="auto"/>
              <w:jc w:val="center"/>
              <w:rPr>
                <w:rFonts w:eastAsia="宋体"/>
                <w:szCs w:val="21"/>
              </w:rPr>
            </w:pPr>
            <w:r>
              <w:rPr>
                <w:rFonts w:eastAsia="宋体"/>
                <w:b/>
                <w:bCs/>
                <w:szCs w:val="21"/>
              </w:rPr>
              <w:t>投标文件技术部分章节及条款号</w:t>
            </w:r>
          </w:p>
        </w:tc>
        <w:tc>
          <w:tcPr>
            <w:tcW w:w="2474" w:type="dxa"/>
            <w:noWrap w:val="0"/>
            <w:vAlign w:val="top"/>
          </w:tcPr>
          <w:p>
            <w:pPr>
              <w:spacing w:line="360" w:lineRule="auto"/>
              <w:jc w:val="center"/>
              <w:rPr>
                <w:rFonts w:eastAsia="宋体"/>
                <w:szCs w:val="21"/>
              </w:rPr>
            </w:pPr>
            <w:r>
              <w:rPr>
                <w:rFonts w:eastAsia="宋体"/>
                <w:b/>
                <w:bCs/>
                <w:w w:val="97"/>
                <w:szCs w:val="21"/>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top"/>
          </w:tcPr>
          <w:p>
            <w:pPr>
              <w:spacing w:line="360" w:lineRule="auto"/>
              <w:jc w:val="center"/>
              <w:rPr>
                <w:rFonts w:eastAsia="宋体"/>
                <w:szCs w:val="21"/>
              </w:rPr>
            </w:pPr>
            <w:r>
              <w:rPr>
                <w:rFonts w:eastAsia="宋体"/>
                <w:szCs w:val="21"/>
              </w:rPr>
              <w:t>1</w:t>
            </w:r>
          </w:p>
        </w:tc>
        <w:tc>
          <w:tcPr>
            <w:tcW w:w="2606" w:type="dxa"/>
            <w:noWrap w:val="0"/>
            <w:vAlign w:val="top"/>
          </w:tcPr>
          <w:p>
            <w:pPr>
              <w:spacing w:line="360" w:lineRule="auto"/>
              <w:rPr>
                <w:rFonts w:eastAsia="宋体"/>
                <w:szCs w:val="21"/>
              </w:rPr>
            </w:pPr>
          </w:p>
        </w:tc>
        <w:tc>
          <w:tcPr>
            <w:tcW w:w="3785" w:type="dxa"/>
            <w:noWrap w:val="0"/>
            <w:vAlign w:val="top"/>
          </w:tcPr>
          <w:p>
            <w:pPr>
              <w:spacing w:line="360" w:lineRule="auto"/>
              <w:rPr>
                <w:rFonts w:eastAsia="宋体"/>
                <w:szCs w:val="21"/>
              </w:rPr>
            </w:pPr>
          </w:p>
        </w:tc>
        <w:tc>
          <w:tcPr>
            <w:tcW w:w="2474" w:type="dxa"/>
            <w:noWrap w:val="0"/>
            <w:vAlign w:val="top"/>
          </w:tcPr>
          <w:p>
            <w:pPr>
              <w:spacing w:line="360" w:lineRule="auto"/>
              <w:rPr>
                <w:rFonts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top"/>
          </w:tcPr>
          <w:p>
            <w:pPr>
              <w:spacing w:line="360" w:lineRule="auto"/>
              <w:jc w:val="center"/>
              <w:rPr>
                <w:rFonts w:eastAsia="宋体"/>
                <w:szCs w:val="21"/>
              </w:rPr>
            </w:pPr>
            <w:r>
              <w:rPr>
                <w:rFonts w:eastAsia="宋体"/>
                <w:szCs w:val="21"/>
              </w:rPr>
              <w:t>2</w:t>
            </w:r>
          </w:p>
        </w:tc>
        <w:tc>
          <w:tcPr>
            <w:tcW w:w="2606" w:type="dxa"/>
            <w:noWrap w:val="0"/>
            <w:vAlign w:val="top"/>
          </w:tcPr>
          <w:p>
            <w:pPr>
              <w:spacing w:line="360" w:lineRule="auto"/>
              <w:rPr>
                <w:rFonts w:eastAsia="宋体"/>
                <w:szCs w:val="21"/>
              </w:rPr>
            </w:pPr>
          </w:p>
        </w:tc>
        <w:tc>
          <w:tcPr>
            <w:tcW w:w="3785" w:type="dxa"/>
            <w:noWrap w:val="0"/>
            <w:vAlign w:val="top"/>
          </w:tcPr>
          <w:p>
            <w:pPr>
              <w:spacing w:line="360" w:lineRule="auto"/>
              <w:rPr>
                <w:rFonts w:eastAsia="宋体"/>
                <w:szCs w:val="21"/>
              </w:rPr>
            </w:pPr>
          </w:p>
        </w:tc>
        <w:tc>
          <w:tcPr>
            <w:tcW w:w="2474" w:type="dxa"/>
            <w:noWrap w:val="0"/>
            <w:vAlign w:val="top"/>
          </w:tcPr>
          <w:p>
            <w:pPr>
              <w:spacing w:line="360" w:lineRule="auto"/>
              <w:rPr>
                <w:rFonts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top"/>
          </w:tcPr>
          <w:p>
            <w:pPr>
              <w:spacing w:line="360" w:lineRule="auto"/>
              <w:jc w:val="center"/>
              <w:rPr>
                <w:rFonts w:eastAsia="宋体"/>
                <w:szCs w:val="21"/>
              </w:rPr>
            </w:pPr>
            <w:r>
              <w:rPr>
                <w:rFonts w:eastAsia="宋体"/>
                <w:szCs w:val="21"/>
              </w:rPr>
              <w:t>3</w:t>
            </w:r>
          </w:p>
        </w:tc>
        <w:tc>
          <w:tcPr>
            <w:tcW w:w="2606" w:type="dxa"/>
            <w:noWrap w:val="0"/>
            <w:vAlign w:val="top"/>
          </w:tcPr>
          <w:p>
            <w:pPr>
              <w:spacing w:line="360" w:lineRule="auto"/>
              <w:rPr>
                <w:rFonts w:eastAsia="宋体"/>
                <w:szCs w:val="21"/>
              </w:rPr>
            </w:pPr>
          </w:p>
        </w:tc>
        <w:tc>
          <w:tcPr>
            <w:tcW w:w="3785" w:type="dxa"/>
            <w:noWrap w:val="0"/>
            <w:vAlign w:val="top"/>
          </w:tcPr>
          <w:p>
            <w:pPr>
              <w:spacing w:line="360" w:lineRule="auto"/>
              <w:rPr>
                <w:rFonts w:eastAsia="宋体"/>
                <w:szCs w:val="21"/>
              </w:rPr>
            </w:pPr>
          </w:p>
        </w:tc>
        <w:tc>
          <w:tcPr>
            <w:tcW w:w="2474" w:type="dxa"/>
            <w:noWrap w:val="0"/>
            <w:vAlign w:val="top"/>
          </w:tcPr>
          <w:p>
            <w:pPr>
              <w:spacing w:line="360" w:lineRule="auto"/>
              <w:rPr>
                <w:rFonts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top"/>
          </w:tcPr>
          <w:p>
            <w:pPr>
              <w:spacing w:line="360" w:lineRule="auto"/>
              <w:jc w:val="center"/>
              <w:rPr>
                <w:rFonts w:eastAsia="宋体"/>
                <w:szCs w:val="21"/>
              </w:rPr>
            </w:pPr>
            <w:r>
              <w:rPr>
                <w:rFonts w:eastAsia="宋体"/>
                <w:szCs w:val="21"/>
              </w:rPr>
              <w:t>4</w:t>
            </w:r>
          </w:p>
        </w:tc>
        <w:tc>
          <w:tcPr>
            <w:tcW w:w="2606" w:type="dxa"/>
            <w:noWrap w:val="0"/>
            <w:vAlign w:val="top"/>
          </w:tcPr>
          <w:p>
            <w:pPr>
              <w:spacing w:line="360" w:lineRule="auto"/>
              <w:rPr>
                <w:rFonts w:eastAsia="宋体"/>
                <w:szCs w:val="21"/>
              </w:rPr>
            </w:pPr>
          </w:p>
        </w:tc>
        <w:tc>
          <w:tcPr>
            <w:tcW w:w="3785" w:type="dxa"/>
            <w:noWrap w:val="0"/>
            <w:vAlign w:val="top"/>
          </w:tcPr>
          <w:p>
            <w:pPr>
              <w:spacing w:line="360" w:lineRule="auto"/>
              <w:rPr>
                <w:rFonts w:eastAsia="宋体"/>
                <w:szCs w:val="21"/>
              </w:rPr>
            </w:pPr>
          </w:p>
        </w:tc>
        <w:tc>
          <w:tcPr>
            <w:tcW w:w="2474" w:type="dxa"/>
            <w:noWrap w:val="0"/>
            <w:vAlign w:val="top"/>
          </w:tcPr>
          <w:p>
            <w:pPr>
              <w:spacing w:line="360" w:lineRule="auto"/>
              <w:rPr>
                <w:rFonts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top"/>
          </w:tcPr>
          <w:p>
            <w:pPr>
              <w:spacing w:line="360" w:lineRule="auto"/>
              <w:jc w:val="center"/>
              <w:rPr>
                <w:rFonts w:eastAsia="宋体"/>
                <w:szCs w:val="21"/>
              </w:rPr>
            </w:pPr>
            <w:r>
              <w:rPr>
                <w:rFonts w:eastAsia="宋体"/>
                <w:szCs w:val="21"/>
              </w:rPr>
              <w:t>5</w:t>
            </w:r>
          </w:p>
        </w:tc>
        <w:tc>
          <w:tcPr>
            <w:tcW w:w="2606" w:type="dxa"/>
            <w:noWrap w:val="0"/>
            <w:vAlign w:val="top"/>
          </w:tcPr>
          <w:p>
            <w:pPr>
              <w:spacing w:line="360" w:lineRule="auto"/>
              <w:rPr>
                <w:rFonts w:eastAsia="宋体"/>
                <w:szCs w:val="21"/>
              </w:rPr>
            </w:pPr>
          </w:p>
        </w:tc>
        <w:tc>
          <w:tcPr>
            <w:tcW w:w="3785" w:type="dxa"/>
            <w:noWrap w:val="0"/>
            <w:vAlign w:val="top"/>
          </w:tcPr>
          <w:p>
            <w:pPr>
              <w:spacing w:line="360" w:lineRule="auto"/>
              <w:rPr>
                <w:rFonts w:eastAsia="宋体"/>
                <w:szCs w:val="21"/>
              </w:rPr>
            </w:pPr>
          </w:p>
        </w:tc>
        <w:tc>
          <w:tcPr>
            <w:tcW w:w="2474" w:type="dxa"/>
            <w:noWrap w:val="0"/>
            <w:vAlign w:val="top"/>
          </w:tcPr>
          <w:p>
            <w:pPr>
              <w:spacing w:line="360" w:lineRule="auto"/>
              <w:rPr>
                <w:rFonts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top"/>
          </w:tcPr>
          <w:p>
            <w:pPr>
              <w:spacing w:line="360" w:lineRule="auto"/>
              <w:jc w:val="center"/>
              <w:rPr>
                <w:rFonts w:eastAsia="宋体"/>
                <w:szCs w:val="21"/>
              </w:rPr>
            </w:pPr>
            <w:r>
              <w:rPr>
                <w:rFonts w:eastAsia="宋体"/>
                <w:szCs w:val="21"/>
              </w:rPr>
              <w:t>……</w:t>
            </w:r>
          </w:p>
        </w:tc>
        <w:tc>
          <w:tcPr>
            <w:tcW w:w="2606" w:type="dxa"/>
            <w:noWrap w:val="0"/>
            <w:vAlign w:val="top"/>
          </w:tcPr>
          <w:p>
            <w:pPr>
              <w:spacing w:line="360" w:lineRule="auto"/>
              <w:rPr>
                <w:rFonts w:eastAsia="宋体"/>
                <w:szCs w:val="21"/>
              </w:rPr>
            </w:pPr>
          </w:p>
        </w:tc>
        <w:tc>
          <w:tcPr>
            <w:tcW w:w="3785" w:type="dxa"/>
            <w:noWrap w:val="0"/>
            <w:vAlign w:val="top"/>
          </w:tcPr>
          <w:p>
            <w:pPr>
              <w:spacing w:line="360" w:lineRule="auto"/>
              <w:rPr>
                <w:rFonts w:eastAsia="宋体"/>
                <w:szCs w:val="21"/>
              </w:rPr>
            </w:pPr>
          </w:p>
        </w:tc>
        <w:tc>
          <w:tcPr>
            <w:tcW w:w="2474" w:type="dxa"/>
            <w:noWrap w:val="0"/>
            <w:vAlign w:val="top"/>
          </w:tcPr>
          <w:p>
            <w:pPr>
              <w:spacing w:line="360" w:lineRule="auto"/>
              <w:rPr>
                <w:rFonts w:eastAsia="宋体"/>
                <w:szCs w:val="21"/>
              </w:rPr>
            </w:pPr>
          </w:p>
        </w:tc>
      </w:tr>
    </w:tbl>
    <w:p>
      <w:pPr>
        <w:spacing w:line="360" w:lineRule="auto"/>
        <w:ind w:firstLine="420" w:firstLineChars="200"/>
        <w:rPr>
          <w:rFonts w:eastAsia="宋体"/>
          <w:szCs w:val="21"/>
        </w:rPr>
      </w:pPr>
      <w:r>
        <w:rPr>
          <w:rFonts w:eastAsia="宋体"/>
          <w:szCs w:val="21"/>
        </w:rPr>
        <w:t>投标人保证：除商务和技术偏差表列出的偏差外，投标人响应招标文件的全部要求。</w:t>
      </w:r>
    </w:p>
    <w:p>
      <w:pPr>
        <w:spacing w:line="360" w:lineRule="auto"/>
        <w:ind w:firstLine="420" w:firstLineChars="200"/>
        <w:jc w:val="both"/>
        <w:rPr>
          <w:rFonts w:eastAsia="宋体"/>
          <w:szCs w:val="21"/>
        </w:rPr>
      </w:pPr>
      <w:r>
        <w:rPr>
          <w:rFonts w:eastAsia="宋体"/>
          <w:szCs w:val="21"/>
        </w:rPr>
        <w:t>注：</w:t>
      </w:r>
    </w:p>
    <w:p>
      <w:pPr>
        <w:numPr>
          <w:ilvl w:val="0"/>
          <w:numId w:val="19"/>
        </w:numPr>
        <w:tabs>
          <w:tab w:val="left" w:pos="851"/>
        </w:tabs>
        <w:spacing w:line="360" w:lineRule="auto"/>
        <w:ind w:left="0" w:firstLine="420" w:firstLineChars="200"/>
        <w:jc w:val="both"/>
        <w:rPr>
          <w:rFonts w:eastAsia="宋体"/>
          <w:szCs w:val="21"/>
        </w:rPr>
      </w:pPr>
      <w:r>
        <w:rPr>
          <w:rFonts w:eastAsia="宋体"/>
          <w:szCs w:val="21"/>
        </w:rPr>
        <w:t>对招标文件完全响应的，不填写本表，只需在投标文件中附本空白表格。</w:t>
      </w:r>
    </w:p>
    <w:p>
      <w:pPr>
        <w:numPr>
          <w:ilvl w:val="0"/>
          <w:numId w:val="19"/>
        </w:numPr>
        <w:tabs>
          <w:tab w:val="left" w:pos="851"/>
        </w:tabs>
        <w:spacing w:line="360" w:lineRule="auto"/>
        <w:ind w:left="0" w:firstLine="420" w:firstLineChars="200"/>
        <w:jc w:val="both"/>
        <w:rPr>
          <w:rFonts w:ascii="宋体" w:hAnsi="宋体" w:eastAsia="宋体"/>
          <w:szCs w:val="21"/>
        </w:rPr>
      </w:pPr>
      <w:r>
        <w:rPr>
          <w:rFonts w:eastAsia="宋体"/>
          <w:szCs w:val="21"/>
        </w:rPr>
        <w:t>对有偏离的条目</w:t>
      </w:r>
      <w:r>
        <w:rPr>
          <w:rFonts w:ascii="宋体" w:hAnsi="宋体" w:eastAsia="宋体"/>
          <w:szCs w:val="21"/>
        </w:rPr>
        <w:t>在本表“偏差说明”列中填写“正偏离”或“负偏离”，同时补充进行“偏离描述”。</w:t>
      </w:r>
    </w:p>
    <w:p>
      <w:pPr>
        <w:numPr>
          <w:ilvl w:val="0"/>
          <w:numId w:val="19"/>
        </w:numPr>
        <w:tabs>
          <w:tab w:val="left" w:pos="851"/>
        </w:tabs>
        <w:spacing w:line="360" w:lineRule="auto"/>
        <w:ind w:left="0" w:firstLine="420" w:firstLineChars="200"/>
        <w:jc w:val="both"/>
        <w:rPr>
          <w:rFonts w:eastAsia="宋体"/>
          <w:szCs w:val="21"/>
        </w:rPr>
      </w:pPr>
      <w:r>
        <w:rPr>
          <w:rFonts w:eastAsia="宋体"/>
          <w:szCs w:val="21"/>
        </w:rPr>
        <w:t>正偏离是指应答的条件高于招标文件要求，负偏离是指应答的条件低于招标文件要求；属于重大偏离的，其投标将被拒绝；正偏离项目不作扣分处理；负偏离的，按照招标文件规定的评分办法进行扣分。</w:t>
      </w:r>
    </w:p>
    <w:p>
      <w:pPr>
        <w:numPr>
          <w:ilvl w:val="0"/>
          <w:numId w:val="19"/>
        </w:numPr>
        <w:tabs>
          <w:tab w:val="left" w:pos="851"/>
        </w:tabs>
        <w:spacing w:line="360" w:lineRule="auto"/>
        <w:ind w:left="0" w:firstLine="420" w:firstLineChars="200"/>
        <w:jc w:val="both"/>
        <w:rPr>
          <w:rFonts w:eastAsia="宋体"/>
          <w:szCs w:val="21"/>
        </w:rPr>
      </w:pPr>
      <w:r>
        <w:rPr>
          <w:rFonts w:eastAsia="宋体"/>
          <w:szCs w:val="21"/>
        </w:rPr>
        <w:t>投标人须完整填写响应表。如果未完整填写本表的各项内容则视作投标人已经对招标文件相关要求和内容完全理解并同意，其投标报价为在此基础上的完全价格。</w:t>
      </w:r>
    </w:p>
    <w:p>
      <w:pPr>
        <w:numPr>
          <w:ilvl w:val="0"/>
          <w:numId w:val="19"/>
        </w:numPr>
        <w:tabs>
          <w:tab w:val="left" w:pos="851"/>
        </w:tabs>
        <w:spacing w:line="360" w:lineRule="auto"/>
        <w:ind w:left="0" w:firstLine="420" w:firstLineChars="200"/>
        <w:jc w:val="both"/>
        <w:rPr>
          <w:rFonts w:eastAsia="宋体"/>
          <w:szCs w:val="21"/>
        </w:rPr>
      </w:pPr>
      <w:r>
        <w:rPr>
          <w:rFonts w:eastAsia="宋体"/>
          <w:szCs w:val="21"/>
        </w:rPr>
        <w:t>在招标人与中标人签约阶段，中标人未在其投</w:t>
      </w:r>
      <w:r>
        <w:rPr>
          <w:rFonts w:ascii="宋体" w:hAnsi="宋体" w:eastAsia="宋体"/>
          <w:szCs w:val="21"/>
        </w:rPr>
        <w:t>标文件“技术偏差表”中列出偏离说明，即使其在投标文件的其他部分说明与招标文件要求有所不同或</w:t>
      </w:r>
      <w:r>
        <w:rPr>
          <w:rFonts w:eastAsia="宋体"/>
          <w:szCs w:val="21"/>
        </w:rPr>
        <w:t>回避不答，或在评标时已对该项目做了偏离扣分处理，亦均视为完全符合招标文件中所要求的最佳值并写入合同。若中标人在定标后及合同签订前，以上述事项为借口而不履行合同签订手续及执行合同，则视作放弃中标资格，招标人有权没收其投标保证金。</w:t>
      </w:r>
    </w:p>
    <w:p>
      <w:pPr>
        <w:tabs>
          <w:tab w:val="left" w:pos="1200"/>
        </w:tabs>
        <w:spacing w:line="360" w:lineRule="auto"/>
        <w:jc w:val="right"/>
        <w:rPr>
          <w:rFonts w:eastAsia="宋体"/>
          <w:szCs w:val="21"/>
        </w:rPr>
      </w:pPr>
    </w:p>
    <w:p>
      <w:pPr>
        <w:tabs>
          <w:tab w:val="left" w:pos="1200"/>
        </w:tabs>
        <w:spacing w:line="360" w:lineRule="auto"/>
        <w:jc w:val="right"/>
        <w:rPr>
          <w:rFonts w:eastAsia="宋体"/>
          <w:szCs w:val="21"/>
        </w:rPr>
      </w:pPr>
      <w:r>
        <w:rPr>
          <w:rFonts w:eastAsia="宋体"/>
          <w:szCs w:val="21"/>
        </w:rPr>
        <w:t>投标人：</w:t>
      </w:r>
      <w:r>
        <w:rPr>
          <w:rFonts w:eastAsia="宋体"/>
          <w:szCs w:val="21"/>
          <w:u w:val="single"/>
        </w:rPr>
        <w:t xml:space="preserve">                   </w:t>
      </w:r>
      <w:r>
        <w:rPr>
          <w:rFonts w:eastAsia="宋体"/>
          <w:szCs w:val="21"/>
        </w:rPr>
        <w:t>（盖单位公章）</w:t>
      </w:r>
    </w:p>
    <w:p>
      <w:pPr>
        <w:tabs>
          <w:tab w:val="left" w:pos="1200"/>
        </w:tabs>
        <w:spacing w:line="360" w:lineRule="auto"/>
        <w:jc w:val="right"/>
        <w:rPr>
          <w:rFonts w:eastAsia="宋体"/>
          <w:szCs w:val="21"/>
        </w:rPr>
      </w:pPr>
      <w:r>
        <w:rPr>
          <w:rFonts w:eastAsia="宋体"/>
          <w:szCs w:val="21"/>
        </w:rPr>
        <w:t>法定代表人或其委托代理人：</w:t>
      </w:r>
      <w:r>
        <w:rPr>
          <w:rFonts w:eastAsia="宋体"/>
          <w:szCs w:val="21"/>
          <w:u w:val="single"/>
        </w:rPr>
        <w:t xml:space="preserve">       </w:t>
      </w:r>
      <w:r>
        <w:rPr>
          <w:rFonts w:eastAsia="宋体"/>
          <w:szCs w:val="21"/>
        </w:rPr>
        <w:t>（签字）</w:t>
      </w:r>
    </w:p>
    <w:p>
      <w:pPr>
        <w:tabs>
          <w:tab w:val="left" w:pos="1200"/>
        </w:tabs>
        <w:spacing w:line="360" w:lineRule="auto"/>
        <w:jc w:val="right"/>
        <w:rPr>
          <w:rFonts w:eastAsia="宋体"/>
          <w:szCs w:val="21"/>
        </w:rPr>
      </w:pPr>
      <w:r>
        <w:rPr>
          <w:rFonts w:eastAsia="宋体"/>
          <w:szCs w:val="21"/>
        </w:rPr>
        <w:t xml:space="preserve">日期：    </w:t>
      </w:r>
      <w:r>
        <w:rPr>
          <w:rFonts w:eastAsia="宋体"/>
          <w:szCs w:val="21"/>
          <w:u w:val="single"/>
        </w:rPr>
        <w:t xml:space="preserve">        </w:t>
      </w:r>
      <w:r>
        <w:rPr>
          <w:rFonts w:eastAsia="宋体"/>
          <w:szCs w:val="21"/>
        </w:rPr>
        <w:t xml:space="preserve"> 年 </w:t>
      </w:r>
      <w:r>
        <w:rPr>
          <w:rFonts w:eastAsia="宋体"/>
          <w:szCs w:val="21"/>
          <w:u w:val="single"/>
        </w:rPr>
        <w:t xml:space="preserve">       </w:t>
      </w:r>
      <w:r>
        <w:rPr>
          <w:rFonts w:eastAsia="宋体"/>
          <w:szCs w:val="21"/>
        </w:rPr>
        <w:t>月</w:t>
      </w:r>
      <w:r>
        <w:rPr>
          <w:rFonts w:eastAsia="宋体"/>
          <w:szCs w:val="21"/>
          <w:u w:val="single"/>
        </w:rPr>
        <w:t xml:space="preserve">        </w:t>
      </w:r>
      <w:r>
        <w:rPr>
          <w:rFonts w:eastAsia="宋体"/>
          <w:szCs w:val="21"/>
        </w:rPr>
        <w:t>日</w:t>
      </w:r>
    </w:p>
    <w:p>
      <w:pPr>
        <w:tabs>
          <w:tab w:val="left" w:pos="1200"/>
        </w:tabs>
        <w:spacing w:line="360" w:lineRule="auto"/>
        <w:jc w:val="right"/>
        <w:rPr>
          <w:rFonts w:eastAsia="宋体"/>
          <w:szCs w:val="21"/>
        </w:rPr>
      </w:pPr>
    </w:p>
    <w:p>
      <w:pPr>
        <w:tabs>
          <w:tab w:val="left" w:pos="676"/>
          <w:tab w:val="left" w:pos="2330"/>
          <w:tab w:val="left" w:pos="9230"/>
        </w:tabs>
        <w:autoSpaceDE w:val="0"/>
        <w:autoSpaceDN w:val="0"/>
        <w:jc w:val="both"/>
        <w:rPr>
          <w:rFonts w:eastAsia="宋体"/>
        </w:rPr>
      </w:pPr>
      <w:r>
        <w:rPr>
          <w:rFonts w:eastAsia="宋体"/>
        </w:rPr>
        <w:br w:type="page"/>
      </w:r>
    </w:p>
    <w:p>
      <w:pPr>
        <w:keepNext/>
        <w:keepLines/>
        <w:widowControl w:val="0"/>
        <w:spacing w:before="120" w:after="120" w:line="480" w:lineRule="auto"/>
        <w:ind w:left="-2" w:leftChars="-1" w:firstLine="1"/>
        <w:jc w:val="center"/>
        <w:textAlignment w:val="center"/>
        <w:outlineLvl w:val="2"/>
        <w:rPr>
          <w:rFonts w:eastAsia="宋体"/>
          <w:b/>
          <w:kern w:val="2"/>
          <w:sz w:val="32"/>
          <w:szCs w:val="32"/>
        </w:rPr>
      </w:pPr>
      <w:bookmarkStart w:id="1694" w:name="_Toc12628"/>
      <w:bookmarkStart w:id="1695" w:name="_Toc534461600"/>
      <w:bookmarkStart w:id="1696" w:name="_Toc21470"/>
      <w:r>
        <w:rPr>
          <w:rFonts w:eastAsia="宋体"/>
          <w:b/>
          <w:kern w:val="2"/>
          <w:sz w:val="28"/>
          <w:szCs w:val="28"/>
        </w:rPr>
        <w:t>二、</w:t>
      </w:r>
      <w:bookmarkEnd w:id="1694"/>
      <w:bookmarkEnd w:id="1695"/>
      <w:bookmarkEnd w:id="1696"/>
      <w:r>
        <w:rPr>
          <w:rFonts w:hint="eastAsia" w:eastAsia="宋体"/>
          <w:b/>
          <w:kern w:val="2"/>
          <w:sz w:val="32"/>
          <w:szCs w:val="32"/>
        </w:rPr>
        <w:t>企业业绩</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1192"/>
        <w:gridCol w:w="1764"/>
        <w:gridCol w:w="1957"/>
        <w:gridCol w:w="1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2" w:hRule="atLeast"/>
          <w:jc w:val="center"/>
        </w:trPr>
        <w:tc>
          <w:tcPr>
            <w:tcW w:w="2562" w:type="dxa"/>
            <w:gridSpan w:val="2"/>
            <w:noWrap w:val="0"/>
            <w:vAlign w:val="center"/>
          </w:tcPr>
          <w:p>
            <w:pPr>
              <w:ind w:left="1050" w:hanging="1050"/>
              <w:jc w:val="center"/>
              <w:rPr>
                <w:rFonts w:eastAsia="宋体"/>
                <w:szCs w:val="21"/>
              </w:rPr>
            </w:pPr>
            <w:r>
              <w:rPr>
                <w:rFonts w:eastAsia="宋体"/>
                <w:szCs w:val="21"/>
              </w:rPr>
              <w:t>序号</w:t>
            </w:r>
          </w:p>
        </w:tc>
        <w:tc>
          <w:tcPr>
            <w:tcW w:w="1764" w:type="dxa"/>
            <w:noWrap w:val="0"/>
            <w:vAlign w:val="center"/>
          </w:tcPr>
          <w:p>
            <w:pPr>
              <w:ind w:left="1050" w:hanging="1050"/>
              <w:jc w:val="center"/>
              <w:rPr>
                <w:rFonts w:eastAsia="宋体"/>
                <w:szCs w:val="21"/>
              </w:rPr>
            </w:pPr>
            <w:r>
              <w:rPr>
                <w:rFonts w:eastAsia="宋体"/>
                <w:szCs w:val="21"/>
              </w:rPr>
              <w:t>1</w:t>
            </w:r>
          </w:p>
        </w:tc>
        <w:tc>
          <w:tcPr>
            <w:tcW w:w="1957" w:type="dxa"/>
            <w:noWrap w:val="0"/>
            <w:vAlign w:val="center"/>
          </w:tcPr>
          <w:p>
            <w:pPr>
              <w:ind w:left="1050" w:hanging="1050"/>
              <w:jc w:val="center"/>
              <w:rPr>
                <w:rFonts w:eastAsia="宋体"/>
                <w:szCs w:val="21"/>
              </w:rPr>
            </w:pPr>
            <w:r>
              <w:rPr>
                <w:rFonts w:eastAsia="宋体"/>
                <w:szCs w:val="21"/>
              </w:rPr>
              <w:t>2</w:t>
            </w:r>
          </w:p>
        </w:tc>
        <w:tc>
          <w:tcPr>
            <w:tcW w:w="1957" w:type="dxa"/>
            <w:noWrap w:val="0"/>
            <w:vAlign w:val="center"/>
          </w:tcPr>
          <w:p>
            <w:pPr>
              <w:ind w:left="1050" w:hanging="1050"/>
              <w:jc w:val="center"/>
              <w:rPr>
                <w:rFonts w:eastAsia="宋体"/>
                <w:szCs w:val="21"/>
              </w:rPr>
            </w:pPr>
            <w:r>
              <w:rPr>
                <w:rFonts w:eastAsia="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562" w:type="dxa"/>
            <w:gridSpan w:val="2"/>
            <w:noWrap w:val="0"/>
            <w:vAlign w:val="center"/>
          </w:tcPr>
          <w:p>
            <w:pPr>
              <w:ind w:left="1050" w:hanging="1050"/>
              <w:jc w:val="center"/>
              <w:rPr>
                <w:rFonts w:eastAsia="宋体"/>
                <w:szCs w:val="21"/>
              </w:rPr>
            </w:pPr>
            <w:r>
              <w:rPr>
                <w:rFonts w:eastAsia="宋体"/>
                <w:szCs w:val="21"/>
              </w:rPr>
              <w:t>项目名称</w:t>
            </w:r>
          </w:p>
        </w:tc>
        <w:tc>
          <w:tcPr>
            <w:tcW w:w="1764" w:type="dxa"/>
            <w:noWrap w:val="0"/>
            <w:vAlign w:val="center"/>
          </w:tcPr>
          <w:p>
            <w:pPr>
              <w:ind w:left="1050" w:hanging="1050"/>
              <w:jc w:val="center"/>
              <w:rPr>
                <w:rFonts w:eastAsia="宋体"/>
                <w:szCs w:val="21"/>
              </w:rPr>
            </w:pPr>
          </w:p>
        </w:tc>
        <w:tc>
          <w:tcPr>
            <w:tcW w:w="1957" w:type="dxa"/>
            <w:noWrap w:val="0"/>
            <w:vAlign w:val="center"/>
          </w:tcPr>
          <w:p>
            <w:pPr>
              <w:ind w:left="1050" w:hanging="1050"/>
              <w:jc w:val="center"/>
              <w:rPr>
                <w:rFonts w:eastAsia="宋体"/>
                <w:szCs w:val="21"/>
              </w:rPr>
            </w:pPr>
          </w:p>
        </w:tc>
        <w:tc>
          <w:tcPr>
            <w:tcW w:w="1957" w:type="dxa"/>
            <w:noWrap w:val="0"/>
            <w:vAlign w:val="center"/>
          </w:tcPr>
          <w:p>
            <w:pPr>
              <w:ind w:left="1050" w:hanging="1050"/>
              <w:jc w:val="center"/>
              <w:rPr>
                <w:rFonts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562" w:type="dxa"/>
            <w:gridSpan w:val="2"/>
            <w:noWrap w:val="0"/>
            <w:vAlign w:val="center"/>
          </w:tcPr>
          <w:p>
            <w:pPr>
              <w:ind w:left="1050" w:hanging="1050"/>
              <w:jc w:val="center"/>
              <w:rPr>
                <w:rFonts w:eastAsia="宋体"/>
                <w:szCs w:val="21"/>
              </w:rPr>
            </w:pPr>
            <w:r>
              <w:rPr>
                <w:rFonts w:eastAsia="宋体"/>
                <w:szCs w:val="21"/>
              </w:rPr>
              <w:t>项目内容</w:t>
            </w:r>
          </w:p>
        </w:tc>
        <w:tc>
          <w:tcPr>
            <w:tcW w:w="1764" w:type="dxa"/>
            <w:noWrap w:val="0"/>
            <w:vAlign w:val="center"/>
          </w:tcPr>
          <w:p>
            <w:pPr>
              <w:ind w:left="1050" w:hanging="1050"/>
              <w:jc w:val="center"/>
              <w:rPr>
                <w:rFonts w:eastAsia="宋体"/>
                <w:szCs w:val="21"/>
              </w:rPr>
            </w:pPr>
          </w:p>
        </w:tc>
        <w:tc>
          <w:tcPr>
            <w:tcW w:w="1957" w:type="dxa"/>
            <w:noWrap w:val="0"/>
            <w:vAlign w:val="center"/>
          </w:tcPr>
          <w:p>
            <w:pPr>
              <w:ind w:left="1050" w:hanging="1050"/>
              <w:jc w:val="center"/>
              <w:rPr>
                <w:rFonts w:eastAsia="宋体"/>
                <w:szCs w:val="21"/>
              </w:rPr>
            </w:pPr>
          </w:p>
        </w:tc>
        <w:tc>
          <w:tcPr>
            <w:tcW w:w="1957" w:type="dxa"/>
            <w:noWrap w:val="0"/>
            <w:vAlign w:val="center"/>
          </w:tcPr>
          <w:p>
            <w:pPr>
              <w:ind w:left="1050" w:hanging="1050"/>
              <w:jc w:val="center"/>
              <w:rPr>
                <w:rFonts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562" w:type="dxa"/>
            <w:gridSpan w:val="2"/>
            <w:noWrap w:val="0"/>
            <w:vAlign w:val="center"/>
          </w:tcPr>
          <w:p>
            <w:pPr>
              <w:ind w:left="1050" w:hanging="1050"/>
              <w:jc w:val="center"/>
              <w:rPr>
                <w:rFonts w:eastAsia="宋体"/>
                <w:szCs w:val="21"/>
              </w:rPr>
            </w:pPr>
            <w:r>
              <w:rPr>
                <w:rFonts w:eastAsia="宋体"/>
                <w:szCs w:val="21"/>
              </w:rPr>
              <w:t>项目地点</w:t>
            </w:r>
          </w:p>
        </w:tc>
        <w:tc>
          <w:tcPr>
            <w:tcW w:w="1764" w:type="dxa"/>
            <w:noWrap w:val="0"/>
            <w:vAlign w:val="center"/>
          </w:tcPr>
          <w:p>
            <w:pPr>
              <w:ind w:left="1050" w:hanging="1050"/>
              <w:jc w:val="center"/>
              <w:rPr>
                <w:rFonts w:eastAsia="宋体"/>
                <w:szCs w:val="21"/>
              </w:rPr>
            </w:pPr>
          </w:p>
        </w:tc>
        <w:tc>
          <w:tcPr>
            <w:tcW w:w="1957" w:type="dxa"/>
            <w:noWrap w:val="0"/>
            <w:vAlign w:val="center"/>
          </w:tcPr>
          <w:p>
            <w:pPr>
              <w:ind w:left="1050" w:hanging="1050"/>
              <w:jc w:val="center"/>
              <w:rPr>
                <w:rFonts w:eastAsia="宋体"/>
                <w:szCs w:val="21"/>
              </w:rPr>
            </w:pPr>
          </w:p>
        </w:tc>
        <w:tc>
          <w:tcPr>
            <w:tcW w:w="1957" w:type="dxa"/>
            <w:noWrap w:val="0"/>
            <w:vAlign w:val="center"/>
          </w:tcPr>
          <w:p>
            <w:pPr>
              <w:ind w:left="1050" w:hanging="1050"/>
              <w:jc w:val="center"/>
              <w:rPr>
                <w:rFonts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0" w:type="dxa"/>
            <w:vMerge w:val="restart"/>
            <w:noWrap w:val="0"/>
            <w:vAlign w:val="center"/>
          </w:tcPr>
          <w:p>
            <w:pPr>
              <w:ind w:left="1050" w:hanging="1050"/>
              <w:jc w:val="center"/>
              <w:rPr>
                <w:rFonts w:eastAsia="宋体"/>
                <w:szCs w:val="21"/>
              </w:rPr>
            </w:pPr>
            <w:r>
              <w:rPr>
                <w:rFonts w:eastAsia="宋体"/>
                <w:szCs w:val="21"/>
              </w:rPr>
              <w:t>总价</w:t>
            </w:r>
          </w:p>
          <w:p>
            <w:pPr>
              <w:ind w:left="850" w:hanging="850"/>
              <w:jc w:val="center"/>
              <w:rPr>
                <w:rFonts w:eastAsia="宋体"/>
                <w:spacing w:val="-20"/>
                <w:szCs w:val="21"/>
              </w:rPr>
            </w:pPr>
            <w:r>
              <w:rPr>
                <w:rFonts w:eastAsia="宋体"/>
                <w:spacing w:val="-20"/>
                <w:szCs w:val="21"/>
              </w:rPr>
              <w:t>（人民币）</w:t>
            </w:r>
          </w:p>
        </w:tc>
        <w:tc>
          <w:tcPr>
            <w:tcW w:w="1192" w:type="dxa"/>
            <w:noWrap w:val="0"/>
            <w:vAlign w:val="center"/>
          </w:tcPr>
          <w:p>
            <w:pPr>
              <w:ind w:left="1050" w:hanging="1050"/>
              <w:jc w:val="center"/>
              <w:rPr>
                <w:rFonts w:eastAsia="宋体"/>
                <w:szCs w:val="21"/>
              </w:rPr>
            </w:pPr>
            <w:r>
              <w:rPr>
                <w:rFonts w:eastAsia="宋体"/>
                <w:szCs w:val="21"/>
              </w:rPr>
              <w:t>合同</w:t>
            </w:r>
          </w:p>
        </w:tc>
        <w:tc>
          <w:tcPr>
            <w:tcW w:w="1764" w:type="dxa"/>
            <w:noWrap w:val="0"/>
            <w:vAlign w:val="center"/>
          </w:tcPr>
          <w:p>
            <w:pPr>
              <w:ind w:left="1050" w:hanging="1050"/>
              <w:jc w:val="center"/>
              <w:rPr>
                <w:rFonts w:eastAsia="宋体"/>
                <w:szCs w:val="21"/>
              </w:rPr>
            </w:pPr>
          </w:p>
        </w:tc>
        <w:tc>
          <w:tcPr>
            <w:tcW w:w="1957" w:type="dxa"/>
            <w:noWrap w:val="0"/>
            <w:vAlign w:val="center"/>
          </w:tcPr>
          <w:p>
            <w:pPr>
              <w:ind w:left="1050" w:hanging="1050"/>
              <w:jc w:val="center"/>
              <w:rPr>
                <w:rFonts w:eastAsia="宋体"/>
                <w:szCs w:val="21"/>
              </w:rPr>
            </w:pPr>
          </w:p>
        </w:tc>
        <w:tc>
          <w:tcPr>
            <w:tcW w:w="1957" w:type="dxa"/>
            <w:noWrap w:val="0"/>
            <w:vAlign w:val="center"/>
          </w:tcPr>
          <w:p>
            <w:pPr>
              <w:ind w:left="1050" w:hanging="1050"/>
              <w:jc w:val="center"/>
              <w:rPr>
                <w:rFonts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0" w:type="dxa"/>
            <w:vMerge w:val="continue"/>
            <w:noWrap w:val="0"/>
            <w:vAlign w:val="center"/>
          </w:tcPr>
          <w:p>
            <w:pPr>
              <w:ind w:left="1050" w:hanging="1050"/>
              <w:jc w:val="center"/>
              <w:rPr>
                <w:rFonts w:eastAsia="宋体"/>
                <w:szCs w:val="21"/>
              </w:rPr>
            </w:pPr>
          </w:p>
        </w:tc>
        <w:tc>
          <w:tcPr>
            <w:tcW w:w="1192" w:type="dxa"/>
            <w:noWrap w:val="0"/>
            <w:vAlign w:val="center"/>
          </w:tcPr>
          <w:p>
            <w:pPr>
              <w:ind w:left="1050" w:hanging="1050"/>
              <w:jc w:val="center"/>
              <w:rPr>
                <w:rFonts w:eastAsia="宋体"/>
                <w:szCs w:val="21"/>
              </w:rPr>
            </w:pPr>
            <w:r>
              <w:rPr>
                <w:rFonts w:eastAsia="宋体"/>
                <w:szCs w:val="21"/>
              </w:rPr>
              <w:t>结算</w:t>
            </w:r>
          </w:p>
        </w:tc>
        <w:tc>
          <w:tcPr>
            <w:tcW w:w="1764" w:type="dxa"/>
            <w:noWrap w:val="0"/>
            <w:vAlign w:val="center"/>
          </w:tcPr>
          <w:p>
            <w:pPr>
              <w:ind w:left="1050" w:hanging="1050"/>
              <w:jc w:val="center"/>
              <w:rPr>
                <w:rFonts w:eastAsia="宋体"/>
                <w:szCs w:val="21"/>
              </w:rPr>
            </w:pPr>
          </w:p>
        </w:tc>
        <w:tc>
          <w:tcPr>
            <w:tcW w:w="1957" w:type="dxa"/>
            <w:noWrap w:val="0"/>
            <w:vAlign w:val="center"/>
          </w:tcPr>
          <w:p>
            <w:pPr>
              <w:ind w:left="1050" w:hanging="1050"/>
              <w:jc w:val="center"/>
              <w:rPr>
                <w:rFonts w:eastAsia="宋体"/>
                <w:szCs w:val="21"/>
              </w:rPr>
            </w:pPr>
          </w:p>
        </w:tc>
        <w:tc>
          <w:tcPr>
            <w:tcW w:w="1957" w:type="dxa"/>
            <w:noWrap w:val="0"/>
            <w:vAlign w:val="center"/>
          </w:tcPr>
          <w:p>
            <w:pPr>
              <w:ind w:left="1050" w:hanging="1050"/>
              <w:jc w:val="center"/>
              <w:rPr>
                <w:rFonts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4" w:hRule="atLeast"/>
          <w:jc w:val="center"/>
        </w:trPr>
        <w:tc>
          <w:tcPr>
            <w:tcW w:w="2562" w:type="dxa"/>
            <w:gridSpan w:val="2"/>
            <w:noWrap w:val="0"/>
            <w:vAlign w:val="center"/>
          </w:tcPr>
          <w:p>
            <w:pPr>
              <w:jc w:val="center"/>
              <w:rPr>
                <w:rFonts w:eastAsia="宋体"/>
                <w:szCs w:val="21"/>
              </w:rPr>
            </w:pPr>
            <w:r>
              <w:rPr>
                <w:rFonts w:eastAsia="宋体"/>
                <w:szCs w:val="21"/>
              </w:rPr>
              <w:t>提供的承担的主要工作</w:t>
            </w:r>
          </w:p>
        </w:tc>
        <w:tc>
          <w:tcPr>
            <w:tcW w:w="1764" w:type="dxa"/>
            <w:noWrap w:val="0"/>
            <w:vAlign w:val="center"/>
          </w:tcPr>
          <w:p>
            <w:pPr>
              <w:ind w:left="1050" w:hanging="1050"/>
              <w:jc w:val="center"/>
              <w:rPr>
                <w:rFonts w:eastAsia="宋体"/>
                <w:szCs w:val="21"/>
              </w:rPr>
            </w:pPr>
          </w:p>
        </w:tc>
        <w:tc>
          <w:tcPr>
            <w:tcW w:w="1957" w:type="dxa"/>
            <w:noWrap w:val="0"/>
            <w:vAlign w:val="center"/>
          </w:tcPr>
          <w:p>
            <w:pPr>
              <w:ind w:left="1050" w:hanging="1050"/>
              <w:jc w:val="center"/>
              <w:rPr>
                <w:rFonts w:eastAsia="宋体"/>
                <w:szCs w:val="21"/>
              </w:rPr>
            </w:pPr>
          </w:p>
        </w:tc>
        <w:tc>
          <w:tcPr>
            <w:tcW w:w="1957" w:type="dxa"/>
            <w:noWrap w:val="0"/>
            <w:vAlign w:val="center"/>
          </w:tcPr>
          <w:p>
            <w:pPr>
              <w:ind w:left="1050" w:hanging="1050"/>
              <w:jc w:val="center"/>
              <w:rPr>
                <w:rFonts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562" w:type="dxa"/>
            <w:gridSpan w:val="2"/>
            <w:noWrap w:val="0"/>
            <w:vAlign w:val="center"/>
          </w:tcPr>
          <w:p>
            <w:pPr>
              <w:ind w:left="1050" w:hanging="1050"/>
              <w:jc w:val="center"/>
              <w:rPr>
                <w:rFonts w:eastAsia="宋体"/>
                <w:szCs w:val="21"/>
              </w:rPr>
            </w:pPr>
            <w:r>
              <w:rPr>
                <w:rFonts w:eastAsia="宋体"/>
                <w:szCs w:val="21"/>
              </w:rPr>
              <w:t>竣工日期/开通运营日期</w:t>
            </w:r>
          </w:p>
        </w:tc>
        <w:tc>
          <w:tcPr>
            <w:tcW w:w="1764" w:type="dxa"/>
            <w:noWrap w:val="0"/>
            <w:vAlign w:val="center"/>
          </w:tcPr>
          <w:p>
            <w:pPr>
              <w:ind w:left="1050" w:hanging="1050"/>
              <w:jc w:val="center"/>
              <w:rPr>
                <w:rFonts w:eastAsia="宋体"/>
                <w:szCs w:val="21"/>
              </w:rPr>
            </w:pPr>
          </w:p>
        </w:tc>
        <w:tc>
          <w:tcPr>
            <w:tcW w:w="1957" w:type="dxa"/>
            <w:noWrap w:val="0"/>
            <w:vAlign w:val="center"/>
          </w:tcPr>
          <w:p>
            <w:pPr>
              <w:ind w:left="1050" w:hanging="1050"/>
              <w:jc w:val="center"/>
              <w:rPr>
                <w:rFonts w:eastAsia="宋体"/>
                <w:szCs w:val="21"/>
              </w:rPr>
            </w:pPr>
          </w:p>
        </w:tc>
        <w:tc>
          <w:tcPr>
            <w:tcW w:w="1957" w:type="dxa"/>
            <w:noWrap w:val="0"/>
            <w:vAlign w:val="center"/>
          </w:tcPr>
          <w:p>
            <w:pPr>
              <w:ind w:left="1050" w:hanging="1050"/>
              <w:jc w:val="center"/>
              <w:rPr>
                <w:rFonts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0" w:type="dxa"/>
            <w:vMerge w:val="restart"/>
            <w:noWrap w:val="0"/>
            <w:vAlign w:val="center"/>
          </w:tcPr>
          <w:p>
            <w:pPr>
              <w:ind w:left="1050" w:hanging="1050"/>
              <w:jc w:val="center"/>
              <w:rPr>
                <w:rFonts w:eastAsia="宋体"/>
                <w:szCs w:val="21"/>
              </w:rPr>
            </w:pPr>
            <w:r>
              <w:rPr>
                <w:rFonts w:eastAsia="宋体"/>
                <w:szCs w:val="21"/>
              </w:rPr>
              <w:t>工期</w:t>
            </w:r>
          </w:p>
          <w:p>
            <w:pPr>
              <w:ind w:left="1050" w:hanging="1050"/>
              <w:jc w:val="center"/>
              <w:rPr>
                <w:rFonts w:eastAsia="宋体"/>
                <w:szCs w:val="21"/>
              </w:rPr>
            </w:pPr>
            <w:r>
              <w:rPr>
                <w:rFonts w:eastAsia="宋体"/>
                <w:szCs w:val="21"/>
              </w:rPr>
              <w:t>（月）</w:t>
            </w:r>
          </w:p>
        </w:tc>
        <w:tc>
          <w:tcPr>
            <w:tcW w:w="1192" w:type="dxa"/>
            <w:noWrap w:val="0"/>
            <w:vAlign w:val="center"/>
          </w:tcPr>
          <w:p>
            <w:pPr>
              <w:ind w:left="1050" w:hanging="1050"/>
              <w:jc w:val="center"/>
              <w:rPr>
                <w:rFonts w:eastAsia="宋体"/>
                <w:szCs w:val="21"/>
              </w:rPr>
            </w:pPr>
            <w:r>
              <w:rPr>
                <w:rFonts w:eastAsia="宋体"/>
                <w:szCs w:val="21"/>
              </w:rPr>
              <w:t>合同</w:t>
            </w:r>
          </w:p>
        </w:tc>
        <w:tc>
          <w:tcPr>
            <w:tcW w:w="1764" w:type="dxa"/>
            <w:noWrap w:val="0"/>
            <w:vAlign w:val="center"/>
          </w:tcPr>
          <w:p>
            <w:pPr>
              <w:ind w:left="1050" w:hanging="1050"/>
              <w:jc w:val="center"/>
              <w:rPr>
                <w:rFonts w:eastAsia="宋体"/>
                <w:szCs w:val="21"/>
              </w:rPr>
            </w:pPr>
          </w:p>
        </w:tc>
        <w:tc>
          <w:tcPr>
            <w:tcW w:w="1957" w:type="dxa"/>
            <w:noWrap w:val="0"/>
            <w:vAlign w:val="center"/>
          </w:tcPr>
          <w:p>
            <w:pPr>
              <w:ind w:left="1050" w:hanging="1050"/>
              <w:jc w:val="center"/>
              <w:rPr>
                <w:rFonts w:eastAsia="宋体"/>
                <w:szCs w:val="21"/>
              </w:rPr>
            </w:pPr>
          </w:p>
        </w:tc>
        <w:tc>
          <w:tcPr>
            <w:tcW w:w="1957" w:type="dxa"/>
            <w:noWrap w:val="0"/>
            <w:vAlign w:val="center"/>
          </w:tcPr>
          <w:p>
            <w:pPr>
              <w:ind w:left="1050" w:hanging="1050"/>
              <w:jc w:val="center"/>
              <w:rPr>
                <w:rFonts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0" w:type="dxa"/>
            <w:vMerge w:val="continue"/>
            <w:noWrap w:val="0"/>
            <w:vAlign w:val="center"/>
          </w:tcPr>
          <w:p>
            <w:pPr>
              <w:ind w:left="1050" w:hanging="1050"/>
              <w:jc w:val="center"/>
              <w:rPr>
                <w:rFonts w:eastAsia="宋体"/>
                <w:szCs w:val="21"/>
              </w:rPr>
            </w:pPr>
          </w:p>
        </w:tc>
        <w:tc>
          <w:tcPr>
            <w:tcW w:w="1192" w:type="dxa"/>
            <w:noWrap w:val="0"/>
            <w:vAlign w:val="center"/>
          </w:tcPr>
          <w:p>
            <w:pPr>
              <w:ind w:left="1050" w:hanging="1050"/>
              <w:jc w:val="center"/>
              <w:rPr>
                <w:rFonts w:eastAsia="宋体"/>
                <w:szCs w:val="21"/>
              </w:rPr>
            </w:pPr>
            <w:r>
              <w:rPr>
                <w:rFonts w:eastAsia="宋体"/>
                <w:szCs w:val="21"/>
              </w:rPr>
              <w:t>实际</w:t>
            </w:r>
          </w:p>
        </w:tc>
        <w:tc>
          <w:tcPr>
            <w:tcW w:w="1764" w:type="dxa"/>
            <w:noWrap w:val="0"/>
            <w:vAlign w:val="center"/>
          </w:tcPr>
          <w:p>
            <w:pPr>
              <w:ind w:left="1050" w:hanging="1050"/>
              <w:jc w:val="center"/>
              <w:rPr>
                <w:rFonts w:eastAsia="宋体"/>
                <w:szCs w:val="21"/>
              </w:rPr>
            </w:pPr>
          </w:p>
        </w:tc>
        <w:tc>
          <w:tcPr>
            <w:tcW w:w="1957" w:type="dxa"/>
            <w:noWrap w:val="0"/>
            <w:vAlign w:val="center"/>
          </w:tcPr>
          <w:p>
            <w:pPr>
              <w:ind w:left="1050" w:hanging="1050"/>
              <w:jc w:val="center"/>
              <w:rPr>
                <w:rFonts w:eastAsia="宋体"/>
                <w:szCs w:val="21"/>
              </w:rPr>
            </w:pPr>
          </w:p>
        </w:tc>
        <w:tc>
          <w:tcPr>
            <w:tcW w:w="1957" w:type="dxa"/>
            <w:noWrap w:val="0"/>
            <w:vAlign w:val="center"/>
          </w:tcPr>
          <w:p>
            <w:pPr>
              <w:ind w:left="1050" w:hanging="1050"/>
              <w:jc w:val="center"/>
              <w:rPr>
                <w:rFonts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562" w:type="dxa"/>
            <w:gridSpan w:val="2"/>
            <w:noWrap w:val="0"/>
            <w:vAlign w:val="center"/>
          </w:tcPr>
          <w:p>
            <w:pPr>
              <w:ind w:left="1050" w:hanging="1050"/>
              <w:jc w:val="center"/>
              <w:rPr>
                <w:rFonts w:eastAsia="宋体"/>
                <w:szCs w:val="21"/>
              </w:rPr>
            </w:pPr>
            <w:r>
              <w:rPr>
                <w:rFonts w:eastAsia="宋体"/>
                <w:szCs w:val="21"/>
              </w:rPr>
              <w:t>业主方联系人</w:t>
            </w:r>
          </w:p>
        </w:tc>
        <w:tc>
          <w:tcPr>
            <w:tcW w:w="1764" w:type="dxa"/>
            <w:noWrap w:val="0"/>
            <w:vAlign w:val="center"/>
          </w:tcPr>
          <w:p>
            <w:pPr>
              <w:ind w:left="1050" w:hanging="1050"/>
              <w:jc w:val="center"/>
              <w:rPr>
                <w:rFonts w:eastAsia="宋体"/>
                <w:szCs w:val="21"/>
              </w:rPr>
            </w:pPr>
          </w:p>
        </w:tc>
        <w:tc>
          <w:tcPr>
            <w:tcW w:w="1957" w:type="dxa"/>
            <w:noWrap w:val="0"/>
            <w:vAlign w:val="center"/>
          </w:tcPr>
          <w:p>
            <w:pPr>
              <w:ind w:left="1050" w:hanging="1050"/>
              <w:jc w:val="center"/>
              <w:rPr>
                <w:rFonts w:eastAsia="宋体"/>
                <w:szCs w:val="21"/>
              </w:rPr>
            </w:pPr>
          </w:p>
        </w:tc>
        <w:tc>
          <w:tcPr>
            <w:tcW w:w="1957" w:type="dxa"/>
            <w:noWrap w:val="0"/>
            <w:vAlign w:val="center"/>
          </w:tcPr>
          <w:p>
            <w:pPr>
              <w:ind w:left="1050" w:hanging="1050"/>
              <w:jc w:val="center"/>
              <w:rPr>
                <w:rFonts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562" w:type="dxa"/>
            <w:gridSpan w:val="2"/>
            <w:noWrap w:val="0"/>
            <w:vAlign w:val="center"/>
          </w:tcPr>
          <w:p>
            <w:pPr>
              <w:ind w:left="1050" w:hanging="1050"/>
              <w:jc w:val="center"/>
              <w:rPr>
                <w:rFonts w:eastAsia="宋体"/>
                <w:szCs w:val="21"/>
              </w:rPr>
            </w:pPr>
            <w:r>
              <w:rPr>
                <w:rFonts w:eastAsia="宋体"/>
                <w:szCs w:val="21"/>
              </w:rPr>
              <w:t>电话</w:t>
            </w:r>
          </w:p>
        </w:tc>
        <w:tc>
          <w:tcPr>
            <w:tcW w:w="1764" w:type="dxa"/>
            <w:noWrap w:val="0"/>
            <w:vAlign w:val="center"/>
          </w:tcPr>
          <w:p>
            <w:pPr>
              <w:ind w:left="1050" w:hanging="1050"/>
              <w:jc w:val="center"/>
              <w:rPr>
                <w:rFonts w:eastAsia="宋体"/>
                <w:szCs w:val="21"/>
              </w:rPr>
            </w:pPr>
          </w:p>
        </w:tc>
        <w:tc>
          <w:tcPr>
            <w:tcW w:w="1957" w:type="dxa"/>
            <w:noWrap w:val="0"/>
            <w:vAlign w:val="center"/>
          </w:tcPr>
          <w:p>
            <w:pPr>
              <w:ind w:left="1050" w:hanging="1050"/>
              <w:jc w:val="center"/>
              <w:outlineLvl w:val="0"/>
              <w:rPr>
                <w:rFonts w:eastAsia="宋体"/>
                <w:szCs w:val="21"/>
              </w:rPr>
            </w:pPr>
          </w:p>
        </w:tc>
        <w:tc>
          <w:tcPr>
            <w:tcW w:w="1957" w:type="dxa"/>
            <w:noWrap w:val="0"/>
            <w:vAlign w:val="center"/>
          </w:tcPr>
          <w:p>
            <w:pPr>
              <w:ind w:left="1050" w:hanging="1050"/>
              <w:jc w:val="center"/>
              <w:rPr>
                <w:rFonts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562" w:type="dxa"/>
            <w:gridSpan w:val="2"/>
            <w:noWrap w:val="0"/>
            <w:vAlign w:val="center"/>
          </w:tcPr>
          <w:p>
            <w:pPr>
              <w:ind w:left="1050" w:hanging="1050"/>
              <w:jc w:val="center"/>
              <w:rPr>
                <w:rFonts w:eastAsia="宋体"/>
                <w:szCs w:val="21"/>
              </w:rPr>
            </w:pPr>
            <w:r>
              <w:rPr>
                <w:rFonts w:eastAsia="宋体"/>
                <w:szCs w:val="21"/>
              </w:rPr>
              <w:t>项目负责人</w:t>
            </w:r>
          </w:p>
        </w:tc>
        <w:tc>
          <w:tcPr>
            <w:tcW w:w="1764" w:type="dxa"/>
            <w:noWrap w:val="0"/>
            <w:vAlign w:val="center"/>
          </w:tcPr>
          <w:p>
            <w:pPr>
              <w:ind w:left="1050" w:hanging="1050"/>
              <w:jc w:val="center"/>
              <w:rPr>
                <w:rFonts w:eastAsia="宋体"/>
                <w:szCs w:val="21"/>
              </w:rPr>
            </w:pPr>
          </w:p>
        </w:tc>
        <w:tc>
          <w:tcPr>
            <w:tcW w:w="1957" w:type="dxa"/>
            <w:noWrap w:val="0"/>
            <w:vAlign w:val="center"/>
          </w:tcPr>
          <w:p>
            <w:pPr>
              <w:ind w:left="1050" w:hanging="1050"/>
              <w:jc w:val="center"/>
              <w:outlineLvl w:val="0"/>
              <w:rPr>
                <w:rFonts w:eastAsia="宋体"/>
                <w:szCs w:val="21"/>
              </w:rPr>
            </w:pPr>
          </w:p>
        </w:tc>
        <w:tc>
          <w:tcPr>
            <w:tcW w:w="1957" w:type="dxa"/>
            <w:noWrap w:val="0"/>
            <w:vAlign w:val="center"/>
          </w:tcPr>
          <w:p>
            <w:pPr>
              <w:ind w:left="1050" w:hanging="1050"/>
              <w:jc w:val="center"/>
              <w:rPr>
                <w:rFonts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562" w:type="dxa"/>
            <w:gridSpan w:val="2"/>
            <w:noWrap w:val="0"/>
            <w:vAlign w:val="top"/>
          </w:tcPr>
          <w:p>
            <w:pPr>
              <w:pStyle w:val="14"/>
              <w:spacing w:line="360" w:lineRule="auto"/>
              <w:ind w:firstLine="0" w:firstLineChars="0"/>
              <w:jc w:val="center"/>
              <w:rPr>
                <w:rFonts w:eastAsia="宋体"/>
                <w:szCs w:val="21"/>
              </w:rPr>
            </w:pPr>
            <w:r>
              <w:rPr>
                <w:rFonts w:eastAsia="宋体"/>
                <w:szCs w:val="21"/>
              </w:rPr>
              <w:t>项目概况及投标人</w:t>
            </w:r>
          </w:p>
          <w:p>
            <w:pPr>
              <w:pStyle w:val="14"/>
              <w:spacing w:line="360" w:lineRule="auto"/>
              <w:ind w:firstLine="0" w:firstLineChars="0"/>
              <w:jc w:val="center"/>
              <w:rPr>
                <w:rFonts w:eastAsia="宋体"/>
              </w:rPr>
            </w:pPr>
            <w:r>
              <w:rPr>
                <w:rFonts w:eastAsia="宋体"/>
                <w:szCs w:val="21"/>
              </w:rPr>
              <w:t>履约情况</w:t>
            </w:r>
          </w:p>
        </w:tc>
        <w:tc>
          <w:tcPr>
            <w:tcW w:w="1764" w:type="dxa"/>
            <w:noWrap w:val="0"/>
            <w:vAlign w:val="center"/>
          </w:tcPr>
          <w:p>
            <w:pPr>
              <w:ind w:left="1050" w:hanging="1050"/>
              <w:jc w:val="center"/>
              <w:rPr>
                <w:rFonts w:eastAsia="宋体"/>
                <w:szCs w:val="21"/>
              </w:rPr>
            </w:pPr>
          </w:p>
        </w:tc>
        <w:tc>
          <w:tcPr>
            <w:tcW w:w="1957" w:type="dxa"/>
            <w:noWrap w:val="0"/>
            <w:vAlign w:val="center"/>
          </w:tcPr>
          <w:p>
            <w:pPr>
              <w:ind w:left="1050" w:hanging="1050"/>
              <w:jc w:val="center"/>
              <w:rPr>
                <w:rFonts w:eastAsia="宋体"/>
                <w:szCs w:val="21"/>
              </w:rPr>
            </w:pPr>
          </w:p>
        </w:tc>
        <w:tc>
          <w:tcPr>
            <w:tcW w:w="1957" w:type="dxa"/>
            <w:noWrap w:val="0"/>
            <w:vAlign w:val="center"/>
          </w:tcPr>
          <w:p>
            <w:pPr>
              <w:ind w:left="1050" w:hanging="1050"/>
              <w:jc w:val="center"/>
              <w:rPr>
                <w:rFonts w:eastAsia="宋体"/>
                <w:szCs w:val="21"/>
              </w:rPr>
            </w:pPr>
          </w:p>
        </w:tc>
      </w:tr>
    </w:tbl>
    <w:p>
      <w:pPr>
        <w:spacing w:line="360" w:lineRule="auto"/>
        <w:rPr>
          <w:rFonts w:eastAsia="宋体"/>
        </w:rPr>
      </w:pPr>
    </w:p>
    <w:p>
      <w:pPr>
        <w:spacing w:line="360" w:lineRule="auto"/>
        <w:rPr>
          <w:rFonts w:eastAsia="宋体"/>
        </w:rPr>
      </w:pPr>
      <w:r>
        <w:rPr>
          <w:rFonts w:eastAsia="宋体"/>
        </w:rPr>
        <w:t>注：投标人应根据</w:t>
      </w:r>
      <w:r>
        <w:rPr>
          <w:rFonts w:hint="eastAsia" w:eastAsia="宋体"/>
        </w:rPr>
        <w:t>第三章评标办法前附表</w:t>
      </w:r>
      <w:r>
        <w:rPr>
          <w:rFonts w:eastAsia="宋体"/>
        </w:rPr>
        <w:t>第</w:t>
      </w:r>
      <w:r>
        <w:rPr>
          <w:rFonts w:hint="eastAsia" w:eastAsia="宋体"/>
        </w:rPr>
        <w:t>2.2.4</w:t>
      </w:r>
      <w:r>
        <w:rPr>
          <w:rFonts w:eastAsia="宋体"/>
        </w:rPr>
        <w:t>项的要求在本表后附相关证明材料。</w:t>
      </w:r>
    </w:p>
    <w:p>
      <w:pPr>
        <w:pStyle w:val="14"/>
        <w:rPr>
          <w:rFonts w:eastAsia="宋体"/>
        </w:rPr>
      </w:pPr>
    </w:p>
    <w:p>
      <w:pPr>
        <w:tabs>
          <w:tab w:val="left" w:pos="1200"/>
        </w:tabs>
        <w:spacing w:line="360" w:lineRule="auto"/>
        <w:jc w:val="right"/>
        <w:rPr>
          <w:rFonts w:eastAsia="宋体"/>
          <w:szCs w:val="21"/>
        </w:rPr>
      </w:pPr>
      <w:r>
        <w:rPr>
          <w:rFonts w:eastAsia="宋体"/>
          <w:szCs w:val="21"/>
        </w:rPr>
        <w:t>投标人：</w:t>
      </w:r>
      <w:r>
        <w:rPr>
          <w:rFonts w:eastAsia="宋体"/>
          <w:szCs w:val="21"/>
          <w:u w:val="single"/>
        </w:rPr>
        <w:t xml:space="preserve">                   </w:t>
      </w:r>
      <w:r>
        <w:rPr>
          <w:rFonts w:eastAsia="宋体"/>
          <w:szCs w:val="21"/>
        </w:rPr>
        <w:t>（盖单位公章）</w:t>
      </w:r>
    </w:p>
    <w:p>
      <w:pPr>
        <w:tabs>
          <w:tab w:val="left" w:pos="1200"/>
        </w:tabs>
        <w:spacing w:line="360" w:lineRule="auto"/>
        <w:jc w:val="right"/>
        <w:rPr>
          <w:rFonts w:eastAsia="宋体"/>
          <w:szCs w:val="21"/>
        </w:rPr>
      </w:pPr>
      <w:r>
        <w:rPr>
          <w:rFonts w:eastAsia="宋体"/>
          <w:szCs w:val="21"/>
        </w:rPr>
        <w:t>法定代表人或其委托代理人：</w:t>
      </w:r>
      <w:r>
        <w:rPr>
          <w:rFonts w:eastAsia="宋体"/>
          <w:szCs w:val="21"/>
          <w:u w:val="single"/>
        </w:rPr>
        <w:t xml:space="preserve">       </w:t>
      </w:r>
      <w:r>
        <w:rPr>
          <w:rFonts w:eastAsia="宋体"/>
          <w:szCs w:val="21"/>
        </w:rPr>
        <w:t>（签字）</w:t>
      </w:r>
    </w:p>
    <w:p>
      <w:pPr>
        <w:spacing w:line="360" w:lineRule="auto"/>
        <w:ind w:firstLine="4410" w:firstLineChars="2100"/>
        <w:rPr>
          <w:rFonts w:eastAsia="宋体"/>
          <w:szCs w:val="21"/>
        </w:rPr>
      </w:pPr>
      <w:r>
        <w:rPr>
          <w:rFonts w:eastAsia="宋体"/>
          <w:szCs w:val="21"/>
        </w:rPr>
        <w:t xml:space="preserve">日期：    </w:t>
      </w:r>
      <w:r>
        <w:rPr>
          <w:rFonts w:eastAsia="宋体"/>
          <w:szCs w:val="21"/>
          <w:u w:val="single"/>
        </w:rPr>
        <w:t xml:space="preserve">        </w:t>
      </w:r>
      <w:r>
        <w:rPr>
          <w:rFonts w:eastAsia="宋体"/>
          <w:szCs w:val="21"/>
        </w:rPr>
        <w:t xml:space="preserve"> 年 </w:t>
      </w:r>
      <w:r>
        <w:rPr>
          <w:rFonts w:eastAsia="宋体"/>
          <w:szCs w:val="21"/>
          <w:u w:val="single"/>
        </w:rPr>
        <w:t xml:space="preserve">       </w:t>
      </w:r>
      <w:r>
        <w:rPr>
          <w:rFonts w:eastAsia="宋体"/>
          <w:szCs w:val="21"/>
        </w:rPr>
        <w:t>月</w:t>
      </w:r>
      <w:r>
        <w:rPr>
          <w:rFonts w:eastAsia="宋体"/>
          <w:szCs w:val="21"/>
          <w:u w:val="single"/>
        </w:rPr>
        <w:t xml:space="preserve">        </w:t>
      </w:r>
      <w:r>
        <w:rPr>
          <w:rFonts w:eastAsia="宋体"/>
          <w:szCs w:val="21"/>
        </w:rPr>
        <w:t>日</w:t>
      </w:r>
    </w:p>
    <w:p>
      <w:pPr>
        <w:keepNext/>
        <w:keepLines/>
        <w:widowControl w:val="0"/>
        <w:spacing w:before="120" w:after="120" w:line="480" w:lineRule="auto"/>
        <w:ind w:left="-2" w:leftChars="-1" w:firstLine="1"/>
        <w:jc w:val="center"/>
        <w:textAlignment w:val="center"/>
        <w:outlineLvl w:val="2"/>
        <w:rPr>
          <w:rFonts w:eastAsia="宋体"/>
          <w:b/>
          <w:kern w:val="2"/>
          <w:sz w:val="32"/>
          <w:szCs w:val="32"/>
        </w:rPr>
      </w:pPr>
      <w:bookmarkStart w:id="1697" w:name="_Toc514430488"/>
      <w:bookmarkStart w:id="1698" w:name="_Toc31378"/>
      <w:bookmarkStart w:id="1699" w:name="_Toc28947"/>
      <w:bookmarkStart w:id="1700" w:name="_Toc6930"/>
      <w:bookmarkStart w:id="1701" w:name="_Toc25147"/>
      <w:bookmarkStart w:id="1702" w:name="_Toc32324"/>
      <w:bookmarkStart w:id="1703" w:name="_Toc11073"/>
      <w:bookmarkStart w:id="1704" w:name="_Toc13266"/>
      <w:bookmarkStart w:id="1705" w:name="_Toc7296"/>
      <w:bookmarkStart w:id="1706" w:name="_Toc27507"/>
      <w:bookmarkStart w:id="1707" w:name="_Toc406595246"/>
      <w:bookmarkStart w:id="1708" w:name="_Toc534461603"/>
      <w:bookmarkStart w:id="1709" w:name="_Toc31509"/>
      <w:bookmarkStart w:id="1710" w:name="_Toc3784"/>
      <w:bookmarkStart w:id="1711" w:name="_Toc15075"/>
      <w:bookmarkStart w:id="1712" w:name="_Toc31800"/>
      <w:bookmarkStart w:id="1713" w:name="_Toc467764312"/>
      <w:bookmarkStart w:id="1714" w:name="_Toc7932"/>
      <w:bookmarkStart w:id="1715" w:name="_Toc23968"/>
      <w:r>
        <w:rPr>
          <w:rFonts w:eastAsia="宋体"/>
          <w:b/>
          <w:kern w:val="2"/>
          <w:sz w:val="28"/>
          <w:szCs w:val="28"/>
        </w:rPr>
        <w:br w:type="page"/>
      </w:r>
      <w:bookmarkStart w:id="1716" w:name="_Toc9987"/>
      <w:r>
        <w:rPr>
          <w:rFonts w:hint="eastAsia" w:eastAsia="宋体"/>
          <w:b/>
          <w:kern w:val="2"/>
          <w:sz w:val="28"/>
          <w:szCs w:val="28"/>
        </w:rPr>
        <w:t>三</w:t>
      </w:r>
      <w:r>
        <w:rPr>
          <w:rFonts w:eastAsia="宋体"/>
          <w:b/>
          <w:kern w:val="2"/>
          <w:sz w:val="28"/>
          <w:szCs w:val="28"/>
        </w:rPr>
        <w:t>、</w:t>
      </w:r>
      <w:r>
        <w:rPr>
          <w:rFonts w:hint="eastAsia" w:eastAsia="宋体"/>
          <w:b/>
          <w:kern w:val="2"/>
          <w:sz w:val="32"/>
          <w:szCs w:val="32"/>
        </w:rPr>
        <w:t>项目负责人业绩</w:t>
      </w:r>
    </w:p>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1192"/>
        <w:gridCol w:w="1764"/>
        <w:gridCol w:w="1957"/>
        <w:gridCol w:w="1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2" w:hRule="atLeast"/>
          <w:jc w:val="center"/>
        </w:trPr>
        <w:tc>
          <w:tcPr>
            <w:tcW w:w="2562" w:type="dxa"/>
            <w:gridSpan w:val="2"/>
            <w:noWrap w:val="0"/>
            <w:vAlign w:val="center"/>
          </w:tcPr>
          <w:p>
            <w:pPr>
              <w:ind w:left="1050" w:hanging="1050"/>
              <w:jc w:val="center"/>
              <w:rPr>
                <w:rFonts w:eastAsia="宋体"/>
                <w:szCs w:val="21"/>
              </w:rPr>
            </w:pPr>
            <w:r>
              <w:rPr>
                <w:rFonts w:eastAsia="宋体"/>
                <w:szCs w:val="21"/>
              </w:rPr>
              <w:t>序号</w:t>
            </w:r>
          </w:p>
        </w:tc>
        <w:tc>
          <w:tcPr>
            <w:tcW w:w="1764" w:type="dxa"/>
            <w:noWrap w:val="0"/>
            <w:vAlign w:val="center"/>
          </w:tcPr>
          <w:p>
            <w:pPr>
              <w:ind w:left="1050" w:hanging="1050"/>
              <w:jc w:val="center"/>
              <w:rPr>
                <w:rFonts w:eastAsia="宋体"/>
                <w:szCs w:val="21"/>
              </w:rPr>
            </w:pPr>
            <w:r>
              <w:rPr>
                <w:rFonts w:eastAsia="宋体"/>
                <w:szCs w:val="21"/>
              </w:rPr>
              <w:t>1</w:t>
            </w:r>
          </w:p>
        </w:tc>
        <w:tc>
          <w:tcPr>
            <w:tcW w:w="1957" w:type="dxa"/>
            <w:noWrap w:val="0"/>
            <w:vAlign w:val="center"/>
          </w:tcPr>
          <w:p>
            <w:pPr>
              <w:ind w:left="1050" w:hanging="1050"/>
              <w:jc w:val="center"/>
              <w:rPr>
                <w:rFonts w:eastAsia="宋体"/>
                <w:szCs w:val="21"/>
              </w:rPr>
            </w:pPr>
            <w:r>
              <w:rPr>
                <w:rFonts w:eastAsia="宋体"/>
                <w:szCs w:val="21"/>
              </w:rPr>
              <w:t>2</w:t>
            </w:r>
          </w:p>
        </w:tc>
        <w:tc>
          <w:tcPr>
            <w:tcW w:w="1957" w:type="dxa"/>
            <w:noWrap w:val="0"/>
            <w:vAlign w:val="center"/>
          </w:tcPr>
          <w:p>
            <w:pPr>
              <w:ind w:left="1050" w:hanging="1050"/>
              <w:jc w:val="center"/>
              <w:rPr>
                <w:rFonts w:eastAsia="宋体"/>
                <w:szCs w:val="21"/>
              </w:rPr>
            </w:pPr>
            <w:r>
              <w:rPr>
                <w:rFonts w:eastAsia="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562" w:type="dxa"/>
            <w:gridSpan w:val="2"/>
            <w:noWrap w:val="0"/>
            <w:vAlign w:val="center"/>
          </w:tcPr>
          <w:p>
            <w:pPr>
              <w:ind w:left="1050" w:hanging="1050"/>
              <w:jc w:val="center"/>
              <w:rPr>
                <w:rFonts w:eastAsia="宋体"/>
                <w:szCs w:val="21"/>
              </w:rPr>
            </w:pPr>
            <w:r>
              <w:rPr>
                <w:rFonts w:eastAsia="宋体"/>
                <w:szCs w:val="21"/>
              </w:rPr>
              <w:t>项目名称</w:t>
            </w:r>
          </w:p>
        </w:tc>
        <w:tc>
          <w:tcPr>
            <w:tcW w:w="1764" w:type="dxa"/>
            <w:noWrap w:val="0"/>
            <w:vAlign w:val="center"/>
          </w:tcPr>
          <w:p>
            <w:pPr>
              <w:ind w:left="1050" w:hanging="1050"/>
              <w:jc w:val="center"/>
              <w:rPr>
                <w:rFonts w:eastAsia="宋体"/>
                <w:szCs w:val="21"/>
              </w:rPr>
            </w:pPr>
          </w:p>
        </w:tc>
        <w:tc>
          <w:tcPr>
            <w:tcW w:w="1957" w:type="dxa"/>
            <w:noWrap w:val="0"/>
            <w:vAlign w:val="center"/>
          </w:tcPr>
          <w:p>
            <w:pPr>
              <w:ind w:left="1050" w:hanging="1050"/>
              <w:jc w:val="center"/>
              <w:rPr>
                <w:rFonts w:eastAsia="宋体"/>
                <w:szCs w:val="21"/>
              </w:rPr>
            </w:pPr>
          </w:p>
        </w:tc>
        <w:tc>
          <w:tcPr>
            <w:tcW w:w="1957" w:type="dxa"/>
            <w:noWrap w:val="0"/>
            <w:vAlign w:val="center"/>
          </w:tcPr>
          <w:p>
            <w:pPr>
              <w:ind w:left="1050" w:hanging="1050"/>
              <w:jc w:val="center"/>
              <w:rPr>
                <w:rFonts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562" w:type="dxa"/>
            <w:gridSpan w:val="2"/>
            <w:noWrap w:val="0"/>
            <w:vAlign w:val="center"/>
          </w:tcPr>
          <w:p>
            <w:pPr>
              <w:ind w:left="1050" w:hanging="1050"/>
              <w:jc w:val="center"/>
              <w:rPr>
                <w:rFonts w:eastAsia="宋体"/>
                <w:szCs w:val="21"/>
              </w:rPr>
            </w:pPr>
            <w:r>
              <w:rPr>
                <w:rFonts w:eastAsia="宋体"/>
                <w:szCs w:val="21"/>
              </w:rPr>
              <w:t>项目内容</w:t>
            </w:r>
          </w:p>
        </w:tc>
        <w:tc>
          <w:tcPr>
            <w:tcW w:w="1764" w:type="dxa"/>
            <w:noWrap w:val="0"/>
            <w:vAlign w:val="center"/>
          </w:tcPr>
          <w:p>
            <w:pPr>
              <w:ind w:left="1050" w:hanging="1050"/>
              <w:jc w:val="center"/>
              <w:rPr>
                <w:rFonts w:eastAsia="宋体"/>
                <w:szCs w:val="21"/>
              </w:rPr>
            </w:pPr>
          </w:p>
        </w:tc>
        <w:tc>
          <w:tcPr>
            <w:tcW w:w="1957" w:type="dxa"/>
            <w:noWrap w:val="0"/>
            <w:vAlign w:val="center"/>
          </w:tcPr>
          <w:p>
            <w:pPr>
              <w:ind w:left="1050" w:hanging="1050"/>
              <w:jc w:val="center"/>
              <w:rPr>
                <w:rFonts w:eastAsia="宋体"/>
                <w:szCs w:val="21"/>
              </w:rPr>
            </w:pPr>
          </w:p>
        </w:tc>
        <w:tc>
          <w:tcPr>
            <w:tcW w:w="1957" w:type="dxa"/>
            <w:noWrap w:val="0"/>
            <w:vAlign w:val="center"/>
          </w:tcPr>
          <w:p>
            <w:pPr>
              <w:ind w:left="1050" w:hanging="1050"/>
              <w:jc w:val="center"/>
              <w:rPr>
                <w:rFonts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562" w:type="dxa"/>
            <w:gridSpan w:val="2"/>
            <w:noWrap w:val="0"/>
            <w:vAlign w:val="center"/>
          </w:tcPr>
          <w:p>
            <w:pPr>
              <w:ind w:left="1050" w:hanging="1050"/>
              <w:jc w:val="center"/>
              <w:rPr>
                <w:rFonts w:eastAsia="宋体"/>
                <w:szCs w:val="21"/>
              </w:rPr>
            </w:pPr>
            <w:r>
              <w:rPr>
                <w:rFonts w:eastAsia="宋体"/>
                <w:szCs w:val="21"/>
              </w:rPr>
              <w:t>项目地点</w:t>
            </w:r>
          </w:p>
        </w:tc>
        <w:tc>
          <w:tcPr>
            <w:tcW w:w="1764" w:type="dxa"/>
            <w:noWrap w:val="0"/>
            <w:vAlign w:val="center"/>
          </w:tcPr>
          <w:p>
            <w:pPr>
              <w:ind w:left="1050" w:hanging="1050"/>
              <w:jc w:val="center"/>
              <w:rPr>
                <w:rFonts w:eastAsia="宋体"/>
                <w:szCs w:val="21"/>
              </w:rPr>
            </w:pPr>
          </w:p>
        </w:tc>
        <w:tc>
          <w:tcPr>
            <w:tcW w:w="1957" w:type="dxa"/>
            <w:noWrap w:val="0"/>
            <w:vAlign w:val="center"/>
          </w:tcPr>
          <w:p>
            <w:pPr>
              <w:ind w:left="1050" w:hanging="1050"/>
              <w:jc w:val="center"/>
              <w:rPr>
                <w:rFonts w:eastAsia="宋体"/>
                <w:szCs w:val="21"/>
              </w:rPr>
            </w:pPr>
          </w:p>
        </w:tc>
        <w:tc>
          <w:tcPr>
            <w:tcW w:w="1957" w:type="dxa"/>
            <w:noWrap w:val="0"/>
            <w:vAlign w:val="center"/>
          </w:tcPr>
          <w:p>
            <w:pPr>
              <w:ind w:left="1050" w:hanging="1050"/>
              <w:jc w:val="center"/>
              <w:rPr>
                <w:rFonts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0" w:type="dxa"/>
            <w:vMerge w:val="restart"/>
            <w:noWrap w:val="0"/>
            <w:vAlign w:val="center"/>
          </w:tcPr>
          <w:p>
            <w:pPr>
              <w:ind w:left="1050" w:hanging="1050"/>
              <w:jc w:val="center"/>
              <w:rPr>
                <w:rFonts w:eastAsia="宋体"/>
                <w:szCs w:val="21"/>
              </w:rPr>
            </w:pPr>
            <w:r>
              <w:rPr>
                <w:rFonts w:eastAsia="宋体"/>
                <w:szCs w:val="21"/>
              </w:rPr>
              <w:t>总价</w:t>
            </w:r>
          </w:p>
          <w:p>
            <w:pPr>
              <w:ind w:left="850" w:hanging="850"/>
              <w:jc w:val="center"/>
              <w:rPr>
                <w:rFonts w:eastAsia="宋体"/>
                <w:spacing w:val="-20"/>
                <w:szCs w:val="21"/>
              </w:rPr>
            </w:pPr>
            <w:r>
              <w:rPr>
                <w:rFonts w:eastAsia="宋体"/>
                <w:spacing w:val="-20"/>
                <w:szCs w:val="21"/>
              </w:rPr>
              <w:t>（人民币）</w:t>
            </w:r>
          </w:p>
        </w:tc>
        <w:tc>
          <w:tcPr>
            <w:tcW w:w="1192" w:type="dxa"/>
            <w:noWrap w:val="0"/>
            <w:vAlign w:val="center"/>
          </w:tcPr>
          <w:p>
            <w:pPr>
              <w:ind w:left="1050" w:hanging="1050"/>
              <w:jc w:val="center"/>
              <w:rPr>
                <w:rFonts w:eastAsia="宋体"/>
                <w:szCs w:val="21"/>
              </w:rPr>
            </w:pPr>
            <w:r>
              <w:rPr>
                <w:rFonts w:eastAsia="宋体"/>
                <w:szCs w:val="21"/>
              </w:rPr>
              <w:t>合同</w:t>
            </w:r>
          </w:p>
        </w:tc>
        <w:tc>
          <w:tcPr>
            <w:tcW w:w="1764" w:type="dxa"/>
            <w:noWrap w:val="0"/>
            <w:vAlign w:val="center"/>
          </w:tcPr>
          <w:p>
            <w:pPr>
              <w:ind w:left="1050" w:hanging="1050"/>
              <w:jc w:val="center"/>
              <w:rPr>
                <w:rFonts w:eastAsia="宋体"/>
                <w:szCs w:val="21"/>
              </w:rPr>
            </w:pPr>
          </w:p>
        </w:tc>
        <w:tc>
          <w:tcPr>
            <w:tcW w:w="1957" w:type="dxa"/>
            <w:noWrap w:val="0"/>
            <w:vAlign w:val="center"/>
          </w:tcPr>
          <w:p>
            <w:pPr>
              <w:ind w:left="1050" w:hanging="1050"/>
              <w:jc w:val="center"/>
              <w:rPr>
                <w:rFonts w:eastAsia="宋体"/>
                <w:szCs w:val="21"/>
              </w:rPr>
            </w:pPr>
          </w:p>
        </w:tc>
        <w:tc>
          <w:tcPr>
            <w:tcW w:w="1957" w:type="dxa"/>
            <w:noWrap w:val="0"/>
            <w:vAlign w:val="center"/>
          </w:tcPr>
          <w:p>
            <w:pPr>
              <w:ind w:left="1050" w:hanging="1050"/>
              <w:jc w:val="center"/>
              <w:rPr>
                <w:rFonts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0" w:type="dxa"/>
            <w:vMerge w:val="continue"/>
            <w:noWrap w:val="0"/>
            <w:vAlign w:val="center"/>
          </w:tcPr>
          <w:p>
            <w:pPr>
              <w:ind w:left="1050" w:hanging="1050"/>
              <w:jc w:val="center"/>
              <w:rPr>
                <w:rFonts w:eastAsia="宋体"/>
                <w:szCs w:val="21"/>
              </w:rPr>
            </w:pPr>
          </w:p>
        </w:tc>
        <w:tc>
          <w:tcPr>
            <w:tcW w:w="1192" w:type="dxa"/>
            <w:noWrap w:val="0"/>
            <w:vAlign w:val="center"/>
          </w:tcPr>
          <w:p>
            <w:pPr>
              <w:ind w:left="1050" w:hanging="1050"/>
              <w:jc w:val="center"/>
              <w:rPr>
                <w:rFonts w:eastAsia="宋体"/>
                <w:szCs w:val="21"/>
              </w:rPr>
            </w:pPr>
            <w:r>
              <w:rPr>
                <w:rFonts w:eastAsia="宋体"/>
                <w:szCs w:val="21"/>
              </w:rPr>
              <w:t>结算</w:t>
            </w:r>
          </w:p>
        </w:tc>
        <w:tc>
          <w:tcPr>
            <w:tcW w:w="1764" w:type="dxa"/>
            <w:noWrap w:val="0"/>
            <w:vAlign w:val="center"/>
          </w:tcPr>
          <w:p>
            <w:pPr>
              <w:ind w:left="1050" w:hanging="1050"/>
              <w:jc w:val="center"/>
              <w:rPr>
                <w:rFonts w:eastAsia="宋体"/>
                <w:szCs w:val="21"/>
              </w:rPr>
            </w:pPr>
          </w:p>
        </w:tc>
        <w:tc>
          <w:tcPr>
            <w:tcW w:w="1957" w:type="dxa"/>
            <w:noWrap w:val="0"/>
            <w:vAlign w:val="center"/>
          </w:tcPr>
          <w:p>
            <w:pPr>
              <w:ind w:left="1050" w:hanging="1050"/>
              <w:jc w:val="center"/>
              <w:rPr>
                <w:rFonts w:eastAsia="宋体"/>
                <w:szCs w:val="21"/>
              </w:rPr>
            </w:pPr>
          </w:p>
        </w:tc>
        <w:tc>
          <w:tcPr>
            <w:tcW w:w="1957" w:type="dxa"/>
            <w:noWrap w:val="0"/>
            <w:vAlign w:val="center"/>
          </w:tcPr>
          <w:p>
            <w:pPr>
              <w:ind w:left="1050" w:hanging="1050"/>
              <w:jc w:val="center"/>
              <w:rPr>
                <w:rFonts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4" w:hRule="atLeast"/>
          <w:jc w:val="center"/>
        </w:trPr>
        <w:tc>
          <w:tcPr>
            <w:tcW w:w="2562" w:type="dxa"/>
            <w:gridSpan w:val="2"/>
            <w:noWrap w:val="0"/>
            <w:vAlign w:val="center"/>
          </w:tcPr>
          <w:p>
            <w:pPr>
              <w:jc w:val="center"/>
              <w:rPr>
                <w:rFonts w:eastAsia="宋体"/>
                <w:szCs w:val="21"/>
              </w:rPr>
            </w:pPr>
            <w:r>
              <w:rPr>
                <w:rFonts w:eastAsia="宋体"/>
                <w:szCs w:val="21"/>
              </w:rPr>
              <w:t>提供的承担的主要工作</w:t>
            </w:r>
          </w:p>
        </w:tc>
        <w:tc>
          <w:tcPr>
            <w:tcW w:w="1764" w:type="dxa"/>
            <w:noWrap w:val="0"/>
            <w:vAlign w:val="center"/>
          </w:tcPr>
          <w:p>
            <w:pPr>
              <w:ind w:left="1050" w:hanging="1050"/>
              <w:jc w:val="center"/>
              <w:rPr>
                <w:rFonts w:eastAsia="宋体"/>
                <w:szCs w:val="21"/>
              </w:rPr>
            </w:pPr>
          </w:p>
        </w:tc>
        <w:tc>
          <w:tcPr>
            <w:tcW w:w="1957" w:type="dxa"/>
            <w:noWrap w:val="0"/>
            <w:vAlign w:val="center"/>
          </w:tcPr>
          <w:p>
            <w:pPr>
              <w:ind w:left="1050" w:hanging="1050"/>
              <w:jc w:val="center"/>
              <w:rPr>
                <w:rFonts w:eastAsia="宋体"/>
                <w:szCs w:val="21"/>
              </w:rPr>
            </w:pPr>
          </w:p>
        </w:tc>
        <w:tc>
          <w:tcPr>
            <w:tcW w:w="1957" w:type="dxa"/>
            <w:noWrap w:val="0"/>
            <w:vAlign w:val="center"/>
          </w:tcPr>
          <w:p>
            <w:pPr>
              <w:ind w:left="1050" w:hanging="1050"/>
              <w:jc w:val="center"/>
              <w:rPr>
                <w:rFonts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562" w:type="dxa"/>
            <w:gridSpan w:val="2"/>
            <w:noWrap w:val="0"/>
            <w:vAlign w:val="center"/>
          </w:tcPr>
          <w:p>
            <w:pPr>
              <w:ind w:left="1050" w:hanging="1050"/>
              <w:jc w:val="center"/>
              <w:rPr>
                <w:rFonts w:eastAsia="宋体"/>
                <w:szCs w:val="21"/>
              </w:rPr>
            </w:pPr>
            <w:r>
              <w:rPr>
                <w:rFonts w:eastAsia="宋体"/>
                <w:szCs w:val="21"/>
              </w:rPr>
              <w:t>竣工日期/开通运营日期</w:t>
            </w:r>
          </w:p>
        </w:tc>
        <w:tc>
          <w:tcPr>
            <w:tcW w:w="1764" w:type="dxa"/>
            <w:noWrap w:val="0"/>
            <w:vAlign w:val="center"/>
          </w:tcPr>
          <w:p>
            <w:pPr>
              <w:ind w:left="1050" w:hanging="1050"/>
              <w:jc w:val="center"/>
              <w:rPr>
                <w:rFonts w:eastAsia="宋体"/>
                <w:szCs w:val="21"/>
              </w:rPr>
            </w:pPr>
          </w:p>
        </w:tc>
        <w:tc>
          <w:tcPr>
            <w:tcW w:w="1957" w:type="dxa"/>
            <w:noWrap w:val="0"/>
            <w:vAlign w:val="center"/>
          </w:tcPr>
          <w:p>
            <w:pPr>
              <w:ind w:left="1050" w:hanging="1050"/>
              <w:jc w:val="center"/>
              <w:rPr>
                <w:rFonts w:eastAsia="宋体"/>
                <w:szCs w:val="21"/>
              </w:rPr>
            </w:pPr>
          </w:p>
        </w:tc>
        <w:tc>
          <w:tcPr>
            <w:tcW w:w="1957" w:type="dxa"/>
            <w:noWrap w:val="0"/>
            <w:vAlign w:val="center"/>
          </w:tcPr>
          <w:p>
            <w:pPr>
              <w:ind w:left="1050" w:hanging="1050"/>
              <w:jc w:val="center"/>
              <w:rPr>
                <w:rFonts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0" w:type="dxa"/>
            <w:vMerge w:val="restart"/>
            <w:noWrap w:val="0"/>
            <w:vAlign w:val="center"/>
          </w:tcPr>
          <w:p>
            <w:pPr>
              <w:ind w:left="1050" w:hanging="1050"/>
              <w:jc w:val="center"/>
              <w:rPr>
                <w:rFonts w:eastAsia="宋体"/>
                <w:szCs w:val="21"/>
              </w:rPr>
            </w:pPr>
            <w:r>
              <w:rPr>
                <w:rFonts w:eastAsia="宋体"/>
                <w:szCs w:val="21"/>
              </w:rPr>
              <w:t>工期</w:t>
            </w:r>
          </w:p>
          <w:p>
            <w:pPr>
              <w:ind w:left="1050" w:hanging="1050"/>
              <w:jc w:val="center"/>
              <w:rPr>
                <w:rFonts w:eastAsia="宋体"/>
                <w:szCs w:val="21"/>
              </w:rPr>
            </w:pPr>
            <w:r>
              <w:rPr>
                <w:rFonts w:eastAsia="宋体"/>
                <w:szCs w:val="21"/>
              </w:rPr>
              <w:t>（月）</w:t>
            </w:r>
          </w:p>
        </w:tc>
        <w:tc>
          <w:tcPr>
            <w:tcW w:w="1192" w:type="dxa"/>
            <w:noWrap w:val="0"/>
            <w:vAlign w:val="center"/>
          </w:tcPr>
          <w:p>
            <w:pPr>
              <w:ind w:left="1050" w:hanging="1050"/>
              <w:jc w:val="center"/>
              <w:rPr>
                <w:rFonts w:eastAsia="宋体"/>
                <w:szCs w:val="21"/>
              </w:rPr>
            </w:pPr>
            <w:r>
              <w:rPr>
                <w:rFonts w:eastAsia="宋体"/>
                <w:szCs w:val="21"/>
              </w:rPr>
              <w:t>合同</w:t>
            </w:r>
          </w:p>
        </w:tc>
        <w:tc>
          <w:tcPr>
            <w:tcW w:w="1764" w:type="dxa"/>
            <w:noWrap w:val="0"/>
            <w:vAlign w:val="center"/>
          </w:tcPr>
          <w:p>
            <w:pPr>
              <w:ind w:left="1050" w:hanging="1050"/>
              <w:jc w:val="center"/>
              <w:rPr>
                <w:rFonts w:eastAsia="宋体"/>
                <w:szCs w:val="21"/>
              </w:rPr>
            </w:pPr>
          </w:p>
        </w:tc>
        <w:tc>
          <w:tcPr>
            <w:tcW w:w="1957" w:type="dxa"/>
            <w:noWrap w:val="0"/>
            <w:vAlign w:val="center"/>
          </w:tcPr>
          <w:p>
            <w:pPr>
              <w:ind w:left="1050" w:hanging="1050"/>
              <w:jc w:val="center"/>
              <w:rPr>
                <w:rFonts w:eastAsia="宋体"/>
                <w:szCs w:val="21"/>
              </w:rPr>
            </w:pPr>
          </w:p>
        </w:tc>
        <w:tc>
          <w:tcPr>
            <w:tcW w:w="1957" w:type="dxa"/>
            <w:noWrap w:val="0"/>
            <w:vAlign w:val="center"/>
          </w:tcPr>
          <w:p>
            <w:pPr>
              <w:ind w:left="1050" w:hanging="1050"/>
              <w:jc w:val="center"/>
              <w:rPr>
                <w:rFonts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0" w:type="dxa"/>
            <w:vMerge w:val="continue"/>
            <w:noWrap w:val="0"/>
            <w:vAlign w:val="center"/>
          </w:tcPr>
          <w:p>
            <w:pPr>
              <w:ind w:left="1050" w:hanging="1050"/>
              <w:jc w:val="center"/>
              <w:rPr>
                <w:rFonts w:eastAsia="宋体"/>
                <w:szCs w:val="21"/>
              </w:rPr>
            </w:pPr>
          </w:p>
        </w:tc>
        <w:tc>
          <w:tcPr>
            <w:tcW w:w="1192" w:type="dxa"/>
            <w:noWrap w:val="0"/>
            <w:vAlign w:val="center"/>
          </w:tcPr>
          <w:p>
            <w:pPr>
              <w:ind w:left="1050" w:hanging="1050"/>
              <w:jc w:val="center"/>
              <w:rPr>
                <w:rFonts w:eastAsia="宋体"/>
                <w:szCs w:val="21"/>
              </w:rPr>
            </w:pPr>
            <w:r>
              <w:rPr>
                <w:rFonts w:eastAsia="宋体"/>
                <w:szCs w:val="21"/>
              </w:rPr>
              <w:t>实际</w:t>
            </w:r>
          </w:p>
        </w:tc>
        <w:tc>
          <w:tcPr>
            <w:tcW w:w="1764" w:type="dxa"/>
            <w:noWrap w:val="0"/>
            <w:vAlign w:val="center"/>
          </w:tcPr>
          <w:p>
            <w:pPr>
              <w:ind w:left="1050" w:hanging="1050"/>
              <w:jc w:val="center"/>
              <w:rPr>
                <w:rFonts w:eastAsia="宋体"/>
                <w:szCs w:val="21"/>
              </w:rPr>
            </w:pPr>
          </w:p>
        </w:tc>
        <w:tc>
          <w:tcPr>
            <w:tcW w:w="1957" w:type="dxa"/>
            <w:noWrap w:val="0"/>
            <w:vAlign w:val="center"/>
          </w:tcPr>
          <w:p>
            <w:pPr>
              <w:ind w:left="1050" w:hanging="1050"/>
              <w:jc w:val="center"/>
              <w:rPr>
                <w:rFonts w:eastAsia="宋体"/>
                <w:szCs w:val="21"/>
              </w:rPr>
            </w:pPr>
          </w:p>
        </w:tc>
        <w:tc>
          <w:tcPr>
            <w:tcW w:w="1957" w:type="dxa"/>
            <w:noWrap w:val="0"/>
            <w:vAlign w:val="center"/>
          </w:tcPr>
          <w:p>
            <w:pPr>
              <w:ind w:left="1050" w:hanging="1050"/>
              <w:jc w:val="center"/>
              <w:rPr>
                <w:rFonts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562" w:type="dxa"/>
            <w:gridSpan w:val="2"/>
            <w:noWrap w:val="0"/>
            <w:vAlign w:val="center"/>
          </w:tcPr>
          <w:p>
            <w:pPr>
              <w:ind w:left="1050" w:hanging="1050"/>
              <w:jc w:val="center"/>
              <w:rPr>
                <w:rFonts w:eastAsia="宋体"/>
                <w:szCs w:val="21"/>
              </w:rPr>
            </w:pPr>
            <w:r>
              <w:rPr>
                <w:rFonts w:eastAsia="宋体"/>
                <w:szCs w:val="21"/>
              </w:rPr>
              <w:t>业主方联系人</w:t>
            </w:r>
          </w:p>
        </w:tc>
        <w:tc>
          <w:tcPr>
            <w:tcW w:w="1764" w:type="dxa"/>
            <w:noWrap w:val="0"/>
            <w:vAlign w:val="center"/>
          </w:tcPr>
          <w:p>
            <w:pPr>
              <w:ind w:left="1050" w:hanging="1050"/>
              <w:jc w:val="center"/>
              <w:rPr>
                <w:rFonts w:eastAsia="宋体"/>
                <w:szCs w:val="21"/>
              </w:rPr>
            </w:pPr>
          </w:p>
        </w:tc>
        <w:tc>
          <w:tcPr>
            <w:tcW w:w="1957" w:type="dxa"/>
            <w:noWrap w:val="0"/>
            <w:vAlign w:val="center"/>
          </w:tcPr>
          <w:p>
            <w:pPr>
              <w:ind w:left="1050" w:hanging="1050"/>
              <w:jc w:val="center"/>
              <w:rPr>
                <w:rFonts w:eastAsia="宋体"/>
                <w:szCs w:val="21"/>
              </w:rPr>
            </w:pPr>
          </w:p>
        </w:tc>
        <w:tc>
          <w:tcPr>
            <w:tcW w:w="1957" w:type="dxa"/>
            <w:noWrap w:val="0"/>
            <w:vAlign w:val="center"/>
          </w:tcPr>
          <w:p>
            <w:pPr>
              <w:ind w:left="1050" w:hanging="1050"/>
              <w:jc w:val="center"/>
              <w:rPr>
                <w:rFonts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562" w:type="dxa"/>
            <w:gridSpan w:val="2"/>
            <w:noWrap w:val="0"/>
            <w:vAlign w:val="center"/>
          </w:tcPr>
          <w:p>
            <w:pPr>
              <w:ind w:left="1050" w:hanging="1050"/>
              <w:jc w:val="center"/>
              <w:rPr>
                <w:rFonts w:eastAsia="宋体"/>
                <w:szCs w:val="21"/>
              </w:rPr>
            </w:pPr>
            <w:r>
              <w:rPr>
                <w:rFonts w:eastAsia="宋体"/>
                <w:szCs w:val="21"/>
              </w:rPr>
              <w:t>电话</w:t>
            </w:r>
          </w:p>
        </w:tc>
        <w:tc>
          <w:tcPr>
            <w:tcW w:w="1764" w:type="dxa"/>
            <w:noWrap w:val="0"/>
            <w:vAlign w:val="center"/>
          </w:tcPr>
          <w:p>
            <w:pPr>
              <w:ind w:left="1050" w:hanging="1050"/>
              <w:jc w:val="center"/>
              <w:rPr>
                <w:rFonts w:eastAsia="宋体"/>
                <w:szCs w:val="21"/>
              </w:rPr>
            </w:pPr>
          </w:p>
        </w:tc>
        <w:tc>
          <w:tcPr>
            <w:tcW w:w="1957" w:type="dxa"/>
            <w:noWrap w:val="0"/>
            <w:vAlign w:val="center"/>
          </w:tcPr>
          <w:p>
            <w:pPr>
              <w:ind w:left="1050" w:hanging="1050"/>
              <w:jc w:val="center"/>
              <w:outlineLvl w:val="0"/>
              <w:rPr>
                <w:rFonts w:eastAsia="宋体"/>
                <w:szCs w:val="21"/>
              </w:rPr>
            </w:pPr>
          </w:p>
        </w:tc>
        <w:tc>
          <w:tcPr>
            <w:tcW w:w="1957" w:type="dxa"/>
            <w:noWrap w:val="0"/>
            <w:vAlign w:val="center"/>
          </w:tcPr>
          <w:p>
            <w:pPr>
              <w:ind w:left="1050" w:hanging="1050"/>
              <w:jc w:val="center"/>
              <w:rPr>
                <w:rFonts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562" w:type="dxa"/>
            <w:gridSpan w:val="2"/>
            <w:noWrap w:val="0"/>
            <w:vAlign w:val="center"/>
          </w:tcPr>
          <w:p>
            <w:pPr>
              <w:ind w:left="1050" w:hanging="1050"/>
              <w:jc w:val="center"/>
              <w:rPr>
                <w:rFonts w:eastAsia="宋体"/>
                <w:szCs w:val="21"/>
              </w:rPr>
            </w:pPr>
            <w:r>
              <w:rPr>
                <w:rFonts w:eastAsia="宋体"/>
                <w:szCs w:val="21"/>
              </w:rPr>
              <w:t>项目负责人</w:t>
            </w:r>
          </w:p>
        </w:tc>
        <w:tc>
          <w:tcPr>
            <w:tcW w:w="1764" w:type="dxa"/>
            <w:noWrap w:val="0"/>
            <w:vAlign w:val="center"/>
          </w:tcPr>
          <w:p>
            <w:pPr>
              <w:ind w:left="1050" w:hanging="1050"/>
              <w:jc w:val="center"/>
              <w:rPr>
                <w:rFonts w:eastAsia="宋体"/>
                <w:szCs w:val="21"/>
              </w:rPr>
            </w:pPr>
          </w:p>
        </w:tc>
        <w:tc>
          <w:tcPr>
            <w:tcW w:w="1957" w:type="dxa"/>
            <w:noWrap w:val="0"/>
            <w:vAlign w:val="center"/>
          </w:tcPr>
          <w:p>
            <w:pPr>
              <w:ind w:left="1050" w:hanging="1050"/>
              <w:jc w:val="center"/>
              <w:outlineLvl w:val="0"/>
              <w:rPr>
                <w:rFonts w:eastAsia="宋体"/>
                <w:szCs w:val="21"/>
              </w:rPr>
            </w:pPr>
          </w:p>
        </w:tc>
        <w:tc>
          <w:tcPr>
            <w:tcW w:w="1957" w:type="dxa"/>
            <w:noWrap w:val="0"/>
            <w:vAlign w:val="center"/>
          </w:tcPr>
          <w:p>
            <w:pPr>
              <w:ind w:left="1050" w:hanging="1050"/>
              <w:jc w:val="center"/>
              <w:rPr>
                <w:rFonts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562" w:type="dxa"/>
            <w:gridSpan w:val="2"/>
            <w:noWrap w:val="0"/>
            <w:vAlign w:val="top"/>
          </w:tcPr>
          <w:p>
            <w:pPr>
              <w:pStyle w:val="14"/>
              <w:spacing w:line="360" w:lineRule="auto"/>
              <w:ind w:firstLine="0" w:firstLineChars="0"/>
              <w:jc w:val="center"/>
              <w:rPr>
                <w:rFonts w:eastAsia="宋体"/>
                <w:szCs w:val="21"/>
              </w:rPr>
            </w:pPr>
            <w:r>
              <w:rPr>
                <w:rFonts w:eastAsia="宋体"/>
                <w:szCs w:val="21"/>
              </w:rPr>
              <w:t>项目概况及投标人</w:t>
            </w:r>
          </w:p>
          <w:p>
            <w:pPr>
              <w:pStyle w:val="14"/>
              <w:spacing w:line="360" w:lineRule="auto"/>
              <w:ind w:firstLine="0" w:firstLineChars="0"/>
              <w:jc w:val="center"/>
              <w:rPr>
                <w:rFonts w:eastAsia="宋体"/>
              </w:rPr>
            </w:pPr>
            <w:r>
              <w:rPr>
                <w:rFonts w:eastAsia="宋体"/>
                <w:szCs w:val="21"/>
              </w:rPr>
              <w:t>履约情况</w:t>
            </w:r>
          </w:p>
        </w:tc>
        <w:tc>
          <w:tcPr>
            <w:tcW w:w="1764" w:type="dxa"/>
            <w:noWrap w:val="0"/>
            <w:vAlign w:val="center"/>
          </w:tcPr>
          <w:p>
            <w:pPr>
              <w:ind w:left="1050" w:hanging="1050"/>
              <w:jc w:val="center"/>
              <w:rPr>
                <w:rFonts w:eastAsia="宋体"/>
                <w:szCs w:val="21"/>
              </w:rPr>
            </w:pPr>
          </w:p>
        </w:tc>
        <w:tc>
          <w:tcPr>
            <w:tcW w:w="1957" w:type="dxa"/>
            <w:noWrap w:val="0"/>
            <w:vAlign w:val="center"/>
          </w:tcPr>
          <w:p>
            <w:pPr>
              <w:ind w:left="1050" w:hanging="1050"/>
              <w:jc w:val="center"/>
              <w:rPr>
                <w:rFonts w:eastAsia="宋体"/>
                <w:szCs w:val="21"/>
              </w:rPr>
            </w:pPr>
          </w:p>
        </w:tc>
        <w:tc>
          <w:tcPr>
            <w:tcW w:w="1957" w:type="dxa"/>
            <w:noWrap w:val="0"/>
            <w:vAlign w:val="center"/>
          </w:tcPr>
          <w:p>
            <w:pPr>
              <w:ind w:left="1050" w:hanging="1050"/>
              <w:jc w:val="center"/>
              <w:rPr>
                <w:rFonts w:eastAsia="宋体"/>
                <w:szCs w:val="21"/>
              </w:rPr>
            </w:pPr>
          </w:p>
        </w:tc>
      </w:tr>
    </w:tbl>
    <w:p>
      <w:pPr>
        <w:spacing w:line="360" w:lineRule="auto"/>
        <w:rPr>
          <w:rFonts w:eastAsia="宋体"/>
        </w:rPr>
      </w:pPr>
    </w:p>
    <w:p>
      <w:pPr>
        <w:spacing w:line="360" w:lineRule="auto"/>
        <w:rPr>
          <w:rFonts w:eastAsia="宋体"/>
        </w:rPr>
      </w:pPr>
      <w:r>
        <w:rPr>
          <w:rFonts w:eastAsia="宋体"/>
        </w:rPr>
        <w:t>注：投标人应根据</w:t>
      </w:r>
      <w:r>
        <w:rPr>
          <w:rFonts w:hint="eastAsia" w:eastAsia="宋体"/>
        </w:rPr>
        <w:t>第三章评标办法前附表</w:t>
      </w:r>
      <w:r>
        <w:rPr>
          <w:rFonts w:eastAsia="宋体"/>
        </w:rPr>
        <w:t>第</w:t>
      </w:r>
      <w:r>
        <w:rPr>
          <w:rFonts w:hint="eastAsia" w:eastAsia="宋体"/>
        </w:rPr>
        <w:t>2.2.4</w:t>
      </w:r>
      <w:r>
        <w:rPr>
          <w:rFonts w:eastAsia="宋体"/>
        </w:rPr>
        <w:t>项的要求在本表后附相关证明材料。</w:t>
      </w:r>
    </w:p>
    <w:p>
      <w:pPr>
        <w:pStyle w:val="14"/>
        <w:rPr>
          <w:rFonts w:eastAsia="宋体"/>
        </w:rPr>
      </w:pPr>
    </w:p>
    <w:p>
      <w:pPr>
        <w:tabs>
          <w:tab w:val="left" w:pos="1200"/>
        </w:tabs>
        <w:spacing w:line="360" w:lineRule="auto"/>
        <w:jc w:val="right"/>
        <w:rPr>
          <w:rFonts w:eastAsia="宋体"/>
          <w:szCs w:val="21"/>
        </w:rPr>
      </w:pPr>
      <w:r>
        <w:rPr>
          <w:rFonts w:eastAsia="宋体"/>
          <w:szCs w:val="21"/>
        </w:rPr>
        <w:t>投标人：</w:t>
      </w:r>
      <w:r>
        <w:rPr>
          <w:rFonts w:eastAsia="宋体"/>
          <w:szCs w:val="21"/>
          <w:u w:val="single"/>
        </w:rPr>
        <w:t xml:space="preserve">                   </w:t>
      </w:r>
      <w:r>
        <w:rPr>
          <w:rFonts w:eastAsia="宋体"/>
          <w:szCs w:val="21"/>
        </w:rPr>
        <w:t>（盖单位公章）</w:t>
      </w:r>
    </w:p>
    <w:p>
      <w:pPr>
        <w:tabs>
          <w:tab w:val="left" w:pos="1200"/>
        </w:tabs>
        <w:spacing w:line="360" w:lineRule="auto"/>
        <w:jc w:val="right"/>
        <w:rPr>
          <w:rFonts w:eastAsia="宋体"/>
          <w:szCs w:val="21"/>
        </w:rPr>
      </w:pPr>
      <w:r>
        <w:rPr>
          <w:rFonts w:eastAsia="宋体"/>
          <w:szCs w:val="21"/>
        </w:rPr>
        <w:t>法定代表人或其委托代理人：</w:t>
      </w:r>
      <w:r>
        <w:rPr>
          <w:rFonts w:eastAsia="宋体"/>
          <w:szCs w:val="21"/>
          <w:u w:val="single"/>
        </w:rPr>
        <w:t xml:space="preserve">       </w:t>
      </w:r>
      <w:r>
        <w:rPr>
          <w:rFonts w:eastAsia="宋体"/>
          <w:szCs w:val="21"/>
        </w:rPr>
        <w:t>（签字）</w:t>
      </w:r>
    </w:p>
    <w:p>
      <w:pPr>
        <w:tabs>
          <w:tab w:val="left" w:pos="1200"/>
        </w:tabs>
        <w:spacing w:line="360" w:lineRule="auto"/>
        <w:jc w:val="right"/>
        <w:rPr>
          <w:rFonts w:eastAsia="宋体"/>
          <w:szCs w:val="21"/>
        </w:rPr>
      </w:pPr>
      <w:r>
        <w:rPr>
          <w:rFonts w:eastAsia="宋体"/>
          <w:szCs w:val="21"/>
        </w:rPr>
        <w:t xml:space="preserve">日期：    </w:t>
      </w:r>
      <w:r>
        <w:rPr>
          <w:rFonts w:eastAsia="宋体"/>
          <w:szCs w:val="21"/>
          <w:u w:val="single"/>
        </w:rPr>
        <w:t xml:space="preserve">        </w:t>
      </w:r>
      <w:r>
        <w:rPr>
          <w:rFonts w:eastAsia="宋体"/>
          <w:szCs w:val="21"/>
        </w:rPr>
        <w:t xml:space="preserve"> 年 </w:t>
      </w:r>
      <w:r>
        <w:rPr>
          <w:rFonts w:eastAsia="宋体"/>
          <w:szCs w:val="21"/>
          <w:u w:val="single"/>
        </w:rPr>
        <w:t xml:space="preserve">       </w:t>
      </w:r>
      <w:r>
        <w:rPr>
          <w:rFonts w:eastAsia="宋体"/>
          <w:szCs w:val="21"/>
        </w:rPr>
        <w:t>月</w:t>
      </w:r>
      <w:r>
        <w:rPr>
          <w:rFonts w:eastAsia="宋体"/>
          <w:szCs w:val="21"/>
          <w:u w:val="single"/>
        </w:rPr>
        <w:t xml:space="preserve">        </w:t>
      </w:r>
      <w:r>
        <w:rPr>
          <w:rFonts w:eastAsia="宋体"/>
          <w:szCs w:val="21"/>
        </w:rPr>
        <w:t>日</w:t>
      </w:r>
    </w:p>
    <w:p>
      <w:pPr>
        <w:tabs>
          <w:tab w:val="left" w:pos="1200"/>
        </w:tabs>
        <w:spacing w:line="360" w:lineRule="auto"/>
        <w:jc w:val="center"/>
        <w:rPr>
          <w:rFonts w:eastAsia="宋体"/>
          <w:szCs w:val="21"/>
        </w:rPr>
      </w:pPr>
    </w:p>
    <w:p>
      <w:pPr>
        <w:tabs>
          <w:tab w:val="left" w:pos="676"/>
          <w:tab w:val="left" w:pos="2330"/>
          <w:tab w:val="left" w:pos="9230"/>
        </w:tabs>
        <w:autoSpaceDE w:val="0"/>
        <w:autoSpaceDN w:val="0"/>
        <w:jc w:val="both"/>
        <w:rPr>
          <w:rFonts w:eastAsia="宋体"/>
          <w:szCs w:val="21"/>
        </w:rPr>
      </w:pPr>
    </w:p>
    <w:p>
      <w:pPr>
        <w:keepNext/>
        <w:keepLines/>
        <w:widowControl w:val="0"/>
        <w:spacing w:line="360" w:lineRule="auto"/>
        <w:ind w:firstLine="482"/>
        <w:jc w:val="center"/>
        <w:textAlignment w:val="center"/>
        <w:outlineLvl w:val="2"/>
        <w:rPr>
          <w:rFonts w:eastAsia="宋体"/>
          <w:b/>
          <w:kern w:val="2"/>
          <w:sz w:val="32"/>
          <w:szCs w:val="32"/>
        </w:rPr>
      </w:pPr>
      <w:r>
        <w:rPr>
          <w:rFonts w:eastAsia="宋体"/>
          <w:b/>
          <w:kern w:val="2"/>
          <w:sz w:val="32"/>
          <w:szCs w:val="32"/>
        </w:rPr>
        <w:br w:type="page"/>
      </w:r>
      <w:bookmarkStart w:id="1717" w:name="_Toc9195"/>
      <w:bookmarkStart w:id="1718" w:name="_Toc534461604"/>
      <w:bookmarkStart w:id="1719" w:name="_Toc10715"/>
      <w:r>
        <w:rPr>
          <w:rFonts w:hint="eastAsia" w:eastAsia="宋体"/>
          <w:b/>
          <w:sz w:val="32"/>
          <w:szCs w:val="32"/>
        </w:rPr>
        <w:t>四</w:t>
      </w:r>
      <w:r>
        <w:rPr>
          <w:rFonts w:eastAsia="宋体"/>
          <w:b/>
          <w:sz w:val="32"/>
          <w:szCs w:val="32"/>
        </w:rPr>
        <w:t>、</w:t>
      </w:r>
      <w:bookmarkEnd w:id="1717"/>
      <w:bookmarkEnd w:id="1718"/>
      <w:bookmarkEnd w:id="1719"/>
      <w:r>
        <w:rPr>
          <w:rFonts w:hint="eastAsia" w:eastAsia="宋体"/>
          <w:b/>
          <w:sz w:val="32"/>
          <w:szCs w:val="32"/>
        </w:rPr>
        <w:t>可视化加装技术方案</w:t>
      </w:r>
    </w:p>
    <w:p>
      <w:pPr>
        <w:spacing w:line="20" w:lineRule="exact"/>
        <w:jc w:val="both"/>
        <w:rPr>
          <w:rFonts w:eastAsia="宋体"/>
          <w:b/>
          <w:bCs/>
        </w:rPr>
      </w:pPr>
      <w:r>
        <w:rPr>
          <w:rFonts w:eastAsia="宋体"/>
          <w:b/>
          <w:bCs/>
        </w:rPr>
        <w:t xml:space="preserve"> </w:t>
      </w:r>
    </w:p>
    <w:bookmarkEnd w:id="1692"/>
    <w:bookmarkEnd w:id="1693"/>
    <w:p>
      <w:pPr>
        <w:spacing w:line="360" w:lineRule="auto"/>
        <w:ind w:firstLine="420" w:firstLineChars="200"/>
        <w:rPr>
          <w:rFonts w:eastAsia="宋体"/>
          <w:szCs w:val="21"/>
        </w:rPr>
      </w:pPr>
    </w:p>
    <w:p>
      <w:pPr>
        <w:spacing w:line="360" w:lineRule="auto"/>
        <w:ind w:firstLine="420" w:firstLineChars="200"/>
        <w:jc w:val="both"/>
        <w:rPr>
          <w:rFonts w:hint="eastAsia"/>
          <w:szCs w:val="21"/>
        </w:rPr>
      </w:pPr>
      <w:r>
        <w:rPr>
          <w:rFonts w:eastAsia="宋体"/>
          <w:szCs w:val="21"/>
        </w:rPr>
        <w:t>投标人应根据以往工程经验，对照《用户需求书》的要求，结合</w:t>
      </w:r>
      <w:r>
        <w:rPr>
          <w:rFonts w:hint="eastAsia" w:eastAsia="宋体"/>
          <w:szCs w:val="21"/>
        </w:rPr>
        <w:t>本次</w:t>
      </w:r>
      <w:r>
        <w:rPr>
          <w:rFonts w:eastAsia="宋体"/>
          <w:szCs w:val="21"/>
        </w:rPr>
        <w:t>工程实际需要，编写详细的</w:t>
      </w:r>
      <w:r>
        <w:rPr>
          <w:rFonts w:hint="eastAsia" w:eastAsia="宋体"/>
          <w:szCs w:val="21"/>
        </w:rPr>
        <w:t>可视化加装技术方案。</w:t>
      </w:r>
    </w:p>
    <w:p>
      <w:pPr>
        <w:spacing w:line="360" w:lineRule="auto"/>
        <w:ind w:firstLine="420" w:firstLineChars="200"/>
        <w:rPr>
          <w:rFonts w:eastAsia="宋体"/>
          <w:szCs w:val="21"/>
        </w:rPr>
      </w:pPr>
    </w:p>
    <w:p>
      <w:pPr>
        <w:spacing w:line="360" w:lineRule="auto"/>
        <w:ind w:firstLine="420" w:firstLineChars="200"/>
        <w:rPr>
          <w:rFonts w:eastAsia="宋体"/>
          <w:szCs w:val="21"/>
        </w:rPr>
      </w:pPr>
    </w:p>
    <w:p>
      <w:pPr>
        <w:spacing w:line="360" w:lineRule="auto"/>
        <w:ind w:firstLine="420" w:firstLineChars="200"/>
        <w:rPr>
          <w:rFonts w:eastAsia="宋体"/>
          <w:szCs w:val="21"/>
        </w:rPr>
      </w:pPr>
    </w:p>
    <w:p>
      <w:pPr>
        <w:spacing w:line="360" w:lineRule="auto"/>
        <w:ind w:firstLine="420" w:firstLineChars="200"/>
        <w:rPr>
          <w:rFonts w:eastAsia="宋体"/>
          <w:szCs w:val="21"/>
        </w:rPr>
      </w:pPr>
    </w:p>
    <w:p>
      <w:pPr>
        <w:spacing w:line="360" w:lineRule="auto"/>
        <w:ind w:firstLine="420" w:firstLineChars="200"/>
        <w:rPr>
          <w:rFonts w:eastAsia="宋体"/>
          <w:szCs w:val="21"/>
        </w:rPr>
      </w:pPr>
    </w:p>
    <w:p>
      <w:pPr>
        <w:spacing w:line="360" w:lineRule="auto"/>
        <w:ind w:firstLine="420" w:firstLineChars="200"/>
        <w:rPr>
          <w:rFonts w:eastAsia="宋体"/>
          <w:szCs w:val="21"/>
        </w:rPr>
      </w:pPr>
    </w:p>
    <w:p>
      <w:pPr>
        <w:spacing w:line="360" w:lineRule="auto"/>
        <w:ind w:firstLine="420" w:firstLineChars="200"/>
        <w:rPr>
          <w:rFonts w:eastAsia="宋体"/>
          <w:szCs w:val="21"/>
        </w:rPr>
      </w:pPr>
    </w:p>
    <w:p>
      <w:pPr>
        <w:spacing w:line="360" w:lineRule="auto"/>
        <w:ind w:firstLine="420" w:firstLineChars="200"/>
        <w:rPr>
          <w:rFonts w:eastAsia="宋体"/>
          <w:szCs w:val="21"/>
        </w:rPr>
      </w:pPr>
    </w:p>
    <w:p>
      <w:pPr>
        <w:spacing w:line="360" w:lineRule="auto"/>
        <w:ind w:firstLine="420" w:firstLineChars="200"/>
        <w:rPr>
          <w:rFonts w:eastAsia="宋体"/>
          <w:szCs w:val="21"/>
        </w:rPr>
      </w:pPr>
    </w:p>
    <w:p>
      <w:pPr>
        <w:spacing w:line="360" w:lineRule="auto"/>
        <w:ind w:firstLine="420" w:firstLineChars="200"/>
        <w:rPr>
          <w:rFonts w:eastAsia="宋体"/>
          <w:szCs w:val="21"/>
        </w:rPr>
      </w:pPr>
    </w:p>
    <w:p>
      <w:pPr>
        <w:spacing w:line="360" w:lineRule="auto"/>
        <w:ind w:firstLine="420" w:firstLineChars="200"/>
        <w:rPr>
          <w:rFonts w:eastAsia="宋体"/>
          <w:szCs w:val="21"/>
        </w:rPr>
      </w:pPr>
    </w:p>
    <w:p>
      <w:pPr>
        <w:spacing w:line="360" w:lineRule="auto"/>
        <w:ind w:firstLine="420" w:firstLineChars="200"/>
        <w:rPr>
          <w:rFonts w:eastAsia="宋体"/>
          <w:szCs w:val="21"/>
        </w:rPr>
      </w:pPr>
    </w:p>
    <w:p>
      <w:pPr>
        <w:spacing w:line="360" w:lineRule="auto"/>
        <w:ind w:firstLine="420" w:firstLineChars="200"/>
        <w:rPr>
          <w:rFonts w:eastAsia="宋体"/>
          <w:szCs w:val="21"/>
        </w:rPr>
      </w:pPr>
    </w:p>
    <w:p>
      <w:pPr>
        <w:spacing w:line="360" w:lineRule="auto"/>
        <w:ind w:firstLine="420" w:firstLineChars="200"/>
        <w:rPr>
          <w:rFonts w:eastAsia="宋体"/>
          <w:szCs w:val="21"/>
        </w:rPr>
      </w:pPr>
    </w:p>
    <w:p>
      <w:pPr>
        <w:spacing w:line="360" w:lineRule="auto"/>
        <w:ind w:firstLine="420" w:firstLineChars="200"/>
        <w:rPr>
          <w:rFonts w:eastAsia="宋体"/>
          <w:szCs w:val="21"/>
        </w:rPr>
      </w:pPr>
    </w:p>
    <w:p>
      <w:pPr>
        <w:spacing w:line="360" w:lineRule="auto"/>
        <w:ind w:firstLine="420" w:firstLineChars="200"/>
        <w:rPr>
          <w:rFonts w:eastAsia="宋体"/>
          <w:szCs w:val="21"/>
        </w:rPr>
      </w:pPr>
    </w:p>
    <w:p>
      <w:pPr>
        <w:spacing w:line="360" w:lineRule="auto"/>
        <w:ind w:firstLine="420" w:firstLineChars="200"/>
        <w:rPr>
          <w:rFonts w:eastAsia="宋体"/>
          <w:szCs w:val="21"/>
        </w:rPr>
      </w:pPr>
    </w:p>
    <w:p>
      <w:pPr>
        <w:spacing w:line="360" w:lineRule="auto"/>
        <w:ind w:firstLine="420" w:firstLineChars="200"/>
        <w:rPr>
          <w:rFonts w:eastAsia="宋体"/>
          <w:szCs w:val="21"/>
        </w:rPr>
      </w:pPr>
    </w:p>
    <w:p>
      <w:pPr>
        <w:spacing w:line="360" w:lineRule="auto"/>
        <w:ind w:firstLine="420" w:firstLineChars="200"/>
        <w:rPr>
          <w:rFonts w:eastAsia="宋体"/>
          <w:szCs w:val="21"/>
        </w:rPr>
      </w:pPr>
    </w:p>
    <w:p>
      <w:pPr>
        <w:spacing w:line="360" w:lineRule="auto"/>
        <w:jc w:val="both"/>
        <w:rPr>
          <w:rFonts w:eastAsia="宋体"/>
          <w:szCs w:val="24"/>
        </w:rPr>
      </w:pPr>
    </w:p>
    <w:p>
      <w:pPr>
        <w:spacing w:line="360" w:lineRule="auto"/>
        <w:jc w:val="both"/>
        <w:rPr>
          <w:rFonts w:eastAsia="宋体"/>
          <w:szCs w:val="24"/>
        </w:rPr>
      </w:pPr>
    </w:p>
    <w:p>
      <w:pPr>
        <w:spacing w:line="360" w:lineRule="auto"/>
        <w:jc w:val="both"/>
        <w:rPr>
          <w:rFonts w:eastAsia="宋体"/>
          <w:szCs w:val="24"/>
        </w:rPr>
      </w:pPr>
    </w:p>
    <w:p>
      <w:pPr>
        <w:spacing w:line="360" w:lineRule="auto"/>
        <w:jc w:val="both"/>
        <w:rPr>
          <w:rFonts w:eastAsia="宋体"/>
          <w:szCs w:val="24"/>
        </w:rPr>
      </w:pPr>
    </w:p>
    <w:p>
      <w:pPr>
        <w:spacing w:line="360" w:lineRule="auto"/>
        <w:jc w:val="both"/>
        <w:rPr>
          <w:rFonts w:eastAsia="宋体"/>
          <w:szCs w:val="24"/>
        </w:rPr>
      </w:pPr>
    </w:p>
    <w:p>
      <w:pPr>
        <w:spacing w:line="360" w:lineRule="auto"/>
        <w:jc w:val="both"/>
        <w:rPr>
          <w:rFonts w:eastAsia="宋体"/>
          <w:szCs w:val="24"/>
        </w:rPr>
      </w:pPr>
    </w:p>
    <w:p>
      <w:pPr>
        <w:jc w:val="both"/>
        <w:rPr>
          <w:rFonts w:eastAsia="宋体"/>
          <w:szCs w:val="21"/>
        </w:rPr>
      </w:pPr>
    </w:p>
    <w:p>
      <w:pPr>
        <w:snapToGrid w:val="0"/>
        <w:spacing w:line="360" w:lineRule="auto"/>
        <w:ind w:left="425"/>
        <w:jc w:val="center"/>
        <w:outlineLvl w:val="2"/>
        <w:rPr>
          <w:rFonts w:eastAsia="宋体"/>
        </w:rPr>
      </w:pPr>
      <w:bookmarkStart w:id="1720" w:name="_Toc480365246"/>
      <w:bookmarkStart w:id="1721" w:name="_Toc16863"/>
      <w:r>
        <w:rPr>
          <w:rFonts w:hint="eastAsia" w:eastAsia="宋体"/>
          <w:b/>
          <w:sz w:val="32"/>
          <w:szCs w:val="32"/>
        </w:rPr>
        <w:t>五</w:t>
      </w:r>
      <w:r>
        <w:rPr>
          <w:rFonts w:eastAsia="宋体"/>
          <w:b/>
          <w:sz w:val="32"/>
          <w:szCs w:val="32"/>
        </w:rPr>
        <w:t>、</w:t>
      </w:r>
      <w:r>
        <w:rPr>
          <w:rFonts w:hint="eastAsia" w:eastAsia="宋体"/>
          <w:b/>
          <w:sz w:val="32"/>
          <w:szCs w:val="32"/>
        </w:rPr>
        <w:t>安全文明保障措施</w:t>
      </w:r>
    </w:p>
    <w:p>
      <w:pPr>
        <w:spacing w:line="360" w:lineRule="auto"/>
        <w:ind w:firstLine="420" w:firstLineChars="200"/>
        <w:rPr>
          <w:rFonts w:eastAsia="宋体"/>
          <w:szCs w:val="21"/>
        </w:rPr>
      </w:pPr>
    </w:p>
    <w:p>
      <w:pPr>
        <w:spacing w:line="360" w:lineRule="auto"/>
        <w:ind w:firstLine="420" w:firstLineChars="200"/>
        <w:jc w:val="both"/>
        <w:rPr>
          <w:rFonts w:eastAsia="宋体"/>
          <w:szCs w:val="21"/>
        </w:rPr>
      </w:pPr>
      <w:r>
        <w:rPr>
          <w:rFonts w:eastAsia="宋体"/>
          <w:szCs w:val="21"/>
        </w:rPr>
        <w:t>投标人应根据以往工程经验，对照《用户需求书》的要求，结合</w:t>
      </w:r>
      <w:r>
        <w:rPr>
          <w:rFonts w:hint="eastAsia" w:eastAsia="宋体"/>
          <w:szCs w:val="21"/>
        </w:rPr>
        <w:t>本次</w:t>
      </w:r>
      <w:r>
        <w:rPr>
          <w:rFonts w:eastAsia="宋体"/>
          <w:szCs w:val="21"/>
        </w:rPr>
        <w:t>工程实际需要，编写详细的</w:t>
      </w:r>
      <w:r>
        <w:rPr>
          <w:rFonts w:hint="eastAsia" w:eastAsia="宋体"/>
          <w:szCs w:val="21"/>
        </w:rPr>
        <w:t>安全文明保障措施。</w:t>
      </w:r>
    </w:p>
    <w:p>
      <w:pPr>
        <w:snapToGrid w:val="0"/>
        <w:spacing w:line="360" w:lineRule="auto"/>
        <w:ind w:left="425"/>
        <w:jc w:val="center"/>
        <w:outlineLvl w:val="2"/>
        <w:rPr>
          <w:rFonts w:hint="eastAsia" w:eastAsia="宋体"/>
          <w:b/>
          <w:sz w:val="32"/>
          <w:szCs w:val="32"/>
        </w:rPr>
      </w:pPr>
    </w:p>
    <w:p>
      <w:pPr>
        <w:snapToGrid w:val="0"/>
        <w:spacing w:line="360" w:lineRule="auto"/>
        <w:ind w:left="425"/>
        <w:jc w:val="center"/>
        <w:outlineLvl w:val="2"/>
        <w:rPr>
          <w:rFonts w:hint="eastAsia" w:eastAsia="宋体"/>
          <w:b/>
          <w:sz w:val="32"/>
          <w:szCs w:val="32"/>
        </w:rPr>
      </w:pPr>
    </w:p>
    <w:p>
      <w:pPr>
        <w:snapToGrid w:val="0"/>
        <w:spacing w:line="360" w:lineRule="auto"/>
        <w:ind w:left="425"/>
        <w:jc w:val="center"/>
        <w:outlineLvl w:val="2"/>
        <w:rPr>
          <w:rFonts w:hint="eastAsia" w:eastAsia="宋体"/>
          <w:b/>
          <w:sz w:val="32"/>
          <w:szCs w:val="32"/>
        </w:rPr>
      </w:pPr>
    </w:p>
    <w:p>
      <w:pPr>
        <w:snapToGrid w:val="0"/>
        <w:spacing w:line="360" w:lineRule="auto"/>
        <w:ind w:left="425"/>
        <w:jc w:val="center"/>
        <w:outlineLvl w:val="2"/>
        <w:rPr>
          <w:rFonts w:hint="eastAsia" w:eastAsia="宋体"/>
          <w:b/>
          <w:sz w:val="32"/>
          <w:szCs w:val="32"/>
        </w:rPr>
      </w:pPr>
    </w:p>
    <w:p>
      <w:pPr>
        <w:snapToGrid w:val="0"/>
        <w:spacing w:line="360" w:lineRule="auto"/>
        <w:ind w:left="425"/>
        <w:jc w:val="center"/>
        <w:outlineLvl w:val="2"/>
        <w:rPr>
          <w:rFonts w:hint="eastAsia" w:eastAsia="宋体"/>
          <w:b/>
          <w:sz w:val="32"/>
          <w:szCs w:val="32"/>
        </w:rPr>
      </w:pPr>
    </w:p>
    <w:p>
      <w:pPr>
        <w:snapToGrid w:val="0"/>
        <w:spacing w:line="360" w:lineRule="auto"/>
        <w:ind w:left="425"/>
        <w:jc w:val="center"/>
        <w:outlineLvl w:val="2"/>
        <w:rPr>
          <w:rFonts w:hint="eastAsia" w:eastAsia="宋体"/>
          <w:b/>
          <w:sz w:val="32"/>
          <w:szCs w:val="32"/>
        </w:rPr>
      </w:pPr>
    </w:p>
    <w:p>
      <w:pPr>
        <w:snapToGrid w:val="0"/>
        <w:spacing w:line="360" w:lineRule="auto"/>
        <w:ind w:left="425"/>
        <w:jc w:val="center"/>
        <w:outlineLvl w:val="2"/>
        <w:rPr>
          <w:rFonts w:hint="eastAsia" w:eastAsia="宋体"/>
          <w:b/>
          <w:sz w:val="32"/>
          <w:szCs w:val="32"/>
        </w:rPr>
      </w:pPr>
    </w:p>
    <w:p>
      <w:pPr>
        <w:snapToGrid w:val="0"/>
        <w:spacing w:line="360" w:lineRule="auto"/>
        <w:ind w:left="425"/>
        <w:jc w:val="center"/>
        <w:outlineLvl w:val="2"/>
        <w:rPr>
          <w:rFonts w:hint="eastAsia" w:eastAsia="宋体"/>
          <w:b/>
          <w:sz w:val="32"/>
          <w:szCs w:val="32"/>
        </w:rPr>
      </w:pPr>
    </w:p>
    <w:p>
      <w:pPr>
        <w:snapToGrid w:val="0"/>
        <w:spacing w:line="360" w:lineRule="auto"/>
        <w:ind w:left="425"/>
        <w:jc w:val="center"/>
        <w:outlineLvl w:val="2"/>
        <w:rPr>
          <w:rFonts w:hint="eastAsia" w:eastAsia="宋体"/>
          <w:b/>
          <w:sz w:val="32"/>
          <w:szCs w:val="32"/>
        </w:rPr>
      </w:pPr>
    </w:p>
    <w:p>
      <w:pPr>
        <w:snapToGrid w:val="0"/>
        <w:spacing w:line="360" w:lineRule="auto"/>
        <w:ind w:left="425"/>
        <w:jc w:val="center"/>
        <w:outlineLvl w:val="2"/>
        <w:rPr>
          <w:rFonts w:hint="eastAsia" w:eastAsia="宋体"/>
          <w:b/>
          <w:sz w:val="32"/>
          <w:szCs w:val="32"/>
        </w:rPr>
      </w:pPr>
    </w:p>
    <w:p>
      <w:pPr>
        <w:snapToGrid w:val="0"/>
        <w:spacing w:line="360" w:lineRule="auto"/>
        <w:ind w:left="425"/>
        <w:jc w:val="center"/>
        <w:outlineLvl w:val="2"/>
        <w:rPr>
          <w:rFonts w:hint="eastAsia" w:eastAsia="宋体"/>
          <w:b/>
          <w:sz w:val="32"/>
          <w:szCs w:val="32"/>
        </w:rPr>
      </w:pPr>
    </w:p>
    <w:p>
      <w:pPr>
        <w:snapToGrid w:val="0"/>
        <w:spacing w:line="360" w:lineRule="auto"/>
        <w:ind w:left="425"/>
        <w:jc w:val="center"/>
        <w:outlineLvl w:val="2"/>
        <w:rPr>
          <w:rFonts w:hint="eastAsia" w:eastAsia="宋体"/>
          <w:b/>
          <w:sz w:val="32"/>
          <w:szCs w:val="32"/>
        </w:rPr>
      </w:pPr>
    </w:p>
    <w:p>
      <w:pPr>
        <w:snapToGrid w:val="0"/>
        <w:spacing w:line="360" w:lineRule="auto"/>
        <w:ind w:left="425"/>
        <w:jc w:val="center"/>
        <w:outlineLvl w:val="2"/>
        <w:rPr>
          <w:rFonts w:hint="eastAsia" w:eastAsia="宋体"/>
          <w:b/>
          <w:sz w:val="32"/>
          <w:szCs w:val="32"/>
        </w:rPr>
      </w:pPr>
    </w:p>
    <w:p>
      <w:pPr>
        <w:snapToGrid w:val="0"/>
        <w:spacing w:line="360" w:lineRule="auto"/>
        <w:ind w:left="425"/>
        <w:jc w:val="center"/>
        <w:outlineLvl w:val="2"/>
        <w:rPr>
          <w:rFonts w:hint="eastAsia" w:eastAsia="宋体"/>
          <w:b/>
          <w:sz w:val="32"/>
          <w:szCs w:val="32"/>
        </w:rPr>
      </w:pPr>
    </w:p>
    <w:p>
      <w:pPr>
        <w:snapToGrid w:val="0"/>
        <w:spacing w:line="360" w:lineRule="auto"/>
        <w:ind w:left="425"/>
        <w:jc w:val="center"/>
        <w:outlineLvl w:val="2"/>
        <w:rPr>
          <w:rFonts w:hint="eastAsia" w:eastAsia="宋体"/>
          <w:b/>
          <w:sz w:val="32"/>
          <w:szCs w:val="32"/>
        </w:rPr>
      </w:pPr>
    </w:p>
    <w:p>
      <w:pPr>
        <w:snapToGrid w:val="0"/>
        <w:spacing w:line="360" w:lineRule="auto"/>
        <w:ind w:left="425"/>
        <w:jc w:val="center"/>
        <w:outlineLvl w:val="2"/>
        <w:rPr>
          <w:rFonts w:hint="eastAsia" w:eastAsia="宋体"/>
          <w:b/>
          <w:sz w:val="32"/>
          <w:szCs w:val="32"/>
        </w:rPr>
      </w:pPr>
    </w:p>
    <w:p>
      <w:pPr>
        <w:snapToGrid w:val="0"/>
        <w:spacing w:line="360" w:lineRule="auto"/>
        <w:ind w:left="425"/>
        <w:jc w:val="center"/>
        <w:outlineLvl w:val="2"/>
        <w:rPr>
          <w:rFonts w:hint="eastAsia" w:eastAsia="宋体"/>
          <w:b/>
          <w:sz w:val="32"/>
          <w:szCs w:val="32"/>
        </w:rPr>
      </w:pPr>
    </w:p>
    <w:p>
      <w:pPr>
        <w:snapToGrid w:val="0"/>
        <w:spacing w:line="360" w:lineRule="auto"/>
        <w:ind w:left="425"/>
        <w:jc w:val="center"/>
        <w:outlineLvl w:val="2"/>
        <w:rPr>
          <w:rFonts w:hint="eastAsia" w:eastAsia="宋体"/>
          <w:b/>
          <w:sz w:val="32"/>
          <w:szCs w:val="32"/>
        </w:rPr>
      </w:pPr>
    </w:p>
    <w:p>
      <w:pPr>
        <w:snapToGrid w:val="0"/>
        <w:spacing w:line="360" w:lineRule="auto"/>
        <w:ind w:left="425"/>
        <w:jc w:val="center"/>
        <w:outlineLvl w:val="2"/>
        <w:rPr>
          <w:rFonts w:hint="eastAsia" w:eastAsia="宋体"/>
          <w:b/>
          <w:sz w:val="32"/>
          <w:szCs w:val="32"/>
        </w:rPr>
      </w:pPr>
    </w:p>
    <w:p>
      <w:pPr>
        <w:snapToGrid w:val="0"/>
        <w:spacing w:line="360" w:lineRule="auto"/>
        <w:ind w:left="425"/>
        <w:jc w:val="center"/>
        <w:outlineLvl w:val="2"/>
        <w:rPr>
          <w:rFonts w:hint="eastAsia" w:eastAsia="宋体"/>
          <w:b/>
          <w:sz w:val="32"/>
          <w:szCs w:val="32"/>
        </w:rPr>
      </w:pPr>
    </w:p>
    <w:p>
      <w:pPr>
        <w:snapToGrid w:val="0"/>
        <w:spacing w:line="360" w:lineRule="auto"/>
        <w:ind w:left="425"/>
        <w:jc w:val="center"/>
        <w:outlineLvl w:val="2"/>
        <w:rPr>
          <w:rFonts w:hint="eastAsia" w:eastAsia="宋体"/>
          <w:b/>
          <w:sz w:val="32"/>
          <w:szCs w:val="32"/>
        </w:rPr>
      </w:pPr>
    </w:p>
    <w:p>
      <w:pPr>
        <w:snapToGrid w:val="0"/>
        <w:spacing w:line="360" w:lineRule="auto"/>
        <w:ind w:left="425"/>
        <w:jc w:val="center"/>
        <w:outlineLvl w:val="2"/>
        <w:rPr>
          <w:rFonts w:eastAsia="宋体"/>
        </w:rPr>
      </w:pPr>
      <w:r>
        <w:rPr>
          <w:rFonts w:hint="eastAsia" w:eastAsia="宋体"/>
          <w:b/>
          <w:sz w:val="32"/>
          <w:szCs w:val="32"/>
        </w:rPr>
        <w:t>六</w:t>
      </w:r>
      <w:r>
        <w:rPr>
          <w:rFonts w:eastAsia="宋体"/>
          <w:b/>
          <w:sz w:val="32"/>
          <w:szCs w:val="32"/>
        </w:rPr>
        <w:t>、</w:t>
      </w:r>
      <w:r>
        <w:rPr>
          <w:rFonts w:hint="eastAsia" w:eastAsia="宋体"/>
          <w:b/>
          <w:sz w:val="32"/>
          <w:szCs w:val="32"/>
        </w:rPr>
        <w:t>资源投入</w:t>
      </w:r>
    </w:p>
    <w:p>
      <w:pPr>
        <w:spacing w:line="360" w:lineRule="auto"/>
        <w:ind w:firstLine="420" w:firstLineChars="200"/>
        <w:rPr>
          <w:rFonts w:eastAsia="宋体"/>
          <w:szCs w:val="21"/>
        </w:rPr>
      </w:pPr>
    </w:p>
    <w:p>
      <w:pPr>
        <w:spacing w:line="360" w:lineRule="auto"/>
        <w:ind w:firstLine="420" w:firstLineChars="200"/>
        <w:jc w:val="both"/>
        <w:rPr>
          <w:rFonts w:eastAsia="宋体"/>
          <w:szCs w:val="21"/>
        </w:rPr>
      </w:pPr>
      <w:r>
        <w:rPr>
          <w:rFonts w:eastAsia="宋体"/>
          <w:szCs w:val="21"/>
        </w:rPr>
        <w:t>投标人应根据以往工程经验，对照《用户需求书》的要求，结合</w:t>
      </w:r>
      <w:r>
        <w:rPr>
          <w:rFonts w:hint="eastAsia" w:eastAsia="宋体"/>
          <w:szCs w:val="21"/>
        </w:rPr>
        <w:t>本次</w:t>
      </w:r>
      <w:r>
        <w:rPr>
          <w:rFonts w:eastAsia="宋体"/>
          <w:szCs w:val="21"/>
        </w:rPr>
        <w:t>工程实际需要，编写详细的</w:t>
      </w:r>
      <w:r>
        <w:rPr>
          <w:rFonts w:hint="eastAsia" w:eastAsia="宋体"/>
          <w:szCs w:val="21"/>
        </w:rPr>
        <w:t>资源投入。</w:t>
      </w:r>
    </w:p>
    <w:p>
      <w:pPr>
        <w:snapToGrid w:val="0"/>
        <w:spacing w:line="360" w:lineRule="auto"/>
        <w:ind w:left="425"/>
        <w:jc w:val="center"/>
        <w:outlineLvl w:val="2"/>
        <w:rPr>
          <w:rFonts w:hint="eastAsia" w:eastAsia="宋体"/>
          <w:b/>
          <w:sz w:val="32"/>
          <w:szCs w:val="32"/>
        </w:rPr>
      </w:pPr>
    </w:p>
    <w:p>
      <w:pPr>
        <w:snapToGrid w:val="0"/>
        <w:spacing w:line="360" w:lineRule="auto"/>
        <w:ind w:left="425"/>
        <w:jc w:val="center"/>
        <w:outlineLvl w:val="2"/>
        <w:rPr>
          <w:rFonts w:hint="eastAsia" w:eastAsia="宋体"/>
          <w:b/>
          <w:sz w:val="32"/>
          <w:szCs w:val="32"/>
        </w:rPr>
      </w:pPr>
    </w:p>
    <w:p>
      <w:pPr>
        <w:snapToGrid w:val="0"/>
        <w:spacing w:line="360" w:lineRule="auto"/>
        <w:ind w:left="425"/>
        <w:jc w:val="center"/>
        <w:outlineLvl w:val="2"/>
        <w:rPr>
          <w:rFonts w:hint="eastAsia" w:eastAsia="宋体"/>
          <w:b/>
          <w:sz w:val="32"/>
          <w:szCs w:val="32"/>
        </w:rPr>
      </w:pPr>
    </w:p>
    <w:p>
      <w:pPr>
        <w:snapToGrid w:val="0"/>
        <w:spacing w:line="360" w:lineRule="auto"/>
        <w:ind w:left="425"/>
        <w:jc w:val="center"/>
        <w:outlineLvl w:val="2"/>
        <w:rPr>
          <w:rFonts w:hint="eastAsia" w:eastAsia="宋体"/>
          <w:b/>
          <w:sz w:val="32"/>
          <w:szCs w:val="32"/>
        </w:rPr>
      </w:pPr>
    </w:p>
    <w:p>
      <w:pPr>
        <w:snapToGrid w:val="0"/>
        <w:spacing w:line="360" w:lineRule="auto"/>
        <w:ind w:left="425"/>
        <w:jc w:val="center"/>
        <w:outlineLvl w:val="2"/>
        <w:rPr>
          <w:rFonts w:hint="eastAsia" w:eastAsia="宋体"/>
          <w:b/>
          <w:sz w:val="32"/>
          <w:szCs w:val="32"/>
        </w:rPr>
      </w:pPr>
    </w:p>
    <w:p>
      <w:pPr>
        <w:snapToGrid w:val="0"/>
        <w:spacing w:line="360" w:lineRule="auto"/>
        <w:ind w:left="425"/>
        <w:jc w:val="center"/>
        <w:outlineLvl w:val="2"/>
        <w:rPr>
          <w:rFonts w:hint="eastAsia" w:eastAsia="宋体"/>
          <w:b/>
          <w:sz w:val="32"/>
          <w:szCs w:val="32"/>
        </w:rPr>
      </w:pPr>
    </w:p>
    <w:p>
      <w:pPr>
        <w:snapToGrid w:val="0"/>
        <w:spacing w:line="360" w:lineRule="auto"/>
        <w:ind w:left="425"/>
        <w:jc w:val="center"/>
        <w:outlineLvl w:val="2"/>
        <w:rPr>
          <w:rFonts w:hint="eastAsia" w:eastAsia="宋体"/>
          <w:b/>
          <w:sz w:val="32"/>
          <w:szCs w:val="32"/>
        </w:rPr>
      </w:pPr>
    </w:p>
    <w:p>
      <w:pPr>
        <w:snapToGrid w:val="0"/>
        <w:spacing w:line="360" w:lineRule="auto"/>
        <w:ind w:left="425"/>
        <w:jc w:val="center"/>
        <w:outlineLvl w:val="2"/>
        <w:rPr>
          <w:rFonts w:hint="eastAsia" w:eastAsia="宋体"/>
          <w:b/>
          <w:sz w:val="32"/>
          <w:szCs w:val="32"/>
        </w:rPr>
      </w:pPr>
    </w:p>
    <w:p>
      <w:pPr>
        <w:snapToGrid w:val="0"/>
        <w:spacing w:line="360" w:lineRule="auto"/>
        <w:ind w:left="425"/>
        <w:jc w:val="center"/>
        <w:outlineLvl w:val="2"/>
        <w:rPr>
          <w:rFonts w:hint="eastAsia" w:eastAsia="宋体"/>
          <w:b/>
          <w:sz w:val="32"/>
          <w:szCs w:val="32"/>
        </w:rPr>
      </w:pPr>
    </w:p>
    <w:p>
      <w:pPr>
        <w:snapToGrid w:val="0"/>
        <w:spacing w:line="360" w:lineRule="auto"/>
        <w:ind w:left="425"/>
        <w:jc w:val="center"/>
        <w:outlineLvl w:val="2"/>
        <w:rPr>
          <w:rFonts w:hint="eastAsia" w:eastAsia="宋体"/>
          <w:b/>
          <w:sz w:val="32"/>
          <w:szCs w:val="32"/>
        </w:rPr>
      </w:pPr>
    </w:p>
    <w:p>
      <w:pPr>
        <w:snapToGrid w:val="0"/>
        <w:spacing w:line="360" w:lineRule="auto"/>
        <w:ind w:left="425"/>
        <w:jc w:val="center"/>
        <w:outlineLvl w:val="2"/>
        <w:rPr>
          <w:rFonts w:hint="eastAsia" w:eastAsia="宋体"/>
          <w:b/>
          <w:sz w:val="32"/>
          <w:szCs w:val="32"/>
        </w:rPr>
      </w:pPr>
    </w:p>
    <w:p>
      <w:pPr>
        <w:snapToGrid w:val="0"/>
        <w:spacing w:line="360" w:lineRule="auto"/>
        <w:ind w:left="425"/>
        <w:jc w:val="center"/>
        <w:outlineLvl w:val="2"/>
        <w:rPr>
          <w:rFonts w:hint="eastAsia" w:eastAsia="宋体"/>
          <w:b/>
          <w:sz w:val="32"/>
          <w:szCs w:val="32"/>
        </w:rPr>
      </w:pPr>
    </w:p>
    <w:p>
      <w:pPr>
        <w:snapToGrid w:val="0"/>
        <w:spacing w:line="360" w:lineRule="auto"/>
        <w:ind w:left="425"/>
        <w:jc w:val="center"/>
        <w:outlineLvl w:val="2"/>
        <w:rPr>
          <w:rFonts w:hint="eastAsia" w:eastAsia="宋体"/>
          <w:b/>
          <w:sz w:val="32"/>
          <w:szCs w:val="32"/>
        </w:rPr>
      </w:pPr>
    </w:p>
    <w:p>
      <w:pPr>
        <w:snapToGrid w:val="0"/>
        <w:spacing w:line="360" w:lineRule="auto"/>
        <w:ind w:left="425"/>
        <w:jc w:val="center"/>
        <w:outlineLvl w:val="2"/>
        <w:rPr>
          <w:rFonts w:hint="eastAsia" w:eastAsia="宋体"/>
          <w:b/>
          <w:sz w:val="32"/>
          <w:szCs w:val="32"/>
        </w:rPr>
      </w:pPr>
    </w:p>
    <w:p>
      <w:pPr>
        <w:snapToGrid w:val="0"/>
        <w:spacing w:line="360" w:lineRule="auto"/>
        <w:ind w:left="425"/>
        <w:jc w:val="center"/>
        <w:outlineLvl w:val="2"/>
        <w:rPr>
          <w:rFonts w:hint="eastAsia" w:eastAsia="宋体"/>
          <w:b/>
          <w:sz w:val="32"/>
          <w:szCs w:val="32"/>
        </w:rPr>
      </w:pPr>
    </w:p>
    <w:p>
      <w:pPr>
        <w:snapToGrid w:val="0"/>
        <w:spacing w:line="360" w:lineRule="auto"/>
        <w:ind w:left="425"/>
        <w:jc w:val="center"/>
        <w:outlineLvl w:val="2"/>
        <w:rPr>
          <w:rFonts w:hint="eastAsia" w:eastAsia="宋体"/>
          <w:b/>
          <w:sz w:val="32"/>
          <w:szCs w:val="32"/>
        </w:rPr>
      </w:pPr>
    </w:p>
    <w:p>
      <w:pPr>
        <w:snapToGrid w:val="0"/>
        <w:spacing w:line="360" w:lineRule="auto"/>
        <w:ind w:left="425"/>
        <w:jc w:val="center"/>
        <w:outlineLvl w:val="2"/>
        <w:rPr>
          <w:rFonts w:hint="eastAsia" w:eastAsia="宋体"/>
          <w:b/>
          <w:sz w:val="32"/>
          <w:szCs w:val="32"/>
        </w:rPr>
      </w:pPr>
    </w:p>
    <w:p>
      <w:pPr>
        <w:snapToGrid w:val="0"/>
        <w:spacing w:line="360" w:lineRule="auto"/>
        <w:ind w:left="425"/>
        <w:jc w:val="center"/>
        <w:outlineLvl w:val="2"/>
        <w:rPr>
          <w:rFonts w:hint="eastAsia" w:eastAsia="宋体"/>
          <w:b/>
          <w:sz w:val="32"/>
          <w:szCs w:val="32"/>
        </w:rPr>
      </w:pPr>
    </w:p>
    <w:p>
      <w:pPr>
        <w:snapToGrid w:val="0"/>
        <w:spacing w:line="360" w:lineRule="auto"/>
        <w:ind w:left="425"/>
        <w:jc w:val="center"/>
        <w:outlineLvl w:val="2"/>
        <w:rPr>
          <w:rFonts w:hint="eastAsia" w:eastAsia="宋体"/>
          <w:b/>
          <w:sz w:val="32"/>
          <w:szCs w:val="32"/>
        </w:rPr>
      </w:pPr>
    </w:p>
    <w:p>
      <w:pPr>
        <w:snapToGrid w:val="0"/>
        <w:spacing w:line="360" w:lineRule="auto"/>
        <w:ind w:left="425"/>
        <w:jc w:val="center"/>
        <w:outlineLvl w:val="2"/>
        <w:rPr>
          <w:rFonts w:hint="eastAsia" w:eastAsia="宋体"/>
          <w:b/>
          <w:sz w:val="32"/>
          <w:szCs w:val="32"/>
        </w:rPr>
      </w:pPr>
    </w:p>
    <w:p>
      <w:pPr>
        <w:snapToGrid w:val="0"/>
        <w:spacing w:line="360" w:lineRule="auto"/>
        <w:ind w:left="425"/>
        <w:jc w:val="center"/>
        <w:outlineLvl w:val="2"/>
        <w:rPr>
          <w:rFonts w:hint="eastAsia" w:eastAsia="宋体"/>
          <w:b/>
          <w:sz w:val="32"/>
          <w:szCs w:val="32"/>
        </w:rPr>
      </w:pPr>
    </w:p>
    <w:p>
      <w:pPr>
        <w:pStyle w:val="3"/>
        <w:numPr>
          <w:ilvl w:val="1"/>
          <w:numId w:val="0"/>
        </w:numPr>
        <w:tabs>
          <w:tab w:val="left" w:pos="1080"/>
        </w:tabs>
        <w:spacing w:line="480" w:lineRule="auto"/>
        <w:jc w:val="center"/>
        <w:rPr>
          <w:rFonts w:ascii="Times New Roman" w:hAnsi="Times New Roman" w:eastAsia="宋体"/>
        </w:rPr>
      </w:pPr>
      <w:bookmarkStart w:id="1722" w:name="_Toc19514"/>
      <w:bookmarkStart w:id="1723" w:name="_Toc19797"/>
      <w:r>
        <w:rPr>
          <w:rFonts w:ascii="Times New Roman" w:hAnsi="Times New Roman" w:eastAsia="宋体"/>
        </w:rPr>
        <w:t>C.</w:t>
      </w:r>
      <w:bookmarkEnd w:id="1720"/>
      <w:r>
        <w:rPr>
          <w:rFonts w:ascii="Times New Roman" w:hAnsi="Times New Roman" w:eastAsia="宋体"/>
        </w:rPr>
        <w:t>《价格部分》册投标文件格式</w:t>
      </w:r>
      <w:bookmarkEnd w:id="1721"/>
      <w:bookmarkEnd w:id="1722"/>
      <w:bookmarkEnd w:id="1723"/>
    </w:p>
    <w:p>
      <w:pPr>
        <w:numPr>
          <w:ilvl w:val="1"/>
          <w:numId w:val="0"/>
        </w:numPr>
        <w:tabs>
          <w:tab w:val="left" w:pos="1080"/>
        </w:tabs>
        <w:spacing w:line="480" w:lineRule="auto"/>
        <w:jc w:val="center"/>
        <w:rPr>
          <w:rFonts w:eastAsia="宋体"/>
        </w:rPr>
      </w:pPr>
      <w:bookmarkStart w:id="1724" w:name="_Toc14284"/>
      <w:bookmarkStart w:id="1725" w:name="_Toc22722"/>
      <w:bookmarkStart w:id="1726" w:name="_Toc21221"/>
      <w:r>
        <w:rPr>
          <w:rFonts w:eastAsia="宋体"/>
        </w:rPr>
        <w:t>（第二阶段开标）</w:t>
      </w:r>
      <w:bookmarkEnd w:id="1724"/>
      <w:bookmarkEnd w:id="1725"/>
      <w:bookmarkEnd w:id="1726"/>
    </w:p>
    <w:p>
      <w:pPr>
        <w:jc w:val="center"/>
        <w:rPr>
          <w:rFonts w:eastAsia="宋体"/>
          <w:b/>
          <w:sz w:val="32"/>
          <w:szCs w:val="32"/>
        </w:rPr>
      </w:pPr>
    </w:p>
    <w:p>
      <w:pPr>
        <w:jc w:val="center"/>
        <w:rPr>
          <w:rFonts w:eastAsia="宋体"/>
          <w:b/>
          <w:sz w:val="32"/>
          <w:szCs w:val="32"/>
        </w:rPr>
      </w:pPr>
      <w:r>
        <w:rPr>
          <w:rFonts w:eastAsia="宋体"/>
          <w:b/>
          <w:sz w:val="32"/>
          <w:szCs w:val="32"/>
        </w:rPr>
        <w:t>注：此部分投标文件须单独密封</w:t>
      </w:r>
    </w:p>
    <w:p>
      <w:pPr>
        <w:pStyle w:val="316"/>
        <w:shd w:val="clear" w:color="auto" w:fill="auto"/>
        <w:tabs>
          <w:tab w:val="left" w:pos="1467"/>
        </w:tabs>
        <w:spacing w:beforeLines="0" w:afterLines="0" w:line="700" w:lineRule="exact"/>
        <w:ind w:hanging="393"/>
        <w:jc w:val="both"/>
        <w:outlineLvl w:val="9"/>
        <w:rPr>
          <w:rFonts w:ascii="Times New Roman" w:hAnsi="Times New Roman" w:eastAsia="宋体"/>
          <w:sz w:val="21"/>
          <w:szCs w:val="21"/>
        </w:rPr>
      </w:pPr>
    </w:p>
    <w:p>
      <w:pPr>
        <w:pStyle w:val="4"/>
        <w:numPr>
          <w:ilvl w:val="0"/>
          <w:numId w:val="14"/>
        </w:numPr>
        <w:spacing w:before="0" w:after="0"/>
        <w:ind w:left="0" w:firstLine="0"/>
      </w:pPr>
      <w:r>
        <w:rPr>
          <w:sz w:val="21"/>
          <w:szCs w:val="21"/>
        </w:rPr>
        <w:br w:type="page"/>
      </w:r>
      <w:bookmarkStart w:id="1727" w:name="_Toc224707596"/>
      <w:bookmarkStart w:id="1728" w:name="_Toc440290114"/>
      <w:bookmarkStart w:id="1729" w:name="_Toc302037746"/>
      <w:bookmarkStart w:id="1730" w:name="_Toc297843827"/>
      <w:bookmarkStart w:id="1731" w:name="_Toc136690825"/>
      <w:bookmarkStart w:id="1732" w:name="_Toc225239808"/>
      <w:bookmarkStart w:id="1733" w:name="_Toc225755517"/>
      <w:bookmarkStart w:id="1734" w:name="_Toc284928963"/>
      <w:bookmarkStart w:id="1735" w:name="_Toc480365248"/>
      <w:bookmarkStart w:id="1736" w:name="_Toc356825994"/>
      <w:r>
        <w:t>投标函</w:t>
      </w:r>
    </w:p>
    <w:p>
      <w:pPr>
        <w:spacing w:line="360" w:lineRule="auto"/>
        <w:rPr>
          <w:rFonts w:eastAsia="宋体"/>
          <w:szCs w:val="21"/>
        </w:rPr>
      </w:pPr>
      <w:r>
        <w:rPr>
          <w:rFonts w:eastAsia="宋体"/>
          <w:szCs w:val="21"/>
          <w:u w:val="single"/>
        </w:rPr>
        <w:t xml:space="preserve">                             （招标人名称）</w:t>
      </w:r>
      <w:r>
        <w:rPr>
          <w:rFonts w:eastAsia="宋体"/>
          <w:szCs w:val="21"/>
        </w:rPr>
        <w:t>：</w:t>
      </w:r>
    </w:p>
    <w:p>
      <w:pPr>
        <w:spacing w:line="360" w:lineRule="auto"/>
        <w:ind w:firstLine="420" w:firstLineChars="200"/>
        <w:rPr>
          <w:rFonts w:eastAsia="宋体"/>
          <w:szCs w:val="21"/>
        </w:rPr>
      </w:pPr>
      <w:r>
        <w:rPr>
          <w:rFonts w:eastAsia="宋体"/>
          <w:szCs w:val="21"/>
        </w:rPr>
        <w:t>1．我方已仔细研究了</w:t>
      </w:r>
      <w:r>
        <w:rPr>
          <w:rFonts w:eastAsia="宋体"/>
          <w:szCs w:val="21"/>
          <w:u w:val="single"/>
        </w:rPr>
        <w:t xml:space="preserve">                       </w:t>
      </w:r>
      <w:r>
        <w:rPr>
          <w:rFonts w:eastAsia="宋体"/>
          <w:szCs w:val="21"/>
        </w:rPr>
        <w:t>（项目名称）采购招标项目招标文件的全部内容，愿意以《报价部分》册中的报价提供</w:t>
      </w:r>
      <w:r>
        <w:rPr>
          <w:rFonts w:eastAsia="宋体"/>
          <w:szCs w:val="21"/>
          <w:u w:val="single"/>
        </w:rPr>
        <w:t xml:space="preserve">               </w:t>
      </w:r>
      <w:r>
        <w:rPr>
          <w:rFonts w:hint="eastAsia" w:eastAsia="宋体"/>
          <w:szCs w:val="21"/>
          <w:u w:val="single"/>
        </w:rPr>
        <w:t xml:space="preserve">    </w:t>
      </w:r>
      <w:r>
        <w:rPr>
          <w:rFonts w:eastAsia="宋体"/>
          <w:szCs w:val="21"/>
          <w:u w:val="single"/>
        </w:rPr>
        <w:t xml:space="preserve">     </w:t>
      </w:r>
      <w:r>
        <w:rPr>
          <w:rFonts w:eastAsia="宋体"/>
          <w:szCs w:val="21"/>
        </w:rPr>
        <w:t>（</w:t>
      </w:r>
      <w:r>
        <w:rPr>
          <w:rFonts w:hint="eastAsia" w:eastAsia="宋体"/>
          <w:szCs w:val="21"/>
        </w:rPr>
        <w:t>项目</w:t>
      </w:r>
      <w:r>
        <w:rPr>
          <w:rFonts w:eastAsia="宋体"/>
          <w:szCs w:val="21"/>
        </w:rPr>
        <w:t>名称及技术服务）</w:t>
      </w:r>
      <w:r>
        <w:rPr>
          <w:rFonts w:hint="eastAsia" w:eastAsia="宋体"/>
          <w:szCs w:val="21"/>
        </w:rPr>
        <w:t>，</w:t>
      </w:r>
      <w:r>
        <w:rPr>
          <w:rFonts w:eastAsia="宋体"/>
          <w:szCs w:val="21"/>
        </w:rPr>
        <w:t>按合同约定履行义务。</w:t>
      </w:r>
    </w:p>
    <w:p>
      <w:pPr>
        <w:spacing w:line="360" w:lineRule="auto"/>
        <w:ind w:firstLine="420" w:firstLineChars="200"/>
        <w:rPr>
          <w:rFonts w:eastAsia="宋体"/>
          <w:szCs w:val="21"/>
        </w:rPr>
      </w:pPr>
      <w:r>
        <w:rPr>
          <w:rFonts w:eastAsia="宋体"/>
          <w:szCs w:val="21"/>
        </w:rPr>
        <w:t>2．我方的投标文件包括下列内容：</w:t>
      </w:r>
    </w:p>
    <w:p>
      <w:pPr>
        <w:spacing w:line="360" w:lineRule="auto"/>
        <w:ind w:firstLine="422" w:firstLineChars="200"/>
        <w:rPr>
          <w:rFonts w:eastAsia="宋体"/>
          <w:b/>
          <w:szCs w:val="21"/>
        </w:rPr>
      </w:pPr>
      <w:r>
        <w:rPr>
          <w:rFonts w:eastAsia="宋体"/>
          <w:b/>
          <w:szCs w:val="21"/>
        </w:rPr>
        <w:t>《商务（含资格审查）部分》册：</w:t>
      </w:r>
    </w:p>
    <w:p>
      <w:pPr>
        <w:spacing w:line="360" w:lineRule="auto"/>
        <w:ind w:firstLine="420" w:firstLineChars="200"/>
        <w:rPr>
          <w:rFonts w:eastAsia="宋体"/>
          <w:szCs w:val="21"/>
        </w:rPr>
      </w:pPr>
      <w:r>
        <w:rPr>
          <w:rFonts w:eastAsia="宋体"/>
          <w:szCs w:val="21"/>
        </w:rPr>
        <w:t>（1）投标函</w:t>
      </w:r>
    </w:p>
    <w:p>
      <w:pPr>
        <w:spacing w:line="360" w:lineRule="auto"/>
        <w:ind w:firstLine="420" w:firstLineChars="200"/>
        <w:rPr>
          <w:rFonts w:eastAsia="宋体"/>
          <w:szCs w:val="21"/>
        </w:rPr>
      </w:pPr>
      <w:r>
        <w:rPr>
          <w:rFonts w:eastAsia="宋体"/>
          <w:szCs w:val="21"/>
        </w:rPr>
        <w:t>（2）法定代表人（单位负责人）身份证明或授权委托书</w:t>
      </w:r>
    </w:p>
    <w:p>
      <w:pPr>
        <w:spacing w:line="360" w:lineRule="auto"/>
        <w:ind w:firstLine="420" w:firstLineChars="200"/>
        <w:rPr>
          <w:rFonts w:eastAsia="宋体"/>
          <w:szCs w:val="21"/>
        </w:rPr>
      </w:pPr>
      <w:r>
        <w:rPr>
          <w:rFonts w:eastAsia="宋体"/>
          <w:szCs w:val="21"/>
        </w:rPr>
        <w:t>（</w:t>
      </w:r>
      <w:r>
        <w:rPr>
          <w:rFonts w:hint="eastAsia" w:eastAsia="宋体"/>
          <w:szCs w:val="21"/>
        </w:rPr>
        <w:t>3</w:t>
      </w:r>
      <w:r>
        <w:rPr>
          <w:rFonts w:eastAsia="宋体"/>
          <w:szCs w:val="21"/>
        </w:rPr>
        <w:t>）商务和技术偏差表-商务偏差表</w:t>
      </w:r>
    </w:p>
    <w:p>
      <w:pPr>
        <w:spacing w:line="360" w:lineRule="auto"/>
        <w:ind w:firstLine="420" w:firstLineChars="200"/>
        <w:rPr>
          <w:rFonts w:eastAsia="宋体"/>
          <w:szCs w:val="21"/>
        </w:rPr>
      </w:pPr>
      <w:r>
        <w:rPr>
          <w:rFonts w:eastAsia="宋体"/>
          <w:szCs w:val="21"/>
        </w:rPr>
        <w:t>（</w:t>
      </w:r>
      <w:r>
        <w:rPr>
          <w:rFonts w:hint="eastAsia" w:eastAsia="宋体"/>
          <w:szCs w:val="21"/>
        </w:rPr>
        <w:t>4</w:t>
      </w:r>
      <w:r>
        <w:rPr>
          <w:rFonts w:eastAsia="宋体"/>
          <w:szCs w:val="21"/>
        </w:rPr>
        <w:t>）资格审查资料</w:t>
      </w:r>
    </w:p>
    <w:p>
      <w:pPr>
        <w:spacing w:line="360" w:lineRule="auto"/>
        <w:ind w:firstLine="420" w:firstLineChars="200"/>
        <w:rPr>
          <w:rFonts w:eastAsia="宋体"/>
          <w:szCs w:val="21"/>
        </w:rPr>
      </w:pPr>
      <w:r>
        <w:rPr>
          <w:rFonts w:eastAsia="宋体"/>
          <w:szCs w:val="21"/>
        </w:rPr>
        <w:t>（</w:t>
      </w:r>
      <w:r>
        <w:rPr>
          <w:rFonts w:hint="eastAsia" w:eastAsia="宋体"/>
          <w:szCs w:val="21"/>
        </w:rPr>
        <w:t>5</w:t>
      </w:r>
      <w:r>
        <w:rPr>
          <w:rFonts w:eastAsia="宋体"/>
          <w:szCs w:val="21"/>
        </w:rPr>
        <w:t xml:space="preserve">）其他资料 </w:t>
      </w:r>
    </w:p>
    <w:p>
      <w:pPr>
        <w:spacing w:line="360" w:lineRule="auto"/>
        <w:ind w:firstLine="422" w:firstLineChars="200"/>
        <w:rPr>
          <w:rFonts w:eastAsia="宋体"/>
          <w:b/>
          <w:szCs w:val="21"/>
        </w:rPr>
      </w:pPr>
      <w:r>
        <w:rPr>
          <w:rFonts w:eastAsia="宋体"/>
          <w:b/>
          <w:szCs w:val="21"/>
        </w:rPr>
        <w:t xml:space="preserve">《技术部分》册： </w:t>
      </w:r>
    </w:p>
    <w:p>
      <w:pPr>
        <w:numPr>
          <w:ilvl w:val="0"/>
          <w:numId w:val="13"/>
        </w:numPr>
        <w:spacing w:line="360" w:lineRule="auto"/>
        <w:ind w:firstLine="420" w:firstLineChars="200"/>
        <w:rPr>
          <w:rFonts w:eastAsia="宋体"/>
          <w:szCs w:val="21"/>
        </w:rPr>
      </w:pPr>
      <w:r>
        <w:rPr>
          <w:rFonts w:eastAsia="宋体"/>
          <w:szCs w:val="21"/>
        </w:rPr>
        <w:t>商务和技术偏差表-技术偏差表</w:t>
      </w:r>
    </w:p>
    <w:p>
      <w:pPr>
        <w:numPr>
          <w:ilvl w:val="0"/>
          <w:numId w:val="13"/>
        </w:numPr>
        <w:spacing w:line="360" w:lineRule="auto"/>
        <w:ind w:firstLine="420" w:firstLineChars="200"/>
        <w:rPr>
          <w:rFonts w:eastAsia="宋体"/>
          <w:szCs w:val="21"/>
        </w:rPr>
      </w:pPr>
      <w:r>
        <w:rPr>
          <w:rFonts w:hint="eastAsia" w:eastAsia="宋体"/>
          <w:szCs w:val="21"/>
        </w:rPr>
        <w:t>企业业绩</w:t>
      </w:r>
    </w:p>
    <w:p>
      <w:pPr>
        <w:numPr>
          <w:ilvl w:val="0"/>
          <w:numId w:val="13"/>
        </w:numPr>
        <w:spacing w:line="360" w:lineRule="auto"/>
        <w:ind w:firstLine="420" w:firstLineChars="200"/>
        <w:rPr>
          <w:rFonts w:eastAsia="宋体"/>
          <w:szCs w:val="21"/>
        </w:rPr>
      </w:pPr>
      <w:r>
        <w:rPr>
          <w:rFonts w:hint="eastAsia" w:eastAsia="宋体"/>
          <w:szCs w:val="21"/>
        </w:rPr>
        <w:t>项目负责人业绩</w:t>
      </w:r>
    </w:p>
    <w:p>
      <w:pPr>
        <w:spacing w:line="360" w:lineRule="auto"/>
        <w:ind w:firstLine="420" w:firstLineChars="200"/>
        <w:rPr>
          <w:rFonts w:eastAsia="宋体"/>
          <w:szCs w:val="21"/>
        </w:rPr>
      </w:pPr>
      <w:r>
        <w:rPr>
          <w:rFonts w:eastAsia="宋体"/>
          <w:szCs w:val="21"/>
        </w:rPr>
        <w:t>（</w:t>
      </w:r>
      <w:r>
        <w:rPr>
          <w:rFonts w:hint="eastAsia" w:eastAsia="宋体"/>
          <w:szCs w:val="21"/>
        </w:rPr>
        <w:t>4</w:t>
      </w:r>
      <w:r>
        <w:rPr>
          <w:rFonts w:eastAsia="宋体"/>
          <w:szCs w:val="21"/>
        </w:rPr>
        <w:t>）</w:t>
      </w:r>
      <w:r>
        <w:rPr>
          <w:rFonts w:hint="eastAsia" w:eastAsia="宋体"/>
          <w:szCs w:val="21"/>
        </w:rPr>
        <w:t>可视化加装技术方案</w:t>
      </w:r>
    </w:p>
    <w:p>
      <w:pPr>
        <w:spacing w:line="360" w:lineRule="auto"/>
        <w:ind w:firstLine="420" w:firstLineChars="200"/>
        <w:rPr>
          <w:rFonts w:eastAsia="宋体"/>
          <w:szCs w:val="21"/>
        </w:rPr>
      </w:pPr>
      <w:r>
        <w:rPr>
          <w:rFonts w:eastAsia="宋体"/>
          <w:szCs w:val="21"/>
        </w:rPr>
        <w:t>（</w:t>
      </w:r>
      <w:r>
        <w:rPr>
          <w:rFonts w:hint="eastAsia" w:eastAsia="宋体"/>
          <w:szCs w:val="21"/>
        </w:rPr>
        <w:t>5</w:t>
      </w:r>
      <w:r>
        <w:rPr>
          <w:rFonts w:eastAsia="宋体"/>
          <w:szCs w:val="21"/>
        </w:rPr>
        <w:t>）</w:t>
      </w:r>
      <w:r>
        <w:rPr>
          <w:rFonts w:hint="eastAsia" w:eastAsia="宋体"/>
          <w:szCs w:val="21"/>
        </w:rPr>
        <w:t>安全文明保障措施</w:t>
      </w:r>
    </w:p>
    <w:p>
      <w:pPr>
        <w:spacing w:line="360" w:lineRule="auto"/>
        <w:ind w:firstLine="420" w:firstLineChars="200"/>
        <w:rPr>
          <w:rFonts w:eastAsia="宋体"/>
          <w:szCs w:val="21"/>
        </w:rPr>
      </w:pPr>
      <w:r>
        <w:rPr>
          <w:rFonts w:eastAsia="宋体"/>
          <w:szCs w:val="21"/>
        </w:rPr>
        <w:t>（</w:t>
      </w:r>
      <w:r>
        <w:rPr>
          <w:rFonts w:hint="eastAsia" w:eastAsia="宋体"/>
          <w:szCs w:val="21"/>
        </w:rPr>
        <w:t>6</w:t>
      </w:r>
      <w:r>
        <w:rPr>
          <w:rFonts w:eastAsia="宋体"/>
          <w:szCs w:val="21"/>
        </w:rPr>
        <w:t>）</w:t>
      </w:r>
      <w:r>
        <w:rPr>
          <w:rFonts w:hint="eastAsia" w:eastAsia="宋体"/>
          <w:szCs w:val="21"/>
        </w:rPr>
        <w:t>资源投入</w:t>
      </w:r>
    </w:p>
    <w:p>
      <w:pPr>
        <w:spacing w:line="360" w:lineRule="auto"/>
        <w:ind w:firstLine="422" w:firstLineChars="200"/>
        <w:rPr>
          <w:rFonts w:eastAsia="宋体"/>
          <w:b/>
          <w:szCs w:val="21"/>
        </w:rPr>
      </w:pPr>
      <w:r>
        <w:rPr>
          <w:rFonts w:eastAsia="宋体"/>
          <w:b/>
          <w:szCs w:val="21"/>
        </w:rPr>
        <w:t xml:space="preserve">《报价部分》册： </w:t>
      </w:r>
    </w:p>
    <w:p>
      <w:pPr>
        <w:spacing w:line="360" w:lineRule="auto"/>
        <w:ind w:firstLine="420" w:firstLineChars="200"/>
        <w:rPr>
          <w:rFonts w:eastAsia="宋体"/>
          <w:szCs w:val="21"/>
        </w:rPr>
      </w:pPr>
      <w:r>
        <w:rPr>
          <w:rFonts w:eastAsia="宋体"/>
          <w:szCs w:val="21"/>
        </w:rPr>
        <w:t>（1）投标函</w:t>
      </w:r>
    </w:p>
    <w:p>
      <w:pPr>
        <w:spacing w:line="360" w:lineRule="auto"/>
        <w:ind w:firstLine="420" w:firstLineChars="200"/>
        <w:rPr>
          <w:rFonts w:eastAsia="宋体"/>
          <w:szCs w:val="21"/>
        </w:rPr>
      </w:pPr>
      <w:r>
        <w:rPr>
          <w:rFonts w:eastAsia="宋体"/>
          <w:szCs w:val="21"/>
        </w:rPr>
        <w:t>（2）分项报价表</w:t>
      </w:r>
    </w:p>
    <w:p>
      <w:pPr>
        <w:spacing w:line="360" w:lineRule="auto"/>
        <w:ind w:firstLine="420" w:firstLineChars="200"/>
        <w:rPr>
          <w:rFonts w:eastAsia="宋体"/>
          <w:szCs w:val="21"/>
        </w:rPr>
      </w:pPr>
      <w:r>
        <w:rPr>
          <w:rFonts w:eastAsia="宋体"/>
          <w:szCs w:val="21"/>
        </w:rPr>
        <w:t>投标文件的上述组成部分如存在内容不一致的，以投标函为准。</w:t>
      </w:r>
    </w:p>
    <w:p>
      <w:pPr>
        <w:spacing w:line="360" w:lineRule="auto"/>
        <w:ind w:firstLine="420" w:firstLineChars="200"/>
        <w:rPr>
          <w:rFonts w:eastAsia="宋体"/>
          <w:szCs w:val="21"/>
        </w:rPr>
      </w:pPr>
      <w:r>
        <w:rPr>
          <w:rFonts w:eastAsia="宋体"/>
          <w:szCs w:val="21"/>
        </w:rPr>
        <w:t>3．我方承诺除商务和技术偏差表列出的偏差外，我方响应招标文件的全部要求。</w:t>
      </w:r>
    </w:p>
    <w:p>
      <w:pPr>
        <w:spacing w:line="360" w:lineRule="auto"/>
        <w:ind w:firstLine="420" w:firstLineChars="200"/>
        <w:rPr>
          <w:rFonts w:eastAsia="宋体"/>
          <w:szCs w:val="21"/>
        </w:rPr>
      </w:pPr>
      <w:r>
        <w:rPr>
          <w:rFonts w:eastAsia="宋体"/>
          <w:szCs w:val="21"/>
        </w:rPr>
        <w:t>4．我方承诺在招标文件规定的投标有效期内不撤销投标文件。</w:t>
      </w:r>
    </w:p>
    <w:p>
      <w:pPr>
        <w:spacing w:line="360" w:lineRule="auto"/>
        <w:ind w:firstLine="420" w:firstLineChars="200"/>
        <w:rPr>
          <w:rFonts w:eastAsia="宋体"/>
          <w:szCs w:val="21"/>
        </w:rPr>
      </w:pPr>
      <w:r>
        <w:rPr>
          <w:rFonts w:eastAsia="宋体"/>
          <w:szCs w:val="21"/>
        </w:rPr>
        <w:t>5．如我方中标，我方承诺：</w:t>
      </w:r>
    </w:p>
    <w:p>
      <w:pPr>
        <w:spacing w:line="360" w:lineRule="auto"/>
        <w:ind w:firstLine="420" w:firstLineChars="200"/>
        <w:rPr>
          <w:rFonts w:eastAsia="宋体"/>
          <w:szCs w:val="21"/>
        </w:rPr>
      </w:pPr>
      <w:r>
        <w:rPr>
          <w:rFonts w:eastAsia="宋体"/>
          <w:szCs w:val="21"/>
        </w:rPr>
        <w:t>（1）在收到中标通知书后，在中标通知书规定的期限内与你方签订合同；</w:t>
      </w:r>
    </w:p>
    <w:p>
      <w:pPr>
        <w:spacing w:line="360" w:lineRule="auto"/>
        <w:ind w:firstLine="420" w:firstLineChars="200"/>
        <w:rPr>
          <w:rFonts w:eastAsia="宋体"/>
          <w:szCs w:val="21"/>
        </w:rPr>
      </w:pPr>
      <w:r>
        <w:rPr>
          <w:rFonts w:eastAsia="宋体"/>
          <w:szCs w:val="21"/>
        </w:rPr>
        <w:t>（2）在签订合同时不向你方提出附加条件；</w:t>
      </w:r>
    </w:p>
    <w:p>
      <w:pPr>
        <w:spacing w:line="360" w:lineRule="auto"/>
        <w:ind w:firstLine="420" w:firstLineChars="200"/>
        <w:rPr>
          <w:rFonts w:eastAsia="宋体"/>
          <w:szCs w:val="21"/>
        </w:rPr>
      </w:pPr>
      <w:r>
        <w:rPr>
          <w:rFonts w:eastAsia="宋体"/>
          <w:szCs w:val="21"/>
        </w:rPr>
        <w:t>（3）按照招标文件要求提交履约保证金；</w:t>
      </w:r>
    </w:p>
    <w:p>
      <w:pPr>
        <w:spacing w:line="360" w:lineRule="auto"/>
        <w:ind w:firstLine="420" w:firstLineChars="200"/>
        <w:rPr>
          <w:rFonts w:eastAsia="宋体"/>
          <w:szCs w:val="21"/>
        </w:rPr>
      </w:pPr>
      <w:r>
        <w:rPr>
          <w:rFonts w:eastAsia="宋体"/>
          <w:szCs w:val="21"/>
        </w:rPr>
        <w:t>（4）在合同约定的期限内完成合同规定的全部义务。</w:t>
      </w:r>
    </w:p>
    <w:p>
      <w:pPr>
        <w:spacing w:line="360" w:lineRule="auto"/>
        <w:ind w:firstLine="420" w:firstLineChars="200"/>
        <w:rPr>
          <w:rFonts w:eastAsia="宋体"/>
          <w:szCs w:val="21"/>
        </w:rPr>
      </w:pPr>
      <w:r>
        <w:rPr>
          <w:rFonts w:eastAsia="宋体"/>
          <w:szCs w:val="21"/>
        </w:rPr>
        <w:t>6．我方在此声明，所递交的投标文件及有关资料内容完整、真实和准确，且不存在第</w:t>
      </w:r>
      <w:r>
        <w:rPr>
          <w:rFonts w:ascii="宋体" w:hAnsi="宋体" w:eastAsia="宋体"/>
          <w:szCs w:val="21"/>
        </w:rPr>
        <w:t>二章“投标人须知”第</w:t>
      </w:r>
      <w:r>
        <w:rPr>
          <w:rFonts w:eastAsia="宋体"/>
          <w:szCs w:val="21"/>
        </w:rPr>
        <w:t>1.4.3项规定的任何一种情形。</w:t>
      </w:r>
    </w:p>
    <w:p>
      <w:pPr>
        <w:spacing w:line="360" w:lineRule="auto"/>
        <w:ind w:firstLine="420" w:firstLineChars="200"/>
        <w:rPr>
          <w:rFonts w:eastAsia="宋体"/>
          <w:szCs w:val="21"/>
        </w:rPr>
      </w:pPr>
      <w:r>
        <w:rPr>
          <w:rFonts w:eastAsia="宋体"/>
          <w:szCs w:val="21"/>
        </w:rPr>
        <w:t>7．其他补充说明</w:t>
      </w:r>
    </w:p>
    <w:p>
      <w:pPr>
        <w:numPr>
          <w:ilvl w:val="0"/>
          <w:numId w:val="15"/>
        </w:numPr>
        <w:spacing w:line="360" w:lineRule="auto"/>
        <w:ind w:left="0" w:firstLine="0"/>
        <w:jc w:val="both"/>
        <w:rPr>
          <w:rFonts w:eastAsia="宋体"/>
          <w:szCs w:val="21"/>
        </w:rPr>
      </w:pPr>
      <w:r>
        <w:rPr>
          <w:rFonts w:hint="eastAsia" w:eastAsia="宋体"/>
          <w:szCs w:val="21"/>
        </w:rPr>
        <w:t>我方按招标文件要求履行全部合同义务的投标总价如本投标文件中“投标报价汇总表”中“投标总价”一栏所述。</w:t>
      </w:r>
    </w:p>
    <w:p>
      <w:pPr>
        <w:numPr>
          <w:ilvl w:val="0"/>
          <w:numId w:val="15"/>
        </w:numPr>
        <w:spacing w:line="360" w:lineRule="auto"/>
        <w:ind w:left="0" w:firstLine="0"/>
        <w:jc w:val="both"/>
        <w:rPr>
          <w:rFonts w:eastAsia="宋体"/>
          <w:szCs w:val="21"/>
        </w:rPr>
      </w:pPr>
      <w:r>
        <w:rPr>
          <w:rFonts w:eastAsia="宋体"/>
          <w:szCs w:val="21"/>
        </w:rPr>
        <w:t>投标保证金已通过____</w:t>
      </w:r>
      <w:r>
        <w:rPr>
          <w:rFonts w:hint="eastAsia" w:eastAsia="宋体"/>
          <w:szCs w:val="21"/>
        </w:rPr>
        <w:t>/</w:t>
      </w:r>
      <w:r>
        <w:rPr>
          <w:rFonts w:eastAsia="宋体"/>
          <w:szCs w:val="21"/>
        </w:rPr>
        <w:t>___（电汇、银行保函）方式出具，金额为人民币__</w:t>
      </w:r>
      <w:r>
        <w:rPr>
          <w:rFonts w:hint="eastAsia" w:eastAsia="宋体"/>
          <w:szCs w:val="21"/>
        </w:rPr>
        <w:t>/</w:t>
      </w:r>
      <w:r>
        <w:rPr>
          <w:rFonts w:eastAsia="宋体"/>
          <w:szCs w:val="21"/>
        </w:rPr>
        <w:t>_____元。</w:t>
      </w:r>
    </w:p>
    <w:p>
      <w:pPr>
        <w:numPr>
          <w:ilvl w:val="0"/>
          <w:numId w:val="15"/>
        </w:numPr>
        <w:spacing w:line="360" w:lineRule="auto"/>
        <w:ind w:left="0" w:firstLine="0"/>
        <w:jc w:val="both"/>
        <w:rPr>
          <w:rFonts w:eastAsia="宋体"/>
          <w:szCs w:val="21"/>
        </w:rPr>
      </w:pPr>
      <w:r>
        <w:rPr>
          <w:rFonts w:eastAsia="宋体"/>
          <w:szCs w:val="21"/>
        </w:rPr>
        <w:t>我方计划</w:t>
      </w:r>
      <w:r>
        <w:rPr>
          <w:rFonts w:hint="eastAsia" w:eastAsia="宋体"/>
          <w:szCs w:val="21"/>
        </w:rPr>
        <w:t>服务</w:t>
      </w:r>
      <w:r>
        <w:rPr>
          <w:rFonts w:eastAsia="宋体"/>
          <w:szCs w:val="21"/>
        </w:rPr>
        <w:t>期满足招标文件的要求。</w:t>
      </w:r>
    </w:p>
    <w:p>
      <w:pPr>
        <w:numPr>
          <w:ilvl w:val="0"/>
          <w:numId w:val="15"/>
        </w:numPr>
        <w:spacing w:line="360" w:lineRule="auto"/>
        <w:ind w:left="0" w:firstLine="0"/>
        <w:jc w:val="both"/>
        <w:rPr>
          <w:rFonts w:eastAsia="宋体"/>
          <w:szCs w:val="21"/>
        </w:rPr>
      </w:pPr>
      <w:r>
        <w:rPr>
          <w:rFonts w:eastAsia="宋体"/>
          <w:szCs w:val="21"/>
        </w:rPr>
        <w:t>如果你方接受我方的投标，我方将完全执行与你方签订的</w:t>
      </w:r>
      <w:r>
        <w:rPr>
          <w:rFonts w:hint="eastAsia" w:eastAsia="宋体"/>
          <w:szCs w:val="21"/>
        </w:rPr>
        <w:t>服务</w:t>
      </w:r>
      <w:r>
        <w:rPr>
          <w:rFonts w:eastAsia="宋体"/>
          <w:szCs w:val="21"/>
        </w:rPr>
        <w:t>计划，在规定的期限内完成本合同的</w:t>
      </w:r>
      <w:r>
        <w:rPr>
          <w:rFonts w:hint="eastAsia" w:eastAsia="宋体"/>
          <w:szCs w:val="21"/>
        </w:rPr>
        <w:t>服务</w:t>
      </w:r>
      <w:r>
        <w:rPr>
          <w:rFonts w:eastAsia="宋体"/>
          <w:szCs w:val="21"/>
        </w:rPr>
        <w:t>，达到合同规定的要求。</w:t>
      </w:r>
    </w:p>
    <w:p>
      <w:pPr>
        <w:numPr>
          <w:ilvl w:val="0"/>
          <w:numId w:val="15"/>
        </w:numPr>
        <w:spacing w:line="360" w:lineRule="auto"/>
        <w:ind w:left="0" w:firstLine="0"/>
        <w:jc w:val="both"/>
        <w:rPr>
          <w:rFonts w:eastAsia="宋体"/>
          <w:szCs w:val="21"/>
        </w:rPr>
      </w:pPr>
      <w:r>
        <w:rPr>
          <w:rFonts w:eastAsia="宋体"/>
          <w:szCs w:val="21"/>
        </w:rPr>
        <w:t>我方已详细审查全部招标文件包括澄清函和修改文件（如果有）、所有已提供的资料以及有关附件，投标人已完全理解上述文件的全部内容，并放弃提出任何误解或不明作为抗辩的权利。</w:t>
      </w:r>
    </w:p>
    <w:p>
      <w:pPr>
        <w:numPr>
          <w:ilvl w:val="0"/>
          <w:numId w:val="15"/>
        </w:numPr>
        <w:spacing w:line="360" w:lineRule="auto"/>
        <w:ind w:left="0" w:firstLine="0"/>
        <w:jc w:val="both"/>
        <w:rPr>
          <w:rFonts w:eastAsia="宋体"/>
          <w:szCs w:val="21"/>
        </w:rPr>
      </w:pPr>
      <w:r>
        <w:rPr>
          <w:rFonts w:eastAsia="宋体"/>
          <w:szCs w:val="21"/>
        </w:rPr>
        <w:t>如果你方接受我方的投标，我方将保证按你方认可的条件，以本招标文件写明的金额提交履约担保。</w:t>
      </w:r>
    </w:p>
    <w:p>
      <w:pPr>
        <w:numPr>
          <w:ilvl w:val="0"/>
          <w:numId w:val="15"/>
        </w:numPr>
        <w:spacing w:line="360" w:lineRule="auto"/>
        <w:ind w:left="0" w:firstLine="0"/>
        <w:jc w:val="both"/>
        <w:rPr>
          <w:rFonts w:eastAsia="宋体"/>
          <w:szCs w:val="21"/>
        </w:rPr>
      </w:pPr>
      <w:r>
        <w:rPr>
          <w:rFonts w:eastAsia="宋体"/>
          <w:szCs w:val="21"/>
        </w:rPr>
        <w:t>我方同意在从规定的开标之日起</w:t>
      </w:r>
      <w:r>
        <w:rPr>
          <w:rFonts w:hint="eastAsia" w:eastAsia="宋体"/>
          <w:szCs w:val="21"/>
          <w:u w:val="single"/>
        </w:rPr>
        <w:t>90</w:t>
      </w:r>
      <w:r>
        <w:rPr>
          <w:rFonts w:eastAsia="宋体"/>
          <w:szCs w:val="21"/>
        </w:rPr>
        <w:t>天的投标文件有效期内严格遵守本投标函的各项承诺。在此期限届满之前，本投标函始终将对我方具有约束力。</w:t>
      </w:r>
    </w:p>
    <w:p>
      <w:pPr>
        <w:numPr>
          <w:ilvl w:val="0"/>
          <w:numId w:val="15"/>
        </w:numPr>
        <w:spacing w:line="360" w:lineRule="auto"/>
        <w:ind w:left="0" w:firstLine="0"/>
        <w:jc w:val="both"/>
        <w:rPr>
          <w:rFonts w:eastAsia="宋体"/>
          <w:szCs w:val="21"/>
        </w:rPr>
      </w:pPr>
      <w:r>
        <w:rPr>
          <w:rFonts w:eastAsia="宋体"/>
          <w:szCs w:val="21"/>
        </w:rPr>
        <w:t>在合同协议书正式签署生效之前，本投标函连同中标通知书将构成你我双方共同遵守的文件，对双方具有约束力。</w:t>
      </w:r>
    </w:p>
    <w:p>
      <w:pPr>
        <w:numPr>
          <w:ilvl w:val="0"/>
          <w:numId w:val="15"/>
        </w:numPr>
        <w:spacing w:line="360" w:lineRule="auto"/>
        <w:ind w:left="0" w:firstLine="0"/>
        <w:jc w:val="both"/>
        <w:rPr>
          <w:rFonts w:eastAsia="宋体"/>
          <w:szCs w:val="21"/>
        </w:rPr>
      </w:pPr>
      <w:r>
        <w:rPr>
          <w:rFonts w:eastAsia="宋体"/>
          <w:szCs w:val="21"/>
        </w:rPr>
        <w:t>我方理解，你方不一定接受最低标价的投标或其他任何投标。同时也理解，你方不负担我方的任何投标费用。</w:t>
      </w:r>
    </w:p>
    <w:p>
      <w:pPr>
        <w:numPr>
          <w:ilvl w:val="0"/>
          <w:numId w:val="15"/>
        </w:numPr>
        <w:spacing w:line="360" w:lineRule="auto"/>
        <w:ind w:left="0" w:firstLine="0"/>
        <w:jc w:val="both"/>
        <w:rPr>
          <w:rFonts w:eastAsia="宋体"/>
          <w:szCs w:val="21"/>
        </w:rPr>
      </w:pPr>
      <w:r>
        <w:rPr>
          <w:rFonts w:eastAsia="宋体"/>
          <w:szCs w:val="21"/>
        </w:rPr>
        <w:t>如果我方在投标有效期内撤回投标文件或在接到中标通知后的30天内未能或拒绝签订合同协议书；或未能提交履约担保，你方有权没收投标保证金并可另选中标单位。</w:t>
      </w:r>
    </w:p>
    <w:p>
      <w:pPr>
        <w:spacing w:line="360" w:lineRule="auto"/>
        <w:ind w:left="2125" w:leftChars="1012"/>
        <w:rPr>
          <w:rFonts w:eastAsia="宋体"/>
          <w:szCs w:val="21"/>
        </w:rPr>
      </w:pPr>
      <w:r>
        <w:rPr>
          <w:rFonts w:eastAsia="宋体"/>
          <w:szCs w:val="21"/>
        </w:rPr>
        <w:t>投  标  人：</w:t>
      </w:r>
      <w:r>
        <w:rPr>
          <w:rFonts w:eastAsia="宋体"/>
          <w:szCs w:val="21"/>
          <w:u w:val="single"/>
        </w:rPr>
        <w:t xml:space="preserve">                                          </w:t>
      </w:r>
      <w:r>
        <w:rPr>
          <w:rFonts w:eastAsia="宋体"/>
          <w:szCs w:val="21"/>
        </w:rPr>
        <w:t>（盖单位章）</w:t>
      </w:r>
    </w:p>
    <w:p>
      <w:pPr>
        <w:spacing w:line="360" w:lineRule="auto"/>
        <w:ind w:left="2125" w:leftChars="1012"/>
        <w:rPr>
          <w:rFonts w:eastAsia="宋体"/>
          <w:szCs w:val="21"/>
        </w:rPr>
      </w:pPr>
      <w:r>
        <w:rPr>
          <w:rFonts w:eastAsia="宋体"/>
          <w:szCs w:val="21"/>
        </w:rPr>
        <w:t>法定代表人（单位负责人）或其委托代理人：</w:t>
      </w:r>
      <w:r>
        <w:rPr>
          <w:rFonts w:eastAsia="宋体"/>
          <w:szCs w:val="21"/>
          <w:u w:val="single"/>
        </w:rPr>
        <w:t xml:space="preserve">                 </w:t>
      </w:r>
      <w:r>
        <w:rPr>
          <w:rFonts w:eastAsia="宋体"/>
          <w:szCs w:val="21"/>
        </w:rPr>
        <w:t xml:space="preserve"> （签字）</w:t>
      </w:r>
    </w:p>
    <w:p>
      <w:pPr>
        <w:spacing w:line="360" w:lineRule="auto"/>
        <w:ind w:left="2125" w:leftChars="1012"/>
        <w:rPr>
          <w:rFonts w:eastAsia="宋体"/>
          <w:szCs w:val="21"/>
          <w:u w:val="single"/>
        </w:rPr>
      </w:pPr>
      <w:r>
        <w:rPr>
          <w:rFonts w:eastAsia="宋体"/>
          <w:szCs w:val="21"/>
        </w:rPr>
        <w:t>地     址：</w:t>
      </w:r>
      <w:r>
        <w:rPr>
          <w:rFonts w:eastAsia="宋体"/>
          <w:szCs w:val="21"/>
          <w:u w:val="single"/>
        </w:rPr>
        <w:t xml:space="preserve">                                                       </w:t>
      </w:r>
    </w:p>
    <w:p>
      <w:pPr>
        <w:spacing w:line="360" w:lineRule="auto"/>
        <w:ind w:left="2125" w:leftChars="1012"/>
        <w:rPr>
          <w:rFonts w:eastAsia="宋体"/>
          <w:szCs w:val="21"/>
          <w:u w:val="single"/>
        </w:rPr>
      </w:pPr>
      <w:r>
        <w:rPr>
          <w:rFonts w:eastAsia="宋体"/>
          <w:szCs w:val="21"/>
        </w:rPr>
        <w:t>网     址：</w:t>
      </w:r>
      <w:r>
        <w:rPr>
          <w:rFonts w:eastAsia="宋体"/>
          <w:szCs w:val="21"/>
          <w:u w:val="single"/>
        </w:rPr>
        <w:t xml:space="preserve">                                                        </w:t>
      </w:r>
    </w:p>
    <w:p>
      <w:pPr>
        <w:spacing w:line="360" w:lineRule="auto"/>
        <w:ind w:left="2125" w:leftChars="1012"/>
        <w:rPr>
          <w:rFonts w:eastAsia="宋体"/>
          <w:szCs w:val="21"/>
          <w:u w:val="single"/>
        </w:rPr>
      </w:pPr>
      <w:r>
        <w:rPr>
          <w:rFonts w:eastAsia="宋体"/>
          <w:szCs w:val="21"/>
        </w:rPr>
        <w:t>电     话：</w:t>
      </w:r>
      <w:r>
        <w:rPr>
          <w:rFonts w:eastAsia="宋体"/>
          <w:szCs w:val="21"/>
          <w:u w:val="single"/>
        </w:rPr>
        <w:t xml:space="preserve">                                                       </w:t>
      </w:r>
      <w:r>
        <w:rPr>
          <w:rFonts w:eastAsia="宋体"/>
          <w:szCs w:val="21"/>
        </w:rPr>
        <w:t xml:space="preserve">                </w:t>
      </w:r>
    </w:p>
    <w:p>
      <w:pPr>
        <w:spacing w:line="360" w:lineRule="auto"/>
        <w:ind w:left="2125" w:leftChars="1012"/>
        <w:rPr>
          <w:rFonts w:eastAsia="宋体"/>
          <w:szCs w:val="21"/>
          <w:u w:val="single"/>
        </w:rPr>
      </w:pPr>
      <w:r>
        <w:rPr>
          <w:rFonts w:eastAsia="宋体"/>
          <w:szCs w:val="21"/>
        </w:rPr>
        <w:t>传     真：</w:t>
      </w:r>
      <w:r>
        <w:rPr>
          <w:rFonts w:eastAsia="宋体"/>
          <w:szCs w:val="21"/>
          <w:u w:val="single"/>
        </w:rPr>
        <w:t xml:space="preserve">                                                       </w:t>
      </w:r>
      <w:r>
        <w:rPr>
          <w:rFonts w:eastAsia="宋体"/>
          <w:szCs w:val="21"/>
        </w:rPr>
        <w:t xml:space="preserve">            </w:t>
      </w:r>
    </w:p>
    <w:p>
      <w:pPr>
        <w:spacing w:line="360" w:lineRule="auto"/>
        <w:ind w:left="2125" w:leftChars="1012"/>
        <w:rPr>
          <w:rFonts w:eastAsia="宋体"/>
          <w:szCs w:val="21"/>
          <w:u w:val="single"/>
        </w:rPr>
      </w:pPr>
      <w:r>
        <w:rPr>
          <w:rFonts w:eastAsia="宋体"/>
          <w:szCs w:val="21"/>
        </w:rPr>
        <w:t>邮政编码：</w:t>
      </w:r>
      <w:r>
        <w:rPr>
          <w:rFonts w:eastAsia="宋体"/>
          <w:szCs w:val="21"/>
          <w:u w:val="single"/>
        </w:rPr>
        <w:t xml:space="preserve">                                                        </w:t>
      </w:r>
    </w:p>
    <w:p>
      <w:pPr>
        <w:spacing w:line="360" w:lineRule="auto"/>
        <w:ind w:left="2125" w:leftChars="1012"/>
        <w:jc w:val="right"/>
        <w:rPr>
          <w:rFonts w:eastAsia="宋体"/>
          <w:szCs w:val="21"/>
        </w:rPr>
      </w:pPr>
      <w:r>
        <w:rPr>
          <w:rFonts w:eastAsia="宋体"/>
          <w:szCs w:val="21"/>
        </w:rPr>
        <w:t>年     月    日</w:t>
      </w:r>
    </w:p>
    <w:p>
      <w:pPr>
        <w:pStyle w:val="4"/>
        <w:numPr>
          <w:ilvl w:val="0"/>
          <w:numId w:val="20"/>
        </w:numPr>
        <w:spacing w:before="0" w:after="0"/>
        <w:ind w:left="0" w:firstLine="0"/>
      </w:pPr>
      <w:r>
        <w:rPr>
          <w:szCs w:val="21"/>
        </w:rPr>
        <w:br w:type="page"/>
      </w:r>
      <w:bookmarkEnd w:id="1727"/>
      <w:bookmarkEnd w:id="1728"/>
      <w:bookmarkEnd w:id="1729"/>
      <w:bookmarkEnd w:id="1730"/>
      <w:bookmarkEnd w:id="1731"/>
      <w:bookmarkEnd w:id="1732"/>
      <w:bookmarkEnd w:id="1733"/>
      <w:bookmarkEnd w:id="1734"/>
      <w:bookmarkEnd w:id="1735"/>
      <w:bookmarkEnd w:id="1736"/>
      <w:bookmarkStart w:id="1737" w:name="_Toc25755"/>
      <w:bookmarkStart w:id="1738" w:name="_Toc534461608"/>
      <w:r>
        <w:t>分项报价表</w:t>
      </w:r>
      <w:bookmarkEnd w:id="1737"/>
      <w:bookmarkEnd w:id="1738"/>
    </w:p>
    <w:p>
      <w:pPr>
        <w:pStyle w:val="6"/>
        <w:numPr>
          <w:ilvl w:val="3"/>
          <w:numId w:val="21"/>
        </w:numPr>
        <w:spacing w:before="0" w:after="0" w:line="360" w:lineRule="auto"/>
        <w:ind w:left="0" w:firstLine="422" w:firstLineChars="200"/>
        <w:rPr>
          <w:rFonts w:ascii="Times New Roman" w:hAnsi="Times New Roman" w:eastAsia="宋体"/>
          <w:sz w:val="21"/>
          <w:szCs w:val="21"/>
        </w:rPr>
      </w:pPr>
      <w:bookmarkStart w:id="1739" w:name="_Toc14331"/>
      <w:bookmarkStart w:id="1740" w:name="_Toc12523"/>
      <w:bookmarkStart w:id="1741" w:name="_Toc534461609"/>
      <w:r>
        <w:rPr>
          <w:rFonts w:hint="eastAsia" w:ascii="Times New Roman" w:hAnsi="Times New Roman" w:eastAsia="宋体"/>
          <w:sz w:val="21"/>
          <w:szCs w:val="21"/>
        </w:rPr>
        <w:t xml:space="preserve"> </w:t>
      </w:r>
      <w:bookmarkStart w:id="1742" w:name="_Toc333"/>
      <w:r>
        <w:rPr>
          <w:rFonts w:ascii="Times New Roman" w:hAnsi="Times New Roman" w:eastAsia="宋体"/>
          <w:sz w:val="21"/>
          <w:szCs w:val="21"/>
        </w:rPr>
        <w:t>分项报价表说明</w:t>
      </w:r>
      <w:bookmarkEnd w:id="1739"/>
      <w:bookmarkEnd w:id="1740"/>
      <w:bookmarkEnd w:id="1741"/>
      <w:bookmarkEnd w:id="1742"/>
    </w:p>
    <w:p>
      <w:pPr>
        <w:widowControl w:val="0"/>
        <w:numPr>
          <w:ilvl w:val="1"/>
          <w:numId w:val="22"/>
        </w:numPr>
        <w:tabs>
          <w:tab w:val="left" w:pos="851"/>
        </w:tabs>
        <w:spacing w:line="360" w:lineRule="auto"/>
        <w:ind w:left="0" w:firstLine="420" w:firstLineChars="200"/>
        <w:jc w:val="both"/>
        <w:rPr>
          <w:rFonts w:eastAsia="宋体"/>
          <w:szCs w:val="21"/>
        </w:rPr>
      </w:pPr>
      <w:r>
        <w:rPr>
          <w:rFonts w:eastAsia="宋体"/>
          <w:szCs w:val="21"/>
        </w:rPr>
        <w:t>一旦投标人对本投标报价表作出报价并为招标人所接纳后，本投标报价表就成为一份具有约束力的合同文件的一部分，用来作为合同付款的依据。</w:t>
      </w:r>
    </w:p>
    <w:p>
      <w:pPr>
        <w:widowControl w:val="0"/>
        <w:numPr>
          <w:ilvl w:val="1"/>
          <w:numId w:val="22"/>
        </w:numPr>
        <w:tabs>
          <w:tab w:val="left" w:pos="851"/>
        </w:tabs>
        <w:spacing w:line="360" w:lineRule="auto"/>
        <w:ind w:left="0" w:firstLine="420" w:firstLineChars="200"/>
        <w:jc w:val="both"/>
        <w:rPr>
          <w:rFonts w:eastAsia="宋体"/>
          <w:szCs w:val="21"/>
        </w:rPr>
      </w:pPr>
      <w:r>
        <w:rPr>
          <w:rFonts w:eastAsia="宋体"/>
          <w:szCs w:val="21"/>
        </w:rPr>
        <w:t>报价应包含本项目所有税项。如买方根据法规和国家有关规定获减免税或退税，利益完全归买方。</w:t>
      </w:r>
    </w:p>
    <w:p>
      <w:pPr>
        <w:widowControl w:val="0"/>
        <w:numPr>
          <w:ilvl w:val="1"/>
          <w:numId w:val="22"/>
        </w:numPr>
        <w:tabs>
          <w:tab w:val="left" w:pos="851"/>
        </w:tabs>
        <w:spacing w:line="360" w:lineRule="auto"/>
        <w:ind w:left="0" w:firstLine="420" w:firstLineChars="200"/>
        <w:jc w:val="both"/>
        <w:rPr>
          <w:rFonts w:eastAsia="宋体"/>
          <w:szCs w:val="21"/>
        </w:rPr>
      </w:pPr>
      <w:r>
        <w:rPr>
          <w:rFonts w:eastAsia="宋体"/>
          <w:szCs w:val="21"/>
        </w:rPr>
        <w:t>投标人应仔细阅读所有招标文件，填报自己理解并认为正确的报价。除合同规定的调整外，投标人对实际工作及工作量的差异的索赔将不获考虑。</w:t>
      </w:r>
    </w:p>
    <w:p>
      <w:pPr>
        <w:widowControl w:val="0"/>
        <w:numPr>
          <w:ilvl w:val="1"/>
          <w:numId w:val="22"/>
        </w:numPr>
        <w:tabs>
          <w:tab w:val="left" w:pos="851"/>
        </w:tabs>
        <w:spacing w:line="360" w:lineRule="auto"/>
        <w:ind w:left="0" w:firstLine="420" w:firstLineChars="200"/>
        <w:jc w:val="both"/>
        <w:rPr>
          <w:rFonts w:eastAsia="宋体"/>
          <w:szCs w:val="21"/>
        </w:rPr>
      </w:pPr>
      <w:r>
        <w:rPr>
          <w:rFonts w:eastAsia="宋体"/>
          <w:szCs w:val="21"/>
        </w:rPr>
        <w:t>本投标报价表中所有金额和单价以人民币结算。</w:t>
      </w:r>
    </w:p>
    <w:p>
      <w:pPr>
        <w:widowControl w:val="0"/>
        <w:numPr>
          <w:ilvl w:val="1"/>
          <w:numId w:val="22"/>
        </w:numPr>
        <w:tabs>
          <w:tab w:val="left" w:pos="851"/>
        </w:tabs>
        <w:spacing w:line="360" w:lineRule="auto"/>
        <w:ind w:left="0" w:firstLine="420" w:firstLineChars="200"/>
        <w:jc w:val="both"/>
        <w:rPr>
          <w:rFonts w:eastAsia="宋体"/>
          <w:szCs w:val="21"/>
        </w:rPr>
      </w:pPr>
      <w:r>
        <w:rPr>
          <w:rFonts w:eastAsia="宋体"/>
          <w:szCs w:val="21"/>
        </w:rPr>
        <w:t>本投标报价表中的金额应包括在项目整个实施过程中，根据合同所需要的所有成本和费用。</w:t>
      </w:r>
    </w:p>
    <w:p>
      <w:pPr>
        <w:widowControl w:val="0"/>
        <w:numPr>
          <w:ilvl w:val="1"/>
          <w:numId w:val="22"/>
        </w:numPr>
        <w:tabs>
          <w:tab w:val="left" w:pos="851"/>
        </w:tabs>
        <w:spacing w:line="360" w:lineRule="auto"/>
        <w:ind w:left="0" w:firstLine="420" w:firstLineChars="200"/>
        <w:jc w:val="both"/>
        <w:rPr>
          <w:rFonts w:eastAsia="宋体"/>
          <w:szCs w:val="21"/>
        </w:rPr>
      </w:pPr>
      <w:r>
        <w:rPr>
          <w:rFonts w:eastAsia="宋体"/>
          <w:szCs w:val="21"/>
        </w:rPr>
        <w:t>本总则中使用的词</w:t>
      </w:r>
      <w:r>
        <w:rPr>
          <w:rFonts w:ascii="宋体" w:hAnsi="宋体" w:eastAsia="宋体"/>
          <w:szCs w:val="21"/>
        </w:rPr>
        <w:t>语“招标人”和“投标人”分别与合同条款中定义“买方”和“卖方”同</w:t>
      </w:r>
      <w:r>
        <w:rPr>
          <w:rFonts w:eastAsia="宋体"/>
          <w:szCs w:val="21"/>
        </w:rPr>
        <w:t>义。</w:t>
      </w:r>
    </w:p>
    <w:p>
      <w:pPr>
        <w:pStyle w:val="6"/>
        <w:numPr>
          <w:ilvl w:val="3"/>
          <w:numId w:val="21"/>
        </w:numPr>
        <w:spacing w:before="0" w:after="0" w:line="360" w:lineRule="auto"/>
        <w:ind w:left="0" w:firstLine="422" w:firstLineChars="200"/>
        <w:rPr>
          <w:rFonts w:ascii="Times New Roman" w:hAnsi="Times New Roman" w:eastAsia="宋体"/>
          <w:sz w:val="21"/>
          <w:szCs w:val="21"/>
        </w:rPr>
      </w:pPr>
      <w:bookmarkStart w:id="1743" w:name="_Toc16820"/>
      <w:bookmarkStart w:id="1744" w:name="_Toc5424"/>
      <w:bookmarkStart w:id="1745" w:name="_Toc20295"/>
      <w:bookmarkStart w:id="1746" w:name="_Toc534461610"/>
      <w:r>
        <w:rPr>
          <w:rFonts w:ascii="Times New Roman" w:hAnsi="Times New Roman" w:eastAsia="宋体"/>
          <w:sz w:val="21"/>
          <w:szCs w:val="21"/>
        </w:rPr>
        <w:t>分项报价表</w:t>
      </w:r>
      <w:bookmarkEnd w:id="1743"/>
      <w:bookmarkEnd w:id="1744"/>
      <w:bookmarkEnd w:id="1745"/>
      <w:bookmarkEnd w:id="1746"/>
    </w:p>
    <w:p>
      <w:pPr>
        <w:widowControl w:val="0"/>
        <w:tabs>
          <w:tab w:val="left" w:pos="851"/>
        </w:tabs>
        <w:spacing w:line="360" w:lineRule="auto"/>
        <w:ind w:left="425"/>
        <w:jc w:val="both"/>
        <w:rPr>
          <w:rFonts w:eastAsia="宋体"/>
          <w:szCs w:val="21"/>
        </w:rPr>
      </w:pPr>
      <w:r>
        <w:rPr>
          <w:rFonts w:hint="eastAsia" w:eastAsia="宋体"/>
          <w:szCs w:val="21"/>
        </w:rPr>
        <w:t>2.1</w:t>
      </w:r>
      <w:r>
        <w:rPr>
          <w:rFonts w:eastAsia="宋体"/>
          <w:szCs w:val="21"/>
        </w:rPr>
        <w:t>投标报价汇总表</w:t>
      </w:r>
    </w:p>
    <w:p>
      <w:pPr>
        <w:widowControl w:val="0"/>
        <w:tabs>
          <w:tab w:val="left" w:pos="851"/>
        </w:tabs>
        <w:spacing w:line="360" w:lineRule="auto"/>
        <w:ind w:left="425"/>
        <w:jc w:val="both"/>
        <w:rPr>
          <w:rFonts w:eastAsia="宋体"/>
          <w:szCs w:val="21"/>
        </w:rPr>
      </w:pPr>
      <w:r>
        <w:rPr>
          <w:rFonts w:hint="eastAsia" w:eastAsia="宋体"/>
          <w:szCs w:val="21"/>
        </w:rPr>
        <w:t>2.2</w:t>
      </w:r>
      <w:r>
        <w:rPr>
          <w:rFonts w:eastAsia="宋体"/>
          <w:szCs w:val="21"/>
        </w:rPr>
        <w:t>分项报价表</w:t>
      </w:r>
    </w:p>
    <w:p>
      <w:pPr>
        <w:widowControl w:val="0"/>
        <w:tabs>
          <w:tab w:val="left" w:pos="851"/>
        </w:tabs>
        <w:spacing w:line="360" w:lineRule="auto"/>
        <w:jc w:val="both"/>
        <w:rPr>
          <w:rFonts w:eastAsia="宋体"/>
          <w:szCs w:val="21"/>
        </w:rPr>
      </w:pPr>
    </w:p>
    <w:p>
      <w:pPr>
        <w:widowControl w:val="0"/>
        <w:jc w:val="both"/>
        <w:rPr>
          <w:rFonts w:eastAsia="宋体"/>
          <w:b/>
          <w:sz w:val="24"/>
          <w:szCs w:val="24"/>
        </w:rPr>
      </w:pPr>
      <w:r>
        <w:rPr>
          <w:rFonts w:eastAsia="宋体"/>
          <w:b/>
          <w:sz w:val="24"/>
          <w:szCs w:val="24"/>
        </w:rPr>
        <w:br w:type="page"/>
      </w:r>
      <w:r>
        <w:rPr>
          <w:rFonts w:eastAsia="宋体"/>
          <w:b/>
          <w:sz w:val="24"/>
          <w:szCs w:val="24"/>
        </w:rPr>
        <w:t>附表2.1：</w:t>
      </w:r>
    </w:p>
    <w:p>
      <w:pPr>
        <w:pStyle w:val="7"/>
        <w:numPr>
          <w:ilvl w:val="1"/>
          <w:numId w:val="23"/>
        </w:numPr>
        <w:ind w:left="0" w:firstLine="0"/>
        <w:jc w:val="center"/>
        <w:rPr>
          <w:b/>
        </w:rPr>
      </w:pPr>
      <w:bookmarkStart w:id="1747" w:name="_Toc534461611"/>
      <w:bookmarkStart w:id="1748" w:name="_Toc5872"/>
      <w:bookmarkStart w:id="1749" w:name="_Toc32551"/>
      <w:r>
        <w:rPr>
          <w:rFonts w:hint="eastAsia"/>
          <w:b/>
        </w:rPr>
        <w:t xml:space="preserve"> </w:t>
      </w:r>
      <w:bookmarkStart w:id="1750" w:name="_Toc10256"/>
      <w:r>
        <w:rPr>
          <w:b/>
        </w:rPr>
        <w:t>投标报价汇总表</w:t>
      </w:r>
      <w:bookmarkEnd w:id="1747"/>
      <w:bookmarkEnd w:id="1748"/>
      <w:bookmarkEnd w:id="1749"/>
      <w:bookmarkEnd w:id="1750"/>
    </w:p>
    <w:p>
      <w:pPr>
        <w:widowControl w:val="0"/>
        <w:spacing w:line="360" w:lineRule="auto"/>
        <w:jc w:val="both"/>
        <w:rPr>
          <w:rFonts w:eastAsia="宋体"/>
          <w:szCs w:val="24"/>
        </w:rPr>
      </w:pPr>
      <w:r>
        <w:rPr>
          <w:rFonts w:eastAsia="宋体"/>
        </w:rPr>
        <w:t>投标人名称：                                                   [货币单位：人民币 元]</w:t>
      </w:r>
    </w:p>
    <w:tbl>
      <w:tblPr>
        <w:tblStyle w:val="60"/>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5"/>
        <w:gridCol w:w="1134"/>
        <w:gridCol w:w="2887"/>
        <w:gridCol w:w="2848"/>
        <w:gridCol w:w="15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50" w:hRule="atLeast"/>
        </w:trPr>
        <w:tc>
          <w:tcPr>
            <w:tcW w:w="675" w:type="dxa"/>
            <w:noWrap w:val="0"/>
            <w:vAlign w:val="center"/>
          </w:tcPr>
          <w:p>
            <w:pPr>
              <w:widowControl w:val="0"/>
              <w:spacing w:line="360" w:lineRule="auto"/>
              <w:jc w:val="center"/>
              <w:rPr>
                <w:rFonts w:eastAsia="宋体"/>
                <w:b/>
                <w:szCs w:val="21"/>
              </w:rPr>
            </w:pPr>
            <w:r>
              <w:rPr>
                <w:rFonts w:eastAsia="宋体"/>
                <w:b/>
                <w:szCs w:val="21"/>
              </w:rPr>
              <w:t>序号</w:t>
            </w:r>
          </w:p>
        </w:tc>
        <w:tc>
          <w:tcPr>
            <w:tcW w:w="4021" w:type="dxa"/>
            <w:gridSpan w:val="2"/>
            <w:noWrap w:val="0"/>
            <w:vAlign w:val="center"/>
          </w:tcPr>
          <w:p>
            <w:pPr>
              <w:widowControl w:val="0"/>
              <w:spacing w:line="360" w:lineRule="auto"/>
              <w:jc w:val="center"/>
              <w:rPr>
                <w:rFonts w:eastAsia="宋体"/>
                <w:b/>
                <w:szCs w:val="21"/>
              </w:rPr>
            </w:pPr>
            <w:r>
              <w:rPr>
                <w:rFonts w:eastAsia="宋体"/>
                <w:b/>
                <w:szCs w:val="21"/>
              </w:rPr>
              <w:t>项目内容</w:t>
            </w:r>
          </w:p>
        </w:tc>
        <w:tc>
          <w:tcPr>
            <w:tcW w:w="2848" w:type="dxa"/>
            <w:noWrap w:val="0"/>
            <w:vAlign w:val="center"/>
          </w:tcPr>
          <w:p>
            <w:pPr>
              <w:widowControl w:val="0"/>
              <w:spacing w:line="360" w:lineRule="auto"/>
              <w:jc w:val="center"/>
              <w:rPr>
                <w:rFonts w:hint="eastAsia" w:eastAsia="宋体"/>
                <w:b/>
                <w:szCs w:val="21"/>
                <w:lang w:eastAsia="zh-CN"/>
              </w:rPr>
            </w:pPr>
            <w:r>
              <w:rPr>
                <w:rFonts w:eastAsia="宋体"/>
                <w:b/>
                <w:szCs w:val="21"/>
              </w:rPr>
              <w:t>金额</w:t>
            </w:r>
            <w:r>
              <w:rPr>
                <w:rFonts w:hint="eastAsia" w:eastAsia="宋体"/>
                <w:b/>
                <w:szCs w:val="21"/>
                <w:lang w:eastAsia="zh-CN"/>
              </w:rPr>
              <w:t>（</w:t>
            </w:r>
            <w:r>
              <w:rPr>
                <w:rFonts w:hint="eastAsia" w:eastAsia="宋体"/>
                <w:b/>
                <w:szCs w:val="21"/>
                <w:lang w:val="en-US" w:eastAsia="zh-CN"/>
              </w:rPr>
              <w:t>含税</w:t>
            </w:r>
            <w:r>
              <w:rPr>
                <w:rFonts w:hint="eastAsia" w:eastAsia="宋体"/>
                <w:b/>
                <w:szCs w:val="21"/>
                <w:lang w:eastAsia="zh-CN"/>
              </w:rPr>
              <w:t>）</w:t>
            </w:r>
          </w:p>
        </w:tc>
        <w:tc>
          <w:tcPr>
            <w:tcW w:w="1536" w:type="dxa"/>
            <w:noWrap w:val="0"/>
            <w:vAlign w:val="center"/>
          </w:tcPr>
          <w:p>
            <w:pPr>
              <w:widowControl w:val="0"/>
              <w:spacing w:line="360" w:lineRule="auto"/>
              <w:jc w:val="center"/>
              <w:rPr>
                <w:rFonts w:eastAsia="宋体"/>
                <w:b/>
                <w:szCs w:val="21"/>
              </w:rPr>
            </w:pPr>
            <w:r>
              <w:rPr>
                <w:rFonts w:eastAsia="宋体"/>
                <w:b/>
                <w:szCs w:val="21"/>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50" w:hRule="atLeast"/>
        </w:trPr>
        <w:tc>
          <w:tcPr>
            <w:tcW w:w="675" w:type="dxa"/>
            <w:vMerge w:val="restart"/>
            <w:noWrap w:val="0"/>
            <w:vAlign w:val="center"/>
          </w:tcPr>
          <w:p>
            <w:pPr>
              <w:widowControl w:val="0"/>
              <w:spacing w:line="360" w:lineRule="auto"/>
              <w:jc w:val="center"/>
              <w:rPr>
                <w:rFonts w:eastAsia="宋体"/>
                <w:szCs w:val="21"/>
              </w:rPr>
            </w:pPr>
            <w:r>
              <w:rPr>
                <w:rFonts w:eastAsia="宋体"/>
                <w:szCs w:val="21"/>
              </w:rPr>
              <w:t>1</w:t>
            </w:r>
          </w:p>
        </w:tc>
        <w:tc>
          <w:tcPr>
            <w:tcW w:w="4021" w:type="dxa"/>
            <w:gridSpan w:val="2"/>
            <w:vMerge w:val="restart"/>
            <w:noWrap w:val="0"/>
            <w:vAlign w:val="center"/>
          </w:tcPr>
          <w:p>
            <w:pPr>
              <w:widowControl w:val="0"/>
              <w:spacing w:line="360" w:lineRule="auto"/>
              <w:jc w:val="center"/>
              <w:rPr>
                <w:rFonts w:eastAsia="宋体"/>
                <w:b/>
                <w:szCs w:val="21"/>
              </w:rPr>
            </w:pPr>
            <w:r>
              <w:rPr>
                <w:rFonts w:eastAsia="宋体"/>
                <w:b/>
                <w:szCs w:val="21"/>
              </w:rPr>
              <w:t>投标总价</w:t>
            </w:r>
          </w:p>
        </w:tc>
        <w:tc>
          <w:tcPr>
            <w:tcW w:w="2848" w:type="dxa"/>
            <w:noWrap w:val="0"/>
            <w:vAlign w:val="center"/>
          </w:tcPr>
          <w:p>
            <w:pPr>
              <w:widowControl w:val="0"/>
              <w:spacing w:line="360" w:lineRule="auto"/>
              <w:jc w:val="both"/>
              <w:rPr>
                <w:rFonts w:eastAsia="宋体"/>
                <w:szCs w:val="21"/>
              </w:rPr>
            </w:pPr>
            <w:r>
              <w:rPr>
                <w:rFonts w:eastAsia="宋体"/>
                <w:szCs w:val="21"/>
              </w:rPr>
              <w:t>大写：</w:t>
            </w:r>
          </w:p>
        </w:tc>
        <w:tc>
          <w:tcPr>
            <w:tcW w:w="1536" w:type="dxa"/>
            <w:vMerge w:val="restart"/>
            <w:noWrap w:val="0"/>
            <w:vAlign w:val="center"/>
          </w:tcPr>
          <w:p>
            <w:pPr>
              <w:widowControl w:val="0"/>
              <w:spacing w:line="360" w:lineRule="auto"/>
              <w:jc w:val="center"/>
              <w:rPr>
                <w:rFonts w:eastAsia="宋体"/>
                <w:szCs w:val="21"/>
              </w:rPr>
            </w:pPr>
            <w:r>
              <w:rPr>
                <w:rFonts w:eastAsia="宋体"/>
                <w:szCs w:val="21"/>
              </w:rPr>
              <w:t>见附表2.2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50" w:hRule="atLeast"/>
        </w:trPr>
        <w:tc>
          <w:tcPr>
            <w:tcW w:w="675" w:type="dxa"/>
            <w:vMerge w:val="continue"/>
            <w:noWrap w:val="0"/>
            <w:vAlign w:val="center"/>
          </w:tcPr>
          <w:p>
            <w:pPr>
              <w:widowControl w:val="0"/>
              <w:spacing w:line="360" w:lineRule="auto"/>
              <w:jc w:val="center"/>
              <w:rPr>
                <w:rFonts w:eastAsia="宋体"/>
                <w:szCs w:val="21"/>
              </w:rPr>
            </w:pPr>
          </w:p>
        </w:tc>
        <w:tc>
          <w:tcPr>
            <w:tcW w:w="4021" w:type="dxa"/>
            <w:gridSpan w:val="2"/>
            <w:vMerge w:val="continue"/>
            <w:noWrap w:val="0"/>
            <w:vAlign w:val="center"/>
          </w:tcPr>
          <w:p>
            <w:pPr>
              <w:widowControl w:val="0"/>
              <w:spacing w:line="360" w:lineRule="auto"/>
              <w:jc w:val="center"/>
              <w:rPr>
                <w:rFonts w:eastAsia="宋体"/>
                <w:szCs w:val="21"/>
              </w:rPr>
            </w:pPr>
          </w:p>
        </w:tc>
        <w:tc>
          <w:tcPr>
            <w:tcW w:w="2848" w:type="dxa"/>
            <w:noWrap w:val="0"/>
            <w:vAlign w:val="center"/>
          </w:tcPr>
          <w:p>
            <w:pPr>
              <w:widowControl w:val="0"/>
              <w:spacing w:line="360" w:lineRule="auto"/>
              <w:jc w:val="both"/>
              <w:rPr>
                <w:rFonts w:eastAsia="宋体"/>
                <w:szCs w:val="21"/>
              </w:rPr>
            </w:pPr>
            <w:r>
              <w:rPr>
                <w:rFonts w:eastAsia="宋体"/>
                <w:szCs w:val="21"/>
              </w:rPr>
              <w:t>小写：</w:t>
            </w:r>
          </w:p>
        </w:tc>
        <w:tc>
          <w:tcPr>
            <w:tcW w:w="1536" w:type="dxa"/>
            <w:vMerge w:val="continue"/>
            <w:noWrap w:val="0"/>
            <w:vAlign w:val="center"/>
          </w:tcPr>
          <w:p>
            <w:pPr>
              <w:widowControl w:val="0"/>
              <w:spacing w:line="360" w:lineRule="auto"/>
              <w:jc w:val="center"/>
              <w:rPr>
                <w:rFonts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50" w:hRule="atLeast"/>
        </w:trPr>
        <w:tc>
          <w:tcPr>
            <w:tcW w:w="675" w:type="dxa"/>
            <w:noWrap w:val="0"/>
            <w:vAlign w:val="center"/>
          </w:tcPr>
          <w:p>
            <w:pPr>
              <w:widowControl w:val="0"/>
              <w:spacing w:line="360" w:lineRule="auto"/>
              <w:jc w:val="center"/>
              <w:rPr>
                <w:rFonts w:hint="eastAsia" w:eastAsia="宋体"/>
                <w:szCs w:val="21"/>
              </w:rPr>
            </w:pPr>
            <w:r>
              <w:rPr>
                <w:rFonts w:hint="eastAsia" w:eastAsia="宋体"/>
                <w:szCs w:val="21"/>
              </w:rPr>
              <w:t>2</w:t>
            </w:r>
          </w:p>
        </w:tc>
        <w:tc>
          <w:tcPr>
            <w:tcW w:w="1134" w:type="dxa"/>
            <w:noWrap w:val="0"/>
            <w:vAlign w:val="center"/>
          </w:tcPr>
          <w:p>
            <w:pPr>
              <w:widowControl w:val="0"/>
              <w:spacing w:line="360" w:lineRule="auto"/>
              <w:jc w:val="center"/>
              <w:rPr>
                <w:rFonts w:eastAsia="宋体"/>
                <w:szCs w:val="21"/>
              </w:rPr>
            </w:pPr>
            <w:r>
              <w:rPr>
                <w:rFonts w:hint="eastAsia" w:eastAsia="宋体"/>
                <w:szCs w:val="21"/>
              </w:rPr>
              <w:t>工</w:t>
            </w:r>
            <w:r>
              <w:rPr>
                <w:rFonts w:eastAsia="宋体"/>
                <w:szCs w:val="21"/>
              </w:rPr>
              <w:t>期</w:t>
            </w:r>
          </w:p>
        </w:tc>
        <w:tc>
          <w:tcPr>
            <w:tcW w:w="7271" w:type="dxa"/>
            <w:gridSpan w:val="3"/>
            <w:noWrap w:val="0"/>
            <w:vAlign w:val="center"/>
          </w:tcPr>
          <w:p>
            <w:pPr>
              <w:widowControl w:val="0"/>
              <w:spacing w:line="360" w:lineRule="auto"/>
              <w:jc w:val="center"/>
              <w:rPr>
                <w:rFonts w:eastAsia="宋体"/>
                <w:szCs w:val="21"/>
              </w:rPr>
            </w:pPr>
            <w:r>
              <w:rPr>
                <w:rFonts w:eastAsia="宋体"/>
                <w:szCs w:val="21"/>
              </w:rPr>
              <w:t>满足招标文件要求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50" w:hRule="atLeast"/>
        </w:trPr>
        <w:tc>
          <w:tcPr>
            <w:tcW w:w="675" w:type="dxa"/>
            <w:noWrap w:val="0"/>
            <w:vAlign w:val="center"/>
          </w:tcPr>
          <w:p>
            <w:pPr>
              <w:widowControl w:val="0"/>
              <w:spacing w:line="360" w:lineRule="auto"/>
              <w:jc w:val="center"/>
              <w:rPr>
                <w:rFonts w:hint="eastAsia" w:eastAsia="宋体"/>
                <w:szCs w:val="21"/>
              </w:rPr>
            </w:pPr>
            <w:r>
              <w:rPr>
                <w:rFonts w:hint="eastAsia" w:eastAsia="宋体"/>
                <w:szCs w:val="21"/>
              </w:rPr>
              <w:t>3</w:t>
            </w:r>
          </w:p>
        </w:tc>
        <w:tc>
          <w:tcPr>
            <w:tcW w:w="1134" w:type="dxa"/>
            <w:noWrap w:val="0"/>
            <w:vAlign w:val="center"/>
          </w:tcPr>
          <w:p>
            <w:pPr>
              <w:widowControl w:val="0"/>
              <w:spacing w:line="360" w:lineRule="auto"/>
              <w:jc w:val="center"/>
              <w:rPr>
                <w:rFonts w:eastAsia="宋体"/>
                <w:szCs w:val="21"/>
              </w:rPr>
            </w:pPr>
            <w:r>
              <w:rPr>
                <w:rFonts w:eastAsia="宋体"/>
                <w:szCs w:val="21"/>
              </w:rPr>
              <w:t>税率</w:t>
            </w:r>
          </w:p>
        </w:tc>
        <w:tc>
          <w:tcPr>
            <w:tcW w:w="7271" w:type="dxa"/>
            <w:gridSpan w:val="3"/>
            <w:noWrap w:val="0"/>
            <w:vAlign w:val="center"/>
          </w:tcPr>
          <w:p>
            <w:pPr>
              <w:widowControl w:val="0"/>
              <w:spacing w:line="360" w:lineRule="auto"/>
              <w:jc w:val="center"/>
              <w:rPr>
                <w:rFonts w:eastAsia="宋体"/>
                <w:szCs w:val="21"/>
              </w:rPr>
            </w:pPr>
            <w:r>
              <w:rPr>
                <w:rFonts w:eastAsia="宋体"/>
                <w:szCs w:val="21"/>
              </w:rPr>
              <w:t>增值税税率：</w:t>
            </w:r>
            <w:r>
              <w:rPr>
                <w:rFonts w:eastAsia="宋体"/>
                <w:szCs w:val="21"/>
                <w:u w:val="single"/>
              </w:rPr>
              <w:t xml:space="preserve">           </w:t>
            </w:r>
            <w:r>
              <w:rPr>
                <w:rFonts w:eastAsia="宋体"/>
                <w:szCs w:val="21"/>
              </w:rPr>
              <w:t xml:space="preserve">               </w:t>
            </w:r>
          </w:p>
        </w:tc>
      </w:tr>
    </w:tbl>
    <w:p>
      <w:pPr>
        <w:tabs>
          <w:tab w:val="left" w:pos="1200"/>
        </w:tabs>
        <w:spacing w:line="360" w:lineRule="auto"/>
        <w:jc w:val="right"/>
        <w:rPr>
          <w:rFonts w:eastAsia="宋体"/>
          <w:szCs w:val="21"/>
        </w:rPr>
      </w:pPr>
      <w:r>
        <w:rPr>
          <w:rFonts w:eastAsia="宋体"/>
          <w:szCs w:val="21"/>
        </w:rPr>
        <w:t>投标人：</w:t>
      </w:r>
      <w:r>
        <w:rPr>
          <w:rFonts w:eastAsia="宋体"/>
          <w:szCs w:val="21"/>
          <w:u w:val="single"/>
        </w:rPr>
        <w:t xml:space="preserve">                   </w:t>
      </w:r>
      <w:r>
        <w:rPr>
          <w:rFonts w:eastAsia="宋体"/>
          <w:szCs w:val="21"/>
        </w:rPr>
        <w:t>（盖单位公章）</w:t>
      </w:r>
    </w:p>
    <w:p>
      <w:pPr>
        <w:tabs>
          <w:tab w:val="left" w:pos="1200"/>
        </w:tabs>
        <w:spacing w:line="360" w:lineRule="auto"/>
        <w:jc w:val="right"/>
        <w:rPr>
          <w:rFonts w:eastAsia="宋体"/>
          <w:szCs w:val="21"/>
        </w:rPr>
      </w:pPr>
      <w:r>
        <w:rPr>
          <w:rFonts w:eastAsia="宋体"/>
          <w:szCs w:val="21"/>
        </w:rPr>
        <w:t>法定代表人或其委托代理人：</w:t>
      </w:r>
      <w:r>
        <w:rPr>
          <w:rFonts w:eastAsia="宋体"/>
          <w:szCs w:val="21"/>
          <w:u w:val="single"/>
        </w:rPr>
        <w:t xml:space="preserve">       </w:t>
      </w:r>
      <w:r>
        <w:rPr>
          <w:rFonts w:eastAsia="宋体"/>
          <w:szCs w:val="21"/>
        </w:rPr>
        <w:t>（签字）</w:t>
      </w:r>
    </w:p>
    <w:p>
      <w:pPr>
        <w:tabs>
          <w:tab w:val="left" w:pos="1200"/>
        </w:tabs>
        <w:spacing w:line="360" w:lineRule="auto"/>
        <w:jc w:val="right"/>
        <w:rPr>
          <w:rFonts w:eastAsia="宋体"/>
          <w:szCs w:val="21"/>
        </w:rPr>
      </w:pPr>
      <w:r>
        <w:rPr>
          <w:rFonts w:eastAsia="宋体"/>
          <w:szCs w:val="21"/>
        </w:rPr>
        <w:t xml:space="preserve">日期： </w:t>
      </w:r>
      <w:r>
        <w:rPr>
          <w:rFonts w:eastAsia="宋体"/>
          <w:szCs w:val="21"/>
          <w:u w:val="single"/>
        </w:rPr>
        <w:t xml:space="preserve">            </w:t>
      </w:r>
      <w:r>
        <w:rPr>
          <w:rFonts w:eastAsia="宋体"/>
          <w:szCs w:val="21"/>
        </w:rPr>
        <w:t>年</w:t>
      </w:r>
      <w:r>
        <w:rPr>
          <w:rFonts w:eastAsia="宋体"/>
          <w:szCs w:val="21"/>
          <w:u w:val="single"/>
        </w:rPr>
        <w:t xml:space="preserve">        </w:t>
      </w:r>
      <w:r>
        <w:rPr>
          <w:rFonts w:eastAsia="宋体"/>
          <w:szCs w:val="21"/>
        </w:rPr>
        <w:t>月</w:t>
      </w:r>
      <w:r>
        <w:rPr>
          <w:rFonts w:eastAsia="宋体"/>
          <w:szCs w:val="21"/>
          <w:u w:val="single"/>
        </w:rPr>
        <w:t xml:space="preserve">        </w:t>
      </w:r>
      <w:r>
        <w:rPr>
          <w:rFonts w:eastAsia="宋体"/>
          <w:szCs w:val="21"/>
        </w:rPr>
        <w:t>日</w:t>
      </w:r>
    </w:p>
    <w:p>
      <w:pPr>
        <w:widowControl w:val="0"/>
        <w:spacing w:line="360" w:lineRule="auto"/>
        <w:jc w:val="both"/>
        <w:rPr>
          <w:rFonts w:eastAsia="宋体"/>
          <w:szCs w:val="21"/>
        </w:rPr>
      </w:pPr>
      <w:r>
        <w:rPr>
          <w:rFonts w:eastAsia="宋体"/>
          <w:szCs w:val="21"/>
        </w:rPr>
        <w:t>注：</w:t>
      </w:r>
    </w:p>
    <w:p>
      <w:pPr>
        <w:widowControl w:val="0"/>
        <w:numPr>
          <w:ilvl w:val="2"/>
          <w:numId w:val="24"/>
        </w:numPr>
        <w:tabs>
          <w:tab w:val="left" w:pos="426"/>
          <w:tab w:val="clear" w:pos="1246"/>
        </w:tabs>
        <w:spacing w:line="360" w:lineRule="auto"/>
        <w:ind w:left="426" w:hanging="426"/>
        <w:jc w:val="both"/>
        <w:textAlignment w:val="baseline"/>
        <w:rPr>
          <w:rFonts w:eastAsia="宋体"/>
          <w:szCs w:val="21"/>
        </w:rPr>
      </w:pPr>
      <w:r>
        <w:rPr>
          <w:rFonts w:eastAsia="宋体"/>
          <w:szCs w:val="21"/>
        </w:rPr>
        <w:t>此表</w:t>
      </w:r>
      <w:r>
        <w:rPr>
          <w:rFonts w:ascii="宋体" w:hAnsi="宋体" w:eastAsia="宋体"/>
          <w:szCs w:val="21"/>
        </w:rPr>
        <w:t>的“投标总价”系</w:t>
      </w:r>
      <w:r>
        <w:rPr>
          <w:rFonts w:eastAsia="宋体"/>
          <w:szCs w:val="21"/>
        </w:rPr>
        <w:t>所有需招标人支付的投标金额总数即投标总价，投标总价中已包含投标人完成本招标项目的一切费用包括税费。</w:t>
      </w:r>
    </w:p>
    <w:p>
      <w:pPr>
        <w:widowControl w:val="0"/>
        <w:numPr>
          <w:ilvl w:val="2"/>
          <w:numId w:val="24"/>
        </w:numPr>
        <w:tabs>
          <w:tab w:val="left" w:pos="426"/>
          <w:tab w:val="clear" w:pos="1246"/>
        </w:tabs>
        <w:spacing w:line="360" w:lineRule="auto"/>
        <w:ind w:left="210" w:hanging="210" w:hangingChars="100"/>
        <w:jc w:val="both"/>
        <w:textAlignment w:val="baseline"/>
        <w:rPr>
          <w:rFonts w:eastAsia="宋体"/>
          <w:b/>
          <w:sz w:val="24"/>
          <w:szCs w:val="24"/>
        </w:rPr>
        <w:sectPr>
          <w:headerReference r:id="rId7" w:type="default"/>
          <w:footerReference r:id="rId8" w:type="default"/>
          <w:pgSz w:w="11907" w:h="16840"/>
          <w:pgMar w:top="1418" w:right="1418" w:bottom="1418" w:left="1418" w:header="1021" w:footer="737" w:gutter="0"/>
          <w:cols w:space="720" w:num="1"/>
          <w:docGrid w:type="lines" w:linePitch="302" w:charSpace="-205"/>
        </w:sectPr>
      </w:pPr>
      <w:r>
        <w:rPr>
          <w:rFonts w:eastAsia="宋体"/>
          <w:bCs/>
          <w:szCs w:val="21"/>
        </w:rPr>
        <w:t>此表为附表2.</w:t>
      </w:r>
      <w:r>
        <w:rPr>
          <w:rFonts w:hint="eastAsia" w:eastAsia="宋体"/>
          <w:bCs/>
          <w:szCs w:val="21"/>
        </w:rPr>
        <w:t>2</w:t>
      </w:r>
      <w:r>
        <w:rPr>
          <w:rFonts w:eastAsia="宋体"/>
          <w:bCs/>
          <w:szCs w:val="21"/>
        </w:rPr>
        <w:t>的汇总表。</w:t>
      </w:r>
    </w:p>
    <w:p>
      <w:pPr>
        <w:widowControl w:val="0"/>
        <w:jc w:val="both"/>
        <w:rPr>
          <w:rFonts w:eastAsia="宋体"/>
          <w:b/>
          <w:sz w:val="24"/>
          <w:szCs w:val="24"/>
        </w:rPr>
      </w:pPr>
    </w:p>
    <w:p>
      <w:pPr>
        <w:widowControl w:val="0"/>
        <w:jc w:val="both"/>
        <w:rPr>
          <w:rFonts w:eastAsia="宋体"/>
          <w:b/>
          <w:sz w:val="24"/>
          <w:szCs w:val="24"/>
        </w:rPr>
      </w:pPr>
    </w:p>
    <w:p>
      <w:pPr>
        <w:widowControl w:val="0"/>
        <w:jc w:val="both"/>
        <w:rPr>
          <w:rFonts w:eastAsia="宋体"/>
          <w:b/>
          <w:sz w:val="24"/>
          <w:szCs w:val="24"/>
        </w:rPr>
      </w:pPr>
    </w:p>
    <w:p>
      <w:pPr>
        <w:widowControl w:val="0"/>
        <w:jc w:val="both"/>
        <w:rPr>
          <w:rFonts w:eastAsia="宋体"/>
          <w:b/>
          <w:sz w:val="24"/>
          <w:szCs w:val="24"/>
        </w:rPr>
      </w:pPr>
    </w:p>
    <w:p>
      <w:pPr>
        <w:widowControl w:val="0"/>
        <w:jc w:val="both"/>
        <w:rPr>
          <w:rFonts w:eastAsia="宋体"/>
          <w:b/>
          <w:sz w:val="24"/>
          <w:szCs w:val="24"/>
        </w:rPr>
      </w:pPr>
    </w:p>
    <w:p>
      <w:pPr>
        <w:widowControl w:val="0"/>
        <w:jc w:val="both"/>
        <w:rPr>
          <w:rFonts w:eastAsia="宋体"/>
          <w:b/>
          <w:sz w:val="24"/>
          <w:szCs w:val="24"/>
        </w:rPr>
      </w:pPr>
    </w:p>
    <w:p>
      <w:pPr>
        <w:widowControl w:val="0"/>
        <w:jc w:val="both"/>
        <w:rPr>
          <w:rFonts w:eastAsia="宋体"/>
          <w:b/>
          <w:sz w:val="24"/>
          <w:szCs w:val="24"/>
        </w:rPr>
      </w:pPr>
    </w:p>
    <w:p>
      <w:pPr>
        <w:widowControl w:val="0"/>
        <w:jc w:val="both"/>
        <w:rPr>
          <w:rFonts w:eastAsia="宋体"/>
          <w:b/>
          <w:sz w:val="24"/>
          <w:szCs w:val="24"/>
        </w:rPr>
      </w:pPr>
    </w:p>
    <w:p>
      <w:pPr>
        <w:widowControl w:val="0"/>
        <w:jc w:val="both"/>
        <w:rPr>
          <w:rFonts w:eastAsia="宋体"/>
          <w:b/>
          <w:sz w:val="24"/>
          <w:szCs w:val="24"/>
        </w:rPr>
      </w:pPr>
    </w:p>
    <w:p>
      <w:pPr>
        <w:widowControl w:val="0"/>
        <w:jc w:val="both"/>
        <w:rPr>
          <w:rFonts w:eastAsia="宋体"/>
          <w:b/>
          <w:sz w:val="24"/>
          <w:szCs w:val="24"/>
        </w:rPr>
      </w:pPr>
    </w:p>
    <w:p>
      <w:pPr>
        <w:widowControl w:val="0"/>
        <w:jc w:val="both"/>
        <w:rPr>
          <w:rFonts w:eastAsia="宋体"/>
          <w:b/>
          <w:sz w:val="24"/>
          <w:szCs w:val="24"/>
        </w:rPr>
      </w:pPr>
    </w:p>
    <w:p>
      <w:pPr>
        <w:widowControl w:val="0"/>
        <w:jc w:val="both"/>
        <w:rPr>
          <w:rFonts w:eastAsia="宋体"/>
          <w:b/>
          <w:sz w:val="24"/>
          <w:szCs w:val="24"/>
        </w:rPr>
      </w:pPr>
    </w:p>
    <w:p>
      <w:pPr>
        <w:widowControl w:val="0"/>
        <w:jc w:val="both"/>
        <w:rPr>
          <w:rFonts w:eastAsia="宋体"/>
          <w:b/>
          <w:sz w:val="24"/>
          <w:szCs w:val="24"/>
        </w:rPr>
      </w:pPr>
    </w:p>
    <w:p>
      <w:pPr>
        <w:widowControl w:val="0"/>
        <w:jc w:val="both"/>
        <w:rPr>
          <w:rFonts w:eastAsia="宋体"/>
          <w:b/>
          <w:sz w:val="24"/>
          <w:szCs w:val="24"/>
        </w:rPr>
      </w:pPr>
    </w:p>
    <w:p>
      <w:pPr>
        <w:widowControl w:val="0"/>
        <w:jc w:val="both"/>
        <w:rPr>
          <w:rFonts w:eastAsia="宋体"/>
          <w:b/>
          <w:sz w:val="24"/>
          <w:szCs w:val="24"/>
        </w:rPr>
      </w:pPr>
    </w:p>
    <w:p>
      <w:pPr>
        <w:widowControl w:val="0"/>
        <w:jc w:val="both"/>
        <w:rPr>
          <w:rFonts w:eastAsia="宋体"/>
          <w:b/>
          <w:sz w:val="24"/>
          <w:szCs w:val="24"/>
        </w:rPr>
      </w:pPr>
      <w:r>
        <w:rPr>
          <w:rFonts w:eastAsia="宋体"/>
          <w:b/>
          <w:sz w:val="24"/>
          <w:szCs w:val="24"/>
        </w:rPr>
        <w:t>附表2.2：</w:t>
      </w:r>
    </w:p>
    <w:p>
      <w:pPr>
        <w:pStyle w:val="7"/>
        <w:numPr>
          <w:ilvl w:val="1"/>
          <w:numId w:val="23"/>
        </w:numPr>
        <w:ind w:left="0" w:firstLine="0"/>
        <w:jc w:val="center"/>
        <w:rPr>
          <w:b/>
        </w:rPr>
      </w:pPr>
      <w:bookmarkStart w:id="1751" w:name="_Toc534461612"/>
      <w:bookmarkStart w:id="1752" w:name="_Toc29125"/>
      <w:bookmarkStart w:id="1753" w:name="_Toc23692"/>
      <w:r>
        <w:rPr>
          <w:rFonts w:hint="eastAsia"/>
          <w:b/>
        </w:rPr>
        <w:t xml:space="preserve"> </w:t>
      </w:r>
      <w:bookmarkStart w:id="1754" w:name="_Toc7819"/>
      <w:r>
        <w:rPr>
          <w:b/>
        </w:rPr>
        <w:t>分项报价表</w:t>
      </w:r>
      <w:bookmarkEnd w:id="1751"/>
      <w:bookmarkEnd w:id="1752"/>
      <w:bookmarkEnd w:id="1753"/>
      <w:bookmarkEnd w:id="1754"/>
      <w:r>
        <w:rPr>
          <w:b/>
        </w:rPr>
        <w:t xml:space="preserve"> </w:t>
      </w:r>
    </w:p>
    <w:p>
      <w:pPr>
        <w:tabs>
          <w:tab w:val="left" w:pos="1200"/>
        </w:tabs>
        <w:spacing w:line="360" w:lineRule="auto"/>
        <w:jc w:val="right"/>
        <w:rPr>
          <w:rFonts w:hint="eastAsia" w:eastAsia="宋体"/>
          <w:bCs/>
          <w:szCs w:val="21"/>
        </w:rPr>
      </w:pPr>
    </w:p>
    <w:tbl>
      <w:tblPr>
        <w:tblStyle w:val="60"/>
        <w:tblW w:w="9035" w:type="dxa"/>
        <w:tblInd w:w="93" w:type="dxa"/>
        <w:tblLayout w:type="fixed"/>
        <w:tblCellMar>
          <w:top w:w="0" w:type="dxa"/>
          <w:left w:w="108" w:type="dxa"/>
          <w:bottom w:w="0" w:type="dxa"/>
          <w:right w:w="108" w:type="dxa"/>
        </w:tblCellMar>
      </w:tblPr>
      <w:tblGrid>
        <w:gridCol w:w="505"/>
        <w:gridCol w:w="1080"/>
        <w:gridCol w:w="1197"/>
        <w:gridCol w:w="1372"/>
        <w:gridCol w:w="967"/>
        <w:gridCol w:w="1595"/>
        <w:gridCol w:w="1570"/>
        <w:gridCol w:w="749"/>
      </w:tblGrid>
      <w:tr>
        <w:tblPrEx>
          <w:tblCellMar>
            <w:top w:w="0" w:type="dxa"/>
            <w:left w:w="108" w:type="dxa"/>
            <w:bottom w:w="0" w:type="dxa"/>
            <w:right w:w="108" w:type="dxa"/>
          </w:tblCellMar>
        </w:tblPrEx>
        <w:trPr>
          <w:trHeight w:val="582" w:hRule="atLeast"/>
        </w:trPr>
        <w:tc>
          <w:tcPr>
            <w:tcW w:w="50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lang w:bidi="ar"/>
              </w:rPr>
              <w:t>序号</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lang w:bidi="ar"/>
              </w:rPr>
              <w:t>物资名称</w:t>
            </w:r>
          </w:p>
        </w:tc>
        <w:tc>
          <w:tcPr>
            <w:tcW w:w="11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lang w:bidi="ar"/>
              </w:rPr>
              <w:t>物资描述</w:t>
            </w:r>
          </w:p>
        </w:tc>
        <w:tc>
          <w:tcPr>
            <w:tcW w:w="13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lang w:bidi="ar"/>
              </w:rPr>
              <w:t>单位</w:t>
            </w:r>
          </w:p>
        </w:tc>
        <w:tc>
          <w:tcPr>
            <w:tcW w:w="96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lang w:bidi="ar"/>
              </w:rPr>
              <w:t>数量</w:t>
            </w:r>
          </w:p>
        </w:tc>
        <w:tc>
          <w:tcPr>
            <w:tcW w:w="159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lang w:bidi="ar"/>
              </w:rPr>
              <w:t>单价（含税）</w:t>
            </w:r>
          </w:p>
        </w:tc>
        <w:tc>
          <w:tcPr>
            <w:tcW w:w="157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lang w:bidi="ar"/>
              </w:rPr>
              <w:t>总价（含税）</w:t>
            </w:r>
          </w:p>
        </w:tc>
        <w:tc>
          <w:tcPr>
            <w:tcW w:w="74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lang w:bidi="ar"/>
              </w:rPr>
              <w:t>备注</w:t>
            </w:r>
          </w:p>
        </w:tc>
      </w:tr>
      <w:tr>
        <w:tblPrEx>
          <w:tblCellMar>
            <w:top w:w="0" w:type="dxa"/>
            <w:left w:w="108" w:type="dxa"/>
            <w:bottom w:w="0" w:type="dxa"/>
            <w:right w:w="108" w:type="dxa"/>
          </w:tblCellMar>
        </w:tblPrEx>
        <w:trPr>
          <w:trHeight w:val="954" w:hRule="atLeast"/>
        </w:trPr>
        <w:tc>
          <w:tcPr>
            <w:tcW w:w="50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可视化接地装置</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详见用户需求书</w:t>
            </w:r>
          </w:p>
        </w:tc>
        <w:tc>
          <w:tcPr>
            <w:tcW w:w="13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套</w:t>
            </w:r>
          </w:p>
        </w:tc>
        <w:tc>
          <w:tcPr>
            <w:tcW w:w="96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13</w:t>
            </w:r>
          </w:p>
        </w:tc>
        <w:tc>
          <w:tcPr>
            <w:tcW w:w="159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color w:val="000000"/>
                <w:sz w:val="20"/>
                <w:szCs w:val="20"/>
                <w:lang w:bidi="ar"/>
              </w:rPr>
            </w:pPr>
          </w:p>
        </w:tc>
        <w:tc>
          <w:tcPr>
            <w:tcW w:w="157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color w:val="000000"/>
                <w:sz w:val="20"/>
                <w:szCs w:val="20"/>
                <w:lang w:bidi="ar"/>
              </w:rPr>
            </w:pPr>
          </w:p>
        </w:tc>
        <w:tc>
          <w:tcPr>
            <w:tcW w:w="74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z w:val="20"/>
                <w:szCs w:val="20"/>
                <w:lang w:bidi="ar"/>
              </w:rPr>
            </w:pPr>
          </w:p>
        </w:tc>
      </w:tr>
      <w:tr>
        <w:tblPrEx>
          <w:tblCellMar>
            <w:top w:w="0" w:type="dxa"/>
            <w:left w:w="108" w:type="dxa"/>
            <w:bottom w:w="0" w:type="dxa"/>
            <w:right w:w="108" w:type="dxa"/>
          </w:tblCellMar>
        </w:tblPrEx>
        <w:trPr>
          <w:trHeight w:val="954" w:hRule="atLeast"/>
        </w:trPr>
        <w:tc>
          <w:tcPr>
            <w:tcW w:w="50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可视化接地装置监控主机</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详见用户需求书</w:t>
            </w:r>
          </w:p>
        </w:tc>
        <w:tc>
          <w:tcPr>
            <w:tcW w:w="13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套</w:t>
            </w:r>
          </w:p>
        </w:tc>
        <w:tc>
          <w:tcPr>
            <w:tcW w:w="96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val="en-US" w:eastAsia="zh-CN" w:bidi="ar"/>
              </w:rPr>
              <w:t>3</w:t>
            </w:r>
          </w:p>
        </w:tc>
        <w:tc>
          <w:tcPr>
            <w:tcW w:w="159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color w:val="000000"/>
                <w:sz w:val="20"/>
                <w:szCs w:val="20"/>
                <w:lang w:bidi="ar"/>
              </w:rPr>
            </w:pPr>
          </w:p>
        </w:tc>
        <w:tc>
          <w:tcPr>
            <w:tcW w:w="157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color w:val="000000"/>
                <w:sz w:val="20"/>
                <w:szCs w:val="20"/>
                <w:lang w:bidi="ar"/>
              </w:rPr>
            </w:pPr>
          </w:p>
        </w:tc>
        <w:tc>
          <w:tcPr>
            <w:tcW w:w="74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z w:val="20"/>
                <w:szCs w:val="20"/>
                <w:lang w:bidi="ar"/>
              </w:rPr>
            </w:pPr>
          </w:p>
        </w:tc>
      </w:tr>
      <w:tr>
        <w:tblPrEx>
          <w:tblCellMar>
            <w:top w:w="0" w:type="dxa"/>
            <w:left w:w="108" w:type="dxa"/>
            <w:bottom w:w="0" w:type="dxa"/>
            <w:right w:w="108" w:type="dxa"/>
          </w:tblCellMar>
        </w:tblPrEx>
        <w:trPr>
          <w:trHeight w:val="954" w:hRule="atLeast"/>
        </w:trPr>
        <w:tc>
          <w:tcPr>
            <w:tcW w:w="50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color w:val="000000"/>
                <w:sz w:val="20"/>
                <w:szCs w:val="20"/>
                <w:lang w:val="en-US" w:eastAsia="zh-CN" w:bidi="ar"/>
              </w:rPr>
            </w:pPr>
            <w:r>
              <w:rPr>
                <w:rFonts w:hint="eastAsia" w:ascii="宋体" w:hAnsi="宋体" w:eastAsia="宋体" w:cs="宋体"/>
                <w:color w:val="000000"/>
                <w:sz w:val="20"/>
                <w:szCs w:val="20"/>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中央级后台工作站</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详见用户需求书</w:t>
            </w:r>
          </w:p>
        </w:tc>
        <w:tc>
          <w:tcPr>
            <w:tcW w:w="13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val="en-US" w:eastAsia="zh-CN" w:bidi="ar"/>
              </w:rPr>
              <w:t>套</w:t>
            </w:r>
          </w:p>
        </w:tc>
        <w:tc>
          <w:tcPr>
            <w:tcW w:w="96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val="en-US" w:eastAsia="zh-CN" w:bidi="ar"/>
              </w:rPr>
              <w:t>2</w:t>
            </w:r>
          </w:p>
        </w:tc>
        <w:tc>
          <w:tcPr>
            <w:tcW w:w="159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color w:val="000000"/>
                <w:sz w:val="20"/>
                <w:szCs w:val="20"/>
                <w:lang w:bidi="ar"/>
              </w:rPr>
            </w:pPr>
          </w:p>
        </w:tc>
        <w:tc>
          <w:tcPr>
            <w:tcW w:w="157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color w:val="000000"/>
                <w:sz w:val="20"/>
                <w:szCs w:val="20"/>
                <w:lang w:bidi="ar"/>
              </w:rPr>
            </w:pPr>
          </w:p>
        </w:tc>
        <w:tc>
          <w:tcPr>
            <w:tcW w:w="74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z w:val="20"/>
                <w:szCs w:val="20"/>
                <w:lang w:bidi="ar"/>
              </w:rPr>
            </w:pPr>
          </w:p>
        </w:tc>
      </w:tr>
      <w:tr>
        <w:tblPrEx>
          <w:tblCellMar>
            <w:top w:w="0" w:type="dxa"/>
            <w:left w:w="108" w:type="dxa"/>
            <w:bottom w:w="0" w:type="dxa"/>
            <w:right w:w="108" w:type="dxa"/>
          </w:tblCellMar>
        </w:tblPrEx>
        <w:trPr>
          <w:trHeight w:val="954" w:hRule="atLeast"/>
        </w:trPr>
        <w:tc>
          <w:tcPr>
            <w:tcW w:w="50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color w:val="000000"/>
                <w:sz w:val="20"/>
                <w:szCs w:val="20"/>
                <w:lang w:val="en-US" w:eastAsia="zh-CN" w:bidi="ar"/>
              </w:rPr>
            </w:pPr>
            <w:r>
              <w:rPr>
                <w:rFonts w:hint="eastAsia" w:ascii="宋体" w:hAnsi="宋体" w:eastAsia="宋体" w:cs="宋体"/>
                <w:color w:val="000000"/>
                <w:sz w:val="20"/>
                <w:szCs w:val="20"/>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现场设备安装与调试</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详见用户需求书</w:t>
            </w:r>
          </w:p>
        </w:tc>
        <w:tc>
          <w:tcPr>
            <w:tcW w:w="13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处</w:t>
            </w:r>
          </w:p>
        </w:tc>
        <w:tc>
          <w:tcPr>
            <w:tcW w:w="96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val="en-US" w:eastAsia="zh-CN" w:bidi="ar"/>
              </w:rPr>
              <w:t>16</w:t>
            </w:r>
          </w:p>
        </w:tc>
        <w:tc>
          <w:tcPr>
            <w:tcW w:w="159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color w:val="000000"/>
                <w:sz w:val="20"/>
                <w:szCs w:val="20"/>
                <w:lang w:bidi="ar"/>
              </w:rPr>
            </w:pPr>
          </w:p>
        </w:tc>
        <w:tc>
          <w:tcPr>
            <w:tcW w:w="157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color w:val="000000"/>
                <w:sz w:val="20"/>
                <w:szCs w:val="20"/>
                <w:lang w:bidi="ar"/>
              </w:rPr>
            </w:pPr>
          </w:p>
        </w:tc>
        <w:tc>
          <w:tcPr>
            <w:tcW w:w="74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z w:val="20"/>
                <w:szCs w:val="20"/>
                <w:lang w:bidi="ar"/>
              </w:rPr>
            </w:pPr>
          </w:p>
        </w:tc>
      </w:tr>
      <w:tr>
        <w:tblPrEx>
          <w:tblCellMar>
            <w:top w:w="0" w:type="dxa"/>
            <w:left w:w="108" w:type="dxa"/>
            <w:bottom w:w="0" w:type="dxa"/>
            <w:right w:w="108" w:type="dxa"/>
          </w:tblCellMar>
        </w:tblPrEx>
        <w:trPr>
          <w:trHeight w:val="954" w:hRule="atLeast"/>
        </w:trPr>
        <w:tc>
          <w:tcPr>
            <w:tcW w:w="50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color w:val="000000"/>
                <w:sz w:val="20"/>
                <w:szCs w:val="20"/>
                <w:lang w:eastAsia="zh-CN" w:bidi="ar"/>
              </w:rPr>
            </w:pPr>
            <w:r>
              <w:rPr>
                <w:rFonts w:hint="eastAsia" w:ascii="宋体" w:hAnsi="宋体" w:eastAsia="宋体" w:cs="宋体"/>
                <w:color w:val="000000"/>
                <w:sz w:val="20"/>
                <w:szCs w:val="20"/>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项目培训</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详见用户需求书</w:t>
            </w:r>
          </w:p>
        </w:tc>
        <w:tc>
          <w:tcPr>
            <w:tcW w:w="13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val="en-US" w:eastAsia="zh-CN" w:bidi="ar"/>
              </w:rPr>
              <w:t>次</w:t>
            </w:r>
          </w:p>
        </w:tc>
        <w:tc>
          <w:tcPr>
            <w:tcW w:w="96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val="en-US" w:eastAsia="zh-CN" w:bidi="ar"/>
              </w:rPr>
              <w:t>2</w:t>
            </w:r>
          </w:p>
        </w:tc>
        <w:tc>
          <w:tcPr>
            <w:tcW w:w="159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color w:val="000000"/>
                <w:sz w:val="20"/>
                <w:szCs w:val="20"/>
                <w:lang w:bidi="ar"/>
              </w:rPr>
            </w:pPr>
          </w:p>
        </w:tc>
        <w:tc>
          <w:tcPr>
            <w:tcW w:w="157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color w:val="000000"/>
                <w:sz w:val="20"/>
                <w:szCs w:val="20"/>
                <w:lang w:bidi="ar"/>
              </w:rPr>
            </w:pPr>
          </w:p>
        </w:tc>
        <w:tc>
          <w:tcPr>
            <w:tcW w:w="74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z w:val="20"/>
                <w:szCs w:val="20"/>
                <w:lang w:bidi="ar"/>
              </w:rPr>
            </w:pPr>
          </w:p>
        </w:tc>
      </w:tr>
      <w:tr>
        <w:tblPrEx>
          <w:tblCellMar>
            <w:top w:w="0" w:type="dxa"/>
            <w:left w:w="108" w:type="dxa"/>
            <w:bottom w:w="0" w:type="dxa"/>
            <w:right w:w="108" w:type="dxa"/>
          </w:tblCellMar>
        </w:tblPrEx>
        <w:trPr>
          <w:trHeight w:val="380" w:hRule="atLeast"/>
        </w:trPr>
        <w:tc>
          <w:tcPr>
            <w:tcW w:w="50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val="en-US" w:eastAsia="zh-CN" w:bidi="ar"/>
              </w:rPr>
              <w:t>6</w:t>
            </w:r>
          </w:p>
        </w:tc>
        <w:tc>
          <w:tcPr>
            <w:tcW w:w="6211"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lang w:bidi="ar"/>
              </w:rPr>
              <w:t>税率（%）</w:t>
            </w:r>
          </w:p>
        </w:tc>
        <w:tc>
          <w:tcPr>
            <w:tcW w:w="231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szCs w:val="20"/>
              </w:rPr>
            </w:pPr>
          </w:p>
        </w:tc>
      </w:tr>
      <w:tr>
        <w:tblPrEx>
          <w:tblCellMar>
            <w:top w:w="0" w:type="dxa"/>
            <w:left w:w="108" w:type="dxa"/>
            <w:bottom w:w="0" w:type="dxa"/>
            <w:right w:w="108" w:type="dxa"/>
          </w:tblCellMar>
        </w:tblPrEx>
        <w:trPr>
          <w:trHeight w:val="399" w:hRule="atLeast"/>
        </w:trPr>
        <w:tc>
          <w:tcPr>
            <w:tcW w:w="50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val="en-US" w:eastAsia="zh-CN" w:bidi="ar"/>
              </w:rPr>
              <w:t>7</w:t>
            </w:r>
          </w:p>
        </w:tc>
        <w:tc>
          <w:tcPr>
            <w:tcW w:w="6211"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lang w:bidi="ar"/>
              </w:rPr>
              <w:t>含税合计（元）</w:t>
            </w:r>
          </w:p>
        </w:tc>
        <w:tc>
          <w:tcPr>
            <w:tcW w:w="231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szCs w:val="20"/>
              </w:rPr>
            </w:pPr>
          </w:p>
        </w:tc>
      </w:tr>
    </w:tbl>
    <w:p/>
    <w:sectPr>
      <w:type w:val="continuous"/>
      <w:pgSz w:w="11907" w:h="16840"/>
      <w:pgMar w:top="1418" w:right="1418" w:bottom="1418" w:left="1418" w:header="1021" w:footer="737" w:gutter="0"/>
      <w:cols w:space="720" w:num="1"/>
      <w:docGrid w:type="lines" w:linePitch="302" w:charSpace="-2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_GB2312">
    <w:altName w:val="楷体"/>
    <w:panose1 w:val="0201060903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entury">
    <w:panose1 w:val="02040604050505020304"/>
    <w:charset w:val="00"/>
    <w:family w:val="roman"/>
    <w:pitch w:val="default"/>
    <w:sig w:usb0="00000287" w:usb1="00000000" w:usb2="00000000" w:usb3="00000000" w:csb0="2000009F" w:csb1="DFD7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Unicode MS">
    <w:altName w:val="Arial"/>
    <w:panose1 w:val="020B0604020202020204"/>
    <w:charset w:val="00"/>
    <w:family w:val="roman"/>
    <w:pitch w:val="default"/>
    <w:sig w:usb0="00000003" w:usb1="00000000" w:usb2="00000000" w:usb3="00000000" w:csb0="00000001" w:csb1="00000000"/>
  </w:font>
  <w:font w:name="PMingLiU">
    <w:altName w:val="Microsoft JhengHei UI"/>
    <w:panose1 w:val="02010601000101010101"/>
    <w:charset w:val="88"/>
    <w:family w:val="roman"/>
    <w:pitch w:val="default"/>
    <w:sig w:usb0="A00002FF" w:usb1="28CFFCFA" w:usb2="00000016" w:usb3="00000000" w:csb0="00100001" w:csb1="00000000"/>
  </w:font>
  <w:font w:name="Univers">
    <w:altName w:val="Segoe Print"/>
    <w:panose1 w:val="00000000000000000000"/>
    <w:charset w:val="00"/>
    <w:family w:val="swiss"/>
    <w:pitch w:val="default"/>
    <w:sig w:usb0="80000287" w:usb1="00000000" w:usb2="00000000" w:usb3="00000000" w:csb0="0000000F" w:csb1="00000000"/>
  </w:font>
  <w:font w:name="Tms Rmn">
    <w:altName w:val="Segoe Print"/>
    <w:panose1 w:val="02020603040505020304"/>
    <w:charset w:val="00"/>
    <w:family w:val="roman"/>
    <w:pitch w:val="default"/>
    <w:sig w:usb0="00000003" w:usb1="00000000" w:usb2="00000000" w:usb3="00000000" w:csb0="00000001" w:csb1="00000000"/>
  </w:font>
  <w:font w:name="Microsoft JhengHei">
    <w:panose1 w:val="020B0604030504040204"/>
    <w:charset w:val="88"/>
    <w:family w:val="swiss"/>
    <w:pitch w:val="default"/>
    <w:sig w:usb0="000002A7" w:usb1="28CF4400" w:usb2="00000016" w:usb3="00000000" w:csb0="00100009"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17</w:t>
    </w:r>
    <w:r>
      <w:rPr>
        <w:sz w:val="21"/>
        <w:szCs w:val="21"/>
      </w:rPr>
      <w:fldChar w:fldCharType="end"/>
    </w:r>
  </w:p>
  <w:p>
    <w:pPr>
      <w:pStyle w:val="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137</w:t>
    </w:r>
    <w:r>
      <w:rPr>
        <w:sz w:val="21"/>
        <w:szCs w:val="21"/>
      </w:rPr>
      <w:fldChar w:fldCharType="end"/>
    </w:r>
  </w:p>
  <w:p>
    <w:pPr>
      <w:pStyle w:val="4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both"/>
      <w:rPr>
        <w:rFonts w:hint="eastAsia"/>
      </w:rPr>
    </w:pPr>
    <w:r>
      <w:rPr>
        <w:rFonts w:hint="eastAsia"/>
      </w:rPr>
      <w:t>南通轨道交通集团有限公司运营分公司2024年1、2号线接触网车辆段增设可视化接地装置采购项目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tabs>
        <w:tab w:val="clear" w:pos="4153"/>
        <w:tab w:val="clear" w:pos="8306"/>
      </w:tabs>
      <w:snapToGrid/>
      <w:jc w:val="left"/>
      <w:rPr>
        <w:sz w:val="21"/>
        <w:szCs w:val="21"/>
      </w:rPr>
    </w:pPr>
    <w:r>
      <w:rPr>
        <w:rFonts w:hint="eastAsia"/>
        <w:sz w:val="21"/>
        <w:szCs w:val="21"/>
      </w:rPr>
      <w:t>南通轨道交通集团有限公司运营分公司2024年1、2号线接触网车辆段增设可视化接地装置采购项目</w:t>
    </w:r>
    <w:r>
      <w:rPr>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38EFA9"/>
    <w:multiLevelType w:val="singleLevel"/>
    <w:tmpl w:val="F538EFA9"/>
    <w:lvl w:ilvl="0" w:tentative="0">
      <w:start w:val="1"/>
      <w:numFmt w:val="decimalEnclosedCircleChinese"/>
      <w:suff w:val="nothing"/>
      <w:lvlText w:val="%1　"/>
      <w:lvlJc w:val="left"/>
      <w:pPr>
        <w:ind w:left="0" w:firstLine="400"/>
      </w:pPr>
      <w:rPr>
        <w:rFonts w:hint="eastAsia"/>
      </w:rPr>
    </w:lvl>
  </w:abstractNum>
  <w:abstractNum w:abstractNumId="1">
    <w:nsid w:val="0000001B"/>
    <w:multiLevelType w:val="multilevel"/>
    <w:tmpl w:val="0000001B"/>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46"/>
        </w:tabs>
        <w:ind w:left="1246" w:hanging="4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E160DA"/>
    <w:multiLevelType w:val="multilevel"/>
    <w:tmpl w:val="00E160DA"/>
    <w:lvl w:ilvl="0" w:tentative="0">
      <w:start w:val="1"/>
      <w:numFmt w:val="decimal"/>
      <w:lvlText w:val="%1."/>
      <w:lvlJc w:val="left"/>
      <w:pPr>
        <w:ind w:left="420" w:hanging="420"/>
      </w:pPr>
    </w:lvl>
    <w:lvl w:ilvl="1" w:tentative="0">
      <w:start w:val="1"/>
      <w:numFmt w:val="decimal"/>
      <w:isLgl/>
      <w:lvlText w:val="%1.%2"/>
      <w:lvlJc w:val="left"/>
      <w:pPr>
        <w:ind w:left="1442" w:hanging="960"/>
      </w:pPr>
      <w:rPr>
        <w:rFonts w:hint="default"/>
      </w:rPr>
    </w:lvl>
    <w:lvl w:ilvl="2" w:tentative="0">
      <w:start w:val="1"/>
      <w:numFmt w:val="decimal"/>
      <w:isLgl/>
      <w:lvlText w:val="%1.%2.%3"/>
      <w:lvlJc w:val="left"/>
      <w:pPr>
        <w:ind w:left="1924" w:hanging="960"/>
      </w:pPr>
      <w:rPr>
        <w:rFonts w:hint="default"/>
      </w:rPr>
    </w:lvl>
    <w:lvl w:ilvl="3" w:tentative="0">
      <w:start w:val="1"/>
      <w:numFmt w:val="decimal"/>
      <w:isLgl/>
      <w:lvlText w:val="%1.%2.%3.%4"/>
      <w:lvlJc w:val="left"/>
      <w:pPr>
        <w:ind w:left="2406" w:hanging="960"/>
      </w:pPr>
      <w:rPr>
        <w:rFonts w:hint="default"/>
      </w:rPr>
    </w:lvl>
    <w:lvl w:ilvl="4" w:tentative="0">
      <w:start w:val="1"/>
      <w:numFmt w:val="decimal"/>
      <w:isLgl/>
      <w:lvlText w:val="%1.%2.%3.%4.%5"/>
      <w:lvlJc w:val="left"/>
      <w:pPr>
        <w:ind w:left="3008" w:hanging="1080"/>
      </w:pPr>
      <w:rPr>
        <w:rFonts w:hint="default"/>
      </w:rPr>
    </w:lvl>
    <w:lvl w:ilvl="5" w:tentative="0">
      <w:start w:val="1"/>
      <w:numFmt w:val="decimal"/>
      <w:isLgl/>
      <w:lvlText w:val="%1.%2.%3.%4.%5.%6"/>
      <w:lvlJc w:val="left"/>
      <w:pPr>
        <w:ind w:left="3490" w:hanging="1080"/>
      </w:pPr>
      <w:rPr>
        <w:rFonts w:hint="default"/>
      </w:rPr>
    </w:lvl>
    <w:lvl w:ilvl="6" w:tentative="0">
      <w:start w:val="1"/>
      <w:numFmt w:val="decimal"/>
      <w:isLgl/>
      <w:lvlText w:val="%1.%2.%3.%4.%5.%6.%7"/>
      <w:lvlJc w:val="left"/>
      <w:pPr>
        <w:ind w:left="3972" w:hanging="1080"/>
      </w:pPr>
      <w:rPr>
        <w:rFonts w:hint="default"/>
      </w:rPr>
    </w:lvl>
    <w:lvl w:ilvl="7" w:tentative="0">
      <w:start w:val="1"/>
      <w:numFmt w:val="decimal"/>
      <w:isLgl/>
      <w:lvlText w:val="%1.%2.%3.%4.%5.%6.%7.%8"/>
      <w:lvlJc w:val="left"/>
      <w:pPr>
        <w:ind w:left="4814" w:hanging="1440"/>
      </w:pPr>
      <w:rPr>
        <w:rFonts w:hint="default"/>
      </w:rPr>
    </w:lvl>
    <w:lvl w:ilvl="8" w:tentative="0">
      <w:start w:val="1"/>
      <w:numFmt w:val="decimal"/>
      <w:isLgl/>
      <w:lvlText w:val="%1.%2.%3.%4.%5.%6.%7.%8.%9"/>
      <w:lvlJc w:val="left"/>
      <w:pPr>
        <w:ind w:left="5296" w:hanging="1440"/>
      </w:pPr>
      <w:rPr>
        <w:rFonts w:hint="default"/>
      </w:rPr>
    </w:lvl>
  </w:abstractNum>
  <w:abstractNum w:abstractNumId="3">
    <w:nsid w:val="010670B0"/>
    <w:multiLevelType w:val="multilevel"/>
    <w:tmpl w:val="010670B0"/>
    <w:lvl w:ilvl="0" w:tentative="0">
      <w:start w:val="1"/>
      <w:numFmt w:val="decimal"/>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A2443B9"/>
    <w:multiLevelType w:val="multilevel"/>
    <w:tmpl w:val="0A2443B9"/>
    <w:lvl w:ilvl="0" w:tentative="0">
      <w:start w:val="1"/>
      <w:numFmt w:val="lowerLetter"/>
      <w:lvlText w:val="%1、"/>
      <w:lvlJc w:val="left"/>
      <w:pPr>
        <w:ind w:left="360" w:hanging="360"/>
      </w:pPr>
      <w:rPr>
        <w:rFonts w:hint="default" w:ascii="宋体" w:hAnsi="宋体" w:eastAsia="宋体"/>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5127897"/>
    <w:multiLevelType w:val="multilevel"/>
    <w:tmpl w:val="15127897"/>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5B50072"/>
    <w:multiLevelType w:val="multilevel"/>
    <w:tmpl w:val="15B5007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8436E71"/>
    <w:multiLevelType w:val="multilevel"/>
    <w:tmpl w:val="18436E71"/>
    <w:lvl w:ilvl="0" w:tentative="0">
      <w:start w:val="1"/>
      <w:numFmt w:val="chineseCountingThousand"/>
      <w:lvlText w:val="%1、"/>
      <w:lvlJc w:val="left"/>
      <w:pPr>
        <w:ind w:left="3539" w:hanging="420"/>
      </w:pPr>
      <w:rPr>
        <w:rFonts w:hint="eastAsia"/>
        <w:strike w:val="0"/>
        <w:dstrike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ADDD70B"/>
    <w:multiLevelType w:val="singleLevel"/>
    <w:tmpl w:val="1ADDD70B"/>
    <w:lvl w:ilvl="0" w:tentative="0">
      <w:start w:val="1"/>
      <w:numFmt w:val="decimal"/>
      <w:lvlText w:val="(%1)"/>
      <w:lvlJc w:val="left"/>
      <w:pPr>
        <w:ind w:left="425" w:hanging="425"/>
      </w:pPr>
      <w:rPr>
        <w:rFonts w:hint="default"/>
      </w:rPr>
    </w:lvl>
  </w:abstractNum>
  <w:abstractNum w:abstractNumId="9">
    <w:nsid w:val="299EEBAA"/>
    <w:multiLevelType w:val="singleLevel"/>
    <w:tmpl w:val="299EEBAA"/>
    <w:lvl w:ilvl="0" w:tentative="0">
      <w:start w:val="1"/>
      <w:numFmt w:val="decimalEnclosedCircleChinese"/>
      <w:suff w:val="nothing"/>
      <w:lvlText w:val="%1　"/>
      <w:lvlJc w:val="left"/>
      <w:pPr>
        <w:ind w:left="0" w:firstLine="400"/>
      </w:pPr>
      <w:rPr>
        <w:rFonts w:hint="eastAsia"/>
      </w:rPr>
    </w:lvl>
  </w:abstractNum>
  <w:abstractNum w:abstractNumId="10">
    <w:nsid w:val="31EF5505"/>
    <w:multiLevelType w:val="multilevel"/>
    <w:tmpl w:val="31EF5505"/>
    <w:lvl w:ilvl="0" w:tentative="0">
      <w:start w:val="1"/>
      <w:numFmt w:val="decimal"/>
      <w:lvlText w:val="%1."/>
      <w:lvlJc w:val="left"/>
      <w:pPr>
        <w:ind w:left="420" w:hanging="420"/>
      </w:pPr>
    </w:lvl>
    <w:lvl w:ilvl="1" w:tentative="0">
      <w:start w:val="1"/>
      <w:numFmt w:val="decimal"/>
      <w:isLgl/>
      <w:lvlText w:val="%1.%2"/>
      <w:lvlJc w:val="left"/>
      <w:pPr>
        <w:ind w:left="570" w:hanging="360"/>
      </w:pPr>
      <w:rPr>
        <w:rFonts w:hint="default"/>
      </w:rPr>
    </w:lvl>
    <w:lvl w:ilvl="2" w:tentative="0">
      <w:start w:val="1"/>
      <w:numFmt w:val="decimal"/>
      <w:isLgl/>
      <w:lvlText w:val="%1.%2.%3"/>
      <w:lvlJc w:val="left"/>
      <w:pPr>
        <w:ind w:left="1140" w:hanging="720"/>
      </w:pPr>
      <w:rPr>
        <w:rFonts w:hint="default"/>
      </w:rPr>
    </w:lvl>
    <w:lvl w:ilvl="3" w:tentative="0">
      <w:start w:val="1"/>
      <w:numFmt w:val="decimal"/>
      <w:isLgl/>
      <w:lvlText w:val="%1.%2.%3.%4"/>
      <w:lvlJc w:val="left"/>
      <w:pPr>
        <w:ind w:left="1710" w:hanging="1080"/>
      </w:pPr>
      <w:rPr>
        <w:rFonts w:hint="default"/>
      </w:rPr>
    </w:lvl>
    <w:lvl w:ilvl="4" w:tentative="0">
      <w:start w:val="1"/>
      <w:numFmt w:val="decimal"/>
      <w:isLgl/>
      <w:lvlText w:val="%1.%2.%3.%4.%5"/>
      <w:lvlJc w:val="left"/>
      <w:pPr>
        <w:ind w:left="1920" w:hanging="1080"/>
      </w:pPr>
      <w:rPr>
        <w:rFonts w:hint="default"/>
      </w:rPr>
    </w:lvl>
    <w:lvl w:ilvl="5" w:tentative="0">
      <w:start w:val="1"/>
      <w:numFmt w:val="decimal"/>
      <w:isLgl/>
      <w:lvlText w:val="%1.%2.%3.%4.%5.%6"/>
      <w:lvlJc w:val="left"/>
      <w:pPr>
        <w:ind w:left="2490" w:hanging="1440"/>
      </w:pPr>
      <w:rPr>
        <w:rFonts w:hint="default"/>
      </w:rPr>
    </w:lvl>
    <w:lvl w:ilvl="6" w:tentative="0">
      <w:start w:val="1"/>
      <w:numFmt w:val="decimal"/>
      <w:isLgl/>
      <w:lvlText w:val="%1.%2.%3.%4.%5.%6.%7"/>
      <w:lvlJc w:val="left"/>
      <w:pPr>
        <w:ind w:left="2700" w:hanging="1440"/>
      </w:pPr>
      <w:rPr>
        <w:rFonts w:hint="default"/>
      </w:rPr>
    </w:lvl>
    <w:lvl w:ilvl="7" w:tentative="0">
      <w:start w:val="1"/>
      <w:numFmt w:val="decimal"/>
      <w:isLgl/>
      <w:lvlText w:val="%1.%2.%3.%4.%5.%6.%7.%8"/>
      <w:lvlJc w:val="left"/>
      <w:pPr>
        <w:ind w:left="3270" w:hanging="1800"/>
      </w:pPr>
      <w:rPr>
        <w:rFonts w:hint="default"/>
      </w:rPr>
    </w:lvl>
    <w:lvl w:ilvl="8" w:tentative="0">
      <w:start w:val="1"/>
      <w:numFmt w:val="decimal"/>
      <w:isLgl/>
      <w:lvlText w:val="%1.%2.%3.%4.%5.%6.%7.%8.%9"/>
      <w:lvlJc w:val="left"/>
      <w:pPr>
        <w:ind w:left="3480" w:hanging="1800"/>
      </w:pPr>
      <w:rPr>
        <w:rFonts w:hint="default"/>
      </w:rPr>
    </w:lvl>
  </w:abstractNum>
  <w:abstractNum w:abstractNumId="11">
    <w:nsid w:val="39E125CA"/>
    <w:multiLevelType w:val="multilevel"/>
    <w:tmpl w:val="39E125C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EE3428A"/>
    <w:multiLevelType w:val="multilevel"/>
    <w:tmpl w:val="3EE3428A"/>
    <w:lvl w:ilvl="0" w:tentative="0">
      <w:start w:val="1"/>
      <w:numFmt w:val="chineseCountingThousand"/>
      <w:lvlText w:val="（%1）"/>
      <w:lvlJc w:val="left"/>
      <w:pPr>
        <w:ind w:left="1284" w:hanging="420"/>
      </w:pPr>
      <w:rPr>
        <w:rFonts w:hint="eastAsia"/>
      </w:rPr>
    </w:lvl>
    <w:lvl w:ilvl="1" w:tentative="0">
      <w:start w:val="1"/>
      <w:numFmt w:val="lowerLetter"/>
      <w:lvlText w:val="%2)"/>
      <w:lvlJc w:val="left"/>
      <w:pPr>
        <w:ind w:left="1704" w:hanging="420"/>
      </w:pPr>
    </w:lvl>
    <w:lvl w:ilvl="2" w:tentative="0">
      <w:start w:val="1"/>
      <w:numFmt w:val="lowerRoman"/>
      <w:lvlText w:val="%3."/>
      <w:lvlJc w:val="right"/>
      <w:pPr>
        <w:ind w:left="2124" w:hanging="420"/>
      </w:pPr>
    </w:lvl>
    <w:lvl w:ilvl="3" w:tentative="0">
      <w:start w:val="1"/>
      <w:numFmt w:val="decimal"/>
      <w:lvlText w:val="%4."/>
      <w:lvlJc w:val="left"/>
      <w:pPr>
        <w:ind w:left="2544" w:hanging="420"/>
      </w:pPr>
    </w:lvl>
    <w:lvl w:ilvl="4" w:tentative="0">
      <w:start w:val="1"/>
      <w:numFmt w:val="lowerLetter"/>
      <w:lvlText w:val="%5)"/>
      <w:lvlJc w:val="left"/>
      <w:pPr>
        <w:ind w:left="2964" w:hanging="420"/>
      </w:pPr>
    </w:lvl>
    <w:lvl w:ilvl="5" w:tentative="0">
      <w:start w:val="1"/>
      <w:numFmt w:val="lowerRoman"/>
      <w:lvlText w:val="%6."/>
      <w:lvlJc w:val="right"/>
      <w:pPr>
        <w:ind w:left="3384" w:hanging="420"/>
      </w:pPr>
    </w:lvl>
    <w:lvl w:ilvl="6" w:tentative="0">
      <w:start w:val="1"/>
      <w:numFmt w:val="decimal"/>
      <w:lvlText w:val="%7."/>
      <w:lvlJc w:val="left"/>
      <w:pPr>
        <w:ind w:left="3804" w:hanging="420"/>
      </w:pPr>
    </w:lvl>
    <w:lvl w:ilvl="7" w:tentative="0">
      <w:start w:val="1"/>
      <w:numFmt w:val="lowerLetter"/>
      <w:lvlText w:val="%8)"/>
      <w:lvlJc w:val="left"/>
      <w:pPr>
        <w:ind w:left="4224" w:hanging="420"/>
      </w:pPr>
    </w:lvl>
    <w:lvl w:ilvl="8" w:tentative="0">
      <w:start w:val="1"/>
      <w:numFmt w:val="lowerRoman"/>
      <w:lvlText w:val="%9."/>
      <w:lvlJc w:val="right"/>
      <w:pPr>
        <w:ind w:left="4644" w:hanging="420"/>
      </w:pPr>
    </w:lvl>
  </w:abstractNum>
  <w:abstractNum w:abstractNumId="13">
    <w:nsid w:val="43FF6A97"/>
    <w:multiLevelType w:val="multilevel"/>
    <w:tmpl w:val="43FF6A97"/>
    <w:lvl w:ilvl="0" w:tentative="0">
      <w:start w:val="1"/>
      <w:numFmt w:val="none"/>
      <w:pStyle w:val="2"/>
      <w:lvlText w:val="1.1.17"/>
      <w:lvlJc w:val="left"/>
      <w:pPr>
        <w:ind w:left="432" w:hanging="432"/>
      </w:pPr>
      <w:rPr>
        <w:rFonts w:hint="default" w:ascii="宋体" w:hAnsi="宋体" w:eastAsia="宋体" w:cs="宋体"/>
      </w:rPr>
    </w:lvl>
    <w:lvl w:ilvl="1" w:tentative="0">
      <w:start w:val="1"/>
      <w:numFmt w:val="decimal"/>
      <w:pStyle w:val="3"/>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pStyle w:val="6"/>
      <w:lvlText w:val="%1.%2.%3.%4."/>
      <w:lvlJc w:val="left"/>
      <w:pPr>
        <w:ind w:left="864" w:hanging="864"/>
      </w:pPr>
      <w:rPr>
        <w:rFonts w:hint="default"/>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abstractNum w:abstractNumId="14">
    <w:nsid w:val="45756677"/>
    <w:multiLevelType w:val="multilevel"/>
    <w:tmpl w:val="45756677"/>
    <w:lvl w:ilvl="0" w:tentative="0">
      <w:start w:val="2"/>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4A403093"/>
    <w:multiLevelType w:val="multilevel"/>
    <w:tmpl w:val="4A403093"/>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6">
    <w:nsid w:val="4BF59697"/>
    <w:multiLevelType w:val="singleLevel"/>
    <w:tmpl w:val="4BF59697"/>
    <w:lvl w:ilvl="0" w:tentative="0">
      <w:start w:val="1"/>
      <w:numFmt w:val="decimal"/>
      <w:suff w:val="nothing"/>
      <w:lvlText w:val="（%1）"/>
      <w:lvlJc w:val="left"/>
    </w:lvl>
  </w:abstractNum>
  <w:abstractNum w:abstractNumId="17">
    <w:nsid w:val="57A2ECA0"/>
    <w:multiLevelType w:val="singleLevel"/>
    <w:tmpl w:val="57A2ECA0"/>
    <w:lvl w:ilvl="0" w:tentative="0">
      <w:start w:val="1"/>
      <w:numFmt w:val="decimal"/>
      <w:suff w:val="nothing"/>
      <w:lvlText w:val="（%1）"/>
      <w:lvlJc w:val="left"/>
    </w:lvl>
  </w:abstractNum>
  <w:abstractNum w:abstractNumId="18">
    <w:nsid w:val="6BFB54DB"/>
    <w:multiLevelType w:val="multilevel"/>
    <w:tmpl w:val="6BFB54DB"/>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70525B72"/>
    <w:multiLevelType w:val="multilevel"/>
    <w:tmpl w:val="70525B72"/>
    <w:lvl w:ilvl="0" w:tentative="0">
      <w:start w:val="1"/>
      <w:numFmt w:val="none"/>
      <w:lvlText w:val="1.1.17"/>
      <w:lvlJc w:val="left"/>
      <w:pPr>
        <w:ind w:left="432" w:hanging="432"/>
      </w:pPr>
      <w:rPr>
        <w:rFonts w:hint="default" w:ascii="宋体" w:hAnsi="宋体" w:eastAsia="宋体" w:cs="宋体"/>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0">
    <w:nsid w:val="709127EC"/>
    <w:multiLevelType w:val="multilevel"/>
    <w:tmpl w:val="709127EC"/>
    <w:lvl w:ilvl="0" w:tentative="0">
      <w:start w:val="1"/>
      <w:numFmt w:val="japaneseCounting"/>
      <w:lvlText w:val="第%1章"/>
      <w:lvlJc w:val="left"/>
      <w:pPr>
        <w:ind w:left="1440" w:hanging="14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7563191C"/>
    <w:multiLevelType w:val="multilevel"/>
    <w:tmpl w:val="7563191C"/>
    <w:lvl w:ilvl="0" w:tentative="0">
      <w:start w:val="2"/>
      <w:numFmt w:val="decimal"/>
      <w:lvlText w:val="%1"/>
      <w:lvlJc w:val="left"/>
      <w:pPr>
        <w:ind w:left="360" w:hanging="360"/>
      </w:pPr>
      <w:rPr>
        <w:rFonts w:hint="default"/>
      </w:rPr>
    </w:lvl>
    <w:lvl w:ilvl="1" w:tentative="0">
      <w:start w:val="1"/>
      <w:numFmt w:val="decimal"/>
      <w:lvlText w:val="%1.%2"/>
      <w:lvlJc w:val="left"/>
      <w:pPr>
        <w:ind w:left="1368" w:hanging="360"/>
      </w:pPr>
      <w:rPr>
        <w:rFonts w:hint="default"/>
      </w:rPr>
    </w:lvl>
    <w:lvl w:ilvl="2" w:tentative="0">
      <w:start w:val="1"/>
      <w:numFmt w:val="decimal"/>
      <w:lvlText w:val="%1.%2.%3"/>
      <w:lvlJc w:val="left"/>
      <w:pPr>
        <w:ind w:left="2736" w:hanging="720"/>
      </w:pPr>
      <w:rPr>
        <w:rFonts w:hint="default"/>
      </w:rPr>
    </w:lvl>
    <w:lvl w:ilvl="3" w:tentative="0">
      <w:start w:val="1"/>
      <w:numFmt w:val="decimal"/>
      <w:lvlText w:val="%1.%2.%3.%4"/>
      <w:lvlJc w:val="left"/>
      <w:pPr>
        <w:ind w:left="3744" w:hanging="720"/>
      </w:pPr>
      <w:rPr>
        <w:rFonts w:hint="default"/>
      </w:rPr>
    </w:lvl>
    <w:lvl w:ilvl="4" w:tentative="0">
      <w:start w:val="1"/>
      <w:numFmt w:val="decimal"/>
      <w:lvlText w:val="%1.%2.%3.%4.%5"/>
      <w:lvlJc w:val="left"/>
      <w:pPr>
        <w:ind w:left="5112" w:hanging="1080"/>
      </w:pPr>
      <w:rPr>
        <w:rFonts w:hint="default"/>
      </w:rPr>
    </w:lvl>
    <w:lvl w:ilvl="5" w:tentative="0">
      <w:start w:val="1"/>
      <w:numFmt w:val="decimal"/>
      <w:lvlText w:val="%1.%2.%3.%4.%5.%6"/>
      <w:lvlJc w:val="left"/>
      <w:pPr>
        <w:ind w:left="6120" w:hanging="1080"/>
      </w:pPr>
      <w:rPr>
        <w:rFonts w:hint="default"/>
      </w:rPr>
    </w:lvl>
    <w:lvl w:ilvl="6" w:tentative="0">
      <w:start w:val="1"/>
      <w:numFmt w:val="decimal"/>
      <w:lvlText w:val="%1.%2.%3.%4.%5.%6.%7"/>
      <w:lvlJc w:val="left"/>
      <w:pPr>
        <w:ind w:left="7128" w:hanging="1080"/>
      </w:pPr>
      <w:rPr>
        <w:rFonts w:hint="default"/>
      </w:rPr>
    </w:lvl>
    <w:lvl w:ilvl="7" w:tentative="0">
      <w:start w:val="1"/>
      <w:numFmt w:val="decimal"/>
      <w:lvlText w:val="%1.%2.%3.%4.%5.%6.%7.%8"/>
      <w:lvlJc w:val="left"/>
      <w:pPr>
        <w:ind w:left="8496" w:hanging="1440"/>
      </w:pPr>
      <w:rPr>
        <w:rFonts w:hint="default"/>
      </w:rPr>
    </w:lvl>
    <w:lvl w:ilvl="8" w:tentative="0">
      <w:start w:val="1"/>
      <w:numFmt w:val="decimal"/>
      <w:lvlText w:val="%1.%2.%3.%4.%5.%6.%7.%8.%9"/>
      <w:lvlJc w:val="left"/>
      <w:pPr>
        <w:ind w:left="9504" w:hanging="1440"/>
      </w:pPr>
      <w:rPr>
        <w:rFonts w:hint="default"/>
      </w:rPr>
    </w:lvl>
  </w:abstractNum>
  <w:abstractNum w:abstractNumId="22">
    <w:nsid w:val="7D0B5182"/>
    <w:multiLevelType w:val="multilevel"/>
    <w:tmpl w:val="7D0B5182"/>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EB36FB3"/>
    <w:multiLevelType w:val="singleLevel"/>
    <w:tmpl w:val="7EB36FB3"/>
    <w:lvl w:ilvl="0" w:tentative="0">
      <w:start w:val="1"/>
      <w:numFmt w:val="decimalEnclosedCircleChinese"/>
      <w:suff w:val="nothing"/>
      <w:lvlText w:val="%1　"/>
      <w:lvlJc w:val="left"/>
      <w:pPr>
        <w:ind w:left="0" w:firstLine="400"/>
      </w:pPr>
      <w:rPr>
        <w:rFonts w:hint="eastAsia"/>
      </w:rPr>
    </w:lvl>
  </w:abstractNum>
  <w:num w:numId="1">
    <w:abstractNumId w:val="13"/>
  </w:num>
  <w:num w:numId="2">
    <w:abstractNumId w:val="20"/>
  </w:num>
  <w:num w:numId="3">
    <w:abstractNumId w:val="10"/>
  </w:num>
  <w:num w:numId="4">
    <w:abstractNumId w:val="4"/>
  </w:num>
  <w:num w:numId="5">
    <w:abstractNumId w:val="8"/>
  </w:num>
  <w:num w:numId="6">
    <w:abstractNumId w:val="5"/>
  </w:num>
  <w:num w:numId="7">
    <w:abstractNumId w:val="9"/>
  </w:num>
  <w:num w:numId="8">
    <w:abstractNumId w:val="0"/>
  </w:num>
  <w:num w:numId="9">
    <w:abstractNumId w:val="23"/>
  </w:num>
  <w:num w:numId="10">
    <w:abstractNumId w:val="16"/>
  </w:num>
  <w:num w:numId="11">
    <w:abstractNumId w:val="2"/>
  </w:num>
  <w:num w:numId="12">
    <w:abstractNumId w:val="18"/>
  </w:num>
  <w:num w:numId="13">
    <w:abstractNumId w:val="17"/>
  </w:num>
  <w:num w:numId="14">
    <w:abstractNumId w:val="7"/>
  </w:num>
  <w:num w:numId="15">
    <w:abstractNumId w:val="3"/>
  </w:num>
  <w:num w:numId="16">
    <w:abstractNumId w:val="14"/>
  </w:num>
  <w:num w:numId="17">
    <w:abstractNumId w:val="11"/>
  </w:num>
  <w:num w:numId="18">
    <w:abstractNumId w:val="12"/>
  </w:num>
  <w:num w:numId="19">
    <w:abstractNumId w:val="6"/>
  </w:num>
  <w:num w:numId="20">
    <w:abstractNumId w:val="22"/>
  </w:num>
  <w:num w:numId="21">
    <w:abstractNumId w:val="19"/>
  </w:num>
  <w:num w:numId="22">
    <w:abstractNumId w:val="15"/>
  </w:num>
  <w:num w:numId="23">
    <w:abstractNumId w:val="21"/>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50"/>
  <w:hyphenationZone w:val="360"/>
  <w:drawingGridHorizontalSpacing w:val="209"/>
  <w:drawingGridVerticalSpacing w:val="325"/>
  <w:displayHorizontalDrawingGridEvery w:val="1"/>
  <w:displayVerticalDrawingGridEvery w:val="1"/>
  <w:noPunctuationKerning w:val="1"/>
  <w:characterSpacingControl w:val="doNotCompress"/>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xNjYyMjA5Njc4Zjk3NmZmYTc1NGUyNmQzMTkzNmMifQ=="/>
    <w:docVar w:name="KSO_WPS_MARK_KEY" w:val="d8da73b5-2912-4c60-bc9f-1bc3eee4a6ef"/>
  </w:docVars>
  <w:rsids>
    <w:rsidRoot w:val="00172A27"/>
    <w:rsid w:val="000026C5"/>
    <w:rsid w:val="00003807"/>
    <w:rsid w:val="00003C7F"/>
    <w:rsid w:val="00013396"/>
    <w:rsid w:val="0002019F"/>
    <w:rsid w:val="00025217"/>
    <w:rsid w:val="000258B4"/>
    <w:rsid w:val="00025F91"/>
    <w:rsid w:val="00035655"/>
    <w:rsid w:val="00040F0B"/>
    <w:rsid w:val="000452DF"/>
    <w:rsid w:val="00054379"/>
    <w:rsid w:val="000608DF"/>
    <w:rsid w:val="00073853"/>
    <w:rsid w:val="00083961"/>
    <w:rsid w:val="00085A48"/>
    <w:rsid w:val="00085AD1"/>
    <w:rsid w:val="00087AF1"/>
    <w:rsid w:val="00092B95"/>
    <w:rsid w:val="0009440A"/>
    <w:rsid w:val="00096305"/>
    <w:rsid w:val="000A0F2F"/>
    <w:rsid w:val="000A3396"/>
    <w:rsid w:val="000B165E"/>
    <w:rsid w:val="000B4EEB"/>
    <w:rsid w:val="000C7192"/>
    <w:rsid w:val="000D2D14"/>
    <w:rsid w:val="000F4270"/>
    <w:rsid w:val="001009C0"/>
    <w:rsid w:val="001033E4"/>
    <w:rsid w:val="001041DD"/>
    <w:rsid w:val="00104493"/>
    <w:rsid w:val="00107E1C"/>
    <w:rsid w:val="00116DE3"/>
    <w:rsid w:val="001277BF"/>
    <w:rsid w:val="00133E6E"/>
    <w:rsid w:val="001355F5"/>
    <w:rsid w:val="00140E10"/>
    <w:rsid w:val="00141740"/>
    <w:rsid w:val="00143F6E"/>
    <w:rsid w:val="00150AF0"/>
    <w:rsid w:val="00150D78"/>
    <w:rsid w:val="001520BC"/>
    <w:rsid w:val="001551B9"/>
    <w:rsid w:val="001569FB"/>
    <w:rsid w:val="00157A0B"/>
    <w:rsid w:val="001609ED"/>
    <w:rsid w:val="00163A4A"/>
    <w:rsid w:val="0017562C"/>
    <w:rsid w:val="001826BC"/>
    <w:rsid w:val="00185AFC"/>
    <w:rsid w:val="00186D84"/>
    <w:rsid w:val="001908ED"/>
    <w:rsid w:val="0019536F"/>
    <w:rsid w:val="00196EE7"/>
    <w:rsid w:val="00197843"/>
    <w:rsid w:val="001A0E0C"/>
    <w:rsid w:val="001A2FD8"/>
    <w:rsid w:val="001A7F5E"/>
    <w:rsid w:val="001C5A3A"/>
    <w:rsid w:val="001C5F96"/>
    <w:rsid w:val="001D0C3D"/>
    <w:rsid w:val="001D3D47"/>
    <w:rsid w:val="001E3B22"/>
    <w:rsid w:val="001E3C80"/>
    <w:rsid w:val="001E4DD6"/>
    <w:rsid w:val="001E52D1"/>
    <w:rsid w:val="001F0A5C"/>
    <w:rsid w:val="001F3DDC"/>
    <w:rsid w:val="001F46AD"/>
    <w:rsid w:val="001F67EE"/>
    <w:rsid w:val="00203CBB"/>
    <w:rsid w:val="00204AB5"/>
    <w:rsid w:val="002059AD"/>
    <w:rsid w:val="00211D27"/>
    <w:rsid w:val="002146DE"/>
    <w:rsid w:val="00217EBE"/>
    <w:rsid w:val="00231252"/>
    <w:rsid w:val="00237328"/>
    <w:rsid w:val="00243D56"/>
    <w:rsid w:val="00244F23"/>
    <w:rsid w:val="00250B05"/>
    <w:rsid w:val="00251E37"/>
    <w:rsid w:val="0025318F"/>
    <w:rsid w:val="0025588F"/>
    <w:rsid w:val="00261B15"/>
    <w:rsid w:val="00262003"/>
    <w:rsid w:val="002620A0"/>
    <w:rsid w:val="00277253"/>
    <w:rsid w:val="00285A4A"/>
    <w:rsid w:val="0029314E"/>
    <w:rsid w:val="00293387"/>
    <w:rsid w:val="00294E13"/>
    <w:rsid w:val="002A3AA6"/>
    <w:rsid w:val="002A7A5E"/>
    <w:rsid w:val="002A7D0B"/>
    <w:rsid w:val="002B16EE"/>
    <w:rsid w:val="002B6192"/>
    <w:rsid w:val="002C0368"/>
    <w:rsid w:val="002C1788"/>
    <w:rsid w:val="002C1E9D"/>
    <w:rsid w:val="002C2A84"/>
    <w:rsid w:val="002C4268"/>
    <w:rsid w:val="002C6087"/>
    <w:rsid w:val="002C7B71"/>
    <w:rsid w:val="002D0969"/>
    <w:rsid w:val="002D0CA4"/>
    <w:rsid w:val="002E101D"/>
    <w:rsid w:val="002E181D"/>
    <w:rsid w:val="002E1F61"/>
    <w:rsid w:val="002E216B"/>
    <w:rsid w:val="002E43E2"/>
    <w:rsid w:val="002F3875"/>
    <w:rsid w:val="002F43E3"/>
    <w:rsid w:val="002F5E5D"/>
    <w:rsid w:val="00301F51"/>
    <w:rsid w:val="00304380"/>
    <w:rsid w:val="003062D7"/>
    <w:rsid w:val="00312A49"/>
    <w:rsid w:val="003145BB"/>
    <w:rsid w:val="003204DF"/>
    <w:rsid w:val="00331133"/>
    <w:rsid w:val="003348FA"/>
    <w:rsid w:val="0033732B"/>
    <w:rsid w:val="00340C8D"/>
    <w:rsid w:val="00344794"/>
    <w:rsid w:val="00346556"/>
    <w:rsid w:val="0035596D"/>
    <w:rsid w:val="00361C74"/>
    <w:rsid w:val="0036794C"/>
    <w:rsid w:val="003724F8"/>
    <w:rsid w:val="003741B4"/>
    <w:rsid w:val="00382ED1"/>
    <w:rsid w:val="003830DE"/>
    <w:rsid w:val="003833A7"/>
    <w:rsid w:val="003853DD"/>
    <w:rsid w:val="00386F70"/>
    <w:rsid w:val="00390F3F"/>
    <w:rsid w:val="00397F0E"/>
    <w:rsid w:val="003A1BA4"/>
    <w:rsid w:val="003A2157"/>
    <w:rsid w:val="003A559E"/>
    <w:rsid w:val="003A6760"/>
    <w:rsid w:val="003B28D5"/>
    <w:rsid w:val="003B42CA"/>
    <w:rsid w:val="003B4518"/>
    <w:rsid w:val="003B4EA1"/>
    <w:rsid w:val="003B5D69"/>
    <w:rsid w:val="003B76A4"/>
    <w:rsid w:val="003D053F"/>
    <w:rsid w:val="003D49CA"/>
    <w:rsid w:val="003D5ADA"/>
    <w:rsid w:val="003D63D7"/>
    <w:rsid w:val="003E0DF2"/>
    <w:rsid w:val="003E1FCF"/>
    <w:rsid w:val="003E4660"/>
    <w:rsid w:val="003E53BF"/>
    <w:rsid w:val="003F1197"/>
    <w:rsid w:val="003F185F"/>
    <w:rsid w:val="003F29AC"/>
    <w:rsid w:val="003F676D"/>
    <w:rsid w:val="004022B6"/>
    <w:rsid w:val="00404834"/>
    <w:rsid w:val="0041091E"/>
    <w:rsid w:val="00414ED3"/>
    <w:rsid w:val="00415273"/>
    <w:rsid w:val="00417AE3"/>
    <w:rsid w:val="0042069B"/>
    <w:rsid w:val="0042384C"/>
    <w:rsid w:val="004245B1"/>
    <w:rsid w:val="00424FC6"/>
    <w:rsid w:val="00444655"/>
    <w:rsid w:val="00446DF8"/>
    <w:rsid w:val="00447E24"/>
    <w:rsid w:val="00451C75"/>
    <w:rsid w:val="0045473D"/>
    <w:rsid w:val="00454AC2"/>
    <w:rsid w:val="0046136E"/>
    <w:rsid w:val="0046215A"/>
    <w:rsid w:val="0046561A"/>
    <w:rsid w:val="0046683B"/>
    <w:rsid w:val="00471D71"/>
    <w:rsid w:val="00472AE4"/>
    <w:rsid w:val="0048012B"/>
    <w:rsid w:val="0048752E"/>
    <w:rsid w:val="0049579D"/>
    <w:rsid w:val="004A3AD3"/>
    <w:rsid w:val="004A579B"/>
    <w:rsid w:val="004A6B07"/>
    <w:rsid w:val="004B73A0"/>
    <w:rsid w:val="004B762C"/>
    <w:rsid w:val="004C1502"/>
    <w:rsid w:val="004C4408"/>
    <w:rsid w:val="004D1544"/>
    <w:rsid w:val="004D36E5"/>
    <w:rsid w:val="004E05C4"/>
    <w:rsid w:val="004E5BDD"/>
    <w:rsid w:val="00500047"/>
    <w:rsid w:val="00510B5F"/>
    <w:rsid w:val="0051342B"/>
    <w:rsid w:val="0052619B"/>
    <w:rsid w:val="005339E5"/>
    <w:rsid w:val="00536882"/>
    <w:rsid w:val="005417EC"/>
    <w:rsid w:val="005419FF"/>
    <w:rsid w:val="0054755B"/>
    <w:rsid w:val="005508DB"/>
    <w:rsid w:val="00553B58"/>
    <w:rsid w:val="00557A79"/>
    <w:rsid w:val="00561776"/>
    <w:rsid w:val="00561E62"/>
    <w:rsid w:val="00565624"/>
    <w:rsid w:val="00566F55"/>
    <w:rsid w:val="005708E4"/>
    <w:rsid w:val="005710A2"/>
    <w:rsid w:val="00572046"/>
    <w:rsid w:val="005754BF"/>
    <w:rsid w:val="00575B7C"/>
    <w:rsid w:val="00585EDE"/>
    <w:rsid w:val="00592368"/>
    <w:rsid w:val="00594663"/>
    <w:rsid w:val="005A1304"/>
    <w:rsid w:val="005A2A1C"/>
    <w:rsid w:val="005A57A7"/>
    <w:rsid w:val="005B4E8F"/>
    <w:rsid w:val="005C13C8"/>
    <w:rsid w:val="005C2882"/>
    <w:rsid w:val="005C395E"/>
    <w:rsid w:val="005D1B39"/>
    <w:rsid w:val="005E01C3"/>
    <w:rsid w:val="005E0CCF"/>
    <w:rsid w:val="005E1A44"/>
    <w:rsid w:val="005E3DFD"/>
    <w:rsid w:val="005E44EA"/>
    <w:rsid w:val="005F0954"/>
    <w:rsid w:val="005F0FC6"/>
    <w:rsid w:val="005F2260"/>
    <w:rsid w:val="005F34D4"/>
    <w:rsid w:val="005F44E2"/>
    <w:rsid w:val="006067E3"/>
    <w:rsid w:val="0061343E"/>
    <w:rsid w:val="00613AD2"/>
    <w:rsid w:val="006173D0"/>
    <w:rsid w:val="006174F4"/>
    <w:rsid w:val="00620427"/>
    <w:rsid w:val="006240A5"/>
    <w:rsid w:val="00630204"/>
    <w:rsid w:val="0063564D"/>
    <w:rsid w:val="006408E3"/>
    <w:rsid w:val="00641833"/>
    <w:rsid w:val="00655F10"/>
    <w:rsid w:val="006616EF"/>
    <w:rsid w:val="00662579"/>
    <w:rsid w:val="00665826"/>
    <w:rsid w:val="00666F66"/>
    <w:rsid w:val="006809AE"/>
    <w:rsid w:val="00681F4E"/>
    <w:rsid w:val="00686968"/>
    <w:rsid w:val="006A19E8"/>
    <w:rsid w:val="006A2328"/>
    <w:rsid w:val="006A4DD8"/>
    <w:rsid w:val="006A54F6"/>
    <w:rsid w:val="006B3380"/>
    <w:rsid w:val="006B34B7"/>
    <w:rsid w:val="006C09F1"/>
    <w:rsid w:val="006C1480"/>
    <w:rsid w:val="006C2C57"/>
    <w:rsid w:val="006C6954"/>
    <w:rsid w:val="006C76AB"/>
    <w:rsid w:val="006D483D"/>
    <w:rsid w:val="006E2AA4"/>
    <w:rsid w:val="006E704B"/>
    <w:rsid w:val="006E72C5"/>
    <w:rsid w:val="006F1949"/>
    <w:rsid w:val="006F2FA8"/>
    <w:rsid w:val="006F6CDE"/>
    <w:rsid w:val="00700567"/>
    <w:rsid w:val="00702A1B"/>
    <w:rsid w:val="00704329"/>
    <w:rsid w:val="00705116"/>
    <w:rsid w:val="007064C0"/>
    <w:rsid w:val="00710DA0"/>
    <w:rsid w:val="007162E3"/>
    <w:rsid w:val="0073482B"/>
    <w:rsid w:val="00735756"/>
    <w:rsid w:val="00750459"/>
    <w:rsid w:val="00750835"/>
    <w:rsid w:val="007550BB"/>
    <w:rsid w:val="00760BA5"/>
    <w:rsid w:val="00772EFA"/>
    <w:rsid w:val="00774EF7"/>
    <w:rsid w:val="007877A2"/>
    <w:rsid w:val="0079003C"/>
    <w:rsid w:val="00793CE1"/>
    <w:rsid w:val="007A02C5"/>
    <w:rsid w:val="007A3B52"/>
    <w:rsid w:val="007A6E56"/>
    <w:rsid w:val="007B05E1"/>
    <w:rsid w:val="007B4A24"/>
    <w:rsid w:val="007B59B9"/>
    <w:rsid w:val="007B6082"/>
    <w:rsid w:val="007B76B9"/>
    <w:rsid w:val="007C1625"/>
    <w:rsid w:val="007C60D2"/>
    <w:rsid w:val="007C7B51"/>
    <w:rsid w:val="007D1B72"/>
    <w:rsid w:val="007D69E9"/>
    <w:rsid w:val="007D78F7"/>
    <w:rsid w:val="007E2795"/>
    <w:rsid w:val="007F2B98"/>
    <w:rsid w:val="007F5DD5"/>
    <w:rsid w:val="007F606B"/>
    <w:rsid w:val="007F6E25"/>
    <w:rsid w:val="007F78B5"/>
    <w:rsid w:val="00802D93"/>
    <w:rsid w:val="00803CB8"/>
    <w:rsid w:val="008052BB"/>
    <w:rsid w:val="008124DB"/>
    <w:rsid w:val="0081346F"/>
    <w:rsid w:val="00815783"/>
    <w:rsid w:val="008169AD"/>
    <w:rsid w:val="00817B48"/>
    <w:rsid w:val="00832EA1"/>
    <w:rsid w:val="00840FC1"/>
    <w:rsid w:val="00844264"/>
    <w:rsid w:val="00844BDE"/>
    <w:rsid w:val="00845CE9"/>
    <w:rsid w:val="00851B45"/>
    <w:rsid w:val="0085577B"/>
    <w:rsid w:val="008564FA"/>
    <w:rsid w:val="00857D70"/>
    <w:rsid w:val="00861F57"/>
    <w:rsid w:val="0086245B"/>
    <w:rsid w:val="008625BB"/>
    <w:rsid w:val="00866C8E"/>
    <w:rsid w:val="00872110"/>
    <w:rsid w:val="0087377F"/>
    <w:rsid w:val="008744E0"/>
    <w:rsid w:val="00881400"/>
    <w:rsid w:val="00883280"/>
    <w:rsid w:val="00884AD2"/>
    <w:rsid w:val="00885960"/>
    <w:rsid w:val="0089481C"/>
    <w:rsid w:val="00896E12"/>
    <w:rsid w:val="00897B45"/>
    <w:rsid w:val="008A120D"/>
    <w:rsid w:val="008A2F8E"/>
    <w:rsid w:val="008A3114"/>
    <w:rsid w:val="008A389E"/>
    <w:rsid w:val="008A42FC"/>
    <w:rsid w:val="008B6047"/>
    <w:rsid w:val="008B74DD"/>
    <w:rsid w:val="008C14B2"/>
    <w:rsid w:val="008C16FA"/>
    <w:rsid w:val="008C6882"/>
    <w:rsid w:val="008D025C"/>
    <w:rsid w:val="008D209C"/>
    <w:rsid w:val="008D4D8B"/>
    <w:rsid w:val="008E30DA"/>
    <w:rsid w:val="008E7495"/>
    <w:rsid w:val="008F145F"/>
    <w:rsid w:val="00913A21"/>
    <w:rsid w:val="00915364"/>
    <w:rsid w:val="009168EF"/>
    <w:rsid w:val="00916C36"/>
    <w:rsid w:val="009216EC"/>
    <w:rsid w:val="009228F2"/>
    <w:rsid w:val="00926AED"/>
    <w:rsid w:val="00926C26"/>
    <w:rsid w:val="0092767B"/>
    <w:rsid w:val="00932C4B"/>
    <w:rsid w:val="00932D84"/>
    <w:rsid w:val="00934257"/>
    <w:rsid w:val="009354B9"/>
    <w:rsid w:val="009378E4"/>
    <w:rsid w:val="00941B0C"/>
    <w:rsid w:val="00941B62"/>
    <w:rsid w:val="00941FD8"/>
    <w:rsid w:val="009447BC"/>
    <w:rsid w:val="00946DFD"/>
    <w:rsid w:val="009504CF"/>
    <w:rsid w:val="009527B5"/>
    <w:rsid w:val="009536EE"/>
    <w:rsid w:val="00955494"/>
    <w:rsid w:val="009558A4"/>
    <w:rsid w:val="00962180"/>
    <w:rsid w:val="0096275B"/>
    <w:rsid w:val="009646F2"/>
    <w:rsid w:val="00965B8D"/>
    <w:rsid w:val="00970269"/>
    <w:rsid w:val="009732A9"/>
    <w:rsid w:val="00981BF1"/>
    <w:rsid w:val="009845FF"/>
    <w:rsid w:val="009942DA"/>
    <w:rsid w:val="009A492A"/>
    <w:rsid w:val="009A76DD"/>
    <w:rsid w:val="009B3818"/>
    <w:rsid w:val="009B4B41"/>
    <w:rsid w:val="009B5EFE"/>
    <w:rsid w:val="009E1808"/>
    <w:rsid w:val="009E76A3"/>
    <w:rsid w:val="009F18F4"/>
    <w:rsid w:val="00A00E0D"/>
    <w:rsid w:val="00A02078"/>
    <w:rsid w:val="00A04989"/>
    <w:rsid w:val="00A10585"/>
    <w:rsid w:val="00A108D3"/>
    <w:rsid w:val="00A15578"/>
    <w:rsid w:val="00A20158"/>
    <w:rsid w:val="00A25F59"/>
    <w:rsid w:val="00A32324"/>
    <w:rsid w:val="00A36848"/>
    <w:rsid w:val="00A37E50"/>
    <w:rsid w:val="00A410F1"/>
    <w:rsid w:val="00A42495"/>
    <w:rsid w:val="00A45A0A"/>
    <w:rsid w:val="00A4743A"/>
    <w:rsid w:val="00A4781E"/>
    <w:rsid w:val="00A47A56"/>
    <w:rsid w:val="00A57A99"/>
    <w:rsid w:val="00A72329"/>
    <w:rsid w:val="00A7428C"/>
    <w:rsid w:val="00A75676"/>
    <w:rsid w:val="00A77AFD"/>
    <w:rsid w:val="00A82EBE"/>
    <w:rsid w:val="00A848EE"/>
    <w:rsid w:val="00A91D5F"/>
    <w:rsid w:val="00A97074"/>
    <w:rsid w:val="00AA014E"/>
    <w:rsid w:val="00AA1FF5"/>
    <w:rsid w:val="00AA3117"/>
    <w:rsid w:val="00AA6214"/>
    <w:rsid w:val="00AA79A3"/>
    <w:rsid w:val="00AB15F5"/>
    <w:rsid w:val="00AB297F"/>
    <w:rsid w:val="00AB2D9F"/>
    <w:rsid w:val="00AC12D2"/>
    <w:rsid w:val="00AC3CCE"/>
    <w:rsid w:val="00AC5496"/>
    <w:rsid w:val="00AC74A1"/>
    <w:rsid w:val="00AD1F7B"/>
    <w:rsid w:val="00AD43A7"/>
    <w:rsid w:val="00AD5620"/>
    <w:rsid w:val="00AE127B"/>
    <w:rsid w:val="00AE2728"/>
    <w:rsid w:val="00AE5780"/>
    <w:rsid w:val="00AE76DD"/>
    <w:rsid w:val="00B0224F"/>
    <w:rsid w:val="00B0691E"/>
    <w:rsid w:val="00B15D56"/>
    <w:rsid w:val="00B2506E"/>
    <w:rsid w:val="00B2649D"/>
    <w:rsid w:val="00B326E4"/>
    <w:rsid w:val="00B34650"/>
    <w:rsid w:val="00B36A4F"/>
    <w:rsid w:val="00B36DFE"/>
    <w:rsid w:val="00B52107"/>
    <w:rsid w:val="00B5321E"/>
    <w:rsid w:val="00B5553E"/>
    <w:rsid w:val="00B55A78"/>
    <w:rsid w:val="00B609A7"/>
    <w:rsid w:val="00B60B8D"/>
    <w:rsid w:val="00B611DA"/>
    <w:rsid w:val="00B641CD"/>
    <w:rsid w:val="00B6477D"/>
    <w:rsid w:val="00B6794A"/>
    <w:rsid w:val="00B72923"/>
    <w:rsid w:val="00B73ACF"/>
    <w:rsid w:val="00B74455"/>
    <w:rsid w:val="00B747FF"/>
    <w:rsid w:val="00B75724"/>
    <w:rsid w:val="00B83F9F"/>
    <w:rsid w:val="00B935CF"/>
    <w:rsid w:val="00BA2C88"/>
    <w:rsid w:val="00BA4B73"/>
    <w:rsid w:val="00BA59B0"/>
    <w:rsid w:val="00BA7668"/>
    <w:rsid w:val="00BB25C0"/>
    <w:rsid w:val="00BB2A99"/>
    <w:rsid w:val="00BB77A1"/>
    <w:rsid w:val="00BC02D1"/>
    <w:rsid w:val="00BC1325"/>
    <w:rsid w:val="00BC2CA0"/>
    <w:rsid w:val="00BC5F49"/>
    <w:rsid w:val="00BC758A"/>
    <w:rsid w:val="00BD0F80"/>
    <w:rsid w:val="00BD5A4A"/>
    <w:rsid w:val="00BE3AFE"/>
    <w:rsid w:val="00BE5B6E"/>
    <w:rsid w:val="00BE77F2"/>
    <w:rsid w:val="00BE7AF5"/>
    <w:rsid w:val="00BF2E16"/>
    <w:rsid w:val="00C0326F"/>
    <w:rsid w:val="00C04051"/>
    <w:rsid w:val="00C1385B"/>
    <w:rsid w:val="00C21A1A"/>
    <w:rsid w:val="00C2200E"/>
    <w:rsid w:val="00C241B5"/>
    <w:rsid w:val="00C2470D"/>
    <w:rsid w:val="00C355B7"/>
    <w:rsid w:val="00C35B1E"/>
    <w:rsid w:val="00C4001A"/>
    <w:rsid w:val="00C436DC"/>
    <w:rsid w:val="00C449D2"/>
    <w:rsid w:val="00C53C62"/>
    <w:rsid w:val="00C60D61"/>
    <w:rsid w:val="00C61671"/>
    <w:rsid w:val="00C6629F"/>
    <w:rsid w:val="00C6657F"/>
    <w:rsid w:val="00C73B84"/>
    <w:rsid w:val="00C745CD"/>
    <w:rsid w:val="00C76218"/>
    <w:rsid w:val="00C81F70"/>
    <w:rsid w:val="00C85CC1"/>
    <w:rsid w:val="00C92DA2"/>
    <w:rsid w:val="00C935FB"/>
    <w:rsid w:val="00C93EE7"/>
    <w:rsid w:val="00C9424F"/>
    <w:rsid w:val="00C9761A"/>
    <w:rsid w:val="00CA03F5"/>
    <w:rsid w:val="00CA0B22"/>
    <w:rsid w:val="00CA3C5E"/>
    <w:rsid w:val="00CA6B60"/>
    <w:rsid w:val="00CB2526"/>
    <w:rsid w:val="00CD1725"/>
    <w:rsid w:val="00CD27C6"/>
    <w:rsid w:val="00CD6541"/>
    <w:rsid w:val="00CD7665"/>
    <w:rsid w:val="00CE405E"/>
    <w:rsid w:val="00CE4E75"/>
    <w:rsid w:val="00CE720E"/>
    <w:rsid w:val="00CF1F03"/>
    <w:rsid w:val="00CF32CC"/>
    <w:rsid w:val="00CF6ACA"/>
    <w:rsid w:val="00CF7B12"/>
    <w:rsid w:val="00D07361"/>
    <w:rsid w:val="00D14A9F"/>
    <w:rsid w:val="00D267EA"/>
    <w:rsid w:val="00D27942"/>
    <w:rsid w:val="00D27F2B"/>
    <w:rsid w:val="00D30E0A"/>
    <w:rsid w:val="00D40AA6"/>
    <w:rsid w:val="00D42916"/>
    <w:rsid w:val="00D4659C"/>
    <w:rsid w:val="00D47E01"/>
    <w:rsid w:val="00D52EE4"/>
    <w:rsid w:val="00D53590"/>
    <w:rsid w:val="00D5568F"/>
    <w:rsid w:val="00D62F7A"/>
    <w:rsid w:val="00D644C8"/>
    <w:rsid w:val="00D67BE1"/>
    <w:rsid w:val="00D705A6"/>
    <w:rsid w:val="00D73394"/>
    <w:rsid w:val="00D737A1"/>
    <w:rsid w:val="00D769EA"/>
    <w:rsid w:val="00D77B25"/>
    <w:rsid w:val="00D8127E"/>
    <w:rsid w:val="00D84EB7"/>
    <w:rsid w:val="00D90D4B"/>
    <w:rsid w:val="00D96442"/>
    <w:rsid w:val="00DA4D19"/>
    <w:rsid w:val="00DA5A42"/>
    <w:rsid w:val="00DB149B"/>
    <w:rsid w:val="00DC16ED"/>
    <w:rsid w:val="00DC4447"/>
    <w:rsid w:val="00DC5C86"/>
    <w:rsid w:val="00DC71AC"/>
    <w:rsid w:val="00DC7D12"/>
    <w:rsid w:val="00DD2488"/>
    <w:rsid w:val="00DE0218"/>
    <w:rsid w:val="00DE2039"/>
    <w:rsid w:val="00DE3B30"/>
    <w:rsid w:val="00DE516C"/>
    <w:rsid w:val="00DE7D6C"/>
    <w:rsid w:val="00DF23EA"/>
    <w:rsid w:val="00DF24C0"/>
    <w:rsid w:val="00DF2CBD"/>
    <w:rsid w:val="00DF33EE"/>
    <w:rsid w:val="00DF50A6"/>
    <w:rsid w:val="00DF5445"/>
    <w:rsid w:val="00DF6DC4"/>
    <w:rsid w:val="00E0079D"/>
    <w:rsid w:val="00E01ADF"/>
    <w:rsid w:val="00E14908"/>
    <w:rsid w:val="00E1544D"/>
    <w:rsid w:val="00E1636E"/>
    <w:rsid w:val="00E2239A"/>
    <w:rsid w:val="00E27577"/>
    <w:rsid w:val="00E27828"/>
    <w:rsid w:val="00E3096B"/>
    <w:rsid w:val="00E36039"/>
    <w:rsid w:val="00E41F07"/>
    <w:rsid w:val="00E445EB"/>
    <w:rsid w:val="00E44F49"/>
    <w:rsid w:val="00E4639E"/>
    <w:rsid w:val="00E508AC"/>
    <w:rsid w:val="00E53386"/>
    <w:rsid w:val="00E56838"/>
    <w:rsid w:val="00E60F34"/>
    <w:rsid w:val="00E65649"/>
    <w:rsid w:val="00E656EE"/>
    <w:rsid w:val="00E657FE"/>
    <w:rsid w:val="00E66CF7"/>
    <w:rsid w:val="00E714EE"/>
    <w:rsid w:val="00E7283D"/>
    <w:rsid w:val="00E73B4C"/>
    <w:rsid w:val="00E77BFB"/>
    <w:rsid w:val="00E80714"/>
    <w:rsid w:val="00E80AF7"/>
    <w:rsid w:val="00E87004"/>
    <w:rsid w:val="00E90E2E"/>
    <w:rsid w:val="00E923DF"/>
    <w:rsid w:val="00E9398B"/>
    <w:rsid w:val="00E96B67"/>
    <w:rsid w:val="00EA0F62"/>
    <w:rsid w:val="00EA5CDC"/>
    <w:rsid w:val="00EA671C"/>
    <w:rsid w:val="00EB66F5"/>
    <w:rsid w:val="00EB7AF4"/>
    <w:rsid w:val="00EC2723"/>
    <w:rsid w:val="00EC2DDA"/>
    <w:rsid w:val="00EC3CD0"/>
    <w:rsid w:val="00ED2C44"/>
    <w:rsid w:val="00ED6869"/>
    <w:rsid w:val="00EE2D9D"/>
    <w:rsid w:val="00EE416C"/>
    <w:rsid w:val="00EE599D"/>
    <w:rsid w:val="00EE7573"/>
    <w:rsid w:val="00EE78D4"/>
    <w:rsid w:val="00EF66F5"/>
    <w:rsid w:val="00EF6EC2"/>
    <w:rsid w:val="00F02A0C"/>
    <w:rsid w:val="00F0336B"/>
    <w:rsid w:val="00F038A2"/>
    <w:rsid w:val="00F0422A"/>
    <w:rsid w:val="00F14408"/>
    <w:rsid w:val="00F21F65"/>
    <w:rsid w:val="00F30839"/>
    <w:rsid w:val="00F41125"/>
    <w:rsid w:val="00F42585"/>
    <w:rsid w:val="00F45F8A"/>
    <w:rsid w:val="00F460F6"/>
    <w:rsid w:val="00F46414"/>
    <w:rsid w:val="00F51321"/>
    <w:rsid w:val="00F53728"/>
    <w:rsid w:val="00F547BB"/>
    <w:rsid w:val="00F56DC5"/>
    <w:rsid w:val="00F60277"/>
    <w:rsid w:val="00F661B6"/>
    <w:rsid w:val="00F6696A"/>
    <w:rsid w:val="00F73BCF"/>
    <w:rsid w:val="00F75718"/>
    <w:rsid w:val="00F827A1"/>
    <w:rsid w:val="00F84A15"/>
    <w:rsid w:val="00F92C8A"/>
    <w:rsid w:val="00F93F91"/>
    <w:rsid w:val="00FA5F51"/>
    <w:rsid w:val="00FA6173"/>
    <w:rsid w:val="00FA65F9"/>
    <w:rsid w:val="00FA73F5"/>
    <w:rsid w:val="00FB10EB"/>
    <w:rsid w:val="00FB1CFE"/>
    <w:rsid w:val="00FB24EB"/>
    <w:rsid w:val="00FC6281"/>
    <w:rsid w:val="00FC63E0"/>
    <w:rsid w:val="00FC7A49"/>
    <w:rsid w:val="00FD33E6"/>
    <w:rsid w:val="00FD4F35"/>
    <w:rsid w:val="00FD5E82"/>
    <w:rsid w:val="00FE0564"/>
    <w:rsid w:val="00FE0659"/>
    <w:rsid w:val="00FE478B"/>
    <w:rsid w:val="00FE7A79"/>
    <w:rsid w:val="00FF0E08"/>
    <w:rsid w:val="00FF1846"/>
    <w:rsid w:val="00FF24DD"/>
    <w:rsid w:val="04E02E0C"/>
    <w:rsid w:val="04F76DD4"/>
    <w:rsid w:val="05701277"/>
    <w:rsid w:val="059C486E"/>
    <w:rsid w:val="05A70403"/>
    <w:rsid w:val="06FB337A"/>
    <w:rsid w:val="070565DA"/>
    <w:rsid w:val="072E5616"/>
    <w:rsid w:val="0758233D"/>
    <w:rsid w:val="0759034B"/>
    <w:rsid w:val="0D861F1B"/>
    <w:rsid w:val="0E1A6F05"/>
    <w:rsid w:val="0FB31CDD"/>
    <w:rsid w:val="0FE551CC"/>
    <w:rsid w:val="10A76130"/>
    <w:rsid w:val="126E6044"/>
    <w:rsid w:val="13343D8C"/>
    <w:rsid w:val="140C55C1"/>
    <w:rsid w:val="15484D84"/>
    <w:rsid w:val="161175B0"/>
    <w:rsid w:val="16326751"/>
    <w:rsid w:val="16A24BB2"/>
    <w:rsid w:val="16AF2662"/>
    <w:rsid w:val="172C4E93"/>
    <w:rsid w:val="17DC7826"/>
    <w:rsid w:val="19B30F9E"/>
    <w:rsid w:val="1A3856E2"/>
    <w:rsid w:val="1C967845"/>
    <w:rsid w:val="1CCB30A1"/>
    <w:rsid w:val="1D224234"/>
    <w:rsid w:val="1D4500B7"/>
    <w:rsid w:val="1DD31F5A"/>
    <w:rsid w:val="1E020AC9"/>
    <w:rsid w:val="1E742861"/>
    <w:rsid w:val="1ED12FE5"/>
    <w:rsid w:val="1FFC1DBF"/>
    <w:rsid w:val="20BF6848"/>
    <w:rsid w:val="210D3A12"/>
    <w:rsid w:val="224A5871"/>
    <w:rsid w:val="22A96314"/>
    <w:rsid w:val="24427DF6"/>
    <w:rsid w:val="24CD3EB0"/>
    <w:rsid w:val="258E20D4"/>
    <w:rsid w:val="282C01FD"/>
    <w:rsid w:val="28365EA5"/>
    <w:rsid w:val="28D4161A"/>
    <w:rsid w:val="29591CD4"/>
    <w:rsid w:val="29887E87"/>
    <w:rsid w:val="29FE049A"/>
    <w:rsid w:val="2B9E6A01"/>
    <w:rsid w:val="2C1F083A"/>
    <w:rsid w:val="2CC15FA4"/>
    <w:rsid w:val="2D063DE7"/>
    <w:rsid w:val="2E081283"/>
    <w:rsid w:val="2E4503F9"/>
    <w:rsid w:val="2EB800E8"/>
    <w:rsid w:val="315D645B"/>
    <w:rsid w:val="325738C7"/>
    <w:rsid w:val="329E263E"/>
    <w:rsid w:val="33226DCA"/>
    <w:rsid w:val="33533295"/>
    <w:rsid w:val="338E0F26"/>
    <w:rsid w:val="348556E1"/>
    <w:rsid w:val="35584D9C"/>
    <w:rsid w:val="36657B95"/>
    <w:rsid w:val="368418B3"/>
    <w:rsid w:val="36BB0BC9"/>
    <w:rsid w:val="39341E6E"/>
    <w:rsid w:val="39A4757E"/>
    <w:rsid w:val="39D816C5"/>
    <w:rsid w:val="3A8034E8"/>
    <w:rsid w:val="3B87292E"/>
    <w:rsid w:val="3BA14987"/>
    <w:rsid w:val="3BAB20EB"/>
    <w:rsid w:val="3C224E56"/>
    <w:rsid w:val="3C7B7C31"/>
    <w:rsid w:val="3CDF7414"/>
    <w:rsid w:val="3EFE681E"/>
    <w:rsid w:val="3FDA4A15"/>
    <w:rsid w:val="418954A2"/>
    <w:rsid w:val="41EA455D"/>
    <w:rsid w:val="44A1622C"/>
    <w:rsid w:val="464012F7"/>
    <w:rsid w:val="477E215E"/>
    <w:rsid w:val="4C7B7118"/>
    <w:rsid w:val="4CF82CB6"/>
    <w:rsid w:val="4D551AE2"/>
    <w:rsid w:val="4DAB1D43"/>
    <w:rsid w:val="4E1C29D4"/>
    <w:rsid w:val="500428F5"/>
    <w:rsid w:val="508771AD"/>
    <w:rsid w:val="51114FC8"/>
    <w:rsid w:val="52A679B1"/>
    <w:rsid w:val="538C465D"/>
    <w:rsid w:val="53961D31"/>
    <w:rsid w:val="552A335D"/>
    <w:rsid w:val="5541056C"/>
    <w:rsid w:val="55F629DE"/>
    <w:rsid w:val="568F4EB1"/>
    <w:rsid w:val="57B76DAB"/>
    <w:rsid w:val="582F5259"/>
    <w:rsid w:val="58753DC5"/>
    <w:rsid w:val="58787975"/>
    <w:rsid w:val="590F0805"/>
    <w:rsid w:val="596F1EDC"/>
    <w:rsid w:val="5A173701"/>
    <w:rsid w:val="5BCF2E28"/>
    <w:rsid w:val="5D0050C6"/>
    <w:rsid w:val="5DA96BAF"/>
    <w:rsid w:val="5EE234FA"/>
    <w:rsid w:val="5EF70EA0"/>
    <w:rsid w:val="5F312833"/>
    <w:rsid w:val="5F385E16"/>
    <w:rsid w:val="5F56272C"/>
    <w:rsid w:val="61C3386D"/>
    <w:rsid w:val="62681D6B"/>
    <w:rsid w:val="62E209AE"/>
    <w:rsid w:val="64765371"/>
    <w:rsid w:val="68F9767E"/>
    <w:rsid w:val="6A4E6E31"/>
    <w:rsid w:val="6A7B4D3A"/>
    <w:rsid w:val="6AB157A4"/>
    <w:rsid w:val="6ACF6108"/>
    <w:rsid w:val="6B792DBC"/>
    <w:rsid w:val="6C0F1447"/>
    <w:rsid w:val="6C7B70F9"/>
    <w:rsid w:val="6F8166E3"/>
    <w:rsid w:val="6FCF57EC"/>
    <w:rsid w:val="73AB58B9"/>
    <w:rsid w:val="75A91167"/>
    <w:rsid w:val="75BB3582"/>
    <w:rsid w:val="75DC51ED"/>
    <w:rsid w:val="776B0A07"/>
    <w:rsid w:val="77B527C2"/>
    <w:rsid w:val="78634C5C"/>
    <w:rsid w:val="7C7B49CF"/>
    <w:rsid w:val="7D270185"/>
    <w:rsid w:val="7E496784"/>
    <w:rsid w:val="7E77345F"/>
    <w:rsid w:val="7FE642E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0" w:semiHidden="0" w:name="Normal Indent"/>
    <w:lsdException w:qFormat="1" w:unhideWhenUsed="0" w:uiPriority="0" w:semiHidden="0" w:name="footnote text"/>
    <w:lsdException w:qFormat="1" w:uiPriority="99" w:semiHidden="0"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qFormat="1" w:unhideWhenUsed="0" w:uiPriority="0" w:semiHidden="0"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qFormat="1" w:uiPriority="99" w:semiHidden="0" w:name="Body Text"/>
    <w:lsdException w:qFormat="1" w:unhideWhenUsed="0" w:uiPriority="0" w:semiHidden="0" w:name="Body Text Indent"/>
    <w:lsdException w:qFormat="1" w:unhideWhenUsed="0" w:uiPriority="0" w:semiHidden="0"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0" w:semiHidden="0" w:name="HTML Typewriter"/>
    <w:lsdException w:uiPriority="99" w:name="HTML Variable"/>
    <w:lsdException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eastAsia="等线"/>
      <w:sz w:val="21"/>
      <w:szCs w:val="22"/>
      <w:lang w:val="en-US" w:eastAsia="zh-CN" w:bidi="ar-SA"/>
    </w:rPr>
  </w:style>
  <w:style w:type="paragraph" w:styleId="2">
    <w:name w:val="heading 1"/>
    <w:basedOn w:val="1"/>
    <w:next w:val="1"/>
    <w:link w:val="72"/>
    <w:qFormat/>
    <w:uiPriority w:val="0"/>
    <w:pPr>
      <w:keepNext/>
      <w:numPr>
        <w:ilvl w:val="0"/>
        <w:numId w:val="1"/>
      </w:numPr>
      <w:spacing w:line="360" w:lineRule="auto"/>
      <w:jc w:val="center"/>
      <w:textAlignment w:val="center"/>
      <w:outlineLvl w:val="0"/>
    </w:pPr>
    <w:rPr>
      <w:rFonts w:eastAsia="宋体"/>
      <w:b/>
      <w:kern w:val="44"/>
      <w:sz w:val="44"/>
      <w:szCs w:val="44"/>
    </w:rPr>
  </w:style>
  <w:style w:type="paragraph" w:styleId="3">
    <w:name w:val="heading 2"/>
    <w:basedOn w:val="1"/>
    <w:next w:val="1"/>
    <w:link w:val="73"/>
    <w:qFormat/>
    <w:uiPriority w:val="0"/>
    <w:pPr>
      <w:keepNext/>
      <w:keepLines/>
      <w:numPr>
        <w:ilvl w:val="1"/>
        <w:numId w:val="1"/>
      </w:numPr>
      <w:spacing w:before="260" w:after="260" w:line="416" w:lineRule="auto"/>
      <w:outlineLvl w:val="1"/>
    </w:pPr>
    <w:rPr>
      <w:rFonts w:ascii="等线 Light" w:hAnsi="等线 Light" w:eastAsia="等线 Light"/>
      <w:b/>
      <w:bCs/>
      <w:sz w:val="32"/>
      <w:szCs w:val="32"/>
    </w:rPr>
  </w:style>
  <w:style w:type="paragraph" w:styleId="4">
    <w:name w:val="heading 3"/>
    <w:basedOn w:val="1"/>
    <w:next w:val="5"/>
    <w:link w:val="74"/>
    <w:qFormat/>
    <w:uiPriority w:val="0"/>
    <w:pPr>
      <w:keepNext/>
      <w:keepLines/>
      <w:spacing w:before="120" w:after="120" w:line="360" w:lineRule="auto"/>
      <w:jc w:val="center"/>
      <w:textAlignment w:val="center"/>
      <w:outlineLvl w:val="2"/>
    </w:pPr>
    <w:rPr>
      <w:rFonts w:eastAsia="宋体"/>
      <w:b/>
      <w:kern w:val="2"/>
      <w:sz w:val="32"/>
      <w:szCs w:val="32"/>
    </w:rPr>
  </w:style>
  <w:style w:type="paragraph" w:styleId="6">
    <w:name w:val="heading 4"/>
    <w:basedOn w:val="1"/>
    <w:next w:val="5"/>
    <w:link w:val="75"/>
    <w:qFormat/>
    <w:uiPriority w:val="0"/>
    <w:pPr>
      <w:keepNext/>
      <w:keepLines/>
      <w:numPr>
        <w:ilvl w:val="3"/>
        <w:numId w:val="1"/>
      </w:numPr>
      <w:spacing w:before="280" w:after="290" w:line="372" w:lineRule="auto"/>
      <w:textAlignment w:val="center"/>
      <w:outlineLvl w:val="3"/>
    </w:pPr>
    <w:rPr>
      <w:rFonts w:ascii="Arial" w:hAnsi="Arial" w:eastAsia="黑体"/>
      <w:b/>
      <w:bCs/>
      <w:kern w:val="2"/>
      <w:sz w:val="28"/>
      <w:szCs w:val="28"/>
    </w:rPr>
  </w:style>
  <w:style w:type="paragraph" w:styleId="7">
    <w:name w:val="heading 5"/>
    <w:basedOn w:val="1"/>
    <w:next w:val="1"/>
    <w:link w:val="76"/>
    <w:qFormat/>
    <w:uiPriority w:val="0"/>
    <w:pPr>
      <w:keepLines/>
      <w:widowControl w:val="0"/>
      <w:numPr>
        <w:ilvl w:val="4"/>
        <w:numId w:val="1"/>
      </w:numPr>
      <w:spacing w:line="360" w:lineRule="auto"/>
      <w:jc w:val="both"/>
      <w:outlineLvl w:val="4"/>
    </w:pPr>
    <w:rPr>
      <w:rFonts w:eastAsia="宋体"/>
      <w:kern w:val="2"/>
      <w:szCs w:val="21"/>
    </w:rPr>
  </w:style>
  <w:style w:type="paragraph" w:styleId="8">
    <w:name w:val="heading 6"/>
    <w:basedOn w:val="1"/>
    <w:next w:val="1"/>
    <w:link w:val="77"/>
    <w:qFormat/>
    <w:uiPriority w:val="0"/>
    <w:pPr>
      <w:keepNext/>
      <w:keepLines/>
      <w:numPr>
        <w:ilvl w:val="5"/>
        <w:numId w:val="1"/>
      </w:numPr>
      <w:tabs>
        <w:tab w:val="left" w:pos="1440"/>
      </w:tabs>
      <w:spacing w:before="240" w:after="64" w:line="317" w:lineRule="auto"/>
      <w:textAlignment w:val="center"/>
      <w:outlineLvl w:val="5"/>
    </w:pPr>
    <w:rPr>
      <w:rFonts w:ascii="Arial" w:hAnsi="Arial" w:eastAsia="黑体"/>
      <w:b/>
      <w:bCs/>
      <w:kern w:val="2"/>
      <w:sz w:val="24"/>
      <w:szCs w:val="24"/>
    </w:rPr>
  </w:style>
  <w:style w:type="paragraph" w:styleId="9">
    <w:name w:val="heading 7"/>
    <w:basedOn w:val="1"/>
    <w:next w:val="1"/>
    <w:link w:val="78"/>
    <w:qFormat/>
    <w:uiPriority w:val="0"/>
    <w:pPr>
      <w:keepNext/>
      <w:keepLines/>
      <w:numPr>
        <w:ilvl w:val="6"/>
        <w:numId w:val="1"/>
      </w:numPr>
      <w:tabs>
        <w:tab w:val="left" w:pos="2520"/>
      </w:tabs>
      <w:spacing w:before="240" w:after="64" w:line="317" w:lineRule="auto"/>
      <w:textAlignment w:val="center"/>
      <w:outlineLvl w:val="6"/>
    </w:pPr>
    <w:rPr>
      <w:rFonts w:eastAsia="宋体"/>
      <w:b/>
      <w:bCs/>
      <w:kern w:val="2"/>
      <w:sz w:val="24"/>
      <w:szCs w:val="24"/>
    </w:rPr>
  </w:style>
  <w:style w:type="paragraph" w:styleId="10">
    <w:name w:val="heading 8"/>
    <w:basedOn w:val="1"/>
    <w:next w:val="1"/>
    <w:link w:val="79"/>
    <w:qFormat/>
    <w:uiPriority w:val="0"/>
    <w:pPr>
      <w:keepNext/>
      <w:keepLines/>
      <w:numPr>
        <w:ilvl w:val="7"/>
        <w:numId w:val="1"/>
      </w:numPr>
      <w:tabs>
        <w:tab w:val="left" w:pos="1440"/>
      </w:tabs>
      <w:spacing w:before="240" w:after="64" w:line="317" w:lineRule="auto"/>
      <w:textAlignment w:val="center"/>
      <w:outlineLvl w:val="7"/>
    </w:pPr>
    <w:rPr>
      <w:rFonts w:ascii="Arial" w:hAnsi="Arial" w:eastAsia="黑体"/>
      <w:kern w:val="2"/>
      <w:sz w:val="24"/>
      <w:szCs w:val="24"/>
    </w:rPr>
  </w:style>
  <w:style w:type="paragraph" w:styleId="11">
    <w:name w:val="heading 9"/>
    <w:basedOn w:val="1"/>
    <w:next w:val="1"/>
    <w:link w:val="80"/>
    <w:qFormat/>
    <w:uiPriority w:val="0"/>
    <w:pPr>
      <w:keepNext/>
      <w:keepLines/>
      <w:numPr>
        <w:ilvl w:val="8"/>
        <w:numId w:val="1"/>
      </w:numPr>
      <w:tabs>
        <w:tab w:val="left" w:pos="1584"/>
      </w:tabs>
      <w:spacing w:before="240" w:after="64" w:line="317" w:lineRule="auto"/>
      <w:textAlignment w:val="center"/>
      <w:outlineLvl w:val="8"/>
    </w:pPr>
    <w:rPr>
      <w:rFonts w:ascii="Arial" w:hAnsi="Arial" w:eastAsia="黑体"/>
      <w:kern w:val="2"/>
      <w:szCs w:val="21"/>
    </w:rPr>
  </w:style>
  <w:style w:type="character" w:default="1" w:styleId="62">
    <w:name w:val="Default Paragraph Font"/>
    <w:unhideWhenUsed/>
    <w:uiPriority w:val="1"/>
  </w:style>
  <w:style w:type="table" w:default="1" w:styleId="60">
    <w:name w:val="Normal Table"/>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Style w:val="60"/>
      <w:tblCellMar>
        <w:top w:w="0" w:type="dxa"/>
        <w:left w:w="108" w:type="dxa"/>
        <w:bottom w:w="0" w:type="dxa"/>
        <w:right w:w="108" w:type="dxa"/>
      </w:tblCellMar>
    </w:tblPr>
  </w:style>
  <w:style w:type="paragraph" w:customStyle="1" w:styleId="5">
    <w:name w:val="正文样式"/>
    <w:qFormat/>
    <w:uiPriority w:val="0"/>
    <w:pPr>
      <w:widowControl w:val="0"/>
      <w:spacing w:line="360" w:lineRule="auto"/>
      <w:ind w:firstLine="482"/>
      <w:jc w:val="both"/>
    </w:pPr>
    <w:rPr>
      <w:rFonts w:ascii="宋体"/>
      <w:kern w:val="2"/>
      <w:sz w:val="24"/>
      <w:lang w:val="en-US" w:eastAsia="zh-CN" w:bidi="ar-SA"/>
    </w:rPr>
  </w:style>
  <w:style w:type="paragraph" w:styleId="12">
    <w:name w:val="toc 7"/>
    <w:basedOn w:val="1"/>
    <w:next w:val="1"/>
    <w:qFormat/>
    <w:uiPriority w:val="39"/>
    <w:pPr>
      <w:spacing w:line="360" w:lineRule="auto"/>
      <w:ind w:left="1200" w:leftChars="150" w:hanging="393" w:hangingChars="187"/>
      <w:textAlignment w:val="center"/>
    </w:pPr>
    <w:rPr>
      <w:rFonts w:eastAsia="宋体"/>
      <w:kern w:val="2"/>
      <w:sz w:val="21"/>
      <w:szCs w:val="21"/>
    </w:rPr>
  </w:style>
  <w:style w:type="paragraph" w:styleId="13">
    <w:name w:val="index 8"/>
    <w:basedOn w:val="1"/>
    <w:next w:val="1"/>
    <w:qFormat/>
    <w:uiPriority w:val="0"/>
    <w:pPr>
      <w:widowControl w:val="0"/>
      <w:autoSpaceDE w:val="0"/>
      <w:autoSpaceDN w:val="0"/>
      <w:adjustRightInd w:val="0"/>
      <w:snapToGrid w:val="0"/>
      <w:spacing w:line="360" w:lineRule="auto"/>
      <w:ind w:left="2940"/>
      <w:jc w:val="both"/>
    </w:pPr>
    <w:rPr>
      <w:rFonts w:ascii="宋体" w:eastAsia="宋体"/>
      <w:snapToGrid/>
      <w:color w:val="000000"/>
      <w:sz w:val="21"/>
      <w:szCs w:val="20"/>
    </w:rPr>
  </w:style>
  <w:style w:type="paragraph" w:styleId="14">
    <w:name w:val="Normal Indent"/>
    <w:basedOn w:val="1"/>
    <w:link w:val="81"/>
    <w:unhideWhenUsed/>
    <w:qFormat/>
    <w:uiPriority w:val="0"/>
    <w:pPr>
      <w:ind w:firstLine="420" w:firstLineChars="200"/>
    </w:pPr>
  </w:style>
  <w:style w:type="paragraph" w:styleId="15">
    <w:name w:val="caption"/>
    <w:basedOn w:val="1"/>
    <w:next w:val="1"/>
    <w:link w:val="82"/>
    <w:qFormat/>
    <w:uiPriority w:val="0"/>
    <w:pPr>
      <w:widowControl w:val="0"/>
      <w:ind w:firstLine="6290" w:firstLineChars="2282"/>
      <w:jc w:val="both"/>
    </w:pPr>
    <w:rPr>
      <w:rFonts w:eastAsia="宋体"/>
      <w:b/>
      <w:bCs/>
      <w:color w:val="000080"/>
      <w:sz w:val="28"/>
      <w:szCs w:val="24"/>
    </w:rPr>
  </w:style>
  <w:style w:type="paragraph" w:styleId="16">
    <w:name w:val="index 5"/>
    <w:basedOn w:val="1"/>
    <w:next w:val="1"/>
    <w:qFormat/>
    <w:uiPriority w:val="0"/>
    <w:pPr>
      <w:widowControl w:val="0"/>
      <w:autoSpaceDE w:val="0"/>
      <w:autoSpaceDN w:val="0"/>
      <w:adjustRightInd w:val="0"/>
      <w:snapToGrid w:val="0"/>
      <w:spacing w:line="360" w:lineRule="auto"/>
      <w:ind w:left="1680"/>
      <w:jc w:val="both"/>
    </w:pPr>
    <w:rPr>
      <w:rFonts w:ascii="宋体" w:eastAsia="宋体"/>
      <w:snapToGrid/>
      <w:color w:val="000000"/>
      <w:sz w:val="21"/>
      <w:szCs w:val="20"/>
    </w:rPr>
  </w:style>
  <w:style w:type="paragraph" w:styleId="17">
    <w:name w:val="Document Map"/>
    <w:basedOn w:val="1"/>
    <w:next w:val="1"/>
    <w:link w:val="83"/>
    <w:qFormat/>
    <w:uiPriority w:val="0"/>
    <w:pPr>
      <w:shd w:val="clear" w:color="auto" w:fill="000080"/>
      <w:spacing w:line="360" w:lineRule="auto"/>
      <w:ind w:left="708" w:leftChars="150" w:hanging="393" w:hangingChars="187"/>
      <w:textAlignment w:val="center"/>
    </w:pPr>
    <w:rPr>
      <w:rFonts w:eastAsia="宋体"/>
      <w:sz w:val="20"/>
      <w:szCs w:val="20"/>
    </w:rPr>
  </w:style>
  <w:style w:type="paragraph" w:styleId="18">
    <w:name w:val="toa heading"/>
    <w:basedOn w:val="1"/>
    <w:next w:val="1"/>
    <w:qFormat/>
    <w:uiPriority w:val="0"/>
    <w:pPr>
      <w:widowControl w:val="0"/>
      <w:spacing w:before="120"/>
      <w:jc w:val="both"/>
    </w:pPr>
    <w:rPr>
      <w:rFonts w:ascii="Arial" w:hAnsi="Arial" w:eastAsia="宋体" w:cs="Arial"/>
      <w:kern w:val="2"/>
      <w:sz w:val="24"/>
      <w:szCs w:val="24"/>
    </w:rPr>
  </w:style>
  <w:style w:type="paragraph" w:styleId="19">
    <w:name w:val="annotation text"/>
    <w:basedOn w:val="1"/>
    <w:link w:val="84"/>
    <w:unhideWhenUsed/>
    <w:qFormat/>
    <w:uiPriority w:val="99"/>
  </w:style>
  <w:style w:type="paragraph" w:styleId="20">
    <w:name w:val="index 6"/>
    <w:basedOn w:val="1"/>
    <w:next w:val="1"/>
    <w:qFormat/>
    <w:uiPriority w:val="0"/>
    <w:pPr>
      <w:widowControl w:val="0"/>
      <w:autoSpaceDE w:val="0"/>
      <w:autoSpaceDN w:val="0"/>
      <w:adjustRightInd w:val="0"/>
      <w:snapToGrid w:val="0"/>
      <w:spacing w:line="360" w:lineRule="auto"/>
      <w:ind w:left="2100"/>
      <w:jc w:val="both"/>
    </w:pPr>
    <w:rPr>
      <w:rFonts w:ascii="宋体" w:eastAsia="宋体"/>
      <w:snapToGrid/>
      <w:color w:val="000000"/>
      <w:sz w:val="21"/>
      <w:szCs w:val="20"/>
    </w:rPr>
  </w:style>
  <w:style w:type="paragraph" w:styleId="21">
    <w:name w:val="Salutation"/>
    <w:basedOn w:val="1"/>
    <w:next w:val="1"/>
    <w:link w:val="85"/>
    <w:qFormat/>
    <w:uiPriority w:val="0"/>
    <w:pPr>
      <w:widowControl w:val="0"/>
      <w:jc w:val="both"/>
    </w:pPr>
    <w:rPr>
      <w:rFonts w:eastAsia="宋体"/>
      <w:sz w:val="24"/>
      <w:szCs w:val="20"/>
    </w:rPr>
  </w:style>
  <w:style w:type="paragraph" w:styleId="22">
    <w:name w:val="Body Text 3"/>
    <w:basedOn w:val="1"/>
    <w:link w:val="86"/>
    <w:qFormat/>
    <w:uiPriority w:val="0"/>
    <w:pPr>
      <w:widowControl w:val="0"/>
      <w:jc w:val="both"/>
    </w:pPr>
    <w:rPr>
      <w:rFonts w:ascii="宋体" w:eastAsia="宋体"/>
      <w:kern w:val="2"/>
      <w:sz w:val="24"/>
      <w:szCs w:val="20"/>
    </w:rPr>
  </w:style>
  <w:style w:type="paragraph" w:styleId="23">
    <w:name w:val="List Bullet 3"/>
    <w:basedOn w:val="1"/>
    <w:qFormat/>
    <w:uiPriority w:val="0"/>
    <w:pPr>
      <w:widowControl w:val="0"/>
      <w:tabs>
        <w:tab w:val="left" w:pos="775"/>
      </w:tabs>
      <w:spacing w:line="360" w:lineRule="auto"/>
      <w:ind w:left="775" w:hanging="360"/>
      <w:jc w:val="both"/>
    </w:pPr>
    <w:rPr>
      <w:rFonts w:eastAsia="宋体"/>
      <w:sz w:val="21"/>
      <w:szCs w:val="24"/>
    </w:rPr>
  </w:style>
  <w:style w:type="paragraph" w:styleId="24">
    <w:name w:val="Body Text"/>
    <w:basedOn w:val="1"/>
    <w:link w:val="87"/>
    <w:unhideWhenUsed/>
    <w:qFormat/>
    <w:uiPriority w:val="99"/>
    <w:pPr>
      <w:spacing w:after="120" w:line="360" w:lineRule="auto"/>
      <w:ind w:left="708" w:leftChars="150" w:hanging="393" w:hangingChars="187"/>
      <w:textAlignment w:val="center"/>
    </w:pPr>
    <w:rPr>
      <w:rFonts w:eastAsia="宋体"/>
      <w:sz w:val="20"/>
      <w:szCs w:val="21"/>
    </w:rPr>
  </w:style>
  <w:style w:type="paragraph" w:styleId="25">
    <w:name w:val="Body Text Indent"/>
    <w:basedOn w:val="1"/>
    <w:link w:val="88"/>
    <w:qFormat/>
    <w:uiPriority w:val="0"/>
    <w:pPr>
      <w:spacing w:after="120" w:line="360" w:lineRule="auto"/>
      <w:ind w:left="420" w:leftChars="200" w:hanging="393" w:hangingChars="187"/>
      <w:textAlignment w:val="center"/>
    </w:pPr>
    <w:rPr>
      <w:rFonts w:eastAsia="宋体"/>
      <w:sz w:val="20"/>
      <w:szCs w:val="21"/>
    </w:rPr>
  </w:style>
  <w:style w:type="paragraph" w:styleId="26">
    <w:name w:val="List 2"/>
    <w:basedOn w:val="1"/>
    <w:qFormat/>
    <w:uiPriority w:val="0"/>
    <w:pPr>
      <w:ind w:left="840" w:hanging="420"/>
    </w:pPr>
    <w:rPr>
      <w:rFonts w:ascii="宋体" w:eastAsia="宋体"/>
      <w:szCs w:val="20"/>
    </w:rPr>
  </w:style>
  <w:style w:type="paragraph" w:styleId="27">
    <w:name w:val="List Continue"/>
    <w:basedOn w:val="1"/>
    <w:qFormat/>
    <w:uiPriority w:val="0"/>
    <w:pPr>
      <w:spacing w:after="120"/>
      <w:ind w:left="420"/>
    </w:pPr>
    <w:rPr>
      <w:rFonts w:ascii="宋体" w:eastAsia="宋体"/>
      <w:szCs w:val="20"/>
    </w:rPr>
  </w:style>
  <w:style w:type="paragraph" w:styleId="28">
    <w:name w:val="Block Text"/>
    <w:basedOn w:val="1"/>
    <w:qFormat/>
    <w:uiPriority w:val="0"/>
    <w:pPr>
      <w:tabs>
        <w:tab w:val="center" w:pos="284"/>
      </w:tabs>
      <w:spacing w:line="360" w:lineRule="auto"/>
      <w:ind w:left="100" w:leftChars="150" w:right="-1283" w:hanging="100" w:hangingChars="187"/>
      <w:jc w:val="both"/>
      <w:textAlignment w:val="center"/>
    </w:pPr>
    <w:rPr>
      <w:rFonts w:ascii="宋体" w:eastAsia="宋体"/>
      <w:kern w:val="2"/>
      <w:sz w:val="28"/>
      <w:szCs w:val="21"/>
    </w:rPr>
  </w:style>
  <w:style w:type="paragraph" w:styleId="29">
    <w:name w:val="index 4"/>
    <w:basedOn w:val="1"/>
    <w:next w:val="1"/>
    <w:qFormat/>
    <w:uiPriority w:val="0"/>
    <w:pPr>
      <w:widowControl w:val="0"/>
      <w:spacing w:line="360" w:lineRule="auto"/>
      <w:ind w:left="600" w:leftChars="600" w:hanging="393" w:hangingChars="187"/>
      <w:jc w:val="both"/>
      <w:textAlignment w:val="center"/>
    </w:pPr>
    <w:rPr>
      <w:rFonts w:eastAsia="宋体"/>
      <w:kern w:val="2"/>
      <w:sz w:val="21"/>
      <w:szCs w:val="24"/>
    </w:rPr>
  </w:style>
  <w:style w:type="paragraph" w:styleId="30">
    <w:name w:val="toc 5"/>
    <w:basedOn w:val="1"/>
    <w:next w:val="1"/>
    <w:qFormat/>
    <w:uiPriority w:val="39"/>
    <w:pPr>
      <w:spacing w:line="360" w:lineRule="auto"/>
      <w:ind w:left="800" w:leftChars="150" w:hanging="393" w:hangingChars="187"/>
      <w:textAlignment w:val="center"/>
    </w:pPr>
    <w:rPr>
      <w:rFonts w:eastAsia="宋体"/>
      <w:kern w:val="2"/>
      <w:sz w:val="21"/>
      <w:szCs w:val="21"/>
    </w:rPr>
  </w:style>
  <w:style w:type="paragraph" w:styleId="31">
    <w:name w:val="toc 3"/>
    <w:basedOn w:val="1"/>
    <w:next w:val="1"/>
    <w:qFormat/>
    <w:uiPriority w:val="39"/>
    <w:pPr>
      <w:tabs>
        <w:tab w:val="right" w:leader="dot" w:pos="8030"/>
      </w:tabs>
      <w:spacing w:line="300" w:lineRule="auto"/>
      <w:ind w:left="800" w:leftChars="400" w:hanging="400" w:hangingChars="400"/>
      <w:textAlignment w:val="center"/>
    </w:pPr>
    <w:rPr>
      <w:rFonts w:eastAsia="宋体"/>
      <w:kern w:val="2"/>
      <w:sz w:val="21"/>
      <w:szCs w:val="21"/>
    </w:rPr>
  </w:style>
  <w:style w:type="paragraph" w:styleId="32">
    <w:name w:val="Plain Text"/>
    <w:basedOn w:val="1"/>
    <w:link w:val="89"/>
    <w:qFormat/>
    <w:uiPriority w:val="0"/>
    <w:pPr>
      <w:widowControl w:val="0"/>
      <w:spacing w:line="360" w:lineRule="auto"/>
      <w:ind w:left="708" w:leftChars="150" w:hanging="393" w:hangingChars="187"/>
      <w:jc w:val="both"/>
      <w:textAlignment w:val="center"/>
    </w:pPr>
    <w:rPr>
      <w:rFonts w:ascii="宋体" w:hAnsi="Courier New" w:eastAsia="宋体"/>
      <w:sz w:val="20"/>
      <w:szCs w:val="21"/>
    </w:rPr>
  </w:style>
  <w:style w:type="paragraph" w:styleId="33">
    <w:name w:val="List Number 4"/>
    <w:basedOn w:val="1"/>
    <w:qFormat/>
    <w:uiPriority w:val="0"/>
    <w:pPr>
      <w:widowControl w:val="0"/>
      <w:tabs>
        <w:tab w:val="left" w:pos="1620"/>
      </w:tabs>
      <w:spacing w:line="360" w:lineRule="auto"/>
      <w:ind w:left="1620" w:hanging="360"/>
      <w:jc w:val="both"/>
    </w:pPr>
    <w:rPr>
      <w:rFonts w:ascii="宋体" w:hAnsi="宋体" w:eastAsia="宋体"/>
      <w:kern w:val="2"/>
      <w:sz w:val="24"/>
      <w:szCs w:val="20"/>
    </w:rPr>
  </w:style>
  <w:style w:type="paragraph" w:styleId="34">
    <w:name w:val="toc 8"/>
    <w:basedOn w:val="1"/>
    <w:next w:val="1"/>
    <w:qFormat/>
    <w:uiPriority w:val="39"/>
    <w:pPr>
      <w:spacing w:line="360" w:lineRule="auto"/>
      <w:ind w:left="1400" w:leftChars="150" w:hanging="393" w:hangingChars="187"/>
      <w:textAlignment w:val="center"/>
    </w:pPr>
    <w:rPr>
      <w:rFonts w:eastAsia="宋体"/>
      <w:kern w:val="2"/>
      <w:sz w:val="21"/>
      <w:szCs w:val="21"/>
    </w:rPr>
  </w:style>
  <w:style w:type="paragraph" w:styleId="35">
    <w:name w:val="index 3"/>
    <w:basedOn w:val="1"/>
    <w:next w:val="1"/>
    <w:qFormat/>
    <w:uiPriority w:val="0"/>
    <w:pPr>
      <w:widowControl w:val="0"/>
      <w:autoSpaceDE w:val="0"/>
      <w:autoSpaceDN w:val="0"/>
      <w:adjustRightInd w:val="0"/>
      <w:snapToGrid w:val="0"/>
      <w:spacing w:line="360" w:lineRule="auto"/>
      <w:ind w:left="840"/>
      <w:jc w:val="both"/>
    </w:pPr>
    <w:rPr>
      <w:rFonts w:ascii="宋体" w:eastAsia="宋体"/>
      <w:snapToGrid/>
      <w:color w:val="000000"/>
      <w:sz w:val="21"/>
      <w:szCs w:val="20"/>
    </w:rPr>
  </w:style>
  <w:style w:type="paragraph" w:styleId="36">
    <w:name w:val="Date"/>
    <w:basedOn w:val="1"/>
    <w:next w:val="1"/>
    <w:link w:val="90"/>
    <w:qFormat/>
    <w:uiPriority w:val="0"/>
    <w:pPr>
      <w:spacing w:line="360" w:lineRule="auto"/>
      <w:ind w:left="100" w:leftChars="2500" w:hanging="393" w:hangingChars="187"/>
      <w:textAlignment w:val="center"/>
    </w:pPr>
    <w:rPr>
      <w:rFonts w:eastAsia="宋体"/>
      <w:sz w:val="20"/>
      <w:szCs w:val="21"/>
    </w:rPr>
  </w:style>
  <w:style w:type="paragraph" w:styleId="37">
    <w:name w:val="Body Text Indent 2"/>
    <w:basedOn w:val="1"/>
    <w:link w:val="91"/>
    <w:qFormat/>
    <w:uiPriority w:val="0"/>
    <w:pPr>
      <w:spacing w:after="120" w:line="480" w:lineRule="auto"/>
      <w:ind w:left="420" w:leftChars="200" w:hanging="393" w:hangingChars="187"/>
      <w:textAlignment w:val="center"/>
    </w:pPr>
    <w:rPr>
      <w:rFonts w:eastAsia="宋体"/>
      <w:sz w:val="20"/>
      <w:szCs w:val="21"/>
    </w:rPr>
  </w:style>
  <w:style w:type="paragraph" w:styleId="38">
    <w:name w:val="endnote text"/>
    <w:basedOn w:val="1"/>
    <w:link w:val="92"/>
    <w:qFormat/>
    <w:uiPriority w:val="0"/>
    <w:pPr>
      <w:widowControl w:val="0"/>
      <w:snapToGrid w:val="0"/>
      <w:spacing w:line="500" w:lineRule="exact"/>
    </w:pPr>
    <w:rPr>
      <w:rFonts w:eastAsia="宋体"/>
      <w:sz w:val="20"/>
      <w:szCs w:val="24"/>
    </w:rPr>
  </w:style>
  <w:style w:type="paragraph" w:styleId="39">
    <w:name w:val="Balloon Text"/>
    <w:basedOn w:val="1"/>
    <w:link w:val="93"/>
    <w:qFormat/>
    <w:uiPriority w:val="0"/>
    <w:pPr>
      <w:spacing w:line="360" w:lineRule="auto"/>
      <w:ind w:left="708" w:leftChars="150" w:hanging="393" w:hangingChars="187"/>
      <w:textAlignment w:val="center"/>
    </w:pPr>
    <w:rPr>
      <w:rFonts w:eastAsia="宋体"/>
      <w:sz w:val="18"/>
      <w:szCs w:val="18"/>
    </w:rPr>
  </w:style>
  <w:style w:type="paragraph" w:styleId="40">
    <w:name w:val="footer"/>
    <w:basedOn w:val="1"/>
    <w:link w:val="94"/>
    <w:unhideWhenUsed/>
    <w:qFormat/>
    <w:uiPriority w:val="99"/>
    <w:pPr>
      <w:tabs>
        <w:tab w:val="center" w:pos="4153"/>
        <w:tab w:val="right" w:pos="8306"/>
      </w:tabs>
      <w:snapToGrid w:val="0"/>
    </w:pPr>
    <w:rPr>
      <w:rFonts w:eastAsia="宋体"/>
      <w:sz w:val="18"/>
      <w:szCs w:val="18"/>
    </w:rPr>
  </w:style>
  <w:style w:type="paragraph" w:styleId="41">
    <w:name w:val="header"/>
    <w:basedOn w:val="1"/>
    <w:link w:val="95"/>
    <w:unhideWhenUsed/>
    <w:qFormat/>
    <w:uiPriority w:val="99"/>
    <w:pPr>
      <w:pBdr>
        <w:bottom w:val="single" w:color="auto" w:sz="6" w:space="1"/>
      </w:pBdr>
      <w:tabs>
        <w:tab w:val="center" w:pos="4153"/>
        <w:tab w:val="right" w:pos="8306"/>
      </w:tabs>
      <w:snapToGrid w:val="0"/>
      <w:jc w:val="center"/>
    </w:pPr>
    <w:rPr>
      <w:rFonts w:eastAsia="宋体"/>
      <w:sz w:val="18"/>
      <w:szCs w:val="18"/>
    </w:rPr>
  </w:style>
  <w:style w:type="paragraph" w:styleId="42">
    <w:name w:val="toc 1"/>
    <w:basedOn w:val="1"/>
    <w:next w:val="1"/>
    <w:qFormat/>
    <w:uiPriority w:val="39"/>
    <w:pPr>
      <w:tabs>
        <w:tab w:val="right" w:leader="dot" w:pos="8030"/>
      </w:tabs>
      <w:spacing w:line="300" w:lineRule="auto"/>
      <w:ind w:left="187" w:hanging="187" w:hangingChars="187"/>
      <w:textAlignment w:val="center"/>
    </w:pPr>
    <w:rPr>
      <w:rFonts w:eastAsia="宋体"/>
      <w:bCs/>
      <w:iCs/>
      <w:kern w:val="2"/>
      <w:sz w:val="21"/>
      <w:szCs w:val="24"/>
    </w:rPr>
  </w:style>
  <w:style w:type="paragraph" w:styleId="43">
    <w:name w:val="toc 4"/>
    <w:basedOn w:val="1"/>
    <w:next w:val="1"/>
    <w:qFormat/>
    <w:uiPriority w:val="39"/>
    <w:pPr>
      <w:spacing w:line="360" w:lineRule="auto"/>
      <w:ind w:left="600" w:leftChars="150" w:hanging="393" w:hangingChars="187"/>
      <w:textAlignment w:val="center"/>
    </w:pPr>
    <w:rPr>
      <w:rFonts w:eastAsia="宋体"/>
      <w:kern w:val="2"/>
      <w:sz w:val="21"/>
      <w:szCs w:val="21"/>
    </w:rPr>
  </w:style>
  <w:style w:type="paragraph" w:styleId="44">
    <w:name w:val="index heading"/>
    <w:basedOn w:val="1"/>
    <w:next w:val="45"/>
    <w:qFormat/>
    <w:uiPriority w:val="0"/>
    <w:pPr>
      <w:widowControl w:val="0"/>
      <w:jc w:val="both"/>
    </w:pPr>
    <w:rPr>
      <w:rFonts w:eastAsia="宋体"/>
      <w:kern w:val="2"/>
      <w:sz w:val="21"/>
      <w:szCs w:val="24"/>
    </w:rPr>
  </w:style>
  <w:style w:type="paragraph" w:styleId="45">
    <w:name w:val="index 1"/>
    <w:basedOn w:val="1"/>
    <w:next w:val="1"/>
    <w:unhideWhenUsed/>
    <w:qFormat/>
    <w:uiPriority w:val="0"/>
    <w:pPr>
      <w:spacing w:line="360" w:lineRule="auto"/>
      <w:ind w:left="150" w:leftChars="150" w:hanging="187" w:hangingChars="187"/>
      <w:textAlignment w:val="center"/>
    </w:pPr>
    <w:rPr>
      <w:rFonts w:eastAsia="宋体"/>
      <w:kern w:val="2"/>
      <w:sz w:val="21"/>
      <w:szCs w:val="21"/>
    </w:rPr>
  </w:style>
  <w:style w:type="paragraph" w:styleId="46">
    <w:name w:val="List"/>
    <w:basedOn w:val="1"/>
    <w:qFormat/>
    <w:uiPriority w:val="0"/>
    <w:pPr>
      <w:widowControl w:val="0"/>
      <w:ind w:left="200" w:hanging="200" w:hangingChars="200"/>
      <w:jc w:val="both"/>
    </w:pPr>
    <w:rPr>
      <w:rFonts w:eastAsia="宋体"/>
      <w:kern w:val="2"/>
      <w:sz w:val="21"/>
      <w:szCs w:val="20"/>
    </w:rPr>
  </w:style>
  <w:style w:type="paragraph" w:styleId="47">
    <w:name w:val="footnote text"/>
    <w:basedOn w:val="1"/>
    <w:link w:val="96"/>
    <w:qFormat/>
    <w:uiPriority w:val="0"/>
    <w:pPr>
      <w:widowControl w:val="0"/>
      <w:adjustRightInd w:val="0"/>
      <w:spacing w:line="312" w:lineRule="atLeast"/>
      <w:textAlignment w:val="baseline"/>
    </w:pPr>
    <w:rPr>
      <w:rFonts w:eastAsia="宋体"/>
      <w:sz w:val="18"/>
      <w:szCs w:val="20"/>
    </w:rPr>
  </w:style>
  <w:style w:type="paragraph" w:styleId="48">
    <w:name w:val="toc 6"/>
    <w:basedOn w:val="1"/>
    <w:next w:val="1"/>
    <w:qFormat/>
    <w:uiPriority w:val="39"/>
    <w:pPr>
      <w:spacing w:line="360" w:lineRule="auto"/>
      <w:ind w:left="1000" w:leftChars="150" w:hanging="393" w:hangingChars="187"/>
      <w:textAlignment w:val="center"/>
    </w:pPr>
    <w:rPr>
      <w:rFonts w:eastAsia="宋体"/>
      <w:kern w:val="2"/>
      <w:sz w:val="21"/>
      <w:szCs w:val="21"/>
    </w:rPr>
  </w:style>
  <w:style w:type="paragraph" w:styleId="49">
    <w:name w:val="Body Text Indent 3"/>
    <w:basedOn w:val="1"/>
    <w:link w:val="97"/>
    <w:qFormat/>
    <w:uiPriority w:val="0"/>
    <w:pPr>
      <w:widowControl w:val="0"/>
      <w:ind w:left="1260" w:leftChars="600"/>
      <w:jc w:val="both"/>
    </w:pPr>
  </w:style>
  <w:style w:type="paragraph" w:styleId="50">
    <w:name w:val="index 7"/>
    <w:basedOn w:val="1"/>
    <w:next w:val="1"/>
    <w:qFormat/>
    <w:uiPriority w:val="0"/>
    <w:pPr>
      <w:widowControl w:val="0"/>
      <w:autoSpaceDE w:val="0"/>
      <w:autoSpaceDN w:val="0"/>
      <w:adjustRightInd w:val="0"/>
      <w:snapToGrid w:val="0"/>
      <w:spacing w:line="360" w:lineRule="auto"/>
      <w:ind w:left="2520"/>
      <w:jc w:val="both"/>
    </w:pPr>
    <w:rPr>
      <w:rFonts w:ascii="宋体" w:eastAsia="宋体"/>
      <w:snapToGrid/>
      <w:color w:val="000000"/>
      <w:sz w:val="21"/>
      <w:szCs w:val="20"/>
    </w:rPr>
  </w:style>
  <w:style w:type="paragraph" w:styleId="51">
    <w:name w:val="index 9"/>
    <w:basedOn w:val="1"/>
    <w:next w:val="1"/>
    <w:qFormat/>
    <w:uiPriority w:val="0"/>
    <w:pPr>
      <w:widowControl w:val="0"/>
      <w:autoSpaceDE w:val="0"/>
      <w:autoSpaceDN w:val="0"/>
      <w:adjustRightInd w:val="0"/>
      <w:snapToGrid w:val="0"/>
      <w:spacing w:line="360" w:lineRule="auto"/>
      <w:ind w:left="3360"/>
      <w:jc w:val="both"/>
    </w:pPr>
    <w:rPr>
      <w:rFonts w:ascii="宋体" w:eastAsia="宋体"/>
      <w:snapToGrid/>
      <w:color w:val="000000"/>
      <w:sz w:val="21"/>
      <w:szCs w:val="20"/>
    </w:rPr>
  </w:style>
  <w:style w:type="paragraph" w:styleId="52">
    <w:name w:val="toc 2"/>
    <w:basedOn w:val="1"/>
    <w:next w:val="1"/>
    <w:qFormat/>
    <w:uiPriority w:val="39"/>
    <w:pPr>
      <w:tabs>
        <w:tab w:val="right" w:leader="dot" w:pos="8030"/>
      </w:tabs>
      <w:spacing w:line="360" w:lineRule="auto"/>
      <w:ind w:left="902" w:leftChars="200" w:right="210" w:rightChars="100" w:hanging="482" w:hangingChars="200"/>
      <w:textAlignment w:val="center"/>
    </w:pPr>
    <w:rPr>
      <w:rFonts w:ascii="宋体" w:hAnsi="宋体" w:eastAsia="宋体"/>
      <w:bCs/>
      <w:kern w:val="2"/>
      <w:sz w:val="21"/>
      <w:szCs w:val="24"/>
    </w:rPr>
  </w:style>
  <w:style w:type="paragraph" w:styleId="53">
    <w:name w:val="toc 9"/>
    <w:basedOn w:val="1"/>
    <w:next w:val="1"/>
    <w:qFormat/>
    <w:uiPriority w:val="39"/>
    <w:pPr>
      <w:spacing w:line="360" w:lineRule="auto"/>
      <w:ind w:left="1600" w:leftChars="150" w:hanging="393" w:hangingChars="187"/>
      <w:textAlignment w:val="center"/>
    </w:pPr>
    <w:rPr>
      <w:rFonts w:eastAsia="宋体"/>
      <w:kern w:val="2"/>
      <w:sz w:val="21"/>
      <w:szCs w:val="21"/>
    </w:rPr>
  </w:style>
  <w:style w:type="paragraph" w:styleId="54">
    <w:name w:val="Body Text 2"/>
    <w:basedOn w:val="1"/>
    <w:link w:val="98"/>
    <w:qFormat/>
    <w:uiPriority w:val="0"/>
    <w:pPr>
      <w:widowControl w:val="0"/>
      <w:spacing w:after="120" w:line="480" w:lineRule="auto"/>
      <w:jc w:val="both"/>
    </w:pPr>
  </w:style>
  <w:style w:type="paragraph" w:styleId="55">
    <w:name w:val="Normal (Web)"/>
    <w:basedOn w:val="1"/>
    <w:qFormat/>
    <w:uiPriority w:val="99"/>
    <w:pPr>
      <w:spacing w:line="360" w:lineRule="auto"/>
      <w:ind w:left="708" w:leftChars="150" w:hanging="393" w:hangingChars="187"/>
      <w:textAlignment w:val="center"/>
    </w:pPr>
    <w:rPr>
      <w:rFonts w:eastAsia="宋体"/>
      <w:kern w:val="2"/>
      <w:sz w:val="24"/>
      <w:szCs w:val="24"/>
    </w:rPr>
  </w:style>
  <w:style w:type="paragraph" w:styleId="56">
    <w:name w:val="index 2"/>
    <w:basedOn w:val="1"/>
    <w:next w:val="1"/>
    <w:qFormat/>
    <w:uiPriority w:val="0"/>
    <w:pPr>
      <w:widowControl w:val="0"/>
      <w:autoSpaceDE w:val="0"/>
      <w:autoSpaceDN w:val="0"/>
      <w:adjustRightInd w:val="0"/>
      <w:snapToGrid w:val="0"/>
      <w:spacing w:line="360" w:lineRule="auto"/>
      <w:ind w:left="420"/>
      <w:jc w:val="both"/>
    </w:pPr>
    <w:rPr>
      <w:rFonts w:ascii="宋体" w:eastAsia="宋体"/>
      <w:snapToGrid/>
      <w:color w:val="000000"/>
      <w:sz w:val="21"/>
      <w:szCs w:val="20"/>
    </w:rPr>
  </w:style>
  <w:style w:type="paragraph" w:styleId="57">
    <w:name w:val="Title"/>
    <w:basedOn w:val="52"/>
    <w:next w:val="1"/>
    <w:link w:val="99"/>
    <w:qFormat/>
    <w:uiPriority w:val="0"/>
    <w:pPr>
      <w:spacing w:before="240" w:after="60"/>
      <w:jc w:val="center"/>
      <w:outlineLvl w:val="0"/>
    </w:pPr>
    <w:rPr>
      <w:rFonts w:ascii="Arial" w:hAnsi="Arial" w:eastAsia="楷体_GB2312"/>
      <w:b/>
      <w:sz w:val="32"/>
      <w:szCs w:val="20"/>
    </w:rPr>
  </w:style>
  <w:style w:type="paragraph" w:styleId="58">
    <w:name w:val="annotation subject"/>
    <w:basedOn w:val="19"/>
    <w:next w:val="19"/>
    <w:link w:val="100"/>
    <w:qFormat/>
    <w:uiPriority w:val="0"/>
    <w:pPr>
      <w:spacing w:line="360" w:lineRule="auto"/>
      <w:ind w:left="708" w:leftChars="150" w:hanging="393" w:hangingChars="187"/>
      <w:textAlignment w:val="center"/>
    </w:pPr>
    <w:rPr>
      <w:rFonts w:eastAsia="宋体"/>
      <w:b/>
      <w:sz w:val="20"/>
      <w:szCs w:val="20"/>
    </w:rPr>
  </w:style>
  <w:style w:type="paragraph" w:styleId="59">
    <w:name w:val="Body Text First Indent"/>
    <w:basedOn w:val="24"/>
    <w:link w:val="101"/>
    <w:qFormat/>
    <w:uiPriority w:val="0"/>
    <w:pPr>
      <w:widowControl w:val="0"/>
      <w:spacing w:line="240" w:lineRule="auto"/>
      <w:ind w:left="0" w:leftChars="0" w:firstLine="420" w:firstLineChars="100"/>
      <w:jc w:val="both"/>
      <w:textAlignment w:val="auto"/>
    </w:pPr>
    <w:rPr>
      <w:szCs w:val="24"/>
    </w:rPr>
  </w:style>
  <w:style w:type="table" w:styleId="61">
    <w:name w:val="Table Grid"/>
    <w:basedOn w:val="60"/>
    <w:qFormat/>
    <w:uiPriority w:val="0"/>
    <w:tblPr>
      <w:tblStyle w:val="6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qFormat/>
    <w:uiPriority w:val="0"/>
    <w:rPr>
      <w:b/>
      <w:bCs/>
    </w:rPr>
  </w:style>
  <w:style w:type="character" w:styleId="64">
    <w:name w:val="endnote reference"/>
    <w:qFormat/>
    <w:uiPriority w:val="0"/>
    <w:rPr>
      <w:vertAlign w:val="superscript"/>
    </w:rPr>
  </w:style>
  <w:style w:type="character" w:styleId="65">
    <w:name w:val="page number"/>
    <w:qFormat/>
    <w:uiPriority w:val="0"/>
  </w:style>
  <w:style w:type="character" w:styleId="66">
    <w:name w:val="FollowedHyperlink"/>
    <w:unhideWhenUsed/>
    <w:qFormat/>
    <w:uiPriority w:val="0"/>
    <w:rPr>
      <w:color w:val="800080"/>
      <w:u w:val="single"/>
    </w:rPr>
  </w:style>
  <w:style w:type="character" w:styleId="67">
    <w:name w:val="Emphasis"/>
    <w:qFormat/>
    <w:uiPriority w:val="20"/>
    <w:rPr>
      <w:color w:val="CC0000"/>
    </w:rPr>
  </w:style>
  <w:style w:type="character" w:styleId="68">
    <w:name w:val="HTML Typewriter"/>
    <w:qFormat/>
    <w:uiPriority w:val="0"/>
    <w:rPr>
      <w:rFonts w:ascii="黑体" w:hAnsi="Courier New" w:eastAsia="黑体" w:cs="Courier New"/>
      <w:sz w:val="20"/>
      <w:szCs w:val="20"/>
    </w:rPr>
  </w:style>
  <w:style w:type="character" w:styleId="69">
    <w:name w:val="Hyperlink"/>
    <w:qFormat/>
    <w:uiPriority w:val="99"/>
    <w:rPr>
      <w:color w:val="0000FF"/>
      <w:sz w:val="21"/>
      <w:u w:val="single"/>
    </w:rPr>
  </w:style>
  <w:style w:type="character" w:styleId="70">
    <w:name w:val="annotation reference"/>
    <w:qFormat/>
    <w:uiPriority w:val="99"/>
    <w:rPr>
      <w:sz w:val="21"/>
      <w:szCs w:val="21"/>
    </w:rPr>
  </w:style>
  <w:style w:type="character" w:styleId="71">
    <w:name w:val="footnote reference"/>
    <w:qFormat/>
    <w:uiPriority w:val="0"/>
    <w:rPr>
      <w:vertAlign w:val="superscript"/>
    </w:rPr>
  </w:style>
  <w:style w:type="character" w:customStyle="1" w:styleId="72">
    <w:name w:val="标题 1 字符"/>
    <w:link w:val="2"/>
    <w:qFormat/>
    <w:uiPriority w:val="0"/>
    <w:rPr>
      <w:b/>
      <w:kern w:val="44"/>
      <w:sz w:val="44"/>
      <w:szCs w:val="44"/>
    </w:rPr>
  </w:style>
  <w:style w:type="character" w:customStyle="1" w:styleId="73">
    <w:name w:val="标题 2 字符"/>
    <w:link w:val="3"/>
    <w:qFormat/>
    <w:uiPriority w:val="0"/>
    <w:rPr>
      <w:rFonts w:ascii="等线 Light" w:hAnsi="等线 Light" w:eastAsia="等线 Light"/>
      <w:b/>
      <w:bCs/>
      <w:sz w:val="32"/>
      <w:szCs w:val="32"/>
    </w:rPr>
  </w:style>
  <w:style w:type="character" w:customStyle="1" w:styleId="74">
    <w:name w:val="标题 3 字符"/>
    <w:link w:val="4"/>
    <w:qFormat/>
    <w:uiPriority w:val="0"/>
    <w:rPr>
      <w:rFonts w:ascii="Times New Roman" w:hAnsi="Times New Roman"/>
      <w:b/>
      <w:kern w:val="2"/>
      <w:sz w:val="32"/>
      <w:szCs w:val="32"/>
    </w:rPr>
  </w:style>
  <w:style w:type="character" w:customStyle="1" w:styleId="75">
    <w:name w:val="标题 4 字符"/>
    <w:link w:val="6"/>
    <w:qFormat/>
    <w:uiPriority w:val="0"/>
    <w:rPr>
      <w:rFonts w:ascii="Arial" w:hAnsi="Arial" w:eastAsia="黑体"/>
      <w:b/>
      <w:bCs/>
      <w:kern w:val="2"/>
      <w:sz w:val="28"/>
      <w:szCs w:val="28"/>
    </w:rPr>
  </w:style>
  <w:style w:type="character" w:customStyle="1" w:styleId="76">
    <w:name w:val="标题 5 字符"/>
    <w:link w:val="7"/>
    <w:qFormat/>
    <w:uiPriority w:val="0"/>
    <w:rPr>
      <w:kern w:val="2"/>
      <w:sz w:val="21"/>
      <w:szCs w:val="21"/>
    </w:rPr>
  </w:style>
  <w:style w:type="character" w:customStyle="1" w:styleId="77">
    <w:name w:val="标题 6 字符"/>
    <w:link w:val="8"/>
    <w:qFormat/>
    <w:uiPriority w:val="0"/>
    <w:rPr>
      <w:rFonts w:ascii="Arial" w:hAnsi="Arial" w:eastAsia="黑体"/>
      <w:b/>
      <w:bCs/>
      <w:kern w:val="2"/>
      <w:sz w:val="24"/>
      <w:szCs w:val="24"/>
    </w:rPr>
  </w:style>
  <w:style w:type="character" w:customStyle="1" w:styleId="78">
    <w:name w:val="标题 7 字符"/>
    <w:link w:val="9"/>
    <w:qFormat/>
    <w:uiPriority w:val="0"/>
    <w:rPr>
      <w:b/>
      <w:bCs/>
      <w:kern w:val="2"/>
      <w:sz w:val="24"/>
      <w:szCs w:val="24"/>
    </w:rPr>
  </w:style>
  <w:style w:type="character" w:customStyle="1" w:styleId="79">
    <w:name w:val="标题 8 字符"/>
    <w:link w:val="10"/>
    <w:qFormat/>
    <w:uiPriority w:val="0"/>
    <w:rPr>
      <w:rFonts w:ascii="Arial" w:hAnsi="Arial" w:eastAsia="黑体"/>
      <w:kern w:val="2"/>
      <w:sz w:val="24"/>
      <w:szCs w:val="24"/>
    </w:rPr>
  </w:style>
  <w:style w:type="character" w:customStyle="1" w:styleId="80">
    <w:name w:val="标题 9 字符"/>
    <w:link w:val="11"/>
    <w:qFormat/>
    <w:uiPriority w:val="0"/>
    <w:rPr>
      <w:rFonts w:ascii="Arial" w:hAnsi="Arial" w:eastAsia="黑体"/>
      <w:kern w:val="2"/>
      <w:sz w:val="21"/>
      <w:szCs w:val="21"/>
    </w:rPr>
  </w:style>
  <w:style w:type="character" w:customStyle="1" w:styleId="81">
    <w:name w:val="正文缩进 字符1"/>
    <w:link w:val="14"/>
    <w:qFormat/>
    <w:uiPriority w:val="0"/>
  </w:style>
  <w:style w:type="character" w:customStyle="1" w:styleId="82">
    <w:name w:val="题注 字符"/>
    <w:link w:val="15"/>
    <w:qFormat/>
    <w:uiPriority w:val="0"/>
    <w:rPr>
      <w:b/>
      <w:bCs/>
      <w:color w:val="000080"/>
      <w:sz w:val="28"/>
      <w:szCs w:val="24"/>
    </w:rPr>
  </w:style>
  <w:style w:type="character" w:customStyle="1" w:styleId="83">
    <w:name w:val="文档结构图 字符"/>
    <w:link w:val="17"/>
    <w:qFormat/>
    <w:uiPriority w:val="0"/>
    <w:rPr>
      <w:rFonts w:eastAsia="宋体"/>
      <w:shd w:val="clear" w:color="auto" w:fill="000080"/>
    </w:rPr>
  </w:style>
  <w:style w:type="character" w:customStyle="1" w:styleId="84">
    <w:name w:val="批注文字 字符"/>
    <w:link w:val="19"/>
    <w:semiHidden/>
    <w:qFormat/>
    <w:uiPriority w:val="99"/>
  </w:style>
  <w:style w:type="character" w:customStyle="1" w:styleId="85">
    <w:name w:val="称呼 字符"/>
    <w:link w:val="21"/>
    <w:qFormat/>
    <w:uiPriority w:val="0"/>
    <w:rPr>
      <w:sz w:val="24"/>
    </w:rPr>
  </w:style>
  <w:style w:type="character" w:customStyle="1" w:styleId="86">
    <w:name w:val="正文文本 3 字符"/>
    <w:link w:val="22"/>
    <w:qFormat/>
    <w:uiPriority w:val="0"/>
    <w:rPr>
      <w:rFonts w:ascii="宋体" w:eastAsia="宋体"/>
      <w:kern w:val="2"/>
      <w:sz w:val="24"/>
    </w:rPr>
  </w:style>
  <w:style w:type="character" w:customStyle="1" w:styleId="87">
    <w:name w:val="正文文本 字符"/>
    <w:link w:val="24"/>
    <w:uiPriority w:val="99"/>
    <w:rPr>
      <w:rFonts w:eastAsia="宋体"/>
      <w:szCs w:val="21"/>
    </w:rPr>
  </w:style>
  <w:style w:type="character" w:customStyle="1" w:styleId="88">
    <w:name w:val="正文文本缩进 字符"/>
    <w:link w:val="25"/>
    <w:qFormat/>
    <w:uiPriority w:val="0"/>
    <w:rPr>
      <w:szCs w:val="21"/>
    </w:rPr>
  </w:style>
  <w:style w:type="character" w:customStyle="1" w:styleId="89">
    <w:name w:val="纯文本 字符"/>
    <w:link w:val="32"/>
    <w:qFormat/>
    <w:uiPriority w:val="0"/>
    <w:rPr>
      <w:rFonts w:ascii="宋体" w:hAnsi="Courier New"/>
      <w:szCs w:val="21"/>
    </w:rPr>
  </w:style>
  <w:style w:type="character" w:customStyle="1" w:styleId="90">
    <w:name w:val="日期 字符"/>
    <w:link w:val="36"/>
    <w:qFormat/>
    <w:uiPriority w:val="0"/>
    <w:rPr>
      <w:szCs w:val="21"/>
    </w:rPr>
  </w:style>
  <w:style w:type="character" w:customStyle="1" w:styleId="91">
    <w:name w:val="正文文本缩进 2 字符"/>
    <w:link w:val="37"/>
    <w:qFormat/>
    <w:uiPriority w:val="0"/>
    <w:rPr>
      <w:rFonts w:eastAsia="宋体"/>
      <w:szCs w:val="21"/>
    </w:rPr>
  </w:style>
  <w:style w:type="character" w:customStyle="1" w:styleId="92">
    <w:name w:val="尾注文本 字符"/>
    <w:link w:val="38"/>
    <w:qFormat/>
    <w:uiPriority w:val="0"/>
    <w:rPr>
      <w:szCs w:val="24"/>
    </w:rPr>
  </w:style>
  <w:style w:type="character" w:customStyle="1" w:styleId="93">
    <w:name w:val="批注框文本 字符"/>
    <w:link w:val="39"/>
    <w:qFormat/>
    <w:uiPriority w:val="0"/>
    <w:rPr>
      <w:sz w:val="18"/>
      <w:szCs w:val="18"/>
    </w:rPr>
  </w:style>
  <w:style w:type="character" w:customStyle="1" w:styleId="94">
    <w:name w:val="页脚 字符"/>
    <w:link w:val="40"/>
    <w:uiPriority w:val="99"/>
    <w:rPr>
      <w:sz w:val="18"/>
      <w:szCs w:val="18"/>
    </w:rPr>
  </w:style>
  <w:style w:type="character" w:customStyle="1" w:styleId="95">
    <w:name w:val="页眉 字符"/>
    <w:link w:val="41"/>
    <w:qFormat/>
    <w:uiPriority w:val="99"/>
    <w:rPr>
      <w:sz w:val="18"/>
      <w:szCs w:val="18"/>
    </w:rPr>
  </w:style>
  <w:style w:type="character" w:customStyle="1" w:styleId="96">
    <w:name w:val="脚注文本 字符"/>
    <w:link w:val="47"/>
    <w:qFormat/>
    <w:uiPriority w:val="0"/>
    <w:rPr>
      <w:sz w:val="18"/>
    </w:rPr>
  </w:style>
  <w:style w:type="character" w:customStyle="1" w:styleId="97">
    <w:name w:val="正文文本缩进 3 字符"/>
    <w:link w:val="49"/>
    <w:qFormat/>
    <w:uiPriority w:val="0"/>
  </w:style>
  <w:style w:type="character" w:customStyle="1" w:styleId="98">
    <w:name w:val="正文文本 2 字符"/>
    <w:link w:val="54"/>
    <w:qFormat/>
    <w:uiPriority w:val="0"/>
  </w:style>
  <w:style w:type="character" w:customStyle="1" w:styleId="99">
    <w:name w:val="标题 字符"/>
    <w:link w:val="57"/>
    <w:qFormat/>
    <w:uiPriority w:val="0"/>
    <w:rPr>
      <w:rFonts w:ascii="Arial" w:hAnsi="Arial" w:eastAsia="楷体_GB2312"/>
      <w:b/>
      <w:sz w:val="32"/>
    </w:rPr>
  </w:style>
  <w:style w:type="character" w:customStyle="1" w:styleId="100">
    <w:name w:val="批注主题 字符"/>
    <w:link w:val="58"/>
    <w:qFormat/>
    <w:uiPriority w:val="0"/>
    <w:rPr>
      <w:b/>
    </w:rPr>
  </w:style>
  <w:style w:type="character" w:customStyle="1" w:styleId="101">
    <w:name w:val="正文文本首行缩进 字符"/>
    <w:link w:val="59"/>
    <w:qFormat/>
    <w:uiPriority w:val="0"/>
    <w:rPr>
      <w:szCs w:val="24"/>
    </w:rPr>
  </w:style>
  <w:style w:type="character" w:customStyle="1" w:styleId="102">
    <w:name w:val="中等深浅网格 2字符"/>
    <w:link w:val="103"/>
    <w:qFormat/>
    <w:uiPriority w:val="1"/>
    <w:rPr>
      <w:rFonts w:eastAsia="等线"/>
      <w:sz w:val="22"/>
      <w:szCs w:val="22"/>
      <w:lang w:val="en-US" w:eastAsia="zh-CN" w:bidi="ar-SA"/>
    </w:rPr>
  </w:style>
  <w:style w:type="paragraph" w:customStyle="1" w:styleId="103">
    <w:name w:val="中等深浅网格 21"/>
    <w:link w:val="102"/>
    <w:qFormat/>
    <w:uiPriority w:val="1"/>
    <w:rPr>
      <w:rFonts w:eastAsia="等线"/>
      <w:sz w:val="22"/>
      <w:szCs w:val="22"/>
      <w:lang w:val="en-US" w:eastAsia="zh-CN" w:bidi="ar-SA"/>
    </w:rPr>
  </w:style>
  <w:style w:type="character" w:customStyle="1" w:styleId="104">
    <w:name w:val="正文文本缩进 2 字符1"/>
    <w:semiHidden/>
    <w:qFormat/>
    <w:uiPriority w:val="99"/>
  </w:style>
  <w:style w:type="character" w:customStyle="1" w:styleId="105">
    <w:name w:val="mail1"/>
    <w:qFormat/>
    <w:uiPriority w:val="0"/>
    <w:rPr>
      <w:color w:val="000000"/>
      <w:sz w:val="21"/>
      <w:szCs w:val="21"/>
      <w:u w:val="none"/>
    </w:rPr>
  </w:style>
  <w:style w:type="character" w:customStyle="1" w:styleId="106">
    <w:name w:val="批注主题 字符1"/>
    <w:semiHidden/>
    <w:qFormat/>
    <w:uiPriority w:val="99"/>
    <w:rPr>
      <w:b/>
      <w:bCs/>
    </w:rPr>
  </w:style>
  <w:style w:type="character" w:customStyle="1" w:styleId="107">
    <w:name w:val="dash6b63_6587__char1"/>
    <w:qFormat/>
    <w:uiPriority w:val="0"/>
    <w:rPr>
      <w:rFonts w:ascii="Calibri" w:hAnsi="Calibri" w:cs="Calibri"/>
      <w:sz w:val="20"/>
      <w:szCs w:val="20"/>
    </w:rPr>
  </w:style>
  <w:style w:type="character" w:customStyle="1" w:styleId="108">
    <w:name w:val="列表框1 Char Char"/>
    <w:qFormat/>
    <w:uiPriority w:val="0"/>
    <w:rPr>
      <w:rFonts w:ascii="Arial" w:hAnsi="Arial" w:eastAsia="楷体_GB2312" w:cs="Arial"/>
      <w:spacing w:val="10"/>
      <w:kern w:val="2"/>
      <w:sz w:val="21"/>
      <w:szCs w:val="24"/>
      <w:lang w:val="en-US" w:eastAsia="zh-CN" w:bidi="ar-SA"/>
    </w:rPr>
  </w:style>
  <w:style w:type="character" w:customStyle="1" w:styleId="109">
    <w:name w:val="应答文本 Char Char Char Char Char Char"/>
    <w:qFormat/>
    <w:uiPriority w:val="0"/>
    <w:rPr>
      <w:rFonts w:ascii="Arial" w:hAnsi="Arial" w:eastAsia="楷体_GB2312" w:cs="宋体"/>
      <w:spacing w:val="10"/>
      <w:kern w:val="2"/>
      <w:sz w:val="21"/>
      <w:szCs w:val="24"/>
      <w:lang w:val="en-US" w:eastAsia="zh-CN" w:bidi="ar-SA"/>
    </w:rPr>
  </w:style>
  <w:style w:type="character" w:customStyle="1" w:styleId="110">
    <w:name w:val="样式 首行缩进:  2 字符 Char1"/>
    <w:qFormat/>
    <w:uiPriority w:val="0"/>
    <w:rPr>
      <w:rFonts w:eastAsia="宋体" w:cs="宋体"/>
      <w:kern w:val="2"/>
      <w:sz w:val="24"/>
      <w:lang w:val="en-US" w:eastAsia="zh-CN" w:bidi="ar-SA"/>
    </w:rPr>
  </w:style>
  <w:style w:type="character" w:customStyle="1" w:styleId="111">
    <w:name w:val="正文－wjnew Char Char"/>
    <w:link w:val="112"/>
    <w:qFormat/>
    <w:uiPriority w:val="0"/>
    <w:rPr>
      <w:rFonts w:ascii="宋体"/>
      <w:szCs w:val="21"/>
    </w:rPr>
  </w:style>
  <w:style w:type="paragraph" w:customStyle="1" w:styleId="112">
    <w:name w:val="正文－wjnew"/>
    <w:basedOn w:val="1"/>
    <w:link w:val="111"/>
    <w:qFormat/>
    <w:uiPriority w:val="0"/>
    <w:pPr>
      <w:widowControl w:val="0"/>
      <w:adjustRightInd w:val="0"/>
      <w:snapToGrid w:val="0"/>
      <w:spacing w:line="360" w:lineRule="auto"/>
      <w:ind w:firstLine="420"/>
      <w:jc w:val="both"/>
    </w:pPr>
    <w:rPr>
      <w:rFonts w:ascii="宋体" w:eastAsia="宋体"/>
      <w:sz w:val="20"/>
      <w:szCs w:val="21"/>
    </w:rPr>
  </w:style>
  <w:style w:type="character" w:customStyle="1" w:styleId="113">
    <w:name w:val="正文文本 2 字符1"/>
    <w:semiHidden/>
    <w:qFormat/>
    <w:uiPriority w:val="99"/>
  </w:style>
  <w:style w:type="character" w:customStyle="1" w:styleId="114">
    <w:name w:val="样式 宋体 小四1"/>
    <w:qFormat/>
    <w:uiPriority w:val="0"/>
    <w:rPr>
      <w:rFonts w:ascii="宋体" w:hAnsi="宋体"/>
      <w:sz w:val="24"/>
    </w:rPr>
  </w:style>
  <w:style w:type="character" w:customStyle="1" w:styleId="115">
    <w:name w:val="批注框文本 字符1"/>
    <w:semiHidden/>
    <w:qFormat/>
    <w:uiPriority w:val="99"/>
    <w:rPr>
      <w:sz w:val="18"/>
      <w:szCs w:val="18"/>
    </w:rPr>
  </w:style>
  <w:style w:type="character" w:customStyle="1" w:styleId="116">
    <w:name w:val="无间隔 Char"/>
    <w:link w:val="117"/>
    <w:qFormat/>
    <w:uiPriority w:val="0"/>
    <w:rPr>
      <w:rFonts w:eastAsia="等线"/>
      <w:sz w:val="22"/>
      <w:szCs w:val="22"/>
      <w:lang w:val="en-US" w:eastAsia="zh-CN" w:bidi="ar-SA"/>
    </w:rPr>
  </w:style>
  <w:style w:type="paragraph" w:customStyle="1" w:styleId="117">
    <w:name w:val="无间隔1"/>
    <w:link w:val="116"/>
    <w:qFormat/>
    <w:uiPriority w:val="0"/>
    <w:rPr>
      <w:rFonts w:eastAsia="等线"/>
      <w:sz w:val="22"/>
      <w:szCs w:val="22"/>
      <w:lang w:val="en-US" w:eastAsia="zh-CN" w:bidi="ar-SA"/>
    </w:rPr>
  </w:style>
  <w:style w:type="character" w:customStyle="1" w:styleId="118">
    <w:name w:val="标题 字符1"/>
    <w:qFormat/>
    <w:uiPriority w:val="10"/>
    <w:rPr>
      <w:rFonts w:ascii="等线 Light" w:hAnsi="等线 Light" w:eastAsia="等线 Light" w:cs="Times New Roman"/>
      <w:b/>
      <w:bCs/>
      <w:sz w:val="32"/>
      <w:szCs w:val="32"/>
    </w:rPr>
  </w:style>
  <w:style w:type="character" w:customStyle="1" w:styleId="119">
    <w:name w:val="15"/>
    <w:qFormat/>
    <w:uiPriority w:val="0"/>
    <w:rPr>
      <w:rFonts w:hint="default" w:ascii="Calibri" w:hAnsi="Calibri"/>
      <w:sz w:val="20"/>
      <w:szCs w:val="20"/>
    </w:rPr>
  </w:style>
  <w:style w:type="character" w:customStyle="1" w:styleId="120">
    <w:name w:val="text12st_hs1"/>
    <w:qFormat/>
    <w:uiPriority w:val="0"/>
    <w:rPr>
      <w:color w:val="000000"/>
      <w:sz w:val="19"/>
      <w:szCs w:val="19"/>
      <w:u w:val="none"/>
    </w:rPr>
  </w:style>
  <w:style w:type="character" w:customStyle="1" w:styleId="121">
    <w:name w:val="正文文本缩进 字符1"/>
    <w:semiHidden/>
    <w:qFormat/>
    <w:uiPriority w:val="99"/>
  </w:style>
  <w:style w:type="character" w:customStyle="1" w:styleId="122">
    <w:name w:val="脚注文本 字符1"/>
    <w:semiHidden/>
    <w:qFormat/>
    <w:uiPriority w:val="99"/>
    <w:rPr>
      <w:sz w:val="18"/>
      <w:szCs w:val="18"/>
    </w:rPr>
  </w:style>
  <w:style w:type="character" w:customStyle="1" w:styleId="123">
    <w:name w:val="正文缩进 字符"/>
    <w:qFormat/>
    <w:uiPriority w:val="0"/>
  </w:style>
  <w:style w:type="character" w:customStyle="1" w:styleId="124">
    <w:name w:val="font71"/>
    <w:qFormat/>
    <w:uiPriority w:val="0"/>
    <w:rPr>
      <w:rFonts w:hint="eastAsia" w:ascii="仿宋_GB2312" w:eastAsia="仿宋_GB2312" w:cs="仿宋_GB2312"/>
      <w:color w:val="000000"/>
      <w:sz w:val="18"/>
      <w:szCs w:val="18"/>
      <w:u w:val="none"/>
    </w:rPr>
  </w:style>
  <w:style w:type="character" w:customStyle="1" w:styleId="125">
    <w:name w:val="样式 超链接 + 仿宋_GB2312 小四 加粗"/>
    <w:qFormat/>
    <w:uiPriority w:val="0"/>
    <w:rPr>
      <w:rFonts w:ascii="仿宋_GB2312" w:hAnsi="仿宋_GB2312" w:eastAsia="黑体"/>
      <w:b/>
      <w:bCs/>
      <w:color w:val="auto"/>
      <w:sz w:val="24"/>
      <w:u w:val="none"/>
    </w:rPr>
  </w:style>
  <w:style w:type="character" w:customStyle="1" w:styleId="126">
    <w:name w:val="正文文本 3 字符1"/>
    <w:semiHidden/>
    <w:qFormat/>
    <w:uiPriority w:val="99"/>
    <w:rPr>
      <w:sz w:val="16"/>
      <w:szCs w:val="16"/>
    </w:rPr>
  </w:style>
  <w:style w:type="character" w:customStyle="1" w:styleId="127">
    <w:name w:val="Char Char11"/>
    <w:qFormat/>
    <w:uiPriority w:val="0"/>
    <w:rPr>
      <w:rFonts w:eastAsia="宋体"/>
      <w:kern w:val="2"/>
      <w:sz w:val="21"/>
      <w:lang w:val="en-US" w:eastAsia="zh-CN" w:bidi="ar-SA"/>
    </w:rPr>
  </w:style>
  <w:style w:type="character" w:customStyle="1" w:styleId="128">
    <w:name w:val="样式 标题 2标题 1.1head:2#2 headlinehheadlineS&amp;R2ERMH2Head 2 +... Char"/>
    <w:qFormat/>
    <w:uiPriority w:val="0"/>
    <w:rPr>
      <w:rFonts w:ascii="Arial" w:hAnsi="Arial" w:eastAsia="宋体"/>
      <w:b/>
      <w:bCs/>
      <w:sz w:val="24"/>
      <w:lang w:val="en-US" w:eastAsia="zh-CN" w:bidi="ar-SA"/>
    </w:rPr>
  </w:style>
  <w:style w:type="character" w:customStyle="1" w:styleId="129">
    <w:name w:val="标题 Char1"/>
    <w:qFormat/>
    <w:uiPriority w:val="10"/>
    <w:rPr>
      <w:rFonts w:ascii="Cambria" w:hAnsi="Cambria" w:eastAsia="宋体" w:cs="Times New Roman"/>
      <w:b/>
      <w:bCs/>
      <w:sz w:val="32"/>
      <w:szCs w:val="32"/>
    </w:rPr>
  </w:style>
  <w:style w:type="character" w:customStyle="1" w:styleId="130">
    <w:name w:val="样式 楷体_GB2312 二号 加粗 Char"/>
    <w:qFormat/>
    <w:uiPriority w:val="0"/>
    <w:rPr>
      <w:rFonts w:ascii="楷体_GB2312" w:hAnsi="Arial" w:eastAsia="楷体_GB2312" w:cs="Arial"/>
      <w:b/>
      <w:kern w:val="2"/>
      <w:sz w:val="44"/>
      <w:szCs w:val="24"/>
      <w:lang w:val="en-US" w:eastAsia="zh-CN" w:bidi="ar-SA"/>
    </w:rPr>
  </w:style>
  <w:style w:type="character" w:customStyle="1" w:styleId="131">
    <w:name w:val="纯文本 字符1"/>
    <w:semiHidden/>
    <w:qFormat/>
    <w:uiPriority w:val="99"/>
    <w:rPr>
      <w:rFonts w:ascii="等线" w:hAnsi="Courier New" w:cs="Courier New"/>
    </w:rPr>
  </w:style>
  <w:style w:type="character" w:customStyle="1" w:styleId="132">
    <w:name w:val="日期 字符1"/>
    <w:semiHidden/>
    <w:qFormat/>
    <w:uiPriority w:val="99"/>
  </w:style>
  <w:style w:type="character" w:customStyle="1" w:styleId="133">
    <w:name w:val="Char Char1"/>
    <w:qFormat/>
    <w:uiPriority w:val="0"/>
    <w:rPr>
      <w:rFonts w:ascii="宋体" w:hAnsi="宋体"/>
      <w:bCs/>
      <w:spacing w:val="20"/>
      <w:kern w:val="2"/>
      <w:sz w:val="28"/>
      <w:szCs w:val="24"/>
    </w:rPr>
  </w:style>
  <w:style w:type="character" w:customStyle="1" w:styleId="134">
    <w:name w:val="样式 二号 红色 边框:: (单实线 自动设置  0.5 磅 行宽)"/>
    <w:qFormat/>
    <w:uiPriority w:val="0"/>
    <w:rPr>
      <w:rFonts w:eastAsia="宋体"/>
      <w:color w:val="0000FF"/>
      <w:sz w:val="44"/>
      <w:bdr w:val="single" w:color="0000FF" w:sz="4" w:space="0"/>
    </w:rPr>
  </w:style>
  <w:style w:type="character" w:customStyle="1" w:styleId="135">
    <w:name w:val="样式 标题 2标题 1.1head:2#2 headlinehheadlineS&amp;R2ERMH2Head 2 +... Char Char"/>
    <w:qFormat/>
    <w:uiPriority w:val="0"/>
    <w:rPr>
      <w:rFonts w:ascii="Arial" w:hAnsi="Arial" w:eastAsia="宋体"/>
      <w:b/>
      <w:bCs/>
      <w:sz w:val="24"/>
      <w:lang w:val="en-US" w:eastAsia="zh-CN" w:bidi="ar-SA"/>
    </w:rPr>
  </w:style>
  <w:style w:type="character" w:customStyle="1" w:styleId="136">
    <w:name w:val="font01"/>
    <w:qFormat/>
    <w:uiPriority w:val="0"/>
    <w:rPr>
      <w:rFonts w:hint="default" w:ascii="Times New Roman" w:hAnsi="Times New Roman" w:cs="Times New Roman"/>
      <w:color w:val="000000"/>
      <w:sz w:val="18"/>
      <w:szCs w:val="18"/>
      <w:u w:val="none"/>
      <w:vertAlign w:val="superscript"/>
    </w:rPr>
  </w:style>
  <w:style w:type="character" w:customStyle="1" w:styleId="137">
    <w:name w:val="无编号正文 Char Char"/>
    <w:link w:val="138"/>
    <w:qFormat/>
    <w:uiPriority w:val="0"/>
    <w:rPr>
      <w:rFonts w:ascii="宋体" w:hAnsi="宋体"/>
      <w:sz w:val="24"/>
      <w:szCs w:val="24"/>
    </w:rPr>
  </w:style>
  <w:style w:type="paragraph" w:customStyle="1" w:styleId="138">
    <w:name w:val="无编号正文"/>
    <w:basedOn w:val="24"/>
    <w:next w:val="1"/>
    <w:link w:val="137"/>
    <w:qFormat/>
    <w:uiPriority w:val="0"/>
    <w:pPr>
      <w:widowControl w:val="0"/>
      <w:spacing w:after="0"/>
      <w:ind w:left="200" w:leftChars="200" w:firstLine="200" w:firstLineChars="200"/>
      <w:jc w:val="both"/>
      <w:textAlignment w:val="auto"/>
    </w:pPr>
    <w:rPr>
      <w:rFonts w:ascii="宋体" w:hAnsi="宋体"/>
      <w:sz w:val="24"/>
      <w:szCs w:val="24"/>
    </w:rPr>
  </w:style>
  <w:style w:type="character" w:customStyle="1" w:styleId="139">
    <w:name w:val="尾注文本 字符1"/>
    <w:semiHidden/>
    <w:qFormat/>
    <w:uiPriority w:val="99"/>
  </w:style>
  <w:style w:type="character" w:customStyle="1" w:styleId="140">
    <w:name w:val="样式 题注 + 首行缩进:  2 字符2 Char"/>
    <w:link w:val="141"/>
    <w:qFormat/>
    <w:uiPriority w:val="0"/>
    <w:rPr>
      <w:rFonts w:ascii="Arial" w:hAnsi="Arial"/>
      <w:kern w:val="24"/>
      <w:sz w:val="24"/>
      <w:szCs w:val="24"/>
    </w:rPr>
  </w:style>
  <w:style w:type="paragraph" w:customStyle="1" w:styleId="141">
    <w:name w:val="样式 题注 + 首行缩进:  2 字符2"/>
    <w:basedOn w:val="15"/>
    <w:link w:val="140"/>
    <w:qFormat/>
    <w:uiPriority w:val="0"/>
    <w:pPr>
      <w:adjustRightInd w:val="0"/>
      <w:snapToGrid w:val="0"/>
      <w:spacing w:beforeLines="50"/>
      <w:ind w:firstLine="0" w:firstLineChars="0"/>
      <w:jc w:val="center"/>
    </w:pPr>
    <w:rPr>
      <w:rFonts w:ascii="Arial" w:hAnsi="Arial"/>
      <w:b w:val="0"/>
      <w:bCs w:val="0"/>
      <w:color w:val="auto"/>
      <w:kern w:val="24"/>
      <w:sz w:val="24"/>
    </w:rPr>
  </w:style>
  <w:style w:type="character" w:customStyle="1" w:styleId="142">
    <w:name w:val="正文文本 Char"/>
    <w:qFormat/>
    <w:uiPriority w:val="0"/>
    <w:rPr>
      <w:kern w:val="2"/>
      <w:sz w:val="21"/>
      <w:szCs w:val="21"/>
    </w:rPr>
  </w:style>
  <w:style w:type="character" w:customStyle="1" w:styleId="143">
    <w:name w:val="Char Char2"/>
    <w:qFormat/>
    <w:uiPriority w:val="0"/>
    <w:rPr>
      <w:rFonts w:eastAsia="仿宋_GB2312"/>
      <w:kern w:val="2"/>
      <w:sz w:val="28"/>
      <w:lang w:val="en-US" w:eastAsia="zh-CN" w:bidi="ar-SA"/>
    </w:rPr>
  </w:style>
  <w:style w:type="character" w:customStyle="1" w:styleId="144">
    <w:name w:val="apple-converted-space"/>
    <w:qFormat/>
    <w:uiPriority w:val="0"/>
  </w:style>
  <w:style w:type="character" w:customStyle="1" w:styleId="145">
    <w:name w:val="正文首行缩进 字符1"/>
    <w:semiHidden/>
    <w:qFormat/>
    <w:uiPriority w:val="99"/>
  </w:style>
  <w:style w:type="character" w:customStyle="1" w:styleId="146">
    <w:name w:val="正文文本 字符1"/>
    <w:semiHidden/>
    <w:qFormat/>
    <w:uiPriority w:val="99"/>
  </w:style>
  <w:style w:type="character" w:customStyle="1" w:styleId="147">
    <w:name w:val="表格 Char"/>
    <w:link w:val="148"/>
    <w:qFormat/>
    <w:uiPriority w:val="0"/>
    <w:rPr>
      <w:szCs w:val="21"/>
    </w:rPr>
  </w:style>
  <w:style w:type="paragraph" w:customStyle="1" w:styleId="148">
    <w:name w:val="表格"/>
    <w:basedOn w:val="1"/>
    <w:link w:val="147"/>
    <w:qFormat/>
    <w:uiPriority w:val="0"/>
    <w:pPr>
      <w:widowControl w:val="0"/>
      <w:spacing w:line="360" w:lineRule="auto"/>
      <w:ind w:left="708" w:leftChars="150" w:hanging="393" w:hangingChars="187"/>
      <w:jc w:val="center"/>
      <w:textAlignment w:val="center"/>
    </w:pPr>
    <w:rPr>
      <w:rFonts w:eastAsia="宋体"/>
      <w:sz w:val="20"/>
      <w:szCs w:val="21"/>
    </w:rPr>
  </w:style>
  <w:style w:type="character" w:customStyle="1" w:styleId="149">
    <w:name w:val="(1) Char Char"/>
    <w:link w:val="150"/>
    <w:qFormat/>
    <w:uiPriority w:val="0"/>
    <w:rPr>
      <w:rFonts w:ascii="宋体" w:hAnsi="宋体"/>
      <w:sz w:val="24"/>
      <w:szCs w:val="24"/>
    </w:rPr>
  </w:style>
  <w:style w:type="paragraph" w:customStyle="1" w:styleId="150">
    <w:name w:val="(1)"/>
    <w:basedOn w:val="1"/>
    <w:next w:val="1"/>
    <w:link w:val="149"/>
    <w:qFormat/>
    <w:uiPriority w:val="0"/>
    <w:pPr>
      <w:widowControl w:val="0"/>
      <w:tabs>
        <w:tab w:val="left" w:pos="813"/>
      </w:tabs>
      <w:spacing w:line="360" w:lineRule="auto"/>
      <w:ind w:left="813" w:hanging="567"/>
      <w:jc w:val="both"/>
    </w:pPr>
    <w:rPr>
      <w:rFonts w:ascii="宋体" w:hAnsi="宋体" w:eastAsia="宋体"/>
      <w:sz w:val="24"/>
      <w:szCs w:val="24"/>
    </w:rPr>
  </w:style>
  <w:style w:type="character" w:customStyle="1" w:styleId="151">
    <w:name w:val="表 Char"/>
    <w:link w:val="152"/>
    <w:qFormat/>
    <w:uiPriority w:val="0"/>
    <w:rPr>
      <w:rFonts w:ascii="宋体" w:hAnsi="宋体"/>
      <w:color w:val="FF0000"/>
      <w:kern w:val="24"/>
      <w:szCs w:val="21"/>
    </w:rPr>
  </w:style>
  <w:style w:type="paragraph" w:customStyle="1" w:styleId="152">
    <w:name w:val="表"/>
    <w:basedOn w:val="1"/>
    <w:link w:val="151"/>
    <w:qFormat/>
    <w:uiPriority w:val="0"/>
    <w:pPr>
      <w:widowControl w:val="0"/>
      <w:adjustRightInd w:val="0"/>
      <w:snapToGrid w:val="0"/>
      <w:spacing w:line="360" w:lineRule="auto"/>
      <w:jc w:val="both"/>
    </w:pPr>
    <w:rPr>
      <w:rFonts w:ascii="宋体" w:hAnsi="宋体" w:eastAsia="宋体"/>
      <w:color w:val="FF0000"/>
      <w:kern w:val="24"/>
      <w:sz w:val="20"/>
      <w:szCs w:val="21"/>
    </w:rPr>
  </w:style>
  <w:style w:type="character" w:customStyle="1" w:styleId="153">
    <w:name w:val="正文－zlb Char Char"/>
    <w:link w:val="154"/>
    <w:qFormat/>
    <w:uiPriority w:val="0"/>
    <w:rPr>
      <w:rFonts w:ascii="宋体"/>
      <w:sz w:val="24"/>
      <w:szCs w:val="24"/>
    </w:rPr>
  </w:style>
  <w:style w:type="paragraph" w:customStyle="1" w:styleId="154">
    <w:name w:val="正文－zlb"/>
    <w:basedOn w:val="1"/>
    <w:link w:val="153"/>
    <w:qFormat/>
    <w:uiPriority w:val="0"/>
    <w:pPr>
      <w:widowControl w:val="0"/>
      <w:adjustRightInd w:val="0"/>
      <w:snapToGrid w:val="0"/>
      <w:spacing w:line="360" w:lineRule="auto"/>
      <w:ind w:firstLine="420"/>
      <w:jc w:val="both"/>
    </w:pPr>
    <w:rPr>
      <w:rFonts w:ascii="宋体" w:eastAsia="宋体"/>
      <w:sz w:val="24"/>
      <w:szCs w:val="24"/>
    </w:rPr>
  </w:style>
  <w:style w:type="character" w:customStyle="1" w:styleId="155">
    <w:name w:val="正文文本缩进 3 字符1"/>
    <w:semiHidden/>
    <w:qFormat/>
    <w:uiPriority w:val="99"/>
    <w:rPr>
      <w:sz w:val="16"/>
      <w:szCs w:val="16"/>
    </w:rPr>
  </w:style>
  <w:style w:type="character" w:customStyle="1" w:styleId="156">
    <w:name w:val="正文 BJ8 Char Char"/>
    <w:link w:val="157"/>
    <w:qFormat/>
    <w:uiPriority w:val="0"/>
    <w:rPr>
      <w:sz w:val="24"/>
      <w:szCs w:val="24"/>
    </w:rPr>
  </w:style>
  <w:style w:type="paragraph" w:customStyle="1" w:styleId="157">
    <w:name w:val="正文 BJ8"/>
    <w:basedOn w:val="1"/>
    <w:link w:val="156"/>
    <w:qFormat/>
    <w:uiPriority w:val="0"/>
    <w:pPr>
      <w:widowControl w:val="0"/>
      <w:adjustRightInd w:val="0"/>
      <w:snapToGrid w:val="0"/>
      <w:spacing w:line="360" w:lineRule="auto"/>
      <w:ind w:firstLine="200" w:firstLineChars="200"/>
    </w:pPr>
    <w:rPr>
      <w:rFonts w:eastAsia="宋体"/>
      <w:sz w:val="24"/>
      <w:szCs w:val="24"/>
    </w:rPr>
  </w:style>
  <w:style w:type="character" w:customStyle="1" w:styleId="158">
    <w:name w:val="font21"/>
    <w:qFormat/>
    <w:uiPriority w:val="0"/>
    <w:rPr>
      <w:rFonts w:hint="default" w:ascii="Times New Roman" w:hAnsi="Times New Roman" w:cs="Times New Roman"/>
      <w:color w:val="000000"/>
      <w:sz w:val="18"/>
      <w:szCs w:val="18"/>
      <w:u w:val="none"/>
    </w:rPr>
  </w:style>
  <w:style w:type="character" w:customStyle="1" w:styleId="159">
    <w:name w:val="1 Char"/>
    <w:qFormat/>
    <w:uiPriority w:val="0"/>
    <w:rPr>
      <w:rFonts w:ascii="宋体" w:hAnsi="宋体" w:eastAsia="宋体"/>
      <w:b/>
      <w:bCs/>
      <w:sz w:val="28"/>
      <w:lang w:val="en-US" w:eastAsia="zh-CN" w:bidi="ar-SA"/>
    </w:rPr>
  </w:style>
  <w:style w:type="character" w:customStyle="1" w:styleId="160">
    <w:name w:val="纯文本 Char1"/>
    <w:qFormat/>
    <w:uiPriority w:val="0"/>
    <w:rPr>
      <w:rFonts w:ascii="宋体" w:hAnsi="Courier New"/>
      <w:kern w:val="2"/>
      <w:sz w:val="21"/>
    </w:rPr>
  </w:style>
  <w:style w:type="character" w:customStyle="1" w:styleId="161">
    <w:name w:val="正文（首行缩进两字） Char Char"/>
    <w:qFormat/>
    <w:uiPriority w:val="0"/>
    <w:rPr>
      <w:rFonts w:ascii="宋体" w:eastAsia="宋体"/>
      <w:snapToGrid w:val="0"/>
      <w:color w:val="000000"/>
      <w:sz w:val="21"/>
      <w:lang w:val="en-US" w:eastAsia="zh-CN" w:bidi="ar-SA"/>
    </w:rPr>
  </w:style>
  <w:style w:type="character" w:customStyle="1" w:styleId="162">
    <w:name w:val="批注文字 Char"/>
    <w:qFormat/>
    <w:uiPriority w:val="99"/>
    <w:rPr>
      <w:kern w:val="2"/>
      <w:sz w:val="21"/>
      <w:szCs w:val="21"/>
    </w:rPr>
  </w:style>
  <w:style w:type="character" w:customStyle="1" w:styleId="163">
    <w:name w:val="style14"/>
    <w:qFormat/>
    <w:uiPriority w:val="0"/>
  </w:style>
  <w:style w:type="character" w:customStyle="1" w:styleId="164">
    <w:name w:val="正文（首行缩进两字） Char"/>
    <w:qFormat/>
    <w:uiPriority w:val="0"/>
    <w:rPr>
      <w:rFonts w:ascii="宋体" w:eastAsia="宋体"/>
      <w:snapToGrid w:val="0"/>
      <w:color w:val="000000"/>
      <w:sz w:val="21"/>
      <w:lang w:val="en-US" w:eastAsia="zh-CN" w:bidi="ar-SA"/>
    </w:rPr>
  </w:style>
  <w:style w:type="character" w:customStyle="1" w:styleId="165">
    <w:name w:val="应答文本 Char Char"/>
    <w:qFormat/>
    <w:uiPriority w:val="0"/>
    <w:rPr>
      <w:rFonts w:ascii="Arial" w:hAnsi="Arial" w:eastAsia="楷体_GB2312" w:cs="宋体"/>
      <w:spacing w:val="10"/>
      <w:kern w:val="2"/>
      <w:sz w:val="21"/>
      <w:szCs w:val="24"/>
      <w:lang w:val="en-US" w:eastAsia="zh-CN" w:bidi="ar-SA"/>
    </w:rPr>
  </w:style>
  <w:style w:type="character" w:customStyle="1" w:styleId="166">
    <w:name w:val="称呼 字符1"/>
    <w:semiHidden/>
    <w:qFormat/>
    <w:uiPriority w:val="99"/>
  </w:style>
  <w:style w:type="character" w:customStyle="1" w:styleId="167">
    <w:name w:val="样式 Char Char"/>
    <w:link w:val="168"/>
    <w:qFormat/>
    <w:uiPriority w:val="0"/>
    <w:rPr>
      <w:rFonts w:ascii="宋体" w:hAnsi="宋体" w:eastAsia="等线" w:cs="宋体"/>
      <w:sz w:val="24"/>
      <w:szCs w:val="24"/>
      <w:lang w:val="en-US" w:eastAsia="zh-CN" w:bidi="ar-SA"/>
    </w:rPr>
  </w:style>
  <w:style w:type="paragraph" w:customStyle="1" w:styleId="168">
    <w:name w:val="样式"/>
    <w:link w:val="167"/>
    <w:qFormat/>
    <w:uiPriority w:val="0"/>
    <w:pPr>
      <w:widowControl w:val="0"/>
      <w:autoSpaceDE w:val="0"/>
      <w:autoSpaceDN w:val="0"/>
      <w:adjustRightInd w:val="0"/>
    </w:pPr>
    <w:rPr>
      <w:rFonts w:ascii="宋体" w:hAnsi="宋体" w:eastAsia="等线" w:cs="宋体"/>
      <w:sz w:val="24"/>
      <w:szCs w:val="24"/>
      <w:lang w:val="en-US" w:eastAsia="zh-CN" w:bidi="ar-SA"/>
    </w:rPr>
  </w:style>
  <w:style w:type="character" w:customStyle="1" w:styleId="169">
    <w:name w:val="Char Char8"/>
    <w:qFormat/>
    <w:uiPriority w:val="0"/>
    <w:rPr>
      <w:rFonts w:eastAsia="宋体"/>
      <w:sz w:val="24"/>
      <w:lang w:val="en-US" w:eastAsia="zh-CN" w:bidi="ar-SA"/>
    </w:rPr>
  </w:style>
  <w:style w:type="character" w:customStyle="1" w:styleId="170">
    <w:name w:val="表图名称 Char Char"/>
    <w:link w:val="171"/>
    <w:qFormat/>
    <w:uiPriority w:val="0"/>
    <w:rPr>
      <w:rFonts w:ascii="黑体" w:hAnsi="宋体" w:eastAsia="黑体"/>
      <w:sz w:val="24"/>
      <w:szCs w:val="24"/>
      <w:lang w:val="en-US" w:eastAsia="zh-CN" w:bidi="ar-SA"/>
    </w:rPr>
  </w:style>
  <w:style w:type="paragraph" w:customStyle="1" w:styleId="171">
    <w:name w:val="表图名称"/>
    <w:link w:val="170"/>
    <w:qFormat/>
    <w:uiPriority w:val="0"/>
    <w:pPr>
      <w:widowControl w:val="0"/>
      <w:tabs>
        <w:tab w:val="left" w:pos="6120"/>
        <w:tab w:val="left" w:pos="13784"/>
      </w:tabs>
      <w:adjustRightInd w:val="0"/>
      <w:snapToGrid w:val="0"/>
      <w:spacing w:line="360" w:lineRule="auto"/>
      <w:jc w:val="center"/>
    </w:pPr>
    <w:rPr>
      <w:rFonts w:ascii="黑体" w:hAnsi="宋体" w:eastAsia="黑体"/>
      <w:sz w:val="24"/>
      <w:szCs w:val="24"/>
      <w:lang w:val="en-US" w:eastAsia="zh-CN" w:bidi="ar-SA"/>
    </w:rPr>
  </w:style>
  <w:style w:type="character" w:customStyle="1" w:styleId="172">
    <w:name w:val="high151"/>
    <w:qFormat/>
    <w:uiPriority w:val="0"/>
    <w:rPr>
      <w:sz w:val="18"/>
    </w:rPr>
  </w:style>
  <w:style w:type="character" w:styleId="173">
    <w:name w:val=""/>
    <w:unhideWhenUsed/>
    <w:uiPriority w:val="99"/>
    <w:rPr>
      <w:color w:val="605E5C"/>
      <w:shd w:val="clear" w:color="auto" w:fill="E1DFDD"/>
    </w:rPr>
  </w:style>
  <w:style w:type="character" w:customStyle="1" w:styleId="174">
    <w:name w:val="正文文字缩进 Char"/>
    <w:qFormat/>
    <w:uiPriority w:val="0"/>
    <w:rPr>
      <w:rFonts w:ascii="宋体" w:eastAsia="宋体"/>
      <w:kern w:val="2"/>
      <w:sz w:val="21"/>
      <w:lang w:val="en-US" w:eastAsia="zh-CN" w:bidi="ar-SA"/>
    </w:rPr>
  </w:style>
  <w:style w:type="character" w:customStyle="1" w:styleId="175">
    <w:name w:val="无编号正文 Char"/>
    <w:qFormat/>
    <w:uiPriority w:val="0"/>
    <w:rPr>
      <w:rFonts w:ascii="宋体" w:hAnsi="宋体" w:eastAsia="宋体"/>
      <w:sz w:val="24"/>
      <w:szCs w:val="24"/>
      <w:lang w:val="en-US" w:eastAsia="zh-CN" w:bidi="ar-SA"/>
    </w:rPr>
  </w:style>
  <w:style w:type="character" w:customStyle="1" w:styleId="176">
    <w:name w:val="纯文本 Char Char"/>
    <w:qFormat/>
    <w:uiPriority w:val="0"/>
    <w:rPr>
      <w:rFonts w:ascii="宋体" w:hAnsi="Courier New" w:eastAsia="宋体" w:cs="Century"/>
      <w:kern w:val="2"/>
      <w:sz w:val="21"/>
      <w:szCs w:val="21"/>
      <w:lang w:val="en-US" w:eastAsia="zh-CN" w:bidi="ar-SA"/>
    </w:rPr>
  </w:style>
  <w:style w:type="character" w:customStyle="1" w:styleId="177">
    <w:name w:val="文档结构图 字符1"/>
    <w:semiHidden/>
    <w:qFormat/>
    <w:uiPriority w:val="99"/>
    <w:rPr>
      <w:rFonts w:ascii="Microsoft YaHei UI" w:eastAsia="Microsoft YaHei UI"/>
      <w:sz w:val="18"/>
      <w:szCs w:val="18"/>
    </w:rPr>
  </w:style>
  <w:style w:type="character" w:customStyle="1" w:styleId="178">
    <w:name w:val="(1) Char"/>
    <w:qFormat/>
    <w:uiPriority w:val="0"/>
    <w:rPr>
      <w:rFonts w:ascii="宋体" w:hAnsi="宋体"/>
      <w:kern w:val="2"/>
      <w:sz w:val="24"/>
      <w:szCs w:val="24"/>
    </w:rPr>
  </w:style>
  <w:style w:type="character" w:customStyle="1" w:styleId="179">
    <w:name w:val="一 Char"/>
    <w:qFormat/>
    <w:uiPriority w:val="0"/>
    <w:rPr>
      <w:rFonts w:ascii="宋体" w:hAnsi="宋体" w:eastAsia="宋体"/>
      <w:b/>
      <w:bCs/>
      <w:sz w:val="28"/>
      <w:lang w:val="en-US" w:eastAsia="zh-CN" w:bidi="ar-SA"/>
    </w:rPr>
  </w:style>
  <w:style w:type="paragraph" w:customStyle="1" w:styleId="180">
    <w:name w:val="font8"/>
    <w:basedOn w:val="1"/>
    <w:qFormat/>
    <w:uiPriority w:val="0"/>
    <w:pPr>
      <w:spacing w:before="100" w:beforeAutospacing="1" w:after="100" w:afterAutospacing="1"/>
    </w:pPr>
    <w:rPr>
      <w:rFonts w:ascii="宋体" w:hAnsi="宋体" w:eastAsia="宋体" w:cs="宋体"/>
      <w:b/>
      <w:bCs/>
      <w:color w:val="0000FF"/>
      <w:sz w:val="21"/>
      <w:szCs w:val="21"/>
    </w:rPr>
  </w:style>
  <w:style w:type="paragraph" w:customStyle="1" w:styleId="181">
    <w:name w:val="CM76"/>
    <w:basedOn w:val="182"/>
    <w:next w:val="182"/>
    <w:qFormat/>
    <w:uiPriority w:val="0"/>
    <w:pPr>
      <w:spacing w:after="603"/>
    </w:pPr>
    <w:rPr>
      <w:rFonts w:cs="Times New Roman"/>
      <w:color w:val="auto"/>
    </w:rPr>
  </w:style>
  <w:style w:type="paragraph" w:customStyle="1" w:styleId="182">
    <w:name w:val="Default"/>
    <w:qFormat/>
    <w:uiPriority w:val="0"/>
    <w:pPr>
      <w:widowControl w:val="0"/>
      <w:autoSpaceDE w:val="0"/>
      <w:autoSpaceDN w:val="0"/>
      <w:adjustRightInd w:val="0"/>
    </w:pPr>
    <w:rPr>
      <w:rFonts w:ascii="宋体" w:cs="宋体"/>
      <w:color w:val="000000"/>
      <w:sz w:val="24"/>
      <w:szCs w:val="24"/>
      <w:lang w:val="en-US" w:eastAsia="zh-CN" w:bidi="ar-SA"/>
    </w:rPr>
  </w:style>
  <w:style w:type="paragraph" w:customStyle="1" w:styleId="183">
    <w:name w:val="招标文件1.1"/>
    <w:qFormat/>
    <w:uiPriority w:val="0"/>
    <w:pPr>
      <w:tabs>
        <w:tab w:val="left" w:pos="360"/>
        <w:tab w:val="left" w:pos="630"/>
      </w:tabs>
      <w:spacing w:before="120" w:after="120" w:line="480" w:lineRule="exact"/>
      <w:ind w:left="360" w:hanging="360"/>
      <w:outlineLvl w:val="2"/>
    </w:pPr>
    <w:rPr>
      <w:rFonts w:ascii="宋体"/>
      <w:b/>
      <w:spacing w:val="10"/>
      <w:w w:val="95"/>
      <w:sz w:val="24"/>
      <w:lang w:val="en-US" w:eastAsia="zh-CN" w:bidi="ar-SA"/>
    </w:rPr>
  </w:style>
  <w:style w:type="paragraph" w:customStyle="1" w:styleId="184">
    <w:name w:val="样式 题注 + 首行缩进:  2 字符"/>
    <w:basedOn w:val="15"/>
    <w:qFormat/>
    <w:uiPriority w:val="0"/>
    <w:pPr>
      <w:adjustRightInd w:val="0"/>
      <w:snapToGrid w:val="0"/>
      <w:spacing w:line="500" w:lineRule="exact"/>
      <w:ind w:firstLine="0" w:firstLineChars="0"/>
      <w:jc w:val="center"/>
    </w:pPr>
    <w:rPr>
      <w:rFonts w:ascii="Arial" w:hAnsi="Arial"/>
      <w:b w:val="0"/>
      <w:bCs w:val="0"/>
      <w:snapToGrid/>
      <w:color w:val="auto"/>
      <w:kern w:val="24"/>
      <w:sz w:val="24"/>
    </w:rPr>
  </w:style>
  <w:style w:type="paragraph" w:customStyle="1" w:styleId="185">
    <w:name w:val="font5"/>
    <w:basedOn w:val="1"/>
    <w:qFormat/>
    <w:uiPriority w:val="0"/>
    <w:pPr>
      <w:spacing w:before="100" w:beforeAutospacing="1" w:after="100" w:afterAutospacing="1"/>
    </w:pPr>
    <w:rPr>
      <w:rFonts w:eastAsia="宋体"/>
      <w:b/>
      <w:bCs/>
    </w:rPr>
  </w:style>
  <w:style w:type="paragraph" w:customStyle="1" w:styleId="186">
    <w:name w:val="Char Char"/>
    <w:basedOn w:val="1"/>
    <w:qFormat/>
    <w:uiPriority w:val="0"/>
    <w:pPr>
      <w:widowControl w:val="0"/>
      <w:jc w:val="both"/>
    </w:pPr>
    <w:rPr>
      <w:rFonts w:ascii="Tahoma" w:hAnsi="Tahoma" w:eastAsia="宋体"/>
      <w:kern w:val="2"/>
      <w:sz w:val="24"/>
      <w:szCs w:val="20"/>
    </w:rPr>
  </w:style>
  <w:style w:type="paragraph" w:customStyle="1" w:styleId="187">
    <w:name w:val="小标题一"/>
    <w:basedOn w:val="1"/>
    <w:next w:val="1"/>
    <w:qFormat/>
    <w:uiPriority w:val="0"/>
    <w:pPr>
      <w:widowControl w:val="0"/>
      <w:tabs>
        <w:tab w:val="left" w:pos="1080"/>
      </w:tabs>
      <w:spacing w:line="500" w:lineRule="exact"/>
      <w:ind w:left="1080" w:hanging="1080"/>
      <w:jc w:val="both"/>
    </w:pPr>
    <w:rPr>
      <w:rFonts w:eastAsia="宋体"/>
      <w:kern w:val="2"/>
      <w:sz w:val="28"/>
      <w:szCs w:val="20"/>
    </w:rPr>
  </w:style>
  <w:style w:type="paragraph" w:customStyle="1" w:styleId="188">
    <w:name w:val="正文1缩进"/>
    <w:basedOn w:val="189"/>
    <w:qFormat/>
    <w:uiPriority w:val="0"/>
    <w:pPr>
      <w:tabs>
        <w:tab w:val="left" w:pos="720"/>
        <w:tab w:val="right" w:pos="1191"/>
      </w:tabs>
      <w:adjustRightInd w:val="0"/>
      <w:snapToGrid w:val="0"/>
      <w:spacing w:beforeLines="50" w:afterLines="50" w:line="380" w:lineRule="atLeast"/>
      <w:ind w:left="984" w:leftChars="410" w:firstLine="5" w:firstLineChars="2"/>
    </w:pPr>
    <w:rPr>
      <w:rFonts w:ascii="宋体" w:hAnsi="宋体"/>
      <w:snapToGrid/>
      <w:color w:val="000000"/>
      <w:kern w:val="0"/>
      <w:szCs w:val="24"/>
    </w:rPr>
  </w:style>
  <w:style w:type="paragraph" w:customStyle="1" w:styleId="189">
    <w:name w:val="正文1"/>
    <w:basedOn w:val="1"/>
    <w:qFormat/>
    <w:uiPriority w:val="0"/>
    <w:pPr>
      <w:widowControl w:val="0"/>
      <w:tabs>
        <w:tab w:val="left" w:pos="720"/>
        <w:tab w:val="right" w:pos="1191"/>
      </w:tabs>
      <w:spacing w:line="360" w:lineRule="auto"/>
      <w:ind w:left="720" w:hanging="360"/>
      <w:jc w:val="both"/>
    </w:pPr>
    <w:rPr>
      <w:rFonts w:eastAsia="宋体"/>
      <w:kern w:val="2"/>
      <w:sz w:val="24"/>
      <w:szCs w:val="20"/>
    </w:rPr>
  </w:style>
  <w:style w:type="paragraph" w:customStyle="1" w:styleId="190">
    <w:name w:val="级别1"/>
    <w:basedOn w:val="2"/>
    <w:qFormat/>
    <w:uiPriority w:val="0"/>
    <w:pPr>
      <w:keepLines/>
      <w:widowControl w:val="0"/>
      <w:tabs>
        <w:tab w:val="left" w:pos="-1620"/>
      </w:tabs>
      <w:adjustRightInd w:val="0"/>
      <w:snapToGrid w:val="0"/>
      <w:ind w:left="2098" w:hanging="2098"/>
      <w:jc w:val="both"/>
      <w:textAlignment w:val="auto"/>
    </w:pPr>
    <w:rPr>
      <w:rFonts w:ascii="宋体" w:hAnsi="宋体"/>
      <w:sz w:val="28"/>
      <w:szCs w:val="28"/>
    </w:rPr>
  </w:style>
  <w:style w:type="paragraph" w:customStyle="1" w:styleId="191">
    <w:name w:val="xl30"/>
    <w:basedOn w:val="1"/>
    <w:qFormat/>
    <w:uiPriority w:val="0"/>
    <w:pPr>
      <w:pBdr>
        <w:top w:val="single" w:color="auto" w:sz="4" w:space="0"/>
        <w:bottom w:val="single" w:color="auto" w:sz="4" w:space="0"/>
        <w:right w:val="single" w:color="auto" w:sz="4" w:space="0"/>
      </w:pBdr>
      <w:spacing w:before="100" w:beforeAutospacing="1" w:after="100" w:afterAutospacing="1"/>
    </w:pPr>
    <w:rPr>
      <w:rFonts w:eastAsia="宋体"/>
      <w:sz w:val="24"/>
      <w:szCs w:val="24"/>
    </w:rPr>
  </w:style>
  <w:style w:type="paragraph" w:customStyle="1" w:styleId="192">
    <w:name w:val="缺省文本"/>
    <w:basedOn w:val="1"/>
    <w:qFormat/>
    <w:uiPriority w:val="0"/>
    <w:pPr>
      <w:tabs>
        <w:tab w:val="left" w:pos="450"/>
        <w:tab w:val="left" w:pos="813"/>
      </w:tabs>
      <w:overflowPunct w:val="0"/>
      <w:autoSpaceDE w:val="0"/>
      <w:autoSpaceDN w:val="0"/>
      <w:adjustRightInd w:val="0"/>
      <w:snapToGrid w:val="0"/>
      <w:spacing w:line="360" w:lineRule="auto"/>
      <w:ind w:left="813" w:hanging="567"/>
      <w:jc w:val="both"/>
      <w:textAlignment w:val="baseline"/>
    </w:pPr>
    <w:rPr>
      <w:rFonts w:eastAsia="宋体"/>
      <w:sz w:val="24"/>
      <w:szCs w:val="20"/>
    </w:rPr>
  </w:style>
  <w:style w:type="paragraph" w:customStyle="1" w:styleId="193">
    <w:name w:val="p15"/>
    <w:basedOn w:val="1"/>
    <w:qFormat/>
    <w:uiPriority w:val="0"/>
    <w:pPr>
      <w:jc w:val="both"/>
    </w:pPr>
    <w:rPr>
      <w:rFonts w:eastAsia="宋体"/>
      <w:sz w:val="21"/>
      <w:szCs w:val="21"/>
    </w:rPr>
  </w:style>
  <w:style w:type="paragraph" w:customStyle="1" w:styleId="194">
    <w:name w:val="条文 3"/>
    <w:next w:val="1"/>
    <w:qFormat/>
    <w:uiPriority w:val="0"/>
    <w:pPr>
      <w:spacing w:line="310" w:lineRule="exact"/>
      <w:ind w:left="420"/>
    </w:pPr>
    <w:rPr>
      <w:rFonts w:eastAsia="黑体"/>
      <w:sz w:val="21"/>
      <w:lang w:val="en-US" w:eastAsia="zh-CN" w:bidi="ar-SA"/>
    </w:rPr>
  </w:style>
  <w:style w:type="paragraph" w:customStyle="1" w:styleId="195">
    <w:name w:val="font10"/>
    <w:basedOn w:val="1"/>
    <w:qFormat/>
    <w:uiPriority w:val="0"/>
    <w:pPr>
      <w:spacing w:before="100" w:beforeAutospacing="1" w:after="100" w:afterAutospacing="1"/>
    </w:pPr>
    <w:rPr>
      <w:rFonts w:eastAsia="宋体"/>
      <w:color w:val="000000"/>
      <w:sz w:val="20"/>
      <w:szCs w:val="20"/>
    </w:rPr>
  </w:style>
  <w:style w:type="paragraph" w:customStyle="1" w:styleId="196">
    <w:name w:val="xl2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宋体" w:hAnsi="宋体" w:eastAsia="宋体"/>
      <w:sz w:val="24"/>
      <w:szCs w:val="24"/>
    </w:rPr>
  </w:style>
  <w:style w:type="paragraph" w:customStyle="1" w:styleId="197">
    <w:name w:val="Char Char Char1"/>
    <w:basedOn w:val="1"/>
    <w:qFormat/>
    <w:uiPriority w:val="0"/>
    <w:pPr>
      <w:widowControl w:val="0"/>
      <w:jc w:val="both"/>
    </w:pPr>
    <w:rPr>
      <w:rFonts w:eastAsia="宋体"/>
      <w:kern w:val="2"/>
      <w:sz w:val="21"/>
      <w:szCs w:val="24"/>
    </w:rPr>
  </w:style>
  <w:style w:type="paragraph" w:customStyle="1" w:styleId="198">
    <w:name w:val="xl42"/>
    <w:basedOn w:val="1"/>
    <w:qFormat/>
    <w:uiPriority w:val="0"/>
    <w:pPr>
      <w:spacing w:before="100" w:beforeAutospacing="1" w:after="100" w:afterAutospacing="1"/>
      <w:textAlignment w:val="center"/>
    </w:pPr>
    <w:rPr>
      <w:rFonts w:ascii="Arial Unicode MS" w:hAnsi="Arial Unicode MS" w:eastAsia="Arial Unicode MS" w:cs="Arial Unicode MS"/>
      <w:sz w:val="24"/>
      <w:szCs w:val="24"/>
    </w:rPr>
  </w:style>
  <w:style w:type="paragraph" w:customStyle="1" w:styleId="199">
    <w:name w:val="註解方塊文字"/>
    <w:basedOn w:val="1"/>
    <w:qFormat/>
    <w:uiPriority w:val="0"/>
    <w:rPr>
      <w:rFonts w:ascii="Arial" w:hAnsi="Arial" w:eastAsia="PMingLiU"/>
      <w:sz w:val="18"/>
      <w:szCs w:val="18"/>
    </w:rPr>
  </w:style>
  <w:style w:type="paragraph" w:customStyle="1" w:styleId="200">
    <w:name w:val="四号线第四级"/>
    <w:basedOn w:val="1"/>
    <w:qFormat/>
    <w:uiPriority w:val="0"/>
    <w:pPr>
      <w:widowControl w:val="0"/>
      <w:tabs>
        <w:tab w:val="left" w:pos="600"/>
      </w:tabs>
      <w:ind w:left="600" w:hanging="420"/>
      <w:jc w:val="both"/>
    </w:pPr>
    <w:rPr>
      <w:rFonts w:eastAsia="宋体"/>
      <w:kern w:val="2"/>
      <w:sz w:val="21"/>
      <w:szCs w:val="24"/>
    </w:rPr>
  </w:style>
  <w:style w:type="paragraph" w:customStyle="1" w:styleId="201">
    <w:name w:val="应答文本 Char Char Char Char"/>
    <w:basedOn w:val="1"/>
    <w:qFormat/>
    <w:uiPriority w:val="0"/>
    <w:pPr>
      <w:widowControl w:val="0"/>
      <w:adjustRightInd w:val="0"/>
      <w:spacing w:afterLines="50" w:line="320" w:lineRule="exact"/>
      <w:ind w:left="300" w:leftChars="300" w:firstLine="200" w:firstLineChars="200"/>
    </w:pPr>
    <w:rPr>
      <w:rFonts w:ascii="Arial" w:hAnsi="Arial" w:eastAsia="楷体_GB2312" w:cs="宋体"/>
      <w:spacing w:val="10"/>
      <w:sz w:val="21"/>
      <w:szCs w:val="20"/>
    </w:rPr>
  </w:style>
  <w:style w:type="paragraph" w:customStyle="1" w:styleId="202">
    <w:name w:val="CM12"/>
    <w:basedOn w:val="182"/>
    <w:next w:val="182"/>
    <w:qFormat/>
    <w:uiPriority w:val="0"/>
    <w:pPr>
      <w:spacing w:line="540" w:lineRule="atLeast"/>
    </w:pPr>
    <w:rPr>
      <w:rFonts w:cs="Times New Roman"/>
      <w:color w:val="auto"/>
    </w:rPr>
  </w:style>
  <w:style w:type="paragraph" w:customStyle="1" w:styleId="203">
    <w:name w:val="列出段落2"/>
    <w:basedOn w:val="1"/>
    <w:qFormat/>
    <w:uiPriority w:val="34"/>
    <w:pPr>
      <w:spacing w:line="360" w:lineRule="auto"/>
      <w:ind w:left="708" w:leftChars="150" w:firstLine="420" w:firstLineChars="200"/>
      <w:textAlignment w:val="center"/>
    </w:pPr>
    <w:rPr>
      <w:rFonts w:eastAsia="宋体"/>
      <w:kern w:val="2"/>
      <w:sz w:val="21"/>
      <w:szCs w:val="21"/>
    </w:rPr>
  </w:style>
  <w:style w:type="paragraph" w:customStyle="1" w:styleId="204">
    <w:name w:val="样式1"/>
    <w:basedOn w:val="1"/>
    <w:qFormat/>
    <w:uiPriority w:val="0"/>
    <w:pPr>
      <w:shd w:val="clear" w:color="auto" w:fill="000080"/>
      <w:spacing w:line="360" w:lineRule="auto"/>
      <w:ind w:left="708" w:leftChars="150" w:hanging="187" w:hangingChars="187"/>
      <w:jc w:val="both"/>
      <w:textAlignment w:val="center"/>
    </w:pPr>
    <w:rPr>
      <w:rFonts w:ascii="宋体" w:hAnsi="宋体" w:eastAsia="宋体"/>
      <w:kern w:val="2"/>
      <w:sz w:val="24"/>
      <w:szCs w:val="21"/>
    </w:rPr>
  </w:style>
  <w:style w:type="paragraph" w:customStyle="1" w:styleId="205">
    <w:name w:val="Body text 1"/>
    <w:basedOn w:val="1"/>
    <w:qFormat/>
    <w:uiPriority w:val="0"/>
    <w:pPr>
      <w:widowControl w:val="0"/>
      <w:tabs>
        <w:tab w:val="left" w:pos="1134"/>
      </w:tabs>
      <w:autoSpaceDE w:val="0"/>
      <w:autoSpaceDN w:val="0"/>
      <w:adjustRightInd w:val="0"/>
      <w:spacing w:before="170" w:line="300" w:lineRule="atLeast"/>
      <w:ind w:left="1134" w:hanging="1134"/>
      <w:jc w:val="both"/>
    </w:pPr>
    <w:rPr>
      <w:rFonts w:eastAsia="宋体"/>
      <w:color w:val="000000"/>
      <w:sz w:val="24"/>
      <w:szCs w:val="20"/>
    </w:rPr>
  </w:style>
  <w:style w:type="paragraph" w:customStyle="1" w:styleId="206">
    <w:name w:val="正文缩进11"/>
    <w:basedOn w:val="1"/>
    <w:qFormat/>
    <w:uiPriority w:val="0"/>
    <w:pPr>
      <w:widowControl w:val="0"/>
      <w:ind w:firstLine="420"/>
      <w:jc w:val="both"/>
    </w:pPr>
    <w:rPr>
      <w:rFonts w:eastAsia="宋体"/>
      <w:kern w:val="2"/>
      <w:sz w:val="21"/>
      <w:szCs w:val="20"/>
    </w:rPr>
  </w:style>
  <w:style w:type="paragraph" w:customStyle="1" w:styleId="207">
    <w:name w:val="flType"/>
    <w:basedOn w:val="208"/>
    <w:qFormat/>
    <w:uiPriority w:val="0"/>
    <w:pPr>
      <w:widowControl w:val="0"/>
      <w:adjustRightInd w:val="0"/>
      <w:spacing w:before="560" w:after="120" w:line="360" w:lineRule="atLeast"/>
      <w:jc w:val="center"/>
      <w:textAlignment w:val="baseline"/>
    </w:pPr>
    <w:rPr>
      <w:rFonts w:ascii="Arial" w:eastAsia="黑体"/>
      <w:sz w:val="28"/>
      <w:szCs w:val="20"/>
    </w:rPr>
  </w:style>
  <w:style w:type="paragraph" w:customStyle="1" w:styleId="208">
    <w:name w:val="flName"/>
    <w:basedOn w:val="209"/>
    <w:qFormat/>
    <w:uiPriority w:val="0"/>
    <w:pPr>
      <w:spacing w:before="0" w:line="113" w:lineRule="atLeast"/>
    </w:pPr>
  </w:style>
  <w:style w:type="paragraph" w:customStyle="1" w:styleId="209">
    <w:name w:val="flNote"/>
    <w:basedOn w:val="1"/>
    <w:qFormat/>
    <w:uiPriority w:val="0"/>
    <w:pPr>
      <w:spacing w:before="567"/>
      <w:jc w:val="center"/>
    </w:pPr>
    <w:rPr>
      <w:rFonts w:eastAsia="黑体"/>
      <w:b/>
    </w:rPr>
  </w:style>
  <w:style w:type="paragraph" w:customStyle="1" w:styleId="210">
    <w:name w:val="Char Char Char Char Char Char1 Char Char Char Char"/>
    <w:basedOn w:val="1"/>
    <w:qFormat/>
    <w:uiPriority w:val="0"/>
    <w:pPr>
      <w:widowControl w:val="0"/>
      <w:spacing w:line="360" w:lineRule="auto"/>
      <w:ind w:left="708" w:leftChars="150" w:hanging="393" w:hangingChars="187"/>
      <w:jc w:val="both"/>
      <w:textAlignment w:val="center"/>
    </w:pPr>
    <w:rPr>
      <w:rFonts w:ascii="仿宋_GB2312" w:eastAsia="仿宋_GB2312"/>
      <w:b/>
      <w:kern w:val="2"/>
      <w:sz w:val="32"/>
      <w:szCs w:val="32"/>
    </w:rPr>
  </w:style>
  <w:style w:type="paragraph" w:customStyle="1" w:styleId="211">
    <w:name w:val="CM15"/>
    <w:basedOn w:val="182"/>
    <w:next w:val="182"/>
    <w:qFormat/>
    <w:uiPriority w:val="0"/>
    <w:pPr>
      <w:spacing w:line="540" w:lineRule="atLeast"/>
    </w:pPr>
    <w:rPr>
      <w:rFonts w:cs="Times New Roman"/>
      <w:color w:val="auto"/>
    </w:rPr>
  </w:style>
  <w:style w:type="paragraph" w:customStyle="1" w:styleId="212">
    <w:name w:val="招标文件1.1.1.1"/>
    <w:basedOn w:val="1"/>
    <w:qFormat/>
    <w:uiPriority w:val="0"/>
    <w:pPr>
      <w:widowControl w:val="0"/>
      <w:tabs>
        <w:tab w:val="left" w:pos="360"/>
      </w:tabs>
      <w:spacing w:before="120" w:after="120" w:line="480" w:lineRule="exact"/>
      <w:ind w:left="360" w:hanging="360"/>
      <w:outlineLvl w:val="4"/>
    </w:pPr>
    <w:rPr>
      <w:rFonts w:ascii="宋体" w:eastAsia="宋体"/>
      <w:b/>
      <w:spacing w:val="10"/>
      <w:w w:val="95"/>
      <w:kern w:val="2"/>
      <w:sz w:val="21"/>
      <w:szCs w:val="24"/>
    </w:rPr>
  </w:style>
  <w:style w:type="paragraph" w:customStyle="1" w:styleId="213">
    <w:name w:val="浅色网格 - 强调文字颜色 31"/>
    <w:basedOn w:val="1"/>
    <w:qFormat/>
    <w:uiPriority w:val="0"/>
    <w:pPr>
      <w:widowControl w:val="0"/>
      <w:ind w:firstLine="420" w:firstLineChars="200"/>
      <w:jc w:val="both"/>
    </w:pPr>
    <w:rPr>
      <w:rFonts w:ascii="Calibri" w:hAnsi="Calibri" w:eastAsia="宋体"/>
      <w:kern w:val="2"/>
      <w:sz w:val="21"/>
    </w:rPr>
  </w:style>
  <w:style w:type="paragraph" w:customStyle="1" w:styleId="214">
    <w:name w:val="样式21"/>
    <w:basedOn w:val="215"/>
    <w:qFormat/>
    <w:uiPriority w:val="0"/>
    <w:pPr>
      <w:tabs>
        <w:tab w:val="left" w:pos="780"/>
      </w:tabs>
    </w:pPr>
    <w:rPr>
      <w:sz w:val="24"/>
      <w:szCs w:val="24"/>
    </w:rPr>
  </w:style>
  <w:style w:type="paragraph" w:customStyle="1" w:styleId="215">
    <w:name w:val="样式20"/>
    <w:basedOn w:val="216"/>
    <w:qFormat/>
    <w:uiPriority w:val="0"/>
    <w:pPr>
      <w:tabs>
        <w:tab w:val="left" w:pos="780"/>
      </w:tabs>
      <w:ind w:left="180" w:firstLine="0"/>
      <w:jc w:val="center"/>
    </w:pPr>
  </w:style>
  <w:style w:type="paragraph" w:customStyle="1" w:styleId="216">
    <w:name w:val="样式7"/>
    <w:basedOn w:val="217"/>
    <w:qFormat/>
    <w:uiPriority w:val="0"/>
    <w:pPr>
      <w:tabs>
        <w:tab w:val="left" w:pos="780"/>
      </w:tabs>
      <w:ind w:left="780" w:hanging="420"/>
    </w:pPr>
    <w:rPr>
      <w:rFonts w:ascii="黑体" w:eastAsia="黑体"/>
      <w:sz w:val="30"/>
      <w:szCs w:val="30"/>
    </w:rPr>
  </w:style>
  <w:style w:type="paragraph" w:customStyle="1" w:styleId="217">
    <w:name w:val="样式2"/>
    <w:basedOn w:val="1"/>
    <w:qFormat/>
    <w:uiPriority w:val="0"/>
    <w:pPr>
      <w:widowControl w:val="0"/>
      <w:adjustRightInd w:val="0"/>
      <w:spacing w:before="120" w:after="120" w:line="312" w:lineRule="atLeast"/>
      <w:jc w:val="center"/>
      <w:textAlignment w:val="baseline"/>
    </w:pPr>
    <w:rPr>
      <w:rFonts w:eastAsia="宋体"/>
      <w:sz w:val="24"/>
      <w:szCs w:val="20"/>
    </w:rPr>
  </w:style>
  <w:style w:type="paragraph" w:customStyle="1" w:styleId="218">
    <w:name w:val="Table Paragraph"/>
    <w:basedOn w:val="1"/>
    <w:qFormat/>
    <w:uiPriority w:val="1"/>
  </w:style>
  <w:style w:type="paragraph" w:customStyle="1" w:styleId="219">
    <w:name w:val="列表框1"/>
    <w:basedOn w:val="201"/>
    <w:next w:val="201"/>
    <w:qFormat/>
    <w:uiPriority w:val="0"/>
    <w:pPr>
      <w:tabs>
        <w:tab w:val="left" w:pos="2018"/>
        <w:tab w:val="left" w:pos="2086"/>
        <w:tab w:val="left" w:pos="2325"/>
      </w:tabs>
      <w:snapToGrid w:val="0"/>
      <w:ind w:left="2031" w:leftChars="665" w:hanging="435" w:hangingChars="189"/>
    </w:pPr>
    <w:rPr>
      <w:rFonts w:cs="Arial"/>
    </w:rPr>
  </w:style>
  <w:style w:type="paragraph" w:customStyle="1" w:styleId="220">
    <w:name w:val="表格文本"/>
    <w:basedOn w:val="1"/>
    <w:qFormat/>
    <w:uiPriority w:val="0"/>
    <w:pPr>
      <w:widowControl w:val="0"/>
      <w:spacing w:line="360" w:lineRule="auto"/>
      <w:jc w:val="center"/>
    </w:pPr>
    <w:rPr>
      <w:rFonts w:ascii="Arial" w:hAnsi="Arial" w:eastAsia="宋体" w:cs="Arial"/>
      <w:snapToGrid/>
      <w:color w:val="000000"/>
      <w:sz w:val="21"/>
      <w:szCs w:val="20"/>
    </w:rPr>
  </w:style>
  <w:style w:type="paragraph" w:customStyle="1" w:styleId="221">
    <w:name w:val="CM5"/>
    <w:basedOn w:val="182"/>
    <w:next w:val="182"/>
    <w:qFormat/>
    <w:uiPriority w:val="0"/>
    <w:pPr>
      <w:spacing w:line="540" w:lineRule="atLeast"/>
    </w:pPr>
    <w:rPr>
      <w:rFonts w:cs="Times New Roman"/>
      <w:color w:val="auto"/>
    </w:rPr>
  </w:style>
  <w:style w:type="paragraph" w:customStyle="1" w:styleId="222">
    <w:name w:val="6"/>
    <w:basedOn w:val="1"/>
    <w:next w:val="14"/>
    <w:qFormat/>
    <w:uiPriority w:val="0"/>
    <w:pPr>
      <w:widowControl w:val="0"/>
      <w:ind w:firstLine="420"/>
      <w:jc w:val="both"/>
    </w:pPr>
    <w:rPr>
      <w:rFonts w:eastAsia="宋体"/>
      <w:kern w:val="2"/>
      <w:sz w:val="21"/>
      <w:szCs w:val="20"/>
    </w:rPr>
  </w:style>
  <w:style w:type="paragraph" w:customStyle="1" w:styleId="223">
    <w:name w:val="默认段落字体 Para Char Char Char Char Char Char Char"/>
    <w:basedOn w:val="1"/>
    <w:qFormat/>
    <w:uiPriority w:val="0"/>
    <w:pPr>
      <w:widowControl w:val="0"/>
      <w:tabs>
        <w:tab w:val="left" w:pos="4665"/>
        <w:tab w:val="left" w:pos="8970"/>
      </w:tabs>
      <w:ind w:firstLine="400"/>
      <w:jc w:val="both"/>
    </w:pPr>
    <w:rPr>
      <w:rFonts w:eastAsia="宋体"/>
      <w:kern w:val="2"/>
      <w:sz w:val="21"/>
      <w:szCs w:val="20"/>
    </w:rPr>
  </w:style>
  <w:style w:type="paragraph" w:customStyle="1" w:styleId="224">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sz w:val="24"/>
      <w:szCs w:val="24"/>
    </w:rPr>
  </w:style>
  <w:style w:type="paragraph" w:customStyle="1" w:styleId="225">
    <w:name w:val="Char Char Char Char"/>
    <w:basedOn w:val="17"/>
    <w:qFormat/>
    <w:uiPriority w:val="0"/>
    <w:pPr>
      <w:widowControl w:val="0"/>
      <w:adjustRightInd w:val="0"/>
      <w:spacing w:line="436" w:lineRule="exact"/>
      <w:ind w:left="357" w:leftChars="0" w:firstLine="0" w:firstLineChars="0"/>
      <w:textAlignment w:val="auto"/>
      <w:outlineLvl w:val="3"/>
    </w:pPr>
    <w:rPr>
      <w:rFonts w:ascii="Tahoma" w:hAnsi="Tahoma"/>
      <w:b/>
      <w:sz w:val="24"/>
      <w:szCs w:val="24"/>
    </w:rPr>
  </w:style>
  <w:style w:type="paragraph" w:customStyle="1" w:styleId="226">
    <w:name w:val="标题1"/>
    <w:basedOn w:val="2"/>
    <w:qFormat/>
    <w:uiPriority w:val="0"/>
    <w:pPr>
      <w:keepLines/>
      <w:widowControl w:val="0"/>
      <w:tabs>
        <w:tab w:val="left" w:pos="450"/>
        <w:tab w:val="left" w:pos="709"/>
        <w:tab w:val="left" w:pos="907"/>
      </w:tabs>
      <w:adjustRightInd w:val="0"/>
      <w:spacing w:before="120"/>
      <w:ind w:left="450" w:hanging="450"/>
      <w:jc w:val="both"/>
      <w:textAlignment w:val="baseline"/>
    </w:pPr>
    <w:rPr>
      <w:rFonts w:ascii="宋体" w:hAnsi="宋体"/>
      <w:sz w:val="28"/>
      <w:szCs w:val="20"/>
    </w:rPr>
  </w:style>
  <w:style w:type="paragraph" w:customStyle="1" w:styleId="227">
    <w:name w:val="条款"/>
    <w:basedOn w:val="32"/>
    <w:qFormat/>
    <w:uiPriority w:val="0"/>
    <w:pPr>
      <w:tabs>
        <w:tab w:val="left" w:pos="984"/>
      </w:tabs>
      <w:adjustRightInd w:val="0"/>
      <w:snapToGrid w:val="0"/>
      <w:ind w:left="84" w:leftChars="40" w:firstLine="0" w:firstLineChars="0"/>
      <w:jc w:val="center"/>
      <w:textAlignment w:val="auto"/>
    </w:pPr>
    <w:rPr>
      <w:rFonts w:ascii="Times New Roman" w:hAnsi="Times New Roman"/>
      <w:bCs/>
      <w:sz w:val="24"/>
      <w:szCs w:val="24"/>
    </w:rPr>
  </w:style>
  <w:style w:type="paragraph" w:customStyle="1" w:styleId="228">
    <w:name w:val="xl3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eastAsia="宋体"/>
      <w:sz w:val="24"/>
      <w:szCs w:val="24"/>
    </w:rPr>
  </w:style>
  <w:style w:type="paragraph" w:customStyle="1" w:styleId="229">
    <w:name w:val="正文文本1"/>
    <w:qFormat/>
    <w:uiPriority w:val="0"/>
    <w:pPr>
      <w:widowControl w:val="0"/>
      <w:autoSpaceDE w:val="0"/>
      <w:autoSpaceDN w:val="0"/>
      <w:adjustRightInd w:val="0"/>
      <w:spacing w:before="170" w:line="300" w:lineRule="atLeast"/>
      <w:ind w:left="1134"/>
      <w:jc w:val="both"/>
    </w:pPr>
    <w:rPr>
      <w:color w:val="000000"/>
      <w:sz w:val="24"/>
      <w:lang w:val="en-US" w:eastAsia="zh-CN" w:bidi="ar-SA"/>
    </w:rPr>
  </w:style>
  <w:style w:type="paragraph" w:customStyle="1" w:styleId="230">
    <w:name w:val="7"/>
    <w:basedOn w:val="1"/>
    <w:next w:val="25"/>
    <w:qFormat/>
    <w:uiPriority w:val="0"/>
    <w:pPr>
      <w:widowControl w:val="0"/>
      <w:spacing w:line="360" w:lineRule="auto"/>
      <w:ind w:left="718" w:leftChars="342"/>
      <w:jc w:val="both"/>
    </w:pPr>
    <w:rPr>
      <w:rFonts w:ascii="宋体" w:hAnsi="宋体" w:eastAsia="宋体"/>
      <w:color w:val="000000"/>
      <w:kern w:val="2"/>
      <w:sz w:val="21"/>
      <w:szCs w:val="24"/>
    </w:rPr>
  </w:style>
  <w:style w:type="paragraph" w:customStyle="1" w:styleId="231">
    <w:name w:val="样式 左侧:  2 字符 段前: 0.5 行"/>
    <w:basedOn w:val="1"/>
    <w:qFormat/>
    <w:uiPriority w:val="0"/>
    <w:pPr>
      <w:widowControl w:val="0"/>
      <w:spacing w:beforeLines="50"/>
      <w:ind w:firstLine="200" w:firstLineChars="200"/>
      <w:jc w:val="both"/>
    </w:pPr>
    <w:rPr>
      <w:rFonts w:ascii="宋体" w:eastAsia="宋体" w:cs="宋体"/>
      <w:kern w:val="2"/>
      <w:sz w:val="24"/>
      <w:szCs w:val="20"/>
    </w:rPr>
  </w:style>
  <w:style w:type="paragraph" w:customStyle="1" w:styleId="232">
    <w:name w:val="Char Char Char Char Char Char Char Char Char Char Char Char Char"/>
    <w:basedOn w:val="1"/>
    <w:qFormat/>
    <w:uiPriority w:val="0"/>
    <w:pPr>
      <w:widowControl w:val="0"/>
      <w:spacing w:line="360" w:lineRule="auto"/>
      <w:ind w:left="708" w:leftChars="150" w:hanging="393" w:hangingChars="187"/>
      <w:jc w:val="both"/>
      <w:textAlignment w:val="center"/>
    </w:pPr>
    <w:rPr>
      <w:rFonts w:ascii="仿宋_GB2312" w:eastAsia="仿宋_GB2312"/>
      <w:b/>
      <w:kern w:val="2"/>
      <w:sz w:val="32"/>
      <w:szCs w:val="32"/>
    </w:rPr>
  </w:style>
  <w:style w:type="paragraph" w:customStyle="1" w:styleId="233">
    <w:name w:val="xl55"/>
    <w:basedOn w:val="1"/>
    <w:qFormat/>
    <w:uiPriority w:val="0"/>
    <w:pPr>
      <w:pBdr>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sz w:val="20"/>
      <w:szCs w:val="20"/>
    </w:rPr>
  </w:style>
  <w:style w:type="paragraph" w:customStyle="1" w:styleId="234">
    <w:name w:val="招标文件》"/>
    <w:basedOn w:val="235"/>
    <w:qFormat/>
    <w:uiPriority w:val="0"/>
    <w:pPr>
      <w:tabs>
        <w:tab w:val="left" w:pos="560"/>
      </w:tabs>
      <w:ind w:left="200" w:firstLine="0" w:firstLineChars="0"/>
    </w:pPr>
  </w:style>
  <w:style w:type="paragraph" w:customStyle="1" w:styleId="235">
    <w:name w:val="招标文件正文"/>
    <w:qFormat/>
    <w:uiPriority w:val="0"/>
    <w:pPr>
      <w:spacing w:before="120" w:after="120" w:line="300" w:lineRule="auto"/>
      <w:ind w:firstLine="200" w:firstLineChars="200"/>
    </w:pPr>
    <w:rPr>
      <w:rFonts w:ascii="宋体"/>
      <w:spacing w:val="10"/>
      <w:w w:val="95"/>
      <w:sz w:val="21"/>
      <w:lang w:val="en-US" w:eastAsia="zh-CN" w:bidi="ar-SA"/>
    </w:rPr>
  </w:style>
  <w:style w:type="paragraph" w:customStyle="1" w:styleId="236">
    <w:name w:val="Sub title 1"/>
    <w:basedOn w:val="229"/>
    <w:qFormat/>
    <w:uiPriority w:val="0"/>
    <w:pPr>
      <w:tabs>
        <w:tab w:val="left" w:pos="1304"/>
      </w:tabs>
      <w:ind w:left="1304" w:hanging="170"/>
    </w:pPr>
    <w:rPr>
      <w:color w:val="auto"/>
    </w:rPr>
  </w:style>
  <w:style w:type="paragraph" w:customStyle="1" w:styleId="237">
    <w:name w:val="xl32"/>
    <w:basedOn w:val="1"/>
    <w:qFormat/>
    <w:uiPriority w:val="0"/>
    <w:pPr>
      <w:spacing w:before="100" w:beforeAutospacing="1" w:after="100" w:afterAutospacing="1"/>
      <w:jc w:val="center"/>
    </w:pPr>
    <w:rPr>
      <w:rFonts w:eastAsia="宋体"/>
      <w:b/>
      <w:bCs/>
      <w:sz w:val="24"/>
      <w:szCs w:val="24"/>
      <w:u w:val="single"/>
    </w:rPr>
  </w:style>
  <w:style w:type="paragraph" w:customStyle="1" w:styleId="238">
    <w:name w:val="正缩2字符"/>
    <w:basedOn w:val="1"/>
    <w:qFormat/>
    <w:uiPriority w:val="0"/>
    <w:pPr>
      <w:widowControl w:val="0"/>
      <w:spacing w:line="480" w:lineRule="exact"/>
      <w:ind w:firstLine="200" w:firstLineChars="200"/>
      <w:jc w:val="both"/>
    </w:pPr>
    <w:rPr>
      <w:rFonts w:eastAsia="宋体"/>
      <w:kern w:val="2"/>
      <w:sz w:val="24"/>
      <w:szCs w:val="24"/>
    </w:rPr>
  </w:style>
  <w:style w:type="paragraph" w:customStyle="1" w:styleId="239">
    <w:name w:val="msolistparagraph"/>
    <w:basedOn w:val="1"/>
    <w:qFormat/>
    <w:uiPriority w:val="0"/>
    <w:pPr>
      <w:widowControl w:val="0"/>
      <w:spacing w:line="360" w:lineRule="auto"/>
      <w:ind w:left="150" w:leftChars="150" w:firstLine="420" w:firstLineChars="200"/>
      <w:jc w:val="both"/>
      <w:textAlignment w:val="center"/>
    </w:pPr>
    <w:rPr>
      <w:rFonts w:ascii="Calibri" w:hAnsi="Calibri" w:eastAsia="宋体"/>
      <w:kern w:val="2"/>
      <w:sz w:val="21"/>
    </w:rPr>
  </w:style>
  <w:style w:type="paragraph" w:customStyle="1" w:styleId="240">
    <w:name w:val="CM8"/>
    <w:basedOn w:val="182"/>
    <w:next w:val="182"/>
    <w:qFormat/>
    <w:uiPriority w:val="0"/>
    <w:rPr>
      <w:rFonts w:cs="Times New Roman"/>
      <w:color w:val="auto"/>
    </w:rPr>
  </w:style>
  <w:style w:type="paragraph" w:customStyle="1" w:styleId="241">
    <w:name w:val="正文文本 21"/>
    <w:basedOn w:val="1"/>
    <w:qFormat/>
    <w:uiPriority w:val="0"/>
    <w:pPr>
      <w:widowControl w:val="0"/>
      <w:autoSpaceDE w:val="0"/>
      <w:autoSpaceDN w:val="0"/>
      <w:adjustRightInd w:val="0"/>
      <w:snapToGrid w:val="0"/>
      <w:spacing w:line="312" w:lineRule="atLeast"/>
      <w:ind w:firstLine="630"/>
      <w:jc w:val="both"/>
      <w:textAlignment w:val="baseline"/>
    </w:pPr>
    <w:rPr>
      <w:rFonts w:ascii="宋体" w:eastAsia="宋体"/>
      <w:snapToGrid/>
      <w:color w:val="000000"/>
      <w:sz w:val="28"/>
      <w:szCs w:val="20"/>
    </w:rPr>
  </w:style>
  <w:style w:type="paragraph" w:customStyle="1" w:styleId="242">
    <w:name w:val="Char1"/>
    <w:basedOn w:val="1"/>
    <w:qFormat/>
    <w:uiPriority w:val="0"/>
    <w:pPr>
      <w:widowControl w:val="0"/>
      <w:spacing w:line="360" w:lineRule="auto"/>
      <w:ind w:left="708" w:leftChars="150" w:hanging="393" w:hangingChars="187"/>
      <w:jc w:val="both"/>
      <w:textAlignment w:val="center"/>
    </w:pPr>
    <w:rPr>
      <w:rFonts w:ascii="仿宋_GB2312" w:eastAsia="仿宋_GB2312"/>
      <w:b/>
      <w:kern w:val="2"/>
      <w:sz w:val="32"/>
      <w:szCs w:val="32"/>
    </w:rPr>
  </w:style>
  <w:style w:type="paragraph" w:customStyle="1" w:styleId="243">
    <w:name w:val="招标文件1.1.1"/>
    <w:qFormat/>
    <w:uiPriority w:val="0"/>
    <w:pPr>
      <w:tabs>
        <w:tab w:val="left" w:pos="360"/>
      </w:tabs>
      <w:spacing w:before="120" w:after="120" w:line="480" w:lineRule="exact"/>
      <w:ind w:left="360" w:hanging="360"/>
      <w:outlineLvl w:val="3"/>
    </w:pPr>
    <w:rPr>
      <w:rFonts w:ascii="宋体"/>
      <w:b/>
      <w:spacing w:val="10"/>
      <w:w w:val="95"/>
      <w:sz w:val="21"/>
      <w:lang w:val="en-US" w:eastAsia="zh-CN" w:bidi="ar-SA"/>
    </w:rPr>
  </w:style>
  <w:style w:type="paragraph" w:customStyle="1" w:styleId="244">
    <w:name w:val="1.1"/>
    <w:basedOn w:val="3"/>
    <w:qFormat/>
    <w:uiPriority w:val="0"/>
    <w:pPr>
      <w:widowControl w:val="0"/>
      <w:tabs>
        <w:tab w:val="left" w:pos="180"/>
      </w:tabs>
      <w:autoSpaceDE w:val="0"/>
      <w:autoSpaceDN w:val="0"/>
      <w:adjustRightInd w:val="0"/>
      <w:spacing w:before="0" w:after="0" w:line="360" w:lineRule="auto"/>
      <w:outlineLvl w:val="2"/>
    </w:pPr>
    <w:rPr>
      <w:rFonts w:ascii="宋体" w:hAnsi="宋体" w:eastAsia="黑体" w:cs="Times New Roman"/>
      <w:bCs w:val="0"/>
      <w:sz w:val="21"/>
      <w:szCs w:val="20"/>
    </w:rPr>
  </w:style>
  <w:style w:type="paragraph" w:customStyle="1" w:styleId="245">
    <w:name w:val="xl3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eastAsia="宋体"/>
      <w:sz w:val="24"/>
      <w:szCs w:val="24"/>
    </w:rPr>
  </w:style>
  <w:style w:type="paragraph" w:customStyle="1" w:styleId="246">
    <w:name w:val="xl24"/>
    <w:basedOn w:val="1"/>
    <w:qFormat/>
    <w:uiPriority w:val="0"/>
    <w:pPr>
      <w:spacing w:before="100" w:beforeAutospacing="1" w:after="100" w:afterAutospacing="1"/>
    </w:pPr>
    <w:rPr>
      <w:rFonts w:eastAsia="宋体"/>
      <w:sz w:val="24"/>
      <w:szCs w:val="24"/>
    </w:rPr>
  </w:style>
  <w:style w:type="paragraph" w:customStyle="1" w:styleId="247">
    <w:name w:val="xl3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eastAsia="宋体"/>
      <w:sz w:val="24"/>
      <w:szCs w:val="24"/>
    </w:rPr>
  </w:style>
  <w:style w:type="paragraph" w:customStyle="1" w:styleId="248">
    <w:name w:val="xiao b"/>
    <w:basedOn w:val="1"/>
    <w:qFormat/>
    <w:uiPriority w:val="0"/>
    <w:pPr>
      <w:widowControl w:val="0"/>
      <w:jc w:val="center"/>
    </w:pPr>
    <w:rPr>
      <w:rFonts w:eastAsia="黑体"/>
      <w:kern w:val="2"/>
      <w:sz w:val="24"/>
      <w:szCs w:val="20"/>
    </w:rPr>
  </w:style>
  <w:style w:type="paragraph" w:customStyle="1" w:styleId="249">
    <w:name w:val="正文3"/>
    <w:qFormat/>
    <w:uiPriority w:val="0"/>
    <w:pPr>
      <w:spacing w:line="400" w:lineRule="exact"/>
      <w:ind w:firstLine="200" w:firstLineChars="200"/>
      <w:jc w:val="both"/>
    </w:pPr>
    <w:rPr>
      <w:kern w:val="2"/>
      <w:sz w:val="24"/>
      <w:lang w:val="en-US" w:eastAsia="zh-CN" w:bidi="ar-SA"/>
    </w:rPr>
  </w:style>
  <w:style w:type="paragraph" w:customStyle="1" w:styleId="250">
    <w:name w:val="楷体居中"/>
    <w:basedOn w:val="1"/>
    <w:qFormat/>
    <w:uiPriority w:val="0"/>
    <w:pPr>
      <w:widowControl w:val="0"/>
      <w:jc w:val="center"/>
    </w:pPr>
    <w:rPr>
      <w:rFonts w:ascii="仿宋_GB2312" w:hAnsi="宋体" w:eastAsia="楷体_GB2312" w:cs="宋体"/>
      <w:kern w:val="2"/>
      <w:sz w:val="32"/>
      <w:szCs w:val="20"/>
    </w:rPr>
  </w:style>
  <w:style w:type="paragraph" w:customStyle="1" w:styleId="251">
    <w:name w:val="xl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sz w:val="24"/>
      <w:szCs w:val="24"/>
    </w:rPr>
  </w:style>
  <w:style w:type="paragraph" w:styleId="252">
    <w:name w:val="List Paragraph"/>
    <w:basedOn w:val="1"/>
    <w:qFormat/>
    <w:uiPriority w:val="34"/>
    <w:pPr>
      <w:ind w:firstLine="420" w:firstLineChars="200"/>
    </w:pPr>
  </w:style>
  <w:style w:type="paragraph" w:customStyle="1" w:styleId="253">
    <w:name w:val="Char Char Char Char Char Char Char"/>
    <w:basedOn w:val="1"/>
    <w:qFormat/>
    <w:uiPriority w:val="0"/>
    <w:pPr>
      <w:widowControl w:val="0"/>
      <w:jc w:val="both"/>
    </w:pPr>
    <w:rPr>
      <w:rFonts w:ascii="仿宋_GB2312" w:eastAsia="仿宋_GB2312"/>
      <w:b/>
      <w:kern w:val="2"/>
      <w:sz w:val="32"/>
      <w:szCs w:val="32"/>
    </w:rPr>
  </w:style>
  <w:style w:type="paragraph" w:customStyle="1" w:styleId="254">
    <w:name w:val="格式2"/>
    <w:qFormat/>
    <w:uiPriority w:val="0"/>
    <w:rPr>
      <w:rFonts w:ascii="黑体" w:eastAsia="黑体"/>
      <w:bCs/>
      <w:lang w:val="en-US" w:eastAsia="zh-CN" w:bidi="ar-SA"/>
    </w:rPr>
  </w:style>
  <w:style w:type="paragraph" w:customStyle="1" w:styleId="255">
    <w:name w:val="Blockquote"/>
    <w:basedOn w:val="1"/>
    <w:uiPriority w:val="0"/>
    <w:pPr>
      <w:autoSpaceDE w:val="0"/>
      <w:autoSpaceDN w:val="0"/>
      <w:adjustRightInd w:val="0"/>
      <w:spacing w:before="100" w:after="100"/>
      <w:ind w:left="360" w:right="360"/>
      <w:jc w:val="left"/>
    </w:pPr>
    <w:rPr>
      <w:kern w:val="0"/>
      <w:sz w:val="24"/>
    </w:rPr>
  </w:style>
  <w:style w:type="paragraph" w:customStyle="1" w:styleId="256">
    <w:name w:val="CM19"/>
    <w:basedOn w:val="182"/>
    <w:next w:val="182"/>
    <w:qFormat/>
    <w:uiPriority w:val="0"/>
    <w:pPr>
      <w:spacing w:line="540" w:lineRule="atLeast"/>
    </w:pPr>
    <w:rPr>
      <w:rFonts w:cs="Times New Roman"/>
      <w:color w:val="auto"/>
    </w:rPr>
  </w:style>
  <w:style w:type="paragraph" w:customStyle="1" w:styleId="257">
    <w:name w:val="二级标题"/>
    <w:qFormat/>
    <w:uiPriority w:val="0"/>
    <w:pPr>
      <w:spacing w:before="240" w:after="120"/>
    </w:pPr>
    <w:rPr>
      <w:rFonts w:eastAsia="黑体"/>
      <w:b/>
      <w:kern w:val="2"/>
      <w:sz w:val="26"/>
      <w:lang w:val="en-US" w:eastAsia="zh-CN" w:bidi="ar-SA"/>
    </w:rPr>
  </w:style>
  <w:style w:type="paragraph" w:customStyle="1" w:styleId="258">
    <w:name w:val="格式1"/>
    <w:basedOn w:val="2"/>
    <w:qFormat/>
    <w:uiPriority w:val="0"/>
    <w:pPr>
      <w:keepLines/>
      <w:widowControl w:val="0"/>
      <w:tabs>
        <w:tab w:val="left" w:pos="425"/>
      </w:tabs>
      <w:spacing w:before="340" w:after="330" w:line="576" w:lineRule="auto"/>
      <w:ind w:left="0" w:firstLine="0"/>
      <w:textAlignment w:val="auto"/>
    </w:pPr>
    <w:rPr>
      <w:rFonts w:ascii="黑体" w:eastAsia="黑体"/>
      <w:b w:val="0"/>
    </w:rPr>
  </w:style>
  <w:style w:type="paragraph" w:customStyle="1" w:styleId="259">
    <w:name w:val="正文C"/>
    <w:qFormat/>
    <w:uiPriority w:val="0"/>
    <w:pPr>
      <w:widowControl w:val="0"/>
      <w:adjustRightInd w:val="0"/>
      <w:snapToGrid w:val="0"/>
      <w:spacing w:line="360" w:lineRule="auto"/>
      <w:ind w:right="31" w:rightChars="15" w:firstLine="420" w:firstLineChars="200"/>
      <w:jc w:val="both"/>
    </w:pPr>
    <w:rPr>
      <w:rFonts w:cs="宋体"/>
      <w:kern w:val="44"/>
      <w:sz w:val="24"/>
      <w:lang w:val="en-US" w:eastAsia="zh-CN" w:bidi="ar-SA"/>
    </w:rPr>
  </w:style>
  <w:style w:type="paragraph" w:customStyle="1" w:styleId="260">
    <w:name w:val="font9"/>
    <w:basedOn w:val="1"/>
    <w:qFormat/>
    <w:uiPriority w:val="0"/>
    <w:pPr>
      <w:spacing w:before="100" w:beforeAutospacing="1" w:after="100" w:afterAutospacing="1"/>
    </w:pPr>
    <w:rPr>
      <w:rFonts w:eastAsia="宋体"/>
      <w:b/>
      <w:bCs/>
      <w:color w:val="000000"/>
      <w:sz w:val="20"/>
      <w:szCs w:val="20"/>
    </w:rPr>
  </w:style>
  <w:style w:type="paragraph" w:customStyle="1" w:styleId="261">
    <w:name w:val="xl3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eastAsia="宋体"/>
      <w:sz w:val="24"/>
      <w:szCs w:val="24"/>
    </w:rPr>
  </w:style>
  <w:style w:type="paragraph" w:customStyle="1" w:styleId="262">
    <w:name w:val="级别2"/>
    <w:basedOn w:val="2"/>
    <w:qFormat/>
    <w:uiPriority w:val="0"/>
    <w:pPr>
      <w:keepLines/>
      <w:widowControl w:val="0"/>
      <w:tabs>
        <w:tab w:val="left" w:pos="0"/>
      </w:tabs>
      <w:adjustRightInd w:val="0"/>
      <w:snapToGrid w:val="0"/>
      <w:ind w:left="0" w:firstLine="0"/>
      <w:jc w:val="both"/>
      <w:textAlignment w:val="auto"/>
      <w:outlineLvl w:val="1"/>
    </w:pPr>
    <w:rPr>
      <w:rFonts w:ascii="宋体" w:hAnsi="宋体"/>
      <w:sz w:val="24"/>
      <w:szCs w:val="24"/>
    </w:rPr>
  </w:style>
  <w:style w:type="paragraph" w:customStyle="1" w:styleId="263">
    <w:name w:val="标书原文本"/>
    <w:basedOn w:val="1"/>
    <w:qFormat/>
    <w:uiPriority w:val="0"/>
    <w:pPr>
      <w:widowControl w:val="0"/>
      <w:spacing w:afterLines="50" w:line="320" w:lineRule="exact"/>
      <w:ind w:firstLine="407"/>
      <w:jc w:val="both"/>
    </w:pPr>
    <w:rPr>
      <w:rFonts w:ascii="宋体" w:hAnsi="宋体" w:eastAsia="宋体" w:cs="宋体"/>
      <w:kern w:val="2"/>
      <w:sz w:val="21"/>
      <w:szCs w:val="21"/>
    </w:rPr>
  </w:style>
  <w:style w:type="paragraph" w:customStyle="1" w:styleId="264">
    <w:name w:val="样式 宋体 小四 行距: 1.5 倍行距"/>
    <w:basedOn w:val="1"/>
    <w:qFormat/>
    <w:uiPriority w:val="0"/>
    <w:pPr>
      <w:widowControl w:val="0"/>
      <w:jc w:val="both"/>
    </w:pPr>
    <w:rPr>
      <w:rFonts w:ascii="宋体" w:hAnsi="宋体" w:eastAsia="宋体"/>
      <w:kern w:val="10"/>
      <w:sz w:val="24"/>
      <w:szCs w:val="20"/>
    </w:rPr>
  </w:style>
  <w:style w:type="paragraph" w:customStyle="1" w:styleId="265">
    <w:name w:val="级别5"/>
    <w:basedOn w:val="266"/>
    <w:qFormat/>
    <w:uiPriority w:val="0"/>
    <w:pPr>
      <w:outlineLvl w:val="4"/>
    </w:pPr>
  </w:style>
  <w:style w:type="paragraph" w:customStyle="1" w:styleId="266">
    <w:name w:val="级别4"/>
    <w:basedOn w:val="262"/>
    <w:qFormat/>
    <w:uiPriority w:val="0"/>
    <w:pPr>
      <w:outlineLvl w:val="3"/>
    </w:pPr>
    <w:rPr>
      <w:b w:val="0"/>
      <w:kern w:val="0"/>
    </w:rPr>
  </w:style>
  <w:style w:type="paragraph" w:customStyle="1" w:styleId="267">
    <w:name w:val="xl3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rPr>
  </w:style>
  <w:style w:type="paragraph" w:customStyle="1" w:styleId="268">
    <w:name w:val="标书正文1"/>
    <w:basedOn w:val="1"/>
    <w:qFormat/>
    <w:uiPriority w:val="0"/>
    <w:pPr>
      <w:widowControl w:val="0"/>
      <w:tabs>
        <w:tab w:val="left" w:pos="1438"/>
      </w:tabs>
      <w:spacing w:before="100" w:after="100" w:line="360" w:lineRule="auto"/>
      <w:ind w:left="1438" w:hanging="720"/>
      <w:jc w:val="both"/>
    </w:pPr>
    <w:rPr>
      <w:rFonts w:ascii="宋体" w:hAnsi="宋体" w:eastAsia="宋体"/>
      <w:kern w:val="2"/>
      <w:sz w:val="21"/>
      <w:szCs w:val="24"/>
    </w:rPr>
  </w:style>
  <w:style w:type="paragraph" w:customStyle="1" w:styleId="269">
    <w:name w:val="批注主题[858D7CFB-ED40-4347-BF05-701D383B685F][858D7CFB-ED40-4347-BF05-701D383B685F]1"/>
    <w:basedOn w:val="19"/>
    <w:next w:val="19"/>
    <w:qFormat/>
    <w:uiPriority w:val="0"/>
    <w:pPr>
      <w:widowControl w:val="0"/>
    </w:pPr>
    <w:rPr>
      <w:rFonts w:eastAsia="宋体"/>
      <w:b/>
      <w:bCs/>
      <w:sz w:val="21"/>
      <w:szCs w:val="20"/>
    </w:rPr>
  </w:style>
  <w:style w:type="paragraph" w:customStyle="1" w:styleId="270">
    <w:name w:val="CM125"/>
    <w:basedOn w:val="182"/>
    <w:next w:val="182"/>
    <w:qFormat/>
    <w:uiPriority w:val="0"/>
    <w:pPr>
      <w:spacing w:after="125"/>
    </w:pPr>
    <w:rPr>
      <w:rFonts w:cs="Times New Roman"/>
      <w:color w:val="auto"/>
    </w:rPr>
  </w:style>
  <w:style w:type="paragraph" w:customStyle="1" w:styleId="271">
    <w:name w:val="末级"/>
    <w:basedOn w:val="1"/>
    <w:qFormat/>
    <w:uiPriority w:val="0"/>
    <w:pPr>
      <w:widowControl w:val="0"/>
      <w:tabs>
        <w:tab w:val="left" w:pos="1260"/>
      </w:tabs>
      <w:spacing w:line="360" w:lineRule="auto"/>
      <w:ind w:left="1260" w:hanging="420"/>
      <w:jc w:val="both"/>
    </w:pPr>
    <w:rPr>
      <w:rFonts w:eastAsia="宋体"/>
      <w:kern w:val="2"/>
      <w:sz w:val="24"/>
      <w:szCs w:val="24"/>
    </w:rPr>
  </w:style>
  <w:style w:type="paragraph" w:customStyle="1" w:styleId="272">
    <w:name w:val="Char Char Char"/>
    <w:basedOn w:val="1"/>
    <w:qFormat/>
    <w:uiPriority w:val="0"/>
    <w:pPr>
      <w:widowControl w:val="0"/>
      <w:adjustRightInd w:val="0"/>
      <w:spacing w:line="360" w:lineRule="auto"/>
      <w:jc w:val="both"/>
    </w:pPr>
    <w:rPr>
      <w:rFonts w:eastAsia="宋体"/>
      <w:sz w:val="24"/>
      <w:szCs w:val="20"/>
    </w:rPr>
  </w:style>
  <w:style w:type="paragraph" w:customStyle="1" w:styleId="273">
    <w:name w:val="TOC 标题1"/>
    <w:basedOn w:val="2"/>
    <w:next w:val="1"/>
    <w:unhideWhenUsed/>
    <w:qFormat/>
    <w:uiPriority w:val="39"/>
    <w:pPr>
      <w:keepLines/>
      <w:spacing w:before="240" w:line="259" w:lineRule="auto"/>
      <w:ind w:left="0" w:firstLine="0"/>
      <w:jc w:val="left"/>
      <w:textAlignment w:val="auto"/>
      <w:outlineLvl w:val="9"/>
    </w:pPr>
    <w:rPr>
      <w:rFonts w:ascii="等线 Light" w:hAnsi="等线 Light" w:eastAsia="等线 Light" w:cs="Times New Roman"/>
      <w:b w:val="0"/>
      <w:color w:val="2F5496"/>
      <w:kern w:val="0"/>
      <w:sz w:val="32"/>
      <w:szCs w:val="32"/>
    </w:rPr>
  </w:style>
  <w:style w:type="paragraph" w:customStyle="1" w:styleId="274">
    <w:name w:val="标题四"/>
    <w:basedOn w:val="1"/>
    <w:qFormat/>
    <w:uiPriority w:val="0"/>
    <w:pPr>
      <w:tabs>
        <w:tab w:val="left" w:pos="0"/>
        <w:tab w:val="left" w:pos="992"/>
      </w:tabs>
      <w:spacing w:before="120" w:after="120" w:line="360" w:lineRule="auto"/>
      <w:ind w:left="992" w:hanging="992"/>
      <w:outlineLvl w:val="3"/>
    </w:pPr>
    <w:rPr>
      <w:rFonts w:ascii="Tahoma" w:hAnsi="Tahoma" w:eastAsia="宋体"/>
      <w:b/>
      <w:spacing w:val="10"/>
      <w:w w:val="95"/>
      <w:sz w:val="24"/>
      <w:szCs w:val="24"/>
    </w:rPr>
  </w:style>
  <w:style w:type="paragraph" w:customStyle="1" w:styleId="275">
    <w:name w:val="CM21"/>
    <w:basedOn w:val="182"/>
    <w:next w:val="182"/>
    <w:qFormat/>
    <w:uiPriority w:val="0"/>
    <w:pPr>
      <w:spacing w:line="626" w:lineRule="atLeast"/>
    </w:pPr>
    <w:rPr>
      <w:rFonts w:cs="Times New Roman"/>
      <w:color w:val="auto"/>
    </w:rPr>
  </w:style>
  <w:style w:type="paragraph" w:customStyle="1" w:styleId="276">
    <w:name w:val="样式3"/>
    <w:basedOn w:val="4"/>
    <w:qFormat/>
    <w:uiPriority w:val="0"/>
    <w:pPr>
      <w:widowControl w:val="0"/>
      <w:tabs>
        <w:tab w:val="left" w:pos="3570"/>
      </w:tabs>
      <w:snapToGrid w:val="0"/>
      <w:spacing w:before="260" w:after="260" w:line="413" w:lineRule="auto"/>
      <w:jc w:val="both"/>
      <w:textAlignment w:val="auto"/>
    </w:pPr>
    <w:rPr>
      <w:szCs w:val="20"/>
    </w:rPr>
  </w:style>
  <w:style w:type="paragraph" w:customStyle="1" w:styleId="277">
    <w:name w:val="StandardOhneEinzug"/>
    <w:basedOn w:val="1"/>
    <w:qFormat/>
    <w:uiPriority w:val="0"/>
    <w:pPr>
      <w:tabs>
        <w:tab w:val="left" w:pos="560"/>
        <w:tab w:val="left" w:pos="3360"/>
      </w:tabs>
      <w:spacing w:after="240" w:line="288" w:lineRule="auto"/>
      <w:ind w:left="3360" w:hanging="420"/>
    </w:pPr>
    <w:rPr>
      <w:rFonts w:ascii="Arial" w:hAnsi="Arial" w:eastAsia="宋体"/>
      <w:szCs w:val="20"/>
    </w:rPr>
  </w:style>
  <w:style w:type="paragraph" w:customStyle="1" w:styleId="278">
    <w:name w:val="p18"/>
    <w:basedOn w:val="1"/>
    <w:qFormat/>
    <w:uiPriority w:val="0"/>
    <w:pPr>
      <w:jc w:val="both"/>
    </w:pPr>
    <w:rPr>
      <w:rFonts w:ascii="仿宋_GB2312" w:hAnsi="宋体" w:eastAsia="仿宋_GB2312" w:cs="宋体"/>
      <w:sz w:val="30"/>
      <w:szCs w:val="30"/>
    </w:rPr>
  </w:style>
  <w:style w:type="paragraph" w:customStyle="1" w:styleId="279">
    <w:name w:val="样式 标题 3列表编号31.1.1 + 四号 加粗 行距: 1.5 倍行距"/>
    <w:basedOn w:val="4"/>
    <w:qFormat/>
    <w:uiPriority w:val="0"/>
    <w:pPr>
      <w:widowControl w:val="0"/>
      <w:tabs>
        <w:tab w:val="left" w:pos="1134"/>
      </w:tabs>
      <w:adjustRightInd w:val="0"/>
      <w:spacing w:before="0" w:after="0"/>
      <w:ind w:left="1134" w:hanging="1134"/>
      <w:jc w:val="left"/>
      <w:textAlignment w:val="baseline"/>
    </w:pPr>
    <w:rPr>
      <w:rFonts w:cs="宋体"/>
      <w:bCs/>
      <w:kern w:val="0"/>
      <w:sz w:val="28"/>
      <w:szCs w:val="20"/>
    </w:rPr>
  </w:style>
  <w:style w:type="paragraph" w:customStyle="1" w:styleId="280">
    <w:name w:val="tll"/>
    <w:basedOn w:val="1"/>
    <w:qFormat/>
    <w:uiPriority w:val="0"/>
    <w:pPr>
      <w:widowControl w:val="0"/>
      <w:autoSpaceDE w:val="0"/>
      <w:autoSpaceDN w:val="0"/>
      <w:adjustRightInd w:val="0"/>
      <w:spacing w:line="300" w:lineRule="atLeast"/>
      <w:ind w:firstLine="709"/>
      <w:textAlignment w:val="baseline"/>
    </w:pPr>
    <w:rPr>
      <w:rFonts w:ascii="仿宋_GB2312" w:hAnsi="Arial" w:eastAsia="仿宋_GB2312"/>
      <w:sz w:val="21"/>
      <w:szCs w:val="20"/>
    </w:rPr>
  </w:style>
  <w:style w:type="paragraph" w:customStyle="1" w:styleId="281">
    <w:name w:val="xl6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sz w:val="21"/>
      <w:szCs w:val="21"/>
    </w:rPr>
  </w:style>
  <w:style w:type="paragraph" w:customStyle="1" w:styleId="282">
    <w:name w:val="Char12"/>
    <w:basedOn w:val="1"/>
    <w:qFormat/>
    <w:uiPriority w:val="0"/>
    <w:pPr>
      <w:widowControl w:val="0"/>
      <w:jc w:val="both"/>
    </w:pPr>
    <w:rPr>
      <w:rFonts w:ascii="Tahoma" w:hAnsi="Tahoma" w:eastAsia="宋体" w:cs="仿宋_GB2312"/>
      <w:kern w:val="2"/>
      <w:sz w:val="24"/>
      <w:szCs w:val="20"/>
    </w:rPr>
  </w:style>
  <w:style w:type="paragraph" w:customStyle="1" w:styleId="283">
    <w:name w:val="Footer First"/>
    <w:basedOn w:val="40"/>
    <w:qFormat/>
    <w:uiPriority w:val="0"/>
    <w:pPr>
      <w:keepLines/>
      <w:tabs>
        <w:tab w:val="left" w:pos="1080"/>
        <w:tab w:val="left" w:pos="1627"/>
        <w:tab w:val="left" w:pos="2160"/>
        <w:tab w:val="left" w:pos="2880"/>
        <w:tab w:val="center" w:pos="4320"/>
        <w:tab w:val="clear" w:pos="4153"/>
        <w:tab w:val="clear" w:pos="8306"/>
      </w:tabs>
      <w:snapToGrid/>
      <w:spacing w:line="300" w:lineRule="exact"/>
      <w:ind w:left="708" w:leftChars="150" w:hanging="393" w:hangingChars="187"/>
      <w:jc w:val="center"/>
      <w:textAlignment w:val="center"/>
    </w:pPr>
    <w:rPr>
      <w:rFonts w:ascii="Univers" w:hAnsi="Univers" w:eastAsia="宋体"/>
      <w:sz w:val="22"/>
      <w:szCs w:val="20"/>
    </w:rPr>
  </w:style>
  <w:style w:type="paragraph" w:customStyle="1" w:styleId="284">
    <w:name w:val="CM71"/>
    <w:basedOn w:val="182"/>
    <w:next w:val="182"/>
    <w:qFormat/>
    <w:uiPriority w:val="0"/>
    <w:pPr>
      <w:spacing w:after="195"/>
    </w:pPr>
    <w:rPr>
      <w:rFonts w:cs="Times New Roman"/>
      <w:color w:val="auto"/>
    </w:rPr>
  </w:style>
  <w:style w:type="paragraph" w:customStyle="1" w:styleId="285">
    <w:name w:val="样式 标题 2标题一 + 行距: 固定值 30 磅"/>
    <w:basedOn w:val="3"/>
    <w:qFormat/>
    <w:uiPriority w:val="0"/>
    <w:pPr>
      <w:widowControl w:val="0"/>
      <w:spacing w:line="400" w:lineRule="exact"/>
      <w:jc w:val="both"/>
    </w:pPr>
    <w:rPr>
      <w:rFonts w:ascii="Arial" w:hAnsi="Arial" w:eastAsia="黑体" w:cs="宋体"/>
      <w:b w:val="0"/>
      <w:bCs w:val="0"/>
      <w:kern w:val="2"/>
      <w:sz w:val="28"/>
      <w:szCs w:val="20"/>
    </w:rPr>
  </w:style>
  <w:style w:type="paragraph" w:customStyle="1" w:styleId="286">
    <w:name w:val="条文 表"/>
    <w:next w:val="1"/>
    <w:qFormat/>
    <w:uiPriority w:val="0"/>
    <w:pPr>
      <w:jc w:val="center"/>
    </w:pPr>
    <w:rPr>
      <w:rFonts w:eastAsia="黑体"/>
      <w:sz w:val="21"/>
      <w:lang w:val="en-US" w:eastAsia="zh-CN" w:bidi="ar-SA"/>
    </w:rPr>
  </w:style>
  <w:style w:type="paragraph" w:customStyle="1" w:styleId="287">
    <w:name w:val="Char Char Char Char1"/>
    <w:basedOn w:val="17"/>
    <w:qFormat/>
    <w:uiPriority w:val="0"/>
    <w:pPr>
      <w:widowControl w:val="0"/>
      <w:adjustRightInd w:val="0"/>
      <w:spacing w:line="436" w:lineRule="exact"/>
      <w:ind w:left="357" w:leftChars="0" w:firstLine="0" w:firstLineChars="0"/>
      <w:textAlignment w:val="auto"/>
      <w:outlineLvl w:val="3"/>
    </w:pPr>
    <w:rPr>
      <w:rFonts w:ascii="Tahoma" w:hAnsi="Tahoma"/>
      <w:b/>
      <w:sz w:val="24"/>
      <w:szCs w:val="24"/>
    </w:rPr>
  </w:style>
  <w:style w:type="paragraph" w:customStyle="1" w:styleId="288">
    <w:name w:val="符号"/>
    <w:basedOn w:val="1"/>
    <w:qFormat/>
    <w:uiPriority w:val="0"/>
    <w:pPr>
      <w:widowControl w:val="0"/>
      <w:tabs>
        <w:tab w:val="left" w:pos="450"/>
        <w:tab w:val="left" w:pos="981"/>
      </w:tabs>
      <w:topLinePunct/>
      <w:spacing w:line="360" w:lineRule="auto"/>
      <w:ind w:left="450" w:hanging="450"/>
      <w:jc w:val="both"/>
    </w:pPr>
    <w:rPr>
      <w:rFonts w:eastAsia="宋体"/>
      <w:kern w:val="2"/>
      <w:sz w:val="24"/>
      <w:szCs w:val="24"/>
    </w:rPr>
  </w:style>
  <w:style w:type="paragraph" w:customStyle="1" w:styleId="289">
    <w:name w:val="招标文件1）"/>
    <w:qFormat/>
    <w:uiPriority w:val="0"/>
    <w:pPr>
      <w:tabs>
        <w:tab w:val="left" w:pos="360"/>
      </w:tabs>
      <w:spacing w:before="120" w:after="120" w:line="300" w:lineRule="auto"/>
      <w:ind w:left="360" w:hanging="360"/>
      <w:outlineLvl w:val="5"/>
    </w:pPr>
    <w:rPr>
      <w:rFonts w:ascii="宋体"/>
      <w:spacing w:val="10"/>
      <w:w w:val="95"/>
      <w:sz w:val="21"/>
      <w:lang w:val="en-US" w:eastAsia="zh-CN" w:bidi="ar-SA"/>
    </w:rPr>
  </w:style>
  <w:style w:type="paragraph" w:customStyle="1" w:styleId="290">
    <w:name w:val="标准"/>
    <w:basedOn w:val="1"/>
    <w:qFormat/>
    <w:uiPriority w:val="0"/>
    <w:pPr>
      <w:widowControl w:val="0"/>
      <w:adjustRightInd w:val="0"/>
      <w:spacing w:line="312" w:lineRule="atLeast"/>
      <w:jc w:val="center"/>
      <w:textAlignment w:val="baseline"/>
    </w:pPr>
    <w:rPr>
      <w:rFonts w:eastAsia="宋体"/>
      <w:kern w:val="24"/>
      <w:sz w:val="24"/>
      <w:szCs w:val="24"/>
    </w:rPr>
  </w:style>
  <w:style w:type="paragraph" w:customStyle="1" w:styleId="291">
    <w:name w:val="技术标题2"/>
    <w:basedOn w:val="1"/>
    <w:qFormat/>
    <w:uiPriority w:val="0"/>
    <w:pPr>
      <w:keepNext/>
      <w:keepLines/>
      <w:widowControl w:val="0"/>
      <w:adjustRightInd w:val="0"/>
      <w:snapToGrid w:val="0"/>
      <w:spacing w:beforeLines="150" w:afterLines="50"/>
      <w:jc w:val="both"/>
      <w:outlineLvl w:val="3"/>
    </w:pPr>
    <w:rPr>
      <w:rFonts w:ascii="Arial" w:hAnsi="Arial" w:eastAsia="宋体"/>
      <w:b/>
      <w:bCs/>
      <w:color w:val="000000"/>
      <w:kern w:val="2"/>
      <w:sz w:val="32"/>
      <w:szCs w:val="28"/>
    </w:rPr>
  </w:style>
  <w:style w:type="paragraph" w:customStyle="1" w:styleId="292">
    <w:name w:val="专用"/>
    <w:basedOn w:val="1"/>
    <w:qFormat/>
    <w:uiPriority w:val="0"/>
    <w:pPr>
      <w:widowControl w:val="0"/>
      <w:spacing w:afterLines="100"/>
      <w:ind w:left="838" w:hanging="838" w:hangingChars="262"/>
      <w:jc w:val="both"/>
    </w:pPr>
    <w:rPr>
      <w:rFonts w:ascii="宋体" w:eastAsia="宋体"/>
      <w:b/>
      <w:color w:val="000000"/>
      <w:kern w:val="2"/>
      <w:sz w:val="32"/>
      <w:szCs w:val="20"/>
    </w:rPr>
  </w:style>
  <w:style w:type="paragraph" w:customStyle="1" w:styleId="293">
    <w:name w:val="图1"/>
    <w:basedOn w:val="1"/>
    <w:next w:val="1"/>
    <w:qFormat/>
    <w:uiPriority w:val="0"/>
    <w:pPr>
      <w:widowControl w:val="0"/>
      <w:tabs>
        <w:tab w:val="left" w:pos="1440"/>
      </w:tabs>
      <w:spacing w:beforeLines="50" w:afterLines="100" w:line="360" w:lineRule="auto"/>
      <w:ind w:left="1105" w:hanging="748"/>
      <w:jc w:val="center"/>
    </w:pPr>
    <w:rPr>
      <w:rFonts w:eastAsia="宋体"/>
      <w:sz w:val="21"/>
      <w:szCs w:val="24"/>
    </w:rPr>
  </w:style>
  <w:style w:type="paragraph" w:customStyle="1" w:styleId="294">
    <w:name w:val="批注框文本[858D7CFB-ED40-4347-BF05-701D383B685F][858D7CFB-ED40-4347-BF05-701D383B685F]1"/>
    <w:basedOn w:val="1"/>
    <w:qFormat/>
    <w:uiPriority w:val="0"/>
    <w:pPr>
      <w:widowControl w:val="0"/>
      <w:jc w:val="both"/>
    </w:pPr>
    <w:rPr>
      <w:rFonts w:ascii="仿宋_GB2312" w:hAnsi="宋体" w:eastAsia="仿宋_GB2312"/>
      <w:kern w:val="2"/>
      <w:sz w:val="18"/>
      <w:szCs w:val="18"/>
    </w:rPr>
  </w:style>
  <w:style w:type="paragraph" w:customStyle="1" w:styleId="295">
    <w:name w:val="正文段落"/>
    <w:basedOn w:val="1"/>
    <w:qFormat/>
    <w:uiPriority w:val="0"/>
    <w:pPr>
      <w:widowControl w:val="0"/>
      <w:autoSpaceDE w:val="0"/>
      <w:autoSpaceDN w:val="0"/>
      <w:adjustRightInd w:val="0"/>
      <w:spacing w:line="360" w:lineRule="auto"/>
      <w:ind w:firstLine="567"/>
      <w:jc w:val="both"/>
      <w:textAlignment w:val="baseline"/>
    </w:pPr>
    <w:rPr>
      <w:rFonts w:ascii="宋体" w:hAnsi="Tms Rmn" w:eastAsia="宋体"/>
      <w:sz w:val="28"/>
      <w:szCs w:val="20"/>
    </w:rPr>
  </w:style>
  <w:style w:type="paragraph" w:customStyle="1" w:styleId="296">
    <w:name w:val="Char Char Char Char Char Char Char1"/>
    <w:basedOn w:val="1"/>
    <w:qFormat/>
    <w:uiPriority w:val="0"/>
    <w:pPr>
      <w:adjustRightInd w:val="0"/>
      <w:snapToGrid w:val="0"/>
      <w:spacing w:line="360" w:lineRule="auto"/>
      <w:ind w:firstLine="200" w:firstLineChars="200"/>
    </w:pPr>
    <w:rPr>
      <w:rFonts w:ascii="Tahoma" w:hAnsi="Tahoma" w:eastAsia="宋体" w:cs="Tahoma"/>
      <w:sz w:val="20"/>
      <w:szCs w:val="20"/>
      <w:lang w:eastAsia="en-US"/>
    </w:rPr>
  </w:style>
  <w:style w:type="paragraph" w:customStyle="1" w:styleId="297">
    <w:name w:val="Subhead 1"/>
    <w:basedOn w:val="1"/>
    <w:qFormat/>
    <w:uiPriority w:val="0"/>
    <w:pPr>
      <w:keepNext/>
      <w:pageBreakBefore/>
      <w:tabs>
        <w:tab w:val="left" w:pos="1134"/>
        <w:tab w:val="left" w:pos="2552"/>
      </w:tabs>
      <w:autoSpaceDE w:val="0"/>
      <w:autoSpaceDN w:val="0"/>
      <w:adjustRightInd w:val="0"/>
      <w:spacing w:before="510" w:after="400" w:line="420" w:lineRule="atLeast"/>
      <w:ind w:left="1134" w:hanging="1134"/>
    </w:pPr>
    <w:rPr>
      <w:rFonts w:ascii="Arial" w:hAnsi="Arial" w:eastAsia="黑体"/>
      <w:b/>
      <w:sz w:val="32"/>
      <w:szCs w:val="20"/>
    </w:rPr>
  </w:style>
  <w:style w:type="paragraph" w:customStyle="1" w:styleId="298">
    <w:name w:val="招标文件A）"/>
    <w:qFormat/>
    <w:uiPriority w:val="0"/>
    <w:pPr>
      <w:tabs>
        <w:tab w:val="left" w:pos="2940"/>
      </w:tabs>
      <w:spacing w:before="120" w:after="120" w:line="300" w:lineRule="auto"/>
      <w:ind w:left="2940" w:hanging="420"/>
      <w:outlineLvl w:val="6"/>
    </w:pPr>
    <w:rPr>
      <w:rFonts w:ascii="宋体"/>
      <w:spacing w:val="10"/>
      <w:w w:val="95"/>
      <w:sz w:val="21"/>
      <w:lang w:val="en-US" w:eastAsia="zh-CN" w:bidi="ar-SA"/>
    </w:rPr>
  </w:style>
  <w:style w:type="paragraph" w:customStyle="1" w:styleId="299">
    <w:name w:val="xl75"/>
    <w:basedOn w:val="1"/>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eastAsia="宋体" w:cs="宋体"/>
      <w:sz w:val="24"/>
      <w:szCs w:val="24"/>
    </w:rPr>
  </w:style>
  <w:style w:type="paragraph" w:customStyle="1" w:styleId="300">
    <w:name w:val="顺序编号-zlb"/>
    <w:basedOn w:val="266"/>
    <w:qFormat/>
    <w:uiPriority w:val="0"/>
    <w:pPr>
      <w:outlineLvl w:val="8"/>
    </w:pPr>
  </w:style>
  <w:style w:type="paragraph" w:customStyle="1" w:styleId="301">
    <w:name w:val="CM4"/>
    <w:basedOn w:val="182"/>
    <w:next w:val="182"/>
    <w:qFormat/>
    <w:uiPriority w:val="0"/>
    <w:pPr>
      <w:spacing w:line="540" w:lineRule="atLeast"/>
    </w:pPr>
    <w:rPr>
      <w:rFonts w:cs="Times New Roman"/>
      <w:color w:val="auto"/>
    </w:rPr>
  </w:style>
  <w:style w:type="paragraph" w:customStyle="1" w:styleId="302">
    <w:name w:val="Part Title"/>
    <w:basedOn w:val="1"/>
    <w:next w:val="1"/>
    <w:qFormat/>
    <w:uiPriority w:val="0"/>
    <w:pPr>
      <w:keepNext/>
      <w:keepLines/>
      <w:tabs>
        <w:tab w:val="left" w:pos="720"/>
        <w:tab w:val="left" w:pos="1080"/>
        <w:tab w:val="left" w:pos="1627"/>
      </w:tabs>
      <w:spacing w:before="600" w:after="120" w:line="300" w:lineRule="exact"/>
      <w:jc w:val="center"/>
    </w:pPr>
    <w:rPr>
      <w:rFonts w:ascii="Arial" w:hAnsi="Arial" w:eastAsia="宋体"/>
      <w:b/>
      <w:kern w:val="28"/>
      <w:sz w:val="36"/>
      <w:szCs w:val="20"/>
    </w:rPr>
  </w:style>
  <w:style w:type="paragraph" w:customStyle="1" w:styleId="303">
    <w:name w:val="CM75"/>
    <w:basedOn w:val="182"/>
    <w:next w:val="182"/>
    <w:qFormat/>
    <w:uiPriority w:val="0"/>
    <w:pPr>
      <w:spacing w:after="400"/>
    </w:pPr>
    <w:rPr>
      <w:rFonts w:cs="Times New Roman"/>
      <w:color w:val="auto"/>
    </w:rPr>
  </w:style>
  <w:style w:type="paragraph" w:customStyle="1" w:styleId="304">
    <w:name w:val="CM6"/>
    <w:basedOn w:val="182"/>
    <w:next w:val="182"/>
    <w:qFormat/>
    <w:uiPriority w:val="0"/>
    <w:pPr>
      <w:spacing w:line="626" w:lineRule="atLeast"/>
    </w:pPr>
    <w:rPr>
      <w:rFonts w:cs="Times New Roman"/>
      <w:color w:val="auto"/>
    </w:rPr>
  </w:style>
  <w:style w:type="paragraph" w:customStyle="1" w:styleId="305">
    <w:name w:val="xl27"/>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eastAsia="宋体"/>
      <w:sz w:val="24"/>
      <w:szCs w:val="24"/>
    </w:rPr>
  </w:style>
  <w:style w:type="paragraph" w:customStyle="1" w:styleId="306">
    <w:name w:val="CM124"/>
    <w:basedOn w:val="182"/>
    <w:next w:val="182"/>
    <w:qFormat/>
    <w:uiPriority w:val="0"/>
    <w:pPr>
      <w:spacing w:after="285"/>
    </w:pPr>
    <w:rPr>
      <w:rFonts w:cs="Times New Roman"/>
      <w:color w:val="auto"/>
    </w:rPr>
  </w:style>
  <w:style w:type="paragraph" w:customStyle="1" w:styleId="307">
    <w:name w:val="文档正文"/>
    <w:basedOn w:val="1"/>
    <w:qFormat/>
    <w:uiPriority w:val="0"/>
    <w:pPr>
      <w:widowControl w:val="0"/>
      <w:spacing w:line="360" w:lineRule="auto"/>
      <w:ind w:firstLine="200" w:firstLineChars="200"/>
      <w:jc w:val="both"/>
    </w:pPr>
    <w:rPr>
      <w:rFonts w:ascii="宋体" w:hAnsi="宋体" w:eastAsia="宋体"/>
      <w:kern w:val="2"/>
      <w:sz w:val="24"/>
      <w:szCs w:val="24"/>
    </w:rPr>
  </w:style>
  <w:style w:type="paragraph" w:customStyle="1" w:styleId="308">
    <w:name w:val="纯文本1"/>
    <w:basedOn w:val="1"/>
    <w:qFormat/>
    <w:uiPriority w:val="0"/>
    <w:pPr>
      <w:widowControl w:val="0"/>
      <w:jc w:val="both"/>
    </w:pPr>
    <w:rPr>
      <w:rFonts w:ascii="宋体" w:hAnsi="Courier New" w:eastAsia="宋体"/>
      <w:kern w:val="2"/>
      <w:sz w:val="21"/>
      <w:szCs w:val="20"/>
    </w:rPr>
  </w:style>
  <w:style w:type="paragraph" w:customStyle="1" w:styleId="309">
    <w:name w:val="表格字体设置"/>
    <w:basedOn w:val="1"/>
    <w:qFormat/>
    <w:uiPriority w:val="0"/>
    <w:pPr>
      <w:widowControl w:val="0"/>
      <w:spacing w:line="360" w:lineRule="auto"/>
      <w:ind w:left="708" w:leftChars="150" w:hanging="393" w:hangingChars="187"/>
      <w:jc w:val="center"/>
      <w:textAlignment w:val="center"/>
    </w:pPr>
    <w:rPr>
      <w:rFonts w:eastAsia="宋体"/>
      <w:kern w:val="2"/>
      <w:sz w:val="21"/>
      <w:szCs w:val="21"/>
    </w:rPr>
  </w:style>
  <w:style w:type="paragraph" w:customStyle="1" w:styleId="310">
    <w:name w:val="四号线第六级"/>
    <w:basedOn w:val="1"/>
    <w:qFormat/>
    <w:uiPriority w:val="0"/>
    <w:pPr>
      <w:widowControl w:val="0"/>
      <w:ind w:left="-123"/>
      <w:jc w:val="both"/>
    </w:pPr>
    <w:rPr>
      <w:rFonts w:eastAsia="宋体"/>
      <w:kern w:val="2"/>
      <w:sz w:val="21"/>
      <w:szCs w:val="24"/>
    </w:rPr>
  </w:style>
  <w:style w:type="paragraph" w:customStyle="1" w:styleId="311">
    <w:name w:val="xl36"/>
    <w:basedOn w:val="1"/>
    <w:qFormat/>
    <w:uiPriority w:val="0"/>
    <w:pPr>
      <w:pBdr>
        <w:top w:val="single" w:color="auto" w:sz="4" w:space="0"/>
        <w:bottom w:val="single" w:color="auto" w:sz="4" w:space="0"/>
        <w:right w:val="single" w:color="auto" w:sz="4" w:space="0"/>
      </w:pBdr>
      <w:spacing w:before="100" w:beforeAutospacing="1" w:after="100" w:afterAutospacing="1"/>
    </w:pPr>
    <w:rPr>
      <w:rFonts w:eastAsia="宋体"/>
      <w:sz w:val="24"/>
      <w:szCs w:val="24"/>
    </w:rPr>
  </w:style>
  <w:style w:type="paragraph" w:customStyle="1" w:styleId="312">
    <w:name w:val="样式 宋体 行距: 1.5 倍行距"/>
    <w:basedOn w:val="1"/>
    <w:qFormat/>
    <w:uiPriority w:val="0"/>
    <w:pPr>
      <w:widowControl w:val="0"/>
      <w:jc w:val="both"/>
    </w:pPr>
    <w:rPr>
      <w:rFonts w:ascii="宋体" w:hAnsi="宋体" w:eastAsia="宋体"/>
      <w:kern w:val="2"/>
      <w:sz w:val="21"/>
      <w:szCs w:val="20"/>
    </w:rPr>
  </w:style>
  <w:style w:type="paragraph" w:customStyle="1" w:styleId="313">
    <w:name w:val="招标文件1"/>
    <w:basedOn w:val="1"/>
    <w:qFormat/>
    <w:uiPriority w:val="0"/>
    <w:pPr>
      <w:widowControl w:val="0"/>
      <w:tabs>
        <w:tab w:val="left" w:pos="360"/>
        <w:tab w:val="left" w:pos="420"/>
      </w:tabs>
      <w:spacing w:before="120" w:after="120" w:line="480" w:lineRule="exact"/>
      <w:ind w:left="360" w:hanging="360"/>
      <w:outlineLvl w:val="1"/>
    </w:pPr>
    <w:rPr>
      <w:rFonts w:ascii="宋体" w:eastAsia="宋体"/>
      <w:b/>
      <w:spacing w:val="10"/>
      <w:w w:val="95"/>
      <w:sz w:val="28"/>
      <w:szCs w:val="24"/>
    </w:rPr>
  </w:style>
  <w:style w:type="paragraph" w:customStyle="1" w:styleId="314">
    <w:name w:val="xl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rPr>
  </w:style>
  <w:style w:type="paragraph" w:customStyle="1" w:styleId="315">
    <w:name w:val="样式 标题 4 + 段前: 自动"/>
    <w:basedOn w:val="6"/>
    <w:qFormat/>
    <w:uiPriority w:val="0"/>
    <w:pPr>
      <w:widowControl w:val="0"/>
      <w:tabs>
        <w:tab w:val="left" w:pos="1062"/>
      </w:tabs>
      <w:spacing w:before="0" w:beforeLines="50" w:after="0" w:line="400" w:lineRule="exact"/>
      <w:ind w:left="1062"/>
      <w:jc w:val="both"/>
      <w:textAlignment w:val="auto"/>
    </w:pPr>
    <w:rPr>
      <w:rFonts w:ascii="宋体" w:eastAsia="宋体" w:cs="宋体"/>
      <w:sz w:val="24"/>
      <w:szCs w:val="24"/>
    </w:rPr>
  </w:style>
  <w:style w:type="paragraph" w:customStyle="1" w:styleId="316">
    <w:name w:val="样式8"/>
    <w:basedOn w:val="204"/>
    <w:qFormat/>
    <w:uiPriority w:val="0"/>
    <w:pPr>
      <w:keepNext/>
      <w:keepLines/>
      <w:widowControl w:val="0"/>
      <w:adjustRightInd w:val="0"/>
      <w:spacing w:beforeLines="100" w:afterLines="100"/>
      <w:jc w:val="center"/>
      <w:textAlignment w:val="baseline"/>
      <w:outlineLvl w:val="1"/>
    </w:pPr>
    <w:rPr>
      <w:rFonts w:ascii="黑体" w:eastAsia="黑体"/>
      <w:sz w:val="36"/>
      <w:szCs w:val="36"/>
    </w:rPr>
  </w:style>
  <w:style w:type="paragraph" w:customStyle="1" w:styleId="317">
    <w:name w:val="一级标题"/>
    <w:qFormat/>
    <w:uiPriority w:val="0"/>
    <w:pPr>
      <w:spacing w:before="480" w:after="120"/>
    </w:pPr>
    <w:rPr>
      <w:rFonts w:eastAsia="黑体"/>
      <w:b/>
      <w:kern w:val="2"/>
      <w:sz w:val="28"/>
      <w:lang w:val="en-US" w:eastAsia="zh-CN" w:bidi="ar-SA"/>
    </w:rPr>
  </w:style>
  <w:style w:type="paragraph" w:customStyle="1" w:styleId="318">
    <w:name w:val="列出段落1"/>
    <w:basedOn w:val="1"/>
    <w:qFormat/>
    <w:uiPriority w:val="0"/>
    <w:pPr>
      <w:widowControl w:val="0"/>
      <w:ind w:firstLine="420" w:firstLineChars="200"/>
      <w:jc w:val="both"/>
    </w:pPr>
    <w:rPr>
      <w:rFonts w:ascii="Calibri" w:hAnsi="Calibri" w:eastAsia="宋体"/>
      <w:kern w:val="2"/>
      <w:sz w:val="21"/>
    </w:rPr>
  </w:style>
  <w:style w:type="paragraph" w:customStyle="1" w:styleId="319">
    <w:name w:val="样式 标题 3 + (西文) Times New Roman (中文) 宋体 小四 段前: 6 磅 段后: 7.8 磅..."/>
    <w:basedOn w:val="4"/>
    <w:qFormat/>
    <w:uiPriority w:val="0"/>
    <w:pPr>
      <w:widowControl w:val="0"/>
      <w:tabs>
        <w:tab w:val="left" w:pos="720"/>
        <w:tab w:val="left" w:pos="1440"/>
      </w:tabs>
      <w:spacing w:after="156" w:line="600" w:lineRule="exact"/>
      <w:jc w:val="both"/>
      <w:textAlignment w:val="auto"/>
    </w:pPr>
    <w:rPr>
      <w:rFonts w:hAnsi="宋体" w:cs="宋体"/>
      <w:bCs/>
      <w:sz w:val="21"/>
      <w:szCs w:val="20"/>
    </w:rPr>
  </w:style>
  <w:style w:type="paragraph" w:customStyle="1" w:styleId="320">
    <w:name w:val="xl2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sz w:val="21"/>
      <w:szCs w:val="21"/>
    </w:rPr>
  </w:style>
  <w:style w:type="paragraph" w:customStyle="1" w:styleId="321">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sz w:val="24"/>
      <w:szCs w:val="24"/>
    </w:rPr>
  </w:style>
  <w:style w:type="paragraph" w:customStyle="1" w:styleId="322">
    <w:name w:val="样式 标题 1标题 1 1编号标题1标题1 + 宋体 加粗"/>
    <w:basedOn w:val="2"/>
    <w:qFormat/>
    <w:uiPriority w:val="0"/>
    <w:pPr>
      <w:keepLines/>
      <w:widowControl w:val="0"/>
      <w:tabs>
        <w:tab w:val="left" w:pos="2340"/>
      </w:tabs>
      <w:spacing w:before="240" w:after="330" w:afterLines="50" w:line="360" w:lineRule="exact"/>
      <w:ind w:left="1304" w:hanging="1304"/>
      <w:jc w:val="left"/>
      <w:textAlignment w:val="auto"/>
    </w:pPr>
    <w:rPr>
      <w:rFonts w:ascii="宋体" w:hAnsi="宋体" w:cs="Arial"/>
      <w:bCs/>
      <w:sz w:val="28"/>
      <w:szCs w:val="28"/>
    </w:rPr>
  </w:style>
  <w:style w:type="paragraph" w:customStyle="1" w:styleId="323">
    <w:name w:val="页眉1"/>
    <w:basedOn w:val="41"/>
    <w:qFormat/>
    <w:uiPriority w:val="0"/>
    <w:pPr>
      <w:spacing w:line="360" w:lineRule="auto"/>
      <w:ind w:left="708" w:leftChars="150" w:hanging="393" w:hangingChars="187"/>
      <w:jc w:val="both"/>
      <w:textAlignment w:val="center"/>
    </w:pPr>
    <w:rPr>
      <w:rFonts w:eastAsia="宋体"/>
      <w:kern w:val="2"/>
      <w:sz w:val="21"/>
      <w:szCs w:val="21"/>
      <w:u w:val="single"/>
    </w:rPr>
  </w:style>
  <w:style w:type="paragraph" w:customStyle="1" w:styleId="324">
    <w:name w:val="修订1"/>
    <w:qFormat/>
    <w:uiPriority w:val="99"/>
    <w:rPr>
      <w:kern w:val="2"/>
      <w:sz w:val="21"/>
      <w:lang w:val="en-US" w:eastAsia="zh-CN" w:bidi="ar-SA"/>
    </w:rPr>
  </w:style>
  <w:style w:type="paragraph" w:customStyle="1" w:styleId="325">
    <w:name w:val="xl3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eastAsia="宋体"/>
      <w:sz w:val="24"/>
      <w:szCs w:val="24"/>
    </w:rPr>
  </w:style>
  <w:style w:type="paragraph" w:customStyle="1" w:styleId="326">
    <w:name w:val="CM42"/>
    <w:basedOn w:val="182"/>
    <w:next w:val="182"/>
    <w:qFormat/>
    <w:uiPriority w:val="0"/>
    <w:rPr>
      <w:rFonts w:cs="Times New Roman"/>
      <w:color w:val="auto"/>
    </w:rPr>
  </w:style>
  <w:style w:type="paragraph" w:customStyle="1" w:styleId="327">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sz w:val="20"/>
      <w:szCs w:val="20"/>
    </w:rPr>
  </w:style>
  <w:style w:type="paragraph" w:customStyle="1" w:styleId="328">
    <w:name w:val="p17"/>
    <w:basedOn w:val="1"/>
    <w:qFormat/>
    <w:uiPriority w:val="0"/>
    <w:pPr>
      <w:spacing w:line="360" w:lineRule="auto"/>
      <w:ind w:left="10"/>
      <w:jc w:val="both"/>
    </w:pPr>
    <w:rPr>
      <w:rFonts w:ascii="宋体" w:hAnsi="宋体" w:eastAsia="宋体" w:cs="宋体"/>
      <w:sz w:val="21"/>
      <w:szCs w:val="21"/>
    </w:rPr>
  </w:style>
  <w:style w:type="paragraph" w:customStyle="1" w:styleId="329">
    <w:name w:val="样式12"/>
    <w:basedOn w:val="1"/>
    <w:qFormat/>
    <w:uiPriority w:val="0"/>
    <w:pPr>
      <w:widowControl w:val="0"/>
      <w:adjustRightInd w:val="0"/>
      <w:spacing w:line="480" w:lineRule="exact"/>
      <w:ind w:left="600" w:leftChars="250" w:firstLine="480" w:firstLineChars="200"/>
      <w:textAlignment w:val="baseline"/>
    </w:pPr>
    <w:rPr>
      <w:rFonts w:ascii="宋体" w:hAnsi="宋体" w:eastAsia="宋体"/>
      <w:sz w:val="24"/>
      <w:szCs w:val="24"/>
    </w:rPr>
  </w:style>
  <w:style w:type="paragraph" w:customStyle="1" w:styleId="330">
    <w:name w:val="条文 1"/>
    <w:next w:val="1"/>
    <w:qFormat/>
    <w:uiPriority w:val="0"/>
    <w:pPr>
      <w:spacing w:line="310" w:lineRule="exact"/>
      <w:ind w:left="420"/>
    </w:pPr>
    <w:rPr>
      <w:rFonts w:eastAsia="黑体"/>
      <w:sz w:val="21"/>
      <w:lang w:val="en-US" w:eastAsia="zh-CN" w:bidi="ar-SA"/>
    </w:rPr>
  </w:style>
  <w:style w:type="paragraph" w:customStyle="1" w:styleId="331">
    <w:name w:val="*"/>
    <w:basedOn w:val="1"/>
    <w:qFormat/>
    <w:uiPriority w:val="0"/>
    <w:pPr>
      <w:widowControl w:val="0"/>
      <w:spacing w:line="360" w:lineRule="auto"/>
      <w:jc w:val="both"/>
    </w:pPr>
    <w:rPr>
      <w:rFonts w:ascii="宋体" w:hAnsi="宋体" w:eastAsia="宋体"/>
      <w:sz w:val="24"/>
      <w:szCs w:val="24"/>
    </w:rPr>
  </w:style>
  <w:style w:type="paragraph" w:customStyle="1" w:styleId="332">
    <w:name w:val="Sprechblasentext"/>
    <w:basedOn w:val="1"/>
    <w:qFormat/>
    <w:uiPriority w:val="0"/>
    <w:pPr>
      <w:widowControl w:val="0"/>
      <w:spacing w:line="300" w:lineRule="atLeast"/>
      <w:ind w:firstLine="709"/>
      <w:jc w:val="both"/>
    </w:pPr>
    <w:rPr>
      <w:rFonts w:ascii="Tahoma" w:hAnsi="Tahoma" w:eastAsia="宋体" w:cs="Tahoma"/>
      <w:kern w:val="2"/>
      <w:sz w:val="16"/>
      <w:szCs w:val="16"/>
    </w:rPr>
  </w:style>
  <w:style w:type="paragraph" w:customStyle="1" w:styleId="333">
    <w:name w:val="xl43"/>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Arial Unicode MS"/>
      <w:b/>
      <w:bCs/>
      <w:sz w:val="24"/>
      <w:szCs w:val="24"/>
    </w:rPr>
  </w:style>
  <w:style w:type="paragraph" w:customStyle="1" w:styleId="334">
    <w:name w:val="样式22"/>
    <w:basedOn w:val="214"/>
    <w:qFormat/>
    <w:uiPriority w:val="0"/>
    <w:rPr>
      <w:sz w:val="30"/>
      <w:szCs w:val="30"/>
    </w:rPr>
  </w:style>
  <w:style w:type="paragraph" w:customStyle="1" w:styleId="335">
    <w:name w:val="CM1"/>
    <w:basedOn w:val="182"/>
    <w:next w:val="182"/>
    <w:qFormat/>
    <w:uiPriority w:val="0"/>
    <w:rPr>
      <w:rFonts w:cs="Times New Roman"/>
      <w:color w:val="auto"/>
    </w:rPr>
  </w:style>
  <w:style w:type="paragraph" w:customStyle="1" w:styleId="336">
    <w:name w:val="样式 楷体_GB2312 小四 首行缩进:  0.8 厘米 行距: 固定值 28 磅"/>
    <w:basedOn w:val="1"/>
    <w:qFormat/>
    <w:uiPriority w:val="0"/>
    <w:pPr>
      <w:widowControl w:val="0"/>
      <w:spacing w:line="360" w:lineRule="auto"/>
      <w:ind w:left="708" w:leftChars="150" w:firstLine="550" w:firstLineChars="262"/>
      <w:jc w:val="both"/>
      <w:textAlignment w:val="center"/>
    </w:pPr>
    <w:rPr>
      <w:rFonts w:eastAsia="宋体"/>
      <w:kern w:val="2"/>
      <w:sz w:val="21"/>
      <w:szCs w:val="21"/>
    </w:rPr>
  </w:style>
  <w:style w:type="paragraph" w:customStyle="1" w:styleId="337">
    <w:name w:val="font11"/>
    <w:basedOn w:val="1"/>
    <w:qFormat/>
    <w:uiPriority w:val="0"/>
    <w:pPr>
      <w:spacing w:before="100" w:beforeAutospacing="1" w:after="100" w:afterAutospacing="1"/>
    </w:pPr>
    <w:rPr>
      <w:rFonts w:ascii="宋体" w:hAnsi="宋体" w:eastAsia="宋体" w:cs="宋体"/>
      <w:color w:val="000000"/>
      <w:sz w:val="20"/>
      <w:szCs w:val="20"/>
    </w:rPr>
  </w:style>
  <w:style w:type="paragraph" w:customStyle="1" w:styleId="338">
    <w:name w:val="Numbered List"/>
    <w:basedOn w:val="41"/>
    <w:qFormat/>
    <w:uiPriority w:val="0"/>
    <w:pPr>
      <w:pBdr>
        <w:bottom w:val="none" w:color="auto" w:sz="0" w:space="0"/>
      </w:pBdr>
      <w:tabs>
        <w:tab w:val="left" w:pos="360"/>
        <w:tab w:val="clear" w:pos="4153"/>
        <w:tab w:val="clear" w:pos="8306"/>
      </w:tabs>
      <w:snapToGrid/>
      <w:spacing w:line="360" w:lineRule="auto"/>
      <w:ind w:left="360" w:leftChars="150" w:hanging="360" w:hangingChars="187"/>
      <w:jc w:val="left"/>
      <w:textAlignment w:val="center"/>
    </w:pPr>
    <w:rPr>
      <w:rFonts w:ascii="Univers" w:hAnsi="Univers" w:eastAsia="宋体"/>
      <w:sz w:val="22"/>
      <w:szCs w:val="20"/>
    </w:rPr>
  </w:style>
  <w:style w:type="paragraph" w:customStyle="1" w:styleId="339">
    <w:name w:val="标题3"/>
    <w:basedOn w:val="4"/>
    <w:qFormat/>
    <w:uiPriority w:val="0"/>
    <w:pPr>
      <w:widowControl w:val="0"/>
      <w:tabs>
        <w:tab w:val="left" w:pos="360"/>
        <w:tab w:val="left" w:pos="840"/>
        <w:tab w:val="left" w:pos="2160"/>
      </w:tabs>
      <w:adjustRightInd w:val="0"/>
      <w:spacing w:before="0" w:after="0"/>
      <w:jc w:val="both"/>
      <w:textAlignment w:val="baseline"/>
    </w:pPr>
    <w:rPr>
      <w:b w:val="0"/>
      <w:kern w:val="0"/>
      <w:sz w:val="24"/>
      <w:szCs w:val="20"/>
    </w:rPr>
  </w:style>
  <w:style w:type="paragraph" w:customStyle="1" w:styleId="340">
    <w:name w:val="Char2"/>
    <w:basedOn w:val="1"/>
    <w:qFormat/>
    <w:uiPriority w:val="0"/>
    <w:pPr>
      <w:widowControl w:val="0"/>
      <w:tabs>
        <w:tab w:val="left" w:pos="432"/>
      </w:tabs>
      <w:ind w:left="432" w:hanging="432"/>
      <w:jc w:val="both"/>
    </w:pPr>
    <w:rPr>
      <w:rFonts w:eastAsia="宋体"/>
      <w:kern w:val="2"/>
      <w:sz w:val="24"/>
      <w:szCs w:val="24"/>
    </w:rPr>
  </w:style>
  <w:style w:type="paragraph" w:customStyle="1" w:styleId="341">
    <w:name w:val="标题2 Char"/>
    <w:basedOn w:val="3"/>
    <w:qFormat/>
    <w:uiPriority w:val="0"/>
    <w:pPr>
      <w:widowControl w:val="0"/>
      <w:tabs>
        <w:tab w:val="left" w:pos="709"/>
      </w:tabs>
      <w:adjustRightInd w:val="0"/>
      <w:spacing w:before="0" w:after="0" w:line="360" w:lineRule="auto"/>
      <w:ind w:left="709" w:hanging="709"/>
      <w:jc w:val="both"/>
      <w:textAlignment w:val="baseline"/>
    </w:pPr>
    <w:rPr>
      <w:rFonts w:ascii="Arial" w:hAnsi="Arial" w:eastAsia="仿宋_GB2312" w:cs="Arial"/>
      <w:b w:val="0"/>
      <w:bCs w:val="0"/>
      <w:sz w:val="21"/>
      <w:szCs w:val="24"/>
    </w:rPr>
  </w:style>
  <w:style w:type="paragraph" w:customStyle="1" w:styleId="342">
    <w:name w:val="xl41"/>
    <w:basedOn w:val="1"/>
    <w:qFormat/>
    <w:uiPriority w:val="0"/>
    <w:pPr>
      <w:pBdr>
        <w:top w:val="single" w:color="auto" w:sz="8" w:space="0"/>
        <w:left w:val="single" w:color="auto" w:sz="8" w:space="0"/>
        <w:right w:val="single" w:color="auto" w:sz="8" w:space="0"/>
      </w:pBdr>
      <w:spacing w:before="100" w:beforeAutospacing="1" w:after="100" w:afterAutospacing="1"/>
      <w:jc w:val="both"/>
    </w:pPr>
    <w:rPr>
      <w:rFonts w:eastAsia="宋体"/>
      <w:sz w:val="21"/>
      <w:szCs w:val="21"/>
    </w:rPr>
  </w:style>
  <w:style w:type="paragraph" w:customStyle="1" w:styleId="343">
    <w:name w:val="t1"/>
    <w:basedOn w:val="1"/>
    <w:qFormat/>
    <w:uiPriority w:val="0"/>
    <w:pPr>
      <w:widowControl w:val="0"/>
      <w:tabs>
        <w:tab w:val="left" w:pos="420"/>
        <w:tab w:val="left" w:pos="879"/>
      </w:tabs>
      <w:spacing w:after="120" w:line="360" w:lineRule="auto"/>
      <w:ind w:left="1155" w:hanging="215"/>
      <w:jc w:val="both"/>
    </w:pPr>
    <w:rPr>
      <w:rFonts w:ascii="宋体" w:eastAsia="宋体"/>
      <w:kern w:val="2"/>
      <w:sz w:val="24"/>
      <w:szCs w:val="20"/>
    </w:rPr>
  </w:style>
  <w:style w:type="paragraph" w:customStyle="1" w:styleId="344">
    <w:name w:val="xl40"/>
    <w:basedOn w:val="1"/>
    <w:qFormat/>
    <w:uiPriority w:val="0"/>
    <w:pPr>
      <w:pBdr>
        <w:top w:val="single" w:color="auto" w:sz="4" w:space="0"/>
        <w:bottom w:val="single" w:color="auto" w:sz="4" w:space="0"/>
      </w:pBdr>
      <w:spacing w:before="100" w:beforeAutospacing="1" w:after="100" w:afterAutospacing="1"/>
    </w:pPr>
    <w:rPr>
      <w:rFonts w:eastAsia="宋体"/>
      <w:sz w:val="24"/>
      <w:szCs w:val="24"/>
    </w:rPr>
  </w:style>
  <w:style w:type="paragraph" w:customStyle="1" w:styleId="345">
    <w:name w:val="应答文本 Char Char Char Char Char"/>
    <w:basedOn w:val="1"/>
    <w:qFormat/>
    <w:uiPriority w:val="0"/>
    <w:pPr>
      <w:widowControl w:val="0"/>
      <w:adjustRightInd w:val="0"/>
      <w:spacing w:afterLines="50" w:line="320" w:lineRule="exact"/>
      <w:ind w:left="300" w:leftChars="300" w:firstLine="200" w:firstLineChars="200"/>
    </w:pPr>
    <w:rPr>
      <w:rFonts w:ascii="Arial" w:hAnsi="Arial" w:eastAsia="楷体_GB2312" w:cs="宋体"/>
      <w:spacing w:val="10"/>
      <w:kern w:val="2"/>
      <w:sz w:val="21"/>
      <w:szCs w:val="24"/>
    </w:rPr>
  </w:style>
  <w:style w:type="paragraph" w:customStyle="1" w:styleId="346">
    <w:name w:val="样式18"/>
    <w:basedOn w:val="32"/>
    <w:qFormat/>
    <w:uiPriority w:val="0"/>
    <w:pPr>
      <w:spacing w:line="480" w:lineRule="exact"/>
      <w:ind w:firstLine="480" w:firstLineChars="200"/>
    </w:pPr>
    <w:rPr>
      <w:rFonts w:hAnsi="宋体"/>
      <w:sz w:val="24"/>
      <w:szCs w:val="24"/>
    </w:rPr>
  </w:style>
  <w:style w:type="paragraph" w:customStyle="1" w:styleId="347">
    <w:name w:val="末级 Char"/>
    <w:basedOn w:val="1"/>
    <w:qFormat/>
    <w:uiPriority w:val="0"/>
    <w:pPr>
      <w:widowControl w:val="0"/>
      <w:tabs>
        <w:tab w:val="left" w:pos="851"/>
      </w:tabs>
      <w:spacing w:line="360" w:lineRule="auto"/>
      <w:jc w:val="both"/>
    </w:pPr>
    <w:rPr>
      <w:rFonts w:eastAsia="宋体"/>
      <w:kern w:val="2"/>
      <w:sz w:val="24"/>
      <w:szCs w:val="24"/>
    </w:rPr>
  </w:style>
  <w:style w:type="paragraph" w:customStyle="1" w:styleId="348">
    <w:name w:val="xl45"/>
    <w:basedOn w:val="1"/>
    <w:qFormat/>
    <w:uiPriority w:val="0"/>
    <w:pPr>
      <w:pBdr>
        <w:top w:val="single" w:color="auto" w:sz="8" w:space="0"/>
        <w:left w:val="single" w:color="auto" w:sz="4" w:space="0"/>
        <w:bottom w:val="single" w:color="auto" w:sz="4" w:space="0"/>
        <w:right w:val="single" w:color="auto" w:sz="8" w:space="0"/>
      </w:pBdr>
      <w:spacing w:before="100" w:beforeAutospacing="1" w:after="100" w:afterAutospacing="1"/>
      <w:textAlignment w:val="center"/>
    </w:pPr>
    <w:rPr>
      <w:rFonts w:ascii="Arial Unicode MS" w:hAnsi="Arial Unicode MS" w:eastAsia="Arial Unicode MS" w:cs="Arial Unicode MS"/>
      <w:b/>
      <w:bCs/>
      <w:sz w:val="24"/>
      <w:szCs w:val="24"/>
    </w:rPr>
  </w:style>
  <w:style w:type="paragraph" w:customStyle="1" w:styleId="349">
    <w:name w:val="批注主题[858D7CFB-ED40-4347-BF05-701D383B685F][858D7CFB-ED40-4347-BF05-701D383B685F]"/>
    <w:basedOn w:val="19"/>
    <w:next w:val="19"/>
    <w:qFormat/>
    <w:uiPriority w:val="0"/>
    <w:pPr>
      <w:widowControl w:val="0"/>
    </w:pPr>
    <w:rPr>
      <w:rFonts w:eastAsia="宋体"/>
      <w:b/>
      <w:bCs/>
      <w:sz w:val="21"/>
      <w:szCs w:val="20"/>
    </w:rPr>
  </w:style>
  <w:style w:type="paragraph" w:customStyle="1" w:styleId="350">
    <w:name w:val="样式9"/>
    <w:basedOn w:val="1"/>
    <w:qFormat/>
    <w:uiPriority w:val="0"/>
    <w:pPr>
      <w:widowControl w:val="0"/>
      <w:adjustRightInd w:val="0"/>
      <w:spacing w:line="480" w:lineRule="exact"/>
      <w:ind w:firstLine="480" w:firstLineChars="200"/>
      <w:textAlignment w:val="baseline"/>
    </w:pPr>
    <w:rPr>
      <w:rFonts w:ascii="宋体" w:hAnsi="宋体" w:eastAsia="宋体"/>
      <w:sz w:val="24"/>
      <w:szCs w:val="24"/>
    </w:rPr>
  </w:style>
  <w:style w:type="paragraph" w:customStyle="1" w:styleId="351">
    <w:name w:val="楷体"/>
    <w:basedOn w:val="1"/>
    <w:qFormat/>
    <w:uiPriority w:val="0"/>
    <w:pPr>
      <w:widowControl w:val="0"/>
      <w:jc w:val="both"/>
    </w:pPr>
    <w:rPr>
      <w:rFonts w:ascii="仿宋_GB2312" w:hAnsi="宋体" w:eastAsia="楷体_GB2312"/>
      <w:kern w:val="2"/>
      <w:sz w:val="32"/>
      <w:szCs w:val="24"/>
    </w:rPr>
  </w:style>
  <w:style w:type="paragraph" w:customStyle="1" w:styleId="352">
    <w:name w:val="列表框2"/>
    <w:basedOn w:val="219"/>
    <w:qFormat/>
    <w:uiPriority w:val="0"/>
    <w:pPr>
      <w:tabs>
        <w:tab w:val="left" w:pos="1260"/>
      </w:tabs>
      <w:ind w:left="2859" w:leftChars="810" w:right="-12" w:hanging="915" w:hangingChars="398"/>
    </w:pPr>
  </w:style>
  <w:style w:type="paragraph" w:customStyle="1" w:styleId="353">
    <w:name w:val="级别3"/>
    <w:basedOn w:val="262"/>
    <w:qFormat/>
    <w:uiPriority w:val="0"/>
    <w:pPr>
      <w:outlineLvl w:val="2"/>
    </w:pPr>
    <w:rPr>
      <w:b w:val="0"/>
    </w:rPr>
  </w:style>
  <w:style w:type="paragraph" w:customStyle="1" w:styleId="354">
    <w:name w:val="落款样式"/>
    <w:basedOn w:val="1"/>
    <w:qFormat/>
    <w:uiPriority w:val="0"/>
    <w:pPr>
      <w:widowControl w:val="0"/>
      <w:ind w:left="2465" w:firstLine="420"/>
    </w:pPr>
    <w:rPr>
      <w:rFonts w:eastAsia="宋体" w:cs="宋体"/>
      <w:sz w:val="24"/>
      <w:szCs w:val="20"/>
    </w:rPr>
  </w:style>
  <w:style w:type="paragraph" w:customStyle="1" w:styleId="355">
    <w:name w:val="CM9"/>
    <w:basedOn w:val="182"/>
    <w:next w:val="182"/>
    <w:qFormat/>
    <w:uiPriority w:val="0"/>
    <w:pPr>
      <w:spacing w:line="540" w:lineRule="atLeast"/>
    </w:pPr>
    <w:rPr>
      <w:rFonts w:cs="Times New Roman"/>
      <w:color w:val="auto"/>
    </w:rPr>
  </w:style>
  <w:style w:type="paragraph" w:customStyle="1" w:styleId="356">
    <w:name w:val="p0"/>
    <w:basedOn w:val="1"/>
    <w:qFormat/>
    <w:uiPriority w:val="0"/>
    <w:pPr>
      <w:jc w:val="both"/>
    </w:pPr>
    <w:rPr>
      <w:rFonts w:eastAsia="宋体"/>
      <w:sz w:val="21"/>
      <w:szCs w:val="21"/>
    </w:rPr>
  </w:style>
  <w:style w:type="paragraph" w:customStyle="1" w:styleId="357">
    <w:name w:val="样式 首行缩进:  2 字符"/>
    <w:basedOn w:val="1"/>
    <w:qFormat/>
    <w:uiPriority w:val="0"/>
    <w:pPr>
      <w:widowControl w:val="0"/>
      <w:spacing w:line="480" w:lineRule="exact"/>
      <w:ind w:left="708" w:leftChars="150" w:firstLine="480" w:firstLineChars="200"/>
      <w:jc w:val="both"/>
      <w:textAlignment w:val="center"/>
    </w:pPr>
    <w:rPr>
      <w:rFonts w:eastAsia="宋体" w:cs="宋体"/>
      <w:kern w:val="2"/>
      <w:sz w:val="24"/>
      <w:szCs w:val="21"/>
    </w:rPr>
  </w:style>
  <w:style w:type="paragraph" w:customStyle="1" w:styleId="358">
    <w:name w:val="标题2"/>
    <w:basedOn w:val="1"/>
    <w:qFormat/>
    <w:uiPriority w:val="0"/>
    <w:pPr>
      <w:widowControl w:val="0"/>
      <w:ind w:left="420"/>
      <w:jc w:val="both"/>
    </w:pPr>
    <w:rPr>
      <w:rFonts w:eastAsia="宋体"/>
      <w:kern w:val="2"/>
      <w:sz w:val="21"/>
      <w:szCs w:val="24"/>
    </w:rPr>
  </w:style>
  <w:style w:type="paragraph" w:customStyle="1" w:styleId="359">
    <w:name w:val="表格文字"/>
    <w:qFormat/>
    <w:uiPriority w:val="0"/>
    <w:pPr>
      <w:adjustRightInd w:val="0"/>
      <w:snapToGrid w:val="0"/>
      <w:jc w:val="both"/>
    </w:pPr>
    <w:rPr>
      <w:rFonts w:ascii="宋体" w:hAnsi="宋体" w:cs="宋体"/>
      <w:kern w:val="2"/>
      <w:sz w:val="21"/>
      <w:szCs w:val="21"/>
      <w:lang w:val="en-US" w:eastAsia="zh-CN" w:bidi="ar-SA"/>
    </w:rPr>
  </w:style>
  <w:style w:type="paragraph" w:customStyle="1" w:styleId="360">
    <w:name w:val="样式 标题 2标题 1.1head:2#2 headlinehheadlineS&amp;R2ERMH2Head 2 +..."/>
    <w:basedOn w:val="3"/>
    <w:qFormat/>
    <w:uiPriority w:val="0"/>
    <w:pPr>
      <w:widowControl w:val="0"/>
      <w:tabs>
        <w:tab w:val="left" w:pos="907"/>
      </w:tabs>
      <w:autoSpaceDE w:val="0"/>
      <w:autoSpaceDN w:val="0"/>
      <w:adjustRightInd w:val="0"/>
      <w:spacing w:before="120" w:after="120" w:line="360" w:lineRule="auto"/>
      <w:ind w:left="907" w:hanging="907"/>
      <w:jc w:val="center"/>
      <w:textAlignment w:val="baseline"/>
    </w:pPr>
    <w:rPr>
      <w:rFonts w:ascii="Arial" w:hAnsi="Arial" w:eastAsia="宋体" w:cs="Times New Roman"/>
      <w:sz w:val="24"/>
      <w:szCs w:val="20"/>
    </w:rPr>
  </w:style>
  <w:style w:type="paragraph" w:customStyle="1" w:styleId="361">
    <w:name w:val="浅色网格 - 强调文字颜色 32"/>
    <w:basedOn w:val="1"/>
    <w:qFormat/>
    <w:uiPriority w:val="0"/>
    <w:pPr>
      <w:widowControl w:val="0"/>
      <w:ind w:firstLine="420" w:firstLineChars="200"/>
      <w:jc w:val="both"/>
    </w:pPr>
    <w:rPr>
      <w:rFonts w:ascii="Calibri" w:hAnsi="Calibri" w:eastAsia="宋体"/>
      <w:kern w:val="2"/>
      <w:sz w:val="21"/>
    </w:rPr>
  </w:style>
  <w:style w:type="paragraph" w:customStyle="1" w:styleId="362">
    <w:name w:val="xl74"/>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ascii="黑体" w:hAnsi="宋体" w:eastAsia="黑体" w:cs="宋体"/>
      <w:sz w:val="21"/>
      <w:szCs w:val="21"/>
    </w:rPr>
  </w:style>
  <w:style w:type="paragraph" w:customStyle="1" w:styleId="363">
    <w:name w:val="font7"/>
    <w:basedOn w:val="1"/>
    <w:qFormat/>
    <w:uiPriority w:val="0"/>
    <w:pPr>
      <w:spacing w:before="100" w:beforeAutospacing="1" w:after="100" w:afterAutospacing="1"/>
    </w:pPr>
    <w:rPr>
      <w:rFonts w:ascii="宋体" w:hAnsi="宋体" w:eastAsia="宋体" w:cs="宋体"/>
      <w:sz w:val="21"/>
      <w:szCs w:val="21"/>
    </w:rPr>
  </w:style>
  <w:style w:type="paragraph" w:customStyle="1" w:styleId="364">
    <w:name w:val="批注框文本[858D7CFB-ED40-4347-BF05-701D383B685F][858D7CFB-ED40-4347-BF05-701D383B685F]"/>
    <w:basedOn w:val="1"/>
    <w:qFormat/>
    <w:uiPriority w:val="0"/>
    <w:pPr>
      <w:widowControl w:val="0"/>
      <w:jc w:val="both"/>
    </w:pPr>
    <w:rPr>
      <w:rFonts w:eastAsia="宋体"/>
      <w:kern w:val="2"/>
      <w:sz w:val="18"/>
      <w:szCs w:val="18"/>
    </w:rPr>
  </w:style>
  <w:style w:type="paragraph" w:customStyle="1" w:styleId="365">
    <w:name w:val="样式 标题 2 + (西文) Times New Roman (中文) 仿宋_GB2312 居中 段前: 6 磅 段后:..."/>
    <w:basedOn w:val="3"/>
    <w:qFormat/>
    <w:uiPriority w:val="0"/>
    <w:pPr>
      <w:widowControl w:val="0"/>
      <w:spacing w:before="120" w:after="156" w:afterLines="50" w:line="360" w:lineRule="auto"/>
      <w:ind w:left="708" w:leftChars="150" w:firstLine="200" w:firstLineChars="200"/>
      <w:textAlignment w:val="center"/>
    </w:pPr>
    <w:rPr>
      <w:rFonts w:ascii="Times New Roman" w:hAnsi="Times New Roman" w:eastAsia="仿宋_GB2312" w:cs="宋体"/>
      <w:bCs w:val="0"/>
      <w:kern w:val="2"/>
      <w:szCs w:val="20"/>
    </w:rPr>
  </w:style>
  <w:style w:type="paragraph" w:customStyle="1" w:styleId="366">
    <w:name w:val="四号线第五级"/>
    <w:basedOn w:val="1"/>
    <w:qFormat/>
    <w:uiPriority w:val="0"/>
    <w:pPr>
      <w:widowControl w:val="0"/>
      <w:ind w:left="-123"/>
      <w:jc w:val="both"/>
    </w:pPr>
    <w:rPr>
      <w:rFonts w:eastAsia="宋体"/>
      <w:kern w:val="2"/>
      <w:sz w:val="21"/>
      <w:szCs w:val="24"/>
    </w:rPr>
  </w:style>
  <w:style w:type="paragraph" w:customStyle="1" w:styleId="367">
    <w:name w:val="目录文字"/>
    <w:basedOn w:val="1"/>
    <w:qFormat/>
    <w:uiPriority w:val="0"/>
    <w:pPr>
      <w:spacing w:line="480" w:lineRule="auto"/>
      <w:ind w:left="708" w:leftChars="150" w:hanging="393" w:hangingChars="187"/>
      <w:textAlignment w:val="center"/>
    </w:pPr>
    <w:rPr>
      <w:rFonts w:ascii="宋体" w:hAnsi="宋体" w:eastAsia="宋体"/>
      <w:kern w:val="2"/>
      <w:sz w:val="24"/>
      <w:szCs w:val="21"/>
    </w:rPr>
  </w:style>
  <w:style w:type="paragraph" w:customStyle="1" w:styleId="368">
    <w:name w:val="条文 4"/>
    <w:next w:val="1"/>
    <w:qFormat/>
    <w:uiPriority w:val="0"/>
    <w:pPr>
      <w:spacing w:line="310" w:lineRule="exact"/>
    </w:pPr>
    <w:rPr>
      <w:rFonts w:eastAsia="黑体"/>
      <w:sz w:val="21"/>
      <w:lang w:val="en-US" w:eastAsia="zh-CN" w:bidi="ar-SA"/>
    </w:rPr>
  </w:style>
  <w:style w:type="paragraph" w:customStyle="1" w:styleId="369">
    <w:name w:val="批注框文本1"/>
    <w:basedOn w:val="1"/>
    <w:qFormat/>
    <w:uiPriority w:val="0"/>
    <w:pPr>
      <w:widowControl w:val="0"/>
      <w:jc w:val="both"/>
    </w:pPr>
    <w:rPr>
      <w:rFonts w:eastAsia="宋体"/>
      <w:kern w:val="2"/>
      <w:sz w:val="16"/>
      <w:szCs w:val="16"/>
    </w:rPr>
  </w:style>
  <w:style w:type="paragraph" w:customStyle="1" w:styleId="370">
    <w:name w:val="xl6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top"/>
    </w:pPr>
    <w:rPr>
      <w:rFonts w:ascii="宋体" w:hAnsi="宋体" w:eastAsia="宋体" w:cs="宋体"/>
      <w:sz w:val="20"/>
      <w:szCs w:val="20"/>
    </w:rPr>
  </w:style>
  <w:style w:type="paragraph" w:customStyle="1" w:styleId="371">
    <w:name w:val="4正文 Char"/>
    <w:basedOn w:val="1"/>
    <w:qFormat/>
    <w:uiPriority w:val="0"/>
    <w:pPr>
      <w:widowControl w:val="0"/>
      <w:tabs>
        <w:tab w:val="left" w:pos="6720"/>
      </w:tabs>
      <w:spacing w:line="360" w:lineRule="auto"/>
      <w:ind w:left="708" w:leftChars="150" w:firstLine="480" w:firstLineChars="200"/>
      <w:jc w:val="both"/>
      <w:textAlignment w:val="center"/>
    </w:pPr>
    <w:rPr>
      <w:rFonts w:hAnsi="宋体" w:eastAsia="宋体"/>
      <w:kern w:val="2"/>
      <w:sz w:val="24"/>
      <w:szCs w:val="24"/>
    </w:rPr>
  </w:style>
  <w:style w:type="paragraph" w:customStyle="1" w:styleId="372">
    <w:name w:val="三点段 Char"/>
    <w:basedOn w:val="1"/>
    <w:qFormat/>
    <w:uiPriority w:val="0"/>
    <w:pPr>
      <w:widowControl w:val="0"/>
      <w:spacing w:line="360" w:lineRule="auto"/>
      <w:ind w:left="1200" w:hanging="1200" w:hangingChars="500"/>
      <w:jc w:val="both"/>
    </w:pPr>
    <w:rPr>
      <w:rFonts w:hint="eastAsia" w:ascii="宋体" w:eastAsia="宋体"/>
      <w:kern w:val="2"/>
      <w:sz w:val="24"/>
      <w:szCs w:val="24"/>
    </w:rPr>
  </w:style>
  <w:style w:type="paragraph" w:customStyle="1" w:styleId="373">
    <w:name w:val="合同书"/>
    <w:basedOn w:val="1"/>
    <w:qFormat/>
    <w:uiPriority w:val="0"/>
    <w:pPr>
      <w:widowControl w:val="0"/>
      <w:spacing w:afterLines="100"/>
      <w:jc w:val="center"/>
    </w:pPr>
    <w:rPr>
      <w:rFonts w:hAnsi="宋体" w:eastAsia="宋体"/>
      <w:b/>
      <w:color w:val="000000"/>
      <w:kern w:val="2"/>
      <w:sz w:val="44"/>
      <w:szCs w:val="44"/>
    </w:rPr>
  </w:style>
  <w:style w:type="paragraph" w:customStyle="1" w:styleId="374">
    <w:name w:val="xl39"/>
    <w:basedOn w:val="1"/>
    <w:qFormat/>
    <w:uiPriority w:val="0"/>
    <w:pPr>
      <w:pBdr>
        <w:top w:val="single" w:color="auto" w:sz="4" w:space="0"/>
        <w:bottom w:val="single" w:color="auto" w:sz="4" w:space="0"/>
      </w:pBdr>
      <w:spacing w:before="100" w:beforeAutospacing="1" w:after="100" w:afterAutospacing="1"/>
    </w:pPr>
    <w:rPr>
      <w:rFonts w:eastAsia="宋体"/>
      <w:sz w:val="24"/>
      <w:szCs w:val="24"/>
    </w:rPr>
  </w:style>
  <w:style w:type="paragraph" w:customStyle="1" w:styleId="375">
    <w:name w:val="样式4"/>
    <w:basedOn w:val="1"/>
    <w:qFormat/>
    <w:uiPriority w:val="0"/>
    <w:pPr>
      <w:widowControl w:val="0"/>
      <w:tabs>
        <w:tab w:val="center" w:pos="4320"/>
        <w:tab w:val="right" w:pos="8640"/>
      </w:tabs>
      <w:spacing w:line="480" w:lineRule="atLeast"/>
      <w:ind w:left="708" w:leftChars="150" w:hanging="393" w:hangingChars="187"/>
      <w:jc w:val="both"/>
      <w:textAlignment w:val="center"/>
    </w:pPr>
    <w:rPr>
      <w:rFonts w:eastAsia="宋体"/>
      <w:b/>
      <w:kern w:val="2"/>
      <w:sz w:val="21"/>
      <w:szCs w:val="24"/>
    </w:rPr>
  </w:style>
  <w:style w:type="paragraph" w:customStyle="1" w:styleId="376">
    <w:name w:val="样式 标题2 + 字距调整8 磅"/>
    <w:basedOn w:val="341"/>
    <w:qFormat/>
    <w:uiPriority w:val="0"/>
    <w:rPr>
      <w:kern w:val="16"/>
    </w:rPr>
  </w:style>
  <w:style w:type="paragraph" w:customStyle="1" w:styleId="377">
    <w:name w:val="样式 标题 2 + Times New Roman 四号 非加粗 段前: 5 磅 段后: 0 磅 行距: 固定值 20..."/>
    <w:basedOn w:val="3"/>
    <w:qFormat/>
    <w:uiPriority w:val="0"/>
    <w:pPr>
      <w:widowControl w:val="0"/>
      <w:spacing w:before="100" w:after="0" w:line="400" w:lineRule="exact"/>
      <w:jc w:val="both"/>
    </w:pPr>
    <w:rPr>
      <w:rFonts w:ascii="Times New Roman" w:hAnsi="Times New Roman" w:eastAsia="黑体" w:cs="宋体"/>
      <w:b w:val="0"/>
      <w:bCs w:val="0"/>
      <w:kern w:val="2"/>
      <w:sz w:val="28"/>
      <w:szCs w:val="20"/>
    </w:rPr>
  </w:style>
  <w:style w:type="paragraph" w:customStyle="1" w:styleId="378">
    <w:name w:val="通用"/>
    <w:basedOn w:val="1"/>
    <w:qFormat/>
    <w:uiPriority w:val="0"/>
    <w:pPr>
      <w:widowControl w:val="0"/>
      <w:spacing w:line="360" w:lineRule="auto"/>
      <w:ind w:left="840" w:leftChars="400"/>
      <w:jc w:val="both"/>
    </w:pPr>
    <w:rPr>
      <w:rFonts w:ascii="宋体" w:hAnsi="宋体" w:eastAsia="宋体"/>
      <w:kern w:val="2"/>
      <w:sz w:val="21"/>
      <w:szCs w:val="20"/>
    </w:rPr>
  </w:style>
  <w:style w:type="paragraph" w:customStyle="1" w:styleId="379">
    <w:name w:val="标书正文"/>
    <w:basedOn w:val="1"/>
    <w:qFormat/>
    <w:uiPriority w:val="0"/>
    <w:pPr>
      <w:widowControl w:val="0"/>
      <w:spacing w:before="100" w:after="100" w:line="360" w:lineRule="auto"/>
      <w:ind w:firstLine="359" w:firstLineChars="171"/>
      <w:jc w:val="both"/>
    </w:pPr>
    <w:rPr>
      <w:rFonts w:ascii="宋体" w:hAnsi="宋体" w:eastAsia="宋体"/>
      <w:bCs/>
      <w:color w:val="000000"/>
      <w:kern w:val="2"/>
      <w:sz w:val="21"/>
      <w:szCs w:val="21"/>
    </w:rPr>
  </w:style>
  <w:style w:type="paragraph" w:customStyle="1" w:styleId="380">
    <w:name w:val="xl2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sz w:val="24"/>
      <w:szCs w:val="24"/>
    </w:rPr>
  </w:style>
  <w:style w:type="paragraph" w:customStyle="1" w:styleId="381">
    <w:name w:val="font0"/>
    <w:basedOn w:val="1"/>
    <w:qFormat/>
    <w:uiPriority w:val="0"/>
    <w:pPr>
      <w:spacing w:before="100" w:beforeAutospacing="1" w:after="100" w:afterAutospacing="1"/>
    </w:pPr>
    <w:rPr>
      <w:rFonts w:ascii="Arial" w:hAnsi="Arial" w:eastAsia="宋体" w:cs="Arial"/>
      <w:sz w:val="20"/>
      <w:szCs w:val="20"/>
    </w:rPr>
  </w:style>
  <w:style w:type="paragraph" w:customStyle="1" w:styleId="382">
    <w:name w:val="表头字体设置"/>
    <w:basedOn w:val="309"/>
    <w:qFormat/>
    <w:uiPriority w:val="0"/>
    <w:rPr>
      <w:b/>
    </w:rPr>
  </w:style>
  <w:style w:type="paragraph" w:customStyle="1" w:styleId="383">
    <w:name w:val="CM56"/>
    <w:basedOn w:val="182"/>
    <w:next w:val="182"/>
    <w:qFormat/>
    <w:uiPriority w:val="0"/>
    <w:rPr>
      <w:rFonts w:cs="Times New Roman"/>
      <w:color w:val="auto"/>
    </w:rPr>
  </w:style>
  <w:style w:type="paragraph" w:customStyle="1" w:styleId="384">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20"/>
      <w:szCs w:val="20"/>
    </w:rPr>
  </w:style>
  <w:style w:type="paragraph" w:customStyle="1" w:styleId="385">
    <w:name w:val="Char"/>
    <w:basedOn w:val="1"/>
    <w:qFormat/>
    <w:uiPriority w:val="0"/>
    <w:pPr>
      <w:widowControl w:val="0"/>
      <w:spacing w:line="360" w:lineRule="auto"/>
      <w:ind w:left="708" w:leftChars="150" w:hanging="393" w:hangingChars="187"/>
      <w:jc w:val="both"/>
      <w:textAlignment w:val="center"/>
    </w:pPr>
    <w:rPr>
      <w:rFonts w:ascii="仿宋_GB2312" w:eastAsia="仿宋_GB2312"/>
      <w:b/>
      <w:kern w:val="2"/>
      <w:sz w:val="32"/>
      <w:szCs w:val="32"/>
    </w:rPr>
  </w:style>
  <w:style w:type="paragraph" w:customStyle="1" w:styleId="386">
    <w:name w:val="一"/>
    <w:basedOn w:val="2"/>
    <w:qFormat/>
    <w:uiPriority w:val="0"/>
    <w:pPr>
      <w:keepLines/>
      <w:widowControl w:val="0"/>
      <w:tabs>
        <w:tab w:val="left" w:pos="1440"/>
      </w:tabs>
      <w:autoSpaceDE w:val="0"/>
      <w:autoSpaceDN w:val="0"/>
      <w:adjustRightInd w:val="0"/>
      <w:ind w:left="425" w:hanging="425"/>
      <w:jc w:val="left"/>
      <w:textAlignment w:val="auto"/>
    </w:pPr>
    <w:rPr>
      <w:rFonts w:ascii="宋体" w:hAnsi="宋体"/>
      <w:bCs/>
      <w:kern w:val="0"/>
      <w:sz w:val="28"/>
      <w:szCs w:val="20"/>
    </w:rPr>
  </w:style>
  <w:style w:type="paragraph" w:customStyle="1" w:styleId="387">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sz w:val="24"/>
      <w:szCs w:val="24"/>
    </w:rPr>
  </w:style>
  <w:style w:type="paragraph" w:customStyle="1" w:styleId="388">
    <w:name w:val="1"/>
    <w:basedOn w:val="1"/>
    <w:qFormat/>
    <w:uiPriority w:val="0"/>
    <w:pPr>
      <w:widowControl w:val="0"/>
      <w:spacing w:afterLines="50" w:line="360" w:lineRule="auto"/>
      <w:jc w:val="center"/>
    </w:pPr>
    <w:rPr>
      <w:rFonts w:ascii="宋体" w:hAnsi="宋体" w:eastAsia="宋体"/>
      <w:b/>
      <w:kern w:val="2"/>
      <w:sz w:val="30"/>
      <w:szCs w:val="30"/>
    </w:rPr>
  </w:style>
  <w:style w:type="paragraph" w:customStyle="1" w:styleId="389">
    <w:name w:val="样式 标题 3Char标题 3 Char + 左"/>
    <w:basedOn w:val="4"/>
    <w:qFormat/>
    <w:uiPriority w:val="0"/>
    <w:pPr>
      <w:widowControl w:val="0"/>
      <w:tabs>
        <w:tab w:val="left" w:pos="1200"/>
        <w:tab w:val="left" w:pos="1486"/>
      </w:tabs>
      <w:spacing w:before="260" w:beforeLines="50" w:after="0" w:line="440" w:lineRule="exact"/>
      <w:ind w:left="1486" w:hanging="709"/>
      <w:jc w:val="left"/>
      <w:textAlignment w:val="auto"/>
    </w:pPr>
    <w:rPr>
      <w:rFonts w:ascii="Arial" w:hAnsi="Arial" w:cs="宋体"/>
      <w:b w:val="0"/>
      <w:color w:val="000000"/>
      <w:sz w:val="24"/>
      <w:szCs w:val="20"/>
    </w:rPr>
  </w:style>
  <w:style w:type="paragraph" w:customStyle="1" w:styleId="390">
    <w:name w:val="Char11"/>
    <w:basedOn w:val="1"/>
    <w:qFormat/>
    <w:uiPriority w:val="0"/>
    <w:pPr>
      <w:spacing w:after="160" w:line="240" w:lineRule="exact"/>
      <w:ind w:left="-62" w:right="15" w:rightChars="15"/>
    </w:pPr>
    <w:rPr>
      <w:rFonts w:eastAsia="宋体"/>
      <w:kern w:val="2"/>
      <w:sz w:val="21"/>
      <w:szCs w:val="20"/>
    </w:rPr>
  </w:style>
  <w:style w:type="paragraph" w:customStyle="1" w:styleId="391">
    <w:name w:val="xl44"/>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Arial Unicode MS"/>
      <w:b/>
      <w:bCs/>
      <w:sz w:val="24"/>
      <w:szCs w:val="24"/>
    </w:rPr>
  </w:style>
  <w:style w:type="paragraph" w:customStyle="1" w:styleId="392">
    <w:name w:val="图名图序"/>
    <w:qFormat/>
    <w:uiPriority w:val="0"/>
    <w:pPr>
      <w:adjustRightInd w:val="0"/>
      <w:spacing w:before="120" w:after="240"/>
      <w:jc w:val="center"/>
    </w:pPr>
    <w:rPr>
      <w:rFonts w:ascii="宋体" w:hAnsi="宋体"/>
      <w:kern w:val="2"/>
      <w:sz w:val="21"/>
      <w:lang w:val="en-US" w:eastAsia="zh-CN" w:bidi="ar-SA"/>
    </w:rPr>
  </w:style>
  <w:style w:type="paragraph" w:customStyle="1" w:styleId="393">
    <w:name w:val="应答文本"/>
    <w:basedOn w:val="1"/>
    <w:qFormat/>
    <w:uiPriority w:val="0"/>
    <w:pPr>
      <w:widowControl w:val="0"/>
      <w:adjustRightInd w:val="0"/>
      <w:spacing w:afterLines="50" w:line="320" w:lineRule="exact"/>
      <w:ind w:left="630" w:leftChars="300" w:firstLine="460" w:firstLineChars="200"/>
      <w:jc w:val="both"/>
    </w:pPr>
    <w:rPr>
      <w:rFonts w:ascii="Arial" w:hAnsi="Arial" w:eastAsia="楷体_GB2312" w:cs="宋体"/>
      <w:spacing w:val="10"/>
      <w:kern w:val="2"/>
      <w:sz w:val="21"/>
      <w:szCs w:val="24"/>
    </w:rPr>
  </w:style>
  <w:style w:type="paragraph" w:customStyle="1" w:styleId="394">
    <w:name w:val="列表框1 Char"/>
    <w:basedOn w:val="1"/>
    <w:next w:val="1"/>
    <w:qFormat/>
    <w:uiPriority w:val="0"/>
    <w:pPr>
      <w:widowControl w:val="0"/>
      <w:tabs>
        <w:tab w:val="left" w:pos="1304"/>
        <w:tab w:val="left" w:pos="2018"/>
        <w:tab w:val="left" w:pos="2086"/>
      </w:tabs>
      <w:adjustRightInd w:val="0"/>
      <w:snapToGrid w:val="0"/>
      <w:spacing w:afterLines="50" w:line="320" w:lineRule="exact"/>
      <w:ind w:left="2031" w:leftChars="665" w:hanging="435" w:hangingChars="189"/>
    </w:pPr>
    <w:rPr>
      <w:rFonts w:ascii="Arial" w:hAnsi="Arial" w:eastAsia="楷体_GB2312" w:cs="Arial"/>
      <w:spacing w:val="10"/>
      <w:kern w:val="2"/>
      <w:sz w:val="21"/>
      <w:szCs w:val="24"/>
    </w:rPr>
  </w:style>
  <w:style w:type="paragraph" w:customStyle="1" w:styleId="395">
    <w:name w:val="xl28"/>
    <w:basedOn w:val="1"/>
    <w:qFormat/>
    <w:uiPriority w:val="0"/>
    <w:pPr>
      <w:spacing w:before="100" w:beforeAutospacing="1" w:after="100" w:afterAutospacing="1"/>
      <w:jc w:val="center"/>
    </w:pPr>
    <w:rPr>
      <w:rFonts w:eastAsia="宋体"/>
      <w:sz w:val="24"/>
      <w:szCs w:val="24"/>
    </w:rPr>
  </w:style>
  <w:style w:type="paragraph" w:customStyle="1" w:styleId="396">
    <w:name w:val="表头样式"/>
    <w:basedOn w:val="220"/>
    <w:qFormat/>
    <w:uiPriority w:val="0"/>
    <w:pPr>
      <w:adjustRightInd w:val="0"/>
      <w:snapToGrid w:val="0"/>
      <w:spacing w:line="300" w:lineRule="exact"/>
    </w:pPr>
    <w:rPr>
      <w:rFonts w:eastAsia="楷体_GB2312" w:cs="宋体"/>
      <w:color w:val="auto"/>
      <w:kern w:val="2"/>
    </w:rPr>
  </w:style>
  <w:style w:type="paragraph" w:customStyle="1" w:styleId="397">
    <w:name w:val="mjd"/>
    <w:basedOn w:val="1"/>
    <w:qFormat/>
    <w:uiPriority w:val="0"/>
    <w:pPr>
      <w:widowControl w:val="0"/>
      <w:tabs>
        <w:tab w:val="left" w:pos="1080"/>
        <w:tab w:val="left" w:pos="6960"/>
      </w:tabs>
      <w:autoSpaceDE w:val="0"/>
      <w:autoSpaceDN w:val="0"/>
      <w:adjustRightInd w:val="0"/>
      <w:spacing w:line="312" w:lineRule="atLeast"/>
      <w:ind w:left="1080" w:hanging="1080"/>
    </w:pPr>
    <w:rPr>
      <w:rFonts w:hint="eastAsia" w:ascii="宋体" w:hAnsi="Tms Rmn" w:eastAsia="宋体"/>
      <w:sz w:val="21"/>
      <w:szCs w:val="20"/>
    </w:rPr>
  </w:style>
  <w:style w:type="paragraph" w:customStyle="1" w:styleId="398">
    <w:name w:val="正文111"/>
    <w:basedOn w:val="1"/>
    <w:qFormat/>
    <w:uiPriority w:val="0"/>
    <w:pPr>
      <w:widowControl w:val="0"/>
      <w:tabs>
        <w:tab w:val="left" w:pos="840"/>
      </w:tabs>
      <w:snapToGrid w:val="0"/>
      <w:spacing w:line="500" w:lineRule="exact"/>
      <w:ind w:left="840" w:hanging="420"/>
      <w:jc w:val="both"/>
    </w:pPr>
    <w:rPr>
      <w:rFonts w:ascii="宋体" w:hAnsi="宋体" w:eastAsia="宋体"/>
      <w:kern w:val="2"/>
      <w:sz w:val="24"/>
      <w:szCs w:val="20"/>
    </w:rPr>
  </w:style>
  <w:style w:type="paragraph" w:customStyle="1" w:styleId="399">
    <w:name w:val="正文 New"/>
    <w:qFormat/>
    <w:uiPriority w:val="0"/>
    <w:pPr>
      <w:widowControl w:val="0"/>
      <w:jc w:val="both"/>
    </w:pPr>
    <w:rPr>
      <w:kern w:val="2"/>
      <w:sz w:val="21"/>
      <w:szCs w:val="24"/>
      <w:lang w:val="en-US" w:eastAsia="zh-CN" w:bidi="ar-SA"/>
    </w:rPr>
  </w:style>
  <w:style w:type="paragraph" w:customStyle="1" w:styleId="400">
    <w:name w:val="条文 5"/>
    <w:next w:val="1"/>
    <w:qFormat/>
    <w:uiPriority w:val="0"/>
    <w:pPr>
      <w:spacing w:line="310" w:lineRule="exact"/>
    </w:pPr>
    <w:rPr>
      <w:rFonts w:eastAsia="黑体"/>
      <w:sz w:val="21"/>
      <w:lang w:val="en-US" w:eastAsia="zh-CN" w:bidi="ar-SA"/>
    </w:rPr>
  </w:style>
  <w:style w:type="paragraph" w:customStyle="1" w:styleId="401">
    <w:name w:val="标题4"/>
    <w:basedOn w:val="1"/>
    <w:next w:val="1"/>
    <w:qFormat/>
    <w:uiPriority w:val="0"/>
    <w:pPr>
      <w:keepNext/>
      <w:widowControl w:val="0"/>
      <w:spacing w:line="360" w:lineRule="auto"/>
      <w:ind w:firstLine="200" w:firstLineChars="200"/>
      <w:outlineLvl w:val="3"/>
    </w:pPr>
    <w:rPr>
      <w:rFonts w:eastAsia="宋体"/>
      <w:b/>
      <w:sz w:val="30"/>
      <w:szCs w:val="24"/>
    </w:rPr>
  </w:style>
  <w:style w:type="paragraph" w:customStyle="1" w:styleId="402">
    <w:name w:val="点项"/>
    <w:basedOn w:val="1"/>
    <w:qFormat/>
    <w:uiPriority w:val="0"/>
    <w:pPr>
      <w:widowControl w:val="0"/>
      <w:spacing w:line="360" w:lineRule="auto"/>
      <w:jc w:val="both"/>
    </w:pPr>
    <w:rPr>
      <w:rFonts w:eastAsia="宋体"/>
      <w:bCs/>
      <w:kern w:val="2"/>
      <w:sz w:val="21"/>
      <w:szCs w:val="24"/>
    </w:rPr>
  </w:style>
  <w:style w:type="paragraph" w:customStyle="1" w:styleId="403">
    <w:name w:val="CM3"/>
    <w:basedOn w:val="182"/>
    <w:next w:val="182"/>
    <w:qFormat/>
    <w:uiPriority w:val="0"/>
    <w:pPr>
      <w:spacing w:line="540" w:lineRule="atLeast"/>
    </w:pPr>
    <w:rPr>
      <w:rFonts w:cs="Times New Roman"/>
      <w:color w:val="auto"/>
    </w:rPr>
  </w:style>
  <w:style w:type="paragraph" w:customStyle="1" w:styleId="404">
    <w:name w:val="正文_0"/>
    <w:qFormat/>
    <w:uiPriority w:val="0"/>
    <w:pPr>
      <w:widowControl w:val="0"/>
      <w:jc w:val="both"/>
    </w:pPr>
    <w:rPr>
      <w:rFonts w:ascii="Calibri" w:hAnsi="Calibri"/>
      <w:kern w:val="2"/>
      <w:sz w:val="21"/>
      <w:szCs w:val="22"/>
      <w:lang w:val="en-US" w:eastAsia="zh-CN" w:bidi="ar-SA"/>
    </w:rPr>
  </w:style>
  <w:style w:type="paragraph" w:customStyle="1" w:styleId="405">
    <w:name w:val="级别6"/>
    <w:basedOn w:val="265"/>
    <w:qFormat/>
    <w:uiPriority w:val="0"/>
    <w:pPr>
      <w:tabs>
        <w:tab w:val="left" w:pos="405"/>
      </w:tabs>
      <w:ind w:left="409" w:hanging="23"/>
      <w:outlineLvl w:val="5"/>
    </w:pPr>
  </w:style>
  <w:style w:type="paragraph" w:customStyle="1" w:styleId="406">
    <w:name w:val="正文缩进1"/>
    <w:basedOn w:val="1"/>
    <w:qFormat/>
    <w:uiPriority w:val="0"/>
    <w:pPr>
      <w:widowControl w:val="0"/>
      <w:autoSpaceDE w:val="0"/>
      <w:autoSpaceDN w:val="0"/>
      <w:adjustRightInd w:val="0"/>
      <w:spacing w:line="360" w:lineRule="atLeast"/>
      <w:ind w:firstLine="420"/>
      <w:jc w:val="both"/>
      <w:textAlignment w:val="baseline"/>
    </w:pPr>
    <w:rPr>
      <w:rFonts w:ascii="宋体" w:hAnsi="Calibri" w:eastAsia="宋体"/>
      <w:kern w:val="2"/>
      <w:sz w:val="24"/>
    </w:rPr>
  </w:style>
  <w:style w:type="paragraph" w:customStyle="1" w:styleId="407">
    <w:name w:val="xl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eastAsia="宋体"/>
      <w:sz w:val="24"/>
      <w:szCs w:val="24"/>
    </w:rPr>
  </w:style>
  <w:style w:type="paragraph" w:customStyle="1" w:styleId="408">
    <w:name w:val="条文 0"/>
    <w:next w:val="1"/>
    <w:qFormat/>
    <w:uiPriority w:val="0"/>
    <w:pPr>
      <w:spacing w:before="240" w:after="240"/>
    </w:pPr>
    <w:rPr>
      <w:rFonts w:eastAsia="黑体"/>
      <w:sz w:val="21"/>
      <w:lang w:val="en-US" w:eastAsia="zh-CN" w:bidi="ar-SA"/>
    </w:rPr>
  </w:style>
  <w:style w:type="paragraph" w:customStyle="1" w:styleId="409">
    <w:name w:val="样式 标题 3 + 仿宋_GB2312 小四 段前: 0 磅 段后: 0 磅"/>
    <w:basedOn w:val="4"/>
    <w:qFormat/>
    <w:uiPriority w:val="0"/>
    <w:pPr>
      <w:widowControl w:val="0"/>
      <w:spacing w:before="50" w:after="0" w:line="415" w:lineRule="auto"/>
      <w:ind w:left="0" w:leftChars="0" w:firstLine="0" w:firstLineChars="0"/>
      <w:textAlignment w:val="auto"/>
    </w:pPr>
    <w:rPr>
      <w:rFonts w:ascii="仿宋_GB2312" w:eastAsia="仿宋_GB2312" w:cs="宋体"/>
      <w:bCs/>
      <w:kern w:val="0"/>
      <w:sz w:val="24"/>
      <w:szCs w:val="20"/>
    </w:rPr>
  </w:style>
  <w:style w:type="paragraph" w:customStyle="1" w:styleId="410">
    <w:name w:val="font6"/>
    <w:basedOn w:val="1"/>
    <w:qFormat/>
    <w:uiPriority w:val="0"/>
    <w:pPr>
      <w:spacing w:before="100" w:beforeAutospacing="1" w:after="100" w:afterAutospacing="1"/>
    </w:pPr>
    <w:rPr>
      <w:rFonts w:hint="eastAsia" w:ascii="宋体" w:hAnsi="宋体" w:eastAsia="宋体"/>
      <w:sz w:val="18"/>
      <w:szCs w:val="18"/>
    </w:rPr>
  </w:style>
  <w:style w:type="paragraph" w:customStyle="1" w:styleId="411">
    <w:name w:val="青岛正文"/>
    <w:basedOn w:val="1"/>
    <w:qFormat/>
    <w:uiPriority w:val="0"/>
    <w:pPr>
      <w:widowControl w:val="0"/>
      <w:spacing w:line="360" w:lineRule="auto"/>
      <w:jc w:val="both"/>
    </w:pPr>
    <w:rPr>
      <w:rFonts w:eastAsia="宋体"/>
      <w:kern w:val="2"/>
      <w:sz w:val="28"/>
      <w:szCs w:val="24"/>
    </w:rPr>
  </w:style>
  <w:style w:type="paragraph" w:customStyle="1" w:styleId="412">
    <w:name w:val="样式 样式 正文段落 + 段前: 0.2 行 + 段前: 0.5 行"/>
    <w:basedOn w:val="1"/>
    <w:qFormat/>
    <w:uiPriority w:val="0"/>
    <w:pPr>
      <w:widowControl w:val="0"/>
      <w:autoSpaceDE w:val="0"/>
      <w:autoSpaceDN w:val="0"/>
      <w:adjustRightInd w:val="0"/>
      <w:snapToGrid w:val="0"/>
      <w:spacing w:beforeLines="20" w:line="540" w:lineRule="exact"/>
      <w:ind w:firstLine="567"/>
      <w:jc w:val="both"/>
      <w:textAlignment w:val="baseline"/>
    </w:pPr>
    <w:rPr>
      <w:rFonts w:ascii="宋体" w:hAnsi="Tms Rmn" w:eastAsia="宋体" w:cs="宋体"/>
      <w:sz w:val="26"/>
      <w:szCs w:val="20"/>
    </w:rPr>
  </w:style>
  <w:style w:type="paragraph" w:customStyle="1" w:styleId="413">
    <w:name w:val="样式15"/>
    <w:basedOn w:val="1"/>
    <w:qFormat/>
    <w:uiPriority w:val="0"/>
    <w:pPr>
      <w:widowControl w:val="0"/>
      <w:adjustRightInd w:val="0"/>
      <w:spacing w:beforeLines="20" w:afterLines="20" w:line="360" w:lineRule="auto"/>
      <w:ind w:firstLine="715" w:firstLineChars="298"/>
      <w:textAlignment w:val="baseline"/>
    </w:pPr>
    <w:rPr>
      <w:rFonts w:ascii="黑体" w:eastAsia="黑体"/>
      <w:sz w:val="24"/>
      <w:szCs w:val="24"/>
    </w:rPr>
  </w:style>
  <w:style w:type="paragraph" w:customStyle="1" w:styleId="414">
    <w:name w:val="CM7"/>
    <w:basedOn w:val="182"/>
    <w:next w:val="182"/>
    <w:qFormat/>
    <w:uiPriority w:val="0"/>
    <w:pPr>
      <w:spacing w:line="628" w:lineRule="atLeast"/>
    </w:pPr>
    <w:rPr>
      <w:rFonts w:cs="Times New Roman"/>
      <w:color w:val="auto"/>
    </w:rPr>
  </w:style>
  <w:style w:type="paragraph" w:customStyle="1" w:styleId="415">
    <w:name w:val="xl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sz w:val="20"/>
      <w:szCs w:val="20"/>
    </w:rPr>
  </w:style>
  <w:style w:type="paragraph" w:customStyle="1" w:styleId="416">
    <w:name w:val="Fließtext"/>
    <w:basedOn w:val="1"/>
    <w:uiPriority w:val="0"/>
    <w:pPr>
      <w:keepNext w:val="0"/>
      <w:keepLines w:val="0"/>
      <w:widowControl w:val="0"/>
      <w:suppressLineNumbers w:val="0"/>
      <w:tabs>
        <w:tab w:val="left" w:pos="560"/>
        <w:tab w:val="right" w:leader="middleDot" w:pos="8400"/>
      </w:tabs>
      <w:overflowPunct w:val="0"/>
      <w:autoSpaceDE w:val="0"/>
      <w:autoSpaceDN w:val="0"/>
      <w:spacing w:before="0" w:beforeAutospacing="0" w:after="0" w:afterAutospacing="0"/>
      <w:ind w:left="0" w:right="0"/>
      <w:jc w:val="both"/>
    </w:pPr>
    <w:rPr>
      <w:rFonts w:hint="default" w:ascii="Calibri" w:hAnsi="Calibri" w:eastAsia="宋体" w:cs="Times New Roman"/>
      <w:kern w:val="28"/>
      <w:sz w:val="21"/>
      <w:szCs w:val="20"/>
      <w:lang w:val="en-US" w:eastAsia="zh-CN" w:bidi="ar"/>
    </w:rPr>
  </w:style>
  <w:style w:type="paragraph" w:styleId="417">
    <w:name w:val=""/>
    <w:unhideWhenUsed/>
    <w:uiPriority w:val="99"/>
    <w:rPr>
      <w:rFonts w:eastAsia="等线"/>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96</Pages>
  <Words>42812</Words>
  <Characters>44896</Characters>
  <Lines>379</Lines>
  <Paragraphs>106</Paragraphs>
  <TotalTime>1</TotalTime>
  <ScaleCrop>false</ScaleCrop>
  <LinksUpToDate>false</LinksUpToDate>
  <CharactersWithSpaces>48330</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2024-01-01T10:56:00Z</dcterms:created>
  <dc:creator>Windows User</dc:creator>
  <cp:lastModifiedBy>一株槲寄生</cp:lastModifiedBy>
  <cp:lastPrinted>2024-05-08T08:00:54Z</cp:lastPrinted>
  <dcterms:modified xsi:type="dcterms:W3CDTF">2024-05-09T08:31:38Z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818A061D29374897AD4E8C148E1B004F_13</vt:lpwstr>
  </property>
</Properties>
</file>