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62FE7">
      <w:pPr>
        <w:pageBreakBefore w:val="0"/>
        <w:tabs>
          <w:tab w:val="left" w:pos="1050"/>
          <w:tab w:val="right" w:leader="dot" w:pos="9402"/>
        </w:tabs>
        <w:kinsoku/>
        <w:overflowPunct/>
        <w:bidi w:val="0"/>
        <w:adjustRightInd w:val="0"/>
        <w:snapToGrid w:val="0"/>
        <w:spacing w:line="360" w:lineRule="auto"/>
        <w:ind w:right="-101" w:rightChars="-48"/>
        <w:jc w:val="center"/>
        <w:rPr>
          <w:rFonts w:ascii="宋体" w:hAnsi="宋体" w:cs="宋体"/>
          <w:b/>
          <w:sz w:val="48"/>
          <w:szCs w:val="48"/>
          <w:highlight w:val="none"/>
        </w:rPr>
      </w:pPr>
    </w:p>
    <w:p w14:paraId="28D36D85">
      <w:pPr>
        <w:pageBreakBefore w:val="0"/>
        <w:tabs>
          <w:tab w:val="left" w:pos="1050"/>
          <w:tab w:val="right" w:leader="dot" w:pos="9402"/>
        </w:tabs>
        <w:kinsoku/>
        <w:overflowPunct/>
        <w:bidi w:val="0"/>
        <w:adjustRightInd w:val="0"/>
        <w:snapToGrid w:val="0"/>
        <w:spacing w:line="360" w:lineRule="auto"/>
        <w:ind w:right="-101" w:rightChars="-48"/>
        <w:jc w:val="center"/>
        <w:rPr>
          <w:rFonts w:ascii="华文新魏" w:eastAsia="华文新魏"/>
          <w:b/>
          <w:sz w:val="100"/>
          <w:szCs w:val="100"/>
          <w:highlight w:val="none"/>
        </w:rPr>
      </w:pPr>
      <w:r>
        <w:rPr>
          <w:rFonts w:hint="eastAsia" w:ascii="宋体" w:hAnsi="宋体" w:cs="宋体"/>
          <w:b/>
          <w:sz w:val="48"/>
          <w:szCs w:val="48"/>
          <w:highlight w:val="none"/>
        </w:rPr>
        <w:t>南通城市轨道交通集团有限公司2025-2027年度招标代理和造价咨询服务框架协议采购项</w:t>
      </w:r>
      <w:r>
        <w:rPr>
          <w:rFonts w:hint="eastAsia" w:ascii="宋体" w:hAnsi="宋体" w:cs="宋体"/>
          <w:b/>
          <w:sz w:val="52"/>
          <w:szCs w:val="52"/>
          <w:highlight w:val="none"/>
        </w:rPr>
        <w:t>目</w:t>
      </w:r>
    </w:p>
    <w:p w14:paraId="3C25CA53">
      <w:pPr>
        <w:pageBreakBefore w:val="0"/>
        <w:kinsoku/>
        <w:overflowPunct/>
        <w:bidi w:val="0"/>
        <w:spacing w:line="360" w:lineRule="auto"/>
        <w:ind w:right="-101" w:rightChars="-48"/>
        <w:jc w:val="center"/>
        <w:rPr>
          <w:rFonts w:ascii="宋体" w:hAnsi="宋体" w:cs="宋体"/>
          <w:b/>
          <w:sz w:val="84"/>
          <w:szCs w:val="84"/>
          <w:highlight w:val="none"/>
        </w:rPr>
      </w:pPr>
    </w:p>
    <w:p w14:paraId="611FF511">
      <w:pPr>
        <w:pageBreakBefore w:val="0"/>
        <w:kinsoku/>
        <w:overflowPunct/>
        <w:bidi w:val="0"/>
        <w:spacing w:line="360" w:lineRule="auto"/>
        <w:ind w:right="-101" w:rightChars="-48"/>
        <w:jc w:val="center"/>
        <w:rPr>
          <w:rFonts w:ascii="宋体" w:hAnsi="宋体" w:cs="宋体"/>
          <w:b/>
          <w:sz w:val="84"/>
          <w:szCs w:val="84"/>
          <w:highlight w:val="none"/>
        </w:rPr>
      </w:pPr>
    </w:p>
    <w:p w14:paraId="6BDD6D26">
      <w:pPr>
        <w:pageBreakBefore w:val="0"/>
        <w:kinsoku/>
        <w:overflowPunct/>
        <w:bidi w:val="0"/>
        <w:spacing w:line="360" w:lineRule="auto"/>
        <w:ind w:right="-101" w:rightChars="-48"/>
        <w:jc w:val="center"/>
        <w:rPr>
          <w:rFonts w:ascii="宋体" w:hAnsi="宋体" w:cs="宋体"/>
          <w:b/>
          <w:sz w:val="32"/>
          <w:szCs w:val="32"/>
          <w:highlight w:val="none"/>
        </w:rPr>
      </w:pPr>
      <w:r>
        <w:rPr>
          <w:rFonts w:hint="eastAsia" w:ascii="宋体" w:hAnsi="宋体" w:cs="宋体"/>
          <w:b/>
          <w:sz w:val="84"/>
          <w:szCs w:val="84"/>
          <w:highlight w:val="none"/>
        </w:rPr>
        <w:t>比选文件</w:t>
      </w:r>
    </w:p>
    <w:p w14:paraId="420A19BE">
      <w:pPr>
        <w:pageBreakBefore w:val="0"/>
        <w:kinsoku/>
        <w:overflowPunct/>
        <w:bidi w:val="0"/>
        <w:spacing w:line="360" w:lineRule="auto"/>
        <w:ind w:right="-101" w:rightChars="-48"/>
        <w:jc w:val="center"/>
        <w:rPr>
          <w:rFonts w:ascii="宋体" w:hAnsi="宋体" w:cs="宋体"/>
          <w:b/>
          <w:sz w:val="32"/>
          <w:szCs w:val="32"/>
          <w:highlight w:val="none"/>
        </w:rPr>
      </w:pPr>
    </w:p>
    <w:p w14:paraId="4761AAA4">
      <w:pPr>
        <w:pageBreakBefore w:val="0"/>
        <w:kinsoku/>
        <w:overflowPunct/>
        <w:bidi w:val="0"/>
        <w:spacing w:line="360" w:lineRule="auto"/>
        <w:ind w:right="-101" w:rightChars="-48"/>
        <w:jc w:val="center"/>
        <w:rPr>
          <w:rFonts w:ascii="宋体" w:hAnsi="宋体" w:cs="宋体"/>
          <w:b/>
          <w:sz w:val="32"/>
          <w:szCs w:val="32"/>
          <w:highlight w:val="none"/>
        </w:rPr>
      </w:pPr>
    </w:p>
    <w:p w14:paraId="16EEDF92">
      <w:pPr>
        <w:pageBreakBefore w:val="0"/>
        <w:kinsoku/>
        <w:overflowPunct/>
        <w:bidi w:val="0"/>
        <w:spacing w:line="360" w:lineRule="auto"/>
        <w:ind w:right="-101" w:rightChars="-48"/>
        <w:jc w:val="center"/>
        <w:rPr>
          <w:rFonts w:ascii="宋体" w:hAnsi="宋体" w:cs="宋体"/>
          <w:b/>
          <w:sz w:val="32"/>
          <w:szCs w:val="32"/>
          <w:highlight w:val="none"/>
        </w:rPr>
      </w:pPr>
    </w:p>
    <w:p w14:paraId="7942A73F">
      <w:pPr>
        <w:pageBreakBefore w:val="0"/>
        <w:kinsoku/>
        <w:overflowPunct/>
        <w:bidi w:val="0"/>
        <w:spacing w:line="360" w:lineRule="auto"/>
        <w:ind w:right="-101" w:rightChars="-48"/>
        <w:jc w:val="center"/>
        <w:rPr>
          <w:rFonts w:ascii="宋体" w:hAnsi="宋体" w:cs="宋体"/>
          <w:b/>
          <w:sz w:val="32"/>
          <w:szCs w:val="32"/>
          <w:highlight w:val="none"/>
        </w:rPr>
      </w:pPr>
    </w:p>
    <w:p w14:paraId="261F29CD">
      <w:pPr>
        <w:pageBreakBefore w:val="0"/>
        <w:kinsoku/>
        <w:overflowPunct/>
        <w:bidi w:val="0"/>
        <w:spacing w:line="360" w:lineRule="auto"/>
        <w:ind w:right="-101" w:rightChars="-48"/>
        <w:jc w:val="center"/>
        <w:rPr>
          <w:rFonts w:ascii="宋体" w:hAnsi="宋体" w:cs="宋体"/>
          <w:b/>
          <w:sz w:val="32"/>
          <w:szCs w:val="32"/>
          <w:highlight w:val="none"/>
        </w:rPr>
      </w:pPr>
    </w:p>
    <w:p w14:paraId="1C1C620E">
      <w:pPr>
        <w:pageBreakBefore w:val="0"/>
        <w:kinsoku/>
        <w:overflowPunct/>
        <w:bidi w:val="0"/>
        <w:spacing w:line="360" w:lineRule="auto"/>
        <w:ind w:right="-101" w:rightChars="-48"/>
        <w:jc w:val="center"/>
        <w:rPr>
          <w:rFonts w:ascii="宋体" w:hAnsi="宋体" w:cs="宋体"/>
          <w:b/>
          <w:sz w:val="32"/>
          <w:szCs w:val="32"/>
          <w:highlight w:val="none"/>
        </w:rPr>
      </w:pPr>
    </w:p>
    <w:p w14:paraId="2CBD4952">
      <w:pPr>
        <w:pageBreakBefore w:val="0"/>
        <w:kinsoku/>
        <w:overflowPunct/>
        <w:bidi w:val="0"/>
        <w:spacing w:line="360" w:lineRule="auto"/>
        <w:ind w:right="-101" w:rightChars="-48"/>
        <w:jc w:val="center"/>
        <w:rPr>
          <w:rFonts w:ascii="宋体" w:hAnsi="宋体" w:cs="宋体"/>
          <w:b/>
          <w:sz w:val="32"/>
          <w:szCs w:val="32"/>
          <w:highlight w:val="none"/>
        </w:rPr>
      </w:pPr>
    </w:p>
    <w:p w14:paraId="1E8BDE8D">
      <w:pPr>
        <w:pageBreakBefore w:val="0"/>
        <w:kinsoku/>
        <w:overflowPunct/>
        <w:bidi w:val="0"/>
        <w:spacing w:line="360" w:lineRule="auto"/>
        <w:ind w:right="-101" w:rightChars="-48"/>
        <w:jc w:val="center"/>
        <w:rPr>
          <w:rFonts w:ascii="宋体" w:hAnsi="宋体" w:cs="宋体"/>
          <w:b/>
          <w:sz w:val="32"/>
          <w:szCs w:val="32"/>
          <w:highlight w:val="none"/>
        </w:rPr>
      </w:pPr>
      <w:r>
        <w:rPr>
          <w:rFonts w:hint="eastAsia" w:ascii="宋体" w:hAnsi="宋体" w:cs="宋体"/>
          <w:b/>
          <w:sz w:val="32"/>
          <w:szCs w:val="32"/>
          <w:highlight w:val="none"/>
        </w:rPr>
        <w:t>比选人：南通轨道交通集团有限公司</w:t>
      </w:r>
    </w:p>
    <w:p w14:paraId="38214609">
      <w:pPr>
        <w:pageBreakBefore w:val="0"/>
        <w:kinsoku/>
        <w:overflowPunct/>
        <w:bidi w:val="0"/>
        <w:spacing w:line="360" w:lineRule="auto"/>
        <w:ind w:right="-101" w:rightChars="-48"/>
        <w:jc w:val="center"/>
        <w:rPr>
          <w:rFonts w:ascii="宋体" w:hAnsi="宋体"/>
          <w:b/>
          <w:bCs/>
          <w:sz w:val="32"/>
          <w:szCs w:val="32"/>
          <w:highlight w:val="none"/>
        </w:rPr>
        <w:sectPr>
          <w:pgSz w:w="11905" w:h="16838"/>
          <w:pgMar w:top="1440" w:right="1519" w:bottom="1440" w:left="1519" w:header="850" w:footer="992" w:gutter="0"/>
          <w:cols w:space="720" w:num="1"/>
          <w:docGrid w:type="lines" w:linePitch="325" w:charSpace="0"/>
        </w:sectPr>
      </w:pPr>
      <w:r>
        <w:rPr>
          <w:rFonts w:hint="eastAsia" w:ascii="宋体" w:hAnsi="宋体"/>
          <w:b/>
          <w:bCs/>
          <w:sz w:val="32"/>
          <w:szCs w:val="32"/>
          <w:highlight w:val="none"/>
        </w:rPr>
        <w:t>2025年</w:t>
      </w:r>
      <w:r>
        <w:rPr>
          <w:rFonts w:hint="eastAsia" w:ascii="宋体" w:hAnsi="宋体"/>
          <w:b/>
          <w:bCs/>
          <w:sz w:val="32"/>
          <w:szCs w:val="32"/>
          <w:highlight w:val="none"/>
          <w:lang w:val="en-US" w:eastAsia="zh-CN"/>
        </w:rPr>
        <w:t>4</w:t>
      </w:r>
      <w:r>
        <w:rPr>
          <w:rFonts w:hint="eastAsia" w:ascii="宋体" w:hAnsi="宋体"/>
          <w:b/>
          <w:bCs/>
          <w:sz w:val="32"/>
          <w:szCs w:val="32"/>
          <w:highlight w:val="none"/>
        </w:rPr>
        <w:t>月</w:t>
      </w:r>
    </w:p>
    <w:p w14:paraId="44A27FC2">
      <w:pPr>
        <w:pageBreakBefore w:val="0"/>
        <w:kinsoku/>
        <w:overflowPunct/>
        <w:bidi w:val="0"/>
        <w:spacing w:line="360" w:lineRule="auto"/>
        <w:ind w:right="-101" w:rightChars="-48"/>
        <w:jc w:val="center"/>
        <w:rPr>
          <w:b/>
          <w:bCs/>
          <w:sz w:val="44"/>
          <w:szCs w:val="44"/>
          <w:highlight w:val="none"/>
        </w:rPr>
      </w:pPr>
      <w:r>
        <w:rPr>
          <w:rFonts w:ascii="宋体" w:hAnsi="宋体"/>
          <w:b/>
          <w:bCs/>
          <w:sz w:val="44"/>
          <w:szCs w:val="44"/>
          <w:highlight w:val="none"/>
        </w:rPr>
        <w:t>目录</w:t>
      </w:r>
    </w:p>
    <w:p w14:paraId="1FBE8703">
      <w:pPr>
        <w:pStyle w:val="26"/>
        <w:pageBreakBefore w:val="0"/>
        <w:tabs>
          <w:tab w:val="right" w:leader="dot" w:pos="8299"/>
        </w:tabs>
        <w:kinsoku/>
        <w:overflowPunct/>
        <w:bidi w:val="0"/>
        <w:spacing w:line="360" w:lineRule="auto"/>
        <w:ind w:right="-101" w:rightChars="-48"/>
        <w:rPr>
          <w:rFonts w:ascii="宋体" w:hAnsi="宋体" w:cs="宋体"/>
          <w:highlight w:val="none"/>
        </w:rPr>
      </w:pPr>
      <w:r>
        <w:rPr>
          <w:rFonts w:hint="eastAsia" w:ascii="宋体" w:hAnsi="宋体" w:cs="宋体"/>
          <w:b/>
          <w:highlight w:val="none"/>
        </w:rPr>
        <w:fldChar w:fldCharType="begin"/>
      </w:r>
      <w:r>
        <w:rPr>
          <w:rFonts w:hint="eastAsia" w:ascii="宋体" w:hAnsi="宋体" w:cs="宋体"/>
          <w:b/>
          <w:highlight w:val="none"/>
        </w:rPr>
        <w:instrText xml:space="preserve">TOC \o "1-3" \h \u </w:instrText>
      </w:r>
      <w:r>
        <w:rPr>
          <w:rFonts w:hint="eastAsia" w:ascii="宋体" w:hAnsi="宋体" w:cs="宋体"/>
          <w:b/>
          <w:highlight w:val="none"/>
        </w:rPr>
        <w:fldChar w:fldCharType="separate"/>
      </w:r>
      <w:r>
        <w:rPr>
          <w:highlight w:val="none"/>
        </w:rPr>
        <w:fldChar w:fldCharType="begin"/>
      </w:r>
      <w:r>
        <w:rPr>
          <w:highlight w:val="none"/>
        </w:rPr>
        <w:instrText xml:space="preserve"> HYPERLINK \l "_Toc15149" </w:instrText>
      </w:r>
      <w:r>
        <w:rPr>
          <w:highlight w:val="none"/>
        </w:rPr>
        <w:fldChar w:fldCharType="separate"/>
      </w:r>
      <w:r>
        <w:rPr>
          <w:rFonts w:hint="eastAsia" w:ascii="宋体" w:hAnsi="宋体" w:cs="宋体"/>
          <w:bCs/>
          <w:highlight w:val="none"/>
        </w:rPr>
        <w:t>第一章  比选公告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_Toc15149 \h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hint="eastAsia" w:ascii="宋体" w:hAnsi="宋体" w:cs="宋体"/>
          <w:highlight w:val="none"/>
        </w:rPr>
        <w:fldChar w:fldCharType="end"/>
      </w:r>
    </w:p>
    <w:p w14:paraId="294D420F">
      <w:pPr>
        <w:pStyle w:val="26"/>
        <w:pageBreakBefore w:val="0"/>
        <w:tabs>
          <w:tab w:val="right" w:leader="dot" w:pos="8299"/>
        </w:tabs>
        <w:kinsoku/>
        <w:overflowPunct/>
        <w:bidi w:val="0"/>
        <w:spacing w:line="360" w:lineRule="auto"/>
        <w:ind w:right="-101" w:rightChars="-48"/>
        <w:rPr>
          <w:rFonts w:ascii="宋体" w:hAnsi="宋体" w:cs="宋体"/>
          <w:highlight w:val="none"/>
        </w:rPr>
      </w:pPr>
      <w:r>
        <w:rPr>
          <w:highlight w:val="none"/>
        </w:rPr>
        <w:fldChar w:fldCharType="begin"/>
      </w:r>
      <w:r>
        <w:rPr>
          <w:highlight w:val="none"/>
        </w:rPr>
        <w:instrText xml:space="preserve"> HYPERLINK \l "_Toc24746" </w:instrText>
      </w:r>
      <w:r>
        <w:rPr>
          <w:highlight w:val="none"/>
        </w:rPr>
        <w:fldChar w:fldCharType="separate"/>
      </w:r>
      <w:r>
        <w:rPr>
          <w:rFonts w:hint="eastAsia" w:ascii="宋体" w:hAnsi="宋体" w:cs="宋体"/>
          <w:bCs/>
          <w:highlight w:val="none"/>
        </w:rPr>
        <w:t>第二章  参选须知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_Toc24746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265BFA9C">
      <w:pPr>
        <w:pStyle w:val="26"/>
        <w:pageBreakBefore w:val="0"/>
        <w:tabs>
          <w:tab w:val="right" w:leader="dot" w:pos="8299"/>
        </w:tabs>
        <w:kinsoku/>
        <w:overflowPunct/>
        <w:bidi w:val="0"/>
        <w:spacing w:line="360" w:lineRule="auto"/>
        <w:ind w:right="-101" w:rightChars="-48"/>
        <w:rPr>
          <w:rFonts w:ascii="宋体" w:hAnsi="宋体" w:cs="宋体"/>
          <w:highlight w:val="none"/>
        </w:rPr>
      </w:pPr>
      <w:r>
        <w:rPr>
          <w:highlight w:val="none"/>
        </w:rPr>
        <w:fldChar w:fldCharType="begin"/>
      </w:r>
      <w:r>
        <w:rPr>
          <w:highlight w:val="none"/>
        </w:rPr>
        <w:instrText xml:space="preserve"> HYPERLINK \l "_Toc483" </w:instrText>
      </w:r>
      <w:r>
        <w:rPr>
          <w:highlight w:val="none"/>
        </w:rPr>
        <w:fldChar w:fldCharType="separate"/>
      </w:r>
      <w:r>
        <w:rPr>
          <w:rFonts w:hint="eastAsia" w:ascii="宋体" w:hAnsi="宋体" w:cs="宋体"/>
          <w:highlight w:val="none"/>
        </w:rPr>
        <w:t>第三章  用户需求书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_Toc483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7A6B007A">
      <w:pPr>
        <w:pStyle w:val="26"/>
        <w:pageBreakBefore w:val="0"/>
        <w:tabs>
          <w:tab w:val="right" w:leader="dot" w:pos="8299"/>
        </w:tabs>
        <w:kinsoku/>
        <w:overflowPunct/>
        <w:bidi w:val="0"/>
        <w:spacing w:line="360" w:lineRule="auto"/>
        <w:ind w:right="-101" w:rightChars="-48"/>
        <w:rPr>
          <w:rFonts w:hint="eastAsia" w:ascii="宋体" w:hAnsi="宋体" w:eastAsia="宋体" w:cs="宋体"/>
          <w:highlight w:val="none"/>
          <w:lang w:val="en-US" w:eastAsia="zh-CN"/>
        </w:rPr>
      </w:pPr>
      <w:r>
        <w:rPr>
          <w:highlight w:val="none"/>
        </w:rPr>
        <w:fldChar w:fldCharType="begin"/>
      </w:r>
      <w:r>
        <w:rPr>
          <w:highlight w:val="none"/>
        </w:rPr>
        <w:instrText xml:space="preserve"> HYPERLINK \l "_Toc5535" </w:instrText>
      </w:r>
      <w:r>
        <w:rPr>
          <w:highlight w:val="none"/>
        </w:rPr>
        <w:fldChar w:fldCharType="separate"/>
      </w:r>
      <w:r>
        <w:rPr>
          <w:rFonts w:hint="eastAsia" w:ascii="宋体" w:hAnsi="宋体" w:cs="宋体"/>
          <w:highlight w:val="none"/>
        </w:rPr>
        <w:t>第四章  评选办法与评选标准</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5</w:t>
      </w:r>
    </w:p>
    <w:p w14:paraId="273CF291">
      <w:pPr>
        <w:pStyle w:val="26"/>
        <w:pageBreakBefore w:val="0"/>
        <w:tabs>
          <w:tab w:val="right" w:leader="dot" w:pos="8299"/>
        </w:tabs>
        <w:kinsoku/>
        <w:overflowPunct/>
        <w:bidi w:val="0"/>
        <w:spacing w:line="360" w:lineRule="auto"/>
        <w:ind w:right="-101" w:rightChars="-48"/>
        <w:rPr>
          <w:rFonts w:ascii="宋体" w:hAnsi="宋体" w:cs="宋体"/>
          <w:highlight w:val="none"/>
        </w:rPr>
      </w:pPr>
      <w:r>
        <w:rPr>
          <w:highlight w:val="none"/>
        </w:rPr>
        <w:fldChar w:fldCharType="begin"/>
      </w:r>
      <w:r>
        <w:rPr>
          <w:highlight w:val="none"/>
        </w:rPr>
        <w:instrText xml:space="preserve"> HYPERLINK \l "_Toc1052" </w:instrText>
      </w:r>
      <w:r>
        <w:rPr>
          <w:highlight w:val="none"/>
        </w:rPr>
        <w:fldChar w:fldCharType="separate"/>
      </w:r>
      <w:r>
        <w:rPr>
          <w:rFonts w:hint="eastAsia" w:ascii="宋体" w:hAnsi="宋体" w:cs="宋体"/>
          <w:highlight w:val="none"/>
        </w:rPr>
        <w:t>第五章  合同条款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_Toc1052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cs="宋体"/>
          <w:highlight w:val="none"/>
        </w:rPr>
        <w:fldChar w:fldCharType="end"/>
      </w:r>
    </w:p>
    <w:p w14:paraId="75DCE751">
      <w:pPr>
        <w:pStyle w:val="26"/>
        <w:pageBreakBefore w:val="0"/>
        <w:tabs>
          <w:tab w:val="right" w:leader="dot" w:pos="8299"/>
        </w:tabs>
        <w:kinsoku/>
        <w:overflowPunct/>
        <w:bidi w:val="0"/>
        <w:spacing w:line="360" w:lineRule="auto"/>
        <w:ind w:right="-101" w:rightChars="-48"/>
        <w:rPr>
          <w:rFonts w:ascii="宋体" w:hAnsi="宋体" w:cs="宋体"/>
          <w:highlight w:val="none"/>
        </w:rPr>
      </w:pPr>
      <w:r>
        <w:rPr>
          <w:highlight w:val="none"/>
        </w:rPr>
        <w:fldChar w:fldCharType="begin"/>
      </w:r>
      <w:r>
        <w:rPr>
          <w:highlight w:val="none"/>
        </w:rPr>
        <w:instrText xml:space="preserve"> HYPERLINK \l "_Toc15318" </w:instrText>
      </w:r>
      <w:r>
        <w:rPr>
          <w:highlight w:val="none"/>
        </w:rPr>
        <w:fldChar w:fldCharType="separate"/>
      </w:r>
      <w:r>
        <w:rPr>
          <w:rFonts w:hint="eastAsia" w:ascii="宋体" w:hAnsi="宋体" w:cs="宋体"/>
          <w:highlight w:val="none"/>
          <w:lang w:val="zh-CN"/>
        </w:rPr>
        <w:t>第</w:t>
      </w:r>
      <w:r>
        <w:rPr>
          <w:rFonts w:hint="eastAsia" w:ascii="宋体" w:hAnsi="宋体" w:cs="宋体"/>
          <w:highlight w:val="none"/>
        </w:rPr>
        <w:t>六章</w:t>
      </w:r>
      <w:r>
        <w:rPr>
          <w:rFonts w:hint="eastAsia" w:ascii="宋体" w:hAnsi="宋体" w:cs="宋体"/>
          <w:highlight w:val="none"/>
          <w:lang w:val="zh-CN"/>
        </w:rPr>
        <w:t xml:space="preserve">  质疑提出和处理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_Toc15318 \h </w:instrText>
      </w:r>
      <w:r>
        <w:rPr>
          <w:rFonts w:hint="eastAsia" w:ascii="宋体" w:hAnsi="宋体" w:cs="宋体"/>
          <w:highlight w:val="none"/>
        </w:rPr>
        <w:fldChar w:fldCharType="separate"/>
      </w:r>
      <w:r>
        <w:rPr>
          <w:rFonts w:hint="eastAsia" w:ascii="宋体" w:hAnsi="宋体" w:cs="宋体"/>
          <w:highlight w:val="none"/>
        </w:rPr>
        <w:t>43</w:t>
      </w:r>
      <w:r>
        <w:rPr>
          <w:rFonts w:hint="eastAsia" w:ascii="宋体" w:hAnsi="宋体" w:cs="宋体"/>
          <w:highlight w:val="none"/>
        </w:rPr>
        <w:fldChar w:fldCharType="end"/>
      </w:r>
      <w:r>
        <w:rPr>
          <w:rFonts w:hint="eastAsia" w:ascii="宋体" w:hAnsi="宋体" w:cs="宋体"/>
          <w:highlight w:val="none"/>
        </w:rPr>
        <w:fldChar w:fldCharType="end"/>
      </w:r>
    </w:p>
    <w:p w14:paraId="71464E41">
      <w:pPr>
        <w:pStyle w:val="26"/>
        <w:pageBreakBefore w:val="0"/>
        <w:tabs>
          <w:tab w:val="right" w:leader="dot" w:pos="8299"/>
        </w:tabs>
        <w:kinsoku/>
        <w:overflowPunct/>
        <w:bidi w:val="0"/>
        <w:spacing w:line="360" w:lineRule="auto"/>
        <w:ind w:right="-101" w:rightChars="-48"/>
        <w:rPr>
          <w:rFonts w:ascii="宋体" w:hAnsi="宋体" w:cs="宋体"/>
          <w:highlight w:val="none"/>
        </w:rPr>
      </w:pPr>
      <w:r>
        <w:rPr>
          <w:highlight w:val="none"/>
        </w:rPr>
        <w:fldChar w:fldCharType="begin"/>
      </w:r>
      <w:r>
        <w:rPr>
          <w:highlight w:val="none"/>
        </w:rPr>
        <w:instrText xml:space="preserve"> HYPERLINK \l "_Toc17814" </w:instrText>
      </w:r>
      <w:r>
        <w:rPr>
          <w:highlight w:val="none"/>
        </w:rPr>
        <w:fldChar w:fldCharType="separate"/>
      </w:r>
      <w:r>
        <w:rPr>
          <w:rFonts w:hint="eastAsia" w:ascii="宋体" w:hAnsi="宋体" w:cs="宋体"/>
          <w:highlight w:val="none"/>
          <w:lang w:val="zh-CN"/>
        </w:rPr>
        <w:t>第</w:t>
      </w:r>
      <w:r>
        <w:rPr>
          <w:rFonts w:hint="eastAsia" w:ascii="宋体" w:hAnsi="宋体" w:cs="宋体"/>
          <w:highlight w:val="none"/>
        </w:rPr>
        <w:t>七章</w:t>
      </w:r>
      <w:r>
        <w:rPr>
          <w:rFonts w:hint="eastAsia" w:ascii="宋体" w:hAnsi="宋体" w:cs="宋体"/>
          <w:highlight w:val="none"/>
          <w:lang w:val="zh-CN"/>
        </w:rPr>
        <w:t xml:space="preserve">  参选文件组成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_Toc17814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lang w:val="en-US" w:eastAsia="zh-CN"/>
        </w:rPr>
        <w:t>6</w:t>
      </w:r>
      <w:r>
        <w:rPr>
          <w:rFonts w:hint="eastAsia" w:ascii="宋体" w:hAnsi="宋体" w:cs="宋体"/>
          <w:highlight w:val="none"/>
        </w:rPr>
        <w:fldChar w:fldCharType="end"/>
      </w:r>
      <w:r>
        <w:rPr>
          <w:rFonts w:hint="eastAsia" w:ascii="宋体" w:hAnsi="宋体" w:cs="宋体"/>
          <w:highlight w:val="none"/>
        </w:rPr>
        <w:fldChar w:fldCharType="end"/>
      </w:r>
    </w:p>
    <w:p w14:paraId="1E8FE849">
      <w:pPr>
        <w:pageBreakBefore w:val="0"/>
        <w:kinsoku/>
        <w:overflowPunct/>
        <w:bidi w:val="0"/>
        <w:spacing w:line="360" w:lineRule="auto"/>
        <w:ind w:right="-101" w:rightChars="-48"/>
        <w:rPr>
          <w:rFonts w:ascii="楷体_GB2312" w:eastAsia="楷体_GB2312"/>
          <w:sz w:val="24"/>
          <w:highlight w:val="none"/>
        </w:rPr>
        <w:sectPr>
          <w:footerReference r:id="rId3" w:type="default"/>
          <w:pgSz w:w="11905" w:h="16838"/>
          <w:pgMar w:top="1440" w:right="1803" w:bottom="1440" w:left="1803" w:header="850" w:footer="992" w:gutter="0"/>
          <w:pgNumType w:start="1"/>
          <w:cols w:space="720" w:num="1"/>
          <w:docGrid w:type="lines" w:linePitch="325" w:charSpace="0"/>
        </w:sectPr>
      </w:pPr>
      <w:r>
        <w:rPr>
          <w:rFonts w:hint="eastAsia" w:ascii="宋体" w:hAnsi="宋体" w:cs="宋体"/>
          <w:sz w:val="24"/>
          <w:highlight w:val="none"/>
        </w:rPr>
        <w:fldChar w:fldCharType="end"/>
      </w:r>
      <w:bookmarkStart w:id="302" w:name="_GoBack"/>
      <w:bookmarkEnd w:id="302"/>
    </w:p>
    <w:p w14:paraId="20D822F0">
      <w:pPr>
        <w:pageBreakBefore w:val="0"/>
        <w:kinsoku/>
        <w:overflowPunct/>
        <w:bidi w:val="0"/>
        <w:spacing w:line="360" w:lineRule="auto"/>
        <w:ind w:right="-101" w:rightChars="-48"/>
        <w:jc w:val="center"/>
        <w:outlineLvl w:val="0"/>
        <w:rPr>
          <w:rFonts w:ascii="宋体" w:hAnsi="宋体" w:cs="宋体"/>
          <w:kern w:val="58"/>
          <w:sz w:val="24"/>
          <w:highlight w:val="none"/>
        </w:rPr>
      </w:pPr>
      <w:bookmarkStart w:id="0" w:name="_Toc6432"/>
      <w:bookmarkStart w:id="1" w:name="_Toc8150"/>
      <w:bookmarkStart w:id="2" w:name="_Toc16151"/>
      <w:bookmarkStart w:id="3" w:name="_Toc25670"/>
      <w:bookmarkStart w:id="4" w:name="_Toc15149"/>
      <w:r>
        <w:rPr>
          <w:rFonts w:hint="eastAsia" w:ascii="宋体" w:hAnsi="宋体"/>
          <w:b/>
          <w:bCs/>
          <w:sz w:val="32"/>
          <w:szCs w:val="32"/>
          <w:highlight w:val="none"/>
        </w:rPr>
        <w:t xml:space="preserve">第一章 </w:t>
      </w:r>
      <w:bookmarkStart w:id="5" w:name="OLE_LINK7"/>
      <w:bookmarkStart w:id="6" w:name="OLE_LINK5"/>
      <w:r>
        <w:rPr>
          <w:rFonts w:hint="eastAsia" w:ascii="宋体" w:hAnsi="宋体"/>
          <w:b/>
          <w:bCs/>
          <w:sz w:val="32"/>
          <w:szCs w:val="32"/>
          <w:highlight w:val="none"/>
        </w:rPr>
        <w:t xml:space="preserve"> </w:t>
      </w:r>
      <w:bookmarkEnd w:id="0"/>
      <w:bookmarkEnd w:id="1"/>
      <w:bookmarkEnd w:id="2"/>
      <w:bookmarkEnd w:id="3"/>
      <w:bookmarkEnd w:id="4"/>
      <w:r>
        <w:rPr>
          <w:rFonts w:hint="eastAsia" w:ascii="宋体" w:hAnsi="宋体"/>
          <w:b/>
          <w:bCs/>
          <w:sz w:val="32"/>
          <w:szCs w:val="32"/>
          <w:highlight w:val="none"/>
        </w:rPr>
        <w:t>比选公告</w:t>
      </w:r>
      <w:bookmarkStart w:id="7" w:name="OLE_LINK6"/>
    </w:p>
    <w:p w14:paraId="41E61F20">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8" w:name="_Toc17556"/>
      <w:bookmarkStart w:id="9" w:name="_Toc893"/>
      <w:r>
        <w:rPr>
          <w:rFonts w:hint="eastAsia" w:ascii="宋体" w:hAnsi="宋体" w:cs="宋体"/>
          <w:b/>
          <w:sz w:val="24"/>
          <w:highlight w:val="none"/>
        </w:rPr>
        <w:t>一、项目基本情况</w:t>
      </w:r>
      <w:bookmarkEnd w:id="8"/>
      <w:bookmarkEnd w:id="9"/>
    </w:p>
    <w:p w14:paraId="72BE6956">
      <w:pPr>
        <w:pageBreakBefore w:val="0"/>
        <w:kinsoku/>
        <w:overflowPunct/>
        <w:bidi w:val="0"/>
        <w:spacing w:line="360" w:lineRule="auto"/>
        <w:ind w:right="-101" w:rightChars="-48" w:firstLine="480" w:firstLineChars="200"/>
        <w:rPr>
          <w:rFonts w:ascii="宋体" w:hAnsi="宋体" w:cs="宋体"/>
          <w:sz w:val="24"/>
          <w:highlight w:val="none"/>
        </w:rPr>
      </w:pPr>
      <w:bookmarkStart w:id="10" w:name="_Toc27384"/>
      <w:bookmarkStart w:id="11" w:name="_Toc3344"/>
      <w:r>
        <w:rPr>
          <w:rFonts w:hint="eastAsia" w:ascii="宋体" w:hAnsi="宋体" w:cs="宋体"/>
          <w:sz w:val="24"/>
          <w:highlight w:val="none"/>
        </w:rPr>
        <w:t>项目名称：</w:t>
      </w:r>
      <w:r>
        <w:rPr>
          <w:rFonts w:hint="eastAsia"/>
          <w:sz w:val="24"/>
          <w:highlight w:val="none"/>
        </w:rPr>
        <w:t>南通城市轨道交通集团有限公司2025-2027年度招标代理和造价咨询服务框架协议采购</w:t>
      </w:r>
      <w:r>
        <w:rPr>
          <w:rFonts w:hint="eastAsia" w:ascii="宋体" w:hAnsi="宋体" w:cs="宋体"/>
          <w:sz w:val="24"/>
          <w:highlight w:val="none"/>
        </w:rPr>
        <w:t>项目</w:t>
      </w:r>
    </w:p>
    <w:p w14:paraId="1F858FAA">
      <w:pPr>
        <w:pageBreakBefore w:val="0"/>
        <w:kinsoku/>
        <w:overflowPunct/>
        <w:bidi w:val="0"/>
        <w:spacing w:line="360" w:lineRule="auto"/>
        <w:ind w:right="-101" w:rightChars="-48" w:firstLine="480" w:firstLineChars="200"/>
        <w:rPr>
          <w:rFonts w:hint="eastAsia" w:ascii="宋体" w:hAnsi="宋体" w:eastAsia="宋体" w:cs="宋体"/>
          <w:sz w:val="24"/>
          <w:highlight w:val="none"/>
          <w:lang w:eastAsia="zh-CN"/>
        </w:rPr>
      </w:pPr>
      <w:r>
        <w:rPr>
          <w:rFonts w:hint="eastAsia" w:ascii="宋体" w:hAnsi="宋体" w:cs="宋体"/>
          <w:sz w:val="24"/>
          <w:highlight w:val="none"/>
        </w:rPr>
        <w:t>入围家数：提交响应文件且符合资格条件、实质性要求的供应商按照评分从高到低排序，推荐前3家为入围供应商，在服务期内按照比选人招标项目立项启动时间或造价咨询服务时间顺序选择服务单位</w:t>
      </w:r>
      <w:r>
        <w:rPr>
          <w:rFonts w:hint="eastAsia" w:ascii="宋体" w:hAnsi="宋体" w:cs="宋体"/>
          <w:sz w:val="24"/>
          <w:highlight w:val="none"/>
          <w:lang w:eastAsia="zh-CN"/>
        </w:rPr>
        <w:t>。</w:t>
      </w:r>
    </w:p>
    <w:p w14:paraId="45CD1F4E">
      <w:pPr>
        <w:pageBreakBefore w:val="0"/>
        <w:kinsoku/>
        <w:overflowPunct/>
        <w:bidi w:val="0"/>
        <w:spacing w:line="360" w:lineRule="auto"/>
        <w:ind w:right="-101" w:rightChars="-48" w:firstLine="480" w:firstLineChars="200"/>
        <w:rPr>
          <w:rFonts w:hint="eastAsia"/>
          <w:sz w:val="24"/>
          <w:highlight w:val="none"/>
        </w:rPr>
      </w:pPr>
      <w:bookmarkStart w:id="12" w:name="OLE_LINK223"/>
      <w:bookmarkStart w:id="13" w:name="OLE_LINK242"/>
      <w:bookmarkStart w:id="14" w:name="OLE_LINK234"/>
      <w:bookmarkStart w:id="15" w:name="OLE_LINK222"/>
      <w:r>
        <w:rPr>
          <w:rFonts w:hint="eastAsia" w:ascii="宋体" w:hAnsi="宋体" w:cs="宋体"/>
          <w:sz w:val="24"/>
          <w:highlight w:val="none"/>
        </w:rPr>
        <w:t>比选范围：</w:t>
      </w:r>
      <w:r>
        <w:rPr>
          <w:rFonts w:hint="eastAsia"/>
          <w:sz w:val="24"/>
          <w:highlight w:val="none"/>
        </w:rPr>
        <w:t>轨道集团2025-2027年度工程、货物及服务的招标代理服务、工程造价审核服务、工程造价结算审核服务等相关咨询服务，具体内容详见《用户需求书》。</w:t>
      </w:r>
      <w:r>
        <w:rPr>
          <w:rFonts w:hint="eastAsia"/>
          <w:sz w:val="24"/>
          <w:highlight w:val="none"/>
          <w:u w:val="single"/>
        </w:rPr>
        <w:t>服务期自协议签订之日起两年，比选人对入库供应商实行动态管理，对不合格的供应商按合同条款予以清退。合同服务期满前一个月内，比选人根据中选人考核情况可续签</w:t>
      </w:r>
      <w:r>
        <w:rPr>
          <w:rFonts w:hint="eastAsia"/>
          <w:sz w:val="24"/>
          <w:highlight w:val="none"/>
          <w:u w:val="single"/>
          <w:lang w:val="en-US" w:eastAsia="zh-CN"/>
        </w:rPr>
        <w:t>一年</w:t>
      </w:r>
      <w:r>
        <w:rPr>
          <w:rFonts w:hint="eastAsia"/>
          <w:sz w:val="24"/>
          <w:highlight w:val="none"/>
          <w:u w:val="single"/>
        </w:rPr>
        <w:t>框架服务合同，最多续签1次。</w:t>
      </w:r>
    </w:p>
    <w:bookmarkEnd w:id="12"/>
    <w:bookmarkEnd w:id="13"/>
    <w:bookmarkEnd w:id="14"/>
    <w:bookmarkEnd w:id="15"/>
    <w:p w14:paraId="0A11124A">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sz w:val="24"/>
          <w:highlight w:val="none"/>
        </w:rPr>
        <w:t>（备注：1、本项目</w:t>
      </w:r>
      <w:bookmarkStart w:id="16" w:name="OLE_LINK240"/>
      <w:bookmarkStart w:id="17" w:name="OLE_LINK239"/>
      <w:r>
        <w:rPr>
          <w:rFonts w:hint="eastAsia"/>
          <w:sz w:val="24"/>
          <w:highlight w:val="none"/>
        </w:rPr>
        <w:t>招标</w:t>
      </w:r>
      <w:bookmarkEnd w:id="16"/>
      <w:bookmarkEnd w:id="17"/>
      <w:r>
        <w:rPr>
          <w:rFonts w:hint="eastAsia"/>
          <w:sz w:val="24"/>
          <w:highlight w:val="none"/>
        </w:rPr>
        <w:t>代理工作含邀请招标、公开比选等非招标采购方式；2、本项目不含轨道交通后续线路工程建设相关工作内容）</w:t>
      </w:r>
    </w:p>
    <w:p w14:paraId="1759171A">
      <w:pPr>
        <w:pageBreakBefore w:val="0"/>
        <w:kinsoku/>
        <w:overflowPunct/>
        <w:bidi w:val="0"/>
        <w:spacing w:line="360" w:lineRule="auto"/>
        <w:ind w:right="-101" w:rightChars="-48" w:firstLine="482" w:firstLineChars="200"/>
        <w:outlineLvl w:val="1"/>
        <w:rPr>
          <w:rFonts w:ascii="宋体" w:hAnsi="宋体" w:cs="宋体"/>
          <w:b/>
          <w:sz w:val="24"/>
          <w:highlight w:val="none"/>
        </w:rPr>
      </w:pPr>
      <w:r>
        <w:rPr>
          <w:rFonts w:hint="eastAsia" w:ascii="宋体" w:hAnsi="宋体" w:cs="宋体"/>
          <w:b/>
          <w:sz w:val="24"/>
          <w:highlight w:val="none"/>
        </w:rPr>
        <w:t>二、参选人的资格要求</w:t>
      </w:r>
      <w:bookmarkEnd w:id="10"/>
      <w:bookmarkEnd w:id="11"/>
    </w:p>
    <w:p w14:paraId="1FF4CC66">
      <w:pPr>
        <w:pageBreakBefore w:val="0"/>
        <w:kinsoku/>
        <w:overflowPunct/>
        <w:bidi w:val="0"/>
        <w:spacing w:line="360" w:lineRule="auto"/>
        <w:ind w:right="-101" w:rightChars="-48" w:firstLine="482" w:firstLineChars="200"/>
        <w:rPr>
          <w:rFonts w:ascii="宋体" w:hAnsi="宋体" w:cs="宋体"/>
          <w:b/>
          <w:bCs/>
          <w:sz w:val="24"/>
          <w:highlight w:val="none"/>
        </w:rPr>
      </w:pPr>
      <w:r>
        <w:rPr>
          <w:rFonts w:hint="eastAsia" w:ascii="宋体" w:hAnsi="宋体" w:cs="宋体"/>
          <w:b/>
          <w:bCs/>
          <w:sz w:val="24"/>
          <w:highlight w:val="none"/>
        </w:rPr>
        <w:t>1、参选人应具备的资质条件要求：</w:t>
      </w:r>
    </w:p>
    <w:p w14:paraId="77BDE99A">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1.1</w:t>
      </w:r>
      <w:r>
        <w:rPr>
          <w:rFonts w:hint="eastAsia"/>
          <w:sz w:val="24"/>
          <w:highlight w:val="none"/>
        </w:rPr>
        <w:t>参选人须为中华人民共和国境内注册的、具有独立企业法人资格的企业</w:t>
      </w:r>
      <w:r>
        <w:rPr>
          <w:rFonts w:hint="eastAsia" w:ascii="宋体" w:hAnsi="宋体" w:cs="宋体"/>
          <w:sz w:val="24"/>
          <w:highlight w:val="none"/>
        </w:rPr>
        <w:t>。</w:t>
      </w:r>
    </w:p>
    <w:p w14:paraId="105CE54E">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1.2</w:t>
      </w:r>
      <w:r>
        <w:rPr>
          <w:rFonts w:hint="eastAsia"/>
          <w:sz w:val="24"/>
          <w:highlight w:val="none"/>
        </w:rPr>
        <w:t>参选人自2020年1月1日至投标截止日期至少具有一项国有企事业单位招标代理或造价咨询项目业绩，以合同签订时间为准</w:t>
      </w:r>
      <w:r>
        <w:rPr>
          <w:rFonts w:hint="eastAsia" w:ascii="宋体" w:hAnsi="宋体" w:cs="宋体"/>
          <w:sz w:val="24"/>
          <w:highlight w:val="none"/>
        </w:rPr>
        <w:t>。</w:t>
      </w:r>
    </w:p>
    <w:p w14:paraId="5BB867C5">
      <w:pPr>
        <w:pageBreakBefore w:val="0"/>
        <w:kinsoku/>
        <w:overflowPunct/>
        <w:bidi w:val="0"/>
        <w:spacing w:line="360" w:lineRule="auto"/>
        <w:ind w:right="-101" w:rightChars="-48" w:firstLine="482" w:firstLineChars="200"/>
        <w:rPr>
          <w:rFonts w:ascii="宋体" w:hAnsi="宋体" w:cs="宋体"/>
          <w:b/>
          <w:bCs/>
          <w:sz w:val="24"/>
          <w:highlight w:val="none"/>
        </w:rPr>
      </w:pPr>
      <w:r>
        <w:rPr>
          <w:rFonts w:hint="eastAsia" w:ascii="宋体" w:hAnsi="宋体" w:cs="宋体"/>
          <w:b/>
          <w:bCs/>
          <w:sz w:val="24"/>
          <w:highlight w:val="none"/>
        </w:rPr>
        <w:t>2、项目负责人要求：</w:t>
      </w:r>
    </w:p>
    <w:p w14:paraId="043F9B6B">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参选人拟派的项目负责人须为本单位正式员工，具备一级注册造价师资质，且注册在本单位。</w:t>
      </w:r>
    </w:p>
    <w:p w14:paraId="68368A0E">
      <w:pPr>
        <w:pageBreakBefore w:val="0"/>
        <w:kinsoku/>
        <w:overflowPunct/>
        <w:bidi w:val="0"/>
        <w:spacing w:line="360" w:lineRule="auto"/>
        <w:ind w:right="-101" w:rightChars="-48" w:firstLine="482" w:firstLineChars="200"/>
        <w:rPr>
          <w:rFonts w:ascii="宋体" w:hAnsi="宋体" w:cs="宋体"/>
          <w:b/>
          <w:bCs/>
          <w:sz w:val="24"/>
          <w:highlight w:val="none"/>
        </w:rPr>
      </w:pPr>
      <w:r>
        <w:rPr>
          <w:rFonts w:hint="eastAsia" w:ascii="宋体" w:hAnsi="宋体" w:cs="宋体"/>
          <w:b/>
          <w:bCs/>
          <w:sz w:val="24"/>
          <w:highlight w:val="none"/>
        </w:rPr>
        <w:t>3、其他要求：</w:t>
      </w:r>
    </w:p>
    <w:p w14:paraId="4E2C9E7A">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3.1与比选人存在利害关系可能影响采购公正性的法人、其他组织或者个人，不得参加本项目比选；单位负责人为同一人或者存在控股、管理关系的不同单位，不得参加本项目比选。</w:t>
      </w:r>
    </w:p>
    <w:p w14:paraId="4061B889">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参选人没有处于被责令停业，或投标资格被暂停或取消，或财产被接管、冻结、破产状态。</w:t>
      </w:r>
    </w:p>
    <w:p w14:paraId="49F48098">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根据《关于在公共资源交易领域的招标投标活动中建立对失信被执行人联合惩戒的实施意见》（苏信用办[2018]23号文），参选人未被“信用中国”列入失信被执行人名单。</w:t>
      </w:r>
    </w:p>
    <w:p w14:paraId="5D6B9989">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参选人未被国家企业信用信息公示系统列入严重违法失信企业名单。</w:t>
      </w:r>
    </w:p>
    <w:p w14:paraId="1709F199">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参选人未被南通轨道交通集团有限公司及其所属单位列为失信投标人或列入黑名单，没有处于暂停或取消投标资格状态。</w:t>
      </w:r>
    </w:p>
    <w:p w14:paraId="19A0FC39">
      <w:pPr>
        <w:pageBreakBefore w:val="0"/>
        <w:kinsoku/>
        <w:overflowPunct/>
        <w:bidi w:val="0"/>
        <w:spacing w:line="360" w:lineRule="auto"/>
        <w:ind w:right="-101" w:rightChars="-48" w:firstLine="482" w:firstLineChars="200"/>
        <w:rPr>
          <w:rFonts w:ascii="宋体" w:hAnsi="宋体" w:cs="宋体"/>
          <w:b/>
          <w:bCs/>
          <w:sz w:val="24"/>
          <w:highlight w:val="none"/>
        </w:rPr>
      </w:pPr>
      <w:r>
        <w:rPr>
          <w:rFonts w:hint="eastAsia" w:ascii="宋体" w:hAnsi="宋体" w:cs="宋体"/>
          <w:b/>
          <w:bCs/>
          <w:sz w:val="24"/>
          <w:highlight w:val="none"/>
        </w:rPr>
        <w:t>4、本项目不接受联合体参选。</w:t>
      </w:r>
    </w:p>
    <w:p w14:paraId="2FD5020E">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18" w:name="_Toc5313"/>
      <w:bookmarkStart w:id="19" w:name="_Toc21654"/>
      <w:r>
        <w:rPr>
          <w:rFonts w:hint="eastAsia" w:ascii="宋体" w:hAnsi="宋体" w:cs="宋体"/>
          <w:b/>
          <w:sz w:val="24"/>
          <w:highlight w:val="none"/>
        </w:rPr>
        <w:t>三、获取</w:t>
      </w:r>
      <w:bookmarkEnd w:id="18"/>
      <w:bookmarkEnd w:id="19"/>
      <w:r>
        <w:rPr>
          <w:rFonts w:hint="eastAsia" w:ascii="宋体" w:hAnsi="宋体" w:cs="宋体"/>
          <w:b/>
          <w:sz w:val="24"/>
          <w:highlight w:val="none"/>
        </w:rPr>
        <w:t>比选文件</w:t>
      </w:r>
    </w:p>
    <w:p w14:paraId="071DA1A9">
      <w:pPr>
        <w:pageBreakBefore w:val="0"/>
        <w:kinsoku/>
        <w:overflowPunct/>
        <w:bidi w:val="0"/>
        <w:spacing w:line="360" w:lineRule="auto"/>
        <w:ind w:right="-101" w:rightChars="-48" w:firstLine="480" w:firstLineChars="200"/>
        <w:rPr>
          <w:rFonts w:ascii="宋体" w:hAnsi="宋体" w:cs="宋体"/>
          <w:sz w:val="24"/>
          <w:highlight w:val="none"/>
        </w:rPr>
      </w:pPr>
      <w:bookmarkStart w:id="20" w:name="_Toc10576"/>
      <w:bookmarkStart w:id="21" w:name="_Toc27809"/>
      <w:r>
        <w:rPr>
          <w:rFonts w:hint="eastAsia" w:ascii="宋体" w:hAnsi="宋体" w:cs="宋体"/>
          <w:sz w:val="24"/>
          <w:highlight w:val="none"/>
        </w:rPr>
        <w:t>时间：自公告发布之日起。</w:t>
      </w:r>
    </w:p>
    <w:p w14:paraId="370E4EC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网址：南通轨道交通官网（https://www.ntrailway.com/）</w:t>
      </w:r>
    </w:p>
    <w:p w14:paraId="1AE85B4E">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方式：参选人登陆南通轨道交通官网，在网站首页点击进入“招标投标”，找到该项目点击进入即可进行下载。</w:t>
      </w:r>
    </w:p>
    <w:p w14:paraId="0256F046">
      <w:pPr>
        <w:pageBreakBefore w:val="0"/>
        <w:kinsoku/>
        <w:overflowPunct/>
        <w:bidi w:val="0"/>
        <w:spacing w:line="360" w:lineRule="auto"/>
        <w:ind w:right="-101" w:rightChars="-48" w:firstLine="482" w:firstLineChars="200"/>
        <w:outlineLvl w:val="1"/>
        <w:rPr>
          <w:rFonts w:ascii="宋体" w:hAnsi="宋体" w:cs="宋体"/>
          <w:b/>
          <w:sz w:val="24"/>
          <w:highlight w:val="none"/>
        </w:rPr>
      </w:pPr>
      <w:r>
        <w:rPr>
          <w:rFonts w:hint="eastAsia" w:ascii="宋体" w:hAnsi="宋体" w:cs="宋体"/>
          <w:b/>
          <w:sz w:val="24"/>
          <w:highlight w:val="none"/>
        </w:rPr>
        <w:t>四、提交参选文件截止时间、比选时间和地点</w:t>
      </w:r>
      <w:bookmarkEnd w:id="20"/>
      <w:bookmarkEnd w:id="21"/>
    </w:p>
    <w:p w14:paraId="20F215B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参选截止时间为：2025年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0分（北京时间）</w:t>
      </w:r>
    </w:p>
    <w:p w14:paraId="5D12CB3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比选时间：同参选截止时间</w:t>
      </w:r>
    </w:p>
    <w:p w14:paraId="3F051212">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比选地点：南通市崇川区崇川路158号15楼开标室</w:t>
      </w:r>
    </w:p>
    <w:p w14:paraId="56C950D9">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22" w:name="_Toc17302"/>
      <w:bookmarkStart w:id="23" w:name="_Toc11233"/>
      <w:r>
        <w:rPr>
          <w:rFonts w:hint="eastAsia" w:ascii="宋体" w:hAnsi="宋体" w:cs="宋体"/>
          <w:b/>
          <w:sz w:val="24"/>
          <w:highlight w:val="none"/>
        </w:rPr>
        <w:t>五、对本次比选提出询问，请按以下方式联系</w:t>
      </w:r>
      <w:bookmarkEnd w:id="22"/>
      <w:bookmarkEnd w:id="23"/>
    </w:p>
    <w:p w14:paraId="6502B87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 xml:space="preserve">名    称：南通轨道交通集团有限公司                                </w:t>
      </w:r>
    </w:p>
    <w:p w14:paraId="3850DAA7">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 xml:space="preserve">地    址：南通市崇川区崇川路158号20楼资产合约部  </w:t>
      </w:r>
    </w:p>
    <w:p w14:paraId="01DCA595">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联系方式：李先生</w:t>
      </w:r>
    </w:p>
    <w:p w14:paraId="383698C1">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联系电话：0513-69900265</w:t>
      </w:r>
    </w:p>
    <w:p w14:paraId="78992AE4">
      <w:pPr>
        <w:pageBreakBefore w:val="0"/>
        <w:kinsoku/>
        <w:overflowPunct/>
        <w:bidi w:val="0"/>
        <w:spacing w:line="360" w:lineRule="auto"/>
        <w:ind w:right="-101" w:rightChars="-48" w:firstLine="480" w:firstLineChars="200"/>
        <w:rPr>
          <w:rFonts w:ascii="宋体" w:hAnsi="宋体" w:cs="宋体"/>
          <w:sz w:val="24"/>
          <w:highlight w:val="none"/>
        </w:rPr>
      </w:pPr>
      <w:bookmarkStart w:id="24" w:name="_Toc24651"/>
      <w:r>
        <w:rPr>
          <w:rFonts w:hint="eastAsia" w:ascii="宋体" w:hAnsi="宋体" w:cs="宋体"/>
          <w:sz w:val="24"/>
          <w:highlight w:val="none"/>
        </w:rPr>
        <w:t>监督部门联系地址：南通市崇川区崇川路158号21楼督查审计部</w:t>
      </w:r>
    </w:p>
    <w:p w14:paraId="463F3393">
      <w:pPr>
        <w:pageBreakBefore w:val="0"/>
        <w:kinsoku/>
        <w:overflowPunct/>
        <w:bidi w:val="0"/>
        <w:spacing w:line="360" w:lineRule="auto"/>
        <w:ind w:right="-101" w:rightChars="-48" w:firstLine="480" w:firstLineChars="200"/>
        <w:rPr>
          <w:rFonts w:ascii="宋体" w:hAnsi="宋体" w:cs="宋体"/>
          <w:bCs/>
          <w:sz w:val="24"/>
          <w:highlight w:val="none"/>
        </w:rPr>
      </w:pPr>
      <w:r>
        <w:rPr>
          <w:rFonts w:hint="eastAsia" w:ascii="宋体" w:hAnsi="宋体" w:cs="宋体"/>
          <w:sz w:val="24"/>
          <w:highlight w:val="none"/>
        </w:rPr>
        <w:t>监督部门联系电话：0513-69900271</w:t>
      </w:r>
      <w:bookmarkEnd w:id="24"/>
    </w:p>
    <w:p w14:paraId="400B7AA2">
      <w:pPr>
        <w:pageBreakBefore w:val="0"/>
        <w:kinsoku/>
        <w:overflowPunct/>
        <w:bidi w:val="0"/>
        <w:spacing w:line="360" w:lineRule="auto"/>
        <w:ind w:right="-92" w:rightChars="-44"/>
        <w:jc w:val="center"/>
        <w:outlineLvl w:val="0"/>
        <w:rPr>
          <w:rFonts w:ascii="宋体" w:hAnsi="宋体"/>
          <w:b/>
          <w:bCs/>
          <w:sz w:val="32"/>
          <w:szCs w:val="32"/>
          <w:highlight w:val="none"/>
        </w:rPr>
      </w:pPr>
      <w:bookmarkStart w:id="25" w:name="_Toc11734"/>
      <w:bookmarkStart w:id="26" w:name="_Toc32507"/>
      <w:bookmarkStart w:id="27" w:name="_Toc26213"/>
      <w:bookmarkStart w:id="28" w:name="_Toc27473"/>
      <w:r>
        <w:rPr>
          <w:rFonts w:hint="eastAsia" w:ascii="宋体" w:hAnsi="宋体"/>
          <w:b/>
          <w:bCs/>
          <w:sz w:val="32"/>
          <w:szCs w:val="32"/>
          <w:highlight w:val="none"/>
        </w:rPr>
        <w:br w:type="page"/>
      </w:r>
      <w:bookmarkStart w:id="29" w:name="_Toc24746"/>
      <w:r>
        <w:rPr>
          <w:rFonts w:hint="eastAsia" w:ascii="宋体" w:hAnsi="宋体"/>
          <w:b/>
          <w:bCs/>
          <w:sz w:val="32"/>
          <w:szCs w:val="32"/>
          <w:highlight w:val="none"/>
        </w:rPr>
        <w:t xml:space="preserve">第二章  </w:t>
      </w:r>
      <w:bookmarkEnd w:id="25"/>
      <w:bookmarkEnd w:id="26"/>
      <w:bookmarkEnd w:id="27"/>
      <w:bookmarkEnd w:id="28"/>
      <w:bookmarkEnd w:id="29"/>
      <w:r>
        <w:rPr>
          <w:rFonts w:hint="eastAsia" w:ascii="宋体" w:hAnsi="宋体"/>
          <w:b/>
          <w:bCs/>
          <w:sz w:val="32"/>
          <w:szCs w:val="32"/>
          <w:highlight w:val="none"/>
        </w:rPr>
        <w:t>参选须知</w:t>
      </w:r>
    </w:p>
    <w:p w14:paraId="14D56A95">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30" w:name="_Toc10879"/>
      <w:bookmarkStart w:id="31" w:name="_Toc21125"/>
      <w:bookmarkStart w:id="32" w:name="_Toc27566"/>
      <w:r>
        <w:rPr>
          <w:rFonts w:hint="eastAsia" w:ascii="宋体" w:hAnsi="宋体" w:cs="宋体"/>
          <w:b/>
          <w:sz w:val="24"/>
          <w:highlight w:val="none"/>
        </w:rPr>
        <w:t>一、总则</w:t>
      </w:r>
      <w:bookmarkEnd w:id="30"/>
      <w:bookmarkEnd w:id="31"/>
    </w:p>
    <w:p w14:paraId="4D46C55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33" w:name="_Hlt16619475"/>
      <w:bookmarkEnd w:id="33"/>
      <w:bookmarkStart w:id="34" w:name="_Toc458694821"/>
      <w:bookmarkStart w:id="35" w:name="_Toc29623"/>
      <w:bookmarkStart w:id="36" w:name="_Toc513029204"/>
      <w:bookmarkStart w:id="37" w:name="_Toc16938520"/>
      <w:bookmarkStart w:id="38" w:name="_Toc20823276"/>
      <w:r>
        <w:rPr>
          <w:rFonts w:hint="eastAsia" w:ascii="宋体" w:hAnsi="宋体" w:eastAsia="宋体" w:cs="宋体"/>
          <w:sz w:val="24"/>
          <w:szCs w:val="24"/>
          <w:highlight w:val="none"/>
        </w:rPr>
        <w:t>1</w:t>
      </w:r>
      <w:bookmarkEnd w:id="34"/>
      <w:r>
        <w:rPr>
          <w:rFonts w:hint="eastAsia" w:ascii="宋体" w:hAnsi="宋体" w:eastAsia="宋体" w:cs="宋体"/>
          <w:sz w:val="24"/>
          <w:szCs w:val="24"/>
          <w:highlight w:val="none"/>
        </w:rPr>
        <w:t>、比选方式</w:t>
      </w:r>
      <w:bookmarkEnd w:id="35"/>
      <w:bookmarkEnd w:id="36"/>
      <w:bookmarkEnd w:id="37"/>
      <w:bookmarkEnd w:id="38"/>
    </w:p>
    <w:p w14:paraId="25CCD8B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采取公开比选方式，本比选文件仅适用于比选公告中所述项目。</w:t>
      </w:r>
    </w:p>
    <w:p w14:paraId="4CED364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39" w:name="_Toc16938521"/>
      <w:bookmarkStart w:id="40" w:name="_Toc20823277"/>
      <w:bookmarkStart w:id="41" w:name="_Toc513029205"/>
      <w:bookmarkStart w:id="42" w:name="_Toc30478"/>
      <w:r>
        <w:rPr>
          <w:rFonts w:hint="eastAsia" w:ascii="宋体" w:hAnsi="宋体" w:eastAsia="宋体" w:cs="宋体"/>
          <w:sz w:val="24"/>
          <w:szCs w:val="24"/>
          <w:highlight w:val="none"/>
        </w:rPr>
        <w:t>2、</w:t>
      </w:r>
      <w:bookmarkEnd w:id="39"/>
      <w:bookmarkEnd w:id="40"/>
      <w:bookmarkEnd w:id="41"/>
      <w:bookmarkStart w:id="43" w:name="_Toc16938522"/>
      <w:bookmarkStart w:id="44" w:name="_Toc513029206"/>
      <w:bookmarkStart w:id="45" w:name="_Toc20823278"/>
      <w:r>
        <w:rPr>
          <w:rFonts w:hint="eastAsia" w:ascii="宋体" w:hAnsi="宋体" w:eastAsia="宋体" w:cs="宋体"/>
          <w:sz w:val="24"/>
          <w:szCs w:val="24"/>
          <w:highlight w:val="none"/>
        </w:rPr>
        <w:t>适用法律</w:t>
      </w:r>
      <w:bookmarkEnd w:id="42"/>
      <w:bookmarkEnd w:id="43"/>
      <w:bookmarkEnd w:id="44"/>
      <w:bookmarkEnd w:id="45"/>
    </w:p>
    <w:p w14:paraId="452E847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本次比选及由此产生的合同受中华人民共和国有关的法律法规制约和保护。</w:t>
      </w:r>
    </w:p>
    <w:p w14:paraId="7D21C93F">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46" w:name="_Toc5374"/>
      <w:bookmarkStart w:id="47" w:name="_Toc4689"/>
      <w:r>
        <w:rPr>
          <w:rFonts w:hint="eastAsia" w:ascii="宋体" w:hAnsi="宋体" w:cs="宋体"/>
          <w:b/>
          <w:sz w:val="24"/>
          <w:highlight w:val="none"/>
        </w:rPr>
        <w:t>二、比选文件构成</w:t>
      </w:r>
      <w:bookmarkEnd w:id="46"/>
      <w:bookmarkEnd w:id="47"/>
    </w:p>
    <w:p w14:paraId="42A9DDE6">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比选文件由以下部分组成：</w:t>
      </w:r>
    </w:p>
    <w:p w14:paraId="7CA8BC8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（1）比选公告</w:t>
      </w:r>
    </w:p>
    <w:p w14:paraId="0F81072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（2）参选须知</w:t>
      </w:r>
    </w:p>
    <w:p w14:paraId="14272F83">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（3）用户需求书</w:t>
      </w:r>
    </w:p>
    <w:p w14:paraId="6362516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（4）评选方法与评选标准</w:t>
      </w:r>
    </w:p>
    <w:p w14:paraId="4BB59096">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（5）合同条款</w:t>
      </w:r>
    </w:p>
    <w:p w14:paraId="4F5EB4DC">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（6）质疑提出和处理</w:t>
      </w:r>
    </w:p>
    <w:p w14:paraId="6FBD98F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（7）参选文件组成</w:t>
      </w:r>
    </w:p>
    <w:p w14:paraId="7F66EFD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对比选文件所作的澄清、修改，构成比选文件的组成部分。</w:t>
      </w:r>
    </w:p>
    <w:p w14:paraId="538C9288">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48" w:name="_Toc217"/>
      <w:bookmarkStart w:id="49" w:name="_Toc15355"/>
      <w:r>
        <w:rPr>
          <w:rFonts w:hint="eastAsia" w:ascii="宋体" w:hAnsi="宋体" w:cs="宋体"/>
          <w:b/>
          <w:sz w:val="24"/>
          <w:highlight w:val="none"/>
        </w:rPr>
        <w:t>三、比选文件由比选人解释</w:t>
      </w:r>
      <w:bookmarkEnd w:id="48"/>
      <w:bookmarkEnd w:id="49"/>
    </w:p>
    <w:p w14:paraId="4E1DE18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1、参选人下载比选文件后，应仔细检查比选文件的所有内容，如对采购活动事项有疑问的，应当在2025年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日9时30分前以电子邮件形式提出询问或疑问（</w:t>
      </w:r>
      <w:r>
        <w:rPr>
          <w:rFonts w:hint="eastAsia" w:ascii="宋体" w:hAnsi="宋体" w:eastAsia="宋体" w:cs="宋体"/>
          <w:b/>
          <w:bCs/>
          <w:sz w:val="24"/>
          <w:szCs w:val="24"/>
          <w:highlight w:val="none"/>
        </w:rPr>
        <w:t>邮箱为</w:t>
      </w:r>
      <w:r>
        <w:rPr>
          <w:rFonts w:ascii="Verdana" w:hAnsi="Verdana" w:eastAsia="Verdana" w:cs="Verdana"/>
          <w:b/>
          <w:bCs/>
          <w:i w:val="0"/>
          <w:iCs w:val="0"/>
          <w:caps w:val="0"/>
          <w:color w:val="000000"/>
          <w:spacing w:val="0"/>
          <w:sz w:val="18"/>
          <w:szCs w:val="18"/>
          <w:highlight w:val="none"/>
          <w:shd w:val="clear" w:fill="FFFFFF"/>
        </w:rPr>
        <w:t>nantonglpc@qq.com</w:t>
      </w:r>
      <w:r>
        <w:rPr>
          <w:rFonts w:hint="eastAsia" w:ascii="宋体" w:hAnsi="宋体" w:eastAsia="宋体" w:cs="宋体"/>
          <w:sz w:val="24"/>
          <w:szCs w:val="24"/>
          <w:highlight w:val="none"/>
        </w:rPr>
        <w:t>），未在规定时间内提出询问或疑问的，视同参选人理解并接受本比选文件所有内容，并由此引起的损失自负。答疑文件会在南通轨道交通集团有限公司官网发布，参选人应及时查看，因参选人错看漏看引起的一切问题由参选人自行承担。</w:t>
      </w:r>
    </w:p>
    <w:p w14:paraId="42E2FEA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参选人应认真审阅比选文件中所有的事项、格式、条款和规范要求等，如果参选人没有按照比选文件要求提交参选文件，或者参选文件没有对比选文件做出实质性响应，其参选将被拒绝，参选人自行承担责任。</w:t>
      </w:r>
    </w:p>
    <w:bookmarkEnd w:id="32"/>
    <w:p w14:paraId="30924482">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50" w:name="_Toc15402"/>
      <w:bookmarkStart w:id="51" w:name="_Toc6214"/>
      <w:bookmarkStart w:id="52" w:name="_Toc25909"/>
      <w:r>
        <w:rPr>
          <w:rFonts w:hint="eastAsia" w:ascii="宋体" w:hAnsi="宋体" w:cs="宋体"/>
          <w:b/>
          <w:sz w:val="24"/>
          <w:highlight w:val="none"/>
        </w:rPr>
        <w:t>四、比选文件的澄清、修改</w:t>
      </w:r>
      <w:bookmarkEnd w:id="50"/>
      <w:bookmarkEnd w:id="51"/>
    </w:p>
    <w:bookmarkEnd w:id="52"/>
    <w:p w14:paraId="22EA070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比选人有权对发出的比选文件进行必要的澄清或修改。修改比选文件的时间距参选截止时间不足3日的，并且修改内容可能影响参选文件编制的，将相应延长参选截止时间。澄清文件会在南通轨道交通集团有限公司官网发布，参选人应及时查看，因参选人错看漏看引起的一切问题由参选人自行承担。</w:t>
      </w:r>
    </w:p>
    <w:p w14:paraId="6C453B6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2、比选人对比选文件的澄清、修改将构成比选文件的一部分，对参选人具有约束力。</w:t>
      </w:r>
    </w:p>
    <w:p w14:paraId="1EC327B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53" w:name="_Toc22603"/>
      <w:bookmarkStart w:id="54" w:name="_Toc13695"/>
      <w:bookmarkStart w:id="55" w:name="_Toc8201"/>
      <w:r>
        <w:rPr>
          <w:rFonts w:hint="eastAsia" w:ascii="宋体" w:hAnsi="宋体" w:eastAsia="宋体" w:cs="宋体"/>
          <w:sz w:val="24"/>
          <w:szCs w:val="24"/>
          <w:highlight w:val="none"/>
        </w:rPr>
        <w:t>1、参选文件的组成</w:t>
      </w:r>
    </w:p>
    <w:p w14:paraId="55AB786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参选文件由资格审查部分、商务参选部分、技术参选部分、报价参选部分、电子参选文件（电子U盘）组成。资格审查部分、商务参选部分、技术参选部分、报价参选部分具体内容详见第七章，电子参选文件须含资格审查部分、商务参选部分、技术参选部分、报价参选部分的全部内容，格式为.doc。</w:t>
      </w:r>
    </w:p>
    <w:p w14:paraId="55BBACE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2、参选文件的编制</w:t>
      </w:r>
    </w:p>
    <w:p w14:paraId="7AC96DE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2.1 参选文件应按第七章“参选文件组成”进行编写，如有必要，可以增加附页，作为参选文件的组成部分。</w:t>
      </w:r>
    </w:p>
    <w:p w14:paraId="3EB4534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14:paraId="7994E3C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3、参选文件的密封</w:t>
      </w:r>
    </w:p>
    <w:p w14:paraId="18F22D2C">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3.1参选人的参选文件包括资格审查文件、商务参选文件、技术参选文件、报价参选文件、电子参选文件（电子U盘）。一式伍份，其中正本壹份，副本肆份。</w:t>
      </w:r>
    </w:p>
    <w:p w14:paraId="2BF2C46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3.2参选人应将资格审查文件、商务参选文件、技术参选文件、报价文件分别密封在密封袋里，并在封袋标明“资格审查文件”“商务参选文件”、“技术参选文件”、“报价参选文件”，同时还要写明比选人名称、项目名称、参选人名称。电子参选文件（电子U盘）一份应分别密封。所有参选文件的密封袋上均应加盖参选人公章。</w:t>
      </w:r>
    </w:p>
    <w:p w14:paraId="7563B95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3.3参选文件正、副本可统一密封于一个密封袋，如正本和副本分别密封的，应在封袋上标明正、副本字样。</w:t>
      </w:r>
    </w:p>
    <w:p w14:paraId="69EE834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3.4未按本章第3.1项要求密封和加写标记的参选文件，比选人不予受理。</w:t>
      </w:r>
    </w:p>
    <w:p w14:paraId="0FDB9F79">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六、</w:t>
      </w:r>
      <w:bookmarkEnd w:id="53"/>
      <w:bookmarkEnd w:id="54"/>
      <w:r>
        <w:rPr>
          <w:rFonts w:hint="eastAsia" w:ascii="宋体" w:hAnsi="宋体" w:eastAsia="宋体" w:cs="宋体"/>
          <w:sz w:val="24"/>
          <w:szCs w:val="24"/>
          <w:highlight w:val="none"/>
        </w:rPr>
        <w:t>参选报价</w:t>
      </w:r>
    </w:p>
    <w:bookmarkEnd w:id="55"/>
    <w:p w14:paraId="5AF5C21D">
      <w:pPr>
        <w:pStyle w:val="17"/>
        <w:pageBreakBefore w:val="0"/>
        <w:kinsoku/>
        <w:overflowPunct/>
        <w:bidi w:val="0"/>
        <w:spacing w:line="360" w:lineRule="auto"/>
        <w:ind w:left="0" w:right="-101" w:rightChars="-48" w:firstLine="482" w:firstLineChars="200"/>
        <w:contextualSpacing/>
        <w:rPr>
          <w:rFonts w:ascii="宋体" w:hAnsi="宋体" w:eastAsia="宋体" w:cs="宋体"/>
          <w:sz w:val="24"/>
          <w:szCs w:val="24"/>
          <w:highlight w:val="none"/>
        </w:rPr>
      </w:pPr>
      <w:bookmarkStart w:id="56" w:name="_Toc7787"/>
      <w:r>
        <w:rPr>
          <w:rFonts w:hint="eastAsia" w:ascii="宋体" w:hAnsi="宋体" w:eastAsia="宋体" w:cs="宋体"/>
          <w:b/>
          <w:bCs/>
          <w:sz w:val="24"/>
          <w:szCs w:val="24"/>
          <w:highlight w:val="none"/>
          <w:u w:val="single"/>
        </w:rPr>
        <w:t>本项目按照招标代理服务和造价咨询服务的报价系数进行报价，比选时各参选人对报价系数进行自由报价。比选结束后最终取三家入围服务单位中最低</w:t>
      </w:r>
      <w:r>
        <w:rPr>
          <w:rFonts w:hint="eastAsia" w:ascii="宋体" w:hAnsi="宋体" w:eastAsia="宋体" w:cs="宋体"/>
          <w:b/>
          <w:bCs/>
          <w:sz w:val="24"/>
          <w:szCs w:val="24"/>
          <w:highlight w:val="none"/>
          <w:u w:val="single"/>
          <w:lang w:eastAsia="zh-CN"/>
        </w:rPr>
        <w:t>的</w:t>
      </w:r>
      <w:r>
        <w:rPr>
          <w:rFonts w:hint="eastAsia" w:ascii="宋体" w:hAnsi="宋体" w:eastAsia="宋体" w:cs="宋体"/>
          <w:b/>
          <w:bCs/>
          <w:sz w:val="24"/>
          <w:szCs w:val="24"/>
          <w:highlight w:val="none"/>
          <w:u w:val="single"/>
        </w:rPr>
        <w:t>报价系数作为</w:t>
      </w:r>
      <w:r>
        <w:rPr>
          <w:rFonts w:hint="eastAsia" w:ascii="宋体" w:hAnsi="宋体" w:eastAsia="宋体" w:cs="宋体"/>
          <w:b/>
          <w:bCs/>
          <w:sz w:val="24"/>
          <w:szCs w:val="24"/>
          <w:highlight w:val="none"/>
          <w:u w:val="single"/>
          <w:lang w:val="en-US" w:eastAsia="zh-CN"/>
        </w:rPr>
        <w:t>所有服务单位的</w:t>
      </w:r>
      <w:r>
        <w:rPr>
          <w:rFonts w:hint="eastAsia" w:ascii="宋体" w:hAnsi="宋体" w:eastAsia="宋体" w:cs="宋体"/>
          <w:b/>
          <w:bCs/>
          <w:sz w:val="24"/>
          <w:szCs w:val="24"/>
          <w:highlight w:val="none"/>
          <w:u w:val="single"/>
        </w:rPr>
        <w:t>最终报价系数签订框架服务合同，参选人须在参选文件中提供相关承诺文件。</w:t>
      </w:r>
    </w:p>
    <w:p w14:paraId="22716DF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1、招标代理服务费用</w:t>
      </w:r>
    </w:p>
    <w:p w14:paraId="50CBA69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由各参选人进行自由报价，根据国家计委计价格[2002]1980号文和发改价格[2011]534号文中的服务类或工程类或货物类招标代理服务费的基准费率填写一个报价系数（实际招标代理服务收费=项目中标金额×相应基准费率×报价系数，其中0＜报价系数必须≤0.6，代理服务费不足2000/3500元(进入南通市交易中心交易的项目按3500元计取，其余的按2000元计取)的按2000/3500元计算，代理服务费超过100000元的按照100000元进行计算）。</w:t>
      </w:r>
    </w:p>
    <w:p w14:paraId="581F5319">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招标代理费用包括招投标场地费、信息发布费、评标专家费、招标文件编制及审查专家费、资料费等全过程代理费用。</w:t>
      </w:r>
    </w:p>
    <w:p w14:paraId="73FC3813">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招标代理服务费计算方法：</w:t>
      </w:r>
    </w:p>
    <w:p w14:paraId="08ECBE8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①实际招标代理服务收费=项目中标金额为基数×基准费率×报价系数。</w:t>
      </w:r>
    </w:p>
    <w:p w14:paraId="6DBBA72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②按照比选人的每一次招标子项分别计算服务费。如果同一个招标文件中分为若干标段的同时招标，则按照该招标文件中所有标段中标总价计算的合同总价为基数。若招标采购项目无法体现中标价，则代理服务费按照2000/3500元(进入南通市交易中心交易的项目按3500元计取，其余的按2000元计取)计算。</w:t>
      </w:r>
    </w:p>
    <w:p w14:paraId="78A6996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③同一项目因流标、投诉等原因引起的重新招标，无论招标次数，均计取一次招标代理服务费。（多标段项目其中部分标段因流标、投诉等原因引起的重新招标，则视作独自招标子项分别计算服务费，例如：假设某一招标子项分为01标与02标，第一次开标后01中标，中标价200万元，02标流标，后续02标重新进行招标，中标价150万元，则分别按中标价200万元与150万元计算两次代理服务费）</w:t>
      </w:r>
    </w:p>
    <w:p w14:paraId="6366B38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④代理服务收费按差额定率分档累进法计算。例如：假设代理单位中标报价系数为0.5，然后承担了某货物类招标，招标文件中货物类招标分为三个标段，三个标段中标价分别为 2500 万、3000 万、5000 万，则该次招标的代理服务费用计算如下：</w:t>
      </w:r>
    </w:p>
    <w:p w14:paraId="67221AF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｛100×1.5%+（500-100）×1.1%+（1000-500）×0.8%+（5000-1000）×0.5%+（10000-5000）×0.25% +（10500-10000）×0.05%｝×0.5）=21.325万元。</w:t>
      </w:r>
    </w:p>
    <w:p w14:paraId="68DACC8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2、造价咨询服务费用</w:t>
      </w:r>
    </w:p>
    <w:p w14:paraId="2A2A55E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由各参选人进行自由报价，造价咨询服务收费的基准费率填写一个报价系数（实际造价咨询服务收费=造价咨询服务成果金额×招标约定的费率×报价系数，其中0＜造价咨询服务报价系数必须≤0.6，单项工程的造价咨询服务费不足1000元按1000元计算）</w:t>
      </w:r>
    </w:p>
    <w:p w14:paraId="6E72B43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造价咨询服务费用参考《省物价局省住房和城乡建设厅关于规范工程造价咨询服务收费标准及有关事项的通知》（苏价服[2014]383号）指导性收费标准，相关标准费率或价格约定如下。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50"/>
        <w:gridCol w:w="5851"/>
      </w:tblGrid>
      <w:tr w14:paraId="1313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auto"/>
            <w:vAlign w:val="center"/>
          </w:tcPr>
          <w:p w14:paraId="239F9572">
            <w:pPr>
              <w:pageBreakBefore w:val="0"/>
              <w:kinsoku/>
              <w:overflowPunct/>
              <w:bidi w:val="0"/>
              <w:spacing w:line="360" w:lineRule="auto"/>
              <w:ind w:right="-42" w:rightChars="-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50" w:type="dxa"/>
            <w:shd w:val="clear" w:color="auto" w:fill="auto"/>
            <w:vAlign w:val="center"/>
          </w:tcPr>
          <w:p w14:paraId="0115805F">
            <w:pPr>
              <w:pageBreakBefore w:val="0"/>
              <w:kinsoku/>
              <w:overflowPunct/>
              <w:bidi w:val="0"/>
              <w:spacing w:line="360" w:lineRule="auto"/>
              <w:ind w:right="-42" w:rightChars="-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w:t>
            </w:r>
          </w:p>
        </w:tc>
        <w:tc>
          <w:tcPr>
            <w:tcW w:w="5851" w:type="dxa"/>
            <w:shd w:val="clear" w:color="auto" w:fill="auto"/>
            <w:vAlign w:val="center"/>
          </w:tcPr>
          <w:p w14:paraId="7DBE3358">
            <w:pPr>
              <w:pageBreakBefore w:val="0"/>
              <w:kinsoku/>
              <w:overflowPunct/>
              <w:bidi w:val="0"/>
              <w:spacing w:line="360" w:lineRule="auto"/>
              <w:ind w:right="-42" w:rightChars="-2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费率或价格</w:t>
            </w:r>
          </w:p>
        </w:tc>
      </w:tr>
      <w:tr w14:paraId="043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3436A82">
            <w:pPr>
              <w:pageBreakBefore w:val="0"/>
              <w:kinsoku/>
              <w:overflowPunct/>
              <w:bidi w:val="0"/>
              <w:spacing w:line="360" w:lineRule="auto"/>
              <w:ind w:right="-42" w:rightChars="-20"/>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1</w:t>
            </w:r>
          </w:p>
        </w:tc>
        <w:tc>
          <w:tcPr>
            <w:tcW w:w="1950" w:type="dxa"/>
            <w:vAlign w:val="center"/>
          </w:tcPr>
          <w:p w14:paraId="52B40DCC">
            <w:pPr>
              <w:pageBreakBefore w:val="0"/>
              <w:kinsoku/>
              <w:overflowPunct/>
              <w:bidi w:val="0"/>
              <w:spacing w:line="360" w:lineRule="auto"/>
              <w:ind w:right="-42" w:rightChars="-20"/>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招标控制价编制</w:t>
            </w:r>
          </w:p>
        </w:tc>
        <w:tc>
          <w:tcPr>
            <w:tcW w:w="5851" w:type="dxa"/>
          </w:tcPr>
          <w:p w14:paraId="0D3348B5">
            <w:pPr>
              <w:pageBreakBefore w:val="0"/>
              <w:kinsoku/>
              <w:overflowPunct/>
              <w:bidi w:val="0"/>
              <w:spacing w:line="360" w:lineRule="auto"/>
              <w:ind w:right="-42" w:rightChars="-2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按照《省物价局 省住房和城乡建设厅关于规范工程造价咨询服务收费标准及有关事项的通知》（苏价服[2014]383号）标准，基数为招标控制价编制成果金额，标准费率1.6‰。</w:t>
            </w:r>
          </w:p>
        </w:tc>
      </w:tr>
      <w:tr w14:paraId="7F6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DE9D9D1">
            <w:pPr>
              <w:pageBreakBefore w:val="0"/>
              <w:kinsoku/>
              <w:overflowPunct/>
              <w:bidi w:val="0"/>
              <w:spacing w:line="360" w:lineRule="auto"/>
              <w:ind w:right="-42" w:rightChars="-20"/>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2</w:t>
            </w:r>
          </w:p>
        </w:tc>
        <w:tc>
          <w:tcPr>
            <w:tcW w:w="1950" w:type="dxa"/>
            <w:vAlign w:val="center"/>
          </w:tcPr>
          <w:p w14:paraId="745DF630">
            <w:pPr>
              <w:pageBreakBefore w:val="0"/>
              <w:kinsoku/>
              <w:overflowPunct/>
              <w:bidi w:val="0"/>
              <w:spacing w:line="360" w:lineRule="auto"/>
              <w:ind w:right="-42" w:rightChars="-20"/>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招标控制价审核</w:t>
            </w:r>
          </w:p>
        </w:tc>
        <w:tc>
          <w:tcPr>
            <w:tcW w:w="5851" w:type="dxa"/>
            <w:vAlign w:val="center"/>
          </w:tcPr>
          <w:p w14:paraId="5AD68440">
            <w:pPr>
              <w:pageBreakBefore w:val="0"/>
              <w:kinsoku/>
              <w:overflowPunct/>
              <w:bidi w:val="0"/>
              <w:spacing w:line="360" w:lineRule="auto"/>
              <w:ind w:right="-42" w:rightChars="-2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按招标控制价编制标准费率的50%计取。</w:t>
            </w:r>
          </w:p>
        </w:tc>
      </w:tr>
      <w:tr w14:paraId="4C75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F52E283">
            <w:pPr>
              <w:pageBreakBefore w:val="0"/>
              <w:kinsoku/>
              <w:overflowPunct/>
              <w:bidi w:val="0"/>
              <w:spacing w:line="360" w:lineRule="auto"/>
              <w:ind w:right="-42" w:rightChars="-20"/>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3</w:t>
            </w:r>
          </w:p>
        </w:tc>
        <w:tc>
          <w:tcPr>
            <w:tcW w:w="1950" w:type="dxa"/>
            <w:vAlign w:val="center"/>
          </w:tcPr>
          <w:p w14:paraId="26844FFD">
            <w:pPr>
              <w:pageBreakBefore w:val="0"/>
              <w:kinsoku/>
              <w:overflowPunct/>
              <w:bidi w:val="0"/>
              <w:spacing w:line="360" w:lineRule="auto"/>
              <w:ind w:right="-42" w:rightChars="-2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竣工结算</w:t>
            </w:r>
            <w:r>
              <w:rPr>
                <w:rFonts w:hint="eastAsia" w:ascii="宋体" w:hAnsi="宋体" w:cs="宋体"/>
                <w:color w:val="000000" w:themeColor="text1"/>
                <w:sz w:val="24"/>
                <w:highlight w:val="none"/>
                <w14:textFill>
                  <w14:solidFill>
                    <w14:schemeClr w14:val="tx1"/>
                  </w14:solidFill>
                </w14:textFill>
              </w:rPr>
              <w:t>审核</w:t>
            </w:r>
          </w:p>
        </w:tc>
        <w:tc>
          <w:tcPr>
            <w:tcW w:w="5851" w:type="dxa"/>
            <w:vAlign w:val="center"/>
          </w:tcPr>
          <w:p w14:paraId="428C8B4D">
            <w:pPr>
              <w:pageBreakBefore w:val="0"/>
              <w:kinsoku/>
              <w:overflowPunct/>
              <w:bidi w:val="0"/>
              <w:spacing w:line="360" w:lineRule="auto"/>
              <w:ind w:right="-42" w:rightChars="-2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按照《省物价局 省住房和城乡建设厅关于规范工程造价咨询服务收费标准及有关事项的通知》（苏价服[2014]383号）标准，本项目中不计取基本收费，仅计取效益收费。效益收费基数为净核减，标准费率6%。</w:t>
            </w:r>
          </w:p>
        </w:tc>
      </w:tr>
    </w:tbl>
    <w:p w14:paraId="60C017D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造价咨询服务费计算方法：</w:t>
      </w:r>
    </w:p>
    <w:p w14:paraId="2B08564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①招标控制价编制服务费和招标控制价审核服务费=项目成果金额*招标文件中约定的标准费率×报价系数，造价咨询服务费不足1000元按1000元计算。</w:t>
      </w:r>
    </w:p>
    <w:p w14:paraId="4795F7E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②招标控制价编制及招标控制价审核费率不按差额累计执行。</w:t>
      </w:r>
    </w:p>
    <w:p w14:paraId="77D7D64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③竣工结算审核服务不计取基本收费，仅计取效益收费，即造价咨询服务费用=净核减额×招标文件中约定的标准费率×报价系数，造价咨询服务费不足1000元按1000元计算。</w:t>
      </w:r>
    </w:p>
    <w:p w14:paraId="4A190AE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参选人应依据国家的有关费用标准和企业自身状况，并对报价的各项因素进行了充分了解和考虑后编制参选报价，并对此报价负责，参选人未报、漏报的内容比选人将认为已包含在参选报价内。</w:t>
      </w:r>
    </w:p>
    <w:p w14:paraId="5414DAC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57" w:name="_Toc19405"/>
      <w:bookmarkStart w:id="58" w:name="_Toc22324"/>
      <w:r>
        <w:rPr>
          <w:rFonts w:hint="eastAsia" w:ascii="宋体" w:hAnsi="宋体" w:eastAsia="宋体" w:cs="宋体"/>
          <w:sz w:val="24"/>
          <w:szCs w:val="24"/>
          <w:highlight w:val="none"/>
        </w:rPr>
        <w:t>七、参选有效期和</w:t>
      </w:r>
      <w:bookmarkEnd w:id="57"/>
      <w:bookmarkEnd w:id="58"/>
      <w:r>
        <w:rPr>
          <w:rFonts w:hint="eastAsia" w:ascii="宋体" w:hAnsi="宋体" w:eastAsia="宋体" w:cs="宋体"/>
          <w:sz w:val="24"/>
          <w:szCs w:val="24"/>
          <w:highlight w:val="none"/>
        </w:rPr>
        <w:t>参选保证金</w:t>
      </w:r>
    </w:p>
    <w:p w14:paraId="041FE2F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1、参选有效期为本项目开标之日后九十天，在参选有效期内参选人不得要求撤销或修改其参选文件。</w:t>
      </w:r>
    </w:p>
    <w:p w14:paraId="22A64AC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14:paraId="1160607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3、参选保证金</w:t>
      </w:r>
    </w:p>
    <w:p w14:paraId="39430293">
      <w:pPr>
        <w:pageBreakBefore w:val="0"/>
        <w:kinsoku/>
        <w:overflowPunct/>
        <w:bidi w:val="0"/>
        <w:spacing w:line="360" w:lineRule="auto"/>
        <w:ind w:right="-101" w:rightChars="-48" w:firstLine="480" w:firstLineChars="200"/>
        <w:rPr>
          <w:rFonts w:ascii="宋体" w:hAnsi="宋体" w:cs="宋体"/>
          <w:sz w:val="24"/>
          <w:highlight w:val="none"/>
        </w:rPr>
      </w:pPr>
      <w:bookmarkStart w:id="59" w:name="_Toc10623"/>
      <w:r>
        <w:rPr>
          <w:rFonts w:hint="eastAsia" w:ascii="宋体" w:hAnsi="宋体" w:cs="宋体"/>
          <w:sz w:val="24"/>
          <w:highlight w:val="none"/>
        </w:rPr>
        <w:t>免收。</w:t>
      </w:r>
    </w:p>
    <w:p w14:paraId="18EDA7AD">
      <w:pPr>
        <w:pageBreakBefore w:val="0"/>
        <w:kinsoku/>
        <w:overflowPunct/>
        <w:bidi w:val="0"/>
        <w:spacing w:line="360" w:lineRule="auto"/>
        <w:ind w:right="-101" w:rightChars="-48" w:firstLine="482" w:firstLineChars="200"/>
        <w:outlineLvl w:val="1"/>
        <w:rPr>
          <w:rFonts w:ascii="宋体" w:hAnsi="宋体" w:cs="宋体"/>
          <w:b/>
          <w:sz w:val="24"/>
          <w:highlight w:val="none"/>
        </w:rPr>
      </w:pPr>
      <w:bookmarkStart w:id="60" w:name="_Toc11793"/>
      <w:r>
        <w:rPr>
          <w:rFonts w:hint="eastAsia" w:ascii="宋体" w:hAnsi="宋体" w:cs="宋体"/>
          <w:b/>
          <w:sz w:val="24"/>
          <w:highlight w:val="none"/>
        </w:rPr>
        <w:t>八、</w:t>
      </w:r>
      <w:bookmarkEnd w:id="59"/>
      <w:bookmarkEnd w:id="60"/>
      <w:r>
        <w:rPr>
          <w:rFonts w:hint="eastAsia" w:ascii="宋体" w:hAnsi="宋体" w:cs="宋体"/>
          <w:b/>
          <w:sz w:val="24"/>
          <w:highlight w:val="none"/>
        </w:rPr>
        <w:t>参选费用</w:t>
      </w:r>
    </w:p>
    <w:bookmarkEnd w:id="56"/>
    <w:p w14:paraId="4B136B52">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1、参选人承担参与比选可能发生的全部费用，比选人在任何情况下均无义务和责任承担这些费用。</w:t>
      </w:r>
    </w:p>
    <w:p w14:paraId="537B99B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2、比选人不收取任何费用。</w:t>
      </w:r>
    </w:p>
    <w:p w14:paraId="548D8CF9">
      <w:pPr>
        <w:pageBreakBefore w:val="0"/>
        <w:kinsoku/>
        <w:overflowPunct/>
        <w:bidi w:val="0"/>
        <w:spacing w:line="360" w:lineRule="auto"/>
        <w:ind w:right="-101" w:rightChars="-48" w:firstLine="482" w:firstLineChars="200"/>
        <w:outlineLvl w:val="1"/>
        <w:rPr>
          <w:rFonts w:ascii="宋体" w:hAnsi="宋体" w:cs="宋体"/>
          <w:b/>
          <w:sz w:val="24"/>
          <w:highlight w:val="none"/>
        </w:rPr>
      </w:pPr>
      <w:r>
        <w:rPr>
          <w:rFonts w:hint="eastAsia" w:ascii="宋体" w:hAnsi="宋体" w:cs="宋体"/>
          <w:b/>
          <w:sz w:val="24"/>
          <w:highlight w:val="none"/>
        </w:rPr>
        <w:t>九、比选与评选流程</w:t>
      </w:r>
    </w:p>
    <w:p w14:paraId="7D0A79B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61" w:name="_Toc17626"/>
      <w:r>
        <w:rPr>
          <w:rFonts w:hint="eastAsia" w:ascii="宋体" w:hAnsi="宋体" w:eastAsia="宋体" w:cs="宋体"/>
          <w:sz w:val="24"/>
          <w:szCs w:val="24"/>
          <w:highlight w:val="none"/>
        </w:rPr>
        <w:t>1、</w:t>
      </w:r>
      <w:bookmarkEnd w:id="61"/>
      <w:bookmarkStart w:id="62" w:name="_Toc13869"/>
      <w:r>
        <w:rPr>
          <w:rFonts w:hint="eastAsia" w:ascii="宋体" w:hAnsi="宋体" w:eastAsia="宋体" w:cs="宋体"/>
          <w:sz w:val="24"/>
          <w:szCs w:val="24"/>
          <w:highlight w:val="none"/>
        </w:rPr>
        <w:t>比选程序</w:t>
      </w:r>
      <w:bookmarkEnd w:id="62"/>
    </w:p>
    <w:p w14:paraId="42F7477B">
      <w:pPr>
        <w:pageBreakBefore w:val="0"/>
        <w:kinsoku/>
        <w:overflowPunct/>
        <w:bidi w:val="0"/>
        <w:spacing w:line="360" w:lineRule="auto"/>
        <w:ind w:right="-101" w:rightChars="-48" w:firstLine="480" w:firstLineChars="200"/>
        <w:rPr>
          <w:rFonts w:ascii="宋体" w:hAnsi="宋体" w:cs="宋体"/>
          <w:kern w:val="0"/>
          <w:sz w:val="24"/>
          <w:highlight w:val="none"/>
        </w:rPr>
      </w:pPr>
      <w:bookmarkStart w:id="63" w:name="_Toc19329"/>
      <w:bookmarkStart w:id="64" w:name="_Toc21198"/>
      <w:r>
        <w:rPr>
          <w:rFonts w:hint="eastAsia" w:ascii="宋体" w:hAnsi="宋体" w:cs="宋体"/>
          <w:kern w:val="0"/>
          <w:sz w:val="24"/>
          <w:highlight w:val="none"/>
        </w:rPr>
        <w:t>（1）公布在参选截止时间前递交参选文件的参选人名称，点名确认是否按比选文件要求派人到场；</w:t>
      </w:r>
    </w:p>
    <w:p w14:paraId="2CF45CD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（2）由参选人代表相互检查参选文件密封情况，并由参选人确认是否回避；</w:t>
      </w:r>
    </w:p>
    <w:p w14:paraId="19065256">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（3）评选委员会进行评审；</w:t>
      </w:r>
    </w:p>
    <w:p w14:paraId="6851A301">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（4）宣布评审结果；</w:t>
      </w:r>
    </w:p>
    <w:p w14:paraId="2614F5D8">
      <w:pPr>
        <w:pageBreakBefore w:val="0"/>
        <w:kinsoku/>
        <w:overflowPunct/>
        <w:bidi w:val="0"/>
        <w:spacing w:line="360" w:lineRule="auto"/>
        <w:ind w:right="-101" w:rightChars="-48" w:firstLine="480" w:firstLineChars="200"/>
        <w:rPr>
          <w:rFonts w:ascii="宋体" w:hAnsi="宋体" w:cs="宋体"/>
          <w:sz w:val="24"/>
          <w:highlight w:val="none"/>
        </w:rPr>
      </w:pPr>
      <w:r>
        <w:rPr>
          <w:rFonts w:hint="eastAsia" w:ascii="宋体" w:hAnsi="宋体" w:cs="宋体"/>
          <w:sz w:val="24"/>
          <w:highlight w:val="none"/>
        </w:rPr>
        <w:t>（5）会议结束。</w:t>
      </w:r>
    </w:p>
    <w:p w14:paraId="21C9DF5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2、评选委员会</w:t>
      </w:r>
      <w:bookmarkEnd w:id="63"/>
    </w:p>
    <w:p w14:paraId="585D38DD">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评选由比选人依法组建的评选委员会负责，评选委员会由比选人熟悉相关业务的代表，以及有关技术、经济等方面的专家组成，评委委员构成为5人及以上的单数。</w:t>
      </w:r>
    </w:p>
    <w:p w14:paraId="145D94B0">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65" w:name="_Toc1289"/>
      <w:r>
        <w:rPr>
          <w:rFonts w:hint="eastAsia" w:ascii="宋体" w:hAnsi="宋体" w:eastAsia="宋体" w:cs="宋体"/>
          <w:sz w:val="24"/>
          <w:szCs w:val="24"/>
          <w:highlight w:val="none"/>
        </w:rPr>
        <w:t>3、</w:t>
      </w:r>
      <w:bookmarkEnd w:id="65"/>
      <w:r>
        <w:rPr>
          <w:rFonts w:hint="eastAsia" w:ascii="宋体" w:hAnsi="宋体" w:eastAsia="宋体" w:cs="宋体"/>
          <w:sz w:val="24"/>
          <w:szCs w:val="24"/>
          <w:highlight w:val="none"/>
        </w:rPr>
        <w:t>评选</w:t>
      </w:r>
    </w:p>
    <w:p w14:paraId="5300C9E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评选活动遵循公平、公正、科学和择优的原则。评选委员会按照第四章“评选办法与评选标准”规定的方法、评审因素、标准和程序对参选文件进行评审。第四章“评选办法与评选标准”没有规定的方法、评审因素和标准，不作为评选依据。</w:t>
      </w:r>
    </w:p>
    <w:p w14:paraId="64D5D1F6">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对参选文件中含义不明确、同类问题表述不一致或者有明显文字和计算错误的内容，评选委员会可以要求参选人做出必要的澄清、说明或者纠正。参选人的澄清、说明或者补正应当采用书面形式，由其授权的代表签字，并不得超出参选文件的范围或者改变参选文件的实质性内容。</w:t>
      </w:r>
    </w:p>
    <w:p w14:paraId="0EBCE82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若某标段中选人放弃中选或者因被投诉且已查实的，不影响其他标段结果，比选人将组织该标段重新比选。</w:t>
      </w:r>
    </w:p>
    <w:bookmarkEnd w:id="64"/>
    <w:p w14:paraId="3EB3DBF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bookmarkStart w:id="66" w:name="_Toc483"/>
    </w:p>
    <w:p w14:paraId="03B4D95E">
      <w:pPr>
        <w:pageBreakBefore w:val="0"/>
        <w:kinsoku/>
        <w:overflowPunct/>
        <w:bidi w:val="0"/>
        <w:spacing w:line="360" w:lineRule="auto"/>
        <w:ind w:right="-101" w:rightChars="-48"/>
        <w:jc w:val="center"/>
        <w:outlineLvl w:val="0"/>
        <w:rPr>
          <w:rFonts w:ascii="宋体" w:hAnsi="宋体"/>
          <w:b/>
          <w:bCs/>
          <w:sz w:val="32"/>
          <w:szCs w:val="32"/>
          <w:highlight w:val="none"/>
        </w:rPr>
      </w:pPr>
      <w:r>
        <w:rPr>
          <w:rFonts w:hint="eastAsia" w:ascii="宋体" w:hAnsi="宋体"/>
          <w:b/>
          <w:bCs/>
          <w:sz w:val="32"/>
          <w:szCs w:val="32"/>
          <w:highlight w:val="none"/>
        </w:rPr>
        <w:t>第三章  用户需求书</w:t>
      </w:r>
    </w:p>
    <w:bookmarkEnd w:id="5"/>
    <w:bookmarkEnd w:id="6"/>
    <w:bookmarkEnd w:id="7"/>
    <w:bookmarkEnd w:id="66"/>
    <w:p w14:paraId="574DA85A">
      <w:pPr>
        <w:pageBreakBefore w:val="0"/>
        <w:kinsoku/>
        <w:overflowPunct/>
        <w:bidi w:val="0"/>
        <w:spacing w:line="360" w:lineRule="auto"/>
        <w:ind w:right="105" w:rightChars="50" w:firstLine="482" w:firstLineChars="200"/>
        <w:rPr>
          <w:rFonts w:ascii="宋体" w:hAnsi="宋体" w:cs="宋体"/>
          <w:b/>
          <w:bCs/>
          <w:color w:val="000000" w:themeColor="text1"/>
          <w:sz w:val="24"/>
          <w:highlight w:val="none"/>
          <w14:textFill>
            <w14:solidFill>
              <w14:schemeClr w14:val="tx1"/>
            </w14:solidFill>
          </w14:textFill>
        </w:rPr>
      </w:pPr>
      <w:bookmarkStart w:id="67" w:name="_Toc14593"/>
      <w:bookmarkStart w:id="68" w:name="_Toc12936"/>
      <w:bookmarkStart w:id="69" w:name="_Toc5535"/>
      <w:bookmarkStart w:id="70" w:name="_Toc15053"/>
      <w:bookmarkStart w:id="71" w:name="_Toc1207"/>
      <w:r>
        <w:rPr>
          <w:rFonts w:hint="eastAsia" w:ascii="宋体" w:hAnsi="宋体" w:cs="宋体"/>
          <w:b/>
          <w:bCs/>
          <w:color w:val="000000" w:themeColor="text1"/>
          <w:sz w:val="24"/>
          <w:highlight w:val="none"/>
          <w14:textFill>
            <w14:solidFill>
              <w14:schemeClr w14:val="tx1"/>
            </w14:solidFill>
          </w14:textFill>
        </w:rPr>
        <w:t>一、项目概况</w:t>
      </w:r>
    </w:p>
    <w:p w14:paraId="5C5D31D1">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南通城市轨道交通集团有限公司2025-2027年度招标代理和造价咨询服务框架协议采购项目为轨道集团2025-2027年度工程、货物及服务的招标代理服务（含工程量清单、预算价编制）、工程造价审核服务、工程造价结算审核服务等相关咨询服务。</w:t>
      </w:r>
    </w:p>
    <w:p w14:paraId="67F63757">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（备注：1、本项目招标代理工作含邀请招标、公开比选等非招标采购方式；2、本项目不含轨道交通后续线路工程建设相关工作内容）</w:t>
      </w:r>
    </w:p>
    <w:p w14:paraId="5D01CD5A">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入围家数：提交响应文件且符合资格条件、实质性要求的供应商按照评分从高到低排序，推荐前3家为入围供应商。</w:t>
      </w:r>
    </w:p>
    <w:p w14:paraId="0D8782C2">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服务期：服务期自协议签订之日起</w:t>
      </w:r>
      <w:r>
        <w:rPr>
          <w:rFonts w:hint="eastAsia" w:ascii="宋体" w:hAnsi="宋体" w:cs="宋体"/>
          <w:bCs/>
          <w:color w:val="000000" w:themeColor="text1"/>
          <w:sz w:val="24"/>
          <w:highlight w:val="none"/>
          <w:lang w:val="en-US" w:eastAsia="zh-CN"/>
          <w14:textFill>
            <w14:solidFill>
              <w14:schemeClr w14:val="tx1"/>
            </w14:solidFill>
          </w14:textFill>
        </w:rPr>
        <w:t>两</w:t>
      </w:r>
      <w:r>
        <w:rPr>
          <w:rFonts w:hint="eastAsia" w:ascii="宋体" w:hAnsi="宋体" w:cs="宋体"/>
          <w:bCs/>
          <w:color w:val="000000" w:themeColor="text1"/>
          <w:sz w:val="24"/>
          <w:highlight w:val="none"/>
          <w14:textFill>
            <w14:solidFill>
              <w14:schemeClr w14:val="tx1"/>
            </w14:solidFill>
          </w14:textFill>
        </w:rPr>
        <w:t>年，暂定2025年</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月1日~2027年</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月3</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日。比选人对入库供应商实行动态管理，对不合格的供应商按合同条款予以清退。合同服务期满前一个月内，比选人根据中选人考核情况可续签一年框架服务合同，最多续签1次。</w:t>
      </w:r>
    </w:p>
    <w:p w14:paraId="4B2CF336">
      <w:pPr>
        <w:pageBreakBefore w:val="0"/>
        <w:kinsoku/>
        <w:overflowPunct/>
        <w:bidi w:val="0"/>
        <w:spacing w:line="360" w:lineRule="auto"/>
        <w:ind w:right="105" w:rightChars="50"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sz w:val="24"/>
          <w:highlight w:val="none"/>
        </w:rPr>
        <w:t>本项目采用封闭式框架协议采购，框架协议有效期内不作补充征集，在服务期内按照比选人招标项目立项时间或造价咨询服务时间顺序选择服务单位。</w:t>
      </w:r>
    </w:p>
    <w:p w14:paraId="7A510A5C">
      <w:pPr>
        <w:pageBreakBefore w:val="0"/>
        <w:kinsoku/>
        <w:overflowPunct/>
        <w:bidi w:val="0"/>
        <w:spacing w:line="360" w:lineRule="auto"/>
        <w:ind w:right="105" w:rightChars="5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二、主要工作内容及要求</w:t>
      </w:r>
    </w:p>
    <w:p w14:paraId="5C77A978">
      <w:pPr>
        <w:pageBreakBefore w:val="0"/>
        <w:kinsoku/>
        <w:overflowPunct/>
        <w:bidi w:val="0"/>
        <w:spacing w:line="360" w:lineRule="auto"/>
        <w:ind w:right="105" w:rightChars="50" w:firstLine="482" w:firstLineChars="200"/>
        <w:rPr>
          <w:rFonts w:ascii="宋体" w:hAnsi="宋体" w:cs="宋体"/>
          <w:b/>
          <w:color w:val="000000" w:themeColor="text1"/>
          <w:sz w:val="24"/>
          <w:highlight w:val="none"/>
          <w14:textFill>
            <w14:solidFill>
              <w14:schemeClr w14:val="tx1"/>
            </w14:solidFill>
          </w14:textFill>
        </w:rPr>
      </w:pPr>
      <w:bookmarkStart w:id="72" w:name="OLE_LINK32"/>
      <w:r>
        <w:rPr>
          <w:rFonts w:hint="eastAsia" w:ascii="宋体" w:hAnsi="宋体" w:cs="宋体"/>
          <w:b/>
          <w:color w:val="000000" w:themeColor="text1"/>
          <w:sz w:val="24"/>
          <w:highlight w:val="none"/>
          <w14:textFill>
            <w14:solidFill>
              <w14:schemeClr w14:val="tx1"/>
            </w14:solidFill>
          </w14:textFill>
        </w:rPr>
        <w:t>1、招标代理服务工作</w:t>
      </w:r>
      <w:bookmarkEnd w:id="72"/>
      <w:r>
        <w:rPr>
          <w:rFonts w:hint="eastAsia" w:ascii="宋体" w:hAnsi="宋体" w:cs="宋体"/>
          <w:b/>
          <w:color w:val="000000" w:themeColor="text1"/>
          <w:sz w:val="24"/>
          <w:highlight w:val="none"/>
          <w14:textFill>
            <w14:solidFill>
              <w14:schemeClr w14:val="tx1"/>
            </w14:solidFill>
          </w14:textFill>
        </w:rPr>
        <w:t>内容及要求：</w:t>
      </w:r>
    </w:p>
    <w:p w14:paraId="18D2F353">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bookmarkStart w:id="73" w:name="OLE_LINK8"/>
      <w:bookmarkStart w:id="74" w:name="OLE_LINK9"/>
      <w:r>
        <w:rPr>
          <w:rFonts w:hint="eastAsia" w:ascii="宋体" w:hAnsi="宋体" w:cs="宋体"/>
          <w:bCs/>
          <w:color w:val="000000" w:themeColor="text1"/>
          <w:sz w:val="24"/>
          <w:highlight w:val="none"/>
          <w14:textFill>
            <w14:solidFill>
              <w14:schemeClr w14:val="tx1"/>
            </w14:solidFill>
          </w14:textFill>
        </w:rPr>
        <w:t>（1）中标服务单位接受比选人的委托，具体组织招标采购工作，负责南通市公共资源交易中心及所有政府监督部门的协调与沟通，并接受政府有关部门和比选人内部监督部门的监督。按照招标代理及相关服务惯例完成</w:t>
      </w:r>
      <w:bookmarkStart w:id="75" w:name="OLE_LINK31"/>
      <w:r>
        <w:rPr>
          <w:rFonts w:hint="eastAsia" w:ascii="宋体" w:hAnsi="宋体" w:cs="宋体"/>
          <w:bCs/>
          <w:color w:val="000000" w:themeColor="text1"/>
          <w:sz w:val="24"/>
          <w:highlight w:val="none"/>
          <w14:textFill>
            <w14:solidFill>
              <w14:schemeClr w14:val="tx1"/>
            </w14:solidFill>
          </w14:textFill>
        </w:rPr>
        <w:t>比选人交办</w:t>
      </w:r>
      <w:bookmarkEnd w:id="75"/>
      <w:r>
        <w:rPr>
          <w:rFonts w:hint="eastAsia" w:ascii="宋体" w:hAnsi="宋体" w:cs="宋体"/>
          <w:bCs/>
          <w:color w:val="000000" w:themeColor="text1"/>
          <w:sz w:val="24"/>
          <w:highlight w:val="none"/>
          <w14:textFill>
            <w14:solidFill>
              <w14:schemeClr w14:val="tx1"/>
            </w14:solidFill>
          </w14:textFill>
        </w:rPr>
        <w:t xml:space="preserve">的所有相关事宜。为比选人提供与招标有关的政策咨询服务。包括招标时间节点和标段划分的建议和意见，对项目潜在投标人的建议和说明（每家中标单位每年须为比选人开展一次招标采购专业培训，邀请培训的专家应提前报比选人进行审核）。 </w:t>
      </w:r>
    </w:p>
    <w:bookmarkEnd w:id="73"/>
    <w:bookmarkEnd w:id="74"/>
    <w:p w14:paraId="08A1A5CA">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招标采购文件编制：中标服务单位应充分发挥专职招标机构的职能，按照国家有关招标的法律、法规和政策，根据比选人的委托和提供的条件合法化、规范化地编写资格预审文件、招标文件，进行资格预审文件、招标文件的总体审查、整合、文整、印刷、装订，并提交比选人确认，但比选人的确认并不减轻中标服务单位的任何责任；如果比选人有修改意见，中标服务单位应进行修改。招标文件编制时中标服务单位应当开展公平竞争审查，技术复杂、专业性强的项目要通过市场调研、专家咨询论证等方式明确招标需求，优化招标文件。</w:t>
      </w:r>
    </w:p>
    <w:p w14:paraId="5CD59A76">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招标采购公告发布：根据比选人最终审定的招标采购文件，在南通市公共资源交易平台、江苏省招标投标公共服务平台和轨道集团官网（根据不同的项目类型，符合交易目录的项目全部进入南通公共资源交易平台交易）上发布资格预审公告或招标采购公告。</w:t>
      </w:r>
    </w:p>
    <w:p w14:paraId="0C2FC9BE">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4）组织开评标活动：中标服务单位负责组织资格审查委员会或评标委员会，组织各种招标的会议，开标及评标程序应符合相关部门的规定。协助比选人进行招投标澄清及授标澄清工作，必要时组织投标人踏勘现场，负责处理一切与招标业务相关的质疑及投诉。 </w:t>
      </w:r>
    </w:p>
    <w:p w14:paraId="5676F6B8">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招投标资料归档：招标完成后应及时编制招标投标情况书面报告，整理招标投标资料汇编（包括电子档案系统），及时报比选人进行审核。比选人在审查时发现异常情形的，中标服务单位依照法定程序进行复核，确认存在问题的，依照法定程序予以纠正。</w:t>
      </w:r>
    </w:p>
    <w:p w14:paraId="256CA4E6">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（6）在合同执行过程中，配合比选人与政府或供货商作相关问题的澄清。协助比选人处理合同执行中可能出现的商务事宜。</w:t>
      </w:r>
    </w:p>
    <w:p w14:paraId="675B5931">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（7）中标服务单位保证履行以下服务质量承诺： </w:t>
      </w:r>
    </w:p>
    <w:p w14:paraId="1CD8A7C4">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承诺在工作中急比选人之所急，想比选人之所想，设身处地，兢兢业业地为比选人服务；项目负责人应参加开标、评标、合同谈判等重要工作。</w:t>
      </w:r>
    </w:p>
    <w:p w14:paraId="34A74A69">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严格执行保密制度，招标代理单位不得与投标人有任何非工作范围内的接触，不得将清标、评标信息向投标人透漏，一经发现，比选人将终止与招标代理单位的合同关系，同时招标代理单位应承担所有的责任，弥补给比选人带来的损失。 </w:t>
      </w:r>
    </w:p>
    <w:p w14:paraId="3DFCBF2A">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如参加本项目的招标代理单位人员工作不认真，或业务素质达不到比选人的要求，一旦提出，招标代理单位将无条件撤换有关人员，直至比选人满意为止。 </w:t>
      </w:r>
    </w:p>
    <w:p w14:paraId="04424B55">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如招标代理单位未能提供所列的服务内容，或服务质量不能令业主满意，一经指出，招标代理单位将无条件改正，直至比选人满意为止。 </w:t>
      </w:r>
    </w:p>
    <w:p w14:paraId="005A2620">
      <w:pPr>
        <w:pageBreakBefore w:val="0"/>
        <w:kinsoku/>
        <w:overflowPunct/>
        <w:bidi w:val="0"/>
        <w:spacing w:line="360" w:lineRule="auto"/>
        <w:ind w:right="105" w:rightChars="50"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2、造价咨询服务工作内容及要求：</w:t>
      </w:r>
    </w:p>
    <w:p w14:paraId="5602700F">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（1）零星工程的招标控制价编制：根据国家或省级、行业建设主管部门颁发的有关计价依据和办法，以及拟定的招标文件，结合零星建设工程具体情况编制招标工程的工程量清单及招标控制价。</w:t>
      </w:r>
    </w:p>
    <w:p w14:paraId="17EC4780">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招标控制价审核：根据国家或省级、行业建设主管部门颁发的有关计价依据和办法，以及拟定的招标文件，结合工程具体情况审核轨道集团子分公司提报的工程量清单及招标控制价，并出具编制工程造价审核报告。</w:t>
      </w:r>
    </w:p>
    <w:p w14:paraId="7D1092DD">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（3）零星工程的</w:t>
      </w:r>
      <w:bookmarkStart w:id="76" w:name="OLE_LINK40"/>
      <w:r>
        <w:rPr>
          <w:rFonts w:hint="eastAsia" w:ascii="宋体" w:hAnsi="宋体" w:cs="宋体"/>
          <w:bCs/>
          <w:color w:val="000000" w:themeColor="text1"/>
          <w:sz w:val="24"/>
          <w:highlight w:val="none"/>
          <w14:textFill>
            <w14:solidFill>
              <w14:schemeClr w14:val="tx1"/>
            </w14:solidFill>
          </w14:textFill>
        </w:rPr>
        <w:t>竣工结算审核</w:t>
      </w:r>
      <w:bookmarkEnd w:id="76"/>
      <w:r>
        <w:rPr>
          <w:rFonts w:hint="eastAsia" w:ascii="宋体" w:hAnsi="宋体" w:cs="宋体"/>
          <w:bCs/>
          <w:color w:val="000000" w:themeColor="text1"/>
          <w:sz w:val="24"/>
          <w:highlight w:val="none"/>
          <w14:textFill>
            <w14:solidFill>
              <w14:schemeClr w14:val="tx1"/>
            </w14:solidFill>
          </w14:textFill>
        </w:rPr>
        <w:t>：据国家或省级、行业建设主管部门颁发的有关计价依据和办法，对轨道集团零星工程进行结算审核，出具结算审核报告。结算审核中要重点审查以下内容：</w:t>
      </w:r>
    </w:p>
    <w:p w14:paraId="557CB55F">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审查竣工图纸及相关资料的真实性，核查竣工资料与实物是否一致。依据工程图纸、工程签证资料和工程量计算规则等，审查工程量的真实性；</w:t>
      </w:r>
    </w:p>
    <w:p w14:paraId="00501CC8">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审查设计变更手续是否完备，变更是否必要、真实，签证资料是否真实、准确；</w:t>
      </w:r>
    </w:p>
    <w:p w14:paraId="53E62883">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审查工程结算是否依据招标文件、投标承诺、施工合同及有关工程定额、取费标准等编制，工程结算是否准确；</w:t>
      </w:r>
    </w:p>
    <w:p w14:paraId="02513D42">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审查建设项目设备、材料是否按规定进行采购，采购价格是否真实、合理；</w:t>
      </w:r>
    </w:p>
    <w:p w14:paraId="0643D136">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审查甲供材料、水电费等结算是否真实、准确；</w:t>
      </w:r>
    </w:p>
    <w:p w14:paraId="3A440AA6">
      <w:pPr>
        <w:pageBreakBefore w:val="0"/>
        <w:kinsoku/>
        <w:overflowPunct/>
        <w:bidi w:val="0"/>
        <w:spacing w:line="360" w:lineRule="auto"/>
        <w:ind w:right="105" w:rightChars="5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bookmarkStart w:id="77" w:name="OLE_LINK25"/>
      <w:r>
        <w:rPr>
          <w:rFonts w:hint="eastAsia" w:ascii="宋体" w:hAnsi="宋体" w:cs="宋体"/>
          <w:bCs/>
          <w:color w:val="000000" w:themeColor="text1"/>
          <w:sz w:val="24"/>
          <w:highlight w:val="none"/>
          <w14:textFill>
            <w14:solidFill>
              <w14:schemeClr w14:val="tx1"/>
            </w14:solidFill>
          </w14:textFill>
        </w:rPr>
        <w:t>工程造价文件审核服务须在收到送审资料后7天内编制完成咨询意见，零星工程结算审核须在收到送审资料后10天内编制完成咨询报告初稿。上述咨询项目若发现资料不齐时，应在收到资料后2天内向比选人提出，并明确相关资料要求。</w:t>
      </w:r>
      <w:bookmarkEnd w:id="77"/>
    </w:p>
    <w:p w14:paraId="2196ACD8">
      <w:pPr>
        <w:pageBreakBefore w:val="0"/>
        <w:kinsoku/>
        <w:overflowPunct/>
        <w:bidi w:val="0"/>
        <w:spacing w:line="360" w:lineRule="auto"/>
        <w:ind w:right="105" w:rightChars="5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三、人员配备要求</w:t>
      </w:r>
    </w:p>
    <w:p w14:paraId="3CBAF57C">
      <w:pPr>
        <w:pageBreakBefore w:val="0"/>
        <w:kinsoku/>
        <w:wordWrap w:val="0"/>
        <w:overflowPunct/>
        <w:bidi w:val="0"/>
        <w:spacing w:line="360" w:lineRule="auto"/>
        <w:ind w:right="105" w:rightChars="50"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比选人要求审核项目</w:t>
      </w:r>
      <w:r>
        <w:rPr>
          <w:rFonts w:hint="eastAsia" w:ascii="宋体" w:hAnsi="宋体" w:cs="宋体"/>
          <w:b/>
          <w:bCs/>
          <w:color w:val="000000" w:themeColor="text1"/>
          <w:sz w:val="24"/>
          <w:highlight w:val="none"/>
          <w:u w:val="single"/>
          <w:lang w:val="en-US" w:eastAsia="zh-CN"/>
          <w14:textFill>
            <w14:solidFill>
              <w14:schemeClr w14:val="tx1"/>
            </w14:solidFill>
          </w14:textFill>
        </w:rPr>
        <w:t>服务单位</w:t>
      </w:r>
      <w:r>
        <w:rPr>
          <w:rFonts w:hint="eastAsia" w:ascii="宋体" w:hAnsi="宋体" w:cs="宋体"/>
          <w:b/>
          <w:bCs/>
          <w:color w:val="000000" w:themeColor="text1"/>
          <w:sz w:val="24"/>
          <w:highlight w:val="none"/>
          <w:u w:val="single"/>
          <w14:textFill>
            <w14:solidFill>
              <w14:schemeClr w14:val="tx1"/>
            </w14:solidFill>
          </w14:textFill>
        </w:rPr>
        <w:t>进行集中办公，入围</w:t>
      </w:r>
      <w:r>
        <w:rPr>
          <w:rFonts w:hint="eastAsia" w:ascii="宋体" w:hAnsi="宋体" w:cs="宋体"/>
          <w:b/>
          <w:bCs/>
          <w:color w:val="000000" w:themeColor="text1"/>
          <w:sz w:val="24"/>
          <w:highlight w:val="none"/>
          <w:u w:val="single"/>
          <w:lang w:val="en-US" w:eastAsia="zh-CN"/>
          <w14:textFill>
            <w14:solidFill>
              <w14:schemeClr w14:val="tx1"/>
            </w14:solidFill>
          </w14:textFill>
        </w:rPr>
        <w:t>服务单位</w:t>
      </w:r>
      <w:r>
        <w:rPr>
          <w:rFonts w:hint="eastAsia" w:ascii="宋体" w:hAnsi="宋体" w:cs="宋体"/>
          <w:b/>
          <w:bCs/>
          <w:color w:val="000000" w:themeColor="text1"/>
          <w:sz w:val="24"/>
          <w:highlight w:val="none"/>
          <w:u w:val="single"/>
          <w14:textFill>
            <w14:solidFill>
              <w14:schemeClr w14:val="tx1"/>
            </w14:solidFill>
          </w14:textFill>
        </w:rPr>
        <w:t>须无条件配合。若入围</w:t>
      </w:r>
      <w:r>
        <w:rPr>
          <w:rFonts w:hint="eastAsia" w:ascii="宋体" w:hAnsi="宋体" w:cs="宋体"/>
          <w:b/>
          <w:bCs/>
          <w:color w:val="000000" w:themeColor="text1"/>
          <w:sz w:val="24"/>
          <w:highlight w:val="none"/>
          <w:u w:val="single"/>
          <w:lang w:val="en-US" w:eastAsia="zh-CN"/>
          <w14:textFill>
            <w14:solidFill>
              <w14:schemeClr w14:val="tx1"/>
            </w14:solidFill>
          </w14:textFill>
        </w:rPr>
        <w:t>服务单位</w:t>
      </w:r>
      <w:r>
        <w:rPr>
          <w:rFonts w:hint="eastAsia" w:ascii="宋体" w:hAnsi="宋体" w:cs="宋体"/>
          <w:b/>
          <w:bCs/>
          <w:color w:val="000000" w:themeColor="text1"/>
          <w:sz w:val="24"/>
          <w:highlight w:val="none"/>
          <w:u w:val="single"/>
          <w14:textFill>
            <w14:solidFill>
              <w14:schemeClr w14:val="tx1"/>
            </w14:solidFill>
          </w14:textFill>
        </w:rPr>
        <w:t>未按比选人要求实施集中办公，比选人有权取消入围</w:t>
      </w:r>
      <w:r>
        <w:rPr>
          <w:rFonts w:hint="eastAsia" w:ascii="宋体" w:hAnsi="宋体" w:cs="宋体"/>
          <w:b/>
          <w:bCs/>
          <w:color w:val="000000" w:themeColor="text1"/>
          <w:sz w:val="24"/>
          <w:highlight w:val="none"/>
          <w:u w:val="single"/>
          <w:lang w:val="en-US" w:eastAsia="zh-CN"/>
          <w14:textFill>
            <w14:solidFill>
              <w14:schemeClr w14:val="tx1"/>
            </w14:solidFill>
          </w14:textFill>
        </w:rPr>
        <w:t>服务单位</w:t>
      </w:r>
      <w:r>
        <w:rPr>
          <w:rFonts w:hint="eastAsia" w:ascii="宋体" w:hAnsi="宋体" w:cs="宋体"/>
          <w:b/>
          <w:bCs/>
          <w:color w:val="000000" w:themeColor="text1"/>
          <w:sz w:val="24"/>
          <w:highlight w:val="none"/>
          <w:u w:val="single"/>
          <w14:textFill>
            <w14:solidFill>
              <w14:schemeClr w14:val="tx1"/>
            </w14:solidFill>
          </w14:textFill>
        </w:rPr>
        <w:t>的资格。</w:t>
      </w:r>
    </w:p>
    <w:p w14:paraId="371056E7">
      <w:pPr>
        <w:pageBreakBefore w:val="0"/>
        <w:kinsoku/>
        <w:wordWrap w:val="0"/>
        <w:overflowPunct/>
        <w:bidi w:val="0"/>
        <w:spacing w:line="360" w:lineRule="auto"/>
        <w:ind w:right="105" w:righ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项目组其他人员配备要求：</w:t>
      </w:r>
    </w:p>
    <w:p w14:paraId="3BE5E0ED">
      <w:pPr>
        <w:pageBreakBefore w:val="0"/>
        <w:kinsoku/>
        <w:wordWrap w:val="0"/>
        <w:overflowPunct/>
        <w:bidi w:val="0"/>
        <w:spacing w:line="360" w:lineRule="auto"/>
        <w:ind w:right="105" w:righ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拟派团队组成员</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人及以上（</w:t>
      </w:r>
      <w:r>
        <w:rPr>
          <w:rFonts w:hint="eastAsia" w:ascii="宋体" w:hAnsi="宋体" w:cs="宋体"/>
          <w:color w:val="000000" w:themeColor="text1"/>
          <w:sz w:val="24"/>
          <w:highlight w:val="none"/>
          <w14:textFill>
            <w14:solidFill>
              <w14:schemeClr w14:val="tx1"/>
            </w14:solidFill>
          </w14:textFill>
        </w:rPr>
        <w:t>不含项目负责人</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其中招标代理人员1名，具有中级及以上专业技术职称，具备5年以上招标代理工作经验。造价咨询人员3名，具有</w:t>
      </w:r>
      <w:r>
        <w:rPr>
          <w:rFonts w:hint="eastAsia" w:ascii="宋体" w:hAnsi="宋体" w:cs="宋体"/>
          <w:color w:val="000000" w:themeColor="text1"/>
          <w:sz w:val="24"/>
          <w:highlight w:val="none"/>
          <w:lang w:val="zh-CN"/>
          <w14:textFill>
            <w14:solidFill>
              <w14:schemeClr w14:val="tx1"/>
            </w14:solidFill>
          </w14:textFill>
        </w:rPr>
        <w:t>注册一级造价工程师及以上证书（造价工程师需注册在</w:t>
      </w:r>
      <w:r>
        <w:rPr>
          <w:rFonts w:hint="eastAsia" w:ascii="宋体" w:hAnsi="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zh-CN"/>
          <w14:textFill>
            <w14:solidFill>
              <w14:schemeClr w14:val="tx1"/>
            </w14:solidFill>
          </w14:textFill>
        </w:rPr>
        <w:t>，至少具有土木建筑工程和安装工程专业)，</w:t>
      </w:r>
      <w:r>
        <w:rPr>
          <w:rFonts w:hint="eastAsia" w:ascii="宋体" w:hAnsi="宋体" w:cs="宋体"/>
          <w:color w:val="000000" w:themeColor="text1"/>
          <w:sz w:val="24"/>
          <w:highlight w:val="none"/>
          <w14:textFill>
            <w14:solidFill>
              <w14:schemeClr w14:val="tx1"/>
            </w14:solidFill>
          </w14:textFill>
        </w:rPr>
        <w:t>具备5年以上造价咨询服务工作经验</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档案整理人员1名，具有3年以上的相关工作经验。本项目所有人员在有任务的时间段内须在业主办公地点驻点工作。</w:t>
      </w:r>
    </w:p>
    <w:p w14:paraId="2B39D99D">
      <w:pPr>
        <w:pageBreakBefore w:val="0"/>
        <w:kinsoku/>
        <w:overflowPunct/>
        <w:bidi w:val="0"/>
        <w:spacing w:line="360" w:lineRule="auto"/>
        <w:ind w:right="105" w:rightChars="5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四、过程考核</w:t>
      </w:r>
    </w:p>
    <w:p w14:paraId="42A83C89">
      <w:pPr>
        <w:pageBreakBefore w:val="0"/>
        <w:kinsoku/>
        <w:overflowPunct/>
        <w:bidi w:val="0"/>
        <w:spacing w:line="360" w:lineRule="auto"/>
        <w:ind w:right="105" w:rightChars="50" w:firstLine="480" w:firstLineChars="200"/>
        <w:rPr>
          <w:rFonts w:ascii="宋体" w:hAnsi="宋体" w:cs="宋体"/>
          <w:color w:val="000000" w:themeColor="text1"/>
          <w:sz w:val="24"/>
          <w:highlight w:val="none"/>
          <w14:textFill>
            <w14:solidFill>
              <w14:schemeClr w14:val="tx1"/>
            </w14:solidFill>
          </w14:textFill>
        </w:rPr>
      </w:pPr>
      <w:bookmarkStart w:id="78" w:name="OLE_LINK47"/>
      <w:bookmarkStart w:id="79" w:name="OLE_LINK48"/>
      <w:r>
        <w:rPr>
          <w:rFonts w:hint="eastAsia" w:ascii="宋体" w:hAnsi="宋体" w:cs="宋体"/>
          <w:color w:val="000000" w:themeColor="text1"/>
          <w:sz w:val="24"/>
          <w:highlight w:val="none"/>
          <w14:textFill>
            <w14:solidFill>
              <w14:schemeClr w14:val="tx1"/>
            </w14:solidFill>
          </w14:textFill>
        </w:rPr>
        <w:t>每完成一次子项招标任务（招标完成、合同签订完成、招投标资料整理归档完成）或造价咨询任务后，由比选人相关部门对本次招标代理工作进行量化评价（详见附件1、附件2）。得分大于等于80分的可直接继续承担下一个子项的代理任务；若得分低于80的但大于等于60分的，第一次给予警告和约谈，第二次则委托人可无条件终止本合同；得分低于60分的，委托人直接无条件终止本合同。合同终止后，按照相应条款结算已完成工作的服务费用，然后委托人可根据具体情况选择其他受托人继续代理服务工作。</w:t>
      </w:r>
    </w:p>
    <w:bookmarkEnd w:id="78"/>
    <w:bookmarkEnd w:id="79"/>
    <w:p w14:paraId="32CEFF84">
      <w:pPr>
        <w:pageBreakBefore w:val="0"/>
        <w:kinsoku/>
        <w:overflowPunct/>
        <w:bidi w:val="0"/>
        <w:spacing w:line="360" w:lineRule="auto"/>
        <w:ind w:right="-101" w:rightChars="-4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1161551">
      <w:pPr>
        <w:pStyle w:val="2"/>
        <w:pageBreakBefore w:val="0"/>
        <w:kinsoku/>
        <w:overflowPunct/>
        <w:bidi w:val="0"/>
        <w:spacing w:line="360" w:lineRule="auto"/>
        <w:ind w:right="-101" w:rightChars="-48"/>
        <w:rPr>
          <w:sz w:val="28"/>
          <w:szCs w:val="28"/>
          <w:highlight w:val="none"/>
        </w:rPr>
      </w:pPr>
      <w:r>
        <w:rPr>
          <w:rFonts w:hint="eastAsia"/>
          <w:sz w:val="28"/>
          <w:szCs w:val="28"/>
          <w:highlight w:val="none"/>
        </w:rPr>
        <w:t>附件1</w:t>
      </w:r>
    </w:p>
    <w:p w14:paraId="2B063AA6">
      <w:pPr>
        <w:pageBreakBefore w:val="0"/>
        <w:kinsoku/>
        <w:overflowPunct/>
        <w:bidi w:val="0"/>
        <w:spacing w:line="360" w:lineRule="auto"/>
        <w:ind w:right="-101" w:rightChars="-48" w:firstLine="482" w:firstLineChars="20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代理服务过程考核表</w:t>
      </w:r>
    </w:p>
    <w:tbl>
      <w:tblPr>
        <w:tblStyle w:val="36"/>
        <w:tblW w:w="895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15"/>
        <w:gridCol w:w="2875"/>
        <w:gridCol w:w="964"/>
        <w:gridCol w:w="1270"/>
        <w:gridCol w:w="1678"/>
        <w:gridCol w:w="1455"/>
      </w:tblGrid>
      <w:tr w14:paraId="515DE5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0" w:hRule="exact"/>
          <w:jc w:val="center"/>
        </w:trPr>
        <w:tc>
          <w:tcPr>
            <w:tcW w:w="715" w:type="dxa"/>
            <w:vAlign w:val="center"/>
          </w:tcPr>
          <w:p w14:paraId="226CFC8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bookmarkStart w:id="80" w:name="OLE_LINK1"/>
            <w:r>
              <w:rPr>
                <w:rFonts w:hint="eastAsia" w:ascii="宋体" w:hAnsi="宋体" w:cs="宋体"/>
                <w:color w:val="000000" w:themeColor="text1"/>
                <w:szCs w:val="21"/>
                <w:highlight w:val="none"/>
                <w14:textFill>
                  <w14:solidFill>
                    <w14:schemeClr w14:val="tx1"/>
                  </w14:solidFill>
                </w14:textFill>
              </w:rPr>
              <w:t>序号</w:t>
            </w:r>
          </w:p>
        </w:tc>
        <w:tc>
          <w:tcPr>
            <w:tcW w:w="2875" w:type="dxa"/>
            <w:vAlign w:val="center"/>
          </w:tcPr>
          <w:p w14:paraId="0EDCB97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考核内容</w:t>
            </w:r>
          </w:p>
        </w:tc>
        <w:tc>
          <w:tcPr>
            <w:tcW w:w="964" w:type="dxa"/>
            <w:vAlign w:val="center"/>
          </w:tcPr>
          <w:p w14:paraId="3B624C2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1270" w:type="dxa"/>
            <w:vAlign w:val="center"/>
          </w:tcPr>
          <w:p w14:paraId="52B39563">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考核得分</w:t>
            </w:r>
          </w:p>
        </w:tc>
        <w:tc>
          <w:tcPr>
            <w:tcW w:w="1678" w:type="dxa"/>
            <w:vAlign w:val="center"/>
          </w:tcPr>
          <w:p w14:paraId="264F5060">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考核人签字</w:t>
            </w:r>
          </w:p>
        </w:tc>
        <w:tc>
          <w:tcPr>
            <w:tcW w:w="1455" w:type="dxa"/>
            <w:vAlign w:val="center"/>
          </w:tcPr>
          <w:p w14:paraId="6AF8B5F4">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051EAD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715" w:type="dxa"/>
          </w:tcPr>
          <w:p w14:paraId="1520755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875" w:type="dxa"/>
            <w:vAlign w:val="center"/>
          </w:tcPr>
          <w:p w14:paraId="54E4BA7E">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人员常驻现场情况</w:t>
            </w:r>
          </w:p>
        </w:tc>
        <w:tc>
          <w:tcPr>
            <w:tcW w:w="964" w:type="dxa"/>
            <w:vAlign w:val="center"/>
          </w:tcPr>
          <w:p w14:paraId="7506FCB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70" w:type="dxa"/>
            <w:vAlign w:val="center"/>
          </w:tcPr>
          <w:p w14:paraId="00411B9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73237EE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1F4B63B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560B0A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5" w:hRule="exact"/>
          <w:jc w:val="center"/>
        </w:trPr>
        <w:tc>
          <w:tcPr>
            <w:tcW w:w="715" w:type="dxa"/>
          </w:tcPr>
          <w:p w14:paraId="3D2B1AE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875" w:type="dxa"/>
            <w:vAlign w:val="center"/>
          </w:tcPr>
          <w:p w14:paraId="4C716E2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各类文件编制速度和质量</w:t>
            </w:r>
          </w:p>
        </w:tc>
        <w:tc>
          <w:tcPr>
            <w:tcW w:w="964" w:type="dxa"/>
            <w:vAlign w:val="center"/>
          </w:tcPr>
          <w:p w14:paraId="6ECE6F97">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270" w:type="dxa"/>
            <w:vAlign w:val="center"/>
          </w:tcPr>
          <w:p w14:paraId="6C1C0AB3">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65FA918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2115B6E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32A0C2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715" w:type="dxa"/>
          </w:tcPr>
          <w:p w14:paraId="70D3880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875" w:type="dxa"/>
            <w:vAlign w:val="center"/>
          </w:tcPr>
          <w:p w14:paraId="2E9E95F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标底编制速度和质量</w:t>
            </w:r>
          </w:p>
        </w:tc>
        <w:tc>
          <w:tcPr>
            <w:tcW w:w="964" w:type="dxa"/>
            <w:vAlign w:val="center"/>
          </w:tcPr>
          <w:p w14:paraId="6DB457F9">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1270" w:type="dxa"/>
            <w:vAlign w:val="center"/>
          </w:tcPr>
          <w:p w14:paraId="198C933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13A57307">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2085CC5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42E7C8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jc w:val="center"/>
        </w:trPr>
        <w:tc>
          <w:tcPr>
            <w:tcW w:w="715" w:type="dxa"/>
          </w:tcPr>
          <w:p w14:paraId="0B022DE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875" w:type="dxa"/>
            <w:vAlign w:val="center"/>
          </w:tcPr>
          <w:p w14:paraId="5987DC3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标底编制过程配合质量</w:t>
            </w:r>
          </w:p>
        </w:tc>
        <w:tc>
          <w:tcPr>
            <w:tcW w:w="964" w:type="dxa"/>
            <w:vAlign w:val="center"/>
          </w:tcPr>
          <w:p w14:paraId="1D870EB7">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70" w:type="dxa"/>
            <w:vAlign w:val="center"/>
          </w:tcPr>
          <w:p w14:paraId="45A2191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2106EF2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2243FA47">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6F9EA1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8" w:hRule="exact"/>
          <w:jc w:val="center"/>
        </w:trPr>
        <w:tc>
          <w:tcPr>
            <w:tcW w:w="715" w:type="dxa"/>
          </w:tcPr>
          <w:p w14:paraId="25C0D1A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875" w:type="dxa"/>
            <w:vAlign w:val="center"/>
          </w:tcPr>
          <w:p w14:paraId="68F119B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开、评标程序规范度</w:t>
            </w:r>
          </w:p>
        </w:tc>
        <w:tc>
          <w:tcPr>
            <w:tcW w:w="964" w:type="dxa"/>
            <w:vAlign w:val="center"/>
          </w:tcPr>
          <w:p w14:paraId="39D3FA3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70" w:type="dxa"/>
            <w:vAlign w:val="center"/>
          </w:tcPr>
          <w:p w14:paraId="18AF19B0">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399E7CE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vAlign w:val="center"/>
          </w:tcPr>
          <w:p w14:paraId="0BF7512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0222B7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28" w:hRule="exact"/>
          <w:jc w:val="center"/>
        </w:trPr>
        <w:tc>
          <w:tcPr>
            <w:tcW w:w="715" w:type="dxa"/>
          </w:tcPr>
          <w:p w14:paraId="68B99FE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875" w:type="dxa"/>
            <w:vAlign w:val="center"/>
          </w:tcPr>
          <w:p w14:paraId="70E56523">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投诉处理能力和规范度</w:t>
            </w:r>
          </w:p>
        </w:tc>
        <w:tc>
          <w:tcPr>
            <w:tcW w:w="964" w:type="dxa"/>
            <w:vAlign w:val="center"/>
          </w:tcPr>
          <w:p w14:paraId="7C0F8D7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70" w:type="dxa"/>
            <w:vAlign w:val="center"/>
          </w:tcPr>
          <w:p w14:paraId="11CC28B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7101E18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vAlign w:val="center"/>
          </w:tcPr>
          <w:p w14:paraId="5EA2BB0C">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无投诉得满分</w:t>
            </w:r>
          </w:p>
        </w:tc>
      </w:tr>
      <w:tr w14:paraId="5EA4C4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1" w:hRule="exact"/>
          <w:jc w:val="center"/>
        </w:trPr>
        <w:tc>
          <w:tcPr>
            <w:tcW w:w="715" w:type="dxa"/>
          </w:tcPr>
          <w:p w14:paraId="3F49A56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875" w:type="dxa"/>
            <w:vAlign w:val="center"/>
          </w:tcPr>
          <w:p w14:paraId="6EA8069E">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招投标资料归档完整性和</w:t>
            </w:r>
          </w:p>
          <w:p w14:paraId="7A27D20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及时性</w:t>
            </w:r>
          </w:p>
        </w:tc>
        <w:tc>
          <w:tcPr>
            <w:tcW w:w="964" w:type="dxa"/>
            <w:vAlign w:val="center"/>
          </w:tcPr>
          <w:p w14:paraId="27B10853">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70" w:type="dxa"/>
            <w:vAlign w:val="center"/>
          </w:tcPr>
          <w:p w14:paraId="2D56F19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2D719CD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6A68C54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0EE1DD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3" w:hRule="exact"/>
          <w:jc w:val="center"/>
        </w:trPr>
        <w:tc>
          <w:tcPr>
            <w:tcW w:w="715" w:type="dxa"/>
          </w:tcPr>
          <w:p w14:paraId="64A0A89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875" w:type="dxa"/>
            <w:vAlign w:val="center"/>
          </w:tcPr>
          <w:p w14:paraId="0140BC1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工作过程是否独立公正</w:t>
            </w:r>
          </w:p>
        </w:tc>
        <w:tc>
          <w:tcPr>
            <w:tcW w:w="964" w:type="dxa"/>
            <w:vAlign w:val="center"/>
          </w:tcPr>
          <w:p w14:paraId="217212E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70" w:type="dxa"/>
            <w:vAlign w:val="center"/>
          </w:tcPr>
          <w:p w14:paraId="0927E947">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08DA887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1060628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r w14:paraId="241529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5" w:hRule="exact"/>
          <w:jc w:val="center"/>
        </w:trPr>
        <w:tc>
          <w:tcPr>
            <w:tcW w:w="715" w:type="dxa"/>
          </w:tcPr>
          <w:p w14:paraId="068CAAF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2875" w:type="dxa"/>
            <w:vAlign w:val="center"/>
          </w:tcPr>
          <w:p w14:paraId="766849A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964" w:type="dxa"/>
            <w:vAlign w:val="center"/>
          </w:tcPr>
          <w:p w14:paraId="5042A4C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w:t>
            </w:r>
          </w:p>
        </w:tc>
        <w:tc>
          <w:tcPr>
            <w:tcW w:w="1270" w:type="dxa"/>
            <w:vAlign w:val="center"/>
          </w:tcPr>
          <w:p w14:paraId="7A3EED8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678" w:type="dxa"/>
            <w:vAlign w:val="center"/>
          </w:tcPr>
          <w:p w14:paraId="5D61A440">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55" w:type="dxa"/>
          </w:tcPr>
          <w:p w14:paraId="5C38BAE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bookmarkEnd w:id="80"/>
    </w:tbl>
    <w:p w14:paraId="41F9FDF3">
      <w:pPr>
        <w:pageBreakBefore w:val="0"/>
        <w:kinsoku/>
        <w:overflowPunct/>
        <w:bidi w:val="0"/>
        <w:spacing w:line="360" w:lineRule="auto"/>
        <w:ind w:right="-101" w:rightChars="-48" w:firstLine="420" w:firstLineChars="200"/>
        <w:rPr>
          <w:rFonts w:ascii="宋体" w:hAnsi="宋体" w:cs="宋体"/>
          <w:color w:val="000000" w:themeColor="text1"/>
          <w:szCs w:val="21"/>
          <w:highlight w:val="none"/>
          <w14:textFill>
            <w14:solidFill>
              <w14:schemeClr w14:val="tx1"/>
            </w14:solidFill>
          </w14:textFill>
        </w:rPr>
      </w:pPr>
      <w:bookmarkStart w:id="81" w:name="OLE_LINK2"/>
      <w:r>
        <w:rPr>
          <w:rFonts w:hint="eastAsia" w:ascii="宋体" w:hAnsi="宋体" w:cs="宋体"/>
          <w:color w:val="000000" w:themeColor="text1"/>
          <w:szCs w:val="21"/>
          <w:highlight w:val="none"/>
          <w14:textFill>
            <w14:solidFill>
              <w14:schemeClr w14:val="tx1"/>
            </w14:solidFill>
          </w14:textFill>
        </w:rPr>
        <w:t>说明：</w:t>
      </w:r>
    </w:p>
    <w:p w14:paraId="16897D14">
      <w:pPr>
        <w:pageBreakBefore w:val="0"/>
        <w:kinsoku/>
        <w:overflowPunct/>
        <w:bidi w:val="0"/>
        <w:spacing w:line="360" w:lineRule="auto"/>
        <w:ind w:right="-101" w:rightChars="-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1、本考核表为每一个子项招标完成后进行考核，凭此考核表才能进行本次代理服务费的计算和结算。</w:t>
      </w:r>
    </w:p>
    <w:p w14:paraId="19F7B742">
      <w:pPr>
        <w:pageBreakBefore w:val="0"/>
        <w:kinsoku/>
        <w:overflowPunct/>
        <w:bidi w:val="0"/>
        <w:spacing w:line="360" w:lineRule="auto"/>
        <w:ind w:right="-101" w:rightChars="-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2、同一专业分为多个标段且同时实施的，可合并一次考核。</w:t>
      </w:r>
    </w:p>
    <w:bookmarkEnd w:id="81"/>
    <w:p w14:paraId="236420FF">
      <w:pPr>
        <w:pageBreakBefore w:val="0"/>
        <w:kinsoku/>
        <w:overflowPunct/>
        <w:bidi w:val="0"/>
        <w:spacing w:line="360" w:lineRule="auto"/>
        <w:ind w:right="-101" w:rightChars="-48"/>
        <w:rPr>
          <w:highlight w:val="none"/>
        </w:rPr>
      </w:pPr>
      <w:r>
        <w:rPr>
          <w:highlight w:val="none"/>
        </w:rPr>
        <w:br w:type="page"/>
      </w:r>
    </w:p>
    <w:p w14:paraId="22528655">
      <w:pPr>
        <w:pStyle w:val="2"/>
        <w:pageBreakBefore w:val="0"/>
        <w:kinsoku/>
        <w:overflowPunct/>
        <w:bidi w:val="0"/>
        <w:spacing w:line="360" w:lineRule="auto"/>
        <w:ind w:right="-101" w:rightChars="-48"/>
        <w:rPr>
          <w:highlight w:val="none"/>
        </w:rPr>
      </w:pPr>
      <w:r>
        <w:rPr>
          <w:rFonts w:hint="eastAsia"/>
          <w:sz w:val="28"/>
          <w:szCs w:val="28"/>
          <w:highlight w:val="none"/>
        </w:rPr>
        <w:t>附件2</w:t>
      </w:r>
    </w:p>
    <w:p w14:paraId="18F0BEED">
      <w:pPr>
        <w:pageBreakBefore w:val="0"/>
        <w:kinsoku/>
        <w:overflowPunct/>
        <w:bidi w:val="0"/>
        <w:spacing w:line="360" w:lineRule="auto"/>
        <w:ind w:right="-101" w:rightChars="-48"/>
        <w:jc w:val="center"/>
        <w:rPr>
          <w:rFonts w:ascii="宋体" w:hAnsi="宋体" w:cs="宋体"/>
          <w:b/>
          <w:bCs/>
          <w:sz w:val="24"/>
          <w:highlight w:val="none"/>
        </w:rPr>
      </w:pPr>
      <w:r>
        <w:rPr>
          <w:rFonts w:hint="eastAsia" w:ascii="宋体" w:hAnsi="宋体" w:cs="宋体"/>
          <w:b/>
          <w:bCs/>
          <w:sz w:val="24"/>
          <w:highlight w:val="none"/>
        </w:rPr>
        <w:t>造价咨询服务过程考核表</w:t>
      </w:r>
    </w:p>
    <w:tbl>
      <w:tblPr>
        <w:tblStyle w:val="36"/>
        <w:tblW w:w="994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3"/>
        <w:gridCol w:w="1472"/>
        <w:gridCol w:w="710"/>
        <w:gridCol w:w="900"/>
        <w:gridCol w:w="1213"/>
        <w:gridCol w:w="5086"/>
      </w:tblGrid>
      <w:tr w14:paraId="057948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0" w:hRule="exact"/>
          <w:jc w:val="center"/>
        </w:trPr>
        <w:tc>
          <w:tcPr>
            <w:tcW w:w="563" w:type="dxa"/>
            <w:vAlign w:val="center"/>
          </w:tcPr>
          <w:p w14:paraId="5950E65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72" w:type="dxa"/>
            <w:vAlign w:val="center"/>
          </w:tcPr>
          <w:p w14:paraId="04D120C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考核内容</w:t>
            </w:r>
          </w:p>
        </w:tc>
        <w:tc>
          <w:tcPr>
            <w:tcW w:w="710" w:type="dxa"/>
            <w:vAlign w:val="center"/>
          </w:tcPr>
          <w:p w14:paraId="12686B9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900" w:type="dxa"/>
            <w:vAlign w:val="center"/>
          </w:tcPr>
          <w:p w14:paraId="31350F7C">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考核得分</w:t>
            </w:r>
          </w:p>
        </w:tc>
        <w:tc>
          <w:tcPr>
            <w:tcW w:w="1213" w:type="dxa"/>
            <w:vAlign w:val="center"/>
          </w:tcPr>
          <w:p w14:paraId="39485E7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考核人签字</w:t>
            </w:r>
          </w:p>
        </w:tc>
        <w:tc>
          <w:tcPr>
            <w:tcW w:w="5086" w:type="dxa"/>
            <w:vAlign w:val="center"/>
          </w:tcPr>
          <w:p w14:paraId="596BCD4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7884B5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28" w:hRule="exact"/>
          <w:jc w:val="center"/>
        </w:trPr>
        <w:tc>
          <w:tcPr>
            <w:tcW w:w="563" w:type="dxa"/>
            <w:vAlign w:val="center"/>
          </w:tcPr>
          <w:p w14:paraId="4D36991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72" w:type="dxa"/>
            <w:vAlign w:val="center"/>
          </w:tcPr>
          <w:p w14:paraId="35AAED9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人员选派</w:t>
            </w:r>
          </w:p>
        </w:tc>
        <w:tc>
          <w:tcPr>
            <w:tcW w:w="710" w:type="dxa"/>
            <w:vAlign w:val="center"/>
          </w:tcPr>
          <w:p w14:paraId="646710A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00" w:type="dxa"/>
            <w:vAlign w:val="center"/>
          </w:tcPr>
          <w:p w14:paraId="6AF0896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55C28F1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7D6A7200">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（1）项目负责人及其他工作人员配备符合协议要求；</w:t>
            </w:r>
          </w:p>
          <w:p w14:paraId="6517F36E">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（2）项目负责人具有一定组织协调能力；</w:t>
            </w:r>
          </w:p>
          <w:p w14:paraId="67182133">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（3）按规定的程序开展中介服务。</w:t>
            </w:r>
          </w:p>
        </w:tc>
      </w:tr>
      <w:tr w14:paraId="11C6BD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00" w:hRule="exact"/>
          <w:jc w:val="center"/>
        </w:trPr>
        <w:tc>
          <w:tcPr>
            <w:tcW w:w="563" w:type="dxa"/>
            <w:vAlign w:val="center"/>
          </w:tcPr>
          <w:p w14:paraId="1C4B15A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72" w:type="dxa"/>
            <w:vAlign w:val="center"/>
          </w:tcPr>
          <w:p w14:paraId="1697466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服务质量</w:t>
            </w:r>
          </w:p>
        </w:tc>
        <w:tc>
          <w:tcPr>
            <w:tcW w:w="710" w:type="dxa"/>
            <w:vAlign w:val="center"/>
          </w:tcPr>
          <w:p w14:paraId="44D1C95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900" w:type="dxa"/>
            <w:vAlign w:val="center"/>
          </w:tcPr>
          <w:p w14:paraId="55AB494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3687081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634F9F0F">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（1）能够达到合同约定的质量标准和要求；</w:t>
            </w:r>
          </w:p>
          <w:p w14:paraId="6C6FEBE2">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（2）造价咨询成果文件如出现工程量或计量单位有误、单价不合理、项目特征及工程内容不明确，项目名称等不符合计价规范要求的，每次扣2分；</w:t>
            </w:r>
          </w:p>
          <w:p w14:paraId="74576F44">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（3）出现错项、漏项、重项、取费基础出现错位的，每次扣5分；扣完为止。</w:t>
            </w:r>
          </w:p>
          <w:p w14:paraId="22FD40DE">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p>
        </w:tc>
      </w:tr>
      <w:tr w14:paraId="637C0B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61" w:hRule="exact"/>
          <w:jc w:val="center"/>
        </w:trPr>
        <w:tc>
          <w:tcPr>
            <w:tcW w:w="563" w:type="dxa"/>
            <w:vAlign w:val="center"/>
          </w:tcPr>
          <w:p w14:paraId="74E7DA3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72" w:type="dxa"/>
            <w:vAlign w:val="center"/>
          </w:tcPr>
          <w:p w14:paraId="5D45677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工作进度</w:t>
            </w:r>
          </w:p>
        </w:tc>
        <w:tc>
          <w:tcPr>
            <w:tcW w:w="710" w:type="dxa"/>
            <w:vAlign w:val="center"/>
          </w:tcPr>
          <w:p w14:paraId="79F621E0">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900" w:type="dxa"/>
            <w:vAlign w:val="center"/>
          </w:tcPr>
          <w:p w14:paraId="6016BF69">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3747BA5E">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5CA9C16B">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（1）按合同规定时间完成得20分；延期10天（含）扣2分，延期10-30天（含）的，扣5分，延期超过30天以上的，扣8分；无正当理由每延期10天扣5分，扣完为止。</w:t>
            </w:r>
          </w:p>
        </w:tc>
      </w:tr>
      <w:tr w14:paraId="06BA6C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80" w:hRule="exact"/>
          <w:jc w:val="center"/>
        </w:trPr>
        <w:tc>
          <w:tcPr>
            <w:tcW w:w="563" w:type="dxa"/>
            <w:vAlign w:val="center"/>
          </w:tcPr>
          <w:p w14:paraId="0DBB2E9C">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472" w:type="dxa"/>
            <w:vAlign w:val="center"/>
          </w:tcPr>
          <w:p w14:paraId="5C3A8BE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响应及工作表现</w:t>
            </w:r>
          </w:p>
        </w:tc>
        <w:tc>
          <w:tcPr>
            <w:tcW w:w="710" w:type="dxa"/>
            <w:vAlign w:val="center"/>
          </w:tcPr>
          <w:p w14:paraId="41282DA1">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00" w:type="dxa"/>
            <w:vAlign w:val="center"/>
          </w:tcPr>
          <w:p w14:paraId="7C15FA8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2611E288">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74C49C6C">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（1）就服务事项能积极主动与资产合约部及项目负责人沟通、重要事项及时联系会商、紧急项目能加班加点；</w:t>
            </w:r>
          </w:p>
          <w:p w14:paraId="7882B921">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（2）能突出工作重点、发现问题，并提出合理的意见。</w:t>
            </w:r>
          </w:p>
        </w:tc>
      </w:tr>
      <w:tr w14:paraId="38A781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8" w:hRule="exact"/>
          <w:jc w:val="center"/>
        </w:trPr>
        <w:tc>
          <w:tcPr>
            <w:tcW w:w="563" w:type="dxa"/>
            <w:vAlign w:val="center"/>
          </w:tcPr>
          <w:p w14:paraId="09E4EB3C">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472" w:type="dxa"/>
            <w:vAlign w:val="center"/>
          </w:tcPr>
          <w:p w14:paraId="7A486A5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造价服务资料</w:t>
            </w:r>
          </w:p>
          <w:p w14:paraId="72A1BF1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完整性及时性</w:t>
            </w:r>
          </w:p>
        </w:tc>
        <w:tc>
          <w:tcPr>
            <w:tcW w:w="710" w:type="dxa"/>
            <w:vAlign w:val="center"/>
          </w:tcPr>
          <w:p w14:paraId="6534DDB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00" w:type="dxa"/>
            <w:vAlign w:val="center"/>
          </w:tcPr>
          <w:p w14:paraId="068E75E5">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7E8352F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6861ACF2">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造价服务资料保管齐全，咨询审核成果文件相关的文件、纪要和函件完整；</w:t>
            </w:r>
          </w:p>
          <w:p w14:paraId="28ABE308">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（2）造价咨询服务成果资料交接及时。</w:t>
            </w:r>
          </w:p>
        </w:tc>
      </w:tr>
      <w:tr w14:paraId="3316EE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9" w:hRule="exact"/>
          <w:jc w:val="center"/>
        </w:trPr>
        <w:tc>
          <w:tcPr>
            <w:tcW w:w="563" w:type="dxa"/>
            <w:vAlign w:val="center"/>
          </w:tcPr>
          <w:p w14:paraId="0F75B58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472" w:type="dxa"/>
            <w:vAlign w:val="center"/>
          </w:tcPr>
          <w:p w14:paraId="5B2EB08B">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廉洁从业</w:t>
            </w:r>
          </w:p>
        </w:tc>
        <w:tc>
          <w:tcPr>
            <w:tcW w:w="710" w:type="dxa"/>
            <w:vAlign w:val="center"/>
          </w:tcPr>
          <w:p w14:paraId="21A18EE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00" w:type="dxa"/>
            <w:vAlign w:val="center"/>
          </w:tcPr>
          <w:p w14:paraId="1DFD1499">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5A56312F">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0899C3B1">
            <w:pPr>
              <w:pageBreakBefore w:val="0"/>
              <w:kinsoku/>
              <w:overflowPunct/>
              <w:bidi w:val="0"/>
              <w:spacing w:line="360" w:lineRule="auto"/>
              <w:ind w:right="155" w:rightChars="74"/>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（1）违反廉洁从业规定、存在弄虚作假、徇私舞弊现象的，扣10分。</w:t>
            </w:r>
          </w:p>
        </w:tc>
      </w:tr>
      <w:tr w14:paraId="3D4F2B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5" w:hRule="exact"/>
          <w:jc w:val="center"/>
        </w:trPr>
        <w:tc>
          <w:tcPr>
            <w:tcW w:w="563" w:type="dxa"/>
            <w:vAlign w:val="center"/>
          </w:tcPr>
          <w:p w14:paraId="5C84058D">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472" w:type="dxa"/>
            <w:vAlign w:val="center"/>
          </w:tcPr>
          <w:p w14:paraId="09DE5224">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710" w:type="dxa"/>
            <w:vAlign w:val="center"/>
          </w:tcPr>
          <w:p w14:paraId="7B1DCDB9">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w:t>
            </w:r>
          </w:p>
        </w:tc>
        <w:tc>
          <w:tcPr>
            <w:tcW w:w="900" w:type="dxa"/>
            <w:vAlign w:val="center"/>
          </w:tcPr>
          <w:p w14:paraId="6D29C432">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1213" w:type="dxa"/>
            <w:vAlign w:val="center"/>
          </w:tcPr>
          <w:p w14:paraId="6CD36A2A">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c>
          <w:tcPr>
            <w:tcW w:w="5086" w:type="dxa"/>
            <w:vAlign w:val="center"/>
          </w:tcPr>
          <w:p w14:paraId="1E388A96">
            <w:pPr>
              <w:pageBreakBefore w:val="0"/>
              <w:kinsoku/>
              <w:overflowPunct/>
              <w:bidi w:val="0"/>
              <w:spacing w:line="360" w:lineRule="auto"/>
              <w:ind w:right="-101" w:rightChars="-48"/>
              <w:jc w:val="center"/>
              <w:rPr>
                <w:rFonts w:ascii="宋体" w:hAnsi="宋体" w:cs="宋体"/>
                <w:color w:val="000000" w:themeColor="text1"/>
                <w:szCs w:val="21"/>
                <w:highlight w:val="none"/>
                <w14:textFill>
                  <w14:solidFill>
                    <w14:schemeClr w14:val="tx1"/>
                  </w14:solidFill>
                </w14:textFill>
              </w:rPr>
            </w:pPr>
          </w:p>
        </w:tc>
      </w:tr>
    </w:tbl>
    <w:p w14:paraId="74223099">
      <w:pPr>
        <w:pageBreakBefore w:val="0"/>
        <w:kinsoku/>
        <w:overflowPunct/>
        <w:bidi w:val="0"/>
        <w:spacing w:line="360" w:lineRule="auto"/>
        <w:ind w:right="-101" w:rightChars="-48"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说明：本考核表为每一个子项招标完成后进行考核，凭此考核表才能进行本次造价服务费的计算和结算。</w:t>
      </w:r>
    </w:p>
    <w:p w14:paraId="69ADC0B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p>
    <w:p w14:paraId="064404C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14:paraId="17640DC3">
      <w:pPr>
        <w:pageBreakBefore w:val="0"/>
        <w:kinsoku/>
        <w:overflowPunct/>
        <w:bidi w:val="0"/>
        <w:snapToGrid w:val="0"/>
        <w:spacing w:line="360" w:lineRule="auto"/>
        <w:ind w:right="-101" w:rightChars="-48"/>
        <w:jc w:val="center"/>
        <w:outlineLvl w:val="0"/>
        <w:rPr>
          <w:rFonts w:ascii="宋体" w:hAnsi="宋体"/>
          <w:b/>
          <w:sz w:val="32"/>
          <w:szCs w:val="32"/>
          <w:highlight w:val="none"/>
        </w:rPr>
      </w:pPr>
      <w:r>
        <w:rPr>
          <w:rFonts w:hint="eastAsia" w:ascii="宋体" w:hAnsi="宋体"/>
          <w:b/>
          <w:sz w:val="32"/>
          <w:szCs w:val="32"/>
          <w:highlight w:val="none"/>
        </w:rPr>
        <w:t xml:space="preserve">第四章  </w:t>
      </w:r>
      <w:bookmarkEnd w:id="67"/>
      <w:bookmarkEnd w:id="68"/>
      <w:bookmarkEnd w:id="69"/>
      <w:bookmarkEnd w:id="70"/>
      <w:bookmarkEnd w:id="71"/>
      <w:r>
        <w:rPr>
          <w:rFonts w:hint="eastAsia" w:ascii="宋体" w:hAnsi="宋体"/>
          <w:b/>
          <w:sz w:val="32"/>
          <w:szCs w:val="32"/>
          <w:highlight w:val="none"/>
        </w:rPr>
        <w:t>评选办法与评选标准</w:t>
      </w:r>
    </w:p>
    <w:p w14:paraId="264B02E5">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一、比选人组织开标。</w:t>
      </w:r>
    </w:p>
    <w:p w14:paraId="6258EAD1">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二、评委会由有关专家和比选人代表组成，按照公平、公正、择优的原则进行独立评选。</w:t>
      </w:r>
    </w:p>
    <w:p w14:paraId="55D041E9">
      <w:pPr>
        <w:pageBreakBefore w:val="0"/>
        <w:kinsoku/>
        <w:overflowPunct/>
        <w:bidi w:val="0"/>
        <w:spacing w:line="360" w:lineRule="auto"/>
        <w:ind w:right="-101" w:rightChars="-48" w:firstLine="570"/>
        <w:rPr>
          <w:rFonts w:ascii="宋体" w:hAnsi="宋体" w:cs="宋体"/>
          <w:bCs/>
          <w:sz w:val="24"/>
          <w:highlight w:val="none"/>
        </w:rPr>
      </w:pPr>
      <w:r>
        <w:rPr>
          <w:rFonts w:hint="eastAsia" w:ascii="宋体" w:hAnsi="宋体" w:cs="宋体"/>
          <w:bCs/>
          <w:sz w:val="24"/>
          <w:highlight w:val="none"/>
        </w:rPr>
        <w:t>由评选委员会对参选人资格性、符合性审查，对未通过审查的参选人，现场告知原因。评选委员会对合格参选人的参选文件进行评审。</w:t>
      </w:r>
    </w:p>
    <w:p w14:paraId="60EBF2A6">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（一）评审内容</w:t>
      </w:r>
    </w:p>
    <w:p w14:paraId="45A626A7">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1、参选资格是否符合；</w:t>
      </w:r>
    </w:p>
    <w:p w14:paraId="5CB6FA99">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2、参选文件是否完整；</w:t>
      </w:r>
    </w:p>
    <w:p w14:paraId="4E7C8B71">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3、参选文件是否恰当地签署；</w:t>
      </w:r>
    </w:p>
    <w:p w14:paraId="292B7273">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4、是否作出实质性响应（是否有实质性响应，只根据参选文件本身，而不寻求外部证据）；</w:t>
      </w:r>
    </w:p>
    <w:p w14:paraId="627EDE0B">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5、是否有计算错误。</w:t>
      </w:r>
    </w:p>
    <w:p w14:paraId="298D8EFD">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（二）相应的规定</w:t>
      </w:r>
    </w:p>
    <w:p w14:paraId="0DB3376B">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1、如果单价汇总金额与总价金额有出入，以单价金额计算结果为准；</w:t>
      </w:r>
    </w:p>
    <w:p w14:paraId="0C60A842">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2、单价金额小数点有明显错位的，应以总价为准；</w:t>
      </w:r>
    </w:p>
    <w:p w14:paraId="3A6785E7">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3、若文件大写表示的数据与数字表示的有差别，以大写表示的数据为准；</w:t>
      </w:r>
    </w:p>
    <w:p w14:paraId="1A5A260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4、参选文件中参选报价表内容与参选文件中其他内容不一致的，以参选报价表为准。</w:t>
      </w:r>
    </w:p>
    <w:p w14:paraId="749370E7">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三、陈述、演示、答疑、澄清</w:t>
      </w:r>
    </w:p>
    <w:p w14:paraId="02B435FE">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如评委会认为有必要，参选人按评委会的要求作陈述、演示、答疑及澄清其参选内容。时间由评委会掌握。</w:t>
      </w:r>
    </w:p>
    <w:p w14:paraId="63D01A2C">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重要澄清答复应是书面的，但不得对参选内容进行实质性修改。</w:t>
      </w:r>
    </w:p>
    <w:p w14:paraId="229D643C">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四、参选人</w:t>
      </w:r>
      <w:r>
        <w:rPr>
          <w:rFonts w:hint="eastAsia" w:ascii="宋体" w:hAnsi="宋体" w:cs="宋体"/>
          <w:b/>
          <w:bCs/>
          <w:sz w:val="24"/>
          <w:highlight w:val="none"/>
          <w:lang w:val="en-US" w:eastAsia="zh-CN"/>
        </w:rPr>
        <w:t>其他要求</w:t>
      </w:r>
      <w:r>
        <w:rPr>
          <w:rFonts w:hint="eastAsia" w:ascii="宋体" w:hAnsi="宋体" w:cs="宋体"/>
          <w:b/>
          <w:bCs/>
          <w:sz w:val="24"/>
          <w:highlight w:val="none"/>
        </w:rPr>
        <w:t>：</w:t>
      </w:r>
    </w:p>
    <w:p w14:paraId="78F3015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1、与比选人存在利害关系可能影响采购公正性的法人、其他组织或者个人，不得参加本项目比选；单位负责人为同一人或者存在控股、管理关系的不同单位，不得参加本项目比选；</w:t>
      </w:r>
    </w:p>
    <w:p w14:paraId="3FB9C525">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2、参选人没有处于被责令停业，或投标资格被暂停或取消，或财产被接管、冻结、破产状态；</w:t>
      </w:r>
    </w:p>
    <w:p w14:paraId="08A84DF5">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3、根据《关于在公共资源交易领域的招标投标活动中建立对失信被执行人联合惩戒的实施意见》（苏信用办[2018]23号文），参选人未被“信用中国”列入失信被执行人名单；</w:t>
      </w:r>
    </w:p>
    <w:p w14:paraId="52180565">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4、参选人未被国家企业信用信息公示系统列入严重违法失信企业名单；</w:t>
      </w:r>
    </w:p>
    <w:p w14:paraId="39B3836E">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5、参选人未被南通轨道交通集团有限公司及其所属单位列为失信投标人或列入黑名单，没有处于暂停或取消投标资格状态；</w:t>
      </w:r>
    </w:p>
    <w:p w14:paraId="294A25EC">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6、法律法规或参选人须知前附表规定的其他情形。</w:t>
      </w:r>
    </w:p>
    <w:p w14:paraId="2FB7C9A1">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五、出现下列情形之一的，作无效参选处理：</w:t>
      </w:r>
    </w:p>
    <w:p w14:paraId="498F66A0">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1、未按照比选文件规定要求签署、签章的；</w:t>
      </w:r>
    </w:p>
    <w:p w14:paraId="61CB9663">
      <w:pPr>
        <w:pageBreakBefore w:val="0"/>
        <w:kinsoku/>
        <w:overflowPunct/>
        <w:bidi w:val="0"/>
        <w:spacing w:line="360" w:lineRule="auto"/>
        <w:ind w:right="-101" w:rightChars="-48" w:firstLine="570"/>
        <w:rPr>
          <w:rFonts w:ascii="宋体" w:hAnsi="宋体" w:cs="宋体"/>
          <w:sz w:val="24"/>
          <w:highlight w:val="none"/>
        </w:rPr>
      </w:pPr>
      <w:bookmarkStart w:id="82" w:name="OLE_LINK10"/>
      <w:r>
        <w:rPr>
          <w:rFonts w:hint="eastAsia" w:ascii="宋体" w:hAnsi="宋体" w:cs="宋体"/>
          <w:sz w:val="24"/>
          <w:highlight w:val="none"/>
        </w:rPr>
        <w:t>2、不具备比选文件中规定的资格要求的；</w:t>
      </w:r>
    </w:p>
    <w:bookmarkEnd w:id="82"/>
    <w:p w14:paraId="136A7FF1">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3、报价超过比选文件中规定的预算金额或者最高限价的；</w:t>
      </w:r>
    </w:p>
    <w:p w14:paraId="78CBBA38">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4、参选文件含有比选人不能接受的附加条件的；</w:t>
      </w:r>
    </w:p>
    <w:p w14:paraId="0A323766">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sz w:val="24"/>
          <w:highlight w:val="none"/>
        </w:rPr>
        <w:t>5、不符合法律、法规和比选文件中规定的其他实质性要求的。</w:t>
      </w:r>
    </w:p>
    <w:p w14:paraId="0387D573">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六、出现下列情形之一的，作废标处理：</w:t>
      </w:r>
    </w:p>
    <w:p w14:paraId="620B3F50">
      <w:pPr>
        <w:pageBreakBefore w:val="0"/>
        <w:kinsoku/>
        <w:overflowPunct/>
        <w:bidi w:val="0"/>
        <w:spacing w:line="360" w:lineRule="auto"/>
        <w:ind w:right="-101" w:rightChars="-48" w:firstLine="570"/>
        <w:rPr>
          <w:rFonts w:ascii="宋体" w:hAnsi="宋体" w:cs="宋体"/>
          <w:sz w:val="24"/>
          <w:highlight w:val="none"/>
        </w:rPr>
      </w:pPr>
      <w:bookmarkStart w:id="83" w:name="OLE_LINK13"/>
      <w:bookmarkStart w:id="84" w:name="OLE_LINK14"/>
      <w:r>
        <w:rPr>
          <w:rFonts w:hint="eastAsia" w:ascii="宋体" w:hAnsi="宋体" w:cs="宋体"/>
          <w:sz w:val="24"/>
          <w:highlight w:val="none"/>
        </w:rPr>
        <w:t>1、符合专业条件的参选人或者对比选文件作实质响应的参选人不足3家的；</w:t>
      </w:r>
    </w:p>
    <w:bookmarkEnd w:id="83"/>
    <w:bookmarkEnd w:id="84"/>
    <w:p w14:paraId="600AD921">
      <w:pPr>
        <w:pageBreakBefore w:val="0"/>
        <w:kinsoku/>
        <w:overflowPunct/>
        <w:bidi w:val="0"/>
        <w:spacing w:line="360" w:lineRule="auto"/>
        <w:ind w:right="-101" w:rightChars="-48" w:firstLine="570"/>
        <w:rPr>
          <w:rFonts w:ascii="宋体" w:hAnsi="宋体" w:cs="宋体"/>
          <w:sz w:val="24"/>
          <w:highlight w:val="none"/>
        </w:rPr>
      </w:pPr>
      <w:bookmarkStart w:id="85" w:name="OLE_LINK11"/>
      <w:bookmarkStart w:id="86" w:name="OLE_LINK12"/>
      <w:r>
        <w:rPr>
          <w:rFonts w:hint="eastAsia" w:ascii="宋体" w:hAnsi="宋体" w:cs="宋体"/>
          <w:sz w:val="24"/>
          <w:highlight w:val="none"/>
        </w:rPr>
        <w:t>2、出现影响比选公正的违法违规行为的；</w:t>
      </w:r>
    </w:p>
    <w:bookmarkEnd w:id="85"/>
    <w:bookmarkEnd w:id="86"/>
    <w:p w14:paraId="7034F7B1">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3、参选人的报价均超过了采购预算，比选人不能支付的；</w:t>
      </w:r>
    </w:p>
    <w:p w14:paraId="519CAF47">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4、因重大变故，比选任务取消的。</w:t>
      </w:r>
    </w:p>
    <w:p w14:paraId="1B364EBC">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上述均保留评委会认定可以确定为无效参选或废标的其他情况。</w:t>
      </w:r>
    </w:p>
    <w:p w14:paraId="6515EFA6">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七、不再比选和重新比选</w:t>
      </w:r>
    </w:p>
    <w:p w14:paraId="15EA395D">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1、有下列情形之一的，比选人可重新组织某标段的比选：</w:t>
      </w:r>
    </w:p>
    <w:p w14:paraId="068E4184">
      <w:pPr>
        <w:pageBreakBefore w:val="0"/>
        <w:kinsoku/>
        <w:overflowPunct/>
        <w:bidi w:val="0"/>
        <w:spacing w:line="360" w:lineRule="auto"/>
        <w:ind w:right="-101" w:rightChars="-48" w:firstLine="570"/>
        <w:rPr>
          <w:rFonts w:ascii="宋体" w:hAnsi="宋体" w:cs="宋体"/>
          <w:sz w:val="24"/>
          <w:highlight w:val="none"/>
        </w:rPr>
      </w:pPr>
      <w:bookmarkStart w:id="87" w:name="OLE_LINK16"/>
      <w:bookmarkStart w:id="88" w:name="OLE_LINK17"/>
      <w:r>
        <w:rPr>
          <w:rFonts w:hint="eastAsia" w:ascii="宋体" w:hAnsi="宋体" w:cs="宋体"/>
          <w:sz w:val="24"/>
          <w:highlight w:val="none"/>
        </w:rPr>
        <w:t>（1）参选截止时间止，</w:t>
      </w:r>
      <w:bookmarkStart w:id="89" w:name="OLE_LINK15"/>
      <w:r>
        <w:rPr>
          <w:rFonts w:hint="eastAsia" w:ascii="宋体" w:hAnsi="宋体" w:cs="宋体"/>
          <w:sz w:val="24"/>
          <w:highlight w:val="none"/>
        </w:rPr>
        <w:t>某标段的</w:t>
      </w:r>
      <w:bookmarkEnd w:id="89"/>
      <w:r>
        <w:rPr>
          <w:rFonts w:hint="eastAsia" w:ascii="宋体" w:hAnsi="宋体" w:cs="宋体"/>
          <w:sz w:val="24"/>
          <w:highlight w:val="none"/>
        </w:rPr>
        <w:t>参选人少于3个的；</w:t>
      </w:r>
    </w:p>
    <w:bookmarkEnd w:id="87"/>
    <w:bookmarkEnd w:id="88"/>
    <w:p w14:paraId="48D0077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（2）经评选委员会评审后否决某标段所有参选的；</w:t>
      </w:r>
    </w:p>
    <w:p w14:paraId="4E95F1C5">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（3）中选人放弃中选或者因被投诉且已查实的，比选人决定重新比选的；</w:t>
      </w:r>
    </w:p>
    <w:p w14:paraId="7F0CE1A3">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（4）评选委员会或主管部门认定的其他原因。</w:t>
      </w:r>
    </w:p>
    <w:p w14:paraId="3EA70200">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sz w:val="24"/>
          <w:highlight w:val="none"/>
        </w:rPr>
        <w:t>2、某标段重新比选后参选人仍少于3个或者所有参选被否决的，属于必须审批或核准的项目，经原审批或核准部门批准</w:t>
      </w:r>
      <w:r>
        <w:rPr>
          <w:rFonts w:hint="eastAsia" w:ascii="宋体" w:hAnsi="宋体" w:cs="宋体"/>
          <w:b w:val="0"/>
          <w:bCs w:val="0"/>
          <w:sz w:val="24"/>
          <w:highlight w:val="none"/>
        </w:rPr>
        <w:t>后</w:t>
      </w:r>
      <w:r>
        <w:rPr>
          <w:rFonts w:hint="eastAsia" w:ascii="宋体" w:hAnsi="宋体" w:cs="宋体"/>
          <w:b/>
          <w:bCs/>
          <w:sz w:val="24"/>
          <w:highlight w:val="none"/>
        </w:rPr>
        <w:t>可不再进行比选。</w:t>
      </w:r>
    </w:p>
    <w:p w14:paraId="32953AC0">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八、评选方法</w:t>
      </w:r>
    </w:p>
    <w:p w14:paraId="26378F12">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采用综合评分法。分资格审查、商务技术标、价格标三部分评审，总分值为100分。</w:t>
      </w:r>
    </w:p>
    <w:p w14:paraId="01B2F8C6">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首先由评选委员会评审参选人资格性、符合性，对合格的参选人由评委会评审商务技术标，待商务技术标评审结束后，再开启价格标。</w:t>
      </w:r>
    </w:p>
    <w:p w14:paraId="1FFA0A6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评委在认真审阅参选文件的基础上，根据各参选文件的商务、技术部分的响应情况，对各评分项目进行评分，不得统一打分。</w:t>
      </w:r>
    </w:p>
    <w:p w14:paraId="3A802564">
      <w:pPr>
        <w:pageBreakBefore w:val="0"/>
        <w:kinsoku/>
        <w:overflowPunct/>
        <w:bidi w:val="0"/>
        <w:spacing w:line="360" w:lineRule="auto"/>
        <w:ind w:right="-101" w:rightChars="-48" w:firstLine="570"/>
        <w:rPr>
          <w:rFonts w:ascii="宋体" w:hAnsi="宋体" w:cs="宋体"/>
          <w:b/>
          <w:bCs/>
          <w:sz w:val="24"/>
          <w:highlight w:val="none"/>
          <w:lang w:val="zh-CN"/>
        </w:rPr>
      </w:pPr>
      <w:r>
        <w:rPr>
          <w:rFonts w:hint="eastAsia" w:ascii="宋体" w:hAnsi="宋体" w:cs="宋体"/>
          <w:b/>
          <w:bCs/>
          <w:sz w:val="24"/>
          <w:highlight w:val="none"/>
          <w:lang w:val="zh-CN"/>
        </w:rPr>
        <w:t>（一）评选委员会对参选人资格性、符合性审查。</w:t>
      </w:r>
    </w:p>
    <w:p w14:paraId="19157126">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参选人资格性、符合性不合格的，其参选文件判定为无效参选文件。合格的，评委对其参选文件继续评审。</w:t>
      </w:r>
    </w:p>
    <w:tbl>
      <w:tblPr>
        <w:tblStyle w:val="36"/>
        <w:tblW w:w="9274"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70"/>
        <w:gridCol w:w="4907"/>
        <w:gridCol w:w="2548"/>
      </w:tblGrid>
      <w:tr w14:paraId="61F6B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Align w:val="center"/>
          </w:tcPr>
          <w:p w14:paraId="7374F3C7">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序号</w:t>
            </w:r>
          </w:p>
        </w:tc>
        <w:tc>
          <w:tcPr>
            <w:tcW w:w="1170" w:type="dxa"/>
            <w:vAlign w:val="center"/>
          </w:tcPr>
          <w:p w14:paraId="612E22F6">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项目内容</w:t>
            </w:r>
          </w:p>
        </w:tc>
        <w:tc>
          <w:tcPr>
            <w:tcW w:w="4907" w:type="dxa"/>
            <w:vAlign w:val="center"/>
          </w:tcPr>
          <w:p w14:paraId="0010BA92">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合格条件</w:t>
            </w:r>
          </w:p>
        </w:tc>
        <w:tc>
          <w:tcPr>
            <w:tcW w:w="2548" w:type="dxa"/>
            <w:vAlign w:val="center"/>
          </w:tcPr>
          <w:p w14:paraId="066AFF4D">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须提供的证明材料</w:t>
            </w:r>
          </w:p>
          <w:p w14:paraId="3BA3EEA8">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w:t>
            </w:r>
            <w:r>
              <w:rPr>
                <w:rFonts w:hint="eastAsia"/>
                <w:szCs w:val="21"/>
                <w:highlight w:val="none"/>
              </w:rPr>
              <w:t>扫描件或复印件</w:t>
            </w:r>
            <w:r>
              <w:rPr>
                <w:rFonts w:hint="eastAsia" w:ascii="宋体" w:hAnsi="宋体" w:cs="宋体"/>
                <w:highlight w:val="none"/>
              </w:rPr>
              <w:t>）</w:t>
            </w:r>
          </w:p>
        </w:tc>
      </w:tr>
      <w:tr w14:paraId="1E9D9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49" w:type="dxa"/>
            <w:vAlign w:val="center"/>
          </w:tcPr>
          <w:p w14:paraId="61F75B18">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1</w:t>
            </w:r>
          </w:p>
        </w:tc>
        <w:tc>
          <w:tcPr>
            <w:tcW w:w="1170" w:type="dxa"/>
            <w:vMerge w:val="restart"/>
            <w:vAlign w:val="center"/>
          </w:tcPr>
          <w:p w14:paraId="525036AE">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参选人应具备的资质条件要求</w:t>
            </w:r>
          </w:p>
        </w:tc>
        <w:tc>
          <w:tcPr>
            <w:tcW w:w="4907" w:type="dxa"/>
            <w:vAlign w:val="center"/>
          </w:tcPr>
          <w:p w14:paraId="348BD160">
            <w:pPr>
              <w:pStyle w:val="111"/>
              <w:pageBreakBefore w:val="0"/>
              <w:kinsoku/>
              <w:overflowPunct/>
              <w:bidi w:val="0"/>
              <w:adjustRightInd/>
              <w:spacing w:line="360" w:lineRule="auto"/>
              <w:ind w:right="-101" w:rightChars="-48"/>
              <w:jc w:val="both"/>
              <w:rPr>
                <w:rFonts w:eastAsia="宋体"/>
                <w:color w:val="auto"/>
                <w:kern w:val="2"/>
                <w:sz w:val="21"/>
                <w:szCs w:val="21"/>
                <w:highlight w:val="none"/>
              </w:rPr>
            </w:pPr>
            <w:r>
              <w:rPr>
                <w:rFonts w:hint="eastAsia" w:eastAsia="宋体"/>
                <w:color w:val="auto"/>
                <w:kern w:val="2"/>
                <w:sz w:val="21"/>
                <w:szCs w:val="21"/>
                <w:highlight w:val="none"/>
              </w:rPr>
              <w:t>参选人须为中华人民共和国境内注册的、具有独立企业法人资格的企业。</w:t>
            </w:r>
          </w:p>
        </w:tc>
        <w:tc>
          <w:tcPr>
            <w:tcW w:w="2548" w:type="dxa"/>
            <w:vAlign w:val="center"/>
          </w:tcPr>
          <w:p w14:paraId="1B46EB17">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营业执照；参选人若为事业法人单位须提供事业单位法人证书</w:t>
            </w:r>
          </w:p>
        </w:tc>
      </w:tr>
      <w:tr w14:paraId="7E276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9" w:type="dxa"/>
            <w:vAlign w:val="center"/>
          </w:tcPr>
          <w:p w14:paraId="59A0F663">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2</w:t>
            </w:r>
          </w:p>
        </w:tc>
        <w:tc>
          <w:tcPr>
            <w:tcW w:w="1170" w:type="dxa"/>
            <w:vMerge w:val="continue"/>
            <w:vAlign w:val="center"/>
          </w:tcPr>
          <w:p w14:paraId="1F9593C8">
            <w:pPr>
              <w:pageBreakBefore w:val="0"/>
              <w:kinsoku/>
              <w:overflowPunct/>
              <w:bidi w:val="0"/>
              <w:spacing w:line="360" w:lineRule="auto"/>
              <w:ind w:right="-101" w:rightChars="-48"/>
              <w:jc w:val="center"/>
              <w:rPr>
                <w:rFonts w:ascii="宋体" w:hAnsi="宋体" w:cs="宋体"/>
                <w:highlight w:val="none"/>
              </w:rPr>
            </w:pPr>
          </w:p>
        </w:tc>
        <w:tc>
          <w:tcPr>
            <w:tcW w:w="4907" w:type="dxa"/>
            <w:vAlign w:val="center"/>
          </w:tcPr>
          <w:p w14:paraId="1F33A81A">
            <w:pPr>
              <w:pStyle w:val="111"/>
              <w:pageBreakBefore w:val="0"/>
              <w:kinsoku/>
              <w:overflowPunct/>
              <w:bidi w:val="0"/>
              <w:adjustRightInd/>
              <w:spacing w:line="360" w:lineRule="auto"/>
              <w:ind w:right="-101" w:rightChars="-48"/>
              <w:jc w:val="both"/>
              <w:rPr>
                <w:rFonts w:eastAsia="宋体"/>
                <w:color w:val="auto"/>
                <w:kern w:val="2"/>
                <w:sz w:val="21"/>
                <w:szCs w:val="21"/>
                <w:highlight w:val="none"/>
              </w:rPr>
            </w:pPr>
            <w:r>
              <w:rPr>
                <w:rFonts w:hint="eastAsia" w:eastAsia="宋体"/>
                <w:color w:val="auto"/>
                <w:kern w:val="2"/>
                <w:sz w:val="21"/>
                <w:szCs w:val="21"/>
                <w:highlight w:val="none"/>
              </w:rPr>
              <w:t>参选人自2020年1月1日至投标截止日期至少具有一项国有企事业单位招标代理或造价咨询项目业绩，以合同签订时间为准。</w:t>
            </w:r>
          </w:p>
        </w:tc>
        <w:tc>
          <w:tcPr>
            <w:tcW w:w="2548" w:type="dxa"/>
            <w:vAlign w:val="center"/>
          </w:tcPr>
          <w:p w14:paraId="5FC67087">
            <w:pPr>
              <w:pStyle w:val="111"/>
              <w:pageBreakBefore w:val="0"/>
              <w:kinsoku/>
              <w:overflowPunct/>
              <w:bidi w:val="0"/>
              <w:adjustRightInd/>
              <w:spacing w:line="360" w:lineRule="auto"/>
              <w:ind w:right="-101" w:rightChars="-48"/>
              <w:jc w:val="both"/>
              <w:rPr>
                <w:rFonts w:eastAsia="宋体"/>
                <w:color w:val="auto"/>
                <w:kern w:val="2"/>
                <w:sz w:val="21"/>
                <w:szCs w:val="21"/>
                <w:highlight w:val="none"/>
              </w:rPr>
            </w:pPr>
            <w:r>
              <w:rPr>
                <w:rFonts w:hint="eastAsia" w:eastAsia="宋体"/>
                <w:color w:val="auto"/>
                <w:kern w:val="2"/>
                <w:sz w:val="21"/>
                <w:szCs w:val="21"/>
                <w:highlight w:val="none"/>
              </w:rPr>
              <w:t>合同，以合同签订时间为准</w:t>
            </w:r>
          </w:p>
        </w:tc>
      </w:tr>
      <w:tr w14:paraId="76B15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Align w:val="center"/>
          </w:tcPr>
          <w:p w14:paraId="2A961C1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3</w:t>
            </w:r>
          </w:p>
        </w:tc>
        <w:tc>
          <w:tcPr>
            <w:tcW w:w="1170" w:type="dxa"/>
            <w:vAlign w:val="center"/>
          </w:tcPr>
          <w:p w14:paraId="5C3102AD">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项目负责人要求</w:t>
            </w:r>
          </w:p>
        </w:tc>
        <w:tc>
          <w:tcPr>
            <w:tcW w:w="4907" w:type="dxa"/>
            <w:tcBorders>
              <w:right w:val="single" w:color="000000" w:sz="6" w:space="0"/>
            </w:tcBorders>
            <w:vAlign w:val="center"/>
          </w:tcPr>
          <w:p w14:paraId="3E89D00F">
            <w:pPr>
              <w:pStyle w:val="111"/>
              <w:pageBreakBefore w:val="0"/>
              <w:kinsoku/>
              <w:overflowPunct/>
              <w:bidi w:val="0"/>
              <w:adjustRightInd/>
              <w:spacing w:line="360" w:lineRule="auto"/>
              <w:ind w:right="-101" w:rightChars="-48"/>
              <w:jc w:val="both"/>
              <w:rPr>
                <w:rFonts w:eastAsia="宋体"/>
                <w:color w:val="auto"/>
                <w:kern w:val="2"/>
                <w:sz w:val="21"/>
                <w:szCs w:val="21"/>
                <w:highlight w:val="none"/>
              </w:rPr>
            </w:pPr>
            <w:r>
              <w:rPr>
                <w:rFonts w:hint="eastAsia" w:eastAsia="宋体"/>
                <w:color w:val="auto"/>
                <w:kern w:val="2"/>
                <w:sz w:val="21"/>
                <w:szCs w:val="21"/>
                <w:highlight w:val="none"/>
              </w:rPr>
              <w:t>参选人拟派的项目负责人须为本单位正式员工，具备一级注册造价师资质，且注册在本单位。</w:t>
            </w:r>
          </w:p>
        </w:tc>
        <w:tc>
          <w:tcPr>
            <w:tcW w:w="2548" w:type="dxa"/>
            <w:tcBorders>
              <w:left w:val="single" w:color="000000" w:sz="6" w:space="0"/>
            </w:tcBorders>
            <w:vAlign w:val="center"/>
          </w:tcPr>
          <w:p w14:paraId="23087F0C">
            <w:pPr>
              <w:pStyle w:val="98"/>
              <w:pageBreakBefore w:val="0"/>
              <w:kinsoku/>
              <w:overflowPunct/>
              <w:bidi w:val="0"/>
              <w:spacing w:line="360" w:lineRule="auto"/>
              <w:ind w:right="-101" w:rightChars="-48" w:firstLine="0" w:firstLineChars="0"/>
              <w:rPr>
                <w:rFonts w:ascii="宋体" w:hAnsi="宋体" w:cs="宋体"/>
                <w:sz w:val="21"/>
                <w:szCs w:val="21"/>
                <w:highlight w:val="none"/>
              </w:rPr>
            </w:pPr>
            <w:r>
              <w:rPr>
                <w:rFonts w:hint="eastAsia" w:ascii="宋体" w:hAnsi="宋体" w:cs="宋体"/>
                <w:sz w:val="21"/>
                <w:szCs w:val="21"/>
                <w:highlight w:val="none"/>
              </w:rPr>
              <w:t>①劳动合同</w:t>
            </w:r>
          </w:p>
          <w:p w14:paraId="37F29CDB">
            <w:pPr>
              <w:pStyle w:val="98"/>
              <w:pageBreakBefore w:val="0"/>
              <w:kinsoku/>
              <w:overflowPunct/>
              <w:bidi w:val="0"/>
              <w:spacing w:line="360" w:lineRule="auto"/>
              <w:ind w:right="-101" w:rightChars="-48" w:firstLine="0" w:firstLineChars="0"/>
              <w:rPr>
                <w:rFonts w:ascii="宋体" w:hAnsi="宋体" w:cs="宋体"/>
                <w:sz w:val="21"/>
                <w:szCs w:val="21"/>
                <w:highlight w:val="none"/>
              </w:rPr>
            </w:pPr>
            <w:r>
              <w:rPr>
                <w:rFonts w:hint="eastAsia" w:ascii="宋体" w:hAnsi="宋体" w:cs="宋体"/>
                <w:sz w:val="21"/>
                <w:szCs w:val="21"/>
                <w:highlight w:val="none"/>
              </w:rPr>
              <w:t>②职称证书</w:t>
            </w:r>
          </w:p>
        </w:tc>
      </w:tr>
      <w:tr w14:paraId="00C80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9" w:type="dxa"/>
            <w:vAlign w:val="center"/>
          </w:tcPr>
          <w:p w14:paraId="7A89811A">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4</w:t>
            </w:r>
          </w:p>
        </w:tc>
        <w:tc>
          <w:tcPr>
            <w:tcW w:w="1170" w:type="dxa"/>
            <w:vMerge w:val="restart"/>
            <w:vAlign w:val="center"/>
          </w:tcPr>
          <w:p w14:paraId="3255C619">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其他</w:t>
            </w:r>
          </w:p>
        </w:tc>
        <w:tc>
          <w:tcPr>
            <w:tcW w:w="4907" w:type="dxa"/>
            <w:shd w:val="clear" w:color="auto" w:fill="auto"/>
            <w:vAlign w:val="center"/>
          </w:tcPr>
          <w:p w14:paraId="2D0756A7">
            <w:pPr>
              <w:pageBreakBefore w:val="0"/>
              <w:kinsoku/>
              <w:overflowPunct/>
              <w:bidi w:val="0"/>
              <w:spacing w:line="360" w:lineRule="auto"/>
              <w:ind w:right="-101" w:rightChars="-48"/>
              <w:rPr>
                <w:rFonts w:ascii="宋体" w:hAnsi="宋体" w:eastAsia="宋体" w:cs="宋体"/>
                <w:kern w:val="2"/>
                <w:sz w:val="21"/>
                <w:szCs w:val="24"/>
                <w:highlight w:val="none"/>
                <w:lang w:val="en-US" w:eastAsia="zh-CN" w:bidi="ar-SA"/>
              </w:rPr>
            </w:pPr>
            <w:r>
              <w:rPr>
                <w:rFonts w:hint="eastAsia" w:ascii="宋体" w:hAnsi="宋体" w:eastAsia="宋体" w:cs="宋体"/>
                <w:highlight w:val="none"/>
              </w:rPr>
              <w:t>与比选人存在利害关系可能影响采购公正性的法人、其他组织或者个人，不得参加本项目比选。</w:t>
            </w:r>
          </w:p>
        </w:tc>
        <w:tc>
          <w:tcPr>
            <w:tcW w:w="2548" w:type="dxa"/>
            <w:vMerge w:val="restart"/>
            <w:vAlign w:val="center"/>
          </w:tcPr>
          <w:p w14:paraId="763EF4F3">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参选承诺书</w:t>
            </w:r>
          </w:p>
          <w:p w14:paraId="0AAE25C9">
            <w:pPr>
              <w:pageBreakBefore w:val="0"/>
              <w:kinsoku/>
              <w:overflowPunct/>
              <w:bidi w:val="0"/>
              <w:spacing w:line="360" w:lineRule="auto"/>
              <w:ind w:right="-101" w:rightChars="-48"/>
              <w:rPr>
                <w:highlight w:val="none"/>
              </w:rPr>
            </w:pPr>
            <w:r>
              <w:rPr>
                <w:rFonts w:hint="eastAsia" w:ascii="宋体" w:hAnsi="宋体" w:cs="宋体"/>
                <w:highlight w:val="none"/>
              </w:rPr>
              <w:t>具体内容详见“第七章资格审查文件参选承诺书”</w:t>
            </w:r>
          </w:p>
        </w:tc>
      </w:tr>
      <w:tr w14:paraId="58778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vAlign w:val="center"/>
          </w:tcPr>
          <w:p w14:paraId="7354B65A">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5</w:t>
            </w:r>
          </w:p>
        </w:tc>
        <w:tc>
          <w:tcPr>
            <w:tcW w:w="1170" w:type="dxa"/>
            <w:vMerge w:val="continue"/>
            <w:vAlign w:val="center"/>
          </w:tcPr>
          <w:p w14:paraId="39C1B7D3">
            <w:pPr>
              <w:pageBreakBefore w:val="0"/>
              <w:kinsoku/>
              <w:overflowPunct/>
              <w:bidi w:val="0"/>
              <w:spacing w:line="360" w:lineRule="auto"/>
              <w:ind w:right="-101" w:rightChars="-48"/>
              <w:jc w:val="center"/>
              <w:rPr>
                <w:rFonts w:ascii="宋体" w:hAnsi="宋体" w:cs="宋体"/>
                <w:highlight w:val="none"/>
              </w:rPr>
            </w:pPr>
          </w:p>
        </w:tc>
        <w:tc>
          <w:tcPr>
            <w:tcW w:w="4907" w:type="dxa"/>
            <w:shd w:val="clear" w:color="auto" w:fill="auto"/>
            <w:vAlign w:val="center"/>
          </w:tcPr>
          <w:p w14:paraId="5633683E">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单位负责人为同一人或者存在控股、管理关系的不同单位，不得参加同一标段比选或者未划分标段的同一比选项目比选。如出现前述情况，参选人应当做好协商，于比选时选出一个参选人参与比选，如不能按时选出的，比选人有权否决所有相关参选人的参选资格。</w:t>
            </w:r>
          </w:p>
        </w:tc>
        <w:tc>
          <w:tcPr>
            <w:tcW w:w="2548" w:type="dxa"/>
            <w:vMerge w:val="continue"/>
            <w:vAlign w:val="center"/>
          </w:tcPr>
          <w:p w14:paraId="6C7C8911">
            <w:pPr>
              <w:pageBreakBefore w:val="0"/>
              <w:kinsoku/>
              <w:overflowPunct/>
              <w:bidi w:val="0"/>
              <w:spacing w:line="360" w:lineRule="auto"/>
              <w:ind w:right="-101" w:rightChars="-48"/>
              <w:rPr>
                <w:rFonts w:ascii="宋体" w:hAnsi="宋体" w:cs="宋体"/>
                <w:highlight w:val="none"/>
              </w:rPr>
            </w:pPr>
          </w:p>
        </w:tc>
      </w:tr>
      <w:tr w14:paraId="41BA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649" w:type="dxa"/>
            <w:vAlign w:val="center"/>
          </w:tcPr>
          <w:p w14:paraId="3959B13D">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6</w:t>
            </w:r>
          </w:p>
        </w:tc>
        <w:tc>
          <w:tcPr>
            <w:tcW w:w="1170" w:type="dxa"/>
            <w:vMerge w:val="continue"/>
            <w:vAlign w:val="center"/>
          </w:tcPr>
          <w:p w14:paraId="30DA01C2">
            <w:pPr>
              <w:pageBreakBefore w:val="0"/>
              <w:kinsoku/>
              <w:overflowPunct/>
              <w:bidi w:val="0"/>
              <w:spacing w:line="360" w:lineRule="auto"/>
              <w:ind w:right="-101" w:rightChars="-48"/>
              <w:jc w:val="center"/>
              <w:rPr>
                <w:rFonts w:ascii="宋体" w:hAnsi="宋体" w:cs="宋体"/>
                <w:highlight w:val="none"/>
              </w:rPr>
            </w:pPr>
          </w:p>
        </w:tc>
        <w:tc>
          <w:tcPr>
            <w:tcW w:w="4907" w:type="dxa"/>
            <w:shd w:val="clear" w:color="auto" w:fill="auto"/>
            <w:vAlign w:val="center"/>
          </w:tcPr>
          <w:p w14:paraId="7F33C27E">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参选人没有处于被责令停业，或投标资格被暂停或取消，或财产被接管、冻结、破产状态。</w:t>
            </w:r>
          </w:p>
        </w:tc>
        <w:tc>
          <w:tcPr>
            <w:tcW w:w="2548" w:type="dxa"/>
            <w:vMerge w:val="continue"/>
            <w:vAlign w:val="center"/>
          </w:tcPr>
          <w:p w14:paraId="3FDA0C9B">
            <w:pPr>
              <w:pageBreakBefore w:val="0"/>
              <w:kinsoku/>
              <w:overflowPunct/>
              <w:bidi w:val="0"/>
              <w:spacing w:line="360" w:lineRule="auto"/>
              <w:ind w:right="-101" w:rightChars="-48"/>
              <w:rPr>
                <w:rFonts w:ascii="宋体" w:hAnsi="宋体" w:cs="宋体"/>
                <w:highlight w:val="none"/>
              </w:rPr>
            </w:pPr>
          </w:p>
        </w:tc>
      </w:tr>
      <w:tr w14:paraId="1C583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9" w:type="dxa"/>
            <w:vAlign w:val="center"/>
          </w:tcPr>
          <w:p w14:paraId="7E2B2455">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7</w:t>
            </w:r>
          </w:p>
        </w:tc>
        <w:tc>
          <w:tcPr>
            <w:tcW w:w="1170" w:type="dxa"/>
            <w:vMerge w:val="continue"/>
            <w:vAlign w:val="center"/>
          </w:tcPr>
          <w:p w14:paraId="07F2535A">
            <w:pPr>
              <w:pageBreakBefore w:val="0"/>
              <w:kinsoku/>
              <w:overflowPunct/>
              <w:bidi w:val="0"/>
              <w:spacing w:line="360" w:lineRule="auto"/>
              <w:ind w:right="-101" w:rightChars="-48"/>
              <w:jc w:val="center"/>
              <w:rPr>
                <w:rFonts w:ascii="宋体" w:hAnsi="宋体" w:cs="宋体"/>
                <w:highlight w:val="none"/>
              </w:rPr>
            </w:pPr>
          </w:p>
        </w:tc>
        <w:tc>
          <w:tcPr>
            <w:tcW w:w="4907" w:type="dxa"/>
            <w:shd w:val="clear" w:color="auto" w:fill="auto"/>
            <w:vAlign w:val="center"/>
          </w:tcPr>
          <w:p w14:paraId="00470807">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根据《关于在公共资源交易领域的招标投标活动中建立对失信被执行人联合惩戒的实施意见》（苏信用办[2018]23号文），参选人未被“信用中国”列入失信被执行人名单。</w:t>
            </w:r>
          </w:p>
        </w:tc>
        <w:tc>
          <w:tcPr>
            <w:tcW w:w="2548" w:type="dxa"/>
            <w:vMerge w:val="continue"/>
            <w:vAlign w:val="center"/>
          </w:tcPr>
          <w:p w14:paraId="0F573944">
            <w:pPr>
              <w:pageBreakBefore w:val="0"/>
              <w:kinsoku/>
              <w:overflowPunct/>
              <w:bidi w:val="0"/>
              <w:spacing w:line="360" w:lineRule="auto"/>
              <w:ind w:right="-101" w:rightChars="-48"/>
              <w:rPr>
                <w:rFonts w:ascii="宋体" w:hAnsi="宋体" w:cs="宋体"/>
                <w:highlight w:val="none"/>
              </w:rPr>
            </w:pPr>
          </w:p>
        </w:tc>
      </w:tr>
      <w:tr w14:paraId="4F04A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49" w:type="dxa"/>
            <w:vAlign w:val="center"/>
          </w:tcPr>
          <w:p w14:paraId="7BE54B98">
            <w:pPr>
              <w:pageBreakBefore w:val="0"/>
              <w:kinsoku/>
              <w:overflowPunct/>
              <w:bidi w:val="0"/>
              <w:spacing w:line="360" w:lineRule="auto"/>
              <w:ind w:right="-101" w:rightChars="-48"/>
              <w:jc w:val="center"/>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1170" w:type="dxa"/>
            <w:vMerge w:val="continue"/>
            <w:vAlign w:val="center"/>
          </w:tcPr>
          <w:p w14:paraId="1A56E787">
            <w:pPr>
              <w:pageBreakBefore w:val="0"/>
              <w:kinsoku/>
              <w:overflowPunct/>
              <w:bidi w:val="0"/>
              <w:spacing w:line="360" w:lineRule="auto"/>
              <w:ind w:right="-101" w:rightChars="-48"/>
              <w:jc w:val="center"/>
              <w:rPr>
                <w:rFonts w:ascii="宋体" w:hAnsi="宋体" w:cs="宋体"/>
                <w:highlight w:val="none"/>
              </w:rPr>
            </w:pPr>
          </w:p>
        </w:tc>
        <w:tc>
          <w:tcPr>
            <w:tcW w:w="4907" w:type="dxa"/>
            <w:shd w:val="clear" w:color="auto" w:fill="auto"/>
            <w:vAlign w:val="center"/>
          </w:tcPr>
          <w:p w14:paraId="4E5C9347">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参选人未被国家企业信用信息公示系统列入严重违法失信企业名单。</w:t>
            </w:r>
          </w:p>
        </w:tc>
        <w:tc>
          <w:tcPr>
            <w:tcW w:w="2548" w:type="dxa"/>
            <w:vMerge w:val="continue"/>
            <w:vAlign w:val="center"/>
          </w:tcPr>
          <w:p w14:paraId="55830A94">
            <w:pPr>
              <w:pageBreakBefore w:val="0"/>
              <w:kinsoku/>
              <w:overflowPunct/>
              <w:bidi w:val="0"/>
              <w:spacing w:line="360" w:lineRule="auto"/>
              <w:ind w:right="-101" w:rightChars="-48"/>
              <w:rPr>
                <w:rFonts w:ascii="宋体" w:hAnsi="宋体" w:cs="宋体"/>
                <w:highlight w:val="none"/>
              </w:rPr>
            </w:pPr>
          </w:p>
        </w:tc>
      </w:tr>
      <w:tr w14:paraId="070A1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49" w:type="dxa"/>
            <w:vAlign w:val="center"/>
          </w:tcPr>
          <w:p w14:paraId="193E1AE9">
            <w:pPr>
              <w:pageBreakBefore w:val="0"/>
              <w:kinsoku/>
              <w:overflowPunct/>
              <w:bidi w:val="0"/>
              <w:spacing w:line="360" w:lineRule="auto"/>
              <w:ind w:right="-101" w:rightChars="-48"/>
              <w:jc w:val="center"/>
              <w:rPr>
                <w:rFonts w:hint="eastAsia" w:ascii="宋体" w:hAnsi="宋体" w:eastAsia="宋体" w:cs="宋体"/>
                <w:highlight w:val="none"/>
                <w:lang w:eastAsia="zh-CN"/>
              </w:rPr>
            </w:pPr>
            <w:r>
              <w:rPr>
                <w:rFonts w:hint="eastAsia" w:ascii="宋体" w:hAnsi="宋体" w:cs="宋体"/>
                <w:highlight w:val="none"/>
                <w:lang w:val="en-US" w:eastAsia="zh-CN"/>
              </w:rPr>
              <w:t>9</w:t>
            </w:r>
          </w:p>
        </w:tc>
        <w:tc>
          <w:tcPr>
            <w:tcW w:w="1170" w:type="dxa"/>
            <w:vMerge w:val="continue"/>
            <w:vAlign w:val="center"/>
          </w:tcPr>
          <w:p w14:paraId="19302270">
            <w:pPr>
              <w:pageBreakBefore w:val="0"/>
              <w:kinsoku/>
              <w:overflowPunct/>
              <w:bidi w:val="0"/>
              <w:spacing w:line="360" w:lineRule="auto"/>
              <w:ind w:right="-101" w:rightChars="-48"/>
              <w:jc w:val="center"/>
              <w:rPr>
                <w:rFonts w:ascii="宋体" w:hAnsi="宋体" w:cs="宋体"/>
                <w:highlight w:val="none"/>
              </w:rPr>
            </w:pPr>
          </w:p>
        </w:tc>
        <w:tc>
          <w:tcPr>
            <w:tcW w:w="4907" w:type="dxa"/>
            <w:shd w:val="clear" w:color="auto" w:fill="auto"/>
            <w:vAlign w:val="center"/>
          </w:tcPr>
          <w:p w14:paraId="5A1EFC6C">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cs="宋体"/>
                <w:highlight w:val="none"/>
              </w:rPr>
              <w:t>参选人未被南通轨道交通集团有限公司及其所属单位列为失信投标人或列入黑名单，没有处于暂停或取消投标资格状态。</w:t>
            </w:r>
          </w:p>
        </w:tc>
        <w:tc>
          <w:tcPr>
            <w:tcW w:w="2548" w:type="dxa"/>
            <w:vMerge w:val="continue"/>
            <w:vAlign w:val="center"/>
          </w:tcPr>
          <w:p w14:paraId="728A8B31">
            <w:pPr>
              <w:pageBreakBefore w:val="0"/>
              <w:kinsoku/>
              <w:overflowPunct/>
              <w:bidi w:val="0"/>
              <w:spacing w:line="360" w:lineRule="auto"/>
              <w:ind w:right="-101" w:rightChars="-48"/>
              <w:rPr>
                <w:rFonts w:ascii="宋体" w:hAnsi="宋体" w:cs="宋体"/>
                <w:highlight w:val="none"/>
              </w:rPr>
            </w:pPr>
          </w:p>
        </w:tc>
      </w:tr>
      <w:tr w14:paraId="53553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49" w:type="dxa"/>
            <w:shd w:val="clear" w:color="auto" w:fill="auto"/>
            <w:vAlign w:val="center"/>
          </w:tcPr>
          <w:p w14:paraId="1D60C3D8">
            <w:pPr>
              <w:pageBreakBefore w:val="0"/>
              <w:kinsoku/>
              <w:overflowPunct/>
              <w:bidi w:val="0"/>
              <w:spacing w:line="360" w:lineRule="auto"/>
              <w:ind w:right="-101" w:rightChars="-48"/>
              <w:jc w:val="center"/>
              <w:rPr>
                <w:rFonts w:hint="default"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10</w:t>
            </w:r>
          </w:p>
        </w:tc>
        <w:tc>
          <w:tcPr>
            <w:tcW w:w="1170" w:type="dxa"/>
            <w:vMerge w:val="continue"/>
            <w:shd w:val="clear" w:color="auto" w:fill="auto"/>
            <w:vAlign w:val="center"/>
          </w:tcPr>
          <w:p w14:paraId="61F6377D">
            <w:pPr>
              <w:pageBreakBefore w:val="0"/>
              <w:kinsoku/>
              <w:overflowPunct/>
              <w:bidi w:val="0"/>
              <w:spacing w:line="360" w:lineRule="auto"/>
              <w:ind w:right="-101" w:rightChars="-48"/>
              <w:jc w:val="center"/>
              <w:rPr>
                <w:rFonts w:ascii="宋体" w:hAnsi="宋体" w:eastAsia="宋体" w:cs="宋体"/>
                <w:kern w:val="2"/>
                <w:sz w:val="21"/>
                <w:szCs w:val="24"/>
                <w:highlight w:val="none"/>
                <w:lang w:val="en-US" w:eastAsia="zh-CN" w:bidi="ar-SA"/>
              </w:rPr>
            </w:pPr>
          </w:p>
        </w:tc>
        <w:tc>
          <w:tcPr>
            <w:tcW w:w="4907" w:type="dxa"/>
            <w:shd w:val="clear" w:color="auto" w:fill="auto"/>
            <w:vAlign w:val="center"/>
          </w:tcPr>
          <w:p w14:paraId="402A66D4">
            <w:pPr>
              <w:pageBreakBefore w:val="0"/>
              <w:kinsoku/>
              <w:overflowPunct/>
              <w:bidi w:val="0"/>
              <w:spacing w:line="360" w:lineRule="auto"/>
              <w:ind w:right="-101" w:rightChars="-48"/>
              <w:rPr>
                <w:rFonts w:hint="eastAsia" w:ascii="宋体" w:hAnsi="宋体" w:eastAsia="宋体" w:cs="宋体"/>
                <w:kern w:val="2"/>
                <w:sz w:val="21"/>
                <w:szCs w:val="24"/>
                <w:highlight w:val="none"/>
                <w:lang w:val="en-US" w:eastAsia="zh-CN" w:bidi="ar-SA"/>
              </w:rPr>
            </w:pPr>
            <w:r>
              <w:rPr>
                <w:rFonts w:hint="eastAsia" w:ascii="宋体" w:hAnsi="宋体" w:cs="宋体"/>
                <w:b/>
                <w:bCs/>
                <w:highlight w:val="none"/>
                <w:u w:val="single"/>
              </w:rPr>
              <w:t>参选人</w:t>
            </w:r>
            <w:r>
              <w:rPr>
                <w:rFonts w:hint="eastAsia" w:ascii="宋体" w:hAnsi="宋体" w:cs="宋体"/>
                <w:b/>
                <w:bCs/>
                <w:highlight w:val="none"/>
                <w:u w:val="single"/>
                <w:lang w:val="en-US" w:eastAsia="zh-CN"/>
              </w:rPr>
              <w:t>承诺同意在比选结束后最终取三家入围服务单位中最低的报价系数作为所有服务单位的最终报价系数签订框架服务合同。</w:t>
            </w:r>
          </w:p>
        </w:tc>
        <w:tc>
          <w:tcPr>
            <w:tcW w:w="2548" w:type="dxa"/>
            <w:vMerge w:val="continue"/>
            <w:vAlign w:val="center"/>
          </w:tcPr>
          <w:p w14:paraId="5D8C6E2B">
            <w:pPr>
              <w:pageBreakBefore w:val="0"/>
              <w:kinsoku/>
              <w:overflowPunct/>
              <w:bidi w:val="0"/>
              <w:spacing w:line="360" w:lineRule="auto"/>
              <w:ind w:right="-101" w:rightChars="-48"/>
              <w:rPr>
                <w:rFonts w:ascii="宋体" w:hAnsi="宋体" w:cs="宋体"/>
                <w:highlight w:val="none"/>
              </w:rPr>
            </w:pPr>
          </w:p>
        </w:tc>
      </w:tr>
    </w:tbl>
    <w:p w14:paraId="3997B5F3">
      <w:pPr>
        <w:pageBreakBefore w:val="0"/>
        <w:kinsoku/>
        <w:overflowPunct/>
        <w:bidi w:val="0"/>
        <w:spacing w:line="360" w:lineRule="auto"/>
        <w:ind w:right="-101" w:rightChars="-48" w:firstLine="422" w:firstLineChars="200"/>
        <w:jc w:val="left"/>
        <w:rPr>
          <w:rFonts w:ascii="宋体" w:hAnsi="宋体" w:cs="宋体"/>
          <w:szCs w:val="21"/>
          <w:highlight w:val="none"/>
          <w:lang w:val="zh-CN"/>
        </w:rPr>
      </w:pPr>
      <w:r>
        <w:rPr>
          <w:rFonts w:hint="eastAsia" w:ascii="宋体" w:hAnsi="宋体" w:cs="宋体"/>
          <w:b/>
          <w:szCs w:val="21"/>
          <w:highlight w:val="none"/>
          <w:lang w:val="zh-CN"/>
        </w:rPr>
        <w:t xml:space="preserve"> (二)评审因素和标准（总分100分）</w:t>
      </w:r>
    </w:p>
    <w:tbl>
      <w:tblPr>
        <w:tblStyle w:val="36"/>
        <w:tblW w:w="927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759"/>
        <w:gridCol w:w="5807"/>
        <w:gridCol w:w="801"/>
      </w:tblGrid>
      <w:tr w14:paraId="334D2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67" w:type="dxa"/>
            <w:gridSpan w:val="2"/>
            <w:vAlign w:val="center"/>
          </w:tcPr>
          <w:p w14:paraId="53F9C777">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分值构成</w:t>
            </w:r>
          </w:p>
          <w:p w14:paraId="65CA5091">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(总分100分)</w:t>
            </w:r>
          </w:p>
        </w:tc>
        <w:tc>
          <w:tcPr>
            <w:tcW w:w="6608" w:type="dxa"/>
            <w:gridSpan w:val="2"/>
            <w:vAlign w:val="center"/>
          </w:tcPr>
          <w:p w14:paraId="3AA22756">
            <w:pPr>
              <w:pageBreakBefore w:val="0"/>
              <w:kinsoku/>
              <w:overflowPunct/>
              <w:bidi w:val="0"/>
              <w:spacing w:line="360" w:lineRule="auto"/>
              <w:ind w:right="-101" w:rightChars="-48"/>
              <w:rPr>
                <w:rFonts w:ascii="宋体" w:hAnsi="宋体" w:cs="宋体"/>
                <w:highlight w:val="none"/>
                <w:u w:val="single"/>
              </w:rPr>
            </w:pPr>
            <w:r>
              <w:rPr>
                <w:rFonts w:hint="eastAsia" w:ascii="宋体" w:hAnsi="宋体" w:cs="宋体"/>
                <w:highlight w:val="none"/>
              </w:rPr>
              <w:t>商务：</w:t>
            </w:r>
            <w:r>
              <w:rPr>
                <w:rFonts w:hint="eastAsia" w:ascii="宋体" w:hAnsi="宋体" w:cs="宋体"/>
                <w:highlight w:val="none"/>
                <w:u w:val="single"/>
                <w:lang w:val="en-US" w:eastAsia="zh-CN"/>
              </w:rPr>
              <w:t>2</w:t>
            </w:r>
            <w:r>
              <w:rPr>
                <w:rFonts w:hint="eastAsia" w:ascii="宋体" w:hAnsi="宋体" w:cs="宋体"/>
                <w:highlight w:val="none"/>
                <w:u w:val="single"/>
              </w:rPr>
              <w:t>0</w:t>
            </w:r>
            <w:r>
              <w:rPr>
                <w:rFonts w:hint="eastAsia" w:ascii="宋体" w:hAnsi="宋体" w:cs="宋体"/>
                <w:highlight w:val="none"/>
              </w:rPr>
              <w:t>分；技术：</w:t>
            </w:r>
            <w:r>
              <w:rPr>
                <w:rFonts w:hint="eastAsia" w:ascii="宋体" w:hAnsi="宋体" w:cs="宋体"/>
                <w:highlight w:val="none"/>
                <w:u w:val="single"/>
              </w:rPr>
              <w:t>50</w:t>
            </w:r>
            <w:r>
              <w:rPr>
                <w:rFonts w:hint="eastAsia" w:ascii="宋体" w:hAnsi="宋体" w:cs="宋体"/>
                <w:highlight w:val="none"/>
              </w:rPr>
              <w:t>分；报价：</w:t>
            </w:r>
            <w:r>
              <w:rPr>
                <w:rFonts w:hint="eastAsia" w:ascii="宋体" w:hAnsi="宋体" w:cs="宋体"/>
                <w:highlight w:val="none"/>
                <w:u w:val="single"/>
                <w:lang w:val="en-US" w:eastAsia="zh-CN"/>
              </w:rPr>
              <w:t>3</w:t>
            </w:r>
            <w:r>
              <w:rPr>
                <w:rFonts w:hint="eastAsia" w:ascii="宋体" w:hAnsi="宋体" w:cs="宋体"/>
                <w:highlight w:val="none"/>
                <w:u w:val="single"/>
              </w:rPr>
              <w:t>0</w:t>
            </w:r>
            <w:r>
              <w:rPr>
                <w:rFonts w:hint="eastAsia" w:ascii="宋体" w:hAnsi="宋体" w:cs="宋体"/>
                <w:highlight w:val="none"/>
              </w:rPr>
              <w:t>分</w:t>
            </w:r>
          </w:p>
        </w:tc>
      </w:tr>
      <w:tr w14:paraId="396B3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42D05F93">
            <w:pPr>
              <w:pageBreakBefore w:val="0"/>
              <w:kinsoku/>
              <w:overflowPunct/>
              <w:bidi w:val="0"/>
              <w:spacing w:line="360" w:lineRule="auto"/>
              <w:ind w:right="-101" w:rightChars="-48"/>
              <w:jc w:val="center"/>
              <w:rPr>
                <w:rFonts w:ascii="宋体" w:hAnsi="宋体" w:cs="宋体"/>
                <w:b/>
                <w:highlight w:val="none"/>
              </w:rPr>
            </w:pPr>
            <w:r>
              <w:rPr>
                <w:rFonts w:hint="eastAsia" w:ascii="宋体" w:hAnsi="宋体" w:cs="宋体"/>
                <w:b/>
                <w:highlight w:val="none"/>
              </w:rPr>
              <w:t>条款号</w:t>
            </w:r>
          </w:p>
        </w:tc>
        <w:tc>
          <w:tcPr>
            <w:tcW w:w="1759" w:type="dxa"/>
            <w:vAlign w:val="center"/>
          </w:tcPr>
          <w:p w14:paraId="38454AC1">
            <w:pPr>
              <w:pageBreakBefore w:val="0"/>
              <w:kinsoku/>
              <w:overflowPunct/>
              <w:bidi w:val="0"/>
              <w:spacing w:line="360" w:lineRule="auto"/>
              <w:ind w:right="-101" w:rightChars="-48"/>
              <w:jc w:val="center"/>
              <w:rPr>
                <w:rFonts w:ascii="宋体" w:hAnsi="宋体" w:cs="宋体"/>
                <w:b/>
                <w:highlight w:val="none"/>
              </w:rPr>
            </w:pPr>
            <w:r>
              <w:rPr>
                <w:rFonts w:hint="eastAsia" w:ascii="宋体" w:hAnsi="宋体" w:cs="宋体"/>
                <w:b/>
                <w:highlight w:val="none"/>
              </w:rPr>
              <w:t>评分因素</w:t>
            </w:r>
          </w:p>
        </w:tc>
        <w:tc>
          <w:tcPr>
            <w:tcW w:w="5807" w:type="dxa"/>
            <w:vAlign w:val="center"/>
          </w:tcPr>
          <w:p w14:paraId="23C1194E">
            <w:pPr>
              <w:pageBreakBefore w:val="0"/>
              <w:kinsoku/>
              <w:overflowPunct/>
              <w:bidi w:val="0"/>
              <w:spacing w:line="360" w:lineRule="auto"/>
              <w:ind w:right="-101" w:rightChars="-48"/>
              <w:jc w:val="center"/>
              <w:rPr>
                <w:rFonts w:ascii="宋体" w:hAnsi="宋体" w:cs="宋体"/>
                <w:b/>
                <w:highlight w:val="none"/>
              </w:rPr>
            </w:pPr>
            <w:r>
              <w:rPr>
                <w:rFonts w:hint="eastAsia" w:ascii="宋体" w:hAnsi="宋体" w:cs="宋体"/>
                <w:b/>
                <w:highlight w:val="none"/>
              </w:rPr>
              <w:t>评分标准</w:t>
            </w:r>
          </w:p>
        </w:tc>
        <w:tc>
          <w:tcPr>
            <w:tcW w:w="801" w:type="dxa"/>
            <w:vAlign w:val="center"/>
          </w:tcPr>
          <w:p w14:paraId="1E314D95">
            <w:pPr>
              <w:pageBreakBefore w:val="0"/>
              <w:kinsoku/>
              <w:overflowPunct/>
              <w:bidi w:val="0"/>
              <w:spacing w:line="360" w:lineRule="auto"/>
              <w:ind w:right="-101" w:rightChars="-48"/>
              <w:jc w:val="center"/>
              <w:rPr>
                <w:rFonts w:ascii="宋体" w:hAnsi="宋体" w:cs="宋体"/>
                <w:b/>
                <w:highlight w:val="none"/>
              </w:rPr>
            </w:pPr>
            <w:r>
              <w:rPr>
                <w:rFonts w:hint="eastAsia" w:ascii="宋体" w:hAnsi="宋体" w:cs="宋体"/>
                <w:b/>
                <w:bCs/>
                <w:highlight w:val="none"/>
              </w:rPr>
              <w:t>分值</w:t>
            </w:r>
          </w:p>
        </w:tc>
      </w:tr>
      <w:tr w14:paraId="6F17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restart"/>
            <w:vAlign w:val="center"/>
          </w:tcPr>
          <w:p w14:paraId="6500ADA3">
            <w:pPr>
              <w:pageBreakBefore w:val="0"/>
              <w:kinsoku/>
              <w:overflowPunct/>
              <w:bidi w:val="0"/>
              <w:spacing w:line="360" w:lineRule="auto"/>
              <w:ind w:right="-101" w:rightChars="-48"/>
              <w:jc w:val="center"/>
              <w:rPr>
                <w:rFonts w:ascii="宋体" w:hAnsi="宋体" w:cs="宋体"/>
                <w:highlight w:val="none"/>
              </w:rPr>
            </w:pPr>
            <w:bookmarkStart w:id="90" w:name="OLE_LINK21"/>
            <w:bookmarkStart w:id="91" w:name="OLE_LINK20"/>
            <w:r>
              <w:rPr>
                <w:rFonts w:hint="eastAsia" w:ascii="宋体" w:hAnsi="宋体" w:cs="宋体"/>
                <w:highlight w:val="none"/>
              </w:rPr>
              <w:t>商务</w:t>
            </w:r>
          </w:p>
          <w:p w14:paraId="684071E8">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部分</w:t>
            </w:r>
          </w:p>
          <w:p w14:paraId="5859231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lang w:val="en-US" w:eastAsia="zh-CN"/>
              </w:rPr>
              <w:t>20</w:t>
            </w:r>
            <w:r>
              <w:rPr>
                <w:rFonts w:hint="eastAsia" w:ascii="宋体" w:hAnsi="宋体" w:cs="宋体"/>
                <w:highlight w:val="none"/>
              </w:rPr>
              <w:t>分</w:t>
            </w:r>
          </w:p>
        </w:tc>
        <w:tc>
          <w:tcPr>
            <w:tcW w:w="1759" w:type="dxa"/>
            <w:vAlign w:val="center"/>
          </w:tcPr>
          <w:p w14:paraId="26CC3C7E">
            <w:pPr>
              <w:pageBreakBefore w:val="0"/>
              <w:kinsoku/>
              <w:overflowPunct/>
              <w:bidi w:val="0"/>
              <w:spacing w:line="360" w:lineRule="auto"/>
              <w:ind w:right="-101" w:rightChars="-48"/>
              <w:jc w:val="center"/>
              <w:rPr>
                <w:rFonts w:ascii="宋体" w:hAnsi="宋体" w:cs="宋体"/>
                <w:bCs/>
                <w:highlight w:val="none"/>
              </w:rPr>
            </w:pPr>
            <w:r>
              <w:rPr>
                <w:rFonts w:hint="eastAsia" w:ascii="宋体" w:hAnsi="宋体" w:cs="宋体"/>
                <w:b w:val="0"/>
                <w:bCs w:val="0"/>
                <w:kern w:val="2"/>
                <w:sz w:val="21"/>
                <w:szCs w:val="24"/>
                <w:highlight w:val="none"/>
                <w:lang w:val="en-US" w:eastAsia="zh-CN"/>
              </w:rPr>
              <w:t>招标代理</w:t>
            </w:r>
            <w:r>
              <w:rPr>
                <w:rFonts w:hint="eastAsia" w:ascii="宋体" w:hAnsi="宋体" w:cs="宋体"/>
                <w:bCs/>
                <w:highlight w:val="none"/>
              </w:rPr>
              <w:t>业绩</w:t>
            </w:r>
          </w:p>
        </w:tc>
        <w:tc>
          <w:tcPr>
            <w:tcW w:w="5807" w:type="dxa"/>
            <w:vAlign w:val="center"/>
          </w:tcPr>
          <w:p w14:paraId="2F4E5A3C">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rPr>
              <w:t>参选人自2020年1月1日至投标截止日期</w:t>
            </w:r>
            <w:r>
              <w:rPr>
                <w:rFonts w:hint="eastAsia" w:ascii="宋体" w:hAnsi="宋体" w:eastAsia="宋体" w:cs="宋体"/>
                <w:b w:val="0"/>
                <w:bCs w:val="0"/>
                <w:kern w:val="2"/>
                <w:sz w:val="21"/>
                <w:szCs w:val="24"/>
                <w:highlight w:val="none"/>
                <w:lang w:val="en-US" w:eastAsia="zh-CN"/>
              </w:rPr>
              <w:t>每</w:t>
            </w:r>
            <w:r>
              <w:rPr>
                <w:rFonts w:hint="eastAsia" w:ascii="宋体" w:hAnsi="宋体" w:eastAsia="宋体" w:cs="宋体"/>
                <w:b w:val="0"/>
                <w:bCs w:val="0"/>
                <w:kern w:val="2"/>
                <w:sz w:val="21"/>
                <w:szCs w:val="24"/>
                <w:highlight w:val="none"/>
              </w:rPr>
              <w:t>具有一项国有企事业单位招标代理业绩</w:t>
            </w:r>
            <w:r>
              <w:rPr>
                <w:rFonts w:hint="eastAsia" w:ascii="宋体" w:hAnsi="宋体" w:eastAsia="宋体" w:cs="宋体"/>
                <w:b w:val="0"/>
                <w:bCs w:val="0"/>
                <w:kern w:val="2"/>
                <w:sz w:val="21"/>
                <w:szCs w:val="24"/>
                <w:highlight w:val="none"/>
                <w:lang w:val="en-US" w:eastAsia="zh-CN"/>
              </w:rPr>
              <w:t>得1.5</w:t>
            </w:r>
            <w:r>
              <w:rPr>
                <w:rFonts w:hint="eastAsia" w:ascii="宋体" w:hAnsi="宋体" w:eastAsia="宋体" w:cs="宋体"/>
                <w:b w:val="0"/>
                <w:bCs w:val="0"/>
                <w:kern w:val="2"/>
                <w:sz w:val="21"/>
                <w:szCs w:val="24"/>
                <w:highlight w:val="none"/>
              </w:rPr>
              <w:t>分，最高得</w:t>
            </w:r>
            <w:r>
              <w:rPr>
                <w:rFonts w:hint="eastAsia" w:ascii="宋体" w:hAnsi="宋体" w:eastAsia="宋体" w:cs="宋体"/>
                <w:b w:val="0"/>
                <w:bCs w:val="0"/>
                <w:kern w:val="2"/>
                <w:sz w:val="21"/>
                <w:szCs w:val="24"/>
                <w:highlight w:val="none"/>
                <w:lang w:val="en-US" w:eastAsia="zh-CN"/>
              </w:rPr>
              <w:t>4.5</w:t>
            </w:r>
            <w:r>
              <w:rPr>
                <w:rFonts w:hint="eastAsia" w:ascii="宋体" w:hAnsi="宋体" w:eastAsia="宋体" w:cs="宋体"/>
                <w:b w:val="0"/>
                <w:bCs w:val="0"/>
                <w:kern w:val="2"/>
                <w:sz w:val="21"/>
                <w:szCs w:val="24"/>
                <w:highlight w:val="none"/>
              </w:rPr>
              <w:t>分。</w:t>
            </w:r>
          </w:p>
          <w:p w14:paraId="5DBE8F2E">
            <w:pPr>
              <w:pStyle w:val="2"/>
              <w:keepNext w:val="0"/>
              <w:keepLines w:val="0"/>
              <w:pageBreakBefore w:val="0"/>
              <w:kinsoku/>
              <w:overflowPunct/>
              <w:bidi w:val="0"/>
              <w:spacing w:before="0" w:after="0" w:line="360" w:lineRule="auto"/>
              <w:ind w:right="-101" w:rightChars="-48"/>
              <w:rPr>
                <w:rFonts w:hint="default" w:eastAsia="宋体"/>
                <w:highlight w:val="none"/>
                <w:lang w:val="en-US" w:eastAsia="zh-CN"/>
              </w:rPr>
            </w:pPr>
            <w:r>
              <w:rPr>
                <w:rFonts w:hint="eastAsia" w:ascii="宋体" w:hAnsi="宋体" w:eastAsia="宋体" w:cs="宋体"/>
                <w:b w:val="0"/>
                <w:bCs w:val="0"/>
                <w:kern w:val="2"/>
                <w:sz w:val="21"/>
                <w:szCs w:val="24"/>
                <w:highlight w:val="none"/>
              </w:rPr>
              <w:t>须提供：合同扫描件或复印件，以合同签订时间为准。</w:t>
            </w:r>
          </w:p>
        </w:tc>
        <w:tc>
          <w:tcPr>
            <w:tcW w:w="801" w:type="dxa"/>
            <w:vAlign w:val="center"/>
          </w:tcPr>
          <w:p w14:paraId="62D63075">
            <w:pPr>
              <w:pageBreakBefore w:val="0"/>
              <w:kinsoku/>
              <w:overflowPunct/>
              <w:bidi w:val="0"/>
              <w:spacing w:line="360" w:lineRule="auto"/>
              <w:ind w:right="-101" w:rightChars="-48"/>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4.5</w:t>
            </w:r>
          </w:p>
        </w:tc>
      </w:tr>
      <w:tr w14:paraId="002FE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6EF67282">
            <w:pPr>
              <w:pageBreakBefore w:val="0"/>
              <w:kinsoku/>
              <w:overflowPunct/>
              <w:bidi w:val="0"/>
              <w:spacing w:line="360" w:lineRule="auto"/>
              <w:ind w:right="-101" w:rightChars="-48"/>
              <w:jc w:val="center"/>
              <w:rPr>
                <w:rFonts w:hint="eastAsia" w:ascii="宋体" w:hAnsi="宋体" w:cs="宋体"/>
                <w:highlight w:val="none"/>
                <w:lang w:val="en-US" w:eastAsia="zh-CN"/>
              </w:rPr>
            </w:pPr>
          </w:p>
        </w:tc>
        <w:tc>
          <w:tcPr>
            <w:tcW w:w="1759" w:type="dxa"/>
            <w:shd w:val="clear" w:color="auto" w:fill="auto"/>
            <w:vAlign w:val="center"/>
          </w:tcPr>
          <w:p w14:paraId="0A7CE6CC">
            <w:pPr>
              <w:pageBreakBefore w:val="0"/>
              <w:kinsoku/>
              <w:overflowPunct/>
              <w:bidi w:val="0"/>
              <w:spacing w:line="360" w:lineRule="auto"/>
              <w:ind w:right="-101" w:rightChars="-48"/>
              <w:jc w:val="center"/>
              <w:rPr>
                <w:rFonts w:hint="eastAsia" w:ascii="宋体" w:hAnsi="宋体" w:eastAsia="宋体" w:cs="宋体"/>
                <w:bCs/>
                <w:kern w:val="2"/>
                <w:sz w:val="21"/>
                <w:szCs w:val="24"/>
                <w:highlight w:val="none"/>
                <w:lang w:val="en-US" w:eastAsia="zh-CN" w:bidi="ar-SA"/>
              </w:rPr>
            </w:pPr>
            <w:r>
              <w:rPr>
                <w:rFonts w:hint="eastAsia" w:ascii="宋体" w:hAnsi="宋体" w:cs="宋体"/>
                <w:b w:val="0"/>
                <w:bCs w:val="0"/>
                <w:kern w:val="2"/>
                <w:sz w:val="21"/>
                <w:szCs w:val="24"/>
                <w:highlight w:val="none"/>
                <w:lang w:val="en-US" w:eastAsia="zh-CN"/>
              </w:rPr>
              <w:t>造价咨询</w:t>
            </w:r>
            <w:r>
              <w:rPr>
                <w:rFonts w:hint="eastAsia" w:ascii="宋体" w:hAnsi="宋体" w:cs="宋体"/>
                <w:bCs/>
                <w:highlight w:val="none"/>
                <w:lang w:val="en-US" w:eastAsia="zh-CN"/>
              </w:rPr>
              <w:t>业绩</w:t>
            </w:r>
          </w:p>
        </w:tc>
        <w:tc>
          <w:tcPr>
            <w:tcW w:w="5807" w:type="dxa"/>
            <w:shd w:val="clear" w:color="auto" w:fill="auto"/>
            <w:vAlign w:val="center"/>
          </w:tcPr>
          <w:p w14:paraId="5EED497B">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rPr>
              <w:t>参选人自2020年1月1日至投标截止日期</w:t>
            </w:r>
            <w:r>
              <w:rPr>
                <w:rFonts w:hint="eastAsia" w:ascii="宋体" w:hAnsi="宋体" w:eastAsia="宋体" w:cs="宋体"/>
                <w:b w:val="0"/>
                <w:bCs w:val="0"/>
                <w:kern w:val="2"/>
                <w:sz w:val="21"/>
                <w:szCs w:val="24"/>
                <w:highlight w:val="none"/>
                <w:lang w:val="en-US" w:eastAsia="zh-CN"/>
              </w:rPr>
              <w:t>每</w:t>
            </w:r>
            <w:r>
              <w:rPr>
                <w:rFonts w:hint="eastAsia" w:ascii="宋体" w:hAnsi="宋体" w:eastAsia="宋体" w:cs="宋体"/>
                <w:b w:val="0"/>
                <w:bCs w:val="0"/>
                <w:kern w:val="2"/>
                <w:sz w:val="21"/>
                <w:szCs w:val="24"/>
                <w:highlight w:val="none"/>
              </w:rPr>
              <w:t>具有一项国有企事业单位</w:t>
            </w:r>
            <w:r>
              <w:rPr>
                <w:rFonts w:hint="eastAsia" w:ascii="宋体" w:hAnsi="宋体" w:eastAsia="宋体" w:cs="宋体"/>
                <w:b w:val="0"/>
                <w:bCs w:val="0"/>
                <w:kern w:val="2"/>
                <w:sz w:val="21"/>
                <w:szCs w:val="24"/>
                <w:highlight w:val="none"/>
                <w:lang w:val="en-US" w:eastAsia="zh-CN"/>
              </w:rPr>
              <w:t>造价咨询</w:t>
            </w:r>
            <w:r>
              <w:rPr>
                <w:rFonts w:hint="eastAsia" w:ascii="宋体" w:hAnsi="宋体" w:eastAsia="宋体" w:cs="宋体"/>
                <w:b w:val="0"/>
                <w:bCs w:val="0"/>
                <w:kern w:val="2"/>
                <w:sz w:val="21"/>
                <w:szCs w:val="24"/>
                <w:highlight w:val="none"/>
              </w:rPr>
              <w:t>业绩</w:t>
            </w:r>
            <w:r>
              <w:rPr>
                <w:rFonts w:hint="eastAsia" w:ascii="宋体" w:hAnsi="宋体" w:eastAsia="宋体" w:cs="宋体"/>
                <w:b w:val="0"/>
                <w:bCs w:val="0"/>
                <w:kern w:val="2"/>
                <w:sz w:val="21"/>
                <w:szCs w:val="24"/>
                <w:highlight w:val="none"/>
                <w:lang w:val="en-US" w:eastAsia="zh-CN"/>
              </w:rPr>
              <w:t>得1.5</w:t>
            </w:r>
            <w:r>
              <w:rPr>
                <w:rFonts w:hint="eastAsia" w:ascii="宋体" w:hAnsi="宋体" w:eastAsia="宋体" w:cs="宋体"/>
                <w:b w:val="0"/>
                <w:bCs w:val="0"/>
                <w:kern w:val="2"/>
                <w:sz w:val="21"/>
                <w:szCs w:val="24"/>
                <w:highlight w:val="none"/>
              </w:rPr>
              <w:t>分，最高得</w:t>
            </w:r>
            <w:r>
              <w:rPr>
                <w:rFonts w:hint="eastAsia" w:ascii="宋体" w:hAnsi="宋体" w:eastAsia="宋体" w:cs="宋体"/>
                <w:b w:val="0"/>
                <w:bCs w:val="0"/>
                <w:kern w:val="2"/>
                <w:sz w:val="21"/>
                <w:szCs w:val="24"/>
                <w:highlight w:val="none"/>
                <w:lang w:val="en-US" w:eastAsia="zh-CN"/>
              </w:rPr>
              <w:t>4.5</w:t>
            </w:r>
            <w:r>
              <w:rPr>
                <w:rFonts w:hint="eastAsia" w:ascii="宋体" w:hAnsi="宋体" w:eastAsia="宋体" w:cs="宋体"/>
                <w:b w:val="0"/>
                <w:bCs w:val="0"/>
                <w:kern w:val="2"/>
                <w:sz w:val="21"/>
                <w:szCs w:val="24"/>
                <w:highlight w:val="none"/>
              </w:rPr>
              <w:t>分。</w:t>
            </w:r>
          </w:p>
          <w:p w14:paraId="63B35EB9">
            <w:pPr>
              <w:pStyle w:val="2"/>
              <w:keepNext w:val="0"/>
              <w:keepLines w:val="0"/>
              <w:pageBreakBefore w:val="0"/>
              <w:kinsoku/>
              <w:overflowPunct/>
              <w:bidi w:val="0"/>
              <w:spacing w:before="0" w:after="0" w:line="360" w:lineRule="auto"/>
              <w:ind w:right="-101" w:rightChars="-48"/>
              <w:rPr>
                <w:rFonts w:hint="eastAsia" w:ascii="Arial" w:hAnsi="Arial" w:eastAsia="宋体" w:cs="Times New Roman"/>
                <w:b/>
                <w:bCs/>
                <w:kern w:val="0"/>
                <w:sz w:val="32"/>
                <w:szCs w:val="32"/>
                <w:highlight w:val="none"/>
                <w:lang w:val="en-US" w:eastAsia="zh-CN" w:bidi="ar-SA"/>
              </w:rPr>
            </w:pPr>
            <w:r>
              <w:rPr>
                <w:rFonts w:hint="eastAsia" w:ascii="宋体" w:hAnsi="宋体" w:eastAsia="宋体" w:cs="宋体"/>
                <w:b w:val="0"/>
                <w:bCs w:val="0"/>
                <w:kern w:val="2"/>
                <w:sz w:val="21"/>
                <w:szCs w:val="24"/>
                <w:highlight w:val="none"/>
              </w:rPr>
              <w:t>须提供：合同扫描件或复印件，以合同签订时间为准。</w:t>
            </w:r>
          </w:p>
        </w:tc>
        <w:tc>
          <w:tcPr>
            <w:tcW w:w="801" w:type="dxa"/>
            <w:shd w:val="clear" w:color="auto" w:fill="auto"/>
            <w:vAlign w:val="center"/>
          </w:tcPr>
          <w:p w14:paraId="25480463">
            <w:pPr>
              <w:pageBreakBefore w:val="0"/>
              <w:kinsoku/>
              <w:overflowPunct/>
              <w:bidi w:val="0"/>
              <w:spacing w:line="360" w:lineRule="auto"/>
              <w:ind w:right="-101" w:rightChars="-48"/>
              <w:jc w:val="center"/>
              <w:rPr>
                <w:rFonts w:hint="eastAsia" w:ascii="宋体" w:hAnsi="宋体" w:eastAsia="宋体" w:cs="宋体"/>
                <w:bCs/>
                <w:kern w:val="2"/>
                <w:sz w:val="21"/>
                <w:szCs w:val="24"/>
                <w:highlight w:val="none"/>
                <w:lang w:val="en-US" w:eastAsia="zh-CN" w:bidi="ar-SA"/>
              </w:rPr>
            </w:pPr>
            <w:r>
              <w:rPr>
                <w:rFonts w:hint="eastAsia" w:ascii="宋体" w:hAnsi="宋体" w:cs="宋体"/>
                <w:bCs/>
                <w:highlight w:val="none"/>
                <w:lang w:val="en-US" w:eastAsia="zh-CN"/>
              </w:rPr>
              <w:t>4.5</w:t>
            </w:r>
          </w:p>
        </w:tc>
      </w:tr>
      <w:tr w14:paraId="23073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63A3117F">
            <w:pPr>
              <w:pageBreakBefore w:val="0"/>
              <w:kinsoku/>
              <w:overflowPunct/>
              <w:bidi w:val="0"/>
              <w:spacing w:line="360" w:lineRule="auto"/>
              <w:ind w:right="-101" w:rightChars="-48"/>
              <w:jc w:val="center"/>
              <w:rPr>
                <w:rFonts w:hint="eastAsia" w:ascii="宋体" w:hAnsi="宋体" w:cs="宋体"/>
                <w:highlight w:val="none"/>
              </w:rPr>
            </w:pPr>
          </w:p>
        </w:tc>
        <w:tc>
          <w:tcPr>
            <w:tcW w:w="1759" w:type="dxa"/>
            <w:vAlign w:val="center"/>
          </w:tcPr>
          <w:p w14:paraId="5269A6B6">
            <w:pPr>
              <w:pageBreakBefore w:val="0"/>
              <w:kinsoku/>
              <w:overflowPunct/>
              <w:bidi w:val="0"/>
              <w:spacing w:line="360" w:lineRule="auto"/>
              <w:ind w:right="-101" w:rightChars="-48"/>
              <w:jc w:val="center"/>
              <w:rPr>
                <w:rFonts w:hint="default" w:ascii="宋体" w:hAnsi="宋体" w:eastAsia="宋体" w:cs="宋体"/>
                <w:bCs/>
                <w:highlight w:val="none"/>
                <w:lang w:val="en-US" w:eastAsia="zh-CN"/>
              </w:rPr>
            </w:pPr>
            <w:r>
              <w:rPr>
                <w:rFonts w:hint="eastAsia" w:ascii="宋体" w:hAnsi="宋体" w:cs="宋体"/>
                <w:b w:val="0"/>
                <w:bCs w:val="0"/>
                <w:kern w:val="2"/>
                <w:sz w:val="21"/>
                <w:szCs w:val="24"/>
                <w:highlight w:val="none"/>
                <w:lang w:val="en-US" w:eastAsia="zh-CN"/>
              </w:rPr>
              <w:t>轨道交通</w:t>
            </w:r>
            <w:r>
              <w:rPr>
                <w:rFonts w:hint="eastAsia" w:ascii="宋体" w:hAnsi="宋体" w:cs="宋体"/>
                <w:bCs/>
                <w:highlight w:val="none"/>
                <w:lang w:val="en-US" w:eastAsia="zh-CN"/>
              </w:rPr>
              <w:t>业绩</w:t>
            </w:r>
          </w:p>
        </w:tc>
        <w:tc>
          <w:tcPr>
            <w:tcW w:w="5807" w:type="dxa"/>
            <w:vAlign w:val="center"/>
          </w:tcPr>
          <w:p w14:paraId="4D7CC55E">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rPr>
              <w:t>参选人自2020年1月1日至投标截止日期</w:t>
            </w:r>
            <w:r>
              <w:rPr>
                <w:rFonts w:hint="eastAsia" w:ascii="宋体" w:hAnsi="宋体" w:eastAsia="宋体" w:cs="宋体"/>
                <w:b w:val="0"/>
                <w:bCs w:val="0"/>
                <w:kern w:val="2"/>
                <w:sz w:val="21"/>
                <w:szCs w:val="24"/>
                <w:highlight w:val="none"/>
                <w:lang w:val="en-US" w:eastAsia="zh-CN"/>
              </w:rPr>
              <w:t>每</w:t>
            </w:r>
            <w:r>
              <w:rPr>
                <w:rFonts w:hint="eastAsia" w:ascii="宋体" w:hAnsi="宋体" w:eastAsia="宋体" w:cs="宋体"/>
                <w:b w:val="0"/>
                <w:bCs w:val="0"/>
                <w:kern w:val="2"/>
                <w:sz w:val="21"/>
                <w:szCs w:val="24"/>
                <w:highlight w:val="none"/>
              </w:rPr>
              <w:t>具有一项</w:t>
            </w:r>
            <w:r>
              <w:rPr>
                <w:rFonts w:hint="eastAsia" w:ascii="宋体" w:hAnsi="宋体" w:eastAsia="宋体" w:cs="宋体"/>
                <w:b w:val="0"/>
                <w:bCs w:val="0"/>
                <w:kern w:val="2"/>
                <w:sz w:val="21"/>
                <w:szCs w:val="24"/>
                <w:highlight w:val="none"/>
                <w:lang w:val="en-US" w:eastAsia="zh-CN"/>
              </w:rPr>
              <w:t>轨道交通工程类</w:t>
            </w:r>
            <w:r>
              <w:rPr>
                <w:rFonts w:hint="eastAsia" w:ascii="宋体" w:hAnsi="宋体" w:eastAsia="宋体" w:cs="宋体"/>
                <w:b w:val="0"/>
                <w:bCs w:val="0"/>
                <w:kern w:val="2"/>
                <w:sz w:val="21"/>
                <w:szCs w:val="24"/>
                <w:highlight w:val="none"/>
              </w:rPr>
              <w:t>招标代理或造价咨询项目业绩</w:t>
            </w:r>
            <w:r>
              <w:rPr>
                <w:rFonts w:hint="eastAsia" w:ascii="宋体" w:hAnsi="宋体" w:eastAsia="宋体" w:cs="宋体"/>
                <w:b w:val="0"/>
                <w:bCs w:val="0"/>
                <w:kern w:val="2"/>
                <w:sz w:val="21"/>
                <w:szCs w:val="24"/>
                <w:highlight w:val="none"/>
                <w:lang w:val="en-US" w:eastAsia="zh-CN"/>
              </w:rPr>
              <w:t>得1.5</w:t>
            </w:r>
            <w:r>
              <w:rPr>
                <w:rFonts w:hint="eastAsia" w:ascii="宋体" w:hAnsi="宋体" w:eastAsia="宋体" w:cs="宋体"/>
                <w:b w:val="0"/>
                <w:bCs w:val="0"/>
                <w:kern w:val="2"/>
                <w:sz w:val="21"/>
                <w:szCs w:val="24"/>
                <w:highlight w:val="none"/>
              </w:rPr>
              <w:t>分，最高得</w:t>
            </w:r>
            <w:r>
              <w:rPr>
                <w:rFonts w:hint="eastAsia" w:ascii="宋体" w:hAnsi="宋体" w:eastAsia="宋体" w:cs="宋体"/>
                <w:b w:val="0"/>
                <w:bCs w:val="0"/>
                <w:kern w:val="2"/>
                <w:sz w:val="21"/>
                <w:szCs w:val="24"/>
                <w:highlight w:val="none"/>
                <w:lang w:val="en-US" w:eastAsia="zh-CN"/>
              </w:rPr>
              <w:t>3</w:t>
            </w:r>
            <w:r>
              <w:rPr>
                <w:rFonts w:hint="eastAsia" w:ascii="宋体" w:hAnsi="宋体" w:eastAsia="宋体" w:cs="宋体"/>
                <w:b w:val="0"/>
                <w:bCs w:val="0"/>
                <w:kern w:val="2"/>
                <w:sz w:val="21"/>
                <w:szCs w:val="24"/>
                <w:highlight w:val="none"/>
              </w:rPr>
              <w:t>分。</w:t>
            </w:r>
          </w:p>
          <w:p w14:paraId="795AC7F7">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须提供：合同扫描件或复印件，以合同签订时间为准。</w:t>
            </w:r>
          </w:p>
          <w:p w14:paraId="49E9C910">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lang w:val="en-US" w:eastAsia="zh-CN"/>
              </w:rPr>
              <w:t>备注：同一业绩可在“招标代理</w:t>
            </w:r>
            <w:r>
              <w:rPr>
                <w:rFonts w:hint="eastAsia" w:ascii="宋体" w:hAnsi="宋体" w:eastAsia="宋体" w:cs="宋体"/>
                <w:b w:val="0"/>
                <w:bCs w:val="0"/>
                <w:kern w:val="2"/>
                <w:sz w:val="21"/>
                <w:szCs w:val="24"/>
                <w:highlight w:val="none"/>
              </w:rPr>
              <w:t>业绩</w:t>
            </w:r>
            <w:r>
              <w:rPr>
                <w:rFonts w:hint="eastAsia" w:ascii="宋体" w:hAnsi="宋体" w:eastAsia="宋体" w:cs="宋体"/>
                <w:b w:val="0"/>
                <w:bCs w:val="0"/>
                <w:kern w:val="2"/>
                <w:sz w:val="21"/>
                <w:szCs w:val="24"/>
                <w:highlight w:val="none"/>
                <w:lang w:val="en-US" w:eastAsia="zh-CN"/>
              </w:rPr>
              <w:t>”、“造价咨询业绩”与“轨道交通业绩”评分项中同时得分。</w:t>
            </w:r>
          </w:p>
        </w:tc>
        <w:tc>
          <w:tcPr>
            <w:tcW w:w="801" w:type="dxa"/>
            <w:vAlign w:val="center"/>
          </w:tcPr>
          <w:p w14:paraId="4AB38DF7">
            <w:pPr>
              <w:pageBreakBefore w:val="0"/>
              <w:kinsoku/>
              <w:overflowPunct/>
              <w:bidi w:val="0"/>
              <w:spacing w:line="360" w:lineRule="auto"/>
              <w:ind w:right="-101" w:rightChars="-48"/>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3</w:t>
            </w:r>
          </w:p>
        </w:tc>
      </w:tr>
      <w:tr w14:paraId="1835E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678EAA2C">
            <w:pPr>
              <w:pageBreakBefore w:val="0"/>
              <w:kinsoku/>
              <w:overflowPunct/>
              <w:bidi w:val="0"/>
              <w:spacing w:line="360" w:lineRule="auto"/>
              <w:ind w:right="-101" w:rightChars="-48"/>
              <w:jc w:val="center"/>
              <w:rPr>
                <w:rFonts w:hint="eastAsia" w:ascii="宋体" w:hAnsi="宋体" w:cs="宋体"/>
                <w:highlight w:val="none"/>
              </w:rPr>
            </w:pPr>
          </w:p>
        </w:tc>
        <w:tc>
          <w:tcPr>
            <w:tcW w:w="1759" w:type="dxa"/>
            <w:vAlign w:val="center"/>
          </w:tcPr>
          <w:p w14:paraId="6371B6E4">
            <w:pPr>
              <w:pageBreakBefore w:val="0"/>
              <w:kinsoku/>
              <w:overflowPunct/>
              <w:bidi w:val="0"/>
              <w:spacing w:line="360" w:lineRule="auto"/>
              <w:ind w:right="-101" w:rightChars="-48"/>
              <w:jc w:val="center"/>
              <w:rPr>
                <w:rFonts w:hint="eastAsia" w:ascii="宋体" w:hAnsi="宋体" w:cs="宋体"/>
                <w:bCs/>
                <w:highlight w:val="none"/>
                <w:lang w:val="en-US" w:eastAsia="zh-CN"/>
              </w:rPr>
            </w:pPr>
            <w:r>
              <w:rPr>
                <w:rFonts w:hint="eastAsia"/>
                <w:highlight w:val="none"/>
              </w:rPr>
              <w:t>项目负责人业绩</w:t>
            </w:r>
          </w:p>
        </w:tc>
        <w:tc>
          <w:tcPr>
            <w:tcW w:w="5807" w:type="dxa"/>
            <w:vAlign w:val="center"/>
          </w:tcPr>
          <w:p w14:paraId="15DC800E">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rPr>
              <w:t>参选人</w:t>
            </w:r>
            <w:r>
              <w:rPr>
                <w:rFonts w:hint="eastAsia" w:ascii="宋体" w:hAnsi="宋体" w:eastAsia="宋体" w:cs="宋体"/>
                <w:b w:val="0"/>
                <w:bCs w:val="0"/>
                <w:kern w:val="2"/>
                <w:sz w:val="21"/>
                <w:szCs w:val="24"/>
                <w:highlight w:val="none"/>
                <w:lang w:val="en-US" w:eastAsia="zh-CN"/>
              </w:rPr>
              <w:t>拟派的项目负责人</w:t>
            </w:r>
            <w:r>
              <w:rPr>
                <w:rFonts w:hint="eastAsia" w:ascii="宋体" w:hAnsi="宋体" w:eastAsia="宋体" w:cs="宋体"/>
                <w:b w:val="0"/>
                <w:bCs w:val="0"/>
                <w:kern w:val="2"/>
                <w:sz w:val="21"/>
                <w:szCs w:val="24"/>
                <w:highlight w:val="none"/>
              </w:rPr>
              <w:t>自2020年1月1日至投标截止日期</w:t>
            </w:r>
            <w:r>
              <w:rPr>
                <w:rFonts w:hint="eastAsia" w:ascii="宋体" w:hAnsi="宋体" w:eastAsia="宋体" w:cs="宋体"/>
                <w:b w:val="0"/>
                <w:bCs w:val="0"/>
                <w:kern w:val="2"/>
                <w:sz w:val="21"/>
                <w:szCs w:val="24"/>
                <w:highlight w:val="none"/>
                <w:lang w:val="en-US" w:eastAsia="zh-CN"/>
              </w:rPr>
              <w:t>每在</w:t>
            </w:r>
            <w:r>
              <w:rPr>
                <w:rFonts w:hint="eastAsia" w:ascii="宋体" w:hAnsi="宋体" w:eastAsia="宋体" w:cs="宋体"/>
                <w:b w:val="0"/>
                <w:bCs w:val="0"/>
                <w:kern w:val="2"/>
                <w:sz w:val="21"/>
                <w:szCs w:val="24"/>
                <w:highlight w:val="none"/>
              </w:rPr>
              <w:t>一项</w:t>
            </w:r>
            <w:r>
              <w:rPr>
                <w:rFonts w:hint="eastAsia" w:ascii="宋体" w:hAnsi="宋体" w:eastAsia="宋体" w:cs="宋体"/>
                <w:b w:val="0"/>
                <w:bCs w:val="0"/>
                <w:kern w:val="2"/>
                <w:sz w:val="21"/>
                <w:szCs w:val="24"/>
                <w:highlight w:val="none"/>
                <w:lang w:val="en-US" w:eastAsia="zh-CN"/>
              </w:rPr>
              <w:t>轨道交通工程类</w:t>
            </w:r>
            <w:r>
              <w:rPr>
                <w:rFonts w:hint="eastAsia" w:ascii="宋体" w:hAnsi="宋体" w:eastAsia="宋体" w:cs="宋体"/>
                <w:b w:val="0"/>
                <w:bCs w:val="0"/>
                <w:kern w:val="2"/>
                <w:sz w:val="21"/>
                <w:szCs w:val="24"/>
                <w:highlight w:val="none"/>
              </w:rPr>
              <w:t>招标代理或造价咨询项目</w:t>
            </w:r>
            <w:r>
              <w:rPr>
                <w:rFonts w:hint="eastAsia" w:ascii="宋体" w:hAnsi="宋体" w:eastAsia="宋体" w:cs="宋体"/>
                <w:b w:val="0"/>
                <w:bCs w:val="0"/>
                <w:kern w:val="2"/>
                <w:sz w:val="21"/>
                <w:szCs w:val="24"/>
                <w:highlight w:val="none"/>
                <w:lang w:val="en-US" w:eastAsia="zh-CN"/>
              </w:rPr>
              <w:t>担任项目负责人得1</w:t>
            </w:r>
            <w:r>
              <w:rPr>
                <w:rFonts w:hint="eastAsia" w:ascii="宋体" w:hAnsi="宋体" w:eastAsia="宋体" w:cs="宋体"/>
                <w:b w:val="0"/>
                <w:bCs w:val="0"/>
                <w:kern w:val="2"/>
                <w:sz w:val="21"/>
                <w:szCs w:val="24"/>
                <w:highlight w:val="none"/>
              </w:rPr>
              <w:t>分，最高得</w:t>
            </w:r>
            <w:r>
              <w:rPr>
                <w:rFonts w:hint="eastAsia" w:ascii="宋体" w:hAnsi="宋体" w:eastAsia="宋体" w:cs="宋体"/>
                <w:b w:val="0"/>
                <w:bCs w:val="0"/>
                <w:kern w:val="2"/>
                <w:sz w:val="21"/>
                <w:szCs w:val="24"/>
                <w:highlight w:val="none"/>
                <w:lang w:val="en-US" w:eastAsia="zh-CN"/>
              </w:rPr>
              <w:t>2</w:t>
            </w:r>
            <w:r>
              <w:rPr>
                <w:rFonts w:hint="eastAsia" w:ascii="宋体" w:hAnsi="宋体" w:eastAsia="宋体" w:cs="宋体"/>
                <w:b w:val="0"/>
                <w:bCs w:val="0"/>
                <w:kern w:val="2"/>
                <w:sz w:val="21"/>
                <w:szCs w:val="24"/>
                <w:highlight w:val="none"/>
              </w:rPr>
              <w:t>分。</w:t>
            </w:r>
          </w:p>
          <w:p w14:paraId="0599F8C6">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须提供：合同扫描件或复印件，以合同签订时间为准</w:t>
            </w:r>
            <w:r>
              <w:rPr>
                <w:rFonts w:hint="eastAsia" w:ascii="宋体" w:hAnsi="宋体" w:eastAsia="宋体" w:cs="宋体"/>
                <w:b w:val="0"/>
                <w:bCs w:val="0"/>
                <w:kern w:val="2"/>
                <w:sz w:val="21"/>
                <w:szCs w:val="24"/>
                <w:highlight w:val="none"/>
                <w:lang w:eastAsia="zh-CN"/>
              </w:rPr>
              <w:t>，</w:t>
            </w:r>
            <w:r>
              <w:rPr>
                <w:rFonts w:hint="eastAsia" w:ascii="宋体" w:hAnsi="宋体" w:eastAsia="宋体" w:cs="宋体"/>
                <w:b w:val="0"/>
                <w:bCs w:val="0"/>
                <w:kern w:val="2"/>
                <w:sz w:val="21"/>
                <w:szCs w:val="24"/>
                <w:highlight w:val="none"/>
                <w:lang w:val="en-US" w:eastAsia="zh-CN"/>
              </w:rPr>
              <w:t>若合同无法体现项目负责身份人则须提供业主证明</w:t>
            </w:r>
            <w:r>
              <w:rPr>
                <w:rFonts w:hint="eastAsia" w:ascii="宋体" w:hAnsi="宋体" w:eastAsia="宋体" w:cs="宋体"/>
                <w:b w:val="0"/>
                <w:bCs w:val="0"/>
                <w:kern w:val="2"/>
                <w:sz w:val="21"/>
                <w:szCs w:val="24"/>
                <w:highlight w:val="none"/>
              </w:rPr>
              <w:t>。</w:t>
            </w:r>
          </w:p>
        </w:tc>
        <w:tc>
          <w:tcPr>
            <w:tcW w:w="801" w:type="dxa"/>
            <w:vAlign w:val="center"/>
          </w:tcPr>
          <w:p w14:paraId="0BDBDF43">
            <w:pPr>
              <w:pageBreakBefore w:val="0"/>
              <w:kinsoku/>
              <w:overflowPunct/>
              <w:bidi w:val="0"/>
              <w:spacing w:line="360" w:lineRule="auto"/>
              <w:ind w:right="-101" w:rightChars="-48"/>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2</w:t>
            </w:r>
          </w:p>
        </w:tc>
      </w:tr>
      <w:tr w14:paraId="0E275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5BC7519D">
            <w:pPr>
              <w:pageBreakBefore w:val="0"/>
              <w:kinsoku/>
              <w:overflowPunct/>
              <w:bidi w:val="0"/>
              <w:spacing w:line="360" w:lineRule="auto"/>
              <w:ind w:right="-101" w:rightChars="-48"/>
              <w:jc w:val="center"/>
              <w:rPr>
                <w:rFonts w:hint="eastAsia" w:ascii="宋体" w:hAnsi="宋体" w:cs="宋体"/>
                <w:highlight w:val="none"/>
              </w:rPr>
            </w:pPr>
          </w:p>
        </w:tc>
        <w:tc>
          <w:tcPr>
            <w:tcW w:w="1759" w:type="dxa"/>
            <w:vAlign w:val="center"/>
          </w:tcPr>
          <w:p w14:paraId="10790453">
            <w:pPr>
              <w:pageBreakBefore w:val="0"/>
              <w:kinsoku/>
              <w:overflowPunct/>
              <w:bidi w:val="0"/>
              <w:spacing w:line="360" w:lineRule="auto"/>
              <w:ind w:right="-101" w:rightChars="-48"/>
              <w:jc w:val="center"/>
              <w:rPr>
                <w:rFonts w:hint="eastAsia" w:ascii="宋体" w:hAnsi="宋体" w:cs="宋体"/>
                <w:bCs/>
                <w:highlight w:val="none"/>
                <w:lang w:val="en-US" w:eastAsia="zh-CN"/>
              </w:rPr>
            </w:pPr>
            <w:r>
              <w:rPr>
                <w:rFonts w:hint="eastAsia"/>
                <w:highlight w:val="none"/>
              </w:rPr>
              <w:t>人员配置</w:t>
            </w:r>
          </w:p>
        </w:tc>
        <w:tc>
          <w:tcPr>
            <w:tcW w:w="5807" w:type="dxa"/>
            <w:vAlign w:val="center"/>
          </w:tcPr>
          <w:p w14:paraId="116863E4">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rPr>
            </w:pPr>
            <w:r>
              <w:rPr>
                <w:rFonts w:hint="eastAsia" w:ascii="宋体" w:hAnsi="宋体" w:eastAsia="宋体" w:cs="宋体"/>
                <w:b w:val="0"/>
                <w:bCs w:val="0"/>
                <w:kern w:val="2"/>
                <w:sz w:val="21"/>
                <w:szCs w:val="24"/>
                <w:highlight w:val="none"/>
              </w:rPr>
              <w:t>人员配备</w:t>
            </w:r>
            <w:r>
              <w:rPr>
                <w:rFonts w:hint="eastAsia" w:ascii="宋体" w:hAnsi="宋体" w:eastAsia="宋体" w:cs="宋体"/>
                <w:b w:val="0"/>
                <w:bCs w:val="0"/>
                <w:kern w:val="2"/>
                <w:sz w:val="21"/>
                <w:szCs w:val="24"/>
                <w:highlight w:val="none"/>
                <w:lang w:val="en-US" w:eastAsia="zh-CN"/>
              </w:rPr>
              <w:t>满足用户需求书要求的得3分。</w:t>
            </w:r>
          </w:p>
        </w:tc>
        <w:tc>
          <w:tcPr>
            <w:tcW w:w="801" w:type="dxa"/>
            <w:vAlign w:val="center"/>
          </w:tcPr>
          <w:p w14:paraId="03822886">
            <w:pPr>
              <w:pageBreakBefore w:val="0"/>
              <w:kinsoku/>
              <w:overflowPunct/>
              <w:bidi w:val="0"/>
              <w:spacing w:line="360" w:lineRule="auto"/>
              <w:ind w:right="-101" w:rightChars="-48"/>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3</w:t>
            </w:r>
          </w:p>
        </w:tc>
      </w:tr>
      <w:tr w14:paraId="0DACF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03F20611">
            <w:pPr>
              <w:pageBreakBefore w:val="0"/>
              <w:kinsoku/>
              <w:overflowPunct/>
              <w:bidi w:val="0"/>
              <w:spacing w:line="360" w:lineRule="auto"/>
              <w:ind w:right="-101" w:rightChars="-48"/>
              <w:jc w:val="center"/>
              <w:rPr>
                <w:rFonts w:hint="eastAsia" w:ascii="宋体" w:hAnsi="宋体" w:cs="宋体"/>
                <w:highlight w:val="none"/>
              </w:rPr>
            </w:pPr>
          </w:p>
        </w:tc>
        <w:tc>
          <w:tcPr>
            <w:tcW w:w="1759" w:type="dxa"/>
            <w:vAlign w:val="center"/>
          </w:tcPr>
          <w:p w14:paraId="5EFFD70F">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招标代理</w:t>
            </w:r>
          </w:p>
          <w:p w14:paraId="74A3AE55">
            <w:pPr>
              <w:pStyle w:val="2"/>
              <w:keepNext w:val="0"/>
              <w:keepLines w:val="0"/>
              <w:pageBreakBefore w:val="0"/>
              <w:kinsoku/>
              <w:overflowPunct/>
              <w:bidi w:val="0"/>
              <w:spacing w:before="0" w:after="0" w:line="360" w:lineRule="auto"/>
              <w:ind w:right="-101" w:rightChars="-48"/>
              <w:jc w:val="center"/>
              <w:rPr>
                <w:rFonts w:hint="eastAsia" w:eastAsia="宋体"/>
                <w:highlight w:val="none"/>
                <w:lang w:eastAsia="zh-CN"/>
              </w:rPr>
            </w:pPr>
            <w:r>
              <w:rPr>
                <w:rFonts w:hint="eastAsia" w:ascii="宋体" w:hAnsi="宋体" w:eastAsia="宋体" w:cs="宋体"/>
                <w:b w:val="0"/>
                <w:bCs w:val="0"/>
                <w:kern w:val="2"/>
                <w:sz w:val="21"/>
                <w:szCs w:val="24"/>
                <w:highlight w:val="none"/>
                <w:lang w:val="en-US" w:eastAsia="zh-CN"/>
              </w:rPr>
              <w:t>信用评价</w:t>
            </w:r>
          </w:p>
        </w:tc>
        <w:tc>
          <w:tcPr>
            <w:tcW w:w="5807" w:type="dxa"/>
            <w:vAlign w:val="center"/>
          </w:tcPr>
          <w:p w14:paraId="7F16F28A">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rPr>
              <w:t>①</w:t>
            </w:r>
            <w:r>
              <w:rPr>
                <w:rFonts w:hint="eastAsia" w:ascii="宋体" w:hAnsi="宋体" w:eastAsia="宋体" w:cs="宋体"/>
                <w:b w:val="0"/>
                <w:bCs w:val="0"/>
                <w:kern w:val="2"/>
                <w:sz w:val="21"/>
                <w:szCs w:val="24"/>
                <w:highlight w:val="none"/>
                <w:lang w:val="en-US" w:eastAsia="zh-CN"/>
              </w:rPr>
              <w:t>参选人在南通市住房和城乡建设局网站上颁布的最新年度南通市招标代理企业动态考评结果中前10名的得1.5分,11-20名的得1分，21-30名的得0.5分。</w:t>
            </w:r>
          </w:p>
          <w:p w14:paraId="340F84C7">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eastAsia="zh-CN"/>
              </w:rPr>
            </w:pPr>
            <w:r>
              <w:rPr>
                <w:rFonts w:hint="eastAsia" w:ascii="宋体" w:hAnsi="宋体" w:eastAsia="宋体" w:cs="宋体"/>
                <w:b w:val="0"/>
                <w:bCs w:val="0"/>
                <w:kern w:val="2"/>
                <w:sz w:val="21"/>
                <w:szCs w:val="24"/>
                <w:highlight w:val="none"/>
              </w:rPr>
              <w:t>②</w:t>
            </w:r>
            <w:r>
              <w:rPr>
                <w:rFonts w:hint="eastAsia" w:ascii="宋体" w:hAnsi="宋体" w:eastAsia="宋体" w:cs="宋体"/>
                <w:b w:val="0"/>
                <w:bCs w:val="0"/>
                <w:kern w:val="2"/>
                <w:sz w:val="21"/>
                <w:szCs w:val="24"/>
                <w:highlight w:val="none"/>
                <w:lang w:val="en-US" w:eastAsia="zh-CN"/>
              </w:rPr>
              <w:t>参选人具有</w:t>
            </w:r>
            <w:r>
              <w:rPr>
                <w:rFonts w:hint="eastAsia" w:ascii="宋体" w:hAnsi="宋体" w:eastAsia="宋体" w:cs="宋体"/>
                <w:b w:val="0"/>
                <w:bCs w:val="0"/>
                <w:kern w:val="2"/>
                <w:sz w:val="21"/>
                <w:szCs w:val="24"/>
                <w:highlight w:val="none"/>
              </w:rPr>
              <w:t>中国招投标协会行业协会颁发的招标代理机构信用AAA等级证书得1.5分，AA级得1分，A级得0.5分</w:t>
            </w:r>
            <w:r>
              <w:rPr>
                <w:rFonts w:hint="eastAsia" w:ascii="宋体" w:hAnsi="宋体" w:eastAsia="宋体" w:cs="宋体"/>
                <w:b w:val="0"/>
                <w:bCs w:val="0"/>
                <w:kern w:val="2"/>
                <w:sz w:val="21"/>
                <w:szCs w:val="24"/>
                <w:highlight w:val="none"/>
                <w:lang w:eastAsia="zh-CN"/>
              </w:rPr>
              <w:t>。</w:t>
            </w:r>
          </w:p>
          <w:p w14:paraId="45E05E9C">
            <w:pPr>
              <w:pStyle w:val="2"/>
              <w:keepNext w:val="0"/>
              <w:keepLines w:val="0"/>
              <w:pageBreakBefore w:val="0"/>
              <w:kinsoku/>
              <w:overflowPunct/>
              <w:bidi w:val="0"/>
              <w:spacing w:before="0" w:after="0" w:line="360" w:lineRule="auto"/>
              <w:ind w:right="-101" w:rightChars="-48"/>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取以上两项评分项中最高得分为最终得分。</w:t>
            </w:r>
          </w:p>
        </w:tc>
        <w:tc>
          <w:tcPr>
            <w:tcW w:w="801" w:type="dxa"/>
            <w:vAlign w:val="center"/>
          </w:tcPr>
          <w:p w14:paraId="1FEEFAC0">
            <w:pPr>
              <w:pageBreakBefore w:val="0"/>
              <w:kinsoku/>
              <w:overflowPunct/>
              <w:bidi w:val="0"/>
              <w:spacing w:line="360" w:lineRule="auto"/>
              <w:ind w:right="-101" w:rightChars="-48"/>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1.5</w:t>
            </w:r>
          </w:p>
        </w:tc>
      </w:tr>
      <w:bookmarkEnd w:id="90"/>
      <w:bookmarkEnd w:id="91"/>
      <w:tr w14:paraId="4F4DC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08" w:type="dxa"/>
            <w:vMerge w:val="continue"/>
            <w:vAlign w:val="center"/>
          </w:tcPr>
          <w:p w14:paraId="775FC5A9">
            <w:pPr>
              <w:pageBreakBefore w:val="0"/>
              <w:kinsoku/>
              <w:overflowPunct/>
              <w:bidi w:val="0"/>
              <w:spacing w:line="360" w:lineRule="auto"/>
              <w:ind w:right="-101" w:rightChars="-48"/>
              <w:jc w:val="center"/>
              <w:rPr>
                <w:rFonts w:ascii="宋体" w:hAnsi="宋体" w:cs="宋体"/>
                <w:highlight w:val="none"/>
              </w:rPr>
            </w:pPr>
          </w:p>
        </w:tc>
        <w:tc>
          <w:tcPr>
            <w:tcW w:w="1759" w:type="dxa"/>
            <w:vAlign w:val="center"/>
          </w:tcPr>
          <w:p w14:paraId="129DA580">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造价咨询</w:t>
            </w:r>
          </w:p>
          <w:p w14:paraId="23E3DF93">
            <w:pPr>
              <w:pStyle w:val="2"/>
              <w:keepNext w:val="0"/>
              <w:keepLines w:val="0"/>
              <w:pageBreakBefore w:val="0"/>
              <w:kinsoku/>
              <w:overflowPunct/>
              <w:bidi w:val="0"/>
              <w:spacing w:before="0" w:after="0" w:line="360" w:lineRule="auto"/>
              <w:ind w:right="-101" w:rightChars="-48"/>
              <w:jc w:val="center"/>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信用评价</w:t>
            </w:r>
          </w:p>
        </w:tc>
        <w:tc>
          <w:tcPr>
            <w:tcW w:w="5807" w:type="dxa"/>
            <w:vAlign w:val="center"/>
          </w:tcPr>
          <w:p w14:paraId="2E2A2E8C">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bookmarkStart w:id="92" w:name="OLE_LINK49"/>
            <w:bookmarkStart w:id="93" w:name="OLE_LINK46"/>
            <w:r>
              <w:rPr>
                <w:rFonts w:hint="eastAsia" w:ascii="宋体" w:hAnsi="宋体" w:eastAsia="宋体" w:cs="宋体"/>
                <w:b w:val="0"/>
                <w:bCs w:val="0"/>
                <w:kern w:val="2"/>
                <w:sz w:val="21"/>
                <w:szCs w:val="24"/>
                <w:highlight w:val="none"/>
              </w:rPr>
              <w:t>①</w:t>
            </w:r>
            <w:r>
              <w:rPr>
                <w:rFonts w:hint="eastAsia" w:ascii="宋体" w:hAnsi="宋体" w:eastAsia="宋体" w:cs="宋体"/>
                <w:b w:val="0"/>
                <w:bCs w:val="0"/>
                <w:kern w:val="2"/>
                <w:sz w:val="21"/>
                <w:szCs w:val="24"/>
                <w:highlight w:val="none"/>
                <w:lang w:val="en-US" w:eastAsia="zh-CN"/>
              </w:rPr>
              <w:t>参选人具有</w:t>
            </w:r>
            <w:r>
              <w:rPr>
                <w:rFonts w:hint="eastAsia" w:ascii="宋体" w:hAnsi="宋体" w:eastAsia="宋体" w:cs="宋体"/>
                <w:b w:val="0"/>
                <w:bCs w:val="0"/>
                <w:kern w:val="2"/>
                <w:sz w:val="21"/>
                <w:szCs w:val="24"/>
                <w:highlight w:val="none"/>
              </w:rPr>
              <w:t>江苏省造价协会评定的</w:t>
            </w:r>
            <w:bookmarkStart w:id="94" w:name="OLE_LINK43"/>
            <w:bookmarkStart w:id="95" w:name="OLE_LINK42"/>
            <w:bookmarkStart w:id="96" w:name="OLE_LINK39"/>
            <w:r>
              <w:rPr>
                <w:rFonts w:hint="eastAsia" w:ascii="宋体" w:hAnsi="宋体" w:eastAsia="宋体" w:cs="宋体"/>
                <w:b w:val="0"/>
                <w:bCs w:val="0"/>
                <w:kern w:val="2"/>
                <w:sz w:val="21"/>
                <w:szCs w:val="24"/>
                <w:highlight w:val="none"/>
              </w:rPr>
              <w:t>造价咨询企业</w:t>
            </w:r>
            <w:bookmarkEnd w:id="94"/>
            <w:bookmarkEnd w:id="95"/>
            <w:r>
              <w:rPr>
                <w:rFonts w:hint="eastAsia" w:ascii="宋体" w:hAnsi="宋体" w:eastAsia="宋体" w:cs="宋体"/>
                <w:b w:val="0"/>
                <w:bCs w:val="0"/>
                <w:kern w:val="2"/>
                <w:sz w:val="21"/>
                <w:szCs w:val="24"/>
                <w:highlight w:val="none"/>
              </w:rPr>
              <w:t>动态信用等级</w:t>
            </w:r>
            <w:bookmarkEnd w:id="96"/>
            <w:r>
              <w:rPr>
                <w:rFonts w:hint="eastAsia" w:ascii="宋体" w:hAnsi="宋体" w:eastAsia="宋体" w:cs="宋体"/>
                <w:b w:val="0"/>
                <w:bCs w:val="0"/>
                <w:kern w:val="2"/>
                <w:sz w:val="21"/>
                <w:szCs w:val="24"/>
                <w:highlight w:val="none"/>
              </w:rPr>
              <w:t>AAAA级及以上</w:t>
            </w:r>
            <w:r>
              <w:rPr>
                <w:rFonts w:hint="eastAsia" w:ascii="宋体" w:hAnsi="宋体" w:eastAsia="宋体" w:cs="宋体"/>
                <w:b w:val="0"/>
                <w:bCs w:val="0"/>
                <w:kern w:val="2"/>
                <w:sz w:val="21"/>
                <w:szCs w:val="24"/>
                <w:highlight w:val="none"/>
                <w:lang w:val="en-US" w:eastAsia="zh-CN"/>
              </w:rPr>
              <w:t>1.5</w:t>
            </w:r>
            <w:r>
              <w:rPr>
                <w:rFonts w:hint="eastAsia" w:ascii="宋体" w:hAnsi="宋体" w:eastAsia="宋体" w:cs="宋体"/>
                <w:b w:val="0"/>
                <w:bCs w:val="0"/>
                <w:kern w:val="2"/>
                <w:sz w:val="21"/>
                <w:szCs w:val="24"/>
                <w:highlight w:val="none"/>
              </w:rPr>
              <w:t>分，AAA级得1分，AA级得</w:t>
            </w:r>
            <w:r>
              <w:rPr>
                <w:rFonts w:hint="eastAsia" w:ascii="宋体" w:hAnsi="宋体" w:eastAsia="宋体" w:cs="宋体"/>
                <w:b w:val="0"/>
                <w:bCs w:val="0"/>
                <w:kern w:val="2"/>
                <w:sz w:val="21"/>
                <w:szCs w:val="24"/>
                <w:highlight w:val="none"/>
                <w:lang w:val="en-US" w:eastAsia="zh-CN"/>
              </w:rPr>
              <w:t>0.5</w:t>
            </w:r>
            <w:r>
              <w:rPr>
                <w:rFonts w:hint="eastAsia" w:ascii="宋体" w:hAnsi="宋体" w:eastAsia="宋体" w:cs="宋体"/>
                <w:b w:val="0"/>
                <w:bCs w:val="0"/>
                <w:kern w:val="2"/>
                <w:sz w:val="21"/>
                <w:szCs w:val="24"/>
                <w:highlight w:val="none"/>
              </w:rPr>
              <w:t>分</w:t>
            </w:r>
            <w:bookmarkEnd w:id="92"/>
            <w:bookmarkEnd w:id="93"/>
            <w:r>
              <w:rPr>
                <w:rFonts w:hint="eastAsia" w:ascii="宋体" w:hAnsi="宋体" w:eastAsia="宋体" w:cs="宋体"/>
                <w:b w:val="0"/>
                <w:bCs w:val="0"/>
                <w:kern w:val="2"/>
                <w:sz w:val="21"/>
                <w:szCs w:val="24"/>
                <w:highlight w:val="none"/>
                <w:lang w:eastAsia="zh-CN"/>
              </w:rPr>
              <w:t>。</w:t>
            </w:r>
          </w:p>
          <w:p w14:paraId="4AB8CB65">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eastAsia="zh-CN"/>
              </w:rPr>
            </w:pPr>
            <w:r>
              <w:rPr>
                <w:rFonts w:hint="eastAsia" w:ascii="宋体" w:hAnsi="宋体" w:eastAsia="宋体" w:cs="宋体"/>
                <w:b w:val="0"/>
                <w:bCs w:val="0"/>
                <w:kern w:val="2"/>
                <w:sz w:val="21"/>
                <w:szCs w:val="24"/>
                <w:highlight w:val="none"/>
              </w:rPr>
              <w:t>②</w:t>
            </w:r>
            <w:r>
              <w:rPr>
                <w:rFonts w:hint="eastAsia" w:ascii="宋体" w:hAnsi="宋体" w:eastAsia="宋体" w:cs="宋体"/>
                <w:b w:val="0"/>
                <w:bCs w:val="0"/>
                <w:kern w:val="2"/>
                <w:sz w:val="21"/>
                <w:szCs w:val="24"/>
                <w:highlight w:val="none"/>
                <w:lang w:val="en-US" w:eastAsia="zh-CN"/>
              </w:rPr>
              <w:t>参选人具有中国建设工程造价管理协会颁发的企业信用等级</w:t>
            </w:r>
            <w:r>
              <w:rPr>
                <w:rFonts w:hint="eastAsia" w:ascii="宋体" w:hAnsi="宋体" w:eastAsia="宋体" w:cs="宋体"/>
                <w:b w:val="0"/>
                <w:bCs w:val="0"/>
                <w:kern w:val="2"/>
                <w:sz w:val="21"/>
                <w:szCs w:val="24"/>
                <w:highlight w:val="none"/>
              </w:rPr>
              <w:t>AAA级</w:t>
            </w:r>
            <w:r>
              <w:rPr>
                <w:rFonts w:hint="eastAsia" w:ascii="宋体" w:hAnsi="宋体" w:eastAsia="宋体" w:cs="宋体"/>
                <w:b w:val="0"/>
                <w:bCs w:val="0"/>
                <w:kern w:val="2"/>
                <w:sz w:val="21"/>
                <w:szCs w:val="24"/>
                <w:highlight w:val="none"/>
                <w:lang w:val="en-US" w:eastAsia="zh-CN"/>
              </w:rPr>
              <w:t>证书得1.5</w:t>
            </w:r>
            <w:r>
              <w:rPr>
                <w:rFonts w:hint="eastAsia" w:ascii="宋体" w:hAnsi="宋体" w:eastAsia="宋体" w:cs="宋体"/>
                <w:b w:val="0"/>
                <w:bCs w:val="0"/>
                <w:kern w:val="2"/>
                <w:sz w:val="21"/>
                <w:szCs w:val="24"/>
                <w:highlight w:val="none"/>
              </w:rPr>
              <w:t>分，AA级得1分</w:t>
            </w:r>
            <w:r>
              <w:rPr>
                <w:rFonts w:hint="eastAsia" w:ascii="宋体" w:hAnsi="宋体" w:eastAsia="宋体" w:cs="宋体"/>
                <w:b w:val="0"/>
                <w:bCs w:val="0"/>
                <w:kern w:val="2"/>
                <w:sz w:val="21"/>
                <w:szCs w:val="24"/>
                <w:highlight w:val="none"/>
                <w:lang w:eastAsia="zh-CN"/>
              </w:rPr>
              <w:t>，</w:t>
            </w:r>
            <w:r>
              <w:rPr>
                <w:rFonts w:hint="eastAsia" w:ascii="宋体" w:hAnsi="宋体" w:eastAsia="宋体" w:cs="宋体"/>
                <w:b w:val="0"/>
                <w:bCs w:val="0"/>
                <w:kern w:val="2"/>
                <w:sz w:val="21"/>
                <w:szCs w:val="24"/>
                <w:highlight w:val="none"/>
              </w:rPr>
              <w:t>A级得</w:t>
            </w:r>
            <w:r>
              <w:rPr>
                <w:rFonts w:hint="eastAsia" w:ascii="宋体" w:hAnsi="宋体" w:eastAsia="宋体" w:cs="宋体"/>
                <w:b w:val="0"/>
                <w:bCs w:val="0"/>
                <w:kern w:val="2"/>
                <w:sz w:val="21"/>
                <w:szCs w:val="24"/>
                <w:highlight w:val="none"/>
                <w:lang w:val="en-US" w:eastAsia="zh-CN"/>
              </w:rPr>
              <w:t>0.5</w:t>
            </w:r>
            <w:r>
              <w:rPr>
                <w:rFonts w:hint="eastAsia" w:ascii="宋体" w:hAnsi="宋体" w:eastAsia="宋体" w:cs="宋体"/>
                <w:b w:val="0"/>
                <w:bCs w:val="0"/>
                <w:kern w:val="2"/>
                <w:sz w:val="21"/>
                <w:szCs w:val="24"/>
                <w:highlight w:val="none"/>
              </w:rPr>
              <w:t>分</w:t>
            </w:r>
            <w:r>
              <w:rPr>
                <w:rFonts w:hint="eastAsia" w:ascii="宋体" w:hAnsi="宋体" w:eastAsia="宋体" w:cs="宋体"/>
                <w:b w:val="0"/>
                <w:bCs w:val="0"/>
                <w:kern w:val="2"/>
                <w:sz w:val="21"/>
                <w:szCs w:val="24"/>
                <w:highlight w:val="none"/>
                <w:lang w:eastAsia="zh-CN"/>
              </w:rPr>
              <w:t>。</w:t>
            </w:r>
          </w:p>
          <w:p w14:paraId="66D86F7C">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取以上两项评分项中最高得分为最终得分。</w:t>
            </w:r>
          </w:p>
        </w:tc>
        <w:tc>
          <w:tcPr>
            <w:tcW w:w="801" w:type="dxa"/>
            <w:vAlign w:val="center"/>
          </w:tcPr>
          <w:p w14:paraId="45AE1C79">
            <w:pPr>
              <w:pageBreakBefore w:val="0"/>
              <w:kinsoku/>
              <w:overflowPunct/>
              <w:bidi w:val="0"/>
              <w:spacing w:line="360" w:lineRule="auto"/>
              <w:ind w:right="-101" w:rightChars="-48"/>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1.5</w:t>
            </w:r>
          </w:p>
        </w:tc>
      </w:tr>
      <w:tr w14:paraId="33D5A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restart"/>
            <w:vAlign w:val="center"/>
          </w:tcPr>
          <w:p w14:paraId="6AF2BA01">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技术</w:t>
            </w:r>
          </w:p>
          <w:p w14:paraId="6BA9D7AF">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部分</w:t>
            </w:r>
          </w:p>
          <w:p w14:paraId="2D5CFD53">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50分</w:t>
            </w:r>
          </w:p>
        </w:tc>
        <w:tc>
          <w:tcPr>
            <w:tcW w:w="1759" w:type="dxa"/>
            <w:vAlign w:val="center"/>
          </w:tcPr>
          <w:p w14:paraId="21F9D0D0">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总体工作方案</w:t>
            </w:r>
          </w:p>
        </w:tc>
        <w:tc>
          <w:tcPr>
            <w:tcW w:w="5807" w:type="dxa"/>
            <w:vAlign w:val="center"/>
          </w:tcPr>
          <w:p w14:paraId="731BA32C">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总体方案能基本满足需求，具有较强的可行性和时效性，方案完整可行，在[3.5,5]区间内评分，缺少相应内容的评审要点不得分。</w:t>
            </w:r>
          </w:p>
        </w:tc>
        <w:tc>
          <w:tcPr>
            <w:tcW w:w="801" w:type="dxa"/>
            <w:vAlign w:val="center"/>
          </w:tcPr>
          <w:p w14:paraId="6CD65AB3">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5</w:t>
            </w:r>
          </w:p>
        </w:tc>
      </w:tr>
      <w:tr w14:paraId="358AE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247FE011">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7C208E2E">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招标代理</w:t>
            </w:r>
          </w:p>
          <w:p w14:paraId="4435D3F9">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工作方案</w:t>
            </w:r>
          </w:p>
        </w:tc>
        <w:tc>
          <w:tcPr>
            <w:tcW w:w="5807" w:type="dxa"/>
            <w:shd w:val="clear" w:color="auto" w:fill="auto"/>
            <w:vAlign w:val="center"/>
          </w:tcPr>
          <w:p w14:paraId="08340D9E">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对招标代理工作总体方案进行评审，工作方案覆盖全面、科学合理、具有针对性和可操作性，对集团自主招标采购项目、进入公共资源交易中心采购的工程建设项目及进入公共资源交易中心采购的国企采购项目政策熟悉，制定详细的实施方案和工作流程，描述准确详尽，措施可靠具体在[8.4,12]区间内评分，缺少相应内容的评审要点不得分。</w:t>
            </w:r>
          </w:p>
        </w:tc>
        <w:tc>
          <w:tcPr>
            <w:tcW w:w="801" w:type="dxa"/>
            <w:shd w:val="clear" w:color="auto" w:fill="auto"/>
            <w:vAlign w:val="center"/>
          </w:tcPr>
          <w:p w14:paraId="64ECC250">
            <w:pPr>
              <w:pStyle w:val="2"/>
              <w:keepNext w:val="0"/>
              <w:keepLines w:val="0"/>
              <w:pageBreakBefore w:val="0"/>
              <w:kinsoku/>
              <w:overflowPunct/>
              <w:bidi w:val="0"/>
              <w:spacing w:before="0" w:after="0" w:line="360" w:lineRule="auto"/>
              <w:ind w:right="-101" w:rightChars="-48"/>
              <w:jc w:val="center"/>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12</w:t>
            </w:r>
          </w:p>
        </w:tc>
      </w:tr>
      <w:tr w14:paraId="4FB81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461EEC29">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67BBB91D">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造价咨询</w:t>
            </w:r>
          </w:p>
          <w:p w14:paraId="2ABAA275">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工作方案</w:t>
            </w:r>
          </w:p>
        </w:tc>
        <w:tc>
          <w:tcPr>
            <w:tcW w:w="5807" w:type="dxa"/>
            <w:shd w:val="clear" w:color="auto" w:fill="auto"/>
            <w:vAlign w:val="center"/>
          </w:tcPr>
          <w:p w14:paraId="4FE70075">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对造价咨询工作总体方案进行评审，工作方案咨询方案总体框架、思路清晰、目标准确，熟悉国家有关建设工程造价咨询相关法规、政策，理解比选人工作需要，对零星项目招标控制价编制、招标控制价审核及竣工结算资料编制制定详细的实施方案和工作流程，描述准确详尽，措施可靠具体在[</w:t>
            </w:r>
            <w:r>
              <w:rPr>
                <w:rFonts w:hint="eastAsia" w:ascii="宋体" w:hAnsi="宋体" w:eastAsia="宋体" w:cs="宋体"/>
                <w:b w:val="0"/>
                <w:bCs w:val="0"/>
                <w:kern w:val="2"/>
                <w:sz w:val="21"/>
                <w:szCs w:val="24"/>
                <w:highlight w:val="none"/>
                <w:lang w:val="en-US" w:eastAsia="zh-CN"/>
              </w:rPr>
              <w:t>8.4</w:t>
            </w:r>
            <w:r>
              <w:rPr>
                <w:rFonts w:hint="eastAsia" w:ascii="宋体" w:hAnsi="宋体" w:eastAsia="宋体" w:cs="宋体"/>
                <w:b w:val="0"/>
                <w:bCs w:val="0"/>
                <w:kern w:val="2"/>
                <w:sz w:val="21"/>
                <w:szCs w:val="24"/>
                <w:highlight w:val="none"/>
              </w:rPr>
              <w:t>,1</w:t>
            </w:r>
            <w:r>
              <w:rPr>
                <w:rFonts w:hint="eastAsia" w:ascii="宋体" w:hAnsi="宋体" w:eastAsia="宋体" w:cs="宋体"/>
                <w:b w:val="0"/>
                <w:bCs w:val="0"/>
                <w:kern w:val="2"/>
                <w:sz w:val="21"/>
                <w:szCs w:val="24"/>
                <w:highlight w:val="none"/>
                <w:lang w:val="en-US" w:eastAsia="zh-CN"/>
              </w:rPr>
              <w:t>2</w:t>
            </w:r>
            <w:r>
              <w:rPr>
                <w:rFonts w:hint="eastAsia" w:ascii="宋体" w:hAnsi="宋体" w:eastAsia="宋体" w:cs="宋体"/>
                <w:b w:val="0"/>
                <w:bCs w:val="0"/>
                <w:kern w:val="2"/>
                <w:sz w:val="21"/>
                <w:szCs w:val="24"/>
                <w:highlight w:val="none"/>
              </w:rPr>
              <w:t>]区间内评分，缺少相应内容的评审要点不得分。</w:t>
            </w:r>
          </w:p>
        </w:tc>
        <w:tc>
          <w:tcPr>
            <w:tcW w:w="801" w:type="dxa"/>
            <w:shd w:val="clear" w:color="auto" w:fill="auto"/>
            <w:vAlign w:val="center"/>
          </w:tcPr>
          <w:p w14:paraId="3344334D">
            <w:pPr>
              <w:pStyle w:val="2"/>
              <w:keepNext w:val="0"/>
              <w:keepLines w:val="0"/>
              <w:pageBreakBefore w:val="0"/>
              <w:kinsoku/>
              <w:overflowPunct/>
              <w:bidi w:val="0"/>
              <w:spacing w:before="0" w:after="0" w:line="360" w:lineRule="auto"/>
              <w:ind w:right="-101" w:rightChars="-48"/>
              <w:jc w:val="center"/>
              <w:rPr>
                <w:rFonts w:hint="default"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12</w:t>
            </w:r>
          </w:p>
        </w:tc>
      </w:tr>
      <w:tr w14:paraId="75A15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67EE5D3A">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0BCDA4C2">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对项目的</w:t>
            </w:r>
          </w:p>
          <w:p w14:paraId="42449C52">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zh-CN"/>
              </w:rPr>
            </w:pPr>
            <w:r>
              <w:rPr>
                <w:rFonts w:hint="eastAsia" w:ascii="宋体" w:hAnsi="宋体" w:eastAsia="宋体" w:cs="宋体"/>
                <w:b w:val="0"/>
                <w:bCs w:val="0"/>
                <w:kern w:val="2"/>
                <w:sz w:val="21"/>
                <w:szCs w:val="24"/>
                <w:highlight w:val="none"/>
              </w:rPr>
              <w:t>理解和认识</w:t>
            </w:r>
          </w:p>
        </w:tc>
        <w:tc>
          <w:tcPr>
            <w:tcW w:w="5807" w:type="dxa"/>
            <w:shd w:val="clear" w:color="auto" w:fill="auto"/>
            <w:vAlign w:val="center"/>
          </w:tcPr>
          <w:p w14:paraId="2AA70C1B">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lang w:val="en-US" w:eastAsia="zh-CN"/>
              </w:rPr>
              <w:t>参选人对本项目的理解和认识合理，针对性强，确实可行的在[2.1，3]区间内评分，缺少相应内容的评审要点不得分。</w:t>
            </w:r>
          </w:p>
        </w:tc>
        <w:tc>
          <w:tcPr>
            <w:tcW w:w="801" w:type="dxa"/>
            <w:shd w:val="clear" w:color="auto" w:fill="auto"/>
            <w:vAlign w:val="center"/>
          </w:tcPr>
          <w:p w14:paraId="7440D0D6">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3</w:t>
            </w:r>
          </w:p>
        </w:tc>
      </w:tr>
      <w:tr w14:paraId="59384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7898706A">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74007E85">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项目服务</w:t>
            </w:r>
          </w:p>
          <w:p w14:paraId="2E13EE4A">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zh-CN"/>
              </w:rPr>
            </w:pPr>
            <w:r>
              <w:rPr>
                <w:rFonts w:hint="eastAsia" w:ascii="宋体" w:hAnsi="宋体" w:eastAsia="宋体" w:cs="宋体"/>
                <w:b w:val="0"/>
                <w:bCs w:val="0"/>
                <w:kern w:val="2"/>
                <w:sz w:val="21"/>
                <w:szCs w:val="24"/>
                <w:highlight w:val="none"/>
              </w:rPr>
              <w:t>质量保障措施</w:t>
            </w:r>
          </w:p>
        </w:tc>
        <w:tc>
          <w:tcPr>
            <w:tcW w:w="5807" w:type="dxa"/>
            <w:shd w:val="clear" w:color="auto" w:fill="auto"/>
            <w:vAlign w:val="center"/>
          </w:tcPr>
          <w:p w14:paraId="264E5551">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lang w:val="en-US" w:eastAsia="zh-CN"/>
              </w:rPr>
              <w:t>明确主要成果形式、深度及时间进度计划，质量管理措施及实施方法合理、详细、实际可行，</w:t>
            </w:r>
            <w:r>
              <w:rPr>
                <w:rFonts w:hint="eastAsia" w:ascii="宋体" w:hAnsi="宋体" w:eastAsia="宋体" w:cs="宋体"/>
                <w:b w:val="0"/>
                <w:bCs w:val="0"/>
                <w:kern w:val="2"/>
                <w:sz w:val="21"/>
                <w:szCs w:val="24"/>
                <w:highlight w:val="none"/>
              </w:rPr>
              <w:t>在[</w:t>
            </w:r>
            <w:r>
              <w:rPr>
                <w:rFonts w:hint="eastAsia" w:ascii="宋体" w:hAnsi="宋体" w:eastAsia="宋体" w:cs="宋体"/>
                <w:b w:val="0"/>
                <w:bCs w:val="0"/>
                <w:kern w:val="2"/>
                <w:sz w:val="21"/>
                <w:szCs w:val="24"/>
                <w:highlight w:val="none"/>
                <w:lang w:val="en-US" w:eastAsia="zh-CN"/>
              </w:rPr>
              <w:t>5.6,8</w:t>
            </w:r>
            <w:r>
              <w:rPr>
                <w:rFonts w:hint="eastAsia" w:ascii="宋体" w:hAnsi="宋体" w:eastAsia="宋体" w:cs="宋体"/>
                <w:b w:val="0"/>
                <w:bCs w:val="0"/>
                <w:kern w:val="2"/>
                <w:sz w:val="21"/>
                <w:szCs w:val="24"/>
                <w:highlight w:val="none"/>
              </w:rPr>
              <w:t>]区间内评分，缺少相应内容的评审要点不得分。</w:t>
            </w:r>
          </w:p>
        </w:tc>
        <w:tc>
          <w:tcPr>
            <w:tcW w:w="801" w:type="dxa"/>
            <w:shd w:val="clear" w:color="auto" w:fill="auto"/>
            <w:vAlign w:val="center"/>
          </w:tcPr>
          <w:p w14:paraId="5E2329B4">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8</w:t>
            </w:r>
          </w:p>
        </w:tc>
      </w:tr>
      <w:tr w14:paraId="00A05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40EF2A3E">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2193E2AD">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zh-CN"/>
              </w:rPr>
            </w:pPr>
            <w:r>
              <w:rPr>
                <w:rFonts w:hint="eastAsia" w:ascii="宋体" w:hAnsi="宋体" w:eastAsia="宋体" w:cs="宋体"/>
                <w:b w:val="0"/>
                <w:bCs w:val="0"/>
                <w:kern w:val="2"/>
                <w:sz w:val="21"/>
                <w:szCs w:val="24"/>
                <w:highlight w:val="none"/>
              </w:rPr>
              <w:t xml:space="preserve">项目重难点分析 </w:t>
            </w:r>
          </w:p>
        </w:tc>
        <w:tc>
          <w:tcPr>
            <w:tcW w:w="5807" w:type="dxa"/>
            <w:shd w:val="clear" w:color="auto" w:fill="auto"/>
            <w:vAlign w:val="center"/>
          </w:tcPr>
          <w:p w14:paraId="6B53D15F">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lang w:val="en-US" w:eastAsia="zh-CN"/>
              </w:rPr>
              <w:t>对项目实施的关键内容、重难点进行阐述，并提出详细的重难关键环节解决方案及控制措施，</w:t>
            </w:r>
            <w:r>
              <w:rPr>
                <w:rFonts w:hint="eastAsia" w:ascii="宋体" w:hAnsi="宋体" w:eastAsia="宋体" w:cs="宋体"/>
                <w:b w:val="0"/>
                <w:bCs w:val="0"/>
                <w:kern w:val="2"/>
                <w:sz w:val="21"/>
                <w:szCs w:val="24"/>
                <w:highlight w:val="none"/>
              </w:rPr>
              <w:t>在[</w:t>
            </w:r>
            <w:r>
              <w:rPr>
                <w:rFonts w:hint="eastAsia" w:ascii="宋体" w:hAnsi="宋体" w:eastAsia="宋体" w:cs="宋体"/>
                <w:b w:val="0"/>
                <w:bCs w:val="0"/>
                <w:kern w:val="2"/>
                <w:sz w:val="21"/>
                <w:szCs w:val="24"/>
                <w:highlight w:val="none"/>
                <w:lang w:val="en-US" w:eastAsia="zh-CN"/>
              </w:rPr>
              <w:t>4.2</w:t>
            </w:r>
            <w:r>
              <w:rPr>
                <w:rFonts w:hint="eastAsia" w:ascii="宋体" w:hAnsi="宋体" w:eastAsia="宋体" w:cs="宋体"/>
                <w:b w:val="0"/>
                <w:bCs w:val="0"/>
                <w:kern w:val="2"/>
                <w:sz w:val="21"/>
                <w:szCs w:val="24"/>
                <w:highlight w:val="none"/>
              </w:rPr>
              <w:t>,</w:t>
            </w:r>
            <w:r>
              <w:rPr>
                <w:rFonts w:hint="eastAsia" w:ascii="宋体" w:hAnsi="宋体" w:eastAsia="宋体" w:cs="宋体"/>
                <w:b w:val="0"/>
                <w:bCs w:val="0"/>
                <w:kern w:val="2"/>
                <w:sz w:val="21"/>
                <w:szCs w:val="24"/>
                <w:highlight w:val="none"/>
                <w:lang w:val="en-US" w:eastAsia="zh-CN"/>
              </w:rPr>
              <w:t>6</w:t>
            </w:r>
            <w:r>
              <w:rPr>
                <w:rFonts w:hint="eastAsia" w:ascii="宋体" w:hAnsi="宋体" w:eastAsia="宋体" w:cs="宋体"/>
                <w:b w:val="0"/>
                <w:bCs w:val="0"/>
                <w:kern w:val="2"/>
                <w:sz w:val="21"/>
                <w:szCs w:val="24"/>
                <w:highlight w:val="none"/>
              </w:rPr>
              <w:t>]区间内评分，缺少相应内容的评审要点不得分。</w:t>
            </w:r>
          </w:p>
        </w:tc>
        <w:tc>
          <w:tcPr>
            <w:tcW w:w="801" w:type="dxa"/>
            <w:shd w:val="clear" w:color="auto" w:fill="auto"/>
            <w:vAlign w:val="center"/>
          </w:tcPr>
          <w:p w14:paraId="0494AED5">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6</w:t>
            </w:r>
          </w:p>
        </w:tc>
      </w:tr>
      <w:tr w14:paraId="399E4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14:paraId="7D1A725C">
            <w:pPr>
              <w:pageBreakBefore w:val="0"/>
              <w:kinsoku/>
              <w:overflowPunct/>
              <w:bidi w:val="0"/>
              <w:spacing w:line="360" w:lineRule="auto"/>
              <w:ind w:right="-101" w:rightChars="-48"/>
              <w:jc w:val="center"/>
              <w:rPr>
                <w:rFonts w:ascii="宋体" w:hAnsi="宋体" w:cs="宋体"/>
                <w:highlight w:val="none"/>
              </w:rPr>
            </w:pPr>
          </w:p>
        </w:tc>
        <w:tc>
          <w:tcPr>
            <w:tcW w:w="1759" w:type="dxa"/>
            <w:shd w:val="clear" w:color="auto" w:fill="auto"/>
            <w:vAlign w:val="center"/>
          </w:tcPr>
          <w:p w14:paraId="5433CFA5">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合理化建议</w:t>
            </w:r>
          </w:p>
          <w:p w14:paraId="0D263A2E">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rPr>
              <w:t>及增值服务</w:t>
            </w:r>
          </w:p>
        </w:tc>
        <w:tc>
          <w:tcPr>
            <w:tcW w:w="5807" w:type="dxa"/>
            <w:shd w:val="clear" w:color="auto" w:fill="auto"/>
            <w:vAlign w:val="center"/>
          </w:tcPr>
          <w:p w14:paraId="080E16FD">
            <w:pPr>
              <w:pStyle w:val="2"/>
              <w:keepNext w:val="0"/>
              <w:keepLines w:val="0"/>
              <w:pageBreakBefore w:val="0"/>
              <w:kinsoku/>
              <w:overflowPunct/>
              <w:bidi w:val="0"/>
              <w:spacing w:before="0" w:after="0" w:line="360" w:lineRule="auto"/>
              <w:ind w:right="-101" w:rightChars="-48"/>
              <w:rPr>
                <w:rFonts w:hint="eastAsia" w:ascii="宋体" w:hAnsi="宋体" w:eastAsia="宋体" w:cs="宋体"/>
                <w:b w:val="0"/>
                <w:bCs w:val="0"/>
                <w:kern w:val="2"/>
                <w:sz w:val="21"/>
                <w:szCs w:val="24"/>
                <w:highlight w:val="none"/>
              </w:rPr>
            </w:pPr>
            <w:r>
              <w:rPr>
                <w:rFonts w:hint="eastAsia" w:ascii="宋体" w:hAnsi="宋体" w:eastAsia="宋体" w:cs="宋体"/>
                <w:b w:val="0"/>
                <w:bCs w:val="0"/>
                <w:kern w:val="2"/>
                <w:sz w:val="21"/>
                <w:szCs w:val="24"/>
                <w:highlight w:val="none"/>
                <w:lang w:val="en-US" w:eastAsia="zh-CN"/>
              </w:rPr>
              <w:t>对本项目的建设性意见与建议，每有一条得1分，本项最高得4分</w:t>
            </w:r>
            <w:r>
              <w:rPr>
                <w:rFonts w:hint="eastAsia" w:ascii="宋体" w:hAnsi="宋体" w:eastAsia="宋体" w:cs="宋体"/>
                <w:b w:val="0"/>
                <w:bCs w:val="0"/>
                <w:kern w:val="2"/>
                <w:sz w:val="21"/>
                <w:szCs w:val="24"/>
                <w:highlight w:val="none"/>
              </w:rPr>
              <w:t>。</w:t>
            </w:r>
          </w:p>
        </w:tc>
        <w:tc>
          <w:tcPr>
            <w:tcW w:w="801" w:type="dxa"/>
            <w:vAlign w:val="center"/>
          </w:tcPr>
          <w:p w14:paraId="3AAC48BC">
            <w:pPr>
              <w:pStyle w:val="2"/>
              <w:keepNext w:val="0"/>
              <w:keepLines w:val="0"/>
              <w:pageBreakBefore w:val="0"/>
              <w:kinsoku/>
              <w:overflowPunct/>
              <w:bidi w:val="0"/>
              <w:spacing w:before="0" w:after="0" w:line="360" w:lineRule="auto"/>
              <w:ind w:right="-101" w:rightChars="-48"/>
              <w:jc w:val="center"/>
              <w:rPr>
                <w:rFonts w:hint="eastAsia" w:ascii="宋体" w:hAnsi="宋体" w:eastAsia="宋体" w:cs="宋体"/>
                <w:b w:val="0"/>
                <w:bCs w:val="0"/>
                <w:kern w:val="2"/>
                <w:sz w:val="21"/>
                <w:szCs w:val="24"/>
                <w:highlight w:val="none"/>
                <w:lang w:val="en-US" w:eastAsia="zh-CN"/>
              </w:rPr>
            </w:pPr>
            <w:r>
              <w:rPr>
                <w:rFonts w:hint="eastAsia" w:ascii="宋体" w:hAnsi="宋体" w:eastAsia="宋体" w:cs="宋体"/>
                <w:b w:val="0"/>
                <w:bCs w:val="0"/>
                <w:kern w:val="2"/>
                <w:sz w:val="21"/>
                <w:szCs w:val="24"/>
                <w:highlight w:val="none"/>
                <w:lang w:val="en-US" w:eastAsia="zh-CN"/>
              </w:rPr>
              <w:t>4</w:t>
            </w:r>
          </w:p>
        </w:tc>
      </w:tr>
      <w:tr w14:paraId="56E83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vAlign w:val="center"/>
          </w:tcPr>
          <w:p w14:paraId="67C4EF9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报价</w:t>
            </w:r>
          </w:p>
          <w:p w14:paraId="05EB48F0">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部分</w:t>
            </w:r>
          </w:p>
          <w:p w14:paraId="2D53142F">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lang w:val="en-US" w:eastAsia="zh-CN"/>
              </w:rPr>
              <w:t>30</w:t>
            </w:r>
            <w:r>
              <w:rPr>
                <w:rFonts w:hint="eastAsia" w:ascii="宋体" w:hAnsi="宋体" w:cs="宋体"/>
                <w:highlight w:val="none"/>
              </w:rPr>
              <w:t>分</w:t>
            </w:r>
          </w:p>
        </w:tc>
        <w:tc>
          <w:tcPr>
            <w:tcW w:w="1759" w:type="dxa"/>
            <w:vAlign w:val="center"/>
          </w:tcPr>
          <w:p w14:paraId="01F77D2B">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评选基准价</w:t>
            </w:r>
          </w:p>
          <w:p w14:paraId="3D9CD85B">
            <w:pPr>
              <w:pageBreakBefore w:val="0"/>
              <w:kinsoku/>
              <w:overflowPunct/>
              <w:bidi w:val="0"/>
              <w:spacing w:line="360" w:lineRule="auto"/>
              <w:ind w:right="-101" w:rightChars="-48"/>
              <w:jc w:val="center"/>
              <w:rPr>
                <w:rFonts w:ascii="宋体" w:hAnsi="宋体" w:cs="宋体"/>
                <w:bCs/>
                <w:highlight w:val="none"/>
              </w:rPr>
            </w:pPr>
            <w:r>
              <w:rPr>
                <w:rFonts w:hint="eastAsia" w:ascii="宋体" w:hAnsi="宋体" w:cs="宋体"/>
                <w:highlight w:val="none"/>
              </w:rPr>
              <w:t>计算方法</w:t>
            </w:r>
          </w:p>
        </w:tc>
        <w:tc>
          <w:tcPr>
            <w:tcW w:w="6608" w:type="dxa"/>
            <w:gridSpan w:val="2"/>
            <w:vAlign w:val="center"/>
          </w:tcPr>
          <w:p w14:paraId="11BB39C1">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1、计算评选基准价</w:t>
            </w:r>
          </w:p>
          <w:p w14:paraId="5ABFB0B0">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以有效参选文件的有效评选价</w:t>
            </w:r>
            <w:r>
              <w:rPr>
                <w:rFonts w:hint="eastAsia" w:ascii="宋体" w:hAnsi="宋体" w:cs="宋体"/>
                <w:highlight w:val="none"/>
                <w:lang w:eastAsia="zh-CN"/>
              </w:rPr>
              <w:t>（即报价系数，下同）</w:t>
            </w:r>
            <w:r>
              <w:rPr>
                <w:rFonts w:hint="eastAsia" w:ascii="宋体" w:hAnsi="宋体" w:cs="宋体"/>
                <w:highlight w:val="none"/>
              </w:rPr>
              <w:t>算术平均值为A，评选基准价=A。</w:t>
            </w:r>
          </w:p>
          <w:p w14:paraId="1A0506BF">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计算算术平均值A时，所有有效评选价数量＜5家时，取所有有效评选价的算术平均值；若5家≤所有有效评选价数量＜9家时，去掉其中的一个最高价和一个最低价后取算术平均值；若所有有效评选价数量≥9家时，去掉两个最高和两个最低的报价后取算术平均值。报价得分保留小数点后两位，小数点第三位“四舍五入”。</w:t>
            </w:r>
          </w:p>
          <w:p w14:paraId="0C66B14B">
            <w:pPr>
              <w:pageBreakBefore w:val="0"/>
              <w:kinsoku/>
              <w:overflowPunct/>
              <w:bidi w:val="0"/>
              <w:spacing w:line="360" w:lineRule="auto"/>
              <w:ind w:right="-101" w:rightChars="-48"/>
              <w:rPr>
                <w:rFonts w:ascii="宋体" w:hAnsi="宋体" w:cs="宋体"/>
                <w:highlight w:val="none"/>
              </w:rPr>
            </w:pPr>
            <w:r>
              <w:rPr>
                <w:rFonts w:hint="eastAsia" w:ascii="宋体" w:hAnsi="宋体" w:cs="宋体"/>
                <w:b/>
                <w:szCs w:val="21"/>
                <w:highlight w:val="none"/>
              </w:rPr>
              <w:t>评选委员会在评选报告上签字后，评选基准价不因招投标当事人质疑、投诉、复议以及其他任何情形而改变，但评选过程中的计算错误可作调整。</w:t>
            </w:r>
          </w:p>
        </w:tc>
      </w:tr>
      <w:tr w14:paraId="2D433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08" w:type="dxa"/>
            <w:vMerge w:val="continue"/>
            <w:vAlign w:val="center"/>
          </w:tcPr>
          <w:p w14:paraId="0AD2AD14">
            <w:pPr>
              <w:pageBreakBefore w:val="0"/>
              <w:kinsoku/>
              <w:overflowPunct/>
              <w:bidi w:val="0"/>
              <w:spacing w:line="360" w:lineRule="auto"/>
              <w:ind w:right="-101" w:rightChars="-48"/>
              <w:jc w:val="center"/>
              <w:rPr>
                <w:rFonts w:ascii="宋体" w:hAnsi="宋体" w:cs="宋体"/>
                <w:highlight w:val="none"/>
              </w:rPr>
            </w:pPr>
          </w:p>
        </w:tc>
        <w:tc>
          <w:tcPr>
            <w:tcW w:w="1759" w:type="dxa"/>
            <w:vAlign w:val="center"/>
          </w:tcPr>
          <w:p w14:paraId="61A3AC8D">
            <w:pPr>
              <w:pageBreakBefore w:val="0"/>
              <w:kinsoku/>
              <w:overflowPunct/>
              <w:bidi w:val="0"/>
              <w:spacing w:line="360" w:lineRule="auto"/>
              <w:ind w:right="-101" w:rightChars="-48"/>
              <w:jc w:val="center"/>
              <w:rPr>
                <w:rFonts w:ascii="宋体" w:hAnsi="宋体" w:cs="宋体"/>
                <w:bCs/>
                <w:highlight w:val="none"/>
              </w:rPr>
            </w:pPr>
            <w:r>
              <w:rPr>
                <w:rFonts w:hint="eastAsia" w:ascii="宋体" w:hAnsi="宋体" w:cs="宋体"/>
                <w:highlight w:val="none"/>
              </w:rPr>
              <w:t>偏差率计算公式</w:t>
            </w:r>
          </w:p>
        </w:tc>
        <w:tc>
          <w:tcPr>
            <w:tcW w:w="6608" w:type="dxa"/>
            <w:gridSpan w:val="2"/>
            <w:vAlign w:val="center"/>
          </w:tcPr>
          <w:p w14:paraId="5311AB7B">
            <w:pPr>
              <w:pageBreakBefore w:val="0"/>
              <w:kinsoku/>
              <w:overflowPunct/>
              <w:bidi w:val="0"/>
              <w:spacing w:line="360" w:lineRule="auto"/>
              <w:ind w:right="-101" w:rightChars="-48"/>
              <w:rPr>
                <w:rFonts w:ascii="宋体" w:hAnsi="宋体" w:cs="宋体"/>
                <w:bCs/>
                <w:highlight w:val="none"/>
              </w:rPr>
            </w:pPr>
            <w:r>
              <w:rPr>
                <w:rFonts w:hint="eastAsia" w:ascii="宋体" w:hAnsi="宋体" w:cs="宋体"/>
                <w:highlight w:val="none"/>
              </w:rPr>
              <w:t>偏差率=100%×（参选人报价－评选基准价）/评选基准价</w:t>
            </w:r>
          </w:p>
        </w:tc>
      </w:tr>
      <w:tr w14:paraId="135D6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08" w:type="dxa"/>
            <w:vMerge w:val="continue"/>
            <w:vAlign w:val="center"/>
          </w:tcPr>
          <w:p w14:paraId="5BA2827E">
            <w:pPr>
              <w:pageBreakBefore w:val="0"/>
              <w:kinsoku/>
              <w:overflowPunct/>
              <w:bidi w:val="0"/>
              <w:spacing w:line="360" w:lineRule="auto"/>
              <w:ind w:right="-101" w:rightChars="-48"/>
              <w:jc w:val="center"/>
              <w:rPr>
                <w:rFonts w:ascii="宋体" w:hAnsi="宋体" w:cs="宋体"/>
                <w:highlight w:val="none"/>
              </w:rPr>
            </w:pPr>
          </w:p>
        </w:tc>
        <w:tc>
          <w:tcPr>
            <w:tcW w:w="8367" w:type="dxa"/>
            <w:gridSpan w:val="3"/>
            <w:vAlign w:val="center"/>
          </w:tcPr>
          <w:p w14:paraId="7B053EE9">
            <w:pPr>
              <w:pageBreakBefore w:val="0"/>
              <w:kinsoku/>
              <w:overflowPunct/>
              <w:bidi w:val="0"/>
              <w:spacing w:line="360" w:lineRule="auto"/>
              <w:ind w:right="-101" w:rightChars="-48"/>
              <w:rPr>
                <w:highlight w:val="none"/>
              </w:rPr>
            </w:pPr>
            <w:r>
              <w:rPr>
                <w:rFonts w:hint="eastAsia" w:ascii="宋体" w:hAnsi="宋体" w:cs="宋体"/>
                <w:highlight w:val="none"/>
              </w:rPr>
              <w:t>2、报价得分计算公式示例：</w:t>
            </w:r>
          </w:p>
          <w:p w14:paraId="4FB1F9EE">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（1）如果参选人的报价＞评选基准价，则报价得分=</w:t>
            </w:r>
            <w:r>
              <w:rPr>
                <w:rFonts w:hint="eastAsia" w:ascii="宋体" w:hAnsi="宋体" w:cs="宋体"/>
                <w:highlight w:val="none"/>
                <w:lang w:val="en-US" w:eastAsia="zh-CN"/>
              </w:rPr>
              <w:t>3</w:t>
            </w:r>
            <w:r>
              <w:rPr>
                <w:rFonts w:hint="eastAsia" w:ascii="宋体" w:hAnsi="宋体" w:cs="宋体"/>
                <w:highlight w:val="none"/>
              </w:rPr>
              <w:t>0-偏差率×100×E1；</w:t>
            </w:r>
          </w:p>
          <w:p w14:paraId="5A7C33F0">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（2）如果参选人的报价≤评选基准价，则报价得分=</w:t>
            </w:r>
            <w:r>
              <w:rPr>
                <w:rFonts w:hint="eastAsia" w:ascii="宋体" w:hAnsi="宋体" w:cs="宋体"/>
                <w:highlight w:val="none"/>
                <w:lang w:val="en-US" w:eastAsia="zh-CN"/>
              </w:rPr>
              <w:t>3</w:t>
            </w:r>
            <w:r>
              <w:rPr>
                <w:rFonts w:hint="eastAsia" w:ascii="宋体" w:hAnsi="宋体" w:cs="宋体"/>
                <w:highlight w:val="none"/>
              </w:rPr>
              <w:t>0+偏差率×100×E2；</w:t>
            </w:r>
          </w:p>
          <w:p w14:paraId="2FB98030">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其中：E1是评选价每高于评选基准价一个百分点的扣分值；E2是评选价每低于评选基准价一个百分点的扣分值。E1=0.9，E2=0.6，扣完为止。评分计算过程中的偏差率和分值计算结果均保留两位小数，第三位四舍五入。</w:t>
            </w:r>
          </w:p>
        </w:tc>
      </w:tr>
      <w:tr w14:paraId="03A8F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8" w:type="dxa"/>
            <w:vAlign w:val="center"/>
          </w:tcPr>
          <w:p w14:paraId="5148BEB7">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备注</w:t>
            </w:r>
          </w:p>
        </w:tc>
        <w:tc>
          <w:tcPr>
            <w:tcW w:w="8367" w:type="dxa"/>
            <w:gridSpan w:val="3"/>
            <w:vAlign w:val="center"/>
          </w:tcPr>
          <w:p w14:paraId="043DF38A">
            <w:pPr>
              <w:pageBreakBefore w:val="0"/>
              <w:kinsoku/>
              <w:overflowPunct/>
              <w:bidi w:val="0"/>
              <w:spacing w:line="360" w:lineRule="auto"/>
              <w:ind w:right="-101" w:rightChars="-48"/>
              <w:rPr>
                <w:rFonts w:ascii="宋体" w:hAnsi="宋体" w:cs="宋体"/>
                <w:b/>
                <w:bCs/>
                <w:highlight w:val="none"/>
              </w:rPr>
            </w:pPr>
            <w:r>
              <w:rPr>
                <w:rFonts w:hint="eastAsia" w:ascii="宋体" w:hAnsi="宋体" w:cs="宋体"/>
                <w:b/>
                <w:bCs/>
                <w:highlight w:val="none"/>
              </w:rPr>
              <w:t>技术部分打分：</w:t>
            </w:r>
          </w:p>
          <w:p w14:paraId="2ECD1C06">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1、评选委员会需根据标书阐述情况在规定分值内打分。</w:t>
            </w:r>
          </w:p>
          <w:p w14:paraId="6FDAF319">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2、各参选人技术部分得分为评委打分的平均值，平均值 “四舍五入”保留小数点后两位。</w:t>
            </w:r>
          </w:p>
        </w:tc>
      </w:tr>
    </w:tbl>
    <w:p w14:paraId="2457DC0D">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九、中选人的确定</w:t>
      </w:r>
    </w:p>
    <w:p w14:paraId="575C9B0F">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14:paraId="78EE0AFC">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评委会汇总各评委评分后，推荐得分最高的三位参选人为中选候选人。如出现相同最高分，按参选报价低的优先推荐为中选候选人；如得分且参选报价相同的，由评委会根据技术指标优劣，优者优先推荐为中选候选人；如得分、参选报价且技术指标优劣均相同的，抽签确定中选候选人。抽签道具为乒乓球，在监管人员监督下，比选人根据得分、参选报价且技术指标优劣相同的参选人数量准备好同等数量且数值不同的乒乓球，并宣布抽到乒乓球数值最小的即为中选候选人。抽签代表为本项目参选文件中注明的法定代表人或授权代理人，抽签顺序为参选单位递交参选文件登记的先后顺序。</w:t>
      </w:r>
    </w:p>
    <w:p w14:paraId="1FFF7042">
      <w:pPr>
        <w:pageBreakBefore w:val="0"/>
        <w:kinsoku/>
        <w:overflowPunct/>
        <w:bidi w:val="0"/>
        <w:spacing w:line="360" w:lineRule="auto"/>
        <w:ind w:right="-101" w:rightChars="-48" w:firstLine="570"/>
        <w:rPr>
          <w:rFonts w:ascii="宋体" w:hAnsi="宋体" w:cs="宋体"/>
          <w:b/>
          <w:sz w:val="24"/>
          <w:highlight w:val="none"/>
        </w:rPr>
      </w:pPr>
      <w:r>
        <w:rPr>
          <w:rFonts w:hint="eastAsia" w:ascii="宋体" w:hAnsi="宋体" w:cs="宋体"/>
          <w:b/>
          <w:sz w:val="24"/>
          <w:highlight w:val="none"/>
        </w:rPr>
        <w:t>宣布评选结果。</w:t>
      </w:r>
    </w:p>
    <w:p w14:paraId="77EA29D3">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十、注意事项</w:t>
      </w:r>
    </w:p>
    <w:p w14:paraId="426449D0">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1、在参选、比选时间，参选人不得向评委询问情况，不得进行旨在影响评选结果的活动。</w:t>
      </w:r>
    </w:p>
    <w:p w14:paraId="1FE82239">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2、评委会不得向参选人解释落标原因。</w:t>
      </w:r>
    </w:p>
    <w:p w14:paraId="3A66101E">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3、在参选、评选过程中，如果参选人联合故意抬高报价或出现其他不正当行为，比选人有权中止参选或评选。</w:t>
      </w:r>
    </w:p>
    <w:p w14:paraId="2938F0B8">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14:paraId="3905A243">
      <w:pPr>
        <w:pageBreakBefore w:val="0"/>
        <w:kinsoku/>
        <w:overflowPunct/>
        <w:bidi w:val="0"/>
        <w:spacing w:line="360" w:lineRule="auto"/>
        <w:ind w:right="-101" w:rightChars="-48" w:firstLine="570"/>
        <w:rPr>
          <w:rFonts w:ascii="宋体" w:hAnsi="宋体" w:cs="宋体"/>
          <w:b/>
          <w:bCs/>
          <w:sz w:val="24"/>
          <w:highlight w:val="none"/>
        </w:rPr>
      </w:pPr>
      <w:r>
        <w:rPr>
          <w:rFonts w:hint="eastAsia" w:ascii="宋体" w:hAnsi="宋体" w:cs="宋体"/>
          <w:b/>
          <w:bCs/>
          <w:sz w:val="24"/>
          <w:highlight w:val="none"/>
        </w:rPr>
        <w:t>十一、合同授予</w:t>
      </w:r>
    </w:p>
    <w:p w14:paraId="231A3886">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1、中选候选人公示</w:t>
      </w:r>
    </w:p>
    <w:p w14:paraId="3939DDF2">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比选人在收到评选报告之日起3日内，在轨道公司官网公示中选候选人，公示期不得少于3天。</w:t>
      </w:r>
    </w:p>
    <w:p w14:paraId="153D615D">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2、评选结果异议</w:t>
      </w:r>
    </w:p>
    <w:p w14:paraId="1E4FA04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参选人或者其他利害关系人对评选结果有异议的，应当在中选候选人公示期间提出。比选人将在收到异议之日起 3 日内作出答复；作出答复前，将暂停比选参选活动。</w:t>
      </w:r>
    </w:p>
    <w:p w14:paraId="7DE09627">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3、中选通知书</w:t>
      </w:r>
    </w:p>
    <w:p w14:paraId="1F75BA6D">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在本项目的参选有效期内，比选人以书面形式向中选人发出中选通知书。</w:t>
      </w:r>
    </w:p>
    <w:p w14:paraId="10254FB9">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4、履约保证金</w:t>
      </w:r>
    </w:p>
    <w:p w14:paraId="1F9328FB">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免收。</w:t>
      </w:r>
    </w:p>
    <w:p w14:paraId="2D6DE76A">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5、签订合同</w:t>
      </w:r>
    </w:p>
    <w:p w14:paraId="418EF414">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14:paraId="07DACF4C">
      <w:pPr>
        <w:pageBreakBefore w:val="0"/>
        <w:kinsoku/>
        <w:overflowPunct/>
        <w:bidi w:val="0"/>
        <w:spacing w:line="360" w:lineRule="auto"/>
        <w:ind w:right="-101" w:rightChars="-48" w:firstLine="570"/>
        <w:rPr>
          <w:rFonts w:ascii="宋体" w:hAnsi="宋体" w:cs="宋体"/>
          <w:sz w:val="24"/>
          <w:highlight w:val="none"/>
        </w:rPr>
      </w:pPr>
      <w:r>
        <w:rPr>
          <w:rFonts w:hint="eastAsia" w:ascii="宋体" w:hAnsi="宋体" w:cs="宋体"/>
          <w:sz w:val="24"/>
          <w:highlight w:val="none"/>
        </w:rPr>
        <w:t>发出中选通知书后，比选人无正当理由拒签合同，或者在签订合同时向中选人提出附加条件的，给中选人造成损失的，应当赔偿损失。</w:t>
      </w:r>
    </w:p>
    <w:p w14:paraId="0AFD5E9A">
      <w:pPr>
        <w:pageBreakBefore w:val="0"/>
        <w:kinsoku/>
        <w:overflowPunct/>
        <w:bidi w:val="0"/>
        <w:spacing w:line="360" w:lineRule="auto"/>
        <w:ind w:right="-101" w:rightChars="-48"/>
        <w:jc w:val="center"/>
        <w:outlineLvl w:val="0"/>
        <w:rPr>
          <w:rFonts w:ascii="宋体" w:hAnsi="宋体" w:cs="宋体"/>
          <w:b/>
          <w:sz w:val="32"/>
          <w:szCs w:val="32"/>
          <w:highlight w:val="none"/>
        </w:rPr>
      </w:pPr>
      <w:bookmarkStart w:id="97" w:name="_Toc30950"/>
      <w:bookmarkStart w:id="98" w:name="_Toc26011"/>
      <w:bookmarkStart w:id="99" w:name="_Toc1052"/>
      <w:bookmarkStart w:id="100" w:name="_Toc2576"/>
      <w:bookmarkStart w:id="101" w:name="_Toc26394"/>
      <w:r>
        <w:rPr>
          <w:rFonts w:hint="eastAsia" w:ascii="宋体" w:hAnsi="宋体" w:cs="宋体"/>
          <w:b/>
          <w:sz w:val="32"/>
          <w:szCs w:val="32"/>
          <w:highlight w:val="none"/>
        </w:rPr>
        <w:br w:type="page"/>
      </w:r>
      <w:r>
        <w:rPr>
          <w:rFonts w:hint="eastAsia" w:ascii="宋体" w:hAnsi="宋体" w:cs="宋体"/>
          <w:b/>
          <w:sz w:val="32"/>
          <w:szCs w:val="32"/>
          <w:highlight w:val="none"/>
        </w:rPr>
        <w:t>第五章  合同条款</w:t>
      </w:r>
      <w:bookmarkEnd w:id="97"/>
      <w:bookmarkEnd w:id="98"/>
      <w:bookmarkEnd w:id="99"/>
      <w:bookmarkEnd w:id="100"/>
      <w:bookmarkEnd w:id="101"/>
      <w:bookmarkStart w:id="102" w:name="_Toc11740"/>
      <w:bookmarkStart w:id="103" w:name="_Toc23323"/>
      <w:bookmarkStart w:id="104" w:name="_Toc28124"/>
      <w:bookmarkStart w:id="105" w:name="_Toc11580"/>
    </w:p>
    <w:p w14:paraId="5B79F2C8">
      <w:pPr>
        <w:pStyle w:val="78"/>
        <w:pageBreakBefore w:val="0"/>
        <w:kinsoku/>
        <w:overflowPunct/>
        <w:bidi w:val="0"/>
        <w:spacing w:line="360" w:lineRule="auto"/>
        <w:ind w:right="-101" w:rightChars="-48"/>
        <w:rPr>
          <w:highlight w:val="none"/>
          <w:lang w:eastAsia="zh-CN"/>
        </w:rPr>
      </w:pPr>
    </w:p>
    <w:p w14:paraId="4D2B8A4B">
      <w:pPr>
        <w:pageBreakBefore w:val="0"/>
        <w:kinsoku/>
        <w:overflowPunct/>
        <w:bidi w:val="0"/>
        <w:spacing w:line="360" w:lineRule="auto"/>
        <w:ind w:right="-101" w:rightChars="-48"/>
        <w:jc w:val="center"/>
        <w:rPr>
          <w:rFonts w:ascii="宋体" w:hAnsi="宋体" w:cs="宋体"/>
          <w:b/>
          <w:spacing w:val="60"/>
          <w:sz w:val="48"/>
          <w:szCs w:val="48"/>
          <w:highlight w:val="none"/>
        </w:rPr>
      </w:pPr>
      <w:bookmarkStart w:id="106" w:name="_Toc14308_WPSOffice_Level2"/>
      <w:bookmarkStart w:id="107" w:name="_Toc32151_WPSOffice_Level2"/>
    </w:p>
    <w:bookmarkEnd w:id="106"/>
    <w:bookmarkEnd w:id="107"/>
    <w:p w14:paraId="2162A51A">
      <w:pPr>
        <w:pageBreakBefore w:val="0"/>
        <w:kinsoku/>
        <w:overflowPunct/>
        <w:autoSpaceDE w:val="0"/>
        <w:autoSpaceDN w:val="0"/>
        <w:bidi w:val="0"/>
        <w:adjustRightInd w:val="0"/>
        <w:spacing w:line="360" w:lineRule="auto"/>
        <w:ind w:right="-101" w:rightChars="-48"/>
        <w:jc w:val="center"/>
        <w:rPr>
          <w:rFonts w:ascii="宋体" w:hAnsi="宋体" w:cs="宋体"/>
          <w:kern w:val="0"/>
          <w:sz w:val="24"/>
          <w:highlight w:val="none"/>
        </w:rPr>
      </w:pPr>
      <w:r>
        <w:rPr>
          <w:rFonts w:hint="eastAsia" w:ascii="宋体" w:hAnsi="宋体" w:cs="宋体"/>
          <w:b/>
          <w:bCs/>
          <w:sz w:val="52"/>
          <w:szCs w:val="52"/>
          <w:highlight w:val="none"/>
        </w:rPr>
        <w:t>南通城市轨道交通集团有限公司2025-2027年度招标代理和造价咨询服务框架协议采购项目</w:t>
      </w:r>
      <w:r>
        <w:rPr>
          <w:rFonts w:hint="eastAsia" w:ascii="宋体" w:hAnsi="宋体" w:cs="宋体"/>
          <w:b/>
          <w:bCs/>
          <w:kern w:val="0"/>
          <w:sz w:val="52"/>
          <w:szCs w:val="52"/>
          <w:highlight w:val="none"/>
        </w:rPr>
        <w:t>合同</w:t>
      </w:r>
    </w:p>
    <w:p w14:paraId="5738A177">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52BBB6F1">
      <w:pPr>
        <w:pageBreakBefore w:val="0"/>
        <w:kinsoku/>
        <w:overflowPunct/>
        <w:autoSpaceDE w:val="0"/>
        <w:autoSpaceDN w:val="0"/>
        <w:bidi w:val="0"/>
        <w:adjustRightInd w:val="0"/>
        <w:spacing w:line="360" w:lineRule="auto"/>
        <w:ind w:right="-101" w:rightChars="-48"/>
        <w:jc w:val="center"/>
        <w:rPr>
          <w:rFonts w:ascii="宋体" w:hAnsi="宋体" w:cs="宋体"/>
          <w:kern w:val="21"/>
          <w:sz w:val="32"/>
          <w:szCs w:val="32"/>
          <w:highlight w:val="none"/>
        </w:rPr>
      </w:pPr>
      <w:r>
        <w:rPr>
          <w:rFonts w:hint="eastAsia" w:ascii="宋体" w:hAnsi="宋体" w:cs="宋体"/>
          <w:kern w:val="21"/>
          <w:sz w:val="32"/>
          <w:szCs w:val="32"/>
          <w:highlight w:val="none"/>
        </w:rPr>
        <w:t>合同编号：</w:t>
      </w:r>
    </w:p>
    <w:p w14:paraId="417DF5DC">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07FCBF7D">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394CA5C9">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434765AE">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79611A2F">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3041F735">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11D8AC76">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1A796A73">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0BDC5987">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7D4FFB5E">
      <w:pPr>
        <w:pageBreakBefore w:val="0"/>
        <w:kinsoku/>
        <w:overflowPunct/>
        <w:autoSpaceDE w:val="0"/>
        <w:autoSpaceDN w:val="0"/>
        <w:bidi w:val="0"/>
        <w:adjustRightInd w:val="0"/>
        <w:spacing w:line="360" w:lineRule="auto"/>
        <w:ind w:right="-101" w:rightChars="-48" w:firstLine="1606" w:firstLineChars="500"/>
        <w:rPr>
          <w:rFonts w:ascii="宋体" w:hAnsi="宋体" w:cs="宋体"/>
          <w:kern w:val="21"/>
          <w:sz w:val="24"/>
          <w:highlight w:val="none"/>
        </w:rPr>
      </w:pPr>
      <w:bookmarkStart w:id="108" w:name="_Toc22971"/>
      <w:r>
        <w:rPr>
          <w:rFonts w:hint="eastAsia" w:ascii="宋体" w:hAnsi="宋体" w:cs="宋体"/>
          <w:b/>
          <w:bCs/>
          <w:kern w:val="21"/>
          <w:sz w:val="32"/>
          <w:szCs w:val="32"/>
          <w:highlight w:val="none"/>
        </w:rPr>
        <w:t>甲方：</w:t>
      </w:r>
      <w:bookmarkEnd w:id="108"/>
      <w:r>
        <w:rPr>
          <w:rFonts w:hint="eastAsia" w:ascii="宋体" w:hAnsi="宋体" w:cs="宋体"/>
          <w:b/>
          <w:kern w:val="0"/>
          <w:sz w:val="32"/>
          <w:szCs w:val="32"/>
          <w:highlight w:val="none"/>
          <w:u w:val="single"/>
        </w:rPr>
        <w:t>南通轨道交通集团有限公司</w:t>
      </w:r>
    </w:p>
    <w:p w14:paraId="3169B53D">
      <w:pPr>
        <w:pageBreakBefore w:val="0"/>
        <w:kinsoku/>
        <w:overflowPunct/>
        <w:autoSpaceDE w:val="0"/>
        <w:autoSpaceDN w:val="0"/>
        <w:bidi w:val="0"/>
        <w:adjustRightInd w:val="0"/>
        <w:spacing w:line="360" w:lineRule="auto"/>
        <w:ind w:right="-101" w:rightChars="-48" w:firstLine="1606" w:firstLineChars="500"/>
        <w:rPr>
          <w:rFonts w:ascii="宋体" w:hAnsi="宋体" w:cs="宋体"/>
          <w:kern w:val="21"/>
          <w:sz w:val="24"/>
          <w:highlight w:val="none"/>
        </w:rPr>
      </w:pPr>
      <w:bookmarkStart w:id="109" w:name="_Toc2256"/>
      <w:r>
        <w:rPr>
          <w:rFonts w:hint="eastAsia" w:ascii="宋体" w:hAnsi="宋体" w:cs="宋体"/>
          <w:b/>
          <w:bCs/>
          <w:kern w:val="21"/>
          <w:sz w:val="32"/>
          <w:szCs w:val="32"/>
          <w:highlight w:val="none"/>
        </w:rPr>
        <w:t>乙方：</w:t>
      </w:r>
      <w:bookmarkEnd w:id="109"/>
      <w:r>
        <w:rPr>
          <w:rFonts w:hint="eastAsia" w:ascii="宋体" w:hAnsi="宋体" w:cs="宋体"/>
          <w:b/>
          <w:bCs/>
          <w:kern w:val="21"/>
          <w:sz w:val="32"/>
          <w:szCs w:val="32"/>
          <w:highlight w:val="none"/>
        </w:rPr>
        <w:t xml:space="preserve">                        </w:t>
      </w:r>
    </w:p>
    <w:p w14:paraId="7054F582">
      <w:pPr>
        <w:pageBreakBefore w:val="0"/>
        <w:kinsoku/>
        <w:overflowPunct/>
        <w:autoSpaceDE w:val="0"/>
        <w:autoSpaceDN w:val="0"/>
        <w:bidi w:val="0"/>
        <w:adjustRightInd w:val="0"/>
        <w:spacing w:line="360" w:lineRule="auto"/>
        <w:ind w:right="-101" w:rightChars="-48"/>
        <w:rPr>
          <w:rFonts w:ascii="宋体" w:hAnsi="宋体" w:cs="宋体"/>
          <w:kern w:val="21"/>
          <w:sz w:val="24"/>
          <w:highlight w:val="none"/>
        </w:rPr>
      </w:pPr>
    </w:p>
    <w:p w14:paraId="48F9E87A">
      <w:pPr>
        <w:pageBreakBefore w:val="0"/>
        <w:kinsoku/>
        <w:overflowPunct/>
        <w:bidi w:val="0"/>
        <w:spacing w:line="360" w:lineRule="auto"/>
        <w:ind w:right="-101" w:rightChars="-48"/>
        <w:jc w:val="center"/>
        <w:rPr>
          <w:rFonts w:ascii="宋体" w:hAnsi="宋体" w:cs="宋体"/>
          <w:b/>
          <w:bCs/>
          <w:kern w:val="21"/>
          <w:sz w:val="31"/>
          <w:szCs w:val="31"/>
          <w:highlight w:val="none"/>
        </w:rPr>
      </w:pPr>
      <w:bookmarkStart w:id="110" w:name="_Toc17652"/>
      <w:r>
        <w:rPr>
          <w:rFonts w:hint="eastAsia" w:ascii="宋体" w:hAnsi="宋体" w:cs="宋体"/>
          <w:b/>
          <w:bCs/>
          <w:kern w:val="21"/>
          <w:sz w:val="31"/>
          <w:szCs w:val="31"/>
          <w:highlight w:val="none"/>
        </w:rPr>
        <w:t>二〇二五年  月</w:t>
      </w:r>
      <w:bookmarkEnd w:id="110"/>
    </w:p>
    <w:p w14:paraId="6ADBDE87">
      <w:pPr>
        <w:pageBreakBefore w:val="0"/>
        <w:kinsoku/>
        <w:overflowPunct/>
        <w:autoSpaceDE w:val="0"/>
        <w:autoSpaceDN w:val="0"/>
        <w:bidi w:val="0"/>
        <w:adjustRightInd w:val="0"/>
        <w:spacing w:line="360" w:lineRule="auto"/>
        <w:ind w:right="-101" w:rightChars="-48"/>
        <w:rPr>
          <w:rFonts w:ascii="宋体" w:hAnsi="宋体" w:cs="宋体"/>
          <w:kern w:val="0"/>
          <w:sz w:val="24"/>
          <w:highlight w:val="none"/>
        </w:rPr>
      </w:pPr>
    </w:p>
    <w:p w14:paraId="07969927">
      <w:pPr>
        <w:pageBreakBefore w:val="0"/>
        <w:kinsoku/>
        <w:overflowPunct/>
        <w:bidi w:val="0"/>
        <w:spacing w:line="360" w:lineRule="auto"/>
        <w:ind w:right="-101" w:rightChars="-48"/>
        <w:jc w:val="center"/>
        <w:outlineLvl w:val="0"/>
        <w:rPr>
          <w:rFonts w:ascii="宋体" w:hAnsi="宋体" w:cs="宋体"/>
          <w:b/>
          <w:sz w:val="24"/>
          <w:highlight w:val="none"/>
          <w:lang w:val="zh-CN"/>
        </w:rPr>
      </w:pPr>
      <w:r>
        <w:rPr>
          <w:rFonts w:hint="eastAsia" w:ascii="宋体" w:hAnsi="宋体" w:cs="宋体"/>
          <w:highlight w:val="none"/>
        </w:rPr>
        <w:br w:type="page"/>
      </w:r>
      <w:bookmarkStart w:id="111" w:name="_Toc84869186"/>
      <w:bookmarkStart w:id="112" w:name="_Toc84867848"/>
      <w:r>
        <w:rPr>
          <w:rFonts w:hint="eastAsia" w:ascii="宋体" w:hAnsi="宋体" w:cs="宋体"/>
          <w:b/>
          <w:sz w:val="24"/>
          <w:highlight w:val="none"/>
          <w:lang w:val="zh-CN"/>
        </w:rPr>
        <w:t>第</w:t>
      </w:r>
      <w:r>
        <w:rPr>
          <w:rFonts w:hint="eastAsia" w:ascii="宋体" w:hAnsi="宋体" w:cs="宋体"/>
          <w:b/>
          <w:sz w:val="24"/>
          <w:highlight w:val="none"/>
        </w:rPr>
        <w:t>一</w:t>
      </w:r>
      <w:r>
        <w:rPr>
          <w:rFonts w:hint="eastAsia" w:ascii="宋体" w:hAnsi="宋体" w:cs="宋体"/>
          <w:b/>
          <w:sz w:val="24"/>
          <w:highlight w:val="none"/>
          <w:lang w:val="zh-CN"/>
        </w:rPr>
        <w:t>部分 合同协议书</w:t>
      </w:r>
    </w:p>
    <w:bookmarkEnd w:id="111"/>
    <w:bookmarkEnd w:id="112"/>
    <w:p w14:paraId="61ABFA2F">
      <w:pPr>
        <w:pageBreakBefore w:val="0"/>
        <w:kinsoku/>
        <w:overflowPunct/>
        <w:bidi w:val="0"/>
        <w:spacing w:line="360" w:lineRule="auto"/>
        <w:ind w:right="-101" w:rightChars="-48" w:firstLine="480" w:firstLineChars="200"/>
        <w:rPr>
          <w:rFonts w:ascii="宋体" w:hAnsi="宋体" w:cs="宋体"/>
          <w:sz w:val="24"/>
          <w:szCs w:val="24"/>
          <w:highlight w:val="none"/>
          <w:u w:val="single"/>
        </w:rPr>
      </w:pPr>
      <w:r>
        <w:rPr>
          <w:rFonts w:hint="eastAsia" w:ascii="宋体" w:hAnsi="宋体" w:cs="宋体"/>
          <w:sz w:val="24"/>
          <w:szCs w:val="24"/>
          <w:highlight w:val="none"/>
        </w:rPr>
        <w:t>甲方/委托人：</w:t>
      </w:r>
      <w:r>
        <w:rPr>
          <w:rFonts w:hint="eastAsia" w:ascii="宋体" w:hAnsi="宋体" w:cs="宋体"/>
          <w:sz w:val="24"/>
          <w:szCs w:val="24"/>
          <w:highlight w:val="none"/>
          <w:u w:val="single"/>
        </w:rPr>
        <w:t>南通轨道交通集团有限公司</w:t>
      </w:r>
    </w:p>
    <w:p w14:paraId="0892A902">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乙方/受托人：</w:t>
      </w:r>
      <w:r>
        <w:rPr>
          <w:rFonts w:hint="eastAsia" w:ascii="宋体" w:hAnsi="宋体" w:cs="宋体"/>
          <w:sz w:val="24"/>
          <w:szCs w:val="24"/>
          <w:highlight w:val="none"/>
          <w:u w:val="single"/>
        </w:rPr>
        <w:t xml:space="preserve">                                            </w:t>
      </w:r>
    </w:p>
    <w:p w14:paraId="22726DD5">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依照《中华人民共和国民法典》及有关法律规定，遵循平等、自愿、公平和诚实信用的原则，双方就</w:t>
      </w:r>
      <w:r>
        <w:rPr>
          <w:rFonts w:hint="eastAsia" w:ascii="宋体" w:hAnsi="宋体" w:cs="宋体"/>
          <w:sz w:val="24"/>
          <w:szCs w:val="24"/>
          <w:highlight w:val="none"/>
          <w:u w:val="single"/>
        </w:rPr>
        <w:t>南通城市轨道交通集团有限公司2025-2027年度招标代理和造价咨询服务框架协议采购项目</w:t>
      </w:r>
      <w:r>
        <w:rPr>
          <w:rFonts w:hint="eastAsia" w:ascii="宋体" w:hAnsi="宋体" w:cs="宋体"/>
          <w:sz w:val="24"/>
          <w:szCs w:val="24"/>
          <w:highlight w:val="none"/>
        </w:rPr>
        <w:t>事项协商一致，共同达成如下协议：</w:t>
      </w:r>
    </w:p>
    <w:p w14:paraId="1B08BDBC">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一、项目概况</w:t>
      </w:r>
    </w:p>
    <w:p w14:paraId="4D8177EB">
      <w:pPr>
        <w:pageBreakBefore w:val="0"/>
        <w:kinsoku/>
        <w:overflowPunct/>
        <w:bidi w:val="0"/>
        <w:spacing w:line="360" w:lineRule="auto"/>
        <w:ind w:right="-101" w:rightChars="-48"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项目名称：南通城市轨道交通集团有限公司2025-2027年度招标代理和造价咨询服务框架协议采购项目</w:t>
      </w:r>
    </w:p>
    <w:p w14:paraId="6F3A4D63">
      <w:pPr>
        <w:pageBreakBefore w:val="0"/>
        <w:kinsoku/>
        <w:overflowPunct/>
        <w:bidi w:val="0"/>
        <w:spacing w:line="360" w:lineRule="auto"/>
        <w:ind w:right="-101" w:rightChars="-48"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项目地址：江苏省南通市</w:t>
      </w:r>
    </w:p>
    <w:p w14:paraId="4391E6A2">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二、项目范围</w:t>
      </w:r>
    </w:p>
    <w:p w14:paraId="636E05B5">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轨道集团2025-2027年度工程、货物及服务的招标代理服务（含工程量清单、预算价编制）、工程造价审核服务、工程造价结算审核服务等相关咨询服务，具体内容详见《用户需求书》。</w:t>
      </w:r>
    </w:p>
    <w:p w14:paraId="3E189DD6">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三、工期及质量目标：</w:t>
      </w:r>
    </w:p>
    <w:p w14:paraId="5D0168B7">
      <w:pPr>
        <w:pageBreakBefore w:val="0"/>
        <w:kinsoku/>
        <w:overflowPunct/>
        <w:bidi w:val="0"/>
        <w:spacing w:line="360" w:lineRule="auto"/>
        <w:ind w:right="-101" w:rightChars="-48"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1、工期：具体进度满足发包人总体筹划的要求。</w:t>
      </w:r>
    </w:p>
    <w:p w14:paraId="0E5C9B1D">
      <w:pPr>
        <w:pageBreakBefore w:val="0"/>
        <w:kinsoku/>
        <w:overflowPunct/>
        <w:bidi w:val="0"/>
        <w:spacing w:line="360" w:lineRule="auto"/>
        <w:ind w:right="-101" w:rightChars="-48"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2、质量目标：满足发包人要求。</w:t>
      </w:r>
    </w:p>
    <w:p w14:paraId="7EFCC8D4">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四、合同价款</w:t>
      </w:r>
    </w:p>
    <w:p w14:paraId="7FDC6E05">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1、本合同为固定费率合同。</w:t>
      </w:r>
    </w:p>
    <w:p w14:paraId="3861F8FE">
      <w:pPr>
        <w:pageBreakBefore w:val="0"/>
        <w:kinsoku/>
        <w:overflowPunct/>
        <w:bidi w:val="0"/>
        <w:spacing w:line="360" w:lineRule="auto"/>
        <w:ind w:right="-101" w:rightChars="-48" w:firstLine="480" w:firstLineChars="2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2、合同价格：最终报价系数</w:t>
      </w:r>
      <w:r>
        <w:rPr>
          <w:rFonts w:hint="eastAsia" w:ascii="宋体" w:hAnsi="宋体" w:cs="宋体"/>
          <w:sz w:val="24"/>
          <w:szCs w:val="24"/>
          <w:highlight w:val="none"/>
          <w:lang w:val="en-US" w:eastAsia="zh-CN"/>
        </w:rPr>
        <w:t>为   。</w:t>
      </w:r>
    </w:p>
    <w:p w14:paraId="35ED1BF9">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3、税率：</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CB80FF4">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注：如在合同执行期间因国家政策造成合同税金调整，发包人有权调整合同价格税金部分。</w:t>
      </w:r>
    </w:p>
    <w:p w14:paraId="38DF627B">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五、项目负责人：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F6CAF73">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六、组成合同的文件</w:t>
      </w:r>
    </w:p>
    <w:p w14:paraId="32FCAE53">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下列文件应视为构成并作为阅读和理解本协议书的组成部分，构成本合同的合同文件之间应是相互说明和相互补充的。如果合同文件之间出现歧义或相互矛盾，或合同文件中出现明显错误时，按如下顺序进行解释：</w:t>
      </w:r>
    </w:p>
    <w:p w14:paraId="041C8B53">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(1)合同协议书；</w:t>
      </w:r>
    </w:p>
    <w:p w14:paraId="01BD4782">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(2)成交通知书；</w:t>
      </w:r>
    </w:p>
    <w:p w14:paraId="3776C076">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(3)投标函；</w:t>
      </w:r>
    </w:p>
    <w:p w14:paraId="10E9EA94">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(4)合同条款；</w:t>
      </w:r>
    </w:p>
    <w:p w14:paraId="0A386022">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(5)合同附件；</w:t>
      </w:r>
    </w:p>
    <w:p w14:paraId="2945523A">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(6)标准、规范及有关技术文件；</w:t>
      </w:r>
    </w:p>
    <w:p w14:paraId="58C7E255">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(7)比选文件及澄清文件；</w:t>
      </w:r>
    </w:p>
    <w:p w14:paraId="7EF4A42F">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(8)参选文件；</w:t>
      </w:r>
    </w:p>
    <w:p w14:paraId="1446B34E">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(9)发包人管理文件；</w:t>
      </w:r>
    </w:p>
    <w:p w14:paraId="0AC2C1B6">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(10)其他合同文件。</w:t>
      </w:r>
    </w:p>
    <w:p w14:paraId="55532EE6">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上述文件互相补充和解释，如有不明或不一致之处，以上述约定的次序在先者为准。对于同一类内容的合同文件，以其最新签署的为准。</w:t>
      </w:r>
    </w:p>
    <w:p w14:paraId="5E489B6C">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在合同订立和履行过程中，双方签署、签发、签收的与本合同订立或履行有关的协议、信函、纪要、备忘录等亦构成合同组成部分，其优先解释顺序按照“新文件优于旧文件”。</w:t>
      </w:r>
    </w:p>
    <w:p w14:paraId="204B5298">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七、本协议书有关词语含义与《合同条款》中分别赋予它们的定义相同。</w:t>
      </w:r>
    </w:p>
    <w:p w14:paraId="551BC4E2">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八、</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在此向</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承诺按照本合同的约定履行服务。</w:t>
      </w:r>
    </w:p>
    <w:p w14:paraId="08A195EE">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九、</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在此同意按本合同注明的期限和方式，向</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支付根据合同规定应支付的款项，以此作为</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履行合同的报酬。</w:t>
      </w:r>
    </w:p>
    <w:p w14:paraId="600D3E68">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十、本合同一式</w:t>
      </w:r>
      <w:r>
        <w:rPr>
          <w:rFonts w:hint="eastAsia" w:ascii="宋体" w:hAnsi="宋体" w:cs="宋体"/>
          <w:sz w:val="24"/>
          <w:szCs w:val="24"/>
          <w:highlight w:val="none"/>
          <w:u w:val="single"/>
        </w:rPr>
        <w:t>拾</w:t>
      </w:r>
      <w:r>
        <w:rPr>
          <w:rFonts w:hint="eastAsia" w:ascii="宋体" w:hAnsi="宋体" w:cs="宋体"/>
          <w:sz w:val="24"/>
          <w:szCs w:val="24"/>
          <w:highlight w:val="none"/>
        </w:rPr>
        <w:t>份，其中正本</w:t>
      </w:r>
      <w:r>
        <w:rPr>
          <w:rFonts w:hint="eastAsia" w:ascii="宋体" w:hAnsi="宋体" w:cs="宋体"/>
          <w:sz w:val="24"/>
          <w:szCs w:val="24"/>
          <w:highlight w:val="none"/>
          <w:u w:val="single"/>
        </w:rPr>
        <w:t>叁</w:t>
      </w:r>
      <w:r>
        <w:rPr>
          <w:rFonts w:hint="eastAsia" w:ascii="宋体" w:hAnsi="宋体" w:cs="宋体"/>
          <w:sz w:val="24"/>
          <w:szCs w:val="24"/>
          <w:highlight w:val="none"/>
        </w:rPr>
        <w:t>份，双方各持有</w:t>
      </w:r>
      <w:r>
        <w:rPr>
          <w:rFonts w:hint="eastAsia" w:ascii="宋体" w:hAnsi="宋体" w:cs="宋体"/>
          <w:sz w:val="24"/>
          <w:szCs w:val="24"/>
          <w:highlight w:val="none"/>
          <w:u w:val="single"/>
        </w:rPr>
        <w:t>一</w:t>
      </w:r>
      <w:r>
        <w:rPr>
          <w:rFonts w:hint="eastAsia" w:ascii="宋体" w:hAnsi="宋体" w:cs="宋体"/>
          <w:sz w:val="24"/>
          <w:szCs w:val="24"/>
          <w:highlight w:val="none"/>
        </w:rPr>
        <w:t>份，副本</w:t>
      </w:r>
      <w:r>
        <w:rPr>
          <w:rFonts w:hint="eastAsia" w:ascii="宋体" w:hAnsi="宋体" w:cs="宋体"/>
          <w:sz w:val="24"/>
          <w:szCs w:val="24"/>
          <w:highlight w:val="none"/>
          <w:u w:val="single"/>
        </w:rPr>
        <w:t>柒</w:t>
      </w:r>
      <w:r>
        <w:rPr>
          <w:rFonts w:hint="eastAsia" w:ascii="宋体" w:hAnsi="宋体" w:cs="宋体"/>
          <w:sz w:val="24"/>
          <w:szCs w:val="24"/>
          <w:highlight w:val="none"/>
        </w:rPr>
        <w:t>份，</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持有</w:t>
      </w:r>
      <w:r>
        <w:rPr>
          <w:rFonts w:hint="eastAsia" w:ascii="宋体" w:hAnsi="宋体" w:cs="宋体"/>
          <w:sz w:val="24"/>
          <w:szCs w:val="24"/>
          <w:highlight w:val="none"/>
          <w:u w:val="single"/>
        </w:rPr>
        <w:t>伍</w:t>
      </w:r>
      <w:r>
        <w:rPr>
          <w:rFonts w:hint="eastAsia" w:ascii="宋体" w:hAnsi="宋体" w:cs="宋体"/>
          <w:sz w:val="24"/>
          <w:szCs w:val="24"/>
          <w:highlight w:val="none"/>
        </w:rPr>
        <w:t>份，</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持有</w:t>
      </w:r>
      <w:r>
        <w:rPr>
          <w:rFonts w:hint="eastAsia" w:ascii="宋体" w:hAnsi="宋体" w:cs="宋体"/>
          <w:sz w:val="24"/>
          <w:szCs w:val="24"/>
          <w:highlight w:val="none"/>
          <w:u w:val="single"/>
        </w:rPr>
        <w:t>贰</w:t>
      </w:r>
      <w:r>
        <w:rPr>
          <w:rFonts w:hint="eastAsia" w:ascii="宋体" w:hAnsi="宋体" w:cs="宋体"/>
          <w:sz w:val="24"/>
          <w:szCs w:val="24"/>
          <w:highlight w:val="none"/>
        </w:rPr>
        <w:t>份，具有同等法律效力。</w:t>
      </w:r>
    </w:p>
    <w:p w14:paraId="452F1525">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十一、本合同约定</w:t>
      </w:r>
      <w:r>
        <w:rPr>
          <w:rFonts w:hint="eastAsia" w:ascii="宋体" w:hAnsi="宋体" w:cs="宋体"/>
          <w:sz w:val="24"/>
          <w:szCs w:val="24"/>
          <w:highlight w:val="none"/>
          <w:u w:val="single"/>
        </w:rPr>
        <w:t xml:space="preserve"> 自双方签字盖章后开始 </w:t>
      </w:r>
      <w:r>
        <w:rPr>
          <w:rFonts w:hint="eastAsia" w:ascii="宋体" w:hAnsi="宋体" w:cs="宋体"/>
          <w:sz w:val="24"/>
          <w:szCs w:val="24"/>
          <w:highlight w:val="none"/>
        </w:rPr>
        <w:t xml:space="preserve"> 生效。</w:t>
      </w:r>
    </w:p>
    <w:p w14:paraId="73EC4E78">
      <w:pPr>
        <w:pageBreakBefore w:val="0"/>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十二、</w:t>
      </w:r>
      <w:r>
        <w:rPr>
          <w:rFonts w:hint="eastAsia" w:ascii="宋体" w:hAnsi="宋体" w:cs="宋体"/>
          <w:sz w:val="24"/>
          <w:szCs w:val="24"/>
          <w:highlight w:val="none"/>
          <w:lang w:val="zh-CN"/>
        </w:rPr>
        <w:t>本合同签约地为中华人民共和国江苏省南通市</w:t>
      </w:r>
      <w:r>
        <w:rPr>
          <w:rFonts w:hint="eastAsia" w:ascii="宋体" w:hAnsi="宋体" w:cs="宋体"/>
          <w:sz w:val="24"/>
          <w:szCs w:val="24"/>
          <w:highlight w:val="none"/>
        </w:rPr>
        <w:t>。</w:t>
      </w:r>
    </w:p>
    <w:tbl>
      <w:tblPr>
        <w:tblStyle w:val="36"/>
        <w:tblW w:w="9150" w:type="dxa"/>
        <w:tblInd w:w="108" w:type="dxa"/>
        <w:tblLayout w:type="fixed"/>
        <w:tblCellMar>
          <w:top w:w="0" w:type="dxa"/>
          <w:left w:w="108" w:type="dxa"/>
          <w:bottom w:w="0" w:type="dxa"/>
          <w:right w:w="108" w:type="dxa"/>
        </w:tblCellMar>
      </w:tblPr>
      <w:tblGrid>
        <w:gridCol w:w="4810"/>
        <w:gridCol w:w="4340"/>
      </w:tblGrid>
      <w:tr w14:paraId="4EFBF421">
        <w:tblPrEx>
          <w:tblCellMar>
            <w:top w:w="0" w:type="dxa"/>
            <w:left w:w="108" w:type="dxa"/>
            <w:bottom w:w="0" w:type="dxa"/>
            <w:right w:w="108" w:type="dxa"/>
          </w:tblCellMar>
        </w:tblPrEx>
        <w:tc>
          <w:tcPr>
            <w:tcW w:w="4810" w:type="dxa"/>
          </w:tcPr>
          <w:p w14:paraId="1A61891F">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 xml:space="preserve">甲方（盖章）：_________________________ </w:t>
            </w:r>
          </w:p>
          <w:p w14:paraId="15FC32DE">
            <w:pPr>
              <w:pStyle w:val="140"/>
              <w:pageBreakBefore w:val="0"/>
              <w:kinsoku/>
              <w:overflowPunct/>
              <w:bidi w:val="0"/>
              <w:spacing w:line="360" w:lineRule="auto"/>
              <w:ind w:right="-101" w:rightChars="-48"/>
              <w:rPr>
                <w:rFonts w:ascii="宋体" w:hAnsi="宋体" w:cs="宋体"/>
                <w:sz w:val="24"/>
                <w:szCs w:val="24"/>
                <w:highlight w:val="none"/>
              </w:rPr>
            </w:pPr>
          </w:p>
          <w:p w14:paraId="13C11935">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法定代表人或</w:t>
            </w:r>
          </w:p>
          <w:p w14:paraId="63B7F032">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其授权委托人（签字或盖章）：____________</w:t>
            </w:r>
          </w:p>
          <w:p w14:paraId="41E581BB">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A2D656F">
            <w:pPr>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1FC37570">
            <w:pPr>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66FC4F50">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p>
        </w:tc>
        <w:tc>
          <w:tcPr>
            <w:tcW w:w="4340" w:type="dxa"/>
          </w:tcPr>
          <w:p w14:paraId="28A8A9BF">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 xml:space="preserve">乙方（盖章）：______________________ </w:t>
            </w:r>
          </w:p>
          <w:p w14:paraId="7AB79ED8">
            <w:pPr>
              <w:pStyle w:val="140"/>
              <w:pageBreakBefore w:val="0"/>
              <w:kinsoku/>
              <w:overflowPunct/>
              <w:bidi w:val="0"/>
              <w:spacing w:line="360" w:lineRule="auto"/>
              <w:ind w:right="-101" w:rightChars="-48"/>
              <w:rPr>
                <w:rFonts w:ascii="宋体" w:hAnsi="宋体" w:cs="宋体"/>
                <w:sz w:val="24"/>
                <w:szCs w:val="24"/>
                <w:highlight w:val="none"/>
              </w:rPr>
            </w:pPr>
          </w:p>
          <w:p w14:paraId="652F1E28">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法定代表人或</w:t>
            </w:r>
          </w:p>
          <w:p w14:paraId="0420B649">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其授权委托人（签字或盖章）：________</w:t>
            </w:r>
          </w:p>
          <w:p w14:paraId="79AE2C71">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39B828A">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14:paraId="1187CEA1">
            <w:pPr>
              <w:pStyle w:val="140"/>
              <w:pageBreakBefore w:val="0"/>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u w:val="single"/>
              </w:rPr>
              <w:t xml:space="preserve">                                </w:t>
            </w:r>
          </w:p>
          <w:p w14:paraId="7F5FBD57">
            <w:pPr>
              <w:pageBreakBefore w:val="0"/>
              <w:widowControl/>
              <w:kinsoku/>
              <w:overflowPunct/>
              <w:bidi w:val="0"/>
              <w:spacing w:line="360" w:lineRule="auto"/>
              <w:ind w:right="-101" w:rightChars="-48"/>
              <w:rPr>
                <w:rFonts w:ascii="宋体" w:hAnsi="宋体" w:cs="宋体"/>
                <w:sz w:val="24"/>
                <w:szCs w:val="24"/>
                <w:highlight w:val="none"/>
              </w:rPr>
            </w:pPr>
            <w:r>
              <w:rPr>
                <w:rFonts w:hint="eastAsia" w:ascii="宋体" w:hAnsi="宋体" w:cs="宋体"/>
                <w:sz w:val="24"/>
                <w:szCs w:val="24"/>
                <w:highlight w:val="none"/>
              </w:rPr>
              <w:t>传真：</w:t>
            </w:r>
            <w:r>
              <w:rPr>
                <w:rFonts w:hint="eastAsia" w:ascii="宋体" w:hAnsi="宋体" w:cs="宋体"/>
                <w:color w:val="000000"/>
                <w:kern w:val="0"/>
                <w:sz w:val="24"/>
                <w:szCs w:val="24"/>
                <w:highlight w:val="none"/>
                <w:u w:val="single"/>
                <w:lang w:bidi="ar"/>
              </w:rPr>
              <w:t xml:space="preserve">                                    </w:t>
            </w:r>
          </w:p>
        </w:tc>
      </w:tr>
    </w:tbl>
    <w:p w14:paraId="1A0EEA83">
      <w:pPr>
        <w:pageBreakBefore w:val="0"/>
        <w:widowControl/>
        <w:kinsoku/>
        <w:overflowPunct/>
        <w:bidi w:val="0"/>
        <w:spacing w:line="360" w:lineRule="auto"/>
        <w:ind w:right="-101" w:rightChars="-48"/>
        <w:rPr>
          <w:rFonts w:ascii="宋体" w:hAnsi="宋体" w:cs="宋体"/>
          <w:color w:val="000000"/>
          <w:kern w:val="0"/>
          <w:sz w:val="24"/>
          <w:szCs w:val="24"/>
          <w:highlight w:val="none"/>
        </w:rPr>
      </w:pPr>
      <w:r>
        <w:rPr>
          <w:rFonts w:hint="eastAsia" w:ascii="宋体" w:hAnsi="宋体" w:cs="宋体"/>
          <w:sz w:val="24"/>
          <w:szCs w:val="24"/>
          <w:highlight w:val="none"/>
        </w:rPr>
        <w:br w:type="page"/>
      </w:r>
    </w:p>
    <w:p w14:paraId="3CF780A8">
      <w:pPr>
        <w:pageBreakBefore w:val="0"/>
        <w:kinsoku/>
        <w:overflowPunct/>
        <w:bidi w:val="0"/>
        <w:spacing w:line="360" w:lineRule="auto"/>
        <w:ind w:right="-101" w:rightChars="-48" w:firstLine="361" w:firstLineChars="150"/>
        <w:jc w:val="center"/>
        <w:outlineLvl w:val="0"/>
        <w:rPr>
          <w:rFonts w:ascii="宋体" w:hAnsi="宋体" w:cs="宋体"/>
          <w:b/>
          <w:sz w:val="24"/>
          <w:szCs w:val="24"/>
          <w:highlight w:val="none"/>
        </w:rPr>
      </w:pPr>
      <w:bookmarkStart w:id="113" w:name="_Toc84869187"/>
      <w:bookmarkStart w:id="114" w:name="_Toc84867849"/>
      <w:r>
        <w:rPr>
          <w:rFonts w:hint="eastAsia" w:ascii="宋体" w:hAnsi="宋体" w:cs="宋体"/>
          <w:b/>
          <w:sz w:val="24"/>
          <w:szCs w:val="24"/>
          <w:highlight w:val="none"/>
        </w:rPr>
        <w:t>第二部分</w:t>
      </w:r>
      <w:bookmarkEnd w:id="113"/>
      <w:bookmarkEnd w:id="114"/>
      <w:r>
        <w:rPr>
          <w:rFonts w:hint="eastAsia" w:ascii="宋体" w:hAnsi="宋体" w:cs="宋体"/>
          <w:b/>
          <w:sz w:val="24"/>
          <w:szCs w:val="24"/>
          <w:highlight w:val="none"/>
        </w:rPr>
        <w:t>中选通知书</w:t>
      </w:r>
    </w:p>
    <w:p w14:paraId="7CD48761">
      <w:pPr>
        <w:pageBreakBefore w:val="0"/>
        <w:kinsoku/>
        <w:overflowPunct/>
        <w:bidi w:val="0"/>
        <w:spacing w:line="360" w:lineRule="auto"/>
        <w:ind w:right="-101" w:rightChars="-48"/>
        <w:rPr>
          <w:sz w:val="24"/>
          <w:szCs w:val="24"/>
          <w:highlight w:val="none"/>
        </w:rPr>
      </w:pPr>
    </w:p>
    <w:p w14:paraId="2898C983">
      <w:pPr>
        <w:pageBreakBefore w:val="0"/>
        <w:kinsoku/>
        <w:overflowPunct/>
        <w:bidi w:val="0"/>
        <w:spacing w:line="360" w:lineRule="auto"/>
        <w:ind w:right="-101" w:rightChars="-48"/>
        <w:rPr>
          <w:rFonts w:ascii="宋体" w:hAnsi="宋体" w:cs="宋体"/>
          <w:sz w:val="24"/>
          <w:szCs w:val="24"/>
          <w:highlight w:val="none"/>
        </w:rPr>
      </w:pPr>
    </w:p>
    <w:p w14:paraId="48849A8C">
      <w:pPr>
        <w:pageBreakBefore w:val="0"/>
        <w:widowControl/>
        <w:kinsoku/>
        <w:overflowPunct/>
        <w:bidi w:val="0"/>
        <w:spacing w:line="360" w:lineRule="auto"/>
        <w:ind w:right="-101" w:rightChars="-48"/>
        <w:rPr>
          <w:rFonts w:ascii="宋体" w:hAnsi="宋体" w:cs="宋体"/>
          <w:b/>
          <w:sz w:val="24"/>
          <w:szCs w:val="24"/>
          <w:highlight w:val="none"/>
        </w:rPr>
      </w:pPr>
      <w:r>
        <w:rPr>
          <w:rFonts w:hint="eastAsia" w:ascii="宋体" w:hAnsi="宋体" w:cs="宋体"/>
          <w:b/>
          <w:sz w:val="24"/>
          <w:szCs w:val="24"/>
          <w:highlight w:val="none"/>
        </w:rPr>
        <w:br w:type="page"/>
      </w:r>
    </w:p>
    <w:p w14:paraId="1CAED947">
      <w:pPr>
        <w:pageBreakBefore w:val="0"/>
        <w:kinsoku/>
        <w:overflowPunct/>
        <w:bidi w:val="0"/>
        <w:spacing w:line="360" w:lineRule="auto"/>
        <w:ind w:right="-101" w:rightChars="-48" w:firstLine="361" w:firstLineChars="150"/>
        <w:jc w:val="center"/>
        <w:outlineLvl w:val="0"/>
        <w:rPr>
          <w:rFonts w:ascii="宋体" w:hAnsi="宋体" w:cs="宋体"/>
          <w:b/>
          <w:sz w:val="24"/>
          <w:szCs w:val="24"/>
          <w:highlight w:val="none"/>
        </w:rPr>
      </w:pPr>
      <w:bookmarkStart w:id="115" w:name="_Toc84869188"/>
      <w:bookmarkStart w:id="116" w:name="_Toc84867850"/>
      <w:r>
        <w:rPr>
          <w:rFonts w:hint="eastAsia" w:ascii="宋体" w:hAnsi="宋体" w:cs="宋体"/>
          <w:b/>
          <w:sz w:val="24"/>
          <w:szCs w:val="24"/>
          <w:highlight w:val="none"/>
          <w:lang w:val="zh-CN"/>
        </w:rPr>
        <w:t xml:space="preserve">第三部分 </w:t>
      </w:r>
      <w:r>
        <w:rPr>
          <w:rFonts w:hint="eastAsia" w:ascii="宋体" w:hAnsi="宋体" w:cs="宋体"/>
          <w:b/>
          <w:sz w:val="24"/>
          <w:szCs w:val="24"/>
          <w:highlight w:val="none"/>
        </w:rPr>
        <w:t>招标代理部分</w:t>
      </w:r>
      <w:r>
        <w:rPr>
          <w:rFonts w:hint="eastAsia" w:ascii="宋体" w:hAnsi="宋体" w:cs="宋体"/>
          <w:b/>
          <w:sz w:val="24"/>
          <w:szCs w:val="24"/>
          <w:highlight w:val="none"/>
          <w:lang w:val="zh-CN"/>
        </w:rPr>
        <w:t>合同协议</w:t>
      </w:r>
      <w:bookmarkEnd w:id="115"/>
      <w:bookmarkEnd w:id="116"/>
      <w:r>
        <w:rPr>
          <w:rFonts w:hint="eastAsia" w:ascii="宋体" w:hAnsi="宋体" w:cs="宋体"/>
          <w:b/>
          <w:sz w:val="24"/>
          <w:szCs w:val="24"/>
          <w:highlight w:val="none"/>
        </w:rPr>
        <w:t>条款</w:t>
      </w:r>
    </w:p>
    <w:p w14:paraId="26CBAD4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一、委托人委托代理人的工程（以下简称“本工程”）概况</w:t>
      </w:r>
    </w:p>
    <w:p w14:paraId="1CC55B4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1、工程地点：</w:t>
      </w:r>
      <w:r>
        <w:rPr>
          <w:rFonts w:hint="eastAsia" w:ascii="宋体" w:hAnsi="宋体" w:cs="宋体"/>
          <w:sz w:val="24"/>
          <w:szCs w:val="24"/>
          <w:highlight w:val="none"/>
        </w:rPr>
        <w:t>江苏省南通市。</w:t>
      </w:r>
      <w:r>
        <w:rPr>
          <w:rFonts w:hint="eastAsia" w:ascii="宋体" w:hAnsi="宋体" w:cs="宋体"/>
          <w:sz w:val="24"/>
          <w:szCs w:val="24"/>
          <w:highlight w:val="none"/>
          <w:lang w:val="zh-CN"/>
        </w:rPr>
        <w:t xml:space="preserve">                                                    </w:t>
      </w:r>
    </w:p>
    <w:p w14:paraId="120AF9B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2、工程项目审批文件：</w:t>
      </w:r>
      <w:r>
        <w:rPr>
          <w:rFonts w:hint="eastAsia" w:ascii="宋体" w:hAnsi="宋体" w:cs="宋体"/>
          <w:sz w:val="24"/>
          <w:szCs w:val="24"/>
          <w:highlight w:val="none"/>
        </w:rPr>
        <w:t>/</w:t>
      </w:r>
      <w:r>
        <w:rPr>
          <w:rFonts w:hint="eastAsia" w:ascii="宋体" w:hAnsi="宋体" w:cs="宋体"/>
          <w:sz w:val="24"/>
          <w:szCs w:val="24"/>
          <w:highlight w:val="none"/>
          <w:lang w:val="zh-CN"/>
        </w:rPr>
        <w:t xml:space="preserve">                                            </w:t>
      </w:r>
    </w:p>
    <w:p w14:paraId="7629861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3、资金来源：</w:t>
      </w:r>
      <w:r>
        <w:rPr>
          <w:rFonts w:hint="eastAsia" w:ascii="宋体" w:hAnsi="宋体" w:cs="宋体"/>
          <w:sz w:val="24"/>
          <w:szCs w:val="24"/>
          <w:highlight w:val="none"/>
        </w:rPr>
        <w:t>自筹。</w:t>
      </w:r>
      <w:r>
        <w:rPr>
          <w:rFonts w:hint="eastAsia" w:ascii="宋体" w:hAnsi="宋体" w:cs="宋体"/>
          <w:sz w:val="24"/>
          <w:szCs w:val="24"/>
          <w:highlight w:val="none"/>
          <w:lang w:val="zh-CN"/>
        </w:rPr>
        <w:t xml:space="preserve">                                                    </w:t>
      </w:r>
    </w:p>
    <w:p w14:paraId="1074FF7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4、工程规模：</w:t>
      </w:r>
      <w:r>
        <w:rPr>
          <w:rFonts w:hint="eastAsia" w:ascii="宋体" w:hAnsi="宋体" w:cs="宋体"/>
          <w:sz w:val="24"/>
          <w:szCs w:val="24"/>
          <w:highlight w:val="none"/>
        </w:rPr>
        <w:t>/</w:t>
      </w:r>
      <w:r>
        <w:rPr>
          <w:rFonts w:hint="eastAsia" w:ascii="宋体" w:hAnsi="宋体" w:cs="宋体"/>
          <w:sz w:val="24"/>
          <w:szCs w:val="24"/>
          <w:highlight w:val="none"/>
          <w:lang w:val="zh-CN"/>
        </w:rPr>
        <w:t xml:space="preserve">                                                    </w:t>
      </w:r>
    </w:p>
    <w:p w14:paraId="0798A99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5、总投资额：</w:t>
      </w:r>
      <w:r>
        <w:rPr>
          <w:rFonts w:hint="eastAsia" w:ascii="宋体" w:hAnsi="宋体" w:cs="宋体"/>
          <w:sz w:val="24"/>
          <w:szCs w:val="24"/>
          <w:highlight w:val="none"/>
        </w:rPr>
        <w:t>/</w:t>
      </w:r>
      <w:r>
        <w:rPr>
          <w:rFonts w:hint="eastAsia" w:ascii="宋体" w:hAnsi="宋体" w:cs="宋体"/>
          <w:sz w:val="24"/>
          <w:szCs w:val="24"/>
          <w:highlight w:val="none"/>
          <w:lang w:val="zh-CN"/>
        </w:rPr>
        <w:t xml:space="preserve">                                                    </w:t>
      </w:r>
    </w:p>
    <w:p w14:paraId="202772E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二、委托代理范围</w:t>
      </w:r>
    </w:p>
    <w:p w14:paraId="27C253A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1、委托代理招标内容（有委托的在□中打√，并说明具体内容，无委托的在□中打×）：   </w:t>
      </w:r>
    </w:p>
    <w:p w14:paraId="32D2C6C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☑勘察</w:t>
      </w:r>
    </w:p>
    <w:p w14:paraId="4EA13BA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☑设计，具体包括：</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726CF6B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☑施工，具体包括：</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24C37A7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☑监理，具体包括：</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3B8A1B9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☑设备，具体包括：</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3BBAA41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☑材料，具体包括：</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39CF1FB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2、委托代理范围内单项合同估算价：</w:t>
      </w:r>
      <w:r>
        <w:rPr>
          <w:rFonts w:hint="eastAsia" w:ascii="宋体" w:hAnsi="宋体" w:cs="宋体"/>
          <w:sz w:val="24"/>
          <w:szCs w:val="24"/>
          <w:highlight w:val="none"/>
          <w:u w:val="single"/>
        </w:rPr>
        <w:t>/</w:t>
      </w:r>
      <w:r>
        <w:rPr>
          <w:rFonts w:hint="eastAsia" w:ascii="宋体" w:hAnsi="宋体" w:cs="宋体"/>
          <w:sz w:val="24"/>
          <w:szCs w:val="24"/>
          <w:highlight w:val="none"/>
          <w:lang w:val="zh-CN"/>
        </w:rPr>
        <w:t xml:space="preserve">                  </w:t>
      </w:r>
    </w:p>
    <w:p w14:paraId="0F6B0E0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3、委托代理的事项（有委托的在□中打√，无委托的在□中打×）：</w:t>
      </w:r>
    </w:p>
    <w:p w14:paraId="2F8466F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☑代拟发包方案；</w:t>
      </w:r>
    </w:p>
    <w:p w14:paraId="53848D4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☑发布招标公告（发出投标邀请书）；</w:t>
      </w:r>
    </w:p>
    <w:p w14:paraId="2615497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☑编制资格预审文件；</w:t>
      </w:r>
    </w:p>
    <w:p w14:paraId="668FD15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☑组织接收投标申请人报名；</w:t>
      </w:r>
    </w:p>
    <w:p w14:paraId="59C5642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☑审查潜在投标人资格，确定潜在投标人；</w:t>
      </w:r>
    </w:p>
    <w:p w14:paraId="443B78C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☑编制招标文件；</w:t>
      </w:r>
    </w:p>
    <w:p w14:paraId="7BE52DE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☑编制工程量清单；</w:t>
      </w:r>
    </w:p>
    <w:p w14:paraId="33B67E7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☑编制工程标底；</w:t>
      </w:r>
    </w:p>
    <w:p w14:paraId="689D9E5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☑组织现场踏勘和答疑；</w:t>
      </w:r>
    </w:p>
    <w:p w14:paraId="0008A4E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☑组织开标、评标；</w:t>
      </w:r>
    </w:p>
    <w:p w14:paraId="5476C29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☑草拟工程合同；</w:t>
      </w:r>
    </w:p>
    <w:p w14:paraId="4EA0DAF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☑编制招投标情况书面报告；</w:t>
      </w:r>
    </w:p>
    <w:p w14:paraId="234128F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☑与发包有关的其它事宜：</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32A4401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三、委托人的权利</w:t>
      </w:r>
    </w:p>
    <w:p w14:paraId="2EB94FC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1、委托人有权参与招投标的有关活动。</w:t>
      </w:r>
    </w:p>
    <w:p w14:paraId="41D0A09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2、委托人有权要求代理人及时提供代理工作阶段性的进展情况。</w:t>
      </w:r>
    </w:p>
    <w:p w14:paraId="6A4CC69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3、委托人有权要求代理人更换不称职的人员或应回避的人员。</w:t>
      </w:r>
    </w:p>
    <w:p w14:paraId="6E7E3B0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4、委托人有权确定代理人的具体工作内容。</w:t>
      </w:r>
    </w:p>
    <w:p w14:paraId="4745CA9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5、如委托人或建设行政主管部门发现代理人在代理活动中违反有关的法律、法规或建设程序并经确认，委托人有权要求代理人纠正，直至中止合同。</w:t>
      </w:r>
    </w:p>
    <w:p w14:paraId="31AB059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四、委托人的义务和责任</w:t>
      </w:r>
    </w:p>
    <w:p w14:paraId="09940A5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1、委托人在代理人开展招标代理业务之前应按照有关规定办全本项目招标所需的有关审批手续，使招标工作具备条件。</w:t>
      </w:r>
    </w:p>
    <w:p w14:paraId="51DC1CD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2、委托人应当向代理人及时、无偿、真实、详细的提供招投标代理工作范围内所需的文件和资料（如建设批文、资金证明、地质勘察资料、施工图纸等）。</w:t>
      </w:r>
    </w:p>
    <w:p w14:paraId="6A75F37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3、对代理人提出的书面要求，委托人应当在</w:t>
      </w:r>
      <w:r>
        <w:rPr>
          <w:rFonts w:hint="eastAsia" w:ascii="宋体" w:hAnsi="宋体" w:cs="宋体"/>
          <w:sz w:val="24"/>
          <w:szCs w:val="24"/>
          <w:highlight w:val="none"/>
          <w:u w:val="single"/>
        </w:rPr>
        <w:t>10</w:t>
      </w:r>
      <w:r>
        <w:rPr>
          <w:rFonts w:hint="eastAsia" w:ascii="宋体" w:hAnsi="宋体" w:cs="宋体"/>
          <w:sz w:val="24"/>
          <w:szCs w:val="24"/>
          <w:highlight w:val="none"/>
          <w:lang w:val="zh-CN"/>
        </w:rPr>
        <w:t>日内做出书面答复，如因此造成的时间延长由委托人负责。</w:t>
      </w:r>
    </w:p>
    <w:p w14:paraId="118FA9A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4、在合同履行期间，委派熟悉业务、知晓法律法规、工作认真负责的</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作为委托人的代表，配合代理人工作。</w:t>
      </w:r>
    </w:p>
    <w:p w14:paraId="49D06D3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5、委托代理咨询项目中如内容、时间等有重大调整，委托人应当书面提前</w:t>
      </w:r>
      <w:r>
        <w:rPr>
          <w:rFonts w:hint="eastAsia" w:ascii="宋体" w:hAnsi="宋体" w:cs="宋体"/>
          <w:sz w:val="24"/>
          <w:szCs w:val="24"/>
          <w:highlight w:val="none"/>
          <w:u w:val="single"/>
        </w:rPr>
        <w:t>1</w:t>
      </w:r>
      <w:r>
        <w:rPr>
          <w:rFonts w:hint="eastAsia" w:ascii="宋体" w:hAnsi="宋体" w:cs="宋体"/>
          <w:sz w:val="24"/>
          <w:szCs w:val="24"/>
          <w:highlight w:val="none"/>
          <w:lang w:val="zh-CN"/>
        </w:rPr>
        <w:t>日通知代理人，以便调整相应的工作安排，如因此造成的时间延长由委托人负责。</w:t>
      </w:r>
    </w:p>
    <w:p w14:paraId="143421B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6、委托人不得泄露依法应当保密的任何信息。</w:t>
      </w:r>
    </w:p>
    <w:p w14:paraId="1A7C46F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7、在法律规定的时限内签订工程合同，并在签订合同后提交招投标监管机构备案。</w:t>
      </w:r>
    </w:p>
    <w:p w14:paraId="4D60DD9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8、承担由于自己过失造成代理人的经济损失。</w:t>
      </w:r>
    </w:p>
    <w:p w14:paraId="24AE141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9、委托方及其工作人员，不得以任何形式向代理人收受或索要回扣、好处费、礼金、有价证券和其它礼物；不得在代理人报销应由个人支付的费用。</w:t>
      </w:r>
    </w:p>
    <w:p w14:paraId="1301178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10、委托人应当完成的其它工作：</w:t>
      </w:r>
      <w:r>
        <w:rPr>
          <w:rFonts w:hint="eastAsia" w:ascii="宋体" w:hAnsi="宋体" w:cs="宋体"/>
          <w:sz w:val="24"/>
          <w:szCs w:val="24"/>
          <w:highlight w:val="none"/>
        </w:rPr>
        <w:t>详见用户需求书。</w:t>
      </w:r>
      <w:r>
        <w:rPr>
          <w:rFonts w:hint="eastAsia" w:ascii="宋体" w:hAnsi="宋体" w:cs="宋体"/>
          <w:sz w:val="24"/>
          <w:szCs w:val="24"/>
          <w:highlight w:val="none"/>
          <w:lang w:val="zh-CN"/>
        </w:rPr>
        <w:t xml:space="preserve">                      </w:t>
      </w:r>
    </w:p>
    <w:p w14:paraId="3FA54F0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五、代理人的权利</w:t>
      </w:r>
    </w:p>
    <w:p w14:paraId="498DB9B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1、有权拒绝违反国家法律、法规和规章以及建设行政主管部门有关规定的人为干预。</w:t>
      </w:r>
    </w:p>
    <w:p w14:paraId="2A67074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2、依据国家有关法律法规的规定，在授权范围内办理委托项目的招标工作。</w:t>
      </w:r>
    </w:p>
    <w:p w14:paraId="499F01D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3、有权建议更换不称职或有其它原因不宜参与招标活动的委托方人员。</w:t>
      </w:r>
    </w:p>
    <w:p w14:paraId="66B5D23F">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4、如委托人的某些条件和要求不符合现行的法律、法规或程序，代理人可以建议委托人进行修改。拒不修改的，代理人有权单方面终止履行合同。</w:t>
      </w:r>
    </w:p>
    <w:p w14:paraId="15C540F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5、除发包方案、中标通知书及招投标情况书面报告由委托人盖章签字，中标通知书再加盖代理人公章外，自拟定发包方案至提交招投标情况书面报告所形成的资料、文件均只需由代理人盖章签字。</w:t>
      </w:r>
    </w:p>
    <w:p w14:paraId="1123CB7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六、代理人的义务和责任</w:t>
      </w:r>
    </w:p>
    <w:p w14:paraId="533CDC4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1、按照国家法律、法规以及建设行政主管部门的有关规定从事招投标代理活动。</w:t>
      </w:r>
    </w:p>
    <w:p w14:paraId="40B5052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2、在委托授权范围内为委托方提供招标代理服务，不得将本合同所确定的招标代理服务转让给第三方。</w:t>
      </w:r>
    </w:p>
    <w:p w14:paraId="495E579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3、有义务向委托方提供招标计划以及相关的招投标资料，做好相关法律、法规及规章的解释工作。</w:t>
      </w:r>
    </w:p>
    <w:p w14:paraId="33E19DC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4、代理方工作人员如与本工程潜在投标人有任何利益关系应主动提出回避。</w:t>
      </w:r>
    </w:p>
    <w:p w14:paraId="47114DC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5、在代理活动中不得泄露依法应当保密的任何信息。</w:t>
      </w:r>
    </w:p>
    <w:p w14:paraId="66411CE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6、对代理过程中提出的技术方案、数据参数、技术经济分析结论负责。</w:t>
      </w:r>
    </w:p>
    <w:p w14:paraId="7B4CCEA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7、代理人成立招标代理项目组，并任命</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为项目组组长，负责该项目招标代理工作。项目组组成人员情况见附件一。</w:t>
      </w:r>
    </w:p>
    <w:p w14:paraId="35E2498F">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8、因代理人的单方过失造成的经济损失，应当向委托人进行赔偿。累计赔偿总额不应超过建设工程招标代理服务费总额（除去税金）。</w:t>
      </w:r>
    </w:p>
    <w:p w14:paraId="2C45519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9、因不可抗力导致代理合同不能全部或部分履行，代理人不承担责任。</w:t>
      </w:r>
    </w:p>
    <w:p w14:paraId="2686DDF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10、代理人不得采用行贿、给予其他利益或者诋毁他人等不正当手段进行竞争；</w:t>
      </w:r>
    </w:p>
    <w:p w14:paraId="3F87049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七、招标代理服务收费的计取</w:t>
      </w:r>
    </w:p>
    <w:p w14:paraId="0C43B79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1、根据国家现行取费政策，按照以下计算方法确定招标代理服务费金额：</w:t>
      </w:r>
    </w:p>
    <w:p w14:paraId="195C710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lang w:val="zh-CN"/>
        </w:rPr>
        <w:t>①实际招标代理服务收费=项目中标金额为基数×基准费率×报价系数，代理服务费不足2000</w:t>
      </w:r>
      <w:r>
        <w:rPr>
          <w:rFonts w:hint="eastAsia" w:ascii="宋体" w:hAnsi="宋体" w:cs="宋体"/>
          <w:sz w:val="24"/>
          <w:szCs w:val="24"/>
          <w:highlight w:val="none"/>
        </w:rPr>
        <w:t>/3500</w:t>
      </w:r>
      <w:r>
        <w:rPr>
          <w:rFonts w:hint="eastAsia" w:ascii="宋体" w:hAnsi="宋体" w:cs="宋体"/>
          <w:sz w:val="24"/>
          <w:szCs w:val="24"/>
          <w:highlight w:val="none"/>
          <w:lang w:val="zh-CN"/>
        </w:rPr>
        <w:t>元</w:t>
      </w:r>
      <w:r>
        <w:rPr>
          <w:rFonts w:hint="eastAsia" w:ascii="宋体" w:hAnsi="宋体" w:cs="宋体"/>
          <w:sz w:val="24"/>
          <w:szCs w:val="24"/>
          <w:highlight w:val="none"/>
        </w:rPr>
        <w:t>(进入南通市交易中心交易的项目按3500元计取，其余的按2000元计取)</w:t>
      </w:r>
      <w:r>
        <w:rPr>
          <w:rFonts w:hint="eastAsia" w:ascii="宋体" w:hAnsi="宋体" w:cs="宋体"/>
          <w:sz w:val="24"/>
          <w:szCs w:val="24"/>
          <w:highlight w:val="none"/>
          <w:lang w:val="zh-CN"/>
        </w:rPr>
        <w:t>的按2000</w:t>
      </w:r>
      <w:r>
        <w:rPr>
          <w:rFonts w:hint="eastAsia" w:ascii="宋体" w:hAnsi="宋体" w:cs="宋体"/>
          <w:sz w:val="24"/>
          <w:szCs w:val="24"/>
          <w:highlight w:val="none"/>
        </w:rPr>
        <w:t>/3500</w:t>
      </w:r>
      <w:r>
        <w:rPr>
          <w:rFonts w:hint="eastAsia" w:ascii="宋体" w:hAnsi="宋体" w:cs="宋体"/>
          <w:sz w:val="24"/>
          <w:szCs w:val="24"/>
          <w:highlight w:val="none"/>
          <w:lang w:val="zh-CN"/>
        </w:rPr>
        <w:t>元计算，代理服务费超过100000元的按照100000元进行计算。</w:t>
      </w:r>
      <w:r>
        <w:rPr>
          <w:rFonts w:hint="eastAsia" w:ascii="宋体" w:hAnsi="宋体" w:cs="宋体"/>
          <w:sz w:val="24"/>
          <w:szCs w:val="24"/>
          <w:highlight w:val="none"/>
        </w:rPr>
        <w:t>本合同最终报价系数为</w:t>
      </w:r>
      <w:r>
        <w:rPr>
          <w:rFonts w:hint="eastAsia" w:ascii="宋体" w:hAnsi="宋体" w:cs="宋体"/>
          <w:sz w:val="24"/>
          <w:szCs w:val="24"/>
          <w:highlight w:val="none"/>
          <w:u w:val="single"/>
        </w:rPr>
        <w:t>：  。</w:t>
      </w:r>
    </w:p>
    <w:p w14:paraId="6EE1DD5F">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②按照比选人的每一次招标子项分别计算服务费。如果同一个招标文件中分为若干标段的同时招标，则按照该招标文件中所有标段中标总价计算的合同总价为基数。若招标采购项目无法体现中标价，则代理服务费按照2000</w:t>
      </w:r>
      <w:r>
        <w:rPr>
          <w:rFonts w:hint="eastAsia" w:ascii="宋体" w:hAnsi="宋体" w:cs="宋体"/>
          <w:sz w:val="24"/>
          <w:szCs w:val="24"/>
          <w:highlight w:val="none"/>
        </w:rPr>
        <w:t>/3500</w:t>
      </w:r>
      <w:r>
        <w:rPr>
          <w:rFonts w:hint="eastAsia" w:ascii="宋体" w:hAnsi="宋体" w:cs="宋体"/>
          <w:sz w:val="24"/>
          <w:szCs w:val="24"/>
          <w:highlight w:val="none"/>
          <w:lang w:val="zh-CN"/>
        </w:rPr>
        <w:t>元</w:t>
      </w:r>
      <w:r>
        <w:rPr>
          <w:rFonts w:hint="eastAsia" w:ascii="宋体" w:hAnsi="宋体" w:cs="宋体"/>
          <w:sz w:val="24"/>
          <w:szCs w:val="24"/>
          <w:highlight w:val="none"/>
        </w:rPr>
        <w:t>(进入南通市交易中心交易的项目按3500元计取，其余的按2000元计取)</w:t>
      </w:r>
      <w:r>
        <w:rPr>
          <w:rFonts w:hint="eastAsia" w:ascii="宋体" w:hAnsi="宋体" w:cs="宋体"/>
          <w:sz w:val="24"/>
          <w:szCs w:val="24"/>
          <w:highlight w:val="none"/>
          <w:lang w:val="zh-CN"/>
        </w:rPr>
        <w:t>计算。</w:t>
      </w:r>
    </w:p>
    <w:p w14:paraId="5326DDC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bookmarkStart w:id="117" w:name="OLE_LINK18"/>
      <w:bookmarkStart w:id="118" w:name="OLE_LINK4"/>
      <w:r>
        <w:rPr>
          <w:rFonts w:hint="eastAsia" w:ascii="宋体" w:hAnsi="宋体" w:cs="宋体"/>
          <w:sz w:val="24"/>
          <w:szCs w:val="24"/>
          <w:highlight w:val="none"/>
          <w:lang w:val="zh-CN"/>
        </w:rPr>
        <w:t>③同一项目因流标、投诉等原因引起的重新招标，无论招标次数，均计取一次招标代理服务费。（多标段项目其中部分标段因流标、投诉等原因引起的重新招标，则视作独自招标子项分别计算服务费，例如：假设某一招标子项分为01标与02标，第一次开标后01中标，中标价200万元，02标流标，后续02标重新进行招标，中标价150万元，则分别按中标价200万元与150万元计算两次代理服务费）</w:t>
      </w:r>
    </w:p>
    <w:bookmarkEnd w:id="117"/>
    <w:bookmarkEnd w:id="118"/>
    <w:p w14:paraId="522BCD5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④代理服务收费按差额定率分档累进法计算。例如：假设代理单位中标报价系数为0.5，然后承担了某货物类招标，招标文件中货物类招标分为三个标段，三个标段中标价分别为 2500 万、3000 万、5000 万，则该次招标的代理服务费用计算如下：</w:t>
      </w:r>
    </w:p>
    <w:p w14:paraId="2AAEEE4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｛100×1.5%+（500-100）×1.1%+（1000-500）×0.8%+（5000-1000）×0.5%+（10000-5000）×0.25% +（10500-10000）×0.05%｝×0.5）=21.325万元。      </w:t>
      </w:r>
    </w:p>
    <w:p w14:paraId="159F95F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2、招标代理服务费的支付，采用以下（</w:t>
      </w:r>
      <w:r>
        <w:rPr>
          <w:rFonts w:hint="eastAsia" w:ascii="宋体" w:hAnsi="宋体" w:cs="宋体"/>
          <w:sz w:val="24"/>
          <w:szCs w:val="24"/>
          <w:highlight w:val="none"/>
        </w:rPr>
        <w:t>1</w:t>
      </w:r>
      <w:r>
        <w:rPr>
          <w:rFonts w:hint="eastAsia" w:ascii="宋体" w:hAnsi="宋体" w:cs="宋体"/>
          <w:sz w:val="24"/>
          <w:szCs w:val="24"/>
          <w:highlight w:val="none"/>
          <w:lang w:val="zh-CN"/>
        </w:rPr>
        <w:t>）方式。</w:t>
      </w:r>
    </w:p>
    <w:p w14:paraId="5968A62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（1）由委托人支付。</w:t>
      </w:r>
    </w:p>
    <w:p w14:paraId="07ED3AB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（2）与投标人约定，由中标人支付。</w:t>
      </w:r>
    </w:p>
    <w:p w14:paraId="6EAD51D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bookmarkStart w:id="119" w:name="OLE_LINK24"/>
      <w:bookmarkStart w:id="120" w:name="OLE_LINK19"/>
      <w:r>
        <w:rPr>
          <w:rFonts w:hint="eastAsia" w:ascii="宋体" w:hAnsi="宋体" w:cs="宋体"/>
          <w:sz w:val="24"/>
          <w:szCs w:val="24"/>
          <w:highlight w:val="none"/>
          <w:lang w:val="zh-CN"/>
        </w:rPr>
        <w:t>采用第（2）种方式支付招标代理服务费的，招标文件必须写明，并包含在投标报价中。</w:t>
      </w:r>
    </w:p>
    <w:bookmarkEnd w:id="119"/>
    <w:bookmarkEnd w:id="120"/>
    <w:p w14:paraId="4828B272">
      <w:pPr>
        <w:pageBreakBefore w:val="0"/>
        <w:numPr>
          <w:ilvl w:val="0"/>
          <w:numId w:val="2"/>
        </w:numPr>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bookmarkStart w:id="121" w:name="OLE_LINK26"/>
      <w:r>
        <w:rPr>
          <w:rFonts w:hint="eastAsia" w:ascii="宋体" w:hAnsi="宋体" w:cs="宋体"/>
          <w:sz w:val="24"/>
          <w:szCs w:val="24"/>
          <w:highlight w:val="none"/>
          <w:lang w:val="zh-CN"/>
        </w:rPr>
        <w:t>支付招标代理服务费的时间：（</w:t>
      </w:r>
      <w:r>
        <w:rPr>
          <w:rFonts w:hint="eastAsia" w:ascii="宋体" w:hAnsi="宋体" w:cs="宋体"/>
          <w:sz w:val="24"/>
          <w:szCs w:val="24"/>
          <w:highlight w:val="none"/>
        </w:rPr>
        <w:t>1</w:t>
      </w:r>
      <w:r>
        <w:rPr>
          <w:rFonts w:hint="eastAsia" w:ascii="宋体" w:hAnsi="宋体" w:cs="宋体"/>
          <w:sz w:val="24"/>
          <w:szCs w:val="24"/>
          <w:highlight w:val="none"/>
          <w:lang w:val="zh-CN"/>
        </w:rPr>
        <w:t>）</w:t>
      </w:r>
      <w:r>
        <w:rPr>
          <w:rFonts w:hint="eastAsia" w:ascii="宋体" w:hAnsi="宋体" w:cs="宋体"/>
          <w:sz w:val="24"/>
          <w:szCs w:val="24"/>
          <w:highlight w:val="none"/>
        </w:rPr>
        <w:t>合同签订后每半年支付一次代理服务费及造价咨询服务费；（2）每完成一次项目招标，提交了完整的符合要求的招投标归档资料后，可申请支付该招标代理服务费的60％；（3）本合同执行完成后，结合按照合同的违约考核和违约责任进行核减后，支付剩余款项（需提供以下资料：该项目中标通知书，该项目合同协议书，该项目代理服务过程考核表，该项目投标标档案归档确认单）。</w:t>
      </w:r>
    </w:p>
    <w:bookmarkEnd w:id="121"/>
    <w:p w14:paraId="38EEEAF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付款程序：受托人递交付款申请，支付申请书应当说明当期应付款总额，并列出当期应支付的款项及其金额。委托人审核后，受托人按委托人审核同意的金额向委托人开具增值税专用发票，委托人收到受托人发票后，按委托人的付款程序进行付款。委托人每次付款时，均可直接扣除受托人应支付的违约金、赔偿金、或受托人应承担的其他费用。</w:t>
      </w:r>
    </w:p>
    <w:p w14:paraId="23B3618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八、委托人对代理人完成本合同委托内容的时间要求</w:t>
      </w:r>
    </w:p>
    <w:p w14:paraId="57770E0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1、代理工作开始时间：                                          </w:t>
      </w:r>
    </w:p>
    <w:p w14:paraId="3340400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 xml:space="preserve">2、代理工作完成时间：                                            </w:t>
      </w:r>
    </w:p>
    <w:p w14:paraId="1B0F0D0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非代理方原因造成的时间延误，结束时间相应延长；代理结束以完成</w:t>
      </w:r>
      <w:r>
        <w:rPr>
          <w:rFonts w:hint="eastAsia" w:ascii="宋体" w:hAnsi="宋体" w:cs="宋体"/>
          <w:sz w:val="24"/>
          <w:szCs w:val="24"/>
          <w:highlight w:val="none"/>
        </w:rPr>
        <w:t>所有甲方委托的工作内容</w:t>
      </w:r>
      <w:r>
        <w:rPr>
          <w:rFonts w:hint="eastAsia" w:ascii="宋体" w:hAnsi="宋体" w:cs="宋体"/>
          <w:sz w:val="24"/>
          <w:szCs w:val="24"/>
          <w:highlight w:val="none"/>
          <w:lang w:val="zh-CN"/>
        </w:rPr>
        <w:t xml:space="preserve">时间为准。   </w:t>
      </w:r>
    </w:p>
    <w:p w14:paraId="788C34D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九、违约和争议的解决</w:t>
      </w:r>
    </w:p>
    <w:p w14:paraId="7BBAEA3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1、由于一方违约造成的损失，由违约方承担，另一方要求违约方继续履行合同时，违约方承担上述违约责任后仍应继续履行合同。</w:t>
      </w:r>
    </w:p>
    <w:p w14:paraId="5E6DCAA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2、由于违约造成第三方损失的，也由违约方在赔偿另一方损失的基础上再赔偿第三方损失。</w:t>
      </w:r>
    </w:p>
    <w:p w14:paraId="131C9F5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3、双方对代理合同条款变更时必须另签补充合同条款，补充合同条款作为本代理合同的组成部分与主合同具有同等法律效力。</w:t>
      </w:r>
    </w:p>
    <w:p w14:paraId="6B2E543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4、委托人与代理人在合同履行期间发生争议时，可以和解或者要求有关主管部门调解。一方不愿和解、调解或者和解、调解不成的，双方可以选择以下（</w:t>
      </w:r>
      <w:r>
        <w:rPr>
          <w:rFonts w:hint="eastAsia" w:ascii="宋体" w:hAnsi="宋体" w:cs="宋体"/>
          <w:sz w:val="24"/>
          <w:szCs w:val="24"/>
          <w:highlight w:val="none"/>
        </w:rPr>
        <w:t>1</w:t>
      </w:r>
      <w:r>
        <w:rPr>
          <w:rFonts w:hint="eastAsia" w:ascii="宋体" w:hAnsi="宋体" w:cs="宋体"/>
          <w:sz w:val="24"/>
          <w:szCs w:val="24"/>
          <w:highlight w:val="none"/>
          <w:lang w:val="zh-CN"/>
        </w:rPr>
        <w:t>）方式解决争议：</w:t>
      </w:r>
    </w:p>
    <w:p w14:paraId="1FCE8CC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（1）双方约定向</w:t>
      </w:r>
      <w:r>
        <w:rPr>
          <w:rFonts w:hint="eastAsia" w:ascii="宋体" w:hAnsi="宋体" w:cs="宋体"/>
          <w:sz w:val="24"/>
          <w:szCs w:val="24"/>
          <w:highlight w:val="none"/>
          <w:u w:val="single"/>
        </w:rPr>
        <w:t>南通市</w:t>
      </w:r>
      <w:r>
        <w:rPr>
          <w:rFonts w:hint="eastAsia" w:ascii="宋体" w:hAnsi="宋体" w:cs="宋体"/>
          <w:sz w:val="24"/>
          <w:szCs w:val="24"/>
          <w:highlight w:val="none"/>
          <w:lang w:val="zh-CN"/>
        </w:rPr>
        <w:t>（工程所在地）仲裁委员会申请仲裁。</w:t>
      </w:r>
    </w:p>
    <w:p w14:paraId="63F05BD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（2）向有管辖权的人民法院起诉。</w:t>
      </w:r>
    </w:p>
    <w:p w14:paraId="236C5F4F">
      <w:pPr>
        <w:pageBreakBefore w:val="0"/>
        <w:kinsoku/>
        <w:overflowPunct/>
        <w:bidi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br w:type="page"/>
      </w:r>
    </w:p>
    <w:p w14:paraId="40AA064F">
      <w:pPr>
        <w:pageBreakBefore w:val="0"/>
        <w:kinsoku/>
        <w:overflowPunct/>
        <w:bidi w:val="0"/>
        <w:spacing w:line="360" w:lineRule="auto"/>
        <w:ind w:right="-101" w:rightChars="-48" w:firstLine="361" w:firstLineChars="150"/>
        <w:jc w:val="center"/>
        <w:outlineLvl w:val="0"/>
        <w:rPr>
          <w:rFonts w:ascii="宋体" w:hAnsi="宋体" w:cs="宋体"/>
          <w:b/>
          <w:sz w:val="24"/>
          <w:szCs w:val="24"/>
          <w:highlight w:val="none"/>
        </w:rPr>
      </w:pPr>
      <w:r>
        <w:rPr>
          <w:rFonts w:hint="eastAsia" w:ascii="宋体" w:hAnsi="宋体" w:cs="宋体"/>
          <w:b/>
          <w:sz w:val="24"/>
          <w:szCs w:val="24"/>
          <w:highlight w:val="none"/>
          <w:lang w:val="zh-CN"/>
        </w:rPr>
        <w:t>第</w:t>
      </w:r>
      <w:r>
        <w:rPr>
          <w:rFonts w:hint="eastAsia" w:ascii="宋体" w:hAnsi="宋体" w:cs="宋体"/>
          <w:b/>
          <w:sz w:val="24"/>
          <w:szCs w:val="24"/>
          <w:highlight w:val="none"/>
        </w:rPr>
        <w:t>四</w:t>
      </w:r>
      <w:r>
        <w:rPr>
          <w:rFonts w:hint="eastAsia" w:ascii="宋体" w:hAnsi="宋体" w:cs="宋体"/>
          <w:b/>
          <w:sz w:val="24"/>
          <w:szCs w:val="24"/>
          <w:highlight w:val="none"/>
          <w:lang w:val="zh-CN"/>
        </w:rPr>
        <w:t xml:space="preserve">部分 </w:t>
      </w:r>
      <w:r>
        <w:rPr>
          <w:rFonts w:hint="eastAsia" w:ascii="宋体" w:hAnsi="宋体" w:cs="宋体"/>
          <w:b/>
          <w:sz w:val="24"/>
          <w:szCs w:val="24"/>
          <w:highlight w:val="none"/>
        </w:rPr>
        <w:t>造价咨询部分</w:t>
      </w:r>
      <w:r>
        <w:rPr>
          <w:rFonts w:hint="eastAsia" w:ascii="宋体" w:hAnsi="宋体" w:cs="宋体"/>
          <w:b/>
          <w:sz w:val="24"/>
          <w:szCs w:val="24"/>
          <w:highlight w:val="none"/>
          <w:lang w:val="zh-CN"/>
        </w:rPr>
        <w:t>合同协议</w:t>
      </w:r>
      <w:r>
        <w:rPr>
          <w:rFonts w:hint="eastAsia" w:ascii="宋体" w:hAnsi="宋体" w:cs="宋体"/>
          <w:b/>
          <w:sz w:val="24"/>
          <w:szCs w:val="24"/>
          <w:highlight w:val="none"/>
        </w:rPr>
        <w:t>条款</w:t>
      </w:r>
    </w:p>
    <w:p w14:paraId="11EEF3FF">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1.委托人的义务</w:t>
      </w:r>
    </w:p>
    <w:p w14:paraId="1876B51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1.1 提供资料</w:t>
      </w:r>
    </w:p>
    <w:p w14:paraId="75BDDDC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应当造价咨询任务下达后3天内向咨询人提供与本合同咨询业务有关的资料。在本合同履行过程中，委托人应及时向咨询人提供最新的与本合同咨询业务有关的资料。委托人应对所提供资料的真实性、准确性、合法性与完整性负责。</w:t>
      </w:r>
    </w:p>
    <w:p w14:paraId="726A838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1.2 提供工作条件</w:t>
      </w:r>
    </w:p>
    <w:p w14:paraId="2626D30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委托人应为咨询人完成造价咨询提供必要的条件。委托人应负责与本工程造价咨询业务有关的所有外部关系的协调，为咨询人履行本合同提供必要的外部条件。</w:t>
      </w:r>
    </w:p>
    <w:p w14:paraId="6BFB915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1.3 合理工作时限</w:t>
      </w:r>
    </w:p>
    <w:p w14:paraId="73BC0F9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委托人应当为咨询人完成其咨询工作，设定合理的工作时限。</w:t>
      </w:r>
    </w:p>
    <w:p w14:paraId="751BD7A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1.4 委托人代表</w:t>
      </w:r>
    </w:p>
    <w:p w14:paraId="35F0503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委托人代表为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，其权限范围为履行该合同相关事宜 </w:t>
      </w:r>
    </w:p>
    <w:p w14:paraId="47C1BDE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1.5 答复</w:t>
      </w:r>
    </w:p>
    <w:p w14:paraId="40FB994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委托人应当在7天内就咨询人以书面形式提交并要求做出答复的事宜给予书面答复。逾期未答复的，由此造成的工作延误和损失由委托人承担。</w:t>
      </w:r>
    </w:p>
    <w:p w14:paraId="256E41D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1.6 支付</w:t>
      </w:r>
    </w:p>
    <w:p w14:paraId="69CC8B0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委托人应当按照合同的约定，向咨询人支付酬金。</w:t>
      </w:r>
    </w:p>
    <w:p w14:paraId="640CD73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2.咨询人的义务</w:t>
      </w:r>
    </w:p>
    <w:p w14:paraId="09C50D8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2.1 项目咨询团队及人员</w:t>
      </w:r>
    </w:p>
    <w:p w14:paraId="22D7326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2.1.1项目咨询团队的主要人员应具有注册造价工程师资格条件，团队人员的数量为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w:t>
      </w:r>
    </w:p>
    <w:p w14:paraId="51947DE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2.1.2造价咨询项目负责人为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，项目负责人为履行本合同的权限为：全权负责处理该项目所有造价事宜。</w:t>
      </w:r>
    </w:p>
    <w:p w14:paraId="067B5E1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2.1.3在本合同履行过程中，咨询人员应保持相对稳定， 以保证咨询工作正常进行。咨询人可根据工程进展和工作需要等情形调整项目咨询团队人员。咨询人更换项目咨询团队其他咨询人员的约定：更换后的人员资质不得低于原承诺人员资质等级，且必须征得委托人同意。</w:t>
      </w:r>
    </w:p>
    <w:p w14:paraId="6BA47F7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2.1.4 咨询人员有下列情形之一，委托人要求咨询人更换的，咨询人应当更换：</w:t>
      </w:r>
    </w:p>
    <w:p w14:paraId="593FCEC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（1）存在严重过失行为的；</w:t>
      </w:r>
    </w:p>
    <w:p w14:paraId="2CE02B9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（2）存在违法行为不能履行职责的；</w:t>
      </w:r>
    </w:p>
    <w:p w14:paraId="2393FEA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（3）涉嫌犯罪的；</w:t>
      </w:r>
    </w:p>
    <w:p w14:paraId="05D6753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（4）不能胜任岗位职责的；</w:t>
      </w:r>
    </w:p>
    <w:p w14:paraId="70B17C6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（5）严重违反职业道德的；</w:t>
      </w:r>
    </w:p>
    <w:p w14:paraId="1F28BD5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（6）不能胜任该项目咨询人员；</w:t>
      </w:r>
    </w:p>
    <w:p w14:paraId="23C15AB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（7）不服从委托人工作安排；</w:t>
      </w:r>
    </w:p>
    <w:p w14:paraId="117DEFB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（8）委托人发现咨询人员有违背职业道德行为。</w:t>
      </w:r>
    </w:p>
    <w:p w14:paraId="590EBCB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 咨询人的工作要求</w:t>
      </w:r>
    </w:p>
    <w:p w14:paraId="1CA1EB2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56428B6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2.2.2 咨询人应当工程造价文件审核服务须在收到送审资料后7天内编制完成咨询意见，零星工程结算审核须在收到送审资料后10天内编制完成咨询报告初稿。上述咨询项目若发现资料不齐时，应在收到资料后2天内向委托人提出，并明确相关资料要求。咨询人提供造价咨询服务以及出具工程造价咨询成果文件应符合现行国家或行业有关规定、标准、规范的要求。</w:t>
      </w:r>
    </w:p>
    <w:p w14:paraId="6ADCA62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2.2.3 咨询人提交的工程造价咨询成果文件，除加盖咨询人单位公章、工程造价咨询企业执业印章外，还必须按要求加盖参加咨询工作人员的执业（从业）资格印章。</w:t>
      </w:r>
    </w:p>
    <w:p w14:paraId="5E5B8A7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2.2.4 咨询人应在3天内，对委托人以书面形式提出的建议或者异议给予书面答复。</w:t>
      </w:r>
    </w:p>
    <w:p w14:paraId="0505251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2.2.5 咨询人从事工程造价咨询活动，应当遵循独立、客观、公正、诚实信用的原则，不得损害社会公共利益和他人的合法权益。</w:t>
      </w:r>
    </w:p>
    <w:p w14:paraId="09B74C8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2.2.6 咨询人承诺按照法律规定及合同约定，完成合同范围内的建设工程造价咨询服务，不转包承接的造价咨询服务业务。</w:t>
      </w:r>
    </w:p>
    <w:p w14:paraId="43D5A77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2.3 咨询人的工作依据</w:t>
      </w:r>
    </w:p>
    <w:p w14:paraId="765B109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37F7277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咨询人应自行配备本条所述的技术标准、规范、定额等相关资料。需要委托人协助才能获得的资料，委托人应予以协助。</w:t>
      </w:r>
    </w:p>
    <w:p w14:paraId="7622FF4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3.违约责任</w:t>
      </w:r>
    </w:p>
    <w:p w14:paraId="7EBDC44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3.1 委托人的违约责任</w:t>
      </w:r>
    </w:p>
    <w:p w14:paraId="63BA451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3.1.1 委托人不履行本合同义务或者履行义务不符合本合同约定的，应承担违约责任。</w:t>
      </w:r>
    </w:p>
    <w:p w14:paraId="6B0DAC1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3.1.2 委托人违反本合同约定造成咨询人损失的，委托人应予以赔偿。</w:t>
      </w:r>
    </w:p>
    <w:p w14:paraId="25A7DD3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3.2 咨询人的违约责任</w:t>
      </w:r>
    </w:p>
    <w:p w14:paraId="57D6572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3.2.1 咨询人不履行本合同义务或者履行义务不符合本合同约定的，应承担违约责任。</w:t>
      </w:r>
    </w:p>
    <w:p w14:paraId="4A0AADC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3.2.2 因咨询人违反本合同约定给委托人造成损失的，咨询人应当赔偿委托人损失。</w:t>
      </w:r>
    </w:p>
    <w:p w14:paraId="63154F0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3.2.3咨询人的造价咨询成果出现质量较差、差较大情况(成果偏差在3~5%之间)，或不能按委托人的要求进行造价咨询工作，委托人将按合同应收的咨询费扣除5%作为违约金。若咨询人的造价咨询成果出现重大偏差情况(成果偏差大于5%)，委托人将按合同应付的咨询费扣除10%作为违约金；若咨询人拒绝委托人安排的造价咨询工作，委托人有权解除合同，同时咨询人应承担违约责任并对审核结果承担法律责任。</w:t>
      </w:r>
    </w:p>
    <w:p w14:paraId="2D475BB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3.2.4咨询人的项目负责人和专业造价咨询负责人不允许调换，调换项目负责人罚款5万元，调换专业造价咨询负责人罚款2万元/人，且咨询人必须安排不低原经历和资格的人员，并经委托人审批同意后方可予以调换。</w:t>
      </w:r>
    </w:p>
    <w:p w14:paraId="22633C2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4.支付</w:t>
      </w:r>
    </w:p>
    <w:p w14:paraId="31608CA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4.1造价咨询服务收费的计取</w:t>
      </w:r>
    </w:p>
    <w:p w14:paraId="3752AFF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造价咨询服务费用参考《省物价局省住房和城乡建设厅关于规范工程造价咨询服务收费标准及有关事项的通知》（苏价服[2014]383号）指导性收费标准，相关标准费率或价格约定如下。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65"/>
        <w:gridCol w:w="6462"/>
      </w:tblGrid>
      <w:tr w14:paraId="280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8" w:type="dxa"/>
            <w:vAlign w:val="center"/>
          </w:tcPr>
          <w:p w14:paraId="4A36E65F">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序号</w:t>
            </w:r>
          </w:p>
        </w:tc>
        <w:tc>
          <w:tcPr>
            <w:tcW w:w="1365" w:type="dxa"/>
            <w:vAlign w:val="center"/>
          </w:tcPr>
          <w:p w14:paraId="52D309F3">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服务类型</w:t>
            </w:r>
          </w:p>
        </w:tc>
        <w:tc>
          <w:tcPr>
            <w:tcW w:w="6462" w:type="dxa"/>
            <w:vAlign w:val="center"/>
          </w:tcPr>
          <w:p w14:paraId="4D0159B6">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费率或价格</w:t>
            </w:r>
          </w:p>
        </w:tc>
      </w:tr>
      <w:tr w14:paraId="76A1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8" w:type="dxa"/>
            <w:vAlign w:val="center"/>
          </w:tcPr>
          <w:p w14:paraId="536FB5C0">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1</w:t>
            </w:r>
          </w:p>
        </w:tc>
        <w:tc>
          <w:tcPr>
            <w:tcW w:w="1365" w:type="dxa"/>
            <w:vAlign w:val="center"/>
          </w:tcPr>
          <w:p w14:paraId="7BE8608F">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招标控制价编制</w:t>
            </w:r>
          </w:p>
        </w:tc>
        <w:tc>
          <w:tcPr>
            <w:tcW w:w="6462" w:type="dxa"/>
          </w:tcPr>
          <w:p w14:paraId="044F68D0">
            <w:pPr>
              <w:pageBreakBefore w:val="0"/>
              <w:kinsoku/>
              <w:overflowPunct/>
              <w:bidi w:val="0"/>
              <w:spacing w:line="360" w:lineRule="auto"/>
              <w:ind w:right="-42" w:rightChars="-20"/>
              <w:jc w:val="left"/>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按照《省物价局 省住房和城乡建设厅关于规范工程造价咨询服务收费标准及有关事项的通知》（苏价服[2014]383号）标准，基数为招标控制价编制成果金额，标准费率1.6‰。</w:t>
            </w:r>
          </w:p>
        </w:tc>
      </w:tr>
      <w:tr w14:paraId="6C67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8" w:type="dxa"/>
            <w:vAlign w:val="center"/>
          </w:tcPr>
          <w:p w14:paraId="389929B2">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2</w:t>
            </w:r>
          </w:p>
        </w:tc>
        <w:tc>
          <w:tcPr>
            <w:tcW w:w="1365" w:type="dxa"/>
            <w:vAlign w:val="center"/>
          </w:tcPr>
          <w:p w14:paraId="007A5784">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招标控制价审核</w:t>
            </w:r>
          </w:p>
        </w:tc>
        <w:tc>
          <w:tcPr>
            <w:tcW w:w="6462" w:type="dxa"/>
            <w:vAlign w:val="center"/>
          </w:tcPr>
          <w:p w14:paraId="35499E6F">
            <w:pPr>
              <w:pageBreakBefore w:val="0"/>
              <w:kinsoku/>
              <w:overflowPunct/>
              <w:bidi w:val="0"/>
              <w:spacing w:line="360" w:lineRule="auto"/>
              <w:ind w:right="-42" w:rightChars="-20"/>
              <w:jc w:val="left"/>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按招标控制价编制标准费率的50%计取。</w:t>
            </w:r>
          </w:p>
        </w:tc>
      </w:tr>
      <w:tr w14:paraId="7C3F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8" w:type="dxa"/>
            <w:vAlign w:val="center"/>
          </w:tcPr>
          <w:p w14:paraId="4BE37449">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3</w:t>
            </w:r>
          </w:p>
        </w:tc>
        <w:tc>
          <w:tcPr>
            <w:tcW w:w="1365" w:type="dxa"/>
            <w:vAlign w:val="center"/>
          </w:tcPr>
          <w:p w14:paraId="5D6368F4">
            <w:pPr>
              <w:pageBreakBefore w:val="0"/>
              <w:kinsoku/>
              <w:overflowPunct/>
              <w:bidi w:val="0"/>
              <w:spacing w:line="360" w:lineRule="auto"/>
              <w:ind w:right="-42" w:rightChars="-20"/>
              <w:jc w:val="center"/>
              <w:rPr>
                <w:rFonts w:ascii="宋体" w:hAnsi="宋体" w:cs="宋体"/>
                <w:sz w:val="24"/>
                <w:szCs w:val="24"/>
                <w:highlight w:val="none"/>
              </w:rPr>
            </w:pPr>
            <w:r>
              <w:rPr>
                <w:rFonts w:hint="eastAsia" w:ascii="宋体" w:hAnsi="宋体" w:cs="宋体"/>
                <w:color w:val="000000" w:themeColor="text1"/>
                <w:sz w:val="24"/>
                <w:szCs w:val="24"/>
                <w:highlight w:val="none"/>
                <w:lang w:val="zh-CN"/>
                <w14:textFill>
                  <w14:solidFill>
                    <w14:schemeClr w14:val="tx1"/>
                  </w14:solidFill>
                </w14:textFill>
              </w:rPr>
              <w:t>竣工结算</w:t>
            </w:r>
            <w:r>
              <w:rPr>
                <w:rFonts w:hint="eastAsia" w:ascii="宋体" w:hAnsi="宋体" w:cs="宋体"/>
                <w:color w:val="000000" w:themeColor="text1"/>
                <w:sz w:val="24"/>
                <w:szCs w:val="24"/>
                <w:highlight w:val="none"/>
                <w14:textFill>
                  <w14:solidFill>
                    <w14:schemeClr w14:val="tx1"/>
                  </w14:solidFill>
                </w14:textFill>
              </w:rPr>
              <w:t>审核</w:t>
            </w:r>
          </w:p>
        </w:tc>
        <w:tc>
          <w:tcPr>
            <w:tcW w:w="6462" w:type="dxa"/>
            <w:vAlign w:val="center"/>
          </w:tcPr>
          <w:p w14:paraId="3868ADD4">
            <w:pPr>
              <w:pageBreakBefore w:val="0"/>
              <w:kinsoku/>
              <w:overflowPunct/>
              <w:bidi w:val="0"/>
              <w:spacing w:line="360" w:lineRule="auto"/>
              <w:ind w:right="-42" w:rightChars="-20"/>
              <w:jc w:val="left"/>
              <w:rPr>
                <w:rFonts w:ascii="宋体" w:hAnsi="宋体" w:cs="宋体"/>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按照《省物价局 省住房和城乡建设厅关于规范工程造价咨询服务收费标准及有关事项的通知》（苏价服[2014]383号）标准，本项目中不计取基本收费，仅计取效益收费。效益收费基数为净核减，标准费率6%。</w:t>
            </w:r>
          </w:p>
        </w:tc>
      </w:tr>
    </w:tbl>
    <w:p w14:paraId="243194C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造价咨询服务费计算方法：</w:t>
      </w:r>
    </w:p>
    <w:p w14:paraId="0E5DDD6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①招标控制价编制服务费和招标控制价审核服务费=项目成果金额*招标文件中约定的标准费率×报价系数，造价咨询服务费不足1000元按1000元计算。</w:t>
      </w:r>
    </w:p>
    <w:p w14:paraId="0096236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②招标控制价编制及招标控制价审核费率不按差额累计执行。</w:t>
      </w:r>
    </w:p>
    <w:p w14:paraId="4FBB456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③竣工结算审核服务不计取基本收费，仅计取效益收费，即造价咨询服务费用=净核减额×招标文件中约定的标准费率×报价系数，造价咨询服务费不足1000元按1000元计算。</w:t>
      </w:r>
    </w:p>
    <w:p w14:paraId="4365940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4.2支付造价咨询服务费的时间：</w:t>
      </w:r>
      <w:r>
        <w:rPr>
          <w:rFonts w:hint="eastAsia" w:ascii="宋体" w:hAnsi="宋体" w:cs="宋体"/>
          <w:sz w:val="24"/>
          <w:szCs w:val="24"/>
          <w:highlight w:val="none"/>
          <w:lang w:val="zh-CN"/>
        </w:rPr>
        <w:t>（</w:t>
      </w:r>
      <w:r>
        <w:rPr>
          <w:rFonts w:hint="eastAsia" w:ascii="宋体" w:hAnsi="宋体" w:cs="宋体"/>
          <w:sz w:val="24"/>
          <w:szCs w:val="24"/>
          <w:highlight w:val="none"/>
        </w:rPr>
        <w:t>1</w:t>
      </w:r>
      <w:r>
        <w:rPr>
          <w:rFonts w:hint="eastAsia" w:ascii="宋体" w:hAnsi="宋体" w:cs="宋体"/>
          <w:sz w:val="24"/>
          <w:szCs w:val="24"/>
          <w:highlight w:val="none"/>
          <w:lang w:val="zh-CN"/>
        </w:rPr>
        <w:t>）</w:t>
      </w:r>
      <w:r>
        <w:rPr>
          <w:rFonts w:hint="eastAsia" w:ascii="宋体" w:hAnsi="宋体" w:cs="宋体"/>
          <w:sz w:val="24"/>
          <w:szCs w:val="24"/>
          <w:highlight w:val="none"/>
        </w:rPr>
        <w:t>合同签订后每半年支付一次代理服务费及造价咨询服务费；（2）每完成一次造价咨询服务，提交了完整的符合要求的成果文件后，可申请支付该</w:t>
      </w:r>
      <w:r>
        <w:rPr>
          <w:rFonts w:hint="eastAsia" w:ascii="宋体" w:hAnsi="宋体" w:cs="宋体"/>
          <w:sz w:val="24"/>
          <w:szCs w:val="24"/>
          <w:highlight w:val="none"/>
          <w:lang w:val="en-US" w:eastAsia="zh-CN"/>
        </w:rPr>
        <w:t>造价咨询</w:t>
      </w:r>
      <w:r>
        <w:rPr>
          <w:rFonts w:hint="eastAsia" w:ascii="宋体" w:hAnsi="宋体" w:cs="宋体"/>
          <w:sz w:val="24"/>
          <w:szCs w:val="24"/>
          <w:highlight w:val="none"/>
        </w:rPr>
        <w:t>服务费的60％；（3）本合同执行完成后，结合按照合同的违约考核和违约责任进行核减后，支付剩余款项。</w:t>
      </w:r>
    </w:p>
    <w:p w14:paraId="16F48F8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付款程序：受托人递交付款申请，支付申请书应当说明当期应付款总额，并列出当期应支付的款项及其金额。委托人审核后，受托人按委托人审核同意的金额向委托人开具增值税专用发票，委托人收到受托人发票后，按委托人的付款程序进行付款。委托人每次付款时，均可直接扣除受托人应支付的违约金、赔偿金、或受托人应承担的其他费用。</w:t>
      </w:r>
    </w:p>
    <w:p w14:paraId="32219A2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5.合同变更、解除与终止</w:t>
      </w:r>
    </w:p>
    <w:p w14:paraId="1995509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5.1 合同变更</w:t>
      </w:r>
    </w:p>
    <w:p w14:paraId="6E57062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5.1.1 任何一方以书面形式提出变更请求时，双方经协商一致后可进行变更。</w:t>
      </w:r>
    </w:p>
    <w:p w14:paraId="6E74971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5.1.2 除不可抗力外，因非咨询人原因导致咨询人履行合同期限延长、内容增加时，咨询人应当将此情况与可能产生的影响及时通知委托人。增加的工 作时间或工作内容应视为附加工作。附加工作酬金的确定方法由双方根据委托 的服务范围及工作内容在专用条件中约定。</w:t>
      </w:r>
    </w:p>
    <w:p w14:paraId="0F32A2D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5.1.3 合同履行过程中，遇有与工程相关的法律法规、强制性标准颁布或 修订的，双方应遵照执行。非强制性标准、规范、定额等发生变化的，双方协 商确定执行依据。由此引起造价咨询的服务范围及内容、服务期限、酬金变化 的，双方应通过协商确定。</w:t>
      </w:r>
    </w:p>
    <w:p w14:paraId="12734BA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5.1.4 因工程规模、服务范围及工作内容的变化等导致咨询人的工作量增减时，服务酬金应作相应调整，调整方法由双方在专用条件中约定。</w:t>
      </w:r>
    </w:p>
    <w:p w14:paraId="2A4BBBA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 合同解除</w:t>
      </w:r>
    </w:p>
    <w:p w14:paraId="62C3B22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5.2.1 委托人与咨询人协商一致，可以解除合同。</w:t>
      </w:r>
    </w:p>
    <w:p w14:paraId="463FFA9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5.2.2 有下列情形之一的，合同当事人一方或双方可以解除合同：</w:t>
      </w:r>
    </w:p>
    <w:p w14:paraId="58CDC42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（1）咨询人将本合同约定的工程造价咨询服务工作全部或部分转包给他人，委托人可以解除合同；</w:t>
      </w:r>
    </w:p>
    <w:p w14:paraId="6371823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（2）咨询人提供的造价咨询服务不符合合同约定的要求，经委托人催告仍不能达到合同约定要求的，委托人可以解除合同；</w:t>
      </w:r>
    </w:p>
    <w:p w14:paraId="5BF88F0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（3）委托人未按合同约定支付服务酬金，经咨询人催告后，在 28 天内仍未支付的，咨询人可以解除合同；</w:t>
      </w:r>
    </w:p>
    <w:p w14:paraId="4451B73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（4）因不可抗力致使合同无法履行；</w:t>
      </w:r>
    </w:p>
    <w:p w14:paraId="59B0BAE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（5）因一方违约致使合同无法实际履行或实际履行已无必要。</w:t>
      </w:r>
    </w:p>
    <w:p w14:paraId="6084514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除上述情形外，双方可以根据委托的服务范围及工作内容，在专用条件中约定解除合同的其他条件。</w:t>
      </w:r>
    </w:p>
    <w:p w14:paraId="4BDD629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5.2.3 任何一方提出解除合同的，应提前 30 天书面通知对方。</w:t>
      </w:r>
    </w:p>
    <w:p w14:paraId="4E7E727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5.2.4 合同解除后，委托人应按照合同约定向咨询人支付已完成部分的咨询服务酬金。</w:t>
      </w:r>
    </w:p>
    <w:p w14:paraId="023B545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因不可抗力导致的合同解除，其损失的分担按照合理分担的原则由合同当事人在专用条件中自行约定。除不可抗力外因非咨询人原因导致的合同解除， 其损失由委托人承担。因咨询人自身原因导致的合同解除，按照违约责任处理。</w:t>
      </w:r>
    </w:p>
    <w:p w14:paraId="6164F4C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5.2.5 本合同解除后，本合同约定的有关结算、争议解决方式的条款仍然有效。</w:t>
      </w:r>
    </w:p>
    <w:p w14:paraId="3D0D15C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5.3 合同终止</w:t>
      </w:r>
    </w:p>
    <w:p w14:paraId="7B38422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除合同解除外，以下条件全部满足时，本合同终止：</w:t>
      </w:r>
    </w:p>
    <w:p w14:paraId="76C05938">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（1）咨询人完成本合同约定的全部工作；</w:t>
      </w:r>
    </w:p>
    <w:p w14:paraId="7B7AC72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（2）委托人与咨询人结清并支付酬金；</w:t>
      </w:r>
    </w:p>
    <w:p w14:paraId="3BD6B00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（3）咨询人将委托人提供的资料交还。</w:t>
      </w:r>
    </w:p>
    <w:p w14:paraId="5DACE53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6.其他</w:t>
      </w:r>
    </w:p>
    <w:p w14:paraId="3F619BD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6.1 保密</w:t>
      </w:r>
    </w:p>
    <w:p w14:paraId="2B88A90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6.2 知识产权</w:t>
      </w:r>
    </w:p>
    <w:p w14:paraId="413046D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委托人提供给咨询人的图纸、委托人为实施工程 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D6C008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咨询人为履行本合同约定而编制的成果文件，其著作权属于委托人。委托人可以为实现合同目的而复制、使用此类文件。</w:t>
      </w:r>
    </w:p>
    <w:p w14:paraId="7EF2FBA4">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rPr>
      </w:pPr>
      <w:r>
        <w:rPr>
          <w:rFonts w:hint="eastAsia" w:ascii="宋体" w:hAnsi="宋体" w:cs="宋体"/>
          <w:sz w:val="24"/>
          <w:szCs w:val="24"/>
          <w:highlight w:val="none"/>
        </w:rPr>
        <w:t>双方保证在履行本合同过程中不侵犯对方及第三方的知识产权。因咨询人侵犯他人知识产权所引起的责任，由咨询人承担。</w:t>
      </w:r>
    </w:p>
    <w:p w14:paraId="415BE45F">
      <w:pPr>
        <w:pageBreakBefore w:val="0"/>
        <w:kinsoku/>
        <w:overflowPunct/>
        <w:bidi w:val="0"/>
        <w:spacing w:line="360" w:lineRule="auto"/>
        <w:rPr>
          <w:rFonts w:ascii="宋体" w:hAnsi="宋体" w:cs="宋体"/>
          <w:kern w:val="0"/>
          <w:sz w:val="24"/>
          <w:highlight w:val="none"/>
        </w:rPr>
      </w:pPr>
      <w:r>
        <w:rPr>
          <w:rFonts w:hint="eastAsia" w:ascii="宋体" w:hAnsi="宋体" w:cs="宋体"/>
          <w:kern w:val="0"/>
          <w:sz w:val="24"/>
          <w:highlight w:val="none"/>
        </w:rPr>
        <w:br w:type="page"/>
      </w:r>
    </w:p>
    <w:p w14:paraId="26166F21">
      <w:pPr>
        <w:pageBreakBefore w:val="0"/>
        <w:kinsoku/>
        <w:overflowPunct/>
        <w:bidi w:val="0"/>
        <w:spacing w:line="360" w:lineRule="auto"/>
        <w:ind w:right="-101" w:rightChars="-48"/>
        <w:rPr>
          <w:rFonts w:ascii="宋体" w:hAnsi="宋体" w:cs="宋体"/>
          <w:kern w:val="0"/>
          <w:sz w:val="24"/>
          <w:highlight w:val="none"/>
        </w:rPr>
      </w:pPr>
      <w:r>
        <w:rPr>
          <w:rFonts w:hint="eastAsia" w:ascii="宋体" w:hAnsi="宋体" w:cs="宋体"/>
          <w:kern w:val="0"/>
          <w:sz w:val="24"/>
          <w:highlight w:val="none"/>
        </w:rPr>
        <w:t>附件1：</w:t>
      </w:r>
    </w:p>
    <w:p w14:paraId="7243634A">
      <w:pPr>
        <w:pageBreakBefore w:val="0"/>
        <w:kinsoku/>
        <w:overflowPunct/>
        <w:bidi w:val="0"/>
        <w:spacing w:line="360" w:lineRule="auto"/>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工程代理项目组组成人员情况及事项表</w:t>
      </w:r>
    </w:p>
    <w:tbl>
      <w:tblPr>
        <w:tblStyle w:val="37"/>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365"/>
        <w:gridCol w:w="299"/>
        <w:gridCol w:w="946"/>
        <w:gridCol w:w="773"/>
        <w:gridCol w:w="1132"/>
        <w:gridCol w:w="1479"/>
        <w:gridCol w:w="1506"/>
      </w:tblGrid>
      <w:tr w14:paraId="29D3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70202CF5">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工程项目名称</w:t>
            </w:r>
          </w:p>
        </w:tc>
        <w:tc>
          <w:tcPr>
            <w:tcW w:w="2610" w:type="dxa"/>
            <w:gridSpan w:val="3"/>
            <w:vAlign w:val="center"/>
          </w:tcPr>
          <w:p w14:paraId="5AB01411">
            <w:pPr>
              <w:pageBreakBefore w:val="0"/>
              <w:kinsoku/>
              <w:overflowPunct/>
              <w:bidi w:val="0"/>
              <w:spacing w:line="360" w:lineRule="auto"/>
              <w:jc w:val="center"/>
              <w:rPr>
                <w:rFonts w:ascii="宋体" w:hAnsi="宋体" w:cs="宋体"/>
                <w:szCs w:val="21"/>
                <w:highlight w:val="none"/>
              </w:rPr>
            </w:pPr>
          </w:p>
        </w:tc>
        <w:tc>
          <w:tcPr>
            <w:tcW w:w="1905" w:type="dxa"/>
            <w:gridSpan w:val="2"/>
            <w:vAlign w:val="center"/>
          </w:tcPr>
          <w:p w14:paraId="0DDF5A52">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招标内容</w:t>
            </w:r>
          </w:p>
        </w:tc>
        <w:tc>
          <w:tcPr>
            <w:tcW w:w="2985" w:type="dxa"/>
            <w:gridSpan w:val="2"/>
            <w:vAlign w:val="center"/>
          </w:tcPr>
          <w:p w14:paraId="0026DFDF">
            <w:pPr>
              <w:pageBreakBefore w:val="0"/>
              <w:kinsoku/>
              <w:overflowPunct/>
              <w:bidi w:val="0"/>
              <w:spacing w:line="360" w:lineRule="auto"/>
              <w:jc w:val="center"/>
              <w:rPr>
                <w:rFonts w:ascii="宋体" w:hAnsi="宋体" w:cs="宋体"/>
                <w:szCs w:val="21"/>
                <w:highlight w:val="none"/>
              </w:rPr>
            </w:pPr>
          </w:p>
        </w:tc>
      </w:tr>
      <w:tr w14:paraId="712E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23" w:type="dxa"/>
            <w:gridSpan w:val="8"/>
            <w:vAlign w:val="center"/>
          </w:tcPr>
          <w:p w14:paraId="6EB7AC3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人   员   情   况</w:t>
            </w:r>
          </w:p>
        </w:tc>
      </w:tr>
      <w:tr w14:paraId="6564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124B4159">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姓   名</w:t>
            </w:r>
          </w:p>
        </w:tc>
        <w:tc>
          <w:tcPr>
            <w:tcW w:w="1365" w:type="dxa"/>
            <w:vAlign w:val="center"/>
          </w:tcPr>
          <w:p w14:paraId="248C312A">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职   务</w:t>
            </w:r>
          </w:p>
        </w:tc>
        <w:tc>
          <w:tcPr>
            <w:tcW w:w="1245" w:type="dxa"/>
            <w:gridSpan w:val="2"/>
            <w:vAlign w:val="center"/>
          </w:tcPr>
          <w:p w14:paraId="318867B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职   称</w:t>
            </w:r>
          </w:p>
        </w:tc>
        <w:tc>
          <w:tcPr>
            <w:tcW w:w="1905" w:type="dxa"/>
            <w:gridSpan w:val="2"/>
            <w:vAlign w:val="center"/>
          </w:tcPr>
          <w:p w14:paraId="03DBEDC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注册资格</w:t>
            </w:r>
          </w:p>
        </w:tc>
        <w:tc>
          <w:tcPr>
            <w:tcW w:w="1479" w:type="dxa"/>
            <w:vAlign w:val="center"/>
          </w:tcPr>
          <w:p w14:paraId="4A082FC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上岗证号</w:t>
            </w:r>
          </w:p>
        </w:tc>
        <w:tc>
          <w:tcPr>
            <w:tcW w:w="1506" w:type="dxa"/>
            <w:vAlign w:val="center"/>
          </w:tcPr>
          <w:p w14:paraId="7AD190D0">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备   注</w:t>
            </w:r>
          </w:p>
        </w:tc>
      </w:tr>
      <w:tr w14:paraId="0B78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220AC020">
            <w:pPr>
              <w:pageBreakBefore w:val="0"/>
              <w:kinsoku/>
              <w:overflowPunct/>
              <w:bidi w:val="0"/>
              <w:spacing w:line="360" w:lineRule="auto"/>
              <w:jc w:val="center"/>
              <w:rPr>
                <w:rFonts w:ascii="宋体" w:hAnsi="宋体" w:cs="宋体"/>
                <w:szCs w:val="21"/>
                <w:highlight w:val="none"/>
              </w:rPr>
            </w:pPr>
          </w:p>
        </w:tc>
        <w:tc>
          <w:tcPr>
            <w:tcW w:w="1365" w:type="dxa"/>
            <w:vAlign w:val="center"/>
          </w:tcPr>
          <w:p w14:paraId="379D7AFE">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组长</w:t>
            </w:r>
          </w:p>
        </w:tc>
        <w:tc>
          <w:tcPr>
            <w:tcW w:w="1245" w:type="dxa"/>
            <w:gridSpan w:val="2"/>
            <w:vAlign w:val="center"/>
          </w:tcPr>
          <w:p w14:paraId="770566DA">
            <w:pPr>
              <w:pageBreakBefore w:val="0"/>
              <w:kinsoku/>
              <w:overflowPunct/>
              <w:bidi w:val="0"/>
              <w:spacing w:line="360" w:lineRule="auto"/>
              <w:jc w:val="center"/>
              <w:rPr>
                <w:rFonts w:ascii="宋体" w:hAnsi="宋体" w:cs="宋体"/>
                <w:szCs w:val="21"/>
                <w:highlight w:val="none"/>
              </w:rPr>
            </w:pPr>
          </w:p>
        </w:tc>
        <w:tc>
          <w:tcPr>
            <w:tcW w:w="1905" w:type="dxa"/>
            <w:gridSpan w:val="2"/>
            <w:vAlign w:val="center"/>
          </w:tcPr>
          <w:p w14:paraId="40E583F8">
            <w:pPr>
              <w:pageBreakBefore w:val="0"/>
              <w:kinsoku/>
              <w:overflowPunct/>
              <w:bidi w:val="0"/>
              <w:spacing w:line="360" w:lineRule="auto"/>
              <w:jc w:val="center"/>
              <w:rPr>
                <w:rFonts w:ascii="宋体" w:hAnsi="宋体" w:cs="宋体"/>
                <w:szCs w:val="21"/>
                <w:highlight w:val="none"/>
              </w:rPr>
            </w:pPr>
          </w:p>
        </w:tc>
        <w:tc>
          <w:tcPr>
            <w:tcW w:w="1479" w:type="dxa"/>
            <w:vAlign w:val="center"/>
          </w:tcPr>
          <w:p w14:paraId="63A72360">
            <w:pPr>
              <w:pageBreakBefore w:val="0"/>
              <w:kinsoku/>
              <w:overflowPunct/>
              <w:bidi w:val="0"/>
              <w:spacing w:line="360" w:lineRule="auto"/>
              <w:jc w:val="center"/>
              <w:rPr>
                <w:rFonts w:ascii="宋体" w:hAnsi="宋体" w:cs="宋体"/>
                <w:szCs w:val="21"/>
                <w:highlight w:val="none"/>
              </w:rPr>
            </w:pPr>
          </w:p>
        </w:tc>
        <w:tc>
          <w:tcPr>
            <w:tcW w:w="1506" w:type="dxa"/>
            <w:vAlign w:val="center"/>
          </w:tcPr>
          <w:p w14:paraId="24773060">
            <w:pPr>
              <w:pageBreakBefore w:val="0"/>
              <w:kinsoku/>
              <w:overflowPunct/>
              <w:bidi w:val="0"/>
              <w:spacing w:line="360" w:lineRule="auto"/>
              <w:jc w:val="center"/>
              <w:rPr>
                <w:rFonts w:ascii="宋体" w:hAnsi="宋体" w:cs="宋体"/>
                <w:szCs w:val="21"/>
                <w:highlight w:val="none"/>
              </w:rPr>
            </w:pPr>
          </w:p>
        </w:tc>
      </w:tr>
      <w:tr w14:paraId="0D34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179FDD2F">
            <w:pPr>
              <w:pageBreakBefore w:val="0"/>
              <w:kinsoku/>
              <w:overflowPunct/>
              <w:bidi w:val="0"/>
              <w:spacing w:line="360" w:lineRule="auto"/>
              <w:jc w:val="center"/>
              <w:rPr>
                <w:rFonts w:ascii="宋体" w:hAnsi="宋体" w:cs="宋体"/>
                <w:szCs w:val="21"/>
                <w:highlight w:val="none"/>
              </w:rPr>
            </w:pPr>
          </w:p>
        </w:tc>
        <w:tc>
          <w:tcPr>
            <w:tcW w:w="1365" w:type="dxa"/>
            <w:vAlign w:val="center"/>
          </w:tcPr>
          <w:p w14:paraId="46960F19">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成员</w:t>
            </w:r>
          </w:p>
        </w:tc>
        <w:tc>
          <w:tcPr>
            <w:tcW w:w="1245" w:type="dxa"/>
            <w:gridSpan w:val="2"/>
            <w:vAlign w:val="center"/>
          </w:tcPr>
          <w:p w14:paraId="46B543E3">
            <w:pPr>
              <w:pageBreakBefore w:val="0"/>
              <w:kinsoku/>
              <w:overflowPunct/>
              <w:bidi w:val="0"/>
              <w:spacing w:line="360" w:lineRule="auto"/>
              <w:jc w:val="center"/>
              <w:rPr>
                <w:rFonts w:ascii="宋体" w:hAnsi="宋体" w:cs="宋体"/>
                <w:szCs w:val="21"/>
                <w:highlight w:val="none"/>
              </w:rPr>
            </w:pPr>
          </w:p>
        </w:tc>
        <w:tc>
          <w:tcPr>
            <w:tcW w:w="1905" w:type="dxa"/>
            <w:gridSpan w:val="2"/>
            <w:vAlign w:val="center"/>
          </w:tcPr>
          <w:p w14:paraId="36228776">
            <w:pPr>
              <w:pageBreakBefore w:val="0"/>
              <w:kinsoku/>
              <w:overflowPunct/>
              <w:bidi w:val="0"/>
              <w:spacing w:line="360" w:lineRule="auto"/>
              <w:jc w:val="center"/>
              <w:rPr>
                <w:rFonts w:ascii="宋体" w:hAnsi="宋体" w:cs="宋体"/>
                <w:szCs w:val="21"/>
                <w:highlight w:val="none"/>
              </w:rPr>
            </w:pPr>
          </w:p>
        </w:tc>
        <w:tc>
          <w:tcPr>
            <w:tcW w:w="1479" w:type="dxa"/>
            <w:vAlign w:val="center"/>
          </w:tcPr>
          <w:p w14:paraId="5AD74D5F">
            <w:pPr>
              <w:pageBreakBefore w:val="0"/>
              <w:kinsoku/>
              <w:overflowPunct/>
              <w:bidi w:val="0"/>
              <w:spacing w:line="360" w:lineRule="auto"/>
              <w:jc w:val="center"/>
              <w:rPr>
                <w:rFonts w:ascii="宋体" w:hAnsi="宋体" w:cs="宋体"/>
                <w:szCs w:val="21"/>
                <w:highlight w:val="none"/>
              </w:rPr>
            </w:pPr>
          </w:p>
        </w:tc>
        <w:tc>
          <w:tcPr>
            <w:tcW w:w="1506" w:type="dxa"/>
            <w:vAlign w:val="center"/>
          </w:tcPr>
          <w:p w14:paraId="23702929">
            <w:pPr>
              <w:pageBreakBefore w:val="0"/>
              <w:kinsoku/>
              <w:overflowPunct/>
              <w:bidi w:val="0"/>
              <w:spacing w:line="360" w:lineRule="auto"/>
              <w:jc w:val="center"/>
              <w:rPr>
                <w:rFonts w:ascii="宋体" w:hAnsi="宋体" w:cs="宋体"/>
                <w:szCs w:val="21"/>
                <w:highlight w:val="none"/>
              </w:rPr>
            </w:pPr>
          </w:p>
        </w:tc>
      </w:tr>
      <w:tr w14:paraId="7536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4440749A">
            <w:pPr>
              <w:pageBreakBefore w:val="0"/>
              <w:kinsoku/>
              <w:overflowPunct/>
              <w:bidi w:val="0"/>
              <w:spacing w:line="360" w:lineRule="auto"/>
              <w:jc w:val="center"/>
              <w:rPr>
                <w:rFonts w:ascii="宋体" w:hAnsi="宋体" w:cs="宋体"/>
                <w:szCs w:val="21"/>
                <w:highlight w:val="none"/>
              </w:rPr>
            </w:pPr>
          </w:p>
        </w:tc>
        <w:tc>
          <w:tcPr>
            <w:tcW w:w="1365" w:type="dxa"/>
            <w:vAlign w:val="center"/>
          </w:tcPr>
          <w:p w14:paraId="636823DE">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成员</w:t>
            </w:r>
          </w:p>
        </w:tc>
        <w:tc>
          <w:tcPr>
            <w:tcW w:w="1245" w:type="dxa"/>
            <w:gridSpan w:val="2"/>
            <w:vAlign w:val="center"/>
          </w:tcPr>
          <w:p w14:paraId="34100CA4">
            <w:pPr>
              <w:pageBreakBefore w:val="0"/>
              <w:kinsoku/>
              <w:overflowPunct/>
              <w:bidi w:val="0"/>
              <w:spacing w:line="360" w:lineRule="auto"/>
              <w:jc w:val="center"/>
              <w:rPr>
                <w:rFonts w:ascii="宋体" w:hAnsi="宋体" w:cs="宋体"/>
                <w:szCs w:val="21"/>
                <w:highlight w:val="none"/>
              </w:rPr>
            </w:pPr>
          </w:p>
        </w:tc>
        <w:tc>
          <w:tcPr>
            <w:tcW w:w="1905" w:type="dxa"/>
            <w:gridSpan w:val="2"/>
            <w:vAlign w:val="center"/>
          </w:tcPr>
          <w:p w14:paraId="26ABED53">
            <w:pPr>
              <w:pageBreakBefore w:val="0"/>
              <w:kinsoku/>
              <w:overflowPunct/>
              <w:bidi w:val="0"/>
              <w:spacing w:line="360" w:lineRule="auto"/>
              <w:jc w:val="center"/>
              <w:rPr>
                <w:rFonts w:ascii="宋体" w:hAnsi="宋体" w:cs="宋体"/>
                <w:szCs w:val="21"/>
                <w:highlight w:val="none"/>
              </w:rPr>
            </w:pPr>
          </w:p>
        </w:tc>
        <w:tc>
          <w:tcPr>
            <w:tcW w:w="1479" w:type="dxa"/>
            <w:vAlign w:val="center"/>
          </w:tcPr>
          <w:p w14:paraId="59D0DE53">
            <w:pPr>
              <w:pageBreakBefore w:val="0"/>
              <w:kinsoku/>
              <w:overflowPunct/>
              <w:bidi w:val="0"/>
              <w:spacing w:line="360" w:lineRule="auto"/>
              <w:jc w:val="center"/>
              <w:rPr>
                <w:rFonts w:ascii="宋体" w:hAnsi="宋体" w:cs="宋体"/>
                <w:szCs w:val="21"/>
                <w:highlight w:val="none"/>
              </w:rPr>
            </w:pPr>
          </w:p>
        </w:tc>
        <w:tc>
          <w:tcPr>
            <w:tcW w:w="1506" w:type="dxa"/>
            <w:vAlign w:val="center"/>
          </w:tcPr>
          <w:p w14:paraId="63828D16">
            <w:pPr>
              <w:pageBreakBefore w:val="0"/>
              <w:kinsoku/>
              <w:overflowPunct/>
              <w:bidi w:val="0"/>
              <w:spacing w:line="360" w:lineRule="auto"/>
              <w:jc w:val="center"/>
              <w:rPr>
                <w:rFonts w:ascii="宋体" w:hAnsi="宋体" w:cs="宋体"/>
                <w:szCs w:val="21"/>
                <w:highlight w:val="none"/>
              </w:rPr>
            </w:pPr>
          </w:p>
        </w:tc>
      </w:tr>
      <w:tr w14:paraId="0A46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3" w:type="dxa"/>
            <w:vAlign w:val="center"/>
          </w:tcPr>
          <w:p w14:paraId="43AE2DD2">
            <w:pPr>
              <w:pageBreakBefore w:val="0"/>
              <w:kinsoku/>
              <w:overflowPunct/>
              <w:bidi w:val="0"/>
              <w:spacing w:line="360" w:lineRule="auto"/>
              <w:jc w:val="center"/>
              <w:rPr>
                <w:rFonts w:ascii="宋体" w:hAnsi="宋体" w:cs="宋体"/>
                <w:szCs w:val="21"/>
                <w:highlight w:val="none"/>
              </w:rPr>
            </w:pPr>
          </w:p>
        </w:tc>
        <w:tc>
          <w:tcPr>
            <w:tcW w:w="1365" w:type="dxa"/>
            <w:vAlign w:val="center"/>
          </w:tcPr>
          <w:p w14:paraId="59C68F81">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成员</w:t>
            </w:r>
          </w:p>
        </w:tc>
        <w:tc>
          <w:tcPr>
            <w:tcW w:w="1245" w:type="dxa"/>
            <w:gridSpan w:val="2"/>
            <w:vAlign w:val="center"/>
          </w:tcPr>
          <w:p w14:paraId="09B8CC71">
            <w:pPr>
              <w:pageBreakBefore w:val="0"/>
              <w:kinsoku/>
              <w:overflowPunct/>
              <w:bidi w:val="0"/>
              <w:spacing w:line="360" w:lineRule="auto"/>
              <w:jc w:val="center"/>
              <w:rPr>
                <w:rFonts w:ascii="宋体" w:hAnsi="宋体" w:cs="宋体"/>
                <w:szCs w:val="21"/>
                <w:highlight w:val="none"/>
              </w:rPr>
            </w:pPr>
          </w:p>
        </w:tc>
        <w:tc>
          <w:tcPr>
            <w:tcW w:w="1905" w:type="dxa"/>
            <w:gridSpan w:val="2"/>
            <w:vAlign w:val="center"/>
          </w:tcPr>
          <w:p w14:paraId="6E964D28">
            <w:pPr>
              <w:pageBreakBefore w:val="0"/>
              <w:kinsoku/>
              <w:overflowPunct/>
              <w:bidi w:val="0"/>
              <w:spacing w:line="360" w:lineRule="auto"/>
              <w:jc w:val="center"/>
              <w:rPr>
                <w:rFonts w:ascii="宋体" w:hAnsi="宋体" w:cs="宋体"/>
                <w:szCs w:val="21"/>
                <w:highlight w:val="none"/>
              </w:rPr>
            </w:pPr>
          </w:p>
        </w:tc>
        <w:tc>
          <w:tcPr>
            <w:tcW w:w="1479" w:type="dxa"/>
            <w:vAlign w:val="center"/>
          </w:tcPr>
          <w:p w14:paraId="166DD204">
            <w:pPr>
              <w:pageBreakBefore w:val="0"/>
              <w:kinsoku/>
              <w:overflowPunct/>
              <w:bidi w:val="0"/>
              <w:spacing w:line="360" w:lineRule="auto"/>
              <w:jc w:val="center"/>
              <w:rPr>
                <w:rFonts w:ascii="宋体" w:hAnsi="宋体" w:cs="宋体"/>
                <w:szCs w:val="21"/>
                <w:highlight w:val="none"/>
              </w:rPr>
            </w:pPr>
          </w:p>
        </w:tc>
        <w:tc>
          <w:tcPr>
            <w:tcW w:w="1506" w:type="dxa"/>
            <w:vAlign w:val="center"/>
          </w:tcPr>
          <w:p w14:paraId="4784579A">
            <w:pPr>
              <w:pageBreakBefore w:val="0"/>
              <w:kinsoku/>
              <w:overflowPunct/>
              <w:bidi w:val="0"/>
              <w:spacing w:line="360" w:lineRule="auto"/>
              <w:jc w:val="center"/>
              <w:rPr>
                <w:rFonts w:ascii="宋体" w:hAnsi="宋体" w:cs="宋体"/>
                <w:szCs w:val="21"/>
                <w:highlight w:val="none"/>
              </w:rPr>
            </w:pPr>
          </w:p>
        </w:tc>
      </w:tr>
      <w:tr w14:paraId="7F4F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623" w:type="dxa"/>
            <w:gridSpan w:val="8"/>
            <w:vAlign w:val="center"/>
          </w:tcPr>
          <w:p w14:paraId="2209AE90">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代理事项及承办人安排</w:t>
            </w:r>
          </w:p>
        </w:tc>
      </w:tr>
      <w:tr w14:paraId="2ED4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5E570CD1">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代理事项</w:t>
            </w:r>
          </w:p>
        </w:tc>
        <w:tc>
          <w:tcPr>
            <w:tcW w:w="1719" w:type="dxa"/>
            <w:gridSpan w:val="2"/>
            <w:vAlign w:val="center"/>
          </w:tcPr>
          <w:p w14:paraId="45FC612F">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承办人签名</w:t>
            </w:r>
          </w:p>
        </w:tc>
        <w:tc>
          <w:tcPr>
            <w:tcW w:w="2611" w:type="dxa"/>
            <w:gridSpan w:val="2"/>
            <w:vAlign w:val="center"/>
          </w:tcPr>
          <w:p w14:paraId="2A934BC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代理事项</w:t>
            </w:r>
          </w:p>
        </w:tc>
        <w:tc>
          <w:tcPr>
            <w:tcW w:w="1506" w:type="dxa"/>
            <w:vAlign w:val="center"/>
          </w:tcPr>
          <w:p w14:paraId="28429CCE">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承办人签名</w:t>
            </w:r>
          </w:p>
        </w:tc>
      </w:tr>
      <w:tr w14:paraId="51E6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3A88044E">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代拟招标方案</w:t>
            </w:r>
          </w:p>
        </w:tc>
        <w:tc>
          <w:tcPr>
            <w:tcW w:w="1719" w:type="dxa"/>
            <w:gridSpan w:val="2"/>
            <w:vAlign w:val="center"/>
          </w:tcPr>
          <w:p w14:paraId="259661B2">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799F8890">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编制标底</w:t>
            </w:r>
          </w:p>
        </w:tc>
        <w:tc>
          <w:tcPr>
            <w:tcW w:w="1506" w:type="dxa"/>
            <w:vAlign w:val="center"/>
          </w:tcPr>
          <w:p w14:paraId="0326E1D0">
            <w:pPr>
              <w:pageBreakBefore w:val="0"/>
              <w:kinsoku/>
              <w:overflowPunct/>
              <w:bidi w:val="0"/>
              <w:spacing w:line="360" w:lineRule="auto"/>
              <w:jc w:val="center"/>
              <w:rPr>
                <w:rFonts w:ascii="宋体" w:hAnsi="宋体" w:cs="宋体"/>
                <w:szCs w:val="21"/>
                <w:highlight w:val="none"/>
              </w:rPr>
            </w:pPr>
          </w:p>
        </w:tc>
      </w:tr>
      <w:tr w14:paraId="7B3E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71BBEDDE">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发布招标公告</w:t>
            </w:r>
          </w:p>
          <w:p w14:paraId="2BD231FD">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（投标邀请书）</w:t>
            </w:r>
          </w:p>
        </w:tc>
        <w:tc>
          <w:tcPr>
            <w:tcW w:w="1719" w:type="dxa"/>
            <w:gridSpan w:val="2"/>
            <w:vAlign w:val="center"/>
          </w:tcPr>
          <w:p w14:paraId="18DA31EE">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399CB0BB">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组织现场踏勘和答疑</w:t>
            </w:r>
          </w:p>
        </w:tc>
        <w:tc>
          <w:tcPr>
            <w:tcW w:w="1506" w:type="dxa"/>
            <w:vAlign w:val="center"/>
          </w:tcPr>
          <w:p w14:paraId="25EB9BFA">
            <w:pPr>
              <w:pageBreakBefore w:val="0"/>
              <w:kinsoku/>
              <w:overflowPunct/>
              <w:bidi w:val="0"/>
              <w:spacing w:line="360" w:lineRule="auto"/>
              <w:jc w:val="center"/>
              <w:rPr>
                <w:rFonts w:ascii="宋体" w:hAnsi="宋体" w:cs="宋体"/>
                <w:szCs w:val="21"/>
                <w:highlight w:val="none"/>
              </w:rPr>
            </w:pPr>
          </w:p>
        </w:tc>
      </w:tr>
      <w:tr w14:paraId="1D82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214E3EF1">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投标申请人报名</w:t>
            </w:r>
          </w:p>
        </w:tc>
        <w:tc>
          <w:tcPr>
            <w:tcW w:w="1719" w:type="dxa"/>
            <w:gridSpan w:val="2"/>
            <w:vAlign w:val="center"/>
          </w:tcPr>
          <w:p w14:paraId="1C6665E2">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0BE06EA7">
            <w:pPr>
              <w:pageBreakBefore w:val="0"/>
              <w:kinsoku/>
              <w:overflowPunct/>
              <w:bidi w:val="0"/>
              <w:spacing w:line="360" w:lineRule="auto"/>
              <w:ind w:firstLine="21" w:firstLineChars="10"/>
              <w:jc w:val="center"/>
              <w:rPr>
                <w:rFonts w:ascii="宋体" w:hAnsi="宋体" w:cs="宋体"/>
                <w:szCs w:val="21"/>
                <w:highlight w:val="none"/>
              </w:rPr>
            </w:pPr>
            <w:r>
              <w:rPr>
                <w:rFonts w:hint="eastAsia" w:ascii="宋体" w:hAnsi="宋体" w:cs="宋体"/>
                <w:szCs w:val="21"/>
                <w:highlight w:val="none"/>
              </w:rPr>
              <w:t>组织开标、评标</w:t>
            </w:r>
          </w:p>
        </w:tc>
        <w:tc>
          <w:tcPr>
            <w:tcW w:w="1506" w:type="dxa"/>
            <w:vAlign w:val="center"/>
          </w:tcPr>
          <w:p w14:paraId="3AA4FA64">
            <w:pPr>
              <w:pageBreakBefore w:val="0"/>
              <w:kinsoku/>
              <w:overflowPunct/>
              <w:bidi w:val="0"/>
              <w:spacing w:line="360" w:lineRule="auto"/>
              <w:jc w:val="center"/>
              <w:rPr>
                <w:rFonts w:ascii="宋体" w:hAnsi="宋体" w:cs="宋体"/>
                <w:szCs w:val="21"/>
                <w:highlight w:val="none"/>
              </w:rPr>
            </w:pPr>
          </w:p>
        </w:tc>
      </w:tr>
      <w:tr w14:paraId="7338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72F45E94">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编制资格预审文件</w:t>
            </w:r>
          </w:p>
        </w:tc>
        <w:tc>
          <w:tcPr>
            <w:tcW w:w="1719" w:type="dxa"/>
            <w:gridSpan w:val="2"/>
            <w:vAlign w:val="center"/>
          </w:tcPr>
          <w:p w14:paraId="0BA44373">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3D38B1A7">
            <w:pPr>
              <w:pageBreakBefore w:val="0"/>
              <w:kinsoku/>
              <w:overflowPunct/>
              <w:bidi w:val="0"/>
              <w:spacing w:line="360" w:lineRule="auto"/>
              <w:ind w:firstLine="71" w:firstLineChars="34"/>
              <w:jc w:val="center"/>
              <w:rPr>
                <w:rFonts w:ascii="宋体" w:hAnsi="宋体" w:cs="宋体"/>
                <w:szCs w:val="21"/>
                <w:highlight w:val="none"/>
              </w:rPr>
            </w:pPr>
            <w:r>
              <w:rPr>
                <w:rFonts w:hint="eastAsia" w:ascii="宋体" w:hAnsi="宋体" w:cs="宋体"/>
                <w:szCs w:val="21"/>
                <w:highlight w:val="none"/>
              </w:rPr>
              <w:t>代拟中标公示</w:t>
            </w:r>
          </w:p>
        </w:tc>
        <w:tc>
          <w:tcPr>
            <w:tcW w:w="1506" w:type="dxa"/>
            <w:vAlign w:val="center"/>
          </w:tcPr>
          <w:p w14:paraId="70E53FCE">
            <w:pPr>
              <w:pageBreakBefore w:val="0"/>
              <w:kinsoku/>
              <w:overflowPunct/>
              <w:bidi w:val="0"/>
              <w:spacing w:line="360" w:lineRule="auto"/>
              <w:jc w:val="center"/>
              <w:rPr>
                <w:rFonts w:ascii="宋体" w:hAnsi="宋体" w:cs="宋体"/>
                <w:szCs w:val="21"/>
                <w:highlight w:val="none"/>
              </w:rPr>
            </w:pPr>
          </w:p>
        </w:tc>
      </w:tr>
      <w:tr w14:paraId="333F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4449B4C5">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审查潜在投标人资格</w:t>
            </w:r>
          </w:p>
        </w:tc>
        <w:tc>
          <w:tcPr>
            <w:tcW w:w="1719" w:type="dxa"/>
            <w:gridSpan w:val="2"/>
            <w:vAlign w:val="center"/>
          </w:tcPr>
          <w:p w14:paraId="6A87B40B">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1E6831B5">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代拟中标通知书</w:t>
            </w:r>
          </w:p>
        </w:tc>
        <w:tc>
          <w:tcPr>
            <w:tcW w:w="1506" w:type="dxa"/>
            <w:vAlign w:val="center"/>
          </w:tcPr>
          <w:p w14:paraId="7C57040F">
            <w:pPr>
              <w:pageBreakBefore w:val="0"/>
              <w:kinsoku/>
              <w:overflowPunct/>
              <w:bidi w:val="0"/>
              <w:spacing w:line="360" w:lineRule="auto"/>
              <w:jc w:val="center"/>
              <w:rPr>
                <w:rFonts w:ascii="宋体" w:hAnsi="宋体" w:cs="宋体"/>
                <w:szCs w:val="21"/>
                <w:highlight w:val="none"/>
              </w:rPr>
            </w:pPr>
          </w:p>
        </w:tc>
      </w:tr>
      <w:tr w14:paraId="37B5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7C12A2BB">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编制招标文件</w:t>
            </w:r>
          </w:p>
        </w:tc>
        <w:tc>
          <w:tcPr>
            <w:tcW w:w="1719" w:type="dxa"/>
            <w:gridSpan w:val="2"/>
            <w:vAlign w:val="center"/>
          </w:tcPr>
          <w:p w14:paraId="3F9D3097">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14063BCC">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草拟工程合同</w:t>
            </w:r>
          </w:p>
        </w:tc>
        <w:tc>
          <w:tcPr>
            <w:tcW w:w="1506" w:type="dxa"/>
            <w:vAlign w:val="center"/>
          </w:tcPr>
          <w:p w14:paraId="694F5DC7">
            <w:pPr>
              <w:pageBreakBefore w:val="0"/>
              <w:kinsoku/>
              <w:overflowPunct/>
              <w:bidi w:val="0"/>
              <w:spacing w:line="360" w:lineRule="auto"/>
              <w:jc w:val="center"/>
              <w:rPr>
                <w:rFonts w:ascii="宋体" w:hAnsi="宋体" w:cs="宋体"/>
                <w:szCs w:val="21"/>
                <w:highlight w:val="none"/>
              </w:rPr>
            </w:pPr>
          </w:p>
        </w:tc>
      </w:tr>
      <w:tr w14:paraId="03D5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7" w:type="dxa"/>
            <w:gridSpan w:val="3"/>
            <w:vAlign w:val="center"/>
          </w:tcPr>
          <w:p w14:paraId="2C7DC6E0">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编制工程量清单</w:t>
            </w:r>
          </w:p>
        </w:tc>
        <w:tc>
          <w:tcPr>
            <w:tcW w:w="1719" w:type="dxa"/>
            <w:gridSpan w:val="2"/>
            <w:vAlign w:val="center"/>
          </w:tcPr>
          <w:p w14:paraId="39CF6D91">
            <w:pPr>
              <w:pageBreakBefore w:val="0"/>
              <w:kinsoku/>
              <w:overflowPunct/>
              <w:bidi w:val="0"/>
              <w:spacing w:line="360" w:lineRule="auto"/>
              <w:jc w:val="center"/>
              <w:rPr>
                <w:rFonts w:ascii="宋体" w:hAnsi="宋体" w:cs="宋体"/>
                <w:szCs w:val="21"/>
                <w:highlight w:val="none"/>
              </w:rPr>
            </w:pPr>
          </w:p>
        </w:tc>
        <w:tc>
          <w:tcPr>
            <w:tcW w:w="2611" w:type="dxa"/>
            <w:gridSpan w:val="2"/>
            <w:vAlign w:val="center"/>
          </w:tcPr>
          <w:p w14:paraId="1E585350">
            <w:pPr>
              <w:pageBreakBefore w:val="0"/>
              <w:kinsoku/>
              <w:overflowPunct/>
              <w:bidi w:val="0"/>
              <w:spacing w:line="360" w:lineRule="auto"/>
              <w:jc w:val="center"/>
              <w:rPr>
                <w:rFonts w:ascii="宋体" w:hAnsi="宋体" w:cs="宋体"/>
                <w:szCs w:val="21"/>
                <w:highlight w:val="none"/>
              </w:rPr>
            </w:pPr>
            <w:r>
              <w:rPr>
                <w:rFonts w:hint="eastAsia" w:ascii="宋体" w:hAnsi="宋体" w:cs="宋体"/>
                <w:szCs w:val="21"/>
                <w:highlight w:val="none"/>
              </w:rPr>
              <w:t>编制招投标书面报告</w:t>
            </w:r>
          </w:p>
        </w:tc>
        <w:tc>
          <w:tcPr>
            <w:tcW w:w="1506" w:type="dxa"/>
            <w:vAlign w:val="center"/>
          </w:tcPr>
          <w:p w14:paraId="0624E2F1">
            <w:pPr>
              <w:pageBreakBefore w:val="0"/>
              <w:kinsoku/>
              <w:overflowPunct/>
              <w:bidi w:val="0"/>
              <w:spacing w:line="360" w:lineRule="auto"/>
              <w:jc w:val="center"/>
              <w:rPr>
                <w:rFonts w:ascii="宋体" w:hAnsi="宋体" w:cs="宋体"/>
                <w:szCs w:val="21"/>
                <w:highlight w:val="none"/>
              </w:rPr>
            </w:pPr>
          </w:p>
        </w:tc>
      </w:tr>
      <w:tr w14:paraId="364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623" w:type="dxa"/>
            <w:gridSpan w:val="8"/>
            <w:vAlign w:val="bottom"/>
          </w:tcPr>
          <w:p w14:paraId="718AEC01">
            <w:pPr>
              <w:pageBreakBefore w:val="0"/>
              <w:kinsoku/>
              <w:overflowPunct/>
              <w:bidi w:val="0"/>
              <w:spacing w:line="360" w:lineRule="auto"/>
              <w:jc w:val="left"/>
              <w:rPr>
                <w:rFonts w:ascii="宋体" w:hAnsi="宋体" w:cs="宋体"/>
                <w:szCs w:val="21"/>
                <w:highlight w:val="none"/>
              </w:rPr>
            </w:pPr>
            <w:r>
              <w:rPr>
                <w:rFonts w:hint="eastAsia" w:ascii="宋体" w:hAnsi="宋体" w:cs="宋体"/>
                <w:szCs w:val="21"/>
                <w:highlight w:val="none"/>
              </w:rPr>
              <w:t>代理人：(盖章)</w:t>
            </w:r>
          </w:p>
        </w:tc>
      </w:tr>
    </w:tbl>
    <w:p w14:paraId="2DD6AC5F">
      <w:pPr>
        <w:pageBreakBefore w:val="0"/>
        <w:kinsoku/>
        <w:overflowPunct/>
        <w:bidi w:val="0"/>
        <w:spacing w:line="360" w:lineRule="auto"/>
        <w:ind w:firstLine="447" w:firstLineChars="213"/>
        <w:rPr>
          <w:rFonts w:ascii="宋体" w:hAnsi="宋体" w:cs="宋体"/>
          <w:szCs w:val="21"/>
          <w:highlight w:val="none"/>
        </w:rPr>
      </w:pPr>
      <w:r>
        <w:rPr>
          <w:rFonts w:hint="eastAsia" w:ascii="宋体" w:hAnsi="宋体" w:cs="宋体"/>
          <w:szCs w:val="21"/>
          <w:highlight w:val="none"/>
        </w:rPr>
        <w:t>注：本表中承办人签名一栏必须由本人亲自签字。</w:t>
      </w:r>
    </w:p>
    <w:p w14:paraId="07628291">
      <w:pPr>
        <w:pageBreakBefore w:val="0"/>
        <w:kinsoku/>
        <w:overflowPunct/>
        <w:bidi w:val="0"/>
        <w:spacing w:line="360" w:lineRule="auto"/>
        <w:rPr>
          <w:rFonts w:ascii="微软雅黑" w:hAnsi="微软雅黑" w:eastAsia="微软雅黑" w:cs="微软雅黑"/>
          <w:sz w:val="24"/>
          <w:highlight w:val="none"/>
        </w:rPr>
      </w:pPr>
      <w:r>
        <w:rPr>
          <w:rFonts w:hint="eastAsia" w:ascii="微软雅黑" w:hAnsi="微软雅黑" w:eastAsia="微软雅黑" w:cs="微软雅黑"/>
          <w:sz w:val="24"/>
          <w:highlight w:val="none"/>
        </w:rPr>
        <w:br w:type="page"/>
      </w:r>
    </w:p>
    <w:p w14:paraId="42C6742D">
      <w:pPr>
        <w:pageBreakBefore w:val="0"/>
        <w:kinsoku/>
        <w:overflowPunct/>
        <w:bidi w:val="0"/>
        <w:spacing w:line="360" w:lineRule="auto"/>
        <w:rPr>
          <w:rFonts w:ascii="微软雅黑" w:hAnsi="微软雅黑" w:eastAsia="微软雅黑" w:cs="微软雅黑"/>
          <w:sz w:val="24"/>
          <w:highlight w:val="none"/>
        </w:rPr>
      </w:pPr>
      <w:r>
        <w:rPr>
          <w:rFonts w:hint="eastAsia" w:ascii="宋体" w:hAnsi="宋体" w:cs="宋体"/>
          <w:kern w:val="0"/>
          <w:sz w:val="24"/>
          <w:highlight w:val="none"/>
        </w:rPr>
        <w:t>附件2：</w:t>
      </w:r>
    </w:p>
    <w:p w14:paraId="1D4B3F1A">
      <w:pPr>
        <w:pageBreakBefore w:val="0"/>
        <w:kinsoku/>
        <w:overflowPunct/>
        <w:bidi w:val="0"/>
        <w:spacing w:line="360" w:lineRule="auto"/>
        <w:jc w:val="center"/>
        <w:rPr>
          <w:rFonts w:ascii="宋体" w:hAnsi="宋体" w:cs="宋体"/>
          <w:sz w:val="24"/>
          <w:szCs w:val="24"/>
          <w:highlight w:val="none"/>
        </w:rPr>
      </w:pPr>
      <w:r>
        <w:rPr>
          <w:rFonts w:hint="eastAsia" w:ascii="宋体" w:hAnsi="宋体" w:cs="宋体"/>
          <w:sz w:val="24"/>
          <w:szCs w:val="24"/>
          <w:highlight w:val="none"/>
        </w:rPr>
        <w:t>建设工程招标代理授权委托书</w:t>
      </w:r>
    </w:p>
    <w:p w14:paraId="09AE8EC3">
      <w:pPr>
        <w:pageBreakBefore w:val="0"/>
        <w:kinsoku/>
        <w:overflowPunct/>
        <w:bidi w:val="0"/>
        <w:spacing w:line="360" w:lineRule="auto"/>
        <w:ind w:firstLine="600" w:firstLineChars="25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(委托人即招标人的法定代表人的姓名)系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(招标人名称)的法定代表人,现授权委托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(招标代理机构名称),为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(拟招标项目名称)的代理人,以招标人的名义办理以下事项（有委托的在□中打√，无委托的在□中打╳）：</w:t>
      </w:r>
    </w:p>
    <w:p w14:paraId="2C69512A">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□代拟发包方案；</w:t>
      </w:r>
    </w:p>
    <w:p w14:paraId="11805F69">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□发布招标公告（发出投标邀请书）；</w:t>
      </w:r>
    </w:p>
    <w:p w14:paraId="56F1E4FD">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□编制资格预审文件；</w:t>
      </w:r>
    </w:p>
    <w:p w14:paraId="5AFC2FF2">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□组织接收投标申请人报名；</w:t>
      </w:r>
    </w:p>
    <w:p w14:paraId="7ACF2D81">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□审查潜在投标人资格，确定潜在投标人；</w:t>
      </w:r>
    </w:p>
    <w:p w14:paraId="5996E7C7">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□编制招标文件；</w:t>
      </w:r>
    </w:p>
    <w:p w14:paraId="38C32A93">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□编制工程量清单；</w:t>
      </w:r>
    </w:p>
    <w:p w14:paraId="14BE23C9">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□编制工程标底；</w:t>
      </w:r>
    </w:p>
    <w:p w14:paraId="5E6692E1">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□组织现场踏勘和答疑；</w:t>
      </w:r>
    </w:p>
    <w:p w14:paraId="1CA674A7">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□组织开标、评标；</w:t>
      </w:r>
    </w:p>
    <w:p w14:paraId="3EE2B6FE">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□草拟工程合同；</w:t>
      </w:r>
    </w:p>
    <w:p w14:paraId="646B83B8">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□编制招投标情况书面报告；</w:t>
      </w:r>
    </w:p>
    <w:p w14:paraId="52BF055A">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□与发包有关的其它事宜：</w:t>
      </w:r>
    </w:p>
    <w:p w14:paraId="003F76B1">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招标代理人在代理招标过程中办理上述事宜所签署的一切文件和处理与之有关的一切事务，委托人均予以承认，但发包方案、中标通知书、招投标情况书面报告需经委托人签署。代理人无转委托权。</w:t>
      </w:r>
    </w:p>
    <w:p w14:paraId="458B5B6E">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本授权委托书的有效期为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404A5DC">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 xml:space="preserve">            特此声明。</w:t>
      </w:r>
    </w:p>
    <w:p w14:paraId="6E74A8D2">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委托人：（盖章）</w:t>
      </w:r>
    </w:p>
    <w:p w14:paraId="5096A67F">
      <w:pPr>
        <w:pageBreakBefore w:val="0"/>
        <w:kinsoku/>
        <w:overflowPunct/>
        <w:bidi w:val="0"/>
        <w:spacing w:line="360" w:lineRule="auto"/>
        <w:ind w:firstLine="511" w:firstLineChars="213"/>
        <w:rPr>
          <w:rFonts w:ascii="宋体" w:hAnsi="宋体" w:cs="宋体"/>
          <w:sz w:val="24"/>
          <w:szCs w:val="24"/>
          <w:highlight w:val="none"/>
        </w:rPr>
      </w:pPr>
      <w:r>
        <w:rPr>
          <w:rFonts w:hint="eastAsia" w:ascii="宋体" w:hAnsi="宋体" w:cs="宋体"/>
          <w:sz w:val="24"/>
          <w:szCs w:val="24"/>
          <w:highlight w:val="none"/>
        </w:rPr>
        <w:t>法定代表人：（签字）</w:t>
      </w:r>
    </w:p>
    <w:p w14:paraId="7E3CF06A">
      <w:pPr>
        <w:pageBreakBefore w:val="0"/>
        <w:kinsoku/>
        <w:overflowPunct/>
        <w:bidi w:val="0"/>
        <w:spacing w:line="360" w:lineRule="auto"/>
        <w:jc w:val="right"/>
        <w:rPr>
          <w:rFonts w:ascii="宋体" w:hAnsi="宋体" w:cs="宋体"/>
          <w:sz w:val="24"/>
          <w:szCs w:val="24"/>
          <w:highlight w:val="none"/>
        </w:rPr>
      </w:pPr>
      <w:r>
        <w:rPr>
          <w:rFonts w:hint="eastAsia" w:ascii="宋体" w:hAnsi="宋体" w:cs="宋体"/>
          <w:sz w:val="24"/>
          <w:szCs w:val="24"/>
          <w:highlight w:val="none"/>
        </w:rPr>
        <w:t>年         月         日</w:t>
      </w:r>
    </w:p>
    <w:p w14:paraId="3270993E">
      <w:pPr>
        <w:pageBreakBefore w:val="0"/>
        <w:kinsoku/>
        <w:overflowPunct/>
        <w:bidi w:val="0"/>
        <w:spacing w:line="360" w:lineRule="auto"/>
        <w:ind w:right="-101" w:rightChars="-48"/>
        <w:rPr>
          <w:rFonts w:ascii="宋体" w:hAnsi="宋体" w:cs="宋体"/>
          <w:kern w:val="0"/>
          <w:sz w:val="24"/>
          <w:highlight w:val="none"/>
        </w:rPr>
      </w:pPr>
    </w:p>
    <w:p w14:paraId="3C162B23">
      <w:pPr>
        <w:pageBreakBefore w:val="0"/>
        <w:kinsoku/>
        <w:overflowPunct/>
        <w:bidi w:val="0"/>
        <w:spacing w:line="360" w:lineRule="auto"/>
        <w:ind w:right="-101" w:rightChars="-48"/>
        <w:rPr>
          <w:rFonts w:ascii="宋体" w:hAnsi="宋体" w:cs="宋体"/>
          <w:bCs/>
          <w:sz w:val="24"/>
          <w:highlight w:val="none"/>
        </w:rPr>
      </w:pPr>
      <w:bookmarkStart w:id="122" w:name="_Toc437444975"/>
      <w:r>
        <w:rPr>
          <w:rFonts w:hint="eastAsia" w:ascii="宋体" w:hAnsi="宋体" w:cs="宋体"/>
          <w:bCs/>
          <w:sz w:val="24"/>
          <w:highlight w:val="none"/>
        </w:rPr>
        <w:t>附件3：</w:t>
      </w:r>
      <w:bookmarkEnd w:id="122"/>
    </w:p>
    <w:p w14:paraId="6C20C5EC">
      <w:pPr>
        <w:pageBreakBefore w:val="0"/>
        <w:kinsoku/>
        <w:overflowPunct/>
        <w:bidi w:val="0"/>
        <w:spacing w:line="360" w:lineRule="auto"/>
        <w:ind w:right="-101" w:rightChars="-48" w:firstLine="482" w:firstLineChars="200"/>
        <w:jc w:val="center"/>
        <w:rPr>
          <w:rFonts w:ascii="宋体" w:hAnsi="宋体" w:cs="宋体"/>
          <w:b/>
          <w:sz w:val="24"/>
          <w:szCs w:val="24"/>
          <w:highlight w:val="none"/>
        </w:rPr>
      </w:pPr>
      <w:r>
        <w:rPr>
          <w:rFonts w:hint="eastAsia" w:ascii="宋体" w:hAnsi="宋体" w:cs="宋体"/>
          <w:b/>
          <w:sz w:val="24"/>
          <w:szCs w:val="24"/>
          <w:highlight w:val="none"/>
        </w:rPr>
        <w:t>廉政合同</w:t>
      </w:r>
    </w:p>
    <w:p w14:paraId="329DA85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根据国家法律、法规以及有关工程建设、廉政建设的规定，为做好工程建设中的党风廉政建设，保证工程建设高效优质，保证建设资金的安全和有效使用以及投资效益，</w:t>
      </w:r>
      <w:r>
        <w:rPr>
          <w:rFonts w:hint="eastAsia" w:ascii="宋体" w:hAnsi="宋体" w:cs="宋体"/>
          <w:sz w:val="24"/>
          <w:szCs w:val="24"/>
          <w:highlight w:val="none"/>
          <w:u w:val="single"/>
        </w:rPr>
        <w:t>南通城市轨道交通集团有限公司2025-2027年度招标代理和造价咨询服务框架协议采购项目</w:t>
      </w:r>
      <w:r>
        <w:rPr>
          <w:rFonts w:hint="eastAsia" w:ascii="宋体" w:hAnsi="宋体" w:cs="宋体"/>
          <w:sz w:val="24"/>
          <w:szCs w:val="24"/>
          <w:highlight w:val="none"/>
          <w:lang w:val="zh-CN"/>
        </w:rPr>
        <w:t>法人</w:t>
      </w:r>
      <w:r>
        <w:rPr>
          <w:rFonts w:hint="eastAsia" w:ascii="宋体" w:hAnsi="宋体" w:cs="宋体"/>
          <w:sz w:val="24"/>
          <w:szCs w:val="24"/>
          <w:highlight w:val="none"/>
          <w:u w:val="single"/>
          <w:lang w:val="zh-CN"/>
        </w:rPr>
        <w:t>南通轨道交通集团有限公司</w:t>
      </w:r>
      <w:r>
        <w:rPr>
          <w:rFonts w:hint="eastAsia" w:ascii="宋体" w:hAnsi="宋体" w:cs="宋体"/>
          <w:sz w:val="24"/>
          <w:szCs w:val="24"/>
          <w:highlight w:val="none"/>
          <w:lang w:val="zh-CN"/>
        </w:rPr>
        <w:t xml:space="preserve">(以下称甲方)与 </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（以下称乙方），特订立如下合同。</w:t>
      </w:r>
    </w:p>
    <w:p w14:paraId="191D71A3">
      <w:pPr>
        <w:pageBreakBefore w:val="0"/>
        <w:kinsoku/>
        <w:overflowPunct/>
        <w:bidi w:val="0"/>
        <w:spacing w:line="360" w:lineRule="auto"/>
        <w:ind w:right="-101" w:rightChars="-48" w:firstLine="482" w:firstLineChars="200"/>
        <w:rPr>
          <w:rFonts w:ascii="宋体" w:hAnsi="宋体" w:cs="宋体"/>
          <w:b/>
          <w:sz w:val="24"/>
          <w:szCs w:val="24"/>
          <w:highlight w:val="none"/>
        </w:rPr>
      </w:pPr>
      <w:bookmarkStart w:id="123" w:name="_Toc59900969"/>
      <w:bookmarkStart w:id="124" w:name="_Toc59896701"/>
      <w:r>
        <w:rPr>
          <w:rFonts w:hint="eastAsia" w:ascii="宋体" w:hAnsi="宋体" w:cs="宋体"/>
          <w:b/>
          <w:sz w:val="24"/>
          <w:szCs w:val="24"/>
          <w:highlight w:val="none"/>
        </w:rPr>
        <w:t>第一条 甲乙双方的权利和义务</w:t>
      </w:r>
      <w:bookmarkEnd w:id="123"/>
      <w:bookmarkEnd w:id="124"/>
    </w:p>
    <w:p w14:paraId="7F06543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（一）严格遵守党和国家有关法律法规及江苏省、南通市的有关规定，遵守南通轨道交通集团有限公司</w:t>
      </w:r>
      <w:r>
        <w:rPr>
          <w:rFonts w:hint="eastAsia" w:ascii="宋体" w:hAnsi="宋体" w:cs="宋体"/>
          <w:sz w:val="24"/>
          <w:szCs w:val="24"/>
          <w:highlight w:val="none"/>
        </w:rPr>
        <w:t>七个严禁</w:t>
      </w:r>
      <w:r>
        <w:rPr>
          <w:rFonts w:hint="eastAsia" w:ascii="宋体" w:hAnsi="宋体" w:cs="宋体"/>
          <w:sz w:val="24"/>
          <w:szCs w:val="24"/>
          <w:highlight w:val="none"/>
          <w:lang w:val="zh-CN"/>
        </w:rPr>
        <w:t>。</w:t>
      </w:r>
    </w:p>
    <w:p w14:paraId="18771D7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（二）严格执行</w:t>
      </w:r>
      <w:r>
        <w:rPr>
          <w:rFonts w:hint="eastAsia" w:ascii="宋体" w:hAnsi="宋体" w:cs="宋体"/>
          <w:sz w:val="24"/>
          <w:szCs w:val="24"/>
          <w:highlight w:val="none"/>
          <w:u w:val="single"/>
          <w:lang w:val="zh-CN"/>
        </w:rPr>
        <w:t>南通城市轨道交通集团有限公司2025-2027年度招标代理和造价咨询服务框架协议采购项目</w:t>
      </w:r>
      <w:r>
        <w:rPr>
          <w:rFonts w:hint="eastAsia" w:ascii="宋体" w:hAnsi="宋体" w:cs="宋体"/>
          <w:sz w:val="24"/>
          <w:szCs w:val="24"/>
          <w:highlight w:val="none"/>
          <w:lang w:val="zh-CN"/>
        </w:rPr>
        <w:t>的合同文件，自觉按合同办事。</w:t>
      </w:r>
    </w:p>
    <w:p w14:paraId="57B074CA">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（三）双方的业务活动坚持公开、公正、诚信、透明的原则（除法律认定的商业秘密和合同文件另有规定之外），不得损害国家和集体利益，违反工程建设规章制度。</w:t>
      </w:r>
    </w:p>
    <w:p w14:paraId="6775E76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（四）建立健全廉政制度，开展廉政教育，设立廉政告示牌，公布举报电话，监督并认真查处违法违纪行为。</w:t>
      </w:r>
    </w:p>
    <w:p w14:paraId="4CCDE72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（五）发现对方在业务活动中有违反廉政规定的行为，有及时提醒对方纠正的权利和义务。</w:t>
      </w:r>
    </w:p>
    <w:p w14:paraId="2CF27AB9">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（六）发现对方严重违反本合同义务条款的行为，有向其上级有关部门举报、建议给予处理并要求告知处理结果的权利。</w:t>
      </w:r>
    </w:p>
    <w:p w14:paraId="4C6DC3D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bookmarkStart w:id="125" w:name="_Toc59900970"/>
      <w:bookmarkStart w:id="126" w:name="_Toc59896702"/>
      <w:r>
        <w:rPr>
          <w:rFonts w:hint="eastAsia" w:ascii="宋体" w:hAnsi="宋体" w:cs="宋体"/>
          <w:sz w:val="24"/>
          <w:szCs w:val="24"/>
          <w:highlight w:val="none"/>
          <w:lang w:val="zh-CN"/>
        </w:rPr>
        <w:t>第二条 甲方的义务</w:t>
      </w:r>
      <w:bookmarkEnd w:id="125"/>
      <w:bookmarkEnd w:id="126"/>
    </w:p>
    <w:p w14:paraId="5899B1B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（一）甲方及其工作人员不得索要或接受乙方的礼金、有价证券和贵重物品，不得在乙方报销任何应由甲方或个人支付的费用等。</w:t>
      </w:r>
    </w:p>
    <w:p w14:paraId="3269DEB6">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（二）甲方工作人员不得参加乙方安排的超标准宴请和娱乐活动；不得接受乙方提供的通讯工具、交通工具和高档办公用品等。</w:t>
      </w:r>
    </w:p>
    <w:p w14:paraId="10FFB24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（三）甲方及其工作人员不得要求或者接受乙方为其住房装修、婚丧嫁娶活动、配偶子女的工作安排以及出国出境、旅游等提供方便等。</w:t>
      </w:r>
    </w:p>
    <w:p w14:paraId="074D1D11">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bookmarkStart w:id="127" w:name="_Toc59900971"/>
      <w:bookmarkStart w:id="128" w:name="_Toc59896703"/>
      <w:r>
        <w:rPr>
          <w:rFonts w:hint="eastAsia" w:ascii="宋体" w:hAnsi="宋体" w:cs="宋体"/>
          <w:sz w:val="24"/>
          <w:szCs w:val="24"/>
          <w:highlight w:val="none"/>
          <w:lang w:val="zh-CN"/>
        </w:rPr>
        <w:t>第三条 乙方义务</w:t>
      </w:r>
      <w:bookmarkEnd w:id="127"/>
      <w:bookmarkEnd w:id="128"/>
    </w:p>
    <w:p w14:paraId="3CD118BD">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（一）乙方不得以任何理由向甲方及其工作人员行贿或馈赠礼金、有价证券、贵重礼品。</w:t>
      </w:r>
    </w:p>
    <w:p w14:paraId="2B41C68B">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（二）乙方不得以任何名义为甲方及其工作人员报销应由甲方单位或个人支付的任何费用。</w:t>
      </w:r>
    </w:p>
    <w:p w14:paraId="147ACFB2">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（三）乙方不得以任何理由安排甲方工作人员参加超标准宴请及娱乐活动。</w:t>
      </w:r>
    </w:p>
    <w:p w14:paraId="64DEC5B3">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（四）乙方不得为甲方单位和个人购置或提供通讯工具、交通工具和高档办公用品等。</w:t>
      </w:r>
    </w:p>
    <w:p w14:paraId="030CD5C0">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第四条 违约责任</w:t>
      </w:r>
    </w:p>
    <w:p w14:paraId="4F4B116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（一）甲方及其工作人员违反本合同第一、二条，按管理权限，依据有关规定给予党纪、政纪或组织处理，调离其工作岗位；涉嫌犯罪的，移交司法机关追究刑事责任；给乙方单位造成经济损失的，应予以赔偿。</w:t>
      </w:r>
    </w:p>
    <w:p w14:paraId="3E9BEF75">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5C8DCF7C">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第五条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01C06417">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第六条 本合同有效期为甲乙双方签署之日起至该工程项目竣工验收合格之日止。</w:t>
      </w:r>
    </w:p>
    <w:p w14:paraId="2B854A5E">
      <w:pPr>
        <w:pageBreakBefore w:val="0"/>
        <w:tabs>
          <w:tab w:val="left" w:pos="735"/>
          <w:tab w:val="left" w:pos="1080"/>
        </w:tabs>
        <w:kinsoku/>
        <w:overflowPunct/>
        <w:bidi w:val="0"/>
        <w:spacing w:line="360" w:lineRule="auto"/>
        <w:ind w:right="-101" w:rightChars="-48"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第七条 本合同作为南通市城市轨道交通2号线一期工程公共场所卫生学验收评价项目合同的附件，与主合同具有同等法律效力。经合同双方签署立即生效。</w:t>
      </w:r>
    </w:p>
    <w:p w14:paraId="0B8A5287">
      <w:pPr>
        <w:pageBreakBefore w:val="0"/>
        <w:kinsoku/>
        <w:overflowPunct/>
        <w:bidi w:val="0"/>
        <w:spacing w:line="360" w:lineRule="auto"/>
        <w:ind w:right="-101" w:rightChars="-48" w:firstLine="480" w:firstLineChars="200"/>
        <w:rPr>
          <w:rFonts w:ascii="宋体" w:hAnsi="宋体" w:cs="宋体"/>
          <w:sz w:val="24"/>
          <w:szCs w:val="24"/>
          <w:highlight w:val="none"/>
        </w:rPr>
      </w:pPr>
    </w:p>
    <w:p w14:paraId="06FE7106">
      <w:pPr>
        <w:pageBreakBefore w:val="0"/>
        <w:kinsoku/>
        <w:overflowPunct/>
        <w:bidi w:val="0"/>
        <w:spacing w:after="331" w:afterLines="100" w:line="360" w:lineRule="auto"/>
        <w:ind w:right="-101" w:rightChars="-48"/>
        <w:jc w:val="center"/>
        <w:rPr>
          <w:rFonts w:ascii="宋体" w:hAnsi="宋体"/>
          <w:sz w:val="24"/>
          <w:szCs w:val="24"/>
          <w:highlight w:val="none"/>
        </w:rPr>
      </w:pPr>
      <w:r>
        <w:rPr>
          <w:rFonts w:hint="eastAsia" w:ascii="宋体" w:hAnsi="宋体"/>
          <w:sz w:val="24"/>
          <w:szCs w:val="24"/>
          <w:highlight w:val="none"/>
        </w:rPr>
        <w:t>甲方公章：</w:t>
      </w:r>
      <w:r>
        <w:rPr>
          <w:rFonts w:hint="eastAsia" w:ascii="宋体" w:hAnsi="宋体"/>
          <w:sz w:val="24"/>
          <w:szCs w:val="24"/>
          <w:highlight w:val="none"/>
          <w:u w:val="single"/>
        </w:rPr>
        <w:t xml:space="preserve">              （盖章）</w:t>
      </w:r>
      <w:r>
        <w:rPr>
          <w:rFonts w:hint="eastAsia" w:ascii="宋体" w:hAnsi="宋体"/>
          <w:sz w:val="24"/>
          <w:szCs w:val="24"/>
          <w:highlight w:val="none"/>
        </w:rPr>
        <w:t xml:space="preserve">      乙方公章：</w:t>
      </w:r>
      <w:r>
        <w:rPr>
          <w:rFonts w:hint="eastAsia" w:ascii="宋体" w:hAnsi="宋体"/>
          <w:sz w:val="24"/>
          <w:szCs w:val="24"/>
          <w:highlight w:val="none"/>
          <w:u w:val="single"/>
        </w:rPr>
        <w:t xml:space="preserve">                 （盖章）</w:t>
      </w:r>
    </w:p>
    <w:p w14:paraId="2F7C0F53">
      <w:pPr>
        <w:pageBreakBefore w:val="0"/>
        <w:kinsoku/>
        <w:overflowPunct/>
        <w:bidi w:val="0"/>
        <w:spacing w:line="360" w:lineRule="auto"/>
        <w:ind w:right="-101" w:rightChars="-48"/>
        <w:jc w:val="center"/>
        <w:outlineLvl w:val="0"/>
        <w:rPr>
          <w:rFonts w:ascii="宋体" w:hAnsi="宋体"/>
          <w:b/>
          <w:sz w:val="32"/>
          <w:szCs w:val="32"/>
          <w:highlight w:val="none"/>
          <w:lang w:val="zh-CN"/>
        </w:rPr>
      </w:pPr>
      <w:r>
        <w:rPr>
          <w:rFonts w:hint="eastAsia" w:ascii="宋体" w:hAnsi="宋体" w:cs="宋体"/>
          <w:kern w:val="0"/>
          <w:sz w:val="24"/>
          <w:highlight w:val="none"/>
        </w:rPr>
        <w:br w:type="page"/>
      </w:r>
      <w:bookmarkStart w:id="129" w:name="_Toc15318"/>
      <w:r>
        <w:rPr>
          <w:rFonts w:hint="eastAsia" w:ascii="宋体" w:hAnsi="宋体"/>
          <w:b/>
          <w:sz w:val="32"/>
          <w:szCs w:val="32"/>
          <w:highlight w:val="none"/>
          <w:lang w:val="zh-CN"/>
        </w:rPr>
        <w:t>第</w:t>
      </w:r>
      <w:r>
        <w:rPr>
          <w:rFonts w:hint="eastAsia" w:ascii="宋体" w:hAnsi="宋体"/>
          <w:b/>
          <w:sz w:val="32"/>
          <w:szCs w:val="32"/>
          <w:highlight w:val="none"/>
        </w:rPr>
        <w:t>六章</w:t>
      </w:r>
      <w:r>
        <w:rPr>
          <w:rFonts w:hint="eastAsia" w:ascii="宋体" w:hAnsi="宋体"/>
          <w:b/>
          <w:sz w:val="32"/>
          <w:szCs w:val="32"/>
          <w:highlight w:val="none"/>
          <w:lang w:val="zh-CN"/>
        </w:rPr>
        <w:t xml:space="preserve">  质疑提出和处理</w:t>
      </w:r>
    </w:p>
    <w:bookmarkEnd w:id="102"/>
    <w:bookmarkEnd w:id="103"/>
    <w:bookmarkEnd w:id="104"/>
    <w:bookmarkEnd w:id="105"/>
    <w:bookmarkEnd w:id="129"/>
    <w:p w14:paraId="568A8CAF">
      <w:pPr>
        <w:pageBreakBefore w:val="0"/>
        <w:kinsoku/>
        <w:overflowPunct/>
        <w:bidi w:val="0"/>
        <w:spacing w:line="360" w:lineRule="auto"/>
        <w:ind w:right="-101" w:rightChars="-48" w:firstLine="643" w:firstLineChars="200"/>
        <w:jc w:val="center"/>
        <w:rPr>
          <w:rFonts w:ascii="宋体" w:hAnsi="宋体"/>
          <w:b/>
          <w:sz w:val="32"/>
          <w:szCs w:val="32"/>
          <w:highlight w:val="none"/>
          <w:lang w:val="zh-CN"/>
        </w:rPr>
      </w:pPr>
    </w:p>
    <w:p w14:paraId="20F09C54">
      <w:pPr>
        <w:pStyle w:val="111"/>
        <w:pageBreakBefore w:val="0"/>
        <w:kinsoku/>
        <w:overflowPunct/>
        <w:bidi w:val="0"/>
        <w:adjustRightInd/>
        <w:spacing w:line="360" w:lineRule="auto"/>
        <w:ind w:right="-101" w:rightChars="-48"/>
        <w:outlineLvl w:val="1"/>
        <w:rPr>
          <w:rFonts w:eastAsia="宋体"/>
          <w:color w:val="auto"/>
          <w:highlight w:val="none"/>
        </w:rPr>
      </w:pPr>
      <w:bookmarkStart w:id="130" w:name="_Toc3098"/>
      <w:bookmarkStart w:id="131" w:name="_Toc15641"/>
      <w:bookmarkStart w:id="132" w:name="_Toc11112"/>
      <w:r>
        <w:rPr>
          <w:rFonts w:hint="eastAsia" w:eastAsia="宋体"/>
          <w:color w:val="auto"/>
          <w:highlight w:val="none"/>
        </w:rPr>
        <w:t>一、质疑的提出</w:t>
      </w:r>
      <w:bookmarkEnd w:id="130"/>
      <w:bookmarkEnd w:id="131"/>
    </w:p>
    <w:bookmarkEnd w:id="132"/>
    <w:p w14:paraId="3E6D4778">
      <w:pPr>
        <w:pageBreakBefore w:val="0"/>
        <w:kinsoku/>
        <w:overflowPunct/>
        <w:bidi w:val="0"/>
        <w:spacing w:line="360" w:lineRule="auto"/>
        <w:ind w:right="-101" w:rightChars="-48"/>
        <w:rPr>
          <w:rFonts w:ascii="宋体" w:hAnsi="宋体" w:cs="宋体"/>
          <w:sz w:val="24"/>
          <w:highlight w:val="none"/>
        </w:rPr>
      </w:pPr>
      <w:bookmarkStart w:id="133" w:name="_Toc22477"/>
      <w:r>
        <w:rPr>
          <w:rFonts w:hint="eastAsia" w:ascii="宋体" w:hAnsi="宋体" w:cs="宋体"/>
          <w:sz w:val="24"/>
          <w:highlight w:val="none"/>
        </w:rPr>
        <w:t>(一)质疑人的身份要求</w:t>
      </w:r>
      <w:bookmarkEnd w:id="133"/>
      <w:r>
        <w:rPr>
          <w:rFonts w:hint="eastAsia" w:ascii="宋体" w:hAnsi="宋体" w:cs="宋体"/>
          <w:sz w:val="24"/>
          <w:highlight w:val="none"/>
        </w:rPr>
        <w:t xml:space="preserve">      </w:t>
      </w:r>
    </w:p>
    <w:p w14:paraId="103501B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提出质疑的参选人应当是参与所质疑项目比选参选活动的参选人。</w:t>
      </w:r>
    </w:p>
    <w:p w14:paraId="7FAEED6B">
      <w:pPr>
        <w:pageBreakBefore w:val="0"/>
        <w:kinsoku/>
        <w:overflowPunct/>
        <w:bidi w:val="0"/>
        <w:spacing w:line="360" w:lineRule="auto"/>
        <w:ind w:right="-101" w:rightChars="-48"/>
        <w:rPr>
          <w:rFonts w:ascii="宋体" w:hAnsi="宋体" w:cs="宋体"/>
          <w:sz w:val="24"/>
          <w:highlight w:val="none"/>
        </w:rPr>
      </w:pPr>
      <w:bookmarkStart w:id="134" w:name="_Toc10412"/>
      <w:r>
        <w:rPr>
          <w:rFonts w:hint="eastAsia" w:ascii="宋体" w:hAnsi="宋体" w:cs="宋体"/>
          <w:sz w:val="24"/>
          <w:highlight w:val="none"/>
        </w:rPr>
        <w:t>(二)质疑提出的格式要求</w:t>
      </w:r>
      <w:bookmarkEnd w:id="134"/>
      <w:r>
        <w:rPr>
          <w:rFonts w:hint="eastAsia" w:ascii="宋体" w:hAnsi="宋体" w:cs="宋体"/>
          <w:sz w:val="24"/>
          <w:highlight w:val="none"/>
        </w:rPr>
        <w:t xml:space="preserve">   </w:t>
      </w:r>
    </w:p>
    <w:p w14:paraId="36E10B9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1、对本次比选参选有质疑的，须实名制以书面形式提出，不得进行匿名、虚假、恶意质疑。</w:t>
      </w:r>
    </w:p>
    <w:p w14:paraId="3DC4DCE3">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 xml:space="preserve">2、质疑函应包括：    </w:t>
      </w:r>
    </w:p>
    <w:p w14:paraId="74D3FB6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（1）质疑参选人的名称、地址、邮编、联系人及联系电话；</w:t>
      </w:r>
    </w:p>
    <w:p w14:paraId="19F8F553">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（2）具体、明确的质疑事项及明确的请求；</w:t>
      </w:r>
    </w:p>
    <w:p w14:paraId="52F53AC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（3）质疑的事实依据和必要的法律依据；</w:t>
      </w:r>
    </w:p>
    <w:p w14:paraId="5073A20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（4）提起质疑的日期；</w:t>
      </w:r>
    </w:p>
    <w:p w14:paraId="33BCC14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 xml:space="preserve">（5）认为自己合法权益受到损害或可能受到损害的相关证据材料；                            </w:t>
      </w:r>
    </w:p>
    <w:p w14:paraId="0D125FF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14:paraId="69F5166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3、质疑函需遵循的原则</w:t>
      </w:r>
    </w:p>
    <w:p w14:paraId="386EE798">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14:paraId="714910BD">
      <w:pPr>
        <w:pageBreakBefore w:val="0"/>
        <w:kinsoku/>
        <w:overflowPunct/>
        <w:bidi w:val="0"/>
        <w:spacing w:line="360" w:lineRule="auto"/>
        <w:ind w:right="-101" w:rightChars="-48"/>
        <w:rPr>
          <w:rFonts w:ascii="宋体" w:hAnsi="宋体" w:cs="宋体"/>
          <w:sz w:val="24"/>
          <w:highlight w:val="none"/>
        </w:rPr>
      </w:pPr>
      <w:bookmarkStart w:id="135" w:name="_Toc9615"/>
      <w:r>
        <w:rPr>
          <w:rFonts w:hint="eastAsia" w:ascii="宋体" w:hAnsi="宋体" w:cs="宋体"/>
          <w:sz w:val="24"/>
          <w:highlight w:val="none"/>
        </w:rPr>
        <w:t>（三）质疑提出的时效要求</w:t>
      </w:r>
      <w:bookmarkEnd w:id="135"/>
    </w:p>
    <w:p w14:paraId="65C59C9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1、参选人认为比选文件、比选参选过程和评选结果使自己的权益受到损害的，可以在规定的时间内，以书面形式向比选人提出质疑。</w:t>
      </w:r>
    </w:p>
    <w:p w14:paraId="118DF756">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（1）参选人或者其他利害关系人对比选文件有异议的，应当在参选截止时间7日前以书面形式提出。</w:t>
      </w:r>
    </w:p>
    <w:p w14:paraId="1A0F1C5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对比选参选过程提出质疑的，为各比选参选程序环节结束之日；参选人对开标有异议的，应当于开标会上以书面扫描件形式提出，比选人应当作出答复，并制作记录。开标结束后参选人不得对开标事项再提出异议。</w:t>
      </w:r>
    </w:p>
    <w:p w14:paraId="67772FE0">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（3）参选人或者其他利害关系人对评选结果有异议的，应当在中选候选人公示期间提出。</w:t>
      </w:r>
    </w:p>
    <w:p w14:paraId="4AA7113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 xml:space="preserve">2、参选人应在法定质疑期一次性提出针对同一比选参选程序环节的质疑。 </w:t>
      </w:r>
    </w:p>
    <w:p w14:paraId="3267205B">
      <w:pPr>
        <w:pStyle w:val="111"/>
        <w:pageBreakBefore w:val="0"/>
        <w:kinsoku/>
        <w:overflowPunct/>
        <w:bidi w:val="0"/>
        <w:adjustRightInd/>
        <w:spacing w:line="360" w:lineRule="auto"/>
        <w:ind w:right="-101" w:rightChars="-48"/>
        <w:outlineLvl w:val="1"/>
        <w:rPr>
          <w:rFonts w:eastAsia="宋体"/>
          <w:color w:val="auto"/>
          <w:highlight w:val="none"/>
        </w:rPr>
      </w:pPr>
      <w:bookmarkStart w:id="136" w:name="_Toc28700"/>
      <w:bookmarkStart w:id="137" w:name="_Toc5111"/>
      <w:bookmarkStart w:id="138" w:name="_Toc11993"/>
      <w:r>
        <w:rPr>
          <w:rFonts w:hint="eastAsia" w:eastAsia="宋体"/>
          <w:color w:val="auto"/>
          <w:highlight w:val="none"/>
        </w:rPr>
        <w:t>二、《质疑函》的受理和答复</w:t>
      </w:r>
      <w:bookmarkEnd w:id="136"/>
      <w:bookmarkEnd w:id="137"/>
    </w:p>
    <w:bookmarkEnd w:id="138"/>
    <w:p w14:paraId="2846271F">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1、比选人收到质疑函后，将对质疑的形式和内容进行审查，如质疑函内容、格式不符合规定，比选人将告知质疑人进行补正。</w:t>
      </w:r>
    </w:p>
    <w:p w14:paraId="160AB21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2、质疑人应当在法定质疑期限内进行补正并重新提交质疑函，拒不补正或者在法定期限内未重新提交质疑函的，为无效质疑，比选人将不予受理。</w:t>
      </w:r>
    </w:p>
    <w:p w14:paraId="37920195">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3、比选人或招标代理机构答复参选人质疑应当采用书面方式并依法送达，质疑参选人或其委托代理人拒绝签收的视为已经送达。</w:t>
      </w:r>
    </w:p>
    <w:p w14:paraId="1EA1A375">
      <w:pPr>
        <w:pStyle w:val="111"/>
        <w:pageBreakBefore w:val="0"/>
        <w:kinsoku/>
        <w:overflowPunct/>
        <w:bidi w:val="0"/>
        <w:adjustRightInd/>
        <w:spacing w:line="360" w:lineRule="auto"/>
        <w:ind w:right="-101" w:rightChars="-48"/>
        <w:outlineLvl w:val="1"/>
        <w:rPr>
          <w:rFonts w:eastAsia="宋体"/>
          <w:color w:val="auto"/>
          <w:highlight w:val="none"/>
        </w:rPr>
      </w:pPr>
      <w:bookmarkStart w:id="139" w:name="_Toc23635"/>
      <w:bookmarkStart w:id="140" w:name="_Toc15988"/>
      <w:bookmarkStart w:id="141" w:name="_Toc22138"/>
      <w:r>
        <w:rPr>
          <w:rFonts w:hint="eastAsia" w:eastAsia="宋体"/>
          <w:color w:val="auto"/>
          <w:highlight w:val="none"/>
        </w:rPr>
        <w:t>三、质疑处理</w:t>
      </w:r>
      <w:bookmarkEnd w:id="139"/>
      <w:bookmarkEnd w:id="140"/>
    </w:p>
    <w:bookmarkEnd w:id="141"/>
    <w:p w14:paraId="2FEFBD83">
      <w:pPr>
        <w:pageBreakBefore w:val="0"/>
        <w:kinsoku/>
        <w:overflowPunct/>
        <w:bidi w:val="0"/>
        <w:spacing w:line="360" w:lineRule="auto"/>
        <w:ind w:right="-101" w:rightChars="-48"/>
        <w:rPr>
          <w:rFonts w:ascii="宋体" w:hAnsi="宋体" w:cs="宋体"/>
          <w:sz w:val="24"/>
          <w:highlight w:val="none"/>
        </w:rPr>
      </w:pPr>
      <w:bookmarkStart w:id="142" w:name="_Toc29318"/>
      <w:r>
        <w:rPr>
          <w:rFonts w:hint="eastAsia" w:ascii="宋体" w:hAnsi="宋体" w:cs="宋体"/>
          <w:sz w:val="24"/>
          <w:highlight w:val="none"/>
        </w:rPr>
        <w:t>1、质疑成立的处理</w:t>
      </w:r>
      <w:bookmarkEnd w:id="142"/>
    </w:p>
    <w:p w14:paraId="19E863B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（1）对于内容、格式符合规定的质疑函，比选人在收到参选人的书面质疑后七个工作日内作出书面答复，但答复的内容不得涉及商业秘密。</w:t>
      </w:r>
    </w:p>
    <w:p w14:paraId="10600F3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（2）对比选文件提出的质疑，依法通过澄清或者修改可以继续开展比选参选活动的，澄清或者修改比选文件后继续开展比选参选活动；否则应当修改比选文件后重新开展比选参选活动。</w:t>
      </w:r>
    </w:p>
    <w:p w14:paraId="62BC1512">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（3）对比选参选过程、中选或者成交结果提出的质疑，合格参选人符合法定数量时，可以从合格的中选候选人中另行确定中选、成交人的，应当依法另行确定中选人；否则应当重新开展比选参选活动。</w:t>
      </w:r>
    </w:p>
    <w:p w14:paraId="48326A3E">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（4）质疑答复导致中选、成交结果改变的，比选人或者招标代理机构应当将有关情况书面报告项目主管部门。</w:t>
      </w:r>
    </w:p>
    <w:p w14:paraId="3163E424">
      <w:pPr>
        <w:pageBreakBefore w:val="0"/>
        <w:kinsoku/>
        <w:overflowPunct/>
        <w:bidi w:val="0"/>
        <w:spacing w:line="360" w:lineRule="auto"/>
        <w:ind w:right="-101" w:rightChars="-48"/>
        <w:rPr>
          <w:rFonts w:ascii="宋体" w:hAnsi="宋体" w:cs="宋体"/>
          <w:sz w:val="24"/>
          <w:highlight w:val="none"/>
        </w:rPr>
      </w:pPr>
      <w:bookmarkStart w:id="143" w:name="_Toc16354"/>
      <w:r>
        <w:rPr>
          <w:rFonts w:hint="eastAsia" w:ascii="宋体" w:hAnsi="宋体" w:cs="宋体"/>
          <w:sz w:val="24"/>
          <w:highlight w:val="none"/>
        </w:rPr>
        <w:t>2、质疑不成立的处理</w:t>
      </w:r>
      <w:bookmarkEnd w:id="143"/>
    </w:p>
    <w:p w14:paraId="054B4061">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若质疑不成立，或者成立未对中选、成交结果构成影响的，继续开展比选参选活动。</w:t>
      </w:r>
    </w:p>
    <w:p w14:paraId="1C37BF97">
      <w:pPr>
        <w:pageBreakBefore w:val="0"/>
        <w:kinsoku/>
        <w:overflowPunct/>
        <w:bidi w:val="0"/>
        <w:spacing w:line="360" w:lineRule="auto"/>
        <w:ind w:right="-101" w:rightChars="-48"/>
        <w:rPr>
          <w:rFonts w:ascii="宋体" w:hAnsi="宋体" w:cs="宋体"/>
          <w:sz w:val="24"/>
          <w:highlight w:val="none"/>
        </w:rPr>
      </w:pPr>
      <w:bookmarkStart w:id="144" w:name="_Toc50"/>
      <w:r>
        <w:rPr>
          <w:rFonts w:hint="eastAsia" w:ascii="宋体" w:hAnsi="宋体" w:cs="宋体"/>
          <w:sz w:val="24"/>
          <w:highlight w:val="none"/>
        </w:rPr>
        <w:t>3、虚假质疑的处理</w:t>
      </w:r>
      <w:bookmarkEnd w:id="144"/>
      <w:r>
        <w:rPr>
          <w:rFonts w:hint="eastAsia" w:ascii="宋体" w:hAnsi="宋体" w:cs="宋体"/>
          <w:sz w:val="24"/>
          <w:highlight w:val="none"/>
        </w:rPr>
        <w:t xml:space="preserve">     </w:t>
      </w:r>
    </w:p>
    <w:p w14:paraId="727AA8BD">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（1）参选人提出书面质疑必须有理、有据，不得恶意质疑或提交虚假质疑。否则，一经查实，比选人有权对该参选人进行相应的处罚。</w:t>
      </w:r>
    </w:p>
    <w:p w14:paraId="5E9F2AF3">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（2）在江苏省范围内一年累计三次以上质疑，均查无实据的参选人将按失信行为记入该注册参选人诚信档案中。</w:t>
      </w:r>
    </w:p>
    <w:p w14:paraId="5B787DFA">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（3）受理质疑和答复相关咨询：</w:t>
      </w:r>
    </w:p>
    <w:p w14:paraId="29665604">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bookmarkStart w:id="145" w:name="_Toc5930"/>
      <w:bookmarkStart w:id="146" w:name="_Toc17814"/>
      <w:bookmarkStart w:id="147" w:name="_Toc12215"/>
      <w:bookmarkStart w:id="148" w:name="_Toc9891"/>
      <w:r>
        <w:rPr>
          <w:rFonts w:hint="eastAsia" w:ascii="宋体" w:hAnsi="宋体" w:eastAsia="宋体" w:cs="宋体"/>
          <w:sz w:val="24"/>
          <w:szCs w:val="24"/>
          <w:highlight w:val="none"/>
        </w:rPr>
        <w:t>监督部门：督查审计部</w:t>
      </w:r>
    </w:p>
    <w:p w14:paraId="6CDA024B">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投诉举报电话：0513-69900271</w:t>
      </w:r>
    </w:p>
    <w:p w14:paraId="58901F27">
      <w:pPr>
        <w:pStyle w:val="17"/>
        <w:pageBreakBefore w:val="0"/>
        <w:kinsoku/>
        <w:overflowPunct/>
        <w:bidi w:val="0"/>
        <w:spacing w:line="360" w:lineRule="auto"/>
        <w:ind w:left="0" w:right="-101" w:rightChars="-48"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通信地址：南通市崇川区崇川路158号21楼</w:t>
      </w:r>
    </w:p>
    <w:p w14:paraId="52B0AFCD">
      <w:pPr>
        <w:pageBreakBefore w:val="0"/>
        <w:kinsoku/>
        <w:overflowPunct/>
        <w:bidi w:val="0"/>
        <w:spacing w:line="360" w:lineRule="auto"/>
        <w:ind w:right="-101" w:rightChars="-48"/>
        <w:jc w:val="center"/>
        <w:rPr>
          <w:rFonts w:ascii="宋体" w:hAnsi="宋体" w:cs="宋体"/>
          <w:kern w:val="0"/>
          <w:sz w:val="24"/>
          <w:highlight w:val="none"/>
          <w:lang w:val="zh-CN"/>
        </w:rPr>
        <w:sectPr>
          <w:headerReference r:id="rId5" w:type="default"/>
          <w:footerReference r:id="rId6" w:type="default"/>
          <w:pgSz w:w="11905" w:h="16838"/>
          <w:pgMar w:top="1440" w:right="1803" w:bottom="1440" w:left="1803" w:header="850" w:footer="992" w:gutter="0"/>
          <w:cols w:space="720" w:num="1"/>
          <w:docGrid w:type="lines" w:linePitch="331" w:charSpace="0"/>
        </w:sectPr>
      </w:pPr>
    </w:p>
    <w:p w14:paraId="35AAA6B4">
      <w:pPr>
        <w:pageBreakBefore w:val="0"/>
        <w:kinsoku/>
        <w:overflowPunct/>
        <w:bidi w:val="0"/>
        <w:spacing w:line="360" w:lineRule="auto"/>
        <w:ind w:right="-101" w:rightChars="-48"/>
        <w:jc w:val="center"/>
        <w:outlineLvl w:val="0"/>
        <w:rPr>
          <w:rFonts w:ascii="宋体" w:hAnsi="宋体"/>
          <w:b/>
          <w:sz w:val="32"/>
          <w:szCs w:val="32"/>
          <w:highlight w:val="none"/>
          <w:lang w:val="zh-CN"/>
        </w:rPr>
      </w:pPr>
      <w:r>
        <w:rPr>
          <w:rFonts w:hint="eastAsia" w:ascii="宋体" w:hAnsi="宋体"/>
          <w:b/>
          <w:sz w:val="32"/>
          <w:szCs w:val="32"/>
          <w:highlight w:val="none"/>
          <w:lang w:val="zh-CN"/>
        </w:rPr>
        <w:t>第</w:t>
      </w:r>
      <w:r>
        <w:rPr>
          <w:rFonts w:hint="eastAsia" w:ascii="宋体" w:hAnsi="宋体"/>
          <w:b/>
          <w:sz w:val="32"/>
          <w:szCs w:val="32"/>
          <w:highlight w:val="none"/>
        </w:rPr>
        <w:t>七章</w:t>
      </w:r>
      <w:r>
        <w:rPr>
          <w:rFonts w:hint="eastAsia" w:ascii="宋体" w:hAnsi="宋体"/>
          <w:b/>
          <w:sz w:val="32"/>
          <w:szCs w:val="32"/>
          <w:highlight w:val="none"/>
          <w:lang w:val="zh-CN"/>
        </w:rPr>
        <w:t xml:space="preserve">  参选文件组成</w:t>
      </w:r>
      <w:bookmarkEnd w:id="145"/>
      <w:bookmarkEnd w:id="146"/>
      <w:bookmarkEnd w:id="147"/>
      <w:bookmarkEnd w:id="148"/>
    </w:p>
    <w:p w14:paraId="241C9381">
      <w:pPr>
        <w:pageBreakBefore w:val="0"/>
        <w:kinsoku/>
        <w:overflowPunct/>
        <w:bidi w:val="0"/>
        <w:spacing w:line="360" w:lineRule="auto"/>
        <w:ind w:right="-101" w:rightChars="-48"/>
        <w:rPr>
          <w:highlight w:val="none"/>
        </w:rPr>
      </w:pPr>
      <w:bookmarkStart w:id="149" w:name="_Toc16566_WPSOffice_Level2"/>
      <w:bookmarkStart w:id="150" w:name="_Toc16976_WPSOffice_Level2"/>
      <w:bookmarkStart w:id="151" w:name="_Toc30967_WPSOffice_Level2"/>
    </w:p>
    <w:bookmarkEnd w:id="149"/>
    <w:bookmarkEnd w:id="150"/>
    <w:bookmarkEnd w:id="151"/>
    <w:p w14:paraId="15EECF41">
      <w:pPr>
        <w:pageBreakBefore w:val="0"/>
        <w:kinsoku/>
        <w:overflowPunct/>
        <w:bidi w:val="0"/>
        <w:spacing w:line="360" w:lineRule="auto"/>
        <w:ind w:right="-101" w:rightChars="-48"/>
        <w:jc w:val="center"/>
        <w:rPr>
          <w:b/>
          <w:sz w:val="36"/>
          <w:szCs w:val="36"/>
          <w:highlight w:val="none"/>
        </w:rPr>
      </w:pPr>
    </w:p>
    <w:p w14:paraId="33F7F740">
      <w:pPr>
        <w:pageBreakBefore w:val="0"/>
        <w:kinsoku/>
        <w:overflowPunct/>
        <w:bidi w:val="0"/>
        <w:spacing w:line="360" w:lineRule="auto"/>
        <w:ind w:right="-101" w:rightChars="-48"/>
        <w:rPr>
          <w:highlight w:val="none"/>
        </w:rPr>
      </w:pPr>
    </w:p>
    <w:p w14:paraId="7C041E86">
      <w:pPr>
        <w:pageBreakBefore w:val="0"/>
        <w:kinsoku/>
        <w:overflowPunct/>
        <w:bidi w:val="0"/>
        <w:spacing w:line="360" w:lineRule="auto"/>
        <w:ind w:right="-101" w:rightChars="-48"/>
        <w:rPr>
          <w:highlight w:val="none"/>
        </w:rPr>
      </w:pPr>
    </w:p>
    <w:p w14:paraId="4723589C">
      <w:pPr>
        <w:pageBreakBefore w:val="0"/>
        <w:kinsoku/>
        <w:overflowPunct/>
        <w:bidi w:val="0"/>
        <w:spacing w:line="360" w:lineRule="auto"/>
        <w:ind w:right="-101" w:rightChars="-48"/>
        <w:rPr>
          <w:highlight w:val="none"/>
        </w:rPr>
      </w:pPr>
    </w:p>
    <w:p w14:paraId="74925521">
      <w:pPr>
        <w:pageBreakBefore w:val="0"/>
        <w:kinsoku/>
        <w:overflowPunct/>
        <w:bidi w:val="0"/>
        <w:spacing w:line="360" w:lineRule="auto"/>
        <w:ind w:right="-101" w:rightChars="-48"/>
        <w:jc w:val="center"/>
        <w:rPr>
          <w:rFonts w:ascii="宋体" w:hAnsi="宋体" w:cs="宋体"/>
          <w:b/>
          <w:sz w:val="36"/>
          <w:szCs w:val="36"/>
          <w:highlight w:val="none"/>
        </w:rPr>
      </w:pPr>
      <w:r>
        <w:rPr>
          <w:rFonts w:hint="eastAsia" w:ascii="宋体" w:hAnsi="宋体" w:cs="宋体"/>
          <w:b/>
          <w:sz w:val="36"/>
          <w:szCs w:val="36"/>
          <w:highlight w:val="none"/>
        </w:rPr>
        <w:t>南通城市轨道交通集团有限公司2025-2027年度招标代理和造价咨询服务框架协议采购项目</w:t>
      </w:r>
    </w:p>
    <w:p w14:paraId="6807ABD4">
      <w:pPr>
        <w:pageBreakBefore w:val="0"/>
        <w:kinsoku/>
        <w:overflowPunct/>
        <w:bidi w:val="0"/>
        <w:spacing w:line="360" w:lineRule="auto"/>
        <w:ind w:right="-101" w:rightChars="-48"/>
        <w:rPr>
          <w:sz w:val="32"/>
          <w:highlight w:val="none"/>
        </w:rPr>
      </w:pPr>
    </w:p>
    <w:p w14:paraId="6F534B95">
      <w:pPr>
        <w:pageBreakBefore w:val="0"/>
        <w:kinsoku/>
        <w:overflowPunct/>
        <w:bidi w:val="0"/>
        <w:spacing w:line="360" w:lineRule="auto"/>
        <w:ind w:right="-101" w:rightChars="-48"/>
        <w:rPr>
          <w:sz w:val="32"/>
          <w:highlight w:val="none"/>
        </w:rPr>
      </w:pPr>
    </w:p>
    <w:p w14:paraId="7BABD027">
      <w:pPr>
        <w:pageBreakBefore w:val="0"/>
        <w:kinsoku/>
        <w:overflowPunct/>
        <w:bidi w:val="0"/>
        <w:spacing w:line="360" w:lineRule="auto"/>
        <w:ind w:right="-101" w:rightChars="-48"/>
        <w:rPr>
          <w:sz w:val="32"/>
          <w:highlight w:val="none"/>
        </w:rPr>
      </w:pPr>
    </w:p>
    <w:p w14:paraId="387D00B4">
      <w:pPr>
        <w:pageBreakBefore w:val="0"/>
        <w:kinsoku/>
        <w:overflowPunct/>
        <w:bidi w:val="0"/>
        <w:spacing w:line="360" w:lineRule="auto"/>
        <w:ind w:right="-101" w:rightChars="-48"/>
        <w:rPr>
          <w:sz w:val="32"/>
          <w:highlight w:val="none"/>
        </w:rPr>
      </w:pPr>
    </w:p>
    <w:p w14:paraId="091BA7EF">
      <w:pPr>
        <w:pageBreakBefore w:val="0"/>
        <w:kinsoku/>
        <w:overflowPunct/>
        <w:bidi w:val="0"/>
        <w:spacing w:line="360" w:lineRule="auto"/>
        <w:ind w:right="-101" w:rightChars="-48"/>
        <w:rPr>
          <w:sz w:val="32"/>
          <w:highlight w:val="none"/>
        </w:rPr>
      </w:pPr>
    </w:p>
    <w:p w14:paraId="06007894">
      <w:pPr>
        <w:pageBreakBefore w:val="0"/>
        <w:kinsoku/>
        <w:overflowPunct/>
        <w:bidi w:val="0"/>
        <w:spacing w:line="360" w:lineRule="auto"/>
        <w:ind w:right="-101" w:rightChars="-48"/>
        <w:rPr>
          <w:sz w:val="32"/>
          <w:highlight w:val="none"/>
        </w:rPr>
      </w:pPr>
    </w:p>
    <w:p w14:paraId="221B521B">
      <w:pPr>
        <w:pageBreakBefore w:val="0"/>
        <w:kinsoku/>
        <w:overflowPunct/>
        <w:bidi w:val="0"/>
        <w:spacing w:line="360" w:lineRule="auto"/>
        <w:ind w:right="-101" w:rightChars="-48"/>
        <w:rPr>
          <w:sz w:val="32"/>
          <w:highlight w:val="none"/>
        </w:rPr>
      </w:pPr>
    </w:p>
    <w:p w14:paraId="42C479B9">
      <w:pPr>
        <w:pageBreakBefore w:val="0"/>
        <w:kinsoku/>
        <w:overflowPunct/>
        <w:bidi w:val="0"/>
        <w:spacing w:line="360" w:lineRule="auto"/>
        <w:ind w:right="-101" w:rightChars="-48"/>
        <w:rPr>
          <w:highlight w:val="none"/>
        </w:rPr>
      </w:pPr>
    </w:p>
    <w:p w14:paraId="432EC023">
      <w:pPr>
        <w:pageBreakBefore w:val="0"/>
        <w:kinsoku/>
        <w:overflowPunct/>
        <w:bidi w:val="0"/>
        <w:spacing w:line="360" w:lineRule="auto"/>
        <w:ind w:right="-101" w:rightChars="-48"/>
        <w:rPr>
          <w:rFonts w:ascii="宋体" w:hAnsi="宋体" w:cs="宋体"/>
          <w:b/>
          <w:bCs/>
          <w:sz w:val="28"/>
          <w:szCs w:val="28"/>
          <w:highlight w:val="none"/>
        </w:rPr>
      </w:pPr>
      <w:bookmarkStart w:id="152" w:name="_Toc25691_WPSOffice_Level3"/>
      <w:bookmarkStart w:id="153" w:name="_Toc25067_WPSOffice_Level3"/>
      <w:bookmarkStart w:id="154" w:name="_Toc22742_WPSOffice_Level3"/>
      <w:bookmarkStart w:id="155" w:name="_Toc18398"/>
    </w:p>
    <w:p w14:paraId="74FE9652">
      <w:pPr>
        <w:pageBreakBefore w:val="0"/>
        <w:kinsoku/>
        <w:overflowPunct/>
        <w:bidi w:val="0"/>
        <w:spacing w:line="360" w:lineRule="auto"/>
        <w:ind w:right="-101" w:rightChars="-48"/>
        <w:rPr>
          <w:highlight w:val="none"/>
        </w:rPr>
      </w:pPr>
    </w:p>
    <w:bookmarkEnd w:id="152"/>
    <w:bookmarkEnd w:id="153"/>
    <w:bookmarkEnd w:id="154"/>
    <w:bookmarkEnd w:id="155"/>
    <w:p w14:paraId="1A0AD53D">
      <w:pPr>
        <w:pageBreakBefore w:val="0"/>
        <w:kinsoku/>
        <w:overflowPunct/>
        <w:bidi w:val="0"/>
        <w:spacing w:line="360" w:lineRule="auto"/>
        <w:ind w:right="-101" w:rightChars="-48" w:firstLine="1687" w:firstLineChars="600"/>
        <w:rPr>
          <w:rFonts w:ascii="宋体" w:hAnsi="宋体" w:cs="宋体"/>
          <w:b/>
          <w:bCs/>
          <w:sz w:val="28"/>
          <w:szCs w:val="28"/>
          <w:highlight w:val="none"/>
        </w:rPr>
      </w:pPr>
    </w:p>
    <w:p w14:paraId="2A8C095D">
      <w:pPr>
        <w:pageBreakBefore w:val="0"/>
        <w:kinsoku/>
        <w:overflowPunct/>
        <w:bidi w:val="0"/>
        <w:spacing w:line="360" w:lineRule="auto"/>
        <w:ind w:right="-101" w:rightChars="-48" w:firstLine="281" w:firstLineChars="100"/>
        <w:rPr>
          <w:rFonts w:ascii="宋体" w:hAnsi="宋体" w:cs="宋体"/>
          <w:b/>
          <w:bCs/>
          <w:sz w:val="28"/>
          <w:szCs w:val="28"/>
          <w:highlight w:val="none"/>
        </w:rPr>
      </w:pPr>
      <w:bookmarkStart w:id="156" w:name="_Toc20169"/>
      <w:bookmarkStart w:id="157" w:name="_Toc26305"/>
      <w:bookmarkStart w:id="158" w:name="_Toc15095"/>
      <w:bookmarkStart w:id="159" w:name="_Toc12943"/>
      <w:bookmarkStart w:id="160" w:name="_Toc10713"/>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14:paraId="5EF2908C">
      <w:pPr>
        <w:pageBreakBefore w:val="0"/>
        <w:kinsoku/>
        <w:overflowPunct/>
        <w:bidi w:val="0"/>
        <w:spacing w:line="360" w:lineRule="auto"/>
        <w:ind w:right="-101" w:rightChars="-48"/>
        <w:rPr>
          <w:rFonts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14:paraId="3D8AC979">
      <w:pPr>
        <w:pageBreakBefore w:val="0"/>
        <w:kinsoku/>
        <w:overflowPunct/>
        <w:bidi w:val="0"/>
        <w:spacing w:line="360" w:lineRule="auto"/>
        <w:ind w:right="-101" w:rightChars="-48" w:firstLine="281" w:firstLineChars="100"/>
        <w:rPr>
          <w:rFonts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255ED199">
      <w:pPr>
        <w:pageBreakBefore w:val="0"/>
        <w:kinsoku/>
        <w:overflowPunct/>
        <w:bidi w:val="0"/>
        <w:spacing w:line="360" w:lineRule="auto"/>
        <w:ind w:right="-101" w:rightChars="-48" w:firstLine="1928" w:firstLineChars="600"/>
        <w:jc w:val="center"/>
        <w:rPr>
          <w:rFonts w:ascii="Calibri" w:hAnsi="Calibri"/>
          <w:b/>
          <w:bCs/>
          <w:sz w:val="32"/>
          <w:szCs w:val="32"/>
          <w:highlight w:val="none"/>
        </w:rPr>
        <w:sectPr>
          <w:footerReference r:id="rId7" w:type="default"/>
          <w:pgSz w:w="11905" w:h="16838"/>
          <w:pgMar w:top="1440" w:right="1803" w:bottom="1440" w:left="1803" w:header="850" w:footer="992" w:gutter="0"/>
          <w:cols w:space="720" w:num="1"/>
          <w:docGrid w:type="lines" w:linePitch="331" w:charSpace="0"/>
        </w:sectPr>
      </w:pPr>
    </w:p>
    <w:bookmarkEnd w:id="156"/>
    <w:bookmarkEnd w:id="157"/>
    <w:bookmarkEnd w:id="158"/>
    <w:bookmarkEnd w:id="159"/>
    <w:bookmarkEnd w:id="160"/>
    <w:p w14:paraId="760FA2E0">
      <w:pPr>
        <w:pStyle w:val="2"/>
        <w:pageBreakBefore w:val="0"/>
        <w:kinsoku/>
        <w:overflowPunct/>
        <w:bidi w:val="0"/>
        <w:spacing w:line="360" w:lineRule="auto"/>
        <w:ind w:right="-101" w:rightChars="-48"/>
        <w:jc w:val="center"/>
        <w:rPr>
          <w:rFonts w:ascii="宋体" w:hAnsi="宋体" w:eastAsia="宋体" w:cs="宋体"/>
          <w:highlight w:val="none"/>
        </w:rPr>
      </w:pPr>
      <w:bookmarkStart w:id="161" w:name="_Toc14884"/>
      <w:bookmarkStart w:id="162" w:name="_Toc23411"/>
      <w:r>
        <w:rPr>
          <w:rFonts w:hint="eastAsia" w:ascii="宋体" w:hAnsi="宋体" w:eastAsia="宋体" w:cs="宋体"/>
          <w:highlight w:val="none"/>
        </w:rPr>
        <w:t>目  录</w:t>
      </w:r>
      <w:bookmarkEnd w:id="161"/>
      <w:bookmarkEnd w:id="162"/>
    </w:p>
    <w:p w14:paraId="245EFAC3">
      <w:pPr>
        <w:pageBreakBefore w:val="0"/>
        <w:kinsoku/>
        <w:overflowPunct/>
        <w:bidi w:val="0"/>
        <w:spacing w:line="360" w:lineRule="auto"/>
        <w:ind w:right="-101" w:rightChars="-48"/>
        <w:rPr>
          <w:highlight w:val="none"/>
        </w:rPr>
      </w:pPr>
      <w:bookmarkStart w:id="163" w:name="_Toc25880_WPSOffice_Level3"/>
      <w:bookmarkStart w:id="164" w:name="_Toc14117_WPSOffice_Level3"/>
    </w:p>
    <w:bookmarkEnd w:id="163"/>
    <w:bookmarkEnd w:id="164"/>
    <w:p w14:paraId="448CB6B1">
      <w:pPr>
        <w:pageBreakBefore w:val="0"/>
        <w:kinsoku/>
        <w:overflowPunct/>
        <w:bidi w:val="0"/>
        <w:spacing w:line="360" w:lineRule="auto"/>
        <w:ind w:right="-101" w:rightChars="-48"/>
        <w:jc w:val="center"/>
        <w:rPr>
          <w:sz w:val="24"/>
          <w:highlight w:val="none"/>
        </w:rPr>
      </w:pPr>
      <w:r>
        <w:rPr>
          <w:rFonts w:hint="eastAsia"/>
          <w:sz w:val="24"/>
          <w:highlight w:val="none"/>
        </w:rPr>
        <w:t>（参选人自行编制目录页码）</w:t>
      </w:r>
    </w:p>
    <w:p w14:paraId="48657BF6">
      <w:pPr>
        <w:pageBreakBefore w:val="0"/>
        <w:kinsoku/>
        <w:overflowPunct/>
        <w:bidi w:val="0"/>
        <w:spacing w:line="360" w:lineRule="auto"/>
        <w:ind w:right="-101" w:rightChars="-48"/>
        <w:rPr>
          <w:highlight w:val="none"/>
        </w:rPr>
        <w:sectPr>
          <w:pgSz w:w="11905" w:h="16838"/>
          <w:pgMar w:top="1440" w:right="1803" w:bottom="1440" w:left="1803" w:header="850" w:footer="992" w:gutter="0"/>
          <w:cols w:space="720" w:num="1"/>
          <w:docGrid w:type="lines" w:linePitch="331" w:charSpace="0"/>
        </w:sectPr>
      </w:pPr>
    </w:p>
    <w:p w14:paraId="52E5CB00">
      <w:pPr>
        <w:pStyle w:val="2"/>
        <w:pageBreakBefore w:val="0"/>
        <w:kinsoku/>
        <w:overflowPunct/>
        <w:bidi w:val="0"/>
        <w:spacing w:before="0" w:after="0" w:line="360" w:lineRule="auto"/>
        <w:ind w:right="-101" w:rightChars="-48"/>
        <w:jc w:val="center"/>
        <w:rPr>
          <w:rFonts w:ascii="宋体" w:hAnsi="宋体" w:eastAsia="宋体" w:cs="宋体"/>
          <w:sz w:val="44"/>
          <w:szCs w:val="44"/>
          <w:highlight w:val="none"/>
        </w:rPr>
      </w:pPr>
      <w:bookmarkStart w:id="165" w:name="_Toc23909"/>
      <w:bookmarkStart w:id="166" w:name="_Toc23435"/>
      <w:bookmarkStart w:id="167" w:name="_Toc9174"/>
      <w:bookmarkStart w:id="168" w:name="_Toc30555"/>
      <w:bookmarkStart w:id="169" w:name="_Toc26699"/>
      <w:bookmarkStart w:id="170" w:name="_Toc27050"/>
      <w:bookmarkStart w:id="171" w:name="_Toc7825"/>
      <w:bookmarkStart w:id="172" w:name="_Toc14693"/>
      <w:bookmarkStart w:id="173" w:name="_Toc9079"/>
      <w:r>
        <w:rPr>
          <w:rFonts w:hint="eastAsia" w:ascii="宋体" w:hAnsi="宋体" w:eastAsia="宋体" w:cs="宋体"/>
          <w:sz w:val="44"/>
          <w:szCs w:val="44"/>
          <w:highlight w:val="none"/>
        </w:rPr>
        <w:t>资格审查部分</w:t>
      </w:r>
    </w:p>
    <w:p w14:paraId="2A529AF4">
      <w:pPr>
        <w:pStyle w:val="2"/>
        <w:pageBreakBefore w:val="0"/>
        <w:kinsoku/>
        <w:overflowPunct/>
        <w:bidi w:val="0"/>
        <w:spacing w:before="0" w:after="0" w:line="360" w:lineRule="auto"/>
        <w:ind w:right="-101" w:rightChars="-48"/>
        <w:jc w:val="center"/>
        <w:rPr>
          <w:rFonts w:ascii="宋体" w:hAnsi="宋体" w:eastAsia="宋体" w:cs="宋体"/>
          <w:sz w:val="28"/>
          <w:szCs w:val="28"/>
          <w:highlight w:val="none"/>
        </w:rPr>
      </w:pPr>
      <w:r>
        <w:rPr>
          <w:rFonts w:hint="eastAsia" w:ascii="宋体" w:hAnsi="宋体" w:eastAsia="宋体" w:cs="宋体"/>
          <w:sz w:val="28"/>
          <w:szCs w:val="28"/>
          <w:highlight w:val="none"/>
        </w:rPr>
        <w:t>一 法定代表人身份证明或其授权委托书</w:t>
      </w:r>
      <w:bookmarkEnd w:id="165"/>
      <w:bookmarkEnd w:id="166"/>
      <w:bookmarkEnd w:id="167"/>
      <w:bookmarkEnd w:id="168"/>
      <w:bookmarkEnd w:id="169"/>
      <w:bookmarkEnd w:id="170"/>
      <w:bookmarkEnd w:id="171"/>
      <w:bookmarkEnd w:id="172"/>
      <w:bookmarkEnd w:id="173"/>
    </w:p>
    <w:p w14:paraId="4D96F203">
      <w:pPr>
        <w:pageBreakBefore w:val="0"/>
        <w:kinsoku/>
        <w:overflowPunct/>
        <w:bidi w:val="0"/>
        <w:spacing w:line="360" w:lineRule="auto"/>
        <w:ind w:right="-101" w:rightChars="-48"/>
        <w:jc w:val="center"/>
        <w:rPr>
          <w:b/>
          <w:bCs/>
          <w:sz w:val="24"/>
          <w:highlight w:val="none"/>
        </w:rPr>
      </w:pPr>
      <w:bookmarkStart w:id="174" w:name="_Toc18350_WPSOffice_Level3"/>
      <w:bookmarkStart w:id="175" w:name="_Toc16177"/>
      <w:bookmarkStart w:id="176" w:name="_Toc17327_WPSOffice_Level3"/>
    </w:p>
    <w:p w14:paraId="047D3AEC">
      <w:pPr>
        <w:pageBreakBefore w:val="0"/>
        <w:kinsoku/>
        <w:overflowPunct/>
        <w:bidi w:val="0"/>
        <w:spacing w:line="360" w:lineRule="auto"/>
        <w:ind w:right="-101" w:rightChars="-48"/>
        <w:jc w:val="center"/>
        <w:rPr>
          <w:b/>
          <w:bCs/>
          <w:sz w:val="24"/>
          <w:highlight w:val="none"/>
        </w:rPr>
      </w:pPr>
      <w:r>
        <w:rPr>
          <w:b/>
          <w:bCs/>
          <w:sz w:val="24"/>
          <w:highlight w:val="none"/>
        </w:rPr>
        <w:t>（一）</w:t>
      </w:r>
      <w:bookmarkEnd w:id="174"/>
      <w:bookmarkEnd w:id="175"/>
      <w:bookmarkEnd w:id="176"/>
      <w:r>
        <w:rPr>
          <w:rFonts w:hint="eastAsia" w:ascii="宋体" w:hAnsi="宋体" w:cs="宋体"/>
          <w:b/>
          <w:bCs/>
          <w:sz w:val="28"/>
          <w:szCs w:val="28"/>
          <w:highlight w:val="none"/>
        </w:rPr>
        <w:t>法定代表人身份证明</w:t>
      </w:r>
    </w:p>
    <w:p w14:paraId="0990A658">
      <w:pPr>
        <w:pageBreakBefore w:val="0"/>
        <w:kinsoku/>
        <w:overflowPunct/>
        <w:bidi w:val="0"/>
        <w:adjustRightInd w:val="0"/>
        <w:snapToGrid w:val="0"/>
        <w:spacing w:line="360" w:lineRule="auto"/>
        <w:ind w:right="-101" w:rightChars="-48" w:firstLine="420" w:firstLineChars="200"/>
        <w:rPr>
          <w:szCs w:val="21"/>
          <w:highlight w:val="none"/>
        </w:rPr>
      </w:pPr>
    </w:p>
    <w:p w14:paraId="3BE2E9E1">
      <w:pPr>
        <w:pageBreakBefore w:val="0"/>
        <w:kinsoku/>
        <w:overflowPunct/>
        <w:bidi w:val="0"/>
        <w:adjustRightInd w:val="0"/>
        <w:snapToGrid w:val="0"/>
        <w:spacing w:line="360" w:lineRule="auto"/>
        <w:ind w:right="-101" w:rightChars="-48" w:firstLine="420" w:firstLineChars="200"/>
        <w:rPr>
          <w:szCs w:val="21"/>
          <w:highlight w:val="none"/>
          <w:u w:val="single"/>
        </w:rPr>
      </w:pPr>
      <w:r>
        <w:rPr>
          <w:rFonts w:hint="eastAsia"/>
          <w:szCs w:val="21"/>
          <w:highlight w:val="none"/>
        </w:rPr>
        <w:t>参选人</w:t>
      </w:r>
      <w:r>
        <w:rPr>
          <w:szCs w:val="21"/>
          <w:highlight w:val="none"/>
        </w:rPr>
        <w:t>名称：</w:t>
      </w:r>
      <w:r>
        <w:rPr>
          <w:rFonts w:hint="eastAsia"/>
          <w:szCs w:val="21"/>
          <w:highlight w:val="none"/>
          <w:u w:val="single"/>
        </w:rPr>
        <w:t xml:space="preserve">                        </w:t>
      </w:r>
    </w:p>
    <w:p w14:paraId="5EBAEA42">
      <w:pPr>
        <w:pageBreakBefore w:val="0"/>
        <w:kinsoku/>
        <w:overflowPunct/>
        <w:bidi w:val="0"/>
        <w:adjustRightInd w:val="0"/>
        <w:snapToGrid w:val="0"/>
        <w:spacing w:line="360" w:lineRule="auto"/>
        <w:ind w:right="-101" w:rightChars="-48" w:firstLine="420" w:firstLineChars="200"/>
        <w:rPr>
          <w:szCs w:val="21"/>
          <w:highlight w:val="none"/>
        </w:rPr>
      </w:pPr>
    </w:p>
    <w:p w14:paraId="51A8B0F8">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地址：</w:t>
      </w:r>
      <w:r>
        <w:rPr>
          <w:szCs w:val="21"/>
          <w:highlight w:val="none"/>
          <w:u w:val="single"/>
        </w:rPr>
        <w:t xml:space="preserve">  </w:t>
      </w:r>
      <w:r>
        <w:rPr>
          <w:rFonts w:hint="eastAsia" w:ascii="宋体" w:hAnsi="宋体" w:cs="宋体"/>
          <w:szCs w:val="21"/>
          <w:highlight w:val="none"/>
        </w:rPr>
        <w:t xml:space="preserve">  </w:t>
      </w:r>
      <w:r>
        <w:rPr>
          <w:szCs w:val="21"/>
          <w:highlight w:val="none"/>
          <w:u w:val="single"/>
        </w:rPr>
        <w:t xml:space="preserve">                                    </w:t>
      </w:r>
    </w:p>
    <w:p w14:paraId="28D1801C">
      <w:pPr>
        <w:pageBreakBefore w:val="0"/>
        <w:kinsoku/>
        <w:overflowPunct/>
        <w:bidi w:val="0"/>
        <w:adjustRightInd w:val="0"/>
        <w:snapToGrid w:val="0"/>
        <w:spacing w:line="360" w:lineRule="auto"/>
        <w:ind w:right="-101" w:rightChars="-48" w:firstLine="420" w:firstLineChars="200"/>
        <w:rPr>
          <w:szCs w:val="21"/>
          <w:highlight w:val="none"/>
          <w:u w:val="single"/>
        </w:rPr>
      </w:pPr>
      <w:r>
        <w:rPr>
          <w:rFonts w:hint="eastAsia"/>
          <w:szCs w:val="21"/>
          <w:highlight w:val="none"/>
          <w:u w:val="single"/>
        </w:rPr>
        <w:t xml:space="preserve">    </w:t>
      </w:r>
    </w:p>
    <w:p w14:paraId="35BBC9A5">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姓名：</w:t>
      </w:r>
      <w:r>
        <w:rPr>
          <w:szCs w:val="21"/>
          <w:highlight w:val="none"/>
          <w:u w:val="single"/>
        </w:rPr>
        <w:t xml:space="preserve">         </w:t>
      </w:r>
      <w:r>
        <w:rPr>
          <w:szCs w:val="21"/>
          <w:highlight w:val="none"/>
        </w:rPr>
        <w:t>性别：</w:t>
      </w:r>
      <w:r>
        <w:rPr>
          <w:szCs w:val="21"/>
          <w:highlight w:val="none"/>
          <w:u w:val="single"/>
        </w:rPr>
        <w:t xml:space="preserve">         </w:t>
      </w:r>
      <w:r>
        <w:rPr>
          <w:szCs w:val="21"/>
          <w:highlight w:val="none"/>
        </w:rPr>
        <w:t>年龄：</w:t>
      </w:r>
      <w:r>
        <w:rPr>
          <w:szCs w:val="21"/>
          <w:highlight w:val="none"/>
          <w:u w:val="single"/>
        </w:rPr>
        <w:t xml:space="preserve">         </w:t>
      </w:r>
      <w:r>
        <w:rPr>
          <w:szCs w:val="21"/>
          <w:highlight w:val="none"/>
        </w:rPr>
        <w:t>职务：</w:t>
      </w:r>
      <w:r>
        <w:rPr>
          <w:rFonts w:hint="eastAsia"/>
          <w:szCs w:val="21"/>
          <w:highlight w:val="none"/>
          <w:u w:val="single"/>
        </w:rPr>
        <w:t xml:space="preserve">  </w:t>
      </w:r>
      <w:r>
        <w:rPr>
          <w:szCs w:val="21"/>
          <w:highlight w:val="none"/>
          <w:u w:val="single"/>
        </w:rPr>
        <w:t xml:space="preserve">           </w:t>
      </w:r>
    </w:p>
    <w:p w14:paraId="70E69BEC">
      <w:pPr>
        <w:pageBreakBefore w:val="0"/>
        <w:kinsoku/>
        <w:overflowPunct/>
        <w:bidi w:val="0"/>
        <w:adjustRightInd w:val="0"/>
        <w:snapToGrid w:val="0"/>
        <w:spacing w:line="360" w:lineRule="auto"/>
        <w:ind w:right="-101" w:rightChars="-48" w:firstLine="420" w:firstLineChars="200"/>
        <w:rPr>
          <w:szCs w:val="21"/>
          <w:highlight w:val="none"/>
        </w:rPr>
      </w:pPr>
    </w:p>
    <w:p w14:paraId="2F32F432">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系</w:t>
      </w:r>
      <w:r>
        <w:rPr>
          <w:szCs w:val="21"/>
          <w:highlight w:val="none"/>
          <w:u w:val="single"/>
        </w:rPr>
        <w:t xml:space="preserve">     （</w:t>
      </w:r>
      <w:r>
        <w:rPr>
          <w:rFonts w:hint="eastAsia"/>
          <w:szCs w:val="21"/>
          <w:highlight w:val="none"/>
          <w:u w:val="single"/>
        </w:rPr>
        <w:t>参选人</w:t>
      </w:r>
      <w:r>
        <w:rPr>
          <w:szCs w:val="21"/>
          <w:highlight w:val="none"/>
          <w:u w:val="single"/>
        </w:rPr>
        <w:t xml:space="preserve">名称）                       </w:t>
      </w:r>
      <w:r>
        <w:rPr>
          <w:szCs w:val="21"/>
          <w:highlight w:val="none"/>
        </w:rPr>
        <w:t>的法定代表人。</w:t>
      </w:r>
    </w:p>
    <w:p w14:paraId="78E1AC6F">
      <w:pPr>
        <w:pageBreakBefore w:val="0"/>
        <w:kinsoku/>
        <w:overflowPunct/>
        <w:bidi w:val="0"/>
        <w:adjustRightInd w:val="0"/>
        <w:snapToGrid w:val="0"/>
        <w:spacing w:line="360" w:lineRule="auto"/>
        <w:ind w:right="-101" w:rightChars="-48" w:firstLine="420" w:firstLineChars="200"/>
        <w:rPr>
          <w:szCs w:val="21"/>
          <w:highlight w:val="none"/>
        </w:rPr>
      </w:pPr>
    </w:p>
    <w:p w14:paraId="3E4DBD4E">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特此证明。</w:t>
      </w:r>
    </w:p>
    <w:p w14:paraId="69854C9F">
      <w:pPr>
        <w:pageBreakBefore w:val="0"/>
        <w:kinsoku/>
        <w:overflowPunct/>
        <w:bidi w:val="0"/>
        <w:adjustRightInd w:val="0"/>
        <w:snapToGrid w:val="0"/>
        <w:spacing w:line="360" w:lineRule="auto"/>
        <w:ind w:right="-101" w:rightChars="-48" w:firstLine="420" w:firstLineChars="200"/>
        <w:rPr>
          <w:szCs w:val="21"/>
          <w:highlight w:val="none"/>
        </w:rPr>
      </w:pPr>
    </w:p>
    <w:p w14:paraId="38A5DF06">
      <w:pPr>
        <w:pageBreakBefore w:val="0"/>
        <w:kinsoku/>
        <w:overflowPunct/>
        <w:bidi w:val="0"/>
        <w:adjustRightInd w:val="0"/>
        <w:snapToGrid w:val="0"/>
        <w:spacing w:line="360" w:lineRule="auto"/>
        <w:ind w:right="-101" w:rightChars="-48" w:firstLine="420" w:firstLineChars="200"/>
        <w:rPr>
          <w:szCs w:val="21"/>
          <w:highlight w:val="none"/>
        </w:rPr>
      </w:pPr>
    </w:p>
    <w:p w14:paraId="3698E80A">
      <w:pPr>
        <w:pageBreakBefore w:val="0"/>
        <w:kinsoku/>
        <w:overflowPunct/>
        <w:bidi w:val="0"/>
        <w:adjustRightInd w:val="0"/>
        <w:snapToGrid w:val="0"/>
        <w:spacing w:line="360" w:lineRule="auto"/>
        <w:ind w:right="-101" w:rightChars="-48" w:firstLine="420" w:firstLineChars="200"/>
        <w:rPr>
          <w:szCs w:val="21"/>
          <w:highlight w:val="none"/>
        </w:rPr>
      </w:pPr>
    </w:p>
    <w:p w14:paraId="6EEED366">
      <w:pPr>
        <w:pageBreakBefore w:val="0"/>
        <w:kinsoku/>
        <w:overflowPunct/>
        <w:bidi w:val="0"/>
        <w:adjustRightInd w:val="0"/>
        <w:snapToGrid w:val="0"/>
        <w:spacing w:line="360" w:lineRule="auto"/>
        <w:ind w:right="-101" w:rightChars="-48" w:firstLine="420" w:firstLineChars="200"/>
        <w:rPr>
          <w:szCs w:val="21"/>
          <w:highlight w:val="none"/>
        </w:rPr>
      </w:pPr>
    </w:p>
    <w:p w14:paraId="1890578C">
      <w:pPr>
        <w:pageBreakBefore w:val="0"/>
        <w:kinsoku/>
        <w:overflowPunct/>
        <w:bidi w:val="0"/>
        <w:adjustRightInd w:val="0"/>
        <w:snapToGrid w:val="0"/>
        <w:spacing w:line="360" w:lineRule="auto"/>
        <w:ind w:right="-101" w:rightChars="-48" w:firstLine="420" w:firstLineChars="200"/>
        <w:rPr>
          <w:szCs w:val="21"/>
          <w:highlight w:val="none"/>
        </w:rPr>
      </w:pPr>
      <w:r>
        <w:rPr>
          <w:rFonts w:hint="eastAsia"/>
          <w:szCs w:val="21"/>
          <w:highlight w:val="none"/>
        </w:rPr>
        <w:t>参选人</w:t>
      </w:r>
      <w:r>
        <w:rPr>
          <w:szCs w:val="21"/>
          <w:highlight w:val="none"/>
        </w:rPr>
        <w:t>：</w:t>
      </w:r>
      <w:r>
        <w:rPr>
          <w:rFonts w:hint="eastAsia"/>
          <w:szCs w:val="21"/>
          <w:highlight w:val="none"/>
        </w:rPr>
        <w:t xml:space="preserve">          </w:t>
      </w:r>
      <w:r>
        <w:rPr>
          <w:szCs w:val="21"/>
          <w:highlight w:val="none"/>
        </w:rPr>
        <w:t>（盖章）</w:t>
      </w:r>
    </w:p>
    <w:p w14:paraId="64CEE7FE">
      <w:pPr>
        <w:pageBreakBefore w:val="0"/>
        <w:kinsoku/>
        <w:overflowPunct/>
        <w:bidi w:val="0"/>
        <w:adjustRightInd w:val="0"/>
        <w:snapToGrid w:val="0"/>
        <w:spacing w:line="360" w:lineRule="auto"/>
        <w:ind w:right="-101" w:rightChars="-48" w:firstLine="420" w:firstLineChars="200"/>
        <w:rPr>
          <w:szCs w:val="21"/>
          <w:highlight w:val="none"/>
        </w:rPr>
      </w:pPr>
    </w:p>
    <w:p w14:paraId="1B55E266">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法定代表人：</w:t>
      </w:r>
      <w:r>
        <w:rPr>
          <w:rFonts w:hint="eastAsia"/>
          <w:szCs w:val="21"/>
          <w:highlight w:val="none"/>
        </w:rPr>
        <w:t xml:space="preserve">      </w:t>
      </w:r>
      <w:r>
        <w:rPr>
          <w:szCs w:val="21"/>
          <w:highlight w:val="none"/>
        </w:rPr>
        <w:t xml:space="preserve">（签字）                            </w:t>
      </w:r>
    </w:p>
    <w:p w14:paraId="300FC1B9">
      <w:pPr>
        <w:pageBreakBefore w:val="0"/>
        <w:kinsoku/>
        <w:overflowPunct/>
        <w:bidi w:val="0"/>
        <w:adjustRightInd w:val="0"/>
        <w:snapToGrid w:val="0"/>
        <w:spacing w:line="360" w:lineRule="auto"/>
        <w:ind w:right="-101" w:rightChars="-48" w:firstLine="420" w:firstLineChars="200"/>
        <w:rPr>
          <w:szCs w:val="21"/>
          <w:highlight w:val="none"/>
        </w:rPr>
      </w:pPr>
    </w:p>
    <w:p w14:paraId="06899A4C">
      <w:pPr>
        <w:pageBreakBefore w:val="0"/>
        <w:kinsoku/>
        <w:overflowPunct/>
        <w:bidi w:val="0"/>
        <w:adjustRightInd w:val="0"/>
        <w:snapToGrid w:val="0"/>
        <w:spacing w:line="360" w:lineRule="auto"/>
        <w:ind w:right="-101" w:rightChars="-48" w:firstLine="420" w:firstLineChars="200"/>
        <w:rPr>
          <w:szCs w:val="21"/>
          <w:highlight w:val="none"/>
        </w:rPr>
      </w:pPr>
      <w:r>
        <w:rPr>
          <w:szCs w:val="21"/>
          <w:highlight w:val="none"/>
        </w:rPr>
        <w:t>日期：   年   月   日</w:t>
      </w:r>
    </w:p>
    <w:p w14:paraId="62902D28">
      <w:pPr>
        <w:pageBreakBefore w:val="0"/>
        <w:kinsoku/>
        <w:overflowPunct/>
        <w:bidi w:val="0"/>
        <w:adjustRightInd w:val="0"/>
        <w:snapToGrid w:val="0"/>
        <w:spacing w:line="360" w:lineRule="auto"/>
        <w:ind w:right="-101" w:rightChars="-48" w:firstLine="420" w:firstLineChars="200"/>
        <w:rPr>
          <w:szCs w:val="21"/>
          <w:highlight w:val="none"/>
        </w:rPr>
      </w:pPr>
    </w:p>
    <w:p w14:paraId="4078470E">
      <w:pPr>
        <w:pageBreakBefore w:val="0"/>
        <w:kinsoku/>
        <w:overflowPunct/>
        <w:topLinePunct/>
        <w:bidi w:val="0"/>
        <w:adjustRightInd w:val="0"/>
        <w:snapToGrid w:val="0"/>
        <w:spacing w:line="360" w:lineRule="auto"/>
        <w:ind w:right="-101" w:rightChars="-48" w:firstLine="422" w:firstLineChars="200"/>
        <w:rPr>
          <w:b/>
          <w:bCs/>
          <w:szCs w:val="21"/>
          <w:highlight w:val="none"/>
        </w:rPr>
      </w:pPr>
      <w:r>
        <w:rPr>
          <w:b/>
          <w:bCs/>
          <w:szCs w:val="21"/>
          <w:highlight w:val="none"/>
        </w:rPr>
        <w:t>附：法定代表人身份证双面复印件。</w:t>
      </w:r>
    </w:p>
    <w:p w14:paraId="2AB45486">
      <w:pPr>
        <w:pageBreakBefore w:val="0"/>
        <w:kinsoku/>
        <w:overflowPunct/>
        <w:bidi w:val="0"/>
        <w:spacing w:line="360" w:lineRule="auto"/>
        <w:ind w:right="-101" w:rightChars="-48"/>
        <w:jc w:val="center"/>
        <w:rPr>
          <w:b/>
          <w:sz w:val="24"/>
          <w:highlight w:val="none"/>
        </w:rPr>
      </w:pPr>
      <w:r>
        <w:rPr>
          <w:sz w:val="24"/>
          <w:highlight w:val="none"/>
        </w:rPr>
        <w:br w:type="page"/>
      </w:r>
      <w:bookmarkStart w:id="177" w:name="_Toc21175_WPSOffice_Level3"/>
      <w:bookmarkStart w:id="178" w:name="_Toc2932_WPSOffice_Level3"/>
      <w:bookmarkStart w:id="179" w:name="_Toc6119"/>
      <w:r>
        <w:rPr>
          <w:b/>
          <w:sz w:val="24"/>
          <w:highlight w:val="none"/>
        </w:rPr>
        <w:t>（二）</w:t>
      </w:r>
      <w:bookmarkEnd w:id="177"/>
      <w:bookmarkEnd w:id="178"/>
      <w:bookmarkEnd w:id="179"/>
      <w:r>
        <w:rPr>
          <w:rFonts w:hint="eastAsia" w:ascii="宋体" w:hAnsi="宋体" w:cs="宋体"/>
          <w:b/>
          <w:sz w:val="28"/>
          <w:szCs w:val="28"/>
          <w:highlight w:val="none"/>
        </w:rPr>
        <w:t>法定代表人授权委托书</w:t>
      </w:r>
    </w:p>
    <w:p w14:paraId="1413FF62">
      <w:pPr>
        <w:pageBreakBefore w:val="0"/>
        <w:kinsoku/>
        <w:overflowPunct/>
        <w:bidi w:val="0"/>
        <w:spacing w:line="360" w:lineRule="auto"/>
        <w:ind w:right="-101" w:rightChars="-48" w:firstLine="422" w:firstLineChars="200"/>
        <w:rPr>
          <w:b/>
          <w:highlight w:val="none"/>
        </w:rPr>
      </w:pPr>
    </w:p>
    <w:p w14:paraId="3184AAE1">
      <w:pPr>
        <w:pageBreakBefore w:val="0"/>
        <w:kinsoku/>
        <w:overflowPunct/>
        <w:bidi w:val="0"/>
        <w:spacing w:line="360" w:lineRule="auto"/>
        <w:ind w:right="-101" w:rightChars="-48" w:firstLine="422" w:firstLineChars="200"/>
        <w:rPr>
          <w:b/>
          <w:highlight w:val="none"/>
        </w:rPr>
      </w:pPr>
      <w:r>
        <w:rPr>
          <w:b/>
          <w:highlight w:val="none"/>
        </w:rPr>
        <w:t>致：</w:t>
      </w:r>
      <w:r>
        <w:rPr>
          <w:rFonts w:hint="eastAsia"/>
          <w:b/>
          <w:highlight w:val="none"/>
        </w:rPr>
        <w:t>南通轨道交通集团有限公司</w:t>
      </w:r>
    </w:p>
    <w:p w14:paraId="20EE7305">
      <w:pPr>
        <w:pageBreakBefore w:val="0"/>
        <w:kinsoku/>
        <w:overflowPunct/>
        <w:bidi w:val="0"/>
        <w:spacing w:line="360" w:lineRule="auto"/>
        <w:ind w:right="-101" w:rightChars="-48" w:firstLine="420" w:firstLineChars="200"/>
        <w:rPr>
          <w:highlight w:val="none"/>
        </w:rPr>
      </w:pPr>
      <w:r>
        <w:rPr>
          <w:highlight w:val="none"/>
        </w:rPr>
        <w:t>本授权委托书声明：</w:t>
      </w:r>
    </w:p>
    <w:p w14:paraId="1A99201C">
      <w:pPr>
        <w:pageBreakBefore w:val="0"/>
        <w:kinsoku/>
        <w:overflowPunct/>
        <w:bidi w:val="0"/>
        <w:spacing w:line="360" w:lineRule="auto"/>
        <w:ind w:right="-101" w:rightChars="-48" w:firstLine="420" w:firstLineChars="200"/>
        <w:rPr>
          <w:highlight w:val="none"/>
        </w:rPr>
      </w:pPr>
      <w:r>
        <w:rPr>
          <w:highlight w:val="none"/>
        </w:rPr>
        <w:t>我</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 xml:space="preserve">（姓名），系  </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highlight w:val="none"/>
        </w:rPr>
        <w:t>参选人</w:t>
      </w:r>
      <w:r>
        <w:rPr>
          <w:highlight w:val="none"/>
        </w:rPr>
        <w:t>名称）的法定代表人，现授权委托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w:t>
      </w:r>
      <w:r>
        <w:rPr>
          <w:rFonts w:hint="eastAsia"/>
          <w:highlight w:val="none"/>
        </w:rPr>
        <w:t>、职务</w:t>
      </w:r>
      <w:r>
        <w:rPr>
          <w:highlight w:val="none"/>
        </w:rPr>
        <w:t>）为我公司授权的合法代理人，以本公司的名义参加</w:t>
      </w:r>
      <w:r>
        <w:rPr>
          <w:highlight w:val="none"/>
          <w:u w:val="single"/>
        </w:rPr>
        <w:t xml:space="preserve"> （项目名称）</w:t>
      </w:r>
      <w:r>
        <w:rPr>
          <w:rFonts w:hint="eastAsia"/>
          <w:highlight w:val="none"/>
          <w:u w:val="single"/>
        </w:rPr>
        <w:t xml:space="preserve">     </w:t>
      </w:r>
      <w:r>
        <w:rPr>
          <w:rFonts w:hint="eastAsia"/>
          <w:highlight w:val="none"/>
        </w:rPr>
        <w:t>比选参选</w:t>
      </w:r>
      <w:r>
        <w:rPr>
          <w:highlight w:val="none"/>
        </w:rPr>
        <w:t>活动。</w:t>
      </w:r>
    </w:p>
    <w:p w14:paraId="2F1209D1">
      <w:pPr>
        <w:pageBreakBefore w:val="0"/>
        <w:kinsoku/>
        <w:overflowPunct/>
        <w:bidi w:val="0"/>
        <w:spacing w:line="360" w:lineRule="auto"/>
        <w:ind w:right="-101" w:rightChars="-48" w:firstLine="420" w:firstLineChars="200"/>
        <w:rPr>
          <w:highlight w:val="none"/>
        </w:rPr>
      </w:pPr>
      <w:r>
        <w:rPr>
          <w:highlight w:val="none"/>
        </w:rPr>
        <w:t>委托代理人在开标、</w:t>
      </w:r>
      <w:r>
        <w:rPr>
          <w:rFonts w:hint="eastAsia"/>
          <w:highlight w:val="none"/>
        </w:rPr>
        <w:t>评选</w:t>
      </w:r>
      <w:r>
        <w:rPr>
          <w:highlight w:val="none"/>
        </w:rPr>
        <w:t>、合同谈判和合同签署过程中所签署的一切文件和处理与之有关的一切事务，我均予以承认。</w:t>
      </w:r>
    </w:p>
    <w:p w14:paraId="36046D7F">
      <w:pPr>
        <w:pageBreakBefore w:val="0"/>
        <w:kinsoku/>
        <w:overflowPunct/>
        <w:bidi w:val="0"/>
        <w:spacing w:line="360" w:lineRule="auto"/>
        <w:ind w:right="-101" w:rightChars="-48" w:firstLine="420" w:firstLineChars="200"/>
        <w:rPr>
          <w:highlight w:val="none"/>
        </w:rPr>
      </w:pPr>
      <w:r>
        <w:rPr>
          <w:highlight w:val="none"/>
        </w:rPr>
        <w:t>本委托书的有效期限为</w:t>
      </w:r>
      <w:r>
        <w:rPr>
          <w:highlight w:val="none"/>
          <w:u w:val="single"/>
        </w:rPr>
        <w:t xml:space="preserve">自即日起至 </w:t>
      </w:r>
      <w:r>
        <w:rPr>
          <w:rFonts w:hint="eastAsia"/>
          <w:highlight w:val="none"/>
          <w:u w:val="single"/>
        </w:rPr>
        <w:t xml:space="preserve">   </w:t>
      </w:r>
      <w:r>
        <w:rPr>
          <w:highlight w:val="none"/>
          <w:u w:val="single"/>
        </w:rPr>
        <w:t xml:space="preserve">      日止</w:t>
      </w:r>
      <w:r>
        <w:rPr>
          <w:highlight w:val="none"/>
        </w:rPr>
        <w:t>。</w:t>
      </w:r>
    </w:p>
    <w:p w14:paraId="428DB596">
      <w:pPr>
        <w:pageBreakBefore w:val="0"/>
        <w:kinsoku/>
        <w:overflowPunct/>
        <w:bidi w:val="0"/>
        <w:spacing w:line="360" w:lineRule="auto"/>
        <w:ind w:right="-101" w:rightChars="-48" w:firstLine="420" w:firstLineChars="200"/>
        <w:rPr>
          <w:highlight w:val="none"/>
        </w:rPr>
      </w:pPr>
      <w:r>
        <w:rPr>
          <w:highlight w:val="none"/>
        </w:rPr>
        <w:t>特此委托，此委托无转委托权。</w:t>
      </w:r>
    </w:p>
    <w:p w14:paraId="32F80532">
      <w:pPr>
        <w:pageBreakBefore w:val="0"/>
        <w:kinsoku/>
        <w:overflowPunct/>
        <w:bidi w:val="0"/>
        <w:spacing w:line="360" w:lineRule="auto"/>
        <w:ind w:right="-101" w:rightChars="-48" w:firstLine="422" w:firstLineChars="200"/>
        <w:rPr>
          <w:b/>
          <w:highlight w:val="none"/>
        </w:rPr>
      </w:pPr>
      <w:r>
        <w:rPr>
          <w:b/>
          <w:highlight w:val="none"/>
        </w:rPr>
        <w:t>附：委托代理人身份证双面复印件。</w:t>
      </w:r>
    </w:p>
    <w:p w14:paraId="4E7CA563">
      <w:pPr>
        <w:pageBreakBefore w:val="0"/>
        <w:kinsoku/>
        <w:overflowPunct/>
        <w:bidi w:val="0"/>
        <w:spacing w:line="360" w:lineRule="auto"/>
        <w:ind w:right="-101" w:rightChars="-48" w:firstLine="420" w:firstLineChars="200"/>
        <w:rPr>
          <w:highlight w:val="none"/>
        </w:rPr>
      </w:pPr>
    </w:p>
    <w:p w14:paraId="03D4B90C">
      <w:pPr>
        <w:pageBreakBefore w:val="0"/>
        <w:kinsoku/>
        <w:overflowPunct/>
        <w:bidi w:val="0"/>
        <w:spacing w:line="360" w:lineRule="auto"/>
        <w:ind w:right="-101" w:rightChars="-48" w:firstLine="420" w:firstLineChars="200"/>
        <w:rPr>
          <w:highlight w:val="none"/>
        </w:rPr>
      </w:pPr>
    </w:p>
    <w:p w14:paraId="75C796E8">
      <w:pPr>
        <w:pageBreakBefore w:val="0"/>
        <w:kinsoku/>
        <w:overflowPunct/>
        <w:bidi w:val="0"/>
        <w:spacing w:line="360" w:lineRule="auto"/>
        <w:ind w:right="-101" w:rightChars="-48" w:firstLine="420" w:firstLineChars="200"/>
        <w:rPr>
          <w:highlight w:val="none"/>
        </w:rPr>
      </w:pPr>
    </w:p>
    <w:p w14:paraId="24AC3B17">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参选人：</w:t>
      </w:r>
      <w:r>
        <w:rPr>
          <w:rFonts w:hint="eastAsia" w:ascii="宋体" w:hAnsi="宋体" w:eastAsia="宋体" w:cs="宋体"/>
          <w:sz w:val="21"/>
          <w:szCs w:val="21"/>
          <w:highlight w:val="none"/>
          <w:u w:val="single"/>
        </w:rPr>
        <w:t xml:space="preserve">                           （盖章）</w:t>
      </w:r>
    </w:p>
    <w:p w14:paraId="0E34B11A">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u w:val="singl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（签字或盖章）</w:t>
      </w:r>
    </w:p>
    <w:p w14:paraId="2593A9DE">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6FB25479">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（签字或盖章）</w:t>
      </w:r>
    </w:p>
    <w:p w14:paraId="70F6AA9F">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14:paraId="77EBD569">
      <w:pPr>
        <w:pStyle w:val="17"/>
        <w:pageBreakBefore w:val="0"/>
        <w:kinsoku/>
        <w:overflowPunct/>
        <w:bidi w:val="0"/>
        <w:spacing w:line="360" w:lineRule="auto"/>
        <w:ind w:left="0" w:right="-101" w:rightChars="-48"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A2D86C7">
      <w:pPr>
        <w:pageBreakBefore w:val="0"/>
        <w:kinsoku/>
        <w:overflowPunct/>
        <w:bidi w:val="0"/>
        <w:adjustRightInd w:val="0"/>
        <w:spacing w:line="360" w:lineRule="auto"/>
        <w:ind w:right="-101" w:rightChars="-48" w:firstLine="420" w:firstLineChars="200"/>
        <w:textAlignment w:val="baseline"/>
        <w:rPr>
          <w:rFonts w:ascii="宋体" w:hAnsi="宋体" w:cs="宋体"/>
          <w:szCs w:val="21"/>
          <w:highlight w:val="none"/>
        </w:rPr>
      </w:pPr>
    </w:p>
    <w:p w14:paraId="0FBEE13D">
      <w:pPr>
        <w:pageBreakBefore w:val="0"/>
        <w:kinsoku/>
        <w:overflowPunct/>
        <w:bidi w:val="0"/>
        <w:adjustRightInd w:val="0"/>
        <w:spacing w:line="360" w:lineRule="auto"/>
        <w:ind w:right="-101" w:rightChars="-48" w:firstLine="420" w:firstLineChars="200"/>
        <w:textAlignment w:val="baseline"/>
        <w:rPr>
          <w:rFonts w:ascii="宋体" w:hAnsi="宋体" w:cs="宋体"/>
          <w:szCs w:val="21"/>
          <w:highlight w:val="none"/>
        </w:rPr>
      </w:pPr>
    </w:p>
    <w:p w14:paraId="7444E0CC">
      <w:pPr>
        <w:pStyle w:val="17"/>
        <w:pageBreakBefore w:val="0"/>
        <w:kinsoku/>
        <w:overflowPunct/>
        <w:bidi w:val="0"/>
        <w:adjustRightInd w:val="0"/>
        <w:snapToGrid w:val="0"/>
        <w:spacing w:line="360" w:lineRule="auto"/>
        <w:ind w:left="1105" w:leftChars="211" w:right="-101" w:rightChars="-48" w:hanging="662" w:hangingChars="314"/>
        <w:rPr>
          <w:rFonts w:ascii="宋体" w:hAnsi="宋体" w:eastAsia="宋体" w:cs="宋体"/>
          <w:b/>
          <w:sz w:val="21"/>
          <w:szCs w:val="21"/>
          <w:highlight w:val="none"/>
        </w:rPr>
      </w:pPr>
      <w:r>
        <w:rPr>
          <w:rFonts w:hint="eastAsia" w:ascii="宋体" w:hAnsi="宋体" w:eastAsia="宋体" w:cs="宋体"/>
          <w:b/>
          <w:sz w:val="21"/>
          <w:szCs w:val="21"/>
          <w:highlight w:val="none"/>
        </w:rPr>
        <w:t>说明：如参选人由法定代表人亲自签署参选文件并参与相关活动，则不需办理授权。如由被授权的代理人签署上述文件，则必须按本格式规定办理授权书。</w:t>
      </w:r>
    </w:p>
    <w:p w14:paraId="5BAE7ED8">
      <w:pPr>
        <w:pStyle w:val="2"/>
        <w:pageBreakBefore w:val="0"/>
        <w:kinsoku/>
        <w:overflowPunct/>
        <w:bidi w:val="0"/>
        <w:spacing w:before="0" w:after="0" w:line="360" w:lineRule="auto"/>
        <w:ind w:right="-101" w:rightChars="-48"/>
        <w:jc w:val="center"/>
        <w:rPr>
          <w:rFonts w:ascii="宋体" w:hAnsi="宋体" w:eastAsia="宋体" w:cs="宋体"/>
          <w:highlight w:val="none"/>
        </w:rPr>
      </w:pPr>
      <w:r>
        <w:rPr>
          <w:rFonts w:ascii="Times New Roman" w:hAnsi="Times New Roman"/>
          <w:sz w:val="24"/>
          <w:highlight w:val="none"/>
        </w:rPr>
        <w:br w:type="page"/>
      </w:r>
      <w:bookmarkStart w:id="180" w:name="_Toc12549"/>
      <w:bookmarkStart w:id="181" w:name="_Toc12537"/>
      <w:bookmarkStart w:id="182" w:name="_Toc31010_WPSOffice_Level2"/>
      <w:bookmarkStart w:id="183" w:name="_Toc25701"/>
      <w:bookmarkStart w:id="184" w:name="_Toc30751"/>
      <w:bookmarkStart w:id="185" w:name="_Toc13358"/>
      <w:bookmarkStart w:id="186" w:name="_Toc29270"/>
      <w:bookmarkStart w:id="187" w:name="_Toc25409"/>
      <w:bookmarkStart w:id="188" w:name="_Toc2356"/>
      <w:bookmarkStart w:id="189" w:name="_Toc11305"/>
      <w:bookmarkStart w:id="190" w:name="_Toc26036"/>
      <w:bookmarkStart w:id="191" w:name="_Toc21531"/>
      <w:bookmarkStart w:id="192" w:name="_Toc22478"/>
      <w:bookmarkStart w:id="193" w:name="_Toc24057"/>
      <w:bookmarkStart w:id="194" w:name="_Toc3758"/>
      <w:bookmarkStart w:id="195" w:name="_Toc21962"/>
      <w:bookmarkStart w:id="196" w:name="_Toc9468"/>
      <w:r>
        <w:rPr>
          <w:rFonts w:hint="eastAsia" w:ascii="宋体" w:hAnsi="宋体" w:eastAsia="宋体" w:cs="宋体"/>
          <w:highlight w:val="none"/>
        </w:rPr>
        <w:t>二 参选人基本情况表</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025B7BC">
      <w:pPr>
        <w:pageBreakBefore w:val="0"/>
        <w:kinsoku/>
        <w:overflowPunct/>
        <w:bidi w:val="0"/>
        <w:spacing w:line="360" w:lineRule="auto"/>
        <w:ind w:right="-101" w:rightChars="-48"/>
        <w:rPr>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308"/>
        <w:gridCol w:w="1635"/>
        <w:gridCol w:w="1395"/>
        <w:gridCol w:w="1575"/>
        <w:gridCol w:w="1207"/>
      </w:tblGrid>
      <w:tr w14:paraId="6B337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1FE41F9A">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参选人名称</w:t>
            </w:r>
          </w:p>
        </w:tc>
        <w:tc>
          <w:tcPr>
            <w:tcW w:w="7120" w:type="dxa"/>
            <w:gridSpan w:val="5"/>
            <w:vAlign w:val="center"/>
          </w:tcPr>
          <w:p w14:paraId="61A8CFEE">
            <w:pPr>
              <w:pageBreakBefore w:val="0"/>
              <w:kinsoku/>
              <w:overflowPunct/>
              <w:bidi w:val="0"/>
              <w:spacing w:line="360" w:lineRule="auto"/>
              <w:ind w:right="-101" w:rightChars="-48"/>
              <w:rPr>
                <w:rFonts w:ascii="宋体" w:hAnsi="宋体" w:cs="宋体"/>
                <w:highlight w:val="none"/>
              </w:rPr>
            </w:pPr>
          </w:p>
        </w:tc>
      </w:tr>
      <w:tr w14:paraId="4823D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10F76C85">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营业执照</w:t>
            </w:r>
          </w:p>
        </w:tc>
        <w:tc>
          <w:tcPr>
            <w:tcW w:w="7120" w:type="dxa"/>
            <w:gridSpan w:val="5"/>
            <w:vAlign w:val="center"/>
          </w:tcPr>
          <w:p w14:paraId="34733F25">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1、编号：     2、发照机关：       3、营业范围：</w:t>
            </w:r>
          </w:p>
        </w:tc>
      </w:tr>
      <w:tr w14:paraId="2A8E54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055D516F">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成立日期</w:t>
            </w:r>
          </w:p>
        </w:tc>
        <w:tc>
          <w:tcPr>
            <w:tcW w:w="1308" w:type="dxa"/>
            <w:vAlign w:val="center"/>
          </w:tcPr>
          <w:p w14:paraId="2A538830">
            <w:pPr>
              <w:pageBreakBefore w:val="0"/>
              <w:kinsoku/>
              <w:overflowPunct/>
              <w:bidi w:val="0"/>
              <w:spacing w:line="360" w:lineRule="auto"/>
              <w:ind w:right="-101" w:rightChars="-48"/>
              <w:rPr>
                <w:rFonts w:ascii="宋体" w:hAnsi="宋体" w:cs="宋体"/>
                <w:highlight w:val="none"/>
              </w:rPr>
            </w:pPr>
          </w:p>
        </w:tc>
        <w:tc>
          <w:tcPr>
            <w:tcW w:w="1635" w:type="dxa"/>
            <w:vAlign w:val="center"/>
          </w:tcPr>
          <w:p w14:paraId="6CBFFAA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现有职工</w:t>
            </w:r>
          </w:p>
          <w:p w14:paraId="25D57B21">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总人数（人）</w:t>
            </w:r>
          </w:p>
        </w:tc>
        <w:tc>
          <w:tcPr>
            <w:tcW w:w="1395" w:type="dxa"/>
            <w:vAlign w:val="center"/>
          </w:tcPr>
          <w:p w14:paraId="065BC58F">
            <w:pPr>
              <w:pageBreakBefore w:val="0"/>
              <w:kinsoku/>
              <w:overflowPunct/>
              <w:bidi w:val="0"/>
              <w:spacing w:line="360" w:lineRule="auto"/>
              <w:ind w:right="-101" w:rightChars="-48"/>
              <w:rPr>
                <w:rFonts w:ascii="宋体" w:hAnsi="宋体" w:cs="宋体"/>
                <w:highlight w:val="none"/>
              </w:rPr>
            </w:pPr>
          </w:p>
        </w:tc>
        <w:tc>
          <w:tcPr>
            <w:tcW w:w="1575" w:type="dxa"/>
            <w:tcBorders>
              <w:right w:val="single" w:color="000000" w:sz="6" w:space="0"/>
            </w:tcBorders>
            <w:vAlign w:val="center"/>
          </w:tcPr>
          <w:p w14:paraId="0E570770">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技术人员人数</w:t>
            </w:r>
          </w:p>
          <w:p w14:paraId="516D4D2D">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（人）</w:t>
            </w:r>
          </w:p>
        </w:tc>
        <w:tc>
          <w:tcPr>
            <w:tcW w:w="1207" w:type="dxa"/>
            <w:tcBorders>
              <w:left w:val="single" w:color="000000" w:sz="6" w:space="0"/>
            </w:tcBorders>
            <w:vAlign w:val="center"/>
          </w:tcPr>
          <w:p w14:paraId="2CD8D94B">
            <w:pPr>
              <w:pageBreakBefore w:val="0"/>
              <w:kinsoku/>
              <w:overflowPunct/>
              <w:bidi w:val="0"/>
              <w:spacing w:line="360" w:lineRule="auto"/>
              <w:ind w:right="-101" w:rightChars="-48"/>
              <w:jc w:val="center"/>
              <w:rPr>
                <w:rFonts w:ascii="宋体" w:hAnsi="宋体" w:cs="宋体"/>
                <w:highlight w:val="none"/>
              </w:rPr>
            </w:pPr>
          </w:p>
        </w:tc>
      </w:tr>
      <w:tr w14:paraId="42148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02ADB2D7">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法定代表人</w:t>
            </w:r>
          </w:p>
        </w:tc>
        <w:tc>
          <w:tcPr>
            <w:tcW w:w="7120" w:type="dxa"/>
            <w:gridSpan w:val="5"/>
            <w:vAlign w:val="center"/>
          </w:tcPr>
          <w:p w14:paraId="58CA6548">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 xml:space="preserve">1、姓名：           2、职务：             3、联系电话：                 </w:t>
            </w:r>
          </w:p>
          <w:p w14:paraId="4C49DEFC">
            <w:pPr>
              <w:pageBreakBefore w:val="0"/>
              <w:kinsoku/>
              <w:overflowPunct/>
              <w:bidi w:val="0"/>
              <w:spacing w:line="360" w:lineRule="auto"/>
              <w:ind w:right="-101" w:rightChars="-48"/>
              <w:rPr>
                <w:rFonts w:ascii="宋体" w:hAnsi="宋体" w:cs="宋体"/>
                <w:highlight w:val="none"/>
              </w:rPr>
            </w:pPr>
          </w:p>
        </w:tc>
      </w:tr>
      <w:tr w14:paraId="4369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036CFD1F">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企业负责人</w:t>
            </w:r>
          </w:p>
        </w:tc>
        <w:tc>
          <w:tcPr>
            <w:tcW w:w="7120" w:type="dxa"/>
            <w:gridSpan w:val="5"/>
            <w:vAlign w:val="center"/>
          </w:tcPr>
          <w:p w14:paraId="63DC3512">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1、姓名：           2、职务：             3、联系电话：</w:t>
            </w:r>
          </w:p>
        </w:tc>
      </w:tr>
      <w:tr w14:paraId="35C66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7D76E47A">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技术负责人</w:t>
            </w:r>
          </w:p>
        </w:tc>
        <w:tc>
          <w:tcPr>
            <w:tcW w:w="7120" w:type="dxa"/>
            <w:gridSpan w:val="5"/>
            <w:vAlign w:val="center"/>
          </w:tcPr>
          <w:p w14:paraId="64E67C95">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1、姓名：           2、职务：             3、联系电话：</w:t>
            </w:r>
          </w:p>
        </w:tc>
      </w:tr>
      <w:tr w14:paraId="37FD0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2A8175A9">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联系方式</w:t>
            </w:r>
          </w:p>
        </w:tc>
        <w:tc>
          <w:tcPr>
            <w:tcW w:w="7120" w:type="dxa"/>
            <w:gridSpan w:val="5"/>
            <w:vAlign w:val="center"/>
          </w:tcPr>
          <w:p w14:paraId="3755070A">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 xml:space="preserve">1、地址：           2、邮编：             3、联系人：              </w:t>
            </w:r>
          </w:p>
          <w:p w14:paraId="75EA81C9">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 xml:space="preserve">4、联系电话：       5、传真：             6、E-mail：  </w:t>
            </w:r>
          </w:p>
        </w:tc>
      </w:tr>
      <w:tr w14:paraId="5BFAB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14:paraId="239A124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开户银行</w:t>
            </w:r>
          </w:p>
        </w:tc>
        <w:tc>
          <w:tcPr>
            <w:tcW w:w="7120" w:type="dxa"/>
            <w:gridSpan w:val="5"/>
            <w:vAlign w:val="center"/>
          </w:tcPr>
          <w:p w14:paraId="66EDA35E">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1、名称：           2、帐号：</w:t>
            </w:r>
          </w:p>
        </w:tc>
      </w:tr>
      <w:tr w14:paraId="428F3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372" w:type="dxa"/>
            <w:vAlign w:val="center"/>
          </w:tcPr>
          <w:p w14:paraId="7AF947C5">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参选人</w:t>
            </w:r>
          </w:p>
          <w:p w14:paraId="22EE8B43">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简介</w:t>
            </w:r>
          </w:p>
        </w:tc>
        <w:tc>
          <w:tcPr>
            <w:tcW w:w="7120" w:type="dxa"/>
            <w:gridSpan w:val="5"/>
            <w:vAlign w:val="center"/>
          </w:tcPr>
          <w:p w14:paraId="160F4E4D">
            <w:pPr>
              <w:pageBreakBefore w:val="0"/>
              <w:kinsoku/>
              <w:overflowPunct/>
              <w:bidi w:val="0"/>
              <w:spacing w:line="360" w:lineRule="auto"/>
              <w:ind w:right="-101" w:rightChars="-48"/>
              <w:jc w:val="center"/>
              <w:rPr>
                <w:rFonts w:ascii="宋体" w:hAnsi="宋体" w:cs="宋体"/>
                <w:highlight w:val="none"/>
              </w:rPr>
            </w:pPr>
          </w:p>
        </w:tc>
      </w:tr>
    </w:tbl>
    <w:p w14:paraId="34BCD741">
      <w:pPr>
        <w:pageBreakBefore w:val="0"/>
        <w:kinsoku/>
        <w:overflowPunct/>
        <w:bidi w:val="0"/>
        <w:adjustRightInd w:val="0"/>
        <w:snapToGrid w:val="0"/>
        <w:spacing w:line="360" w:lineRule="auto"/>
        <w:ind w:left="422" w:right="-101" w:rightChars="-48" w:hanging="422" w:hangingChars="200"/>
        <w:rPr>
          <w:rFonts w:ascii="宋体" w:hAnsi="宋体" w:cs="宋体"/>
          <w:b/>
          <w:bCs/>
          <w:szCs w:val="21"/>
          <w:highlight w:val="none"/>
        </w:rPr>
      </w:pPr>
      <w:r>
        <w:rPr>
          <w:rFonts w:hint="eastAsia" w:ascii="宋体" w:hAnsi="宋体" w:cs="宋体"/>
          <w:b/>
          <w:bCs/>
          <w:szCs w:val="21"/>
          <w:highlight w:val="none"/>
        </w:rPr>
        <w:t>注：本表后应包括不限于附参选人营业执照（或事业单位法人证书）复印件（或扫描件）等。</w:t>
      </w:r>
    </w:p>
    <w:p w14:paraId="517ED375">
      <w:pPr>
        <w:pStyle w:val="2"/>
        <w:pageBreakBefore w:val="0"/>
        <w:kinsoku/>
        <w:overflowPunct/>
        <w:bidi w:val="0"/>
        <w:spacing w:before="0" w:after="0" w:line="360" w:lineRule="auto"/>
        <w:ind w:right="-101" w:rightChars="-48"/>
        <w:jc w:val="center"/>
        <w:rPr>
          <w:rFonts w:ascii="宋体" w:hAnsi="宋体" w:eastAsia="宋体" w:cs="宋体"/>
          <w:highlight w:val="none"/>
        </w:rPr>
      </w:pPr>
      <w:r>
        <w:rPr>
          <w:rFonts w:ascii="Times New Roman" w:hAnsi="Times New Roman"/>
          <w:highlight w:val="none"/>
        </w:rPr>
        <w:br w:type="page"/>
      </w:r>
      <w:bookmarkStart w:id="197" w:name="_Toc3334"/>
      <w:bookmarkStart w:id="198" w:name="_Toc5971"/>
      <w:bookmarkStart w:id="199" w:name="_Toc28313"/>
      <w:bookmarkStart w:id="200" w:name="_Toc5830"/>
      <w:bookmarkStart w:id="201" w:name="_Toc12980"/>
      <w:bookmarkStart w:id="202" w:name="_Toc1587"/>
      <w:bookmarkStart w:id="203" w:name="_Toc11534"/>
      <w:bookmarkStart w:id="204" w:name="_Toc14219"/>
      <w:bookmarkStart w:id="205" w:name="_Toc10695"/>
      <w:r>
        <w:rPr>
          <w:rFonts w:hint="eastAsia" w:ascii="宋体" w:hAnsi="宋体" w:eastAsia="宋体" w:cs="宋体"/>
          <w:highlight w:val="none"/>
        </w:rPr>
        <w:t xml:space="preserve">三 </w:t>
      </w:r>
      <w:r>
        <w:rPr>
          <w:rFonts w:hint="eastAsia" w:ascii="宋体" w:hAnsi="宋体" w:eastAsia="宋体" w:cs="宋体"/>
          <w:szCs w:val="28"/>
          <w:highlight w:val="none"/>
        </w:rPr>
        <w:t>企业业绩概况表</w:t>
      </w:r>
    </w:p>
    <w:p w14:paraId="155BF427">
      <w:pPr>
        <w:pageBreakBefore w:val="0"/>
        <w:kinsoku/>
        <w:overflowPunct/>
        <w:bidi w:val="0"/>
        <w:spacing w:line="360" w:lineRule="auto"/>
        <w:ind w:right="-101" w:rightChars="-48"/>
        <w:rPr>
          <w:highlight w:val="non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0D13E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F227385">
            <w:pPr>
              <w:pageBreakBefore w:val="0"/>
              <w:kinsoku/>
              <w:overflowPunct/>
              <w:bidi w:val="0"/>
              <w:adjustRightInd w:val="0"/>
              <w:snapToGrid w:val="0"/>
              <w:spacing w:line="360" w:lineRule="auto"/>
              <w:ind w:right="-101" w:rightChars="-48"/>
              <w:jc w:val="center"/>
              <w:rPr>
                <w:highlight w:val="none"/>
              </w:rPr>
            </w:pPr>
            <w:r>
              <w:rPr>
                <w:highlight w:val="none"/>
              </w:rPr>
              <w:t>序号</w:t>
            </w:r>
          </w:p>
        </w:tc>
        <w:tc>
          <w:tcPr>
            <w:tcW w:w="5577" w:type="dxa"/>
            <w:vAlign w:val="center"/>
          </w:tcPr>
          <w:p w14:paraId="24C26305">
            <w:pPr>
              <w:pageBreakBefore w:val="0"/>
              <w:kinsoku/>
              <w:overflowPunct/>
              <w:bidi w:val="0"/>
              <w:adjustRightInd w:val="0"/>
              <w:snapToGrid w:val="0"/>
              <w:spacing w:line="360" w:lineRule="auto"/>
              <w:ind w:right="-101" w:rightChars="-48" w:firstLine="420" w:firstLineChars="200"/>
              <w:jc w:val="center"/>
              <w:rPr>
                <w:highlight w:val="none"/>
              </w:rPr>
            </w:pPr>
          </w:p>
        </w:tc>
      </w:tr>
      <w:tr w14:paraId="740BE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C8F7A72">
            <w:pPr>
              <w:pageBreakBefore w:val="0"/>
              <w:kinsoku/>
              <w:overflowPunct/>
              <w:bidi w:val="0"/>
              <w:adjustRightInd w:val="0"/>
              <w:snapToGrid w:val="0"/>
              <w:spacing w:line="360" w:lineRule="auto"/>
              <w:ind w:right="-101" w:rightChars="-48"/>
              <w:jc w:val="center"/>
              <w:rPr>
                <w:highlight w:val="none"/>
              </w:rPr>
            </w:pPr>
            <w:r>
              <w:rPr>
                <w:highlight w:val="none"/>
              </w:rPr>
              <w:t>项目名称</w:t>
            </w:r>
          </w:p>
        </w:tc>
        <w:tc>
          <w:tcPr>
            <w:tcW w:w="5577" w:type="dxa"/>
            <w:vAlign w:val="center"/>
          </w:tcPr>
          <w:p w14:paraId="1D0876D4">
            <w:pPr>
              <w:pageBreakBefore w:val="0"/>
              <w:kinsoku/>
              <w:overflowPunct/>
              <w:bidi w:val="0"/>
              <w:adjustRightInd w:val="0"/>
              <w:snapToGrid w:val="0"/>
              <w:spacing w:line="360" w:lineRule="auto"/>
              <w:ind w:right="-101" w:rightChars="-48" w:firstLine="420" w:firstLineChars="200"/>
              <w:jc w:val="center"/>
              <w:rPr>
                <w:highlight w:val="none"/>
              </w:rPr>
            </w:pPr>
          </w:p>
        </w:tc>
      </w:tr>
      <w:tr w14:paraId="1433E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BF0C65B">
            <w:pPr>
              <w:pageBreakBefore w:val="0"/>
              <w:kinsoku/>
              <w:overflowPunct/>
              <w:bidi w:val="0"/>
              <w:adjustRightInd w:val="0"/>
              <w:snapToGrid w:val="0"/>
              <w:spacing w:line="360" w:lineRule="auto"/>
              <w:ind w:left="42" w:right="-101" w:rightChars="-48" w:hanging="42" w:hangingChars="20"/>
              <w:jc w:val="center"/>
              <w:rPr>
                <w:highlight w:val="none"/>
              </w:rPr>
            </w:pPr>
            <w:r>
              <w:rPr>
                <w:highlight w:val="none"/>
              </w:rPr>
              <w:t>项目所在地</w:t>
            </w:r>
          </w:p>
        </w:tc>
        <w:tc>
          <w:tcPr>
            <w:tcW w:w="5577" w:type="dxa"/>
            <w:vAlign w:val="center"/>
          </w:tcPr>
          <w:p w14:paraId="7CFF7DCC">
            <w:pPr>
              <w:pageBreakBefore w:val="0"/>
              <w:kinsoku/>
              <w:overflowPunct/>
              <w:bidi w:val="0"/>
              <w:adjustRightInd w:val="0"/>
              <w:snapToGrid w:val="0"/>
              <w:spacing w:line="360" w:lineRule="auto"/>
              <w:ind w:right="-101" w:rightChars="-48" w:firstLine="420" w:firstLineChars="200"/>
              <w:jc w:val="center"/>
              <w:rPr>
                <w:highlight w:val="none"/>
              </w:rPr>
            </w:pPr>
          </w:p>
        </w:tc>
      </w:tr>
      <w:tr w14:paraId="5DE94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F3AA536">
            <w:pPr>
              <w:pageBreakBefore w:val="0"/>
              <w:kinsoku/>
              <w:overflowPunct/>
              <w:bidi w:val="0"/>
              <w:adjustRightInd w:val="0"/>
              <w:snapToGrid w:val="0"/>
              <w:spacing w:line="360" w:lineRule="auto"/>
              <w:ind w:right="-101" w:rightChars="-48"/>
              <w:jc w:val="center"/>
              <w:rPr>
                <w:highlight w:val="none"/>
              </w:rPr>
            </w:pPr>
            <w:r>
              <w:rPr>
                <w:highlight w:val="none"/>
              </w:rPr>
              <w:t>业主名称</w:t>
            </w:r>
          </w:p>
        </w:tc>
        <w:tc>
          <w:tcPr>
            <w:tcW w:w="5577" w:type="dxa"/>
            <w:vAlign w:val="center"/>
          </w:tcPr>
          <w:p w14:paraId="306FD4DE">
            <w:pPr>
              <w:pageBreakBefore w:val="0"/>
              <w:kinsoku/>
              <w:overflowPunct/>
              <w:bidi w:val="0"/>
              <w:adjustRightInd w:val="0"/>
              <w:snapToGrid w:val="0"/>
              <w:spacing w:line="360" w:lineRule="auto"/>
              <w:ind w:right="-101" w:rightChars="-48" w:firstLine="420" w:firstLineChars="200"/>
              <w:jc w:val="center"/>
              <w:rPr>
                <w:highlight w:val="none"/>
              </w:rPr>
            </w:pPr>
          </w:p>
        </w:tc>
      </w:tr>
      <w:tr w14:paraId="33812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AD2A23E">
            <w:pPr>
              <w:pageBreakBefore w:val="0"/>
              <w:kinsoku/>
              <w:overflowPunct/>
              <w:bidi w:val="0"/>
              <w:adjustRightInd w:val="0"/>
              <w:snapToGrid w:val="0"/>
              <w:spacing w:line="360" w:lineRule="auto"/>
              <w:ind w:right="-101" w:rightChars="-48"/>
              <w:jc w:val="center"/>
              <w:rPr>
                <w:highlight w:val="none"/>
              </w:rPr>
            </w:pPr>
            <w:r>
              <w:rPr>
                <w:highlight w:val="none"/>
              </w:rPr>
              <w:t>业主地址</w:t>
            </w:r>
          </w:p>
        </w:tc>
        <w:tc>
          <w:tcPr>
            <w:tcW w:w="5577" w:type="dxa"/>
            <w:vAlign w:val="center"/>
          </w:tcPr>
          <w:p w14:paraId="4014BAED">
            <w:pPr>
              <w:pageBreakBefore w:val="0"/>
              <w:kinsoku/>
              <w:overflowPunct/>
              <w:bidi w:val="0"/>
              <w:adjustRightInd w:val="0"/>
              <w:snapToGrid w:val="0"/>
              <w:spacing w:line="360" w:lineRule="auto"/>
              <w:ind w:right="-101" w:rightChars="-48" w:firstLine="420" w:firstLineChars="200"/>
              <w:jc w:val="center"/>
              <w:rPr>
                <w:highlight w:val="none"/>
              </w:rPr>
            </w:pPr>
          </w:p>
        </w:tc>
      </w:tr>
      <w:tr w14:paraId="11E8C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74EB2A1">
            <w:pPr>
              <w:pageBreakBefore w:val="0"/>
              <w:kinsoku/>
              <w:overflowPunct/>
              <w:bidi w:val="0"/>
              <w:adjustRightInd w:val="0"/>
              <w:snapToGrid w:val="0"/>
              <w:spacing w:line="360" w:lineRule="auto"/>
              <w:ind w:right="-101" w:rightChars="-48"/>
              <w:jc w:val="center"/>
              <w:rPr>
                <w:highlight w:val="none"/>
              </w:rPr>
            </w:pPr>
            <w:r>
              <w:rPr>
                <w:highlight w:val="none"/>
              </w:rPr>
              <w:t>业主电话</w:t>
            </w:r>
          </w:p>
        </w:tc>
        <w:tc>
          <w:tcPr>
            <w:tcW w:w="5577" w:type="dxa"/>
            <w:vAlign w:val="center"/>
          </w:tcPr>
          <w:p w14:paraId="18352DC8">
            <w:pPr>
              <w:pageBreakBefore w:val="0"/>
              <w:kinsoku/>
              <w:overflowPunct/>
              <w:bidi w:val="0"/>
              <w:adjustRightInd w:val="0"/>
              <w:snapToGrid w:val="0"/>
              <w:spacing w:line="360" w:lineRule="auto"/>
              <w:ind w:right="-101" w:rightChars="-48" w:firstLine="420" w:firstLineChars="200"/>
              <w:jc w:val="center"/>
              <w:rPr>
                <w:highlight w:val="none"/>
              </w:rPr>
            </w:pPr>
          </w:p>
        </w:tc>
      </w:tr>
      <w:tr w14:paraId="3F746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A9D4314">
            <w:pPr>
              <w:pageBreakBefore w:val="0"/>
              <w:kinsoku/>
              <w:overflowPunct/>
              <w:bidi w:val="0"/>
              <w:adjustRightInd w:val="0"/>
              <w:snapToGrid w:val="0"/>
              <w:spacing w:line="360" w:lineRule="auto"/>
              <w:ind w:right="-101" w:rightChars="-48"/>
              <w:jc w:val="center"/>
              <w:rPr>
                <w:highlight w:val="none"/>
              </w:rPr>
            </w:pPr>
            <w:r>
              <w:rPr>
                <w:rFonts w:hint="eastAsia"/>
                <w:highlight w:val="none"/>
              </w:rPr>
              <w:t>合同</w:t>
            </w:r>
            <w:r>
              <w:rPr>
                <w:highlight w:val="none"/>
              </w:rPr>
              <w:t>金额</w:t>
            </w:r>
          </w:p>
        </w:tc>
        <w:tc>
          <w:tcPr>
            <w:tcW w:w="5577" w:type="dxa"/>
            <w:vAlign w:val="center"/>
          </w:tcPr>
          <w:p w14:paraId="6B671BEB">
            <w:pPr>
              <w:pageBreakBefore w:val="0"/>
              <w:kinsoku/>
              <w:overflowPunct/>
              <w:bidi w:val="0"/>
              <w:adjustRightInd w:val="0"/>
              <w:snapToGrid w:val="0"/>
              <w:spacing w:line="360" w:lineRule="auto"/>
              <w:ind w:right="-101" w:rightChars="-48" w:firstLine="420" w:firstLineChars="200"/>
              <w:jc w:val="center"/>
              <w:rPr>
                <w:highlight w:val="none"/>
              </w:rPr>
            </w:pPr>
          </w:p>
        </w:tc>
      </w:tr>
      <w:tr w14:paraId="530F9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B7677EE">
            <w:pPr>
              <w:pageBreakBefore w:val="0"/>
              <w:kinsoku/>
              <w:overflowPunct/>
              <w:bidi w:val="0"/>
              <w:adjustRightInd w:val="0"/>
              <w:snapToGrid w:val="0"/>
              <w:spacing w:line="360" w:lineRule="auto"/>
              <w:ind w:right="-101" w:rightChars="-48"/>
              <w:jc w:val="center"/>
              <w:rPr>
                <w:highlight w:val="none"/>
              </w:rPr>
            </w:pPr>
            <w:r>
              <w:rPr>
                <w:highlight w:val="none"/>
              </w:rPr>
              <w:t>承担的工作内容</w:t>
            </w:r>
          </w:p>
        </w:tc>
        <w:tc>
          <w:tcPr>
            <w:tcW w:w="5577" w:type="dxa"/>
            <w:vAlign w:val="center"/>
          </w:tcPr>
          <w:p w14:paraId="2574C45A">
            <w:pPr>
              <w:pageBreakBefore w:val="0"/>
              <w:kinsoku/>
              <w:overflowPunct/>
              <w:bidi w:val="0"/>
              <w:adjustRightInd w:val="0"/>
              <w:snapToGrid w:val="0"/>
              <w:spacing w:line="360" w:lineRule="auto"/>
              <w:ind w:right="-101" w:rightChars="-48" w:firstLine="420" w:firstLineChars="200"/>
              <w:jc w:val="center"/>
              <w:rPr>
                <w:highlight w:val="none"/>
              </w:rPr>
            </w:pPr>
          </w:p>
        </w:tc>
      </w:tr>
      <w:tr w14:paraId="52344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9A0B0E0">
            <w:pPr>
              <w:pageBreakBefore w:val="0"/>
              <w:kinsoku/>
              <w:overflowPunct/>
              <w:bidi w:val="0"/>
              <w:adjustRightInd w:val="0"/>
              <w:snapToGrid w:val="0"/>
              <w:spacing w:line="360" w:lineRule="auto"/>
              <w:ind w:right="-101" w:rightChars="-48"/>
              <w:jc w:val="center"/>
              <w:rPr>
                <w:highlight w:val="none"/>
              </w:rPr>
            </w:pPr>
            <w:r>
              <w:rPr>
                <w:highlight w:val="none"/>
              </w:rPr>
              <w:t>项目负责人</w:t>
            </w:r>
          </w:p>
        </w:tc>
        <w:tc>
          <w:tcPr>
            <w:tcW w:w="5577" w:type="dxa"/>
            <w:vAlign w:val="center"/>
          </w:tcPr>
          <w:p w14:paraId="28D0C34A">
            <w:pPr>
              <w:pageBreakBefore w:val="0"/>
              <w:kinsoku/>
              <w:overflowPunct/>
              <w:bidi w:val="0"/>
              <w:adjustRightInd w:val="0"/>
              <w:snapToGrid w:val="0"/>
              <w:spacing w:line="360" w:lineRule="auto"/>
              <w:ind w:right="-101" w:rightChars="-48" w:firstLine="420" w:firstLineChars="200"/>
              <w:jc w:val="center"/>
              <w:rPr>
                <w:highlight w:val="none"/>
              </w:rPr>
            </w:pPr>
          </w:p>
        </w:tc>
      </w:tr>
      <w:tr w14:paraId="470A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4CEE83A">
            <w:pPr>
              <w:pageBreakBefore w:val="0"/>
              <w:kinsoku/>
              <w:overflowPunct/>
              <w:bidi w:val="0"/>
              <w:adjustRightInd w:val="0"/>
              <w:snapToGrid w:val="0"/>
              <w:spacing w:line="360" w:lineRule="auto"/>
              <w:ind w:right="-101" w:rightChars="-48"/>
              <w:jc w:val="center"/>
              <w:rPr>
                <w:highlight w:val="none"/>
              </w:rPr>
            </w:pPr>
            <w:r>
              <w:rPr>
                <w:highlight w:val="none"/>
              </w:rPr>
              <w:t>备注</w:t>
            </w:r>
          </w:p>
        </w:tc>
        <w:tc>
          <w:tcPr>
            <w:tcW w:w="5577" w:type="dxa"/>
            <w:vAlign w:val="center"/>
          </w:tcPr>
          <w:p w14:paraId="1A29057A">
            <w:pPr>
              <w:pageBreakBefore w:val="0"/>
              <w:kinsoku/>
              <w:overflowPunct/>
              <w:bidi w:val="0"/>
              <w:adjustRightInd w:val="0"/>
              <w:snapToGrid w:val="0"/>
              <w:spacing w:line="360" w:lineRule="auto"/>
              <w:ind w:right="-101" w:rightChars="-48" w:firstLine="420" w:firstLineChars="200"/>
              <w:jc w:val="center"/>
              <w:rPr>
                <w:highlight w:val="none"/>
              </w:rPr>
            </w:pPr>
          </w:p>
        </w:tc>
      </w:tr>
    </w:tbl>
    <w:p w14:paraId="350D751E">
      <w:pPr>
        <w:pStyle w:val="78"/>
        <w:pageBreakBefore w:val="0"/>
        <w:kinsoku/>
        <w:overflowPunct/>
        <w:bidi w:val="0"/>
        <w:spacing w:line="360" w:lineRule="auto"/>
        <w:ind w:right="-101" w:rightChars="-48"/>
        <w:rPr>
          <w:highlight w:val="none"/>
          <w:lang w:eastAsia="zh-CN"/>
        </w:rPr>
      </w:pPr>
      <w:r>
        <w:rPr>
          <w:highlight w:val="none"/>
          <w:lang w:eastAsia="zh-CN"/>
        </w:rPr>
        <w:t>注：每一个项目填一张表，本表后附业绩证明材料的复印件</w:t>
      </w:r>
      <w:r>
        <w:rPr>
          <w:rFonts w:hint="eastAsia"/>
          <w:highlight w:val="none"/>
          <w:lang w:eastAsia="zh-CN"/>
        </w:rPr>
        <w:t>或扫描件</w:t>
      </w:r>
      <w:r>
        <w:rPr>
          <w:highlight w:val="none"/>
          <w:lang w:eastAsia="zh-CN"/>
        </w:rPr>
        <w:t>。</w:t>
      </w:r>
    </w:p>
    <w:p w14:paraId="0EE36FC9">
      <w:pPr>
        <w:pStyle w:val="2"/>
        <w:pageBreakBefore w:val="0"/>
        <w:kinsoku/>
        <w:overflowPunct/>
        <w:bidi w:val="0"/>
        <w:spacing w:before="0" w:after="0" w:line="360" w:lineRule="auto"/>
        <w:ind w:right="-101" w:rightChars="-48"/>
        <w:jc w:val="center"/>
        <w:rPr>
          <w:rFonts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四 项目负责人简历表</w:t>
      </w:r>
      <w:bookmarkEnd w:id="197"/>
      <w:bookmarkEnd w:id="198"/>
      <w:bookmarkEnd w:id="199"/>
      <w:bookmarkEnd w:id="200"/>
      <w:bookmarkEnd w:id="201"/>
      <w:bookmarkEnd w:id="202"/>
      <w:bookmarkEnd w:id="203"/>
      <w:bookmarkEnd w:id="204"/>
    </w:p>
    <w:p w14:paraId="44A04F2D">
      <w:pPr>
        <w:pageBreakBefore w:val="0"/>
        <w:kinsoku/>
        <w:overflowPunct/>
        <w:bidi w:val="0"/>
        <w:spacing w:line="360" w:lineRule="auto"/>
        <w:ind w:right="-101" w:rightChars="-48"/>
        <w:jc w:val="right"/>
        <w:rPr>
          <w:highlight w:val="none"/>
        </w:rPr>
      </w:pPr>
      <w:r>
        <w:rPr>
          <w:highlight w:val="none"/>
        </w:rPr>
        <w:t xml:space="preserve">                                            </w:t>
      </w:r>
    </w:p>
    <w:bookmarkEnd w:id="205"/>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607"/>
      </w:tblGrid>
      <w:tr w14:paraId="0E025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BF766E7">
            <w:pPr>
              <w:pageBreakBefore w:val="0"/>
              <w:kinsoku/>
              <w:overflowPunct/>
              <w:bidi w:val="0"/>
              <w:spacing w:line="360" w:lineRule="auto"/>
              <w:ind w:right="-101" w:rightChars="-48"/>
              <w:jc w:val="center"/>
              <w:rPr>
                <w:highlight w:val="none"/>
              </w:rPr>
            </w:pPr>
            <w:bookmarkStart w:id="206" w:name="_Toc218710268"/>
            <w:r>
              <w:rPr>
                <w:highlight w:val="none"/>
              </w:rPr>
              <w:t>姓   名</w:t>
            </w:r>
          </w:p>
        </w:tc>
        <w:tc>
          <w:tcPr>
            <w:tcW w:w="1342" w:type="dxa"/>
            <w:vAlign w:val="center"/>
          </w:tcPr>
          <w:p w14:paraId="6987804F">
            <w:pPr>
              <w:pageBreakBefore w:val="0"/>
              <w:kinsoku/>
              <w:overflowPunct/>
              <w:bidi w:val="0"/>
              <w:spacing w:line="360" w:lineRule="auto"/>
              <w:ind w:right="-101" w:rightChars="-48"/>
              <w:jc w:val="center"/>
              <w:rPr>
                <w:highlight w:val="none"/>
              </w:rPr>
            </w:pPr>
          </w:p>
        </w:tc>
        <w:tc>
          <w:tcPr>
            <w:tcW w:w="1560" w:type="dxa"/>
            <w:vAlign w:val="center"/>
          </w:tcPr>
          <w:p w14:paraId="43A9D02A">
            <w:pPr>
              <w:pageBreakBefore w:val="0"/>
              <w:kinsoku/>
              <w:overflowPunct/>
              <w:bidi w:val="0"/>
              <w:spacing w:line="360" w:lineRule="auto"/>
              <w:ind w:right="-101" w:rightChars="-48"/>
              <w:jc w:val="center"/>
              <w:rPr>
                <w:highlight w:val="none"/>
              </w:rPr>
            </w:pPr>
            <w:r>
              <w:rPr>
                <w:highlight w:val="none"/>
              </w:rPr>
              <w:t>性   别</w:t>
            </w:r>
          </w:p>
        </w:tc>
        <w:tc>
          <w:tcPr>
            <w:tcW w:w="1308" w:type="dxa"/>
            <w:vAlign w:val="center"/>
          </w:tcPr>
          <w:p w14:paraId="15322E8C">
            <w:pPr>
              <w:pageBreakBefore w:val="0"/>
              <w:kinsoku/>
              <w:overflowPunct/>
              <w:bidi w:val="0"/>
              <w:spacing w:line="360" w:lineRule="auto"/>
              <w:ind w:right="-101" w:rightChars="-48"/>
              <w:jc w:val="center"/>
              <w:rPr>
                <w:highlight w:val="none"/>
              </w:rPr>
            </w:pPr>
          </w:p>
        </w:tc>
        <w:tc>
          <w:tcPr>
            <w:tcW w:w="1260" w:type="dxa"/>
            <w:vAlign w:val="center"/>
          </w:tcPr>
          <w:p w14:paraId="20717E7F">
            <w:pPr>
              <w:pageBreakBefore w:val="0"/>
              <w:kinsoku/>
              <w:overflowPunct/>
              <w:bidi w:val="0"/>
              <w:spacing w:line="360" w:lineRule="auto"/>
              <w:ind w:right="-101" w:rightChars="-48"/>
              <w:jc w:val="center"/>
              <w:rPr>
                <w:highlight w:val="none"/>
              </w:rPr>
            </w:pPr>
            <w:r>
              <w:rPr>
                <w:highlight w:val="none"/>
              </w:rPr>
              <w:t>出生</w:t>
            </w:r>
            <w:r>
              <w:rPr>
                <w:rFonts w:hint="eastAsia"/>
                <w:highlight w:val="none"/>
              </w:rPr>
              <w:t>日期</w:t>
            </w:r>
          </w:p>
        </w:tc>
        <w:tc>
          <w:tcPr>
            <w:tcW w:w="1863" w:type="dxa"/>
            <w:gridSpan w:val="2"/>
            <w:vAlign w:val="center"/>
          </w:tcPr>
          <w:p w14:paraId="5FE632B8">
            <w:pPr>
              <w:pageBreakBefore w:val="0"/>
              <w:kinsoku/>
              <w:overflowPunct/>
              <w:bidi w:val="0"/>
              <w:spacing w:line="360" w:lineRule="auto"/>
              <w:ind w:right="-101" w:rightChars="-48"/>
              <w:jc w:val="center"/>
              <w:rPr>
                <w:highlight w:val="none"/>
              </w:rPr>
            </w:pPr>
          </w:p>
        </w:tc>
      </w:tr>
      <w:tr w14:paraId="54581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4CEC0E42">
            <w:pPr>
              <w:pageBreakBefore w:val="0"/>
              <w:kinsoku/>
              <w:overflowPunct/>
              <w:bidi w:val="0"/>
              <w:spacing w:line="360" w:lineRule="auto"/>
              <w:ind w:right="-101" w:rightChars="-48"/>
              <w:jc w:val="center"/>
              <w:rPr>
                <w:highlight w:val="none"/>
              </w:rPr>
            </w:pPr>
            <w:r>
              <w:rPr>
                <w:highlight w:val="none"/>
              </w:rPr>
              <w:t>现任职务</w:t>
            </w:r>
          </w:p>
        </w:tc>
        <w:tc>
          <w:tcPr>
            <w:tcW w:w="1342" w:type="dxa"/>
            <w:vAlign w:val="center"/>
          </w:tcPr>
          <w:p w14:paraId="62ADBA84">
            <w:pPr>
              <w:pageBreakBefore w:val="0"/>
              <w:kinsoku/>
              <w:overflowPunct/>
              <w:bidi w:val="0"/>
              <w:spacing w:line="360" w:lineRule="auto"/>
              <w:ind w:right="-101" w:rightChars="-48"/>
              <w:jc w:val="center"/>
              <w:rPr>
                <w:highlight w:val="none"/>
              </w:rPr>
            </w:pPr>
          </w:p>
        </w:tc>
        <w:tc>
          <w:tcPr>
            <w:tcW w:w="1560" w:type="dxa"/>
            <w:vAlign w:val="center"/>
          </w:tcPr>
          <w:p w14:paraId="386BCC3C">
            <w:pPr>
              <w:pageBreakBefore w:val="0"/>
              <w:kinsoku/>
              <w:overflowPunct/>
              <w:bidi w:val="0"/>
              <w:spacing w:line="360" w:lineRule="auto"/>
              <w:ind w:right="-101" w:rightChars="-48"/>
              <w:jc w:val="center"/>
              <w:rPr>
                <w:highlight w:val="none"/>
              </w:rPr>
            </w:pPr>
            <w:r>
              <w:rPr>
                <w:rFonts w:hint="eastAsia"/>
                <w:highlight w:val="none"/>
              </w:rPr>
              <w:t>手机号码</w:t>
            </w:r>
          </w:p>
        </w:tc>
        <w:tc>
          <w:tcPr>
            <w:tcW w:w="1308" w:type="dxa"/>
            <w:vAlign w:val="center"/>
          </w:tcPr>
          <w:p w14:paraId="5A0FF611">
            <w:pPr>
              <w:pageBreakBefore w:val="0"/>
              <w:kinsoku/>
              <w:overflowPunct/>
              <w:bidi w:val="0"/>
              <w:spacing w:line="360" w:lineRule="auto"/>
              <w:ind w:right="-101" w:rightChars="-48"/>
              <w:jc w:val="center"/>
              <w:rPr>
                <w:highlight w:val="none"/>
              </w:rPr>
            </w:pPr>
          </w:p>
        </w:tc>
        <w:tc>
          <w:tcPr>
            <w:tcW w:w="1260" w:type="dxa"/>
            <w:vAlign w:val="center"/>
          </w:tcPr>
          <w:p w14:paraId="771A7885">
            <w:pPr>
              <w:pageBreakBefore w:val="0"/>
              <w:kinsoku/>
              <w:overflowPunct/>
              <w:bidi w:val="0"/>
              <w:spacing w:line="360" w:lineRule="auto"/>
              <w:ind w:right="-101" w:rightChars="-48"/>
              <w:jc w:val="center"/>
              <w:rPr>
                <w:highlight w:val="none"/>
              </w:rPr>
            </w:pPr>
            <w:r>
              <w:rPr>
                <w:rFonts w:hint="eastAsia"/>
                <w:highlight w:val="none"/>
              </w:rPr>
              <w:t>邮箱</w:t>
            </w:r>
          </w:p>
        </w:tc>
        <w:tc>
          <w:tcPr>
            <w:tcW w:w="1863" w:type="dxa"/>
            <w:gridSpan w:val="2"/>
            <w:vAlign w:val="center"/>
          </w:tcPr>
          <w:p w14:paraId="6F2CC7AB">
            <w:pPr>
              <w:pageBreakBefore w:val="0"/>
              <w:kinsoku/>
              <w:overflowPunct/>
              <w:bidi w:val="0"/>
              <w:spacing w:line="360" w:lineRule="auto"/>
              <w:ind w:right="-101" w:rightChars="-48"/>
              <w:jc w:val="center"/>
              <w:rPr>
                <w:highlight w:val="none"/>
              </w:rPr>
            </w:pPr>
          </w:p>
        </w:tc>
      </w:tr>
      <w:tr w14:paraId="2581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14:paraId="2D1B642F">
            <w:pPr>
              <w:pageBreakBefore w:val="0"/>
              <w:kinsoku/>
              <w:overflowPunct/>
              <w:bidi w:val="0"/>
              <w:spacing w:line="360" w:lineRule="auto"/>
              <w:ind w:right="-101" w:rightChars="-48"/>
              <w:jc w:val="center"/>
              <w:rPr>
                <w:highlight w:val="none"/>
              </w:rPr>
            </w:pPr>
            <w:r>
              <w:rPr>
                <w:highlight w:val="none"/>
              </w:rPr>
              <w:t>专业技术证书及证书号</w:t>
            </w:r>
          </w:p>
        </w:tc>
        <w:tc>
          <w:tcPr>
            <w:tcW w:w="1342" w:type="dxa"/>
            <w:vAlign w:val="center"/>
          </w:tcPr>
          <w:p w14:paraId="7F555FE7">
            <w:pPr>
              <w:pageBreakBefore w:val="0"/>
              <w:kinsoku/>
              <w:overflowPunct/>
              <w:bidi w:val="0"/>
              <w:spacing w:line="360" w:lineRule="auto"/>
              <w:ind w:right="-101" w:rightChars="-48"/>
              <w:jc w:val="center"/>
              <w:rPr>
                <w:highlight w:val="none"/>
              </w:rPr>
            </w:pPr>
            <w:r>
              <w:rPr>
                <w:highlight w:val="none"/>
              </w:rPr>
              <w:t>序号</w:t>
            </w:r>
          </w:p>
        </w:tc>
        <w:tc>
          <w:tcPr>
            <w:tcW w:w="2868" w:type="dxa"/>
            <w:gridSpan w:val="2"/>
            <w:vAlign w:val="center"/>
          </w:tcPr>
          <w:p w14:paraId="035FF1DF">
            <w:pPr>
              <w:pageBreakBefore w:val="0"/>
              <w:kinsoku/>
              <w:overflowPunct/>
              <w:bidi w:val="0"/>
              <w:spacing w:line="360" w:lineRule="auto"/>
              <w:ind w:right="-101" w:rightChars="-48"/>
              <w:jc w:val="center"/>
              <w:rPr>
                <w:highlight w:val="none"/>
              </w:rPr>
            </w:pPr>
            <w:r>
              <w:rPr>
                <w:highlight w:val="none"/>
              </w:rPr>
              <w:t>证书名称</w:t>
            </w:r>
          </w:p>
        </w:tc>
        <w:tc>
          <w:tcPr>
            <w:tcW w:w="3123" w:type="dxa"/>
            <w:gridSpan w:val="3"/>
            <w:vAlign w:val="center"/>
          </w:tcPr>
          <w:p w14:paraId="5BC477C9">
            <w:pPr>
              <w:pageBreakBefore w:val="0"/>
              <w:kinsoku/>
              <w:overflowPunct/>
              <w:bidi w:val="0"/>
              <w:spacing w:line="360" w:lineRule="auto"/>
              <w:ind w:right="-101" w:rightChars="-48"/>
              <w:jc w:val="center"/>
              <w:rPr>
                <w:highlight w:val="none"/>
              </w:rPr>
            </w:pPr>
            <w:r>
              <w:rPr>
                <w:highlight w:val="none"/>
              </w:rPr>
              <w:t>证书号</w:t>
            </w:r>
          </w:p>
        </w:tc>
      </w:tr>
      <w:tr w14:paraId="7AEF2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14:paraId="2A693590">
            <w:pPr>
              <w:pageBreakBefore w:val="0"/>
              <w:kinsoku/>
              <w:overflowPunct/>
              <w:bidi w:val="0"/>
              <w:spacing w:line="360" w:lineRule="auto"/>
              <w:ind w:right="-101" w:rightChars="-48"/>
              <w:jc w:val="center"/>
              <w:rPr>
                <w:highlight w:val="none"/>
              </w:rPr>
            </w:pPr>
          </w:p>
        </w:tc>
        <w:tc>
          <w:tcPr>
            <w:tcW w:w="1342" w:type="dxa"/>
            <w:vAlign w:val="center"/>
          </w:tcPr>
          <w:p w14:paraId="75C10B84">
            <w:pPr>
              <w:pageBreakBefore w:val="0"/>
              <w:kinsoku/>
              <w:overflowPunct/>
              <w:bidi w:val="0"/>
              <w:spacing w:line="360" w:lineRule="auto"/>
              <w:ind w:right="-101" w:rightChars="-48"/>
              <w:jc w:val="center"/>
              <w:rPr>
                <w:highlight w:val="none"/>
              </w:rPr>
            </w:pPr>
          </w:p>
        </w:tc>
        <w:tc>
          <w:tcPr>
            <w:tcW w:w="2868" w:type="dxa"/>
            <w:gridSpan w:val="2"/>
            <w:vAlign w:val="center"/>
          </w:tcPr>
          <w:p w14:paraId="0AEE3998">
            <w:pPr>
              <w:pageBreakBefore w:val="0"/>
              <w:kinsoku/>
              <w:overflowPunct/>
              <w:bidi w:val="0"/>
              <w:spacing w:line="360" w:lineRule="auto"/>
              <w:ind w:right="-101" w:rightChars="-48"/>
              <w:jc w:val="center"/>
              <w:rPr>
                <w:highlight w:val="none"/>
              </w:rPr>
            </w:pPr>
          </w:p>
        </w:tc>
        <w:tc>
          <w:tcPr>
            <w:tcW w:w="3123" w:type="dxa"/>
            <w:gridSpan w:val="3"/>
            <w:vAlign w:val="center"/>
          </w:tcPr>
          <w:p w14:paraId="299C06E6">
            <w:pPr>
              <w:pageBreakBefore w:val="0"/>
              <w:kinsoku/>
              <w:overflowPunct/>
              <w:bidi w:val="0"/>
              <w:spacing w:line="360" w:lineRule="auto"/>
              <w:ind w:right="-101" w:rightChars="-48"/>
              <w:jc w:val="center"/>
              <w:rPr>
                <w:highlight w:val="none"/>
              </w:rPr>
            </w:pPr>
          </w:p>
        </w:tc>
      </w:tr>
      <w:tr w14:paraId="2D2E1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14:paraId="01A927C2">
            <w:pPr>
              <w:pageBreakBefore w:val="0"/>
              <w:kinsoku/>
              <w:overflowPunct/>
              <w:bidi w:val="0"/>
              <w:spacing w:line="360" w:lineRule="auto"/>
              <w:ind w:right="-101" w:rightChars="-48"/>
              <w:jc w:val="center"/>
              <w:rPr>
                <w:highlight w:val="none"/>
              </w:rPr>
            </w:pPr>
          </w:p>
        </w:tc>
        <w:tc>
          <w:tcPr>
            <w:tcW w:w="1342" w:type="dxa"/>
            <w:vAlign w:val="center"/>
          </w:tcPr>
          <w:p w14:paraId="72E7DE7B">
            <w:pPr>
              <w:pageBreakBefore w:val="0"/>
              <w:kinsoku/>
              <w:overflowPunct/>
              <w:bidi w:val="0"/>
              <w:spacing w:line="360" w:lineRule="auto"/>
              <w:ind w:right="-101" w:rightChars="-48"/>
              <w:jc w:val="center"/>
              <w:rPr>
                <w:highlight w:val="none"/>
              </w:rPr>
            </w:pPr>
          </w:p>
        </w:tc>
        <w:tc>
          <w:tcPr>
            <w:tcW w:w="2868" w:type="dxa"/>
            <w:gridSpan w:val="2"/>
            <w:vAlign w:val="center"/>
          </w:tcPr>
          <w:p w14:paraId="1F3D73D2">
            <w:pPr>
              <w:pageBreakBefore w:val="0"/>
              <w:kinsoku/>
              <w:overflowPunct/>
              <w:bidi w:val="0"/>
              <w:spacing w:line="360" w:lineRule="auto"/>
              <w:ind w:right="-101" w:rightChars="-48"/>
              <w:jc w:val="center"/>
              <w:rPr>
                <w:highlight w:val="none"/>
              </w:rPr>
            </w:pPr>
          </w:p>
        </w:tc>
        <w:tc>
          <w:tcPr>
            <w:tcW w:w="3123" w:type="dxa"/>
            <w:gridSpan w:val="3"/>
            <w:vAlign w:val="center"/>
          </w:tcPr>
          <w:p w14:paraId="1213319D">
            <w:pPr>
              <w:pageBreakBefore w:val="0"/>
              <w:kinsoku/>
              <w:overflowPunct/>
              <w:bidi w:val="0"/>
              <w:spacing w:line="360" w:lineRule="auto"/>
              <w:ind w:right="-101" w:rightChars="-48"/>
              <w:jc w:val="center"/>
              <w:rPr>
                <w:highlight w:val="none"/>
              </w:rPr>
            </w:pPr>
          </w:p>
        </w:tc>
      </w:tr>
      <w:tr w14:paraId="089FD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14:paraId="04E57BE3">
            <w:pPr>
              <w:pageBreakBefore w:val="0"/>
              <w:kinsoku/>
              <w:overflowPunct/>
              <w:bidi w:val="0"/>
              <w:spacing w:line="360" w:lineRule="auto"/>
              <w:ind w:right="-101" w:rightChars="-48"/>
              <w:jc w:val="center"/>
              <w:rPr>
                <w:highlight w:val="none"/>
              </w:rPr>
            </w:pPr>
          </w:p>
        </w:tc>
        <w:tc>
          <w:tcPr>
            <w:tcW w:w="1342" w:type="dxa"/>
            <w:vAlign w:val="center"/>
          </w:tcPr>
          <w:p w14:paraId="6BA2A463">
            <w:pPr>
              <w:pageBreakBefore w:val="0"/>
              <w:kinsoku/>
              <w:overflowPunct/>
              <w:bidi w:val="0"/>
              <w:spacing w:line="360" w:lineRule="auto"/>
              <w:ind w:right="-101" w:rightChars="-48"/>
              <w:jc w:val="center"/>
              <w:rPr>
                <w:highlight w:val="none"/>
              </w:rPr>
            </w:pPr>
          </w:p>
        </w:tc>
        <w:tc>
          <w:tcPr>
            <w:tcW w:w="2868" w:type="dxa"/>
            <w:gridSpan w:val="2"/>
            <w:vAlign w:val="center"/>
          </w:tcPr>
          <w:p w14:paraId="0B87E241">
            <w:pPr>
              <w:pageBreakBefore w:val="0"/>
              <w:kinsoku/>
              <w:overflowPunct/>
              <w:bidi w:val="0"/>
              <w:spacing w:line="360" w:lineRule="auto"/>
              <w:ind w:right="-101" w:rightChars="-48"/>
              <w:jc w:val="center"/>
              <w:rPr>
                <w:highlight w:val="none"/>
              </w:rPr>
            </w:pPr>
          </w:p>
        </w:tc>
        <w:tc>
          <w:tcPr>
            <w:tcW w:w="3123" w:type="dxa"/>
            <w:gridSpan w:val="3"/>
            <w:vAlign w:val="center"/>
          </w:tcPr>
          <w:p w14:paraId="36BBF6A9">
            <w:pPr>
              <w:pageBreakBefore w:val="0"/>
              <w:kinsoku/>
              <w:overflowPunct/>
              <w:bidi w:val="0"/>
              <w:spacing w:line="360" w:lineRule="auto"/>
              <w:ind w:right="-101" w:rightChars="-48"/>
              <w:jc w:val="center"/>
              <w:rPr>
                <w:highlight w:val="none"/>
              </w:rPr>
            </w:pPr>
          </w:p>
        </w:tc>
      </w:tr>
      <w:tr w14:paraId="1DA03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0FA76D8">
            <w:pPr>
              <w:pageBreakBefore w:val="0"/>
              <w:kinsoku/>
              <w:overflowPunct/>
              <w:bidi w:val="0"/>
              <w:spacing w:line="360" w:lineRule="auto"/>
              <w:ind w:right="-101" w:rightChars="-48"/>
              <w:jc w:val="center"/>
              <w:rPr>
                <w:highlight w:val="none"/>
              </w:rPr>
            </w:pPr>
            <w:r>
              <w:rPr>
                <w:highlight w:val="none"/>
              </w:rPr>
              <w:t>本项目</w:t>
            </w:r>
          </w:p>
          <w:p w14:paraId="72040CAB">
            <w:pPr>
              <w:pageBreakBefore w:val="0"/>
              <w:kinsoku/>
              <w:overflowPunct/>
              <w:bidi w:val="0"/>
              <w:spacing w:line="360" w:lineRule="auto"/>
              <w:ind w:right="-101" w:rightChars="-48"/>
              <w:jc w:val="center"/>
              <w:rPr>
                <w:highlight w:val="none"/>
              </w:rPr>
            </w:pPr>
            <w:r>
              <w:rPr>
                <w:highlight w:val="none"/>
              </w:rPr>
              <w:t>拟任岗位</w:t>
            </w:r>
          </w:p>
        </w:tc>
        <w:tc>
          <w:tcPr>
            <w:tcW w:w="1342" w:type="dxa"/>
            <w:vAlign w:val="center"/>
          </w:tcPr>
          <w:p w14:paraId="5398E1BA">
            <w:pPr>
              <w:pageBreakBefore w:val="0"/>
              <w:kinsoku/>
              <w:overflowPunct/>
              <w:bidi w:val="0"/>
              <w:spacing w:line="360" w:lineRule="auto"/>
              <w:ind w:right="-101" w:rightChars="-48"/>
              <w:jc w:val="center"/>
              <w:rPr>
                <w:highlight w:val="none"/>
              </w:rPr>
            </w:pPr>
          </w:p>
        </w:tc>
        <w:tc>
          <w:tcPr>
            <w:tcW w:w="1560" w:type="dxa"/>
            <w:vAlign w:val="center"/>
          </w:tcPr>
          <w:p w14:paraId="76209005">
            <w:pPr>
              <w:pageBreakBefore w:val="0"/>
              <w:kinsoku/>
              <w:overflowPunct/>
              <w:bidi w:val="0"/>
              <w:spacing w:line="360" w:lineRule="auto"/>
              <w:ind w:right="-101" w:rightChars="-48"/>
              <w:jc w:val="center"/>
              <w:rPr>
                <w:highlight w:val="none"/>
              </w:rPr>
            </w:pPr>
            <w:r>
              <w:rPr>
                <w:highlight w:val="none"/>
              </w:rPr>
              <w:t>为</w:t>
            </w:r>
            <w:r>
              <w:rPr>
                <w:rFonts w:hint="eastAsia"/>
                <w:highlight w:val="none"/>
              </w:rPr>
              <w:t>参选人</w:t>
            </w:r>
            <w:r>
              <w:rPr>
                <w:highlight w:val="none"/>
              </w:rPr>
              <w:t>服务的时间（年）</w:t>
            </w:r>
          </w:p>
        </w:tc>
        <w:tc>
          <w:tcPr>
            <w:tcW w:w="1308" w:type="dxa"/>
            <w:vAlign w:val="center"/>
          </w:tcPr>
          <w:p w14:paraId="743A40D2">
            <w:pPr>
              <w:pageBreakBefore w:val="0"/>
              <w:kinsoku/>
              <w:overflowPunct/>
              <w:bidi w:val="0"/>
              <w:spacing w:line="360" w:lineRule="auto"/>
              <w:ind w:right="-101" w:rightChars="-48"/>
              <w:jc w:val="center"/>
              <w:rPr>
                <w:highlight w:val="none"/>
              </w:rPr>
            </w:pPr>
          </w:p>
        </w:tc>
        <w:tc>
          <w:tcPr>
            <w:tcW w:w="1260" w:type="dxa"/>
            <w:vAlign w:val="center"/>
          </w:tcPr>
          <w:p w14:paraId="708EF1BB">
            <w:pPr>
              <w:pageBreakBefore w:val="0"/>
              <w:kinsoku/>
              <w:overflowPunct/>
              <w:bidi w:val="0"/>
              <w:spacing w:line="360" w:lineRule="auto"/>
              <w:ind w:right="-101" w:rightChars="-48"/>
              <w:jc w:val="center"/>
              <w:rPr>
                <w:highlight w:val="none"/>
              </w:rPr>
            </w:pPr>
            <w:r>
              <w:rPr>
                <w:rFonts w:hint="eastAsia"/>
                <w:highlight w:val="none"/>
              </w:rPr>
              <w:t>工作经验</w:t>
            </w:r>
            <w:r>
              <w:rPr>
                <w:highlight w:val="none"/>
              </w:rPr>
              <w:t>年限</w:t>
            </w:r>
          </w:p>
        </w:tc>
        <w:tc>
          <w:tcPr>
            <w:tcW w:w="1863" w:type="dxa"/>
            <w:gridSpan w:val="2"/>
            <w:vAlign w:val="center"/>
          </w:tcPr>
          <w:p w14:paraId="66D373C2">
            <w:pPr>
              <w:pageBreakBefore w:val="0"/>
              <w:kinsoku/>
              <w:overflowPunct/>
              <w:bidi w:val="0"/>
              <w:spacing w:line="360" w:lineRule="auto"/>
              <w:ind w:right="-101" w:rightChars="-48"/>
              <w:jc w:val="center"/>
              <w:rPr>
                <w:highlight w:val="none"/>
              </w:rPr>
            </w:pPr>
          </w:p>
        </w:tc>
      </w:tr>
      <w:tr w14:paraId="3FB68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7"/>
            <w:vAlign w:val="center"/>
          </w:tcPr>
          <w:p w14:paraId="37D517BE">
            <w:pPr>
              <w:pageBreakBefore w:val="0"/>
              <w:kinsoku/>
              <w:overflowPunct/>
              <w:bidi w:val="0"/>
              <w:spacing w:line="360" w:lineRule="auto"/>
              <w:ind w:right="-101" w:rightChars="-48"/>
              <w:jc w:val="center"/>
              <w:rPr>
                <w:highlight w:val="none"/>
              </w:rPr>
            </w:pPr>
            <w:r>
              <w:rPr>
                <w:highlight w:val="none"/>
              </w:rPr>
              <w:t>相关专业经历与工作经验</w:t>
            </w:r>
          </w:p>
        </w:tc>
      </w:tr>
      <w:tr w14:paraId="6FE86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06A5382E">
            <w:pPr>
              <w:pageBreakBefore w:val="0"/>
              <w:kinsoku/>
              <w:overflowPunct/>
              <w:bidi w:val="0"/>
              <w:spacing w:line="360" w:lineRule="auto"/>
              <w:ind w:right="-101" w:rightChars="-48"/>
              <w:jc w:val="center"/>
              <w:rPr>
                <w:highlight w:val="none"/>
              </w:rPr>
            </w:pPr>
            <w:r>
              <w:rPr>
                <w:highlight w:val="none"/>
              </w:rPr>
              <w:t>时间</w:t>
            </w:r>
          </w:p>
        </w:tc>
        <w:tc>
          <w:tcPr>
            <w:tcW w:w="5726" w:type="dxa"/>
            <w:gridSpan w:val="5"/>
            <w:vAlign w:val="center"/>
          </w:tcPr>
          <w:p w14:paraId="06AFD51E">
            <w:pPr>
              <w:pageBreakBefore w:val="0"/>
              <w:kinsoku/>
              <w:overflowPunct/>
              <w:bidi w:val="0"/>
              <w:spacing w:line="360" w:lineRule="auto"/>
              <w:ind w:right="-101" w:rightChars="-48"/>
              <w:jc w:val="center"/>
              <w:rPr>
                <w:highlight w:val="none"/>
              </w:rPr>
            </w:pPr>
            <w:r>
              <w:rPr>
                <w:highlight w:val="none"/>
              </w:rPr>
              <w:t>参加过的同类项目</w:t>
            </w:r>
          </w:p>
        </w:tc>
        <w:tc>
          <w:tcPr>
            <w:tcW w:w="1607" w:type="dxa"/>
            <w:vAlign w:val="center"/>
          </w:tcPr>
          <w:p w14:paraId="33508031">
            <w:pPr>
              <w:pageBreakBefore w:val="0"/>
              <w:kinsoku/>
              <w:overflowPunct/>
              <w:bidi w:val="0"/>
              <w:spacing w:line="360" w:lineRule="auto"/>
              <w:ind w:right="-101" w:rightChars="-48"/>
              <w:jc w:val="center"/>
              <w:rPr>
                <w:highlight w:val="none"/>
              </w:rPr>
            </w:pPr>
            <w:r>
              <w:rPr>
                <w:highlight w:val="none"/>
              </w:rPr>
              <w:t>担任职务</w:t>
            </w:r>
          </w:p>
        </w:tc>
      </w:tr>
      <w:tr w14:paraId="24EB0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14:paraId="2229DD52">
            <w:pPr>
              <w:pageBreakBefore w:val="0"/>
              <w:kinsoku/>
              <w:overflowPunct/>
              <w:bidi w:val="0"/>
              <w:spacing w:line="360" w:lineRule="auto"/>
              <w:ind w:right="-101" w:rightChars="-48"/>
              <w:jc w:val="center"/>
              <w:rPr>
                <w:highlight w:val="none"/>
              </w:rPr>
            </w:pPr>
          </w:p>
        </w:tc>
        <w:tc>
          <w:tcPr>
            <w:tcW w:w="5726" w:type="dxa"/>
            <w:gridSpan w:val="5"/>
            <w:vAlign w:val="center"/>
          </w:tcPr>
          <w:p w14:paraId="1D69FDEF">
            <w:pPr>
              <w:pageBreakBefore w:val="0"/>
              <w:kinsoku/>
              <w:overflowPunct/>
              <w:bidi w:val="0"/>
              <w:spacing w:line="360" w:lineRule="auto"/>
              <w:ind w:right="-101" w:rightChars="-48"/>
              <w:jc w:val="center"/>
              <w:rPr>
                <w:highlight w:val="none"/>
              </w:rPr>
            </w:pPr>
          </w:p>
        </w:tc>
        <w:tc>
          <w:tcPr>
            <w:tcW w:w="1607" w:type="dxa"/>
            <w:vAlign w:val="center"/>
          </w:tcPr>
          <w:p w14:paraId="2CAB67BB">
            <w:pPr>
              <w:pageBreakBefore w:val="0"/>
              <w:kinsoku/>
              <w:overflowPunct/>
              <w:bidi w:val="0"/>
              <w:spacing w:line="360" w:lineRule="auto"/>
              <w:ind w:right="-101" w:rightChars="-48"/>
              <w:jc w:val="center"/>
              <w:rPr>
                <w:highlight w:val="none"/>
              </w:rPr>
            </w:pPr>
          </w:p>
        </w:tc>
      </w:tr>
      <w:tr w14:paraId="311CE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2930DA90">
            <w:pPr>
              <w:pageBreakBefore w:val="0"/>
              <w:kinsoku/>
              <w:overflowPunct/>
              <w:bidi w:val="0"/>
              <w:spacing w:line="360" w:lineRule="auto"/>
              <w:ind w:right="-101" w:rightChars="-48"/>
              <w:jc w:val="center"/>
              <w:rPr>
                <w:highlight w:val="none"/>
              </w:rPr>
            </w:pPr>
          </w:p>
        </w:tc>
        <w:tc>
          <w:tcPr>
            <w:tcW w:w="5726" w:type="dxa"/>
            <w:gridSpan w:val="5"/>
            <w:vAlign w:val="center"/>
          </w:tcPr>
          <w:p w14:paraId="5C34B1EC">
            <w:pPr>
              <w:pageBreakBefore w:val="0"/>
              <w:kinsoku/>
              <w:overflowPunct/>
              <w:bidi w:val="0"/>
              <w:spacing w:line="360" w:lineRule="auto"/>
              <w:ind w:right="-101" w:rightChars="-48"/>
              <w:jc w:val="center"/>
              <w:rPr>
                <w:highlight w:val="none"/>
              </w:rPr>
            </w:pPr>
          </w:p>
        </w:tc>
        <w:tc>
          <w:tcPr>
            <w:tcW w:w="1607" w:type="dxa"/>
            <w:vAlign w:val="center"/>
          </w:tcPr>
          <w:p w14:paraId="6ABA1495">
            <w:pPr>
              <w:pageBreakBefore w:val="0"/>
              <w:kinsoku/>
              <w:overflowPunct/>
              <w:bidi w:val="0"/>
              <w:spacing w:line="360" w:lineRule="auto"/>
              <w:ind w:right="-101" w:rightChars="-48"/>
              <w:jc w:val="center"/>
              <w:rPr>
                <w:highlight w:val="none"/>
              </w:rPr>
            </w:pPr>
          </w:p>
        </w:tc>
      </w:tr>
      <w:tr w14:paraId="13731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2BACCF4B">
            <w:pPr>
              <w:pageBreakBefore w:val="0"/>
              <w:kinsoku/>
              <w:overflowPunct/>
              <w:bidi w:val="0"/>
              <w:spacing w:line="360" w:lineRule="auto"/>
              <w:ind w:right="-101" w:rightChars="-48"/>
              <w:jc w:val="center"/>
              <w:rPr>
                <w:highlight w:val="none"/>
              </w:rPr>
            </w:pPr>
          </w:p>
        </w:tc>
        <w:tc>
          <w:tcPr>
            <w:tcW w:w="5726" w:type="dxa"/>
            <w:gridSpan w:val="5"/>
            <w:vAlign w:val="center"/>
          </w:tcPr>
          <w:p w14:paraId="019B5F1B">
            <w:pPr>
              <w:pageBreakBefore w:val="0"/>
              <w:kinsoku/>
              <w:overflowPunct/>
              <w:bidi w:val="0"/>
              <w:spacing w:line="360" w:lineRule="auto"/>
              <w:ind w:right="-101" w:rightChars="-48"/>
              <w:jc w:val="center"/>
              <w:rPr>
                <w:highlight w:val="none"/>
              </w:rPr>
            </w:pPr>
          </w:p>
        </w:tc>
        <w:tc>
          <w:tcPr>
            <w:tcW w:w="1607" w:type="dxa"/>
            <w:vAlign w:val="center"/>
          </w:tcPr>
          <w:p w14:paraId="073C1B18">
            <w:pPr>
              <w:pageBreakBefore w:val="0"/>
              <w:kinsoku/>
              <w:overflowPunct/>
              <w:bidi w:val="0"/>
              <w:spacing w:line="360" w:lineRule="auto"/>
              <w:ind w:right="-101" w:rightChars="-48"/>
              <w:jc w:val="center"/>
              <w:rPr>
                <w:highlight w:val="none"/>
              </w:rPr>
            </w:pPr>
          </w:p>
        </w:tc>
      </w:tr>
    </w:tbl>
    <w:p w14:paraId="620052BE">
      <w:pPr>
        <w:pageBreakBefore w:val="0"/>
        <w:kinsoku/>
        <w:overflowPunct/>
        <w:bidi w:val="0"/>
        <w:spacing w:line="360" w:lineRule="auto"/>
        <w:ind w:right="-101" w:rightChars="-48"/>
        <w:rPr>
          <w:highlight w:val="none"/>
        </w:rPr>
      </w:pPr>
      <w:r>
        <w:rPr>
          <w:highlight w:val="none"/>
        </w:rPr>
        <w:t>注：本表后应附</w:t>
      </w:r>
      <w:r>
        <w:rPr>
          <w:rFonts w:hint="eastAsia"/>
          <w:highlight w:val="none"/>
        </w:rPr>
        <w:t>项目负责人</w:t>
      </w:r>
      <w:r>
        <w:rPr>
          <w:highlight w:val="none"/>
        </w:rPr>
        <w:t>的</w:t>
      </w:r>
      <w:r>
        <w:rPr>
          <w:rFonts w:hint="eastAsia" w:ascii="宋体" w:cs="宋体"/>
          <w:szCs w:val="21"/>
          <w:highlight w:val="none"/>
        </w:rPr>
        <w:t>劳动合同、学历证明、职称证书</w:t>
      </w:r>
      <w:r>
        <w:rPr>
          <w:rFonts w:hint="eastAsia"/>
          <w:highlight w:val="none"/>
        </w:rPr>
        <w:t>复印件或扫描件</w:t>
      </w:r>
      <w:r>
        <w:rPr>
          <w:highlight w:val="none"/>
        </w:rPr>
        <w:t>。</w:t>
      </w:r>
    </w:p>
    <w:p w14:paraId="2E1548D4">
      <w:pPr>
        <w:pageBreakBefore w:val="0"/>
        <w:kinsoku/>
        <w:overflowPunct/>
        <w:bidi w:val="0"/>
        <w:spacing w:line="360" w:lineRule="auto"/>
        <w:ind w:right="-101" w:rightChars="-48"/>
        <w:rPr>
          <w:b/>
          <w:bCs/>
          <w:highlight w:val="none"/>
        </w:rPr>
      </w:pPr>
    </w:p>
    <w:p w14:paraId="4929640E">
      <w:pPr>
        <w:pageBreakBefore w:val="0"/>
        <w:kinsoku/>
        <w:overflowPunct/>
        <w:bidi w:val="0"/>
        <w:spacing w:line="360" w:lineRule="auto"/>
        <w:ind w:right="-101" w:rightChars="-48" w:firstLine="403" w:firstLineChars="192"/>
        <w:jc w:val="right"/>
        <w:rPr>
          <w:highlight w:val="none"/>
          <w:u w:val="single"/>
        </w:rPr>
      </w:pPr>
      <w:r>
        <w:rPr>
          <w:rFonts w:hint="eastAsia"/>
          <w:highlight w:val="none"/>
        </w:rPr>
        <w:t>参选人</w:t>
      </w:r>
      <w:r>
        <w:rPr>
          <w:highlight w:val="none"/>
        </w:rPr>
        <w:t>：</w:t>
      </w:r>
      <w:r>
        <w:rPr>
          <w:highlight w:val="none"/>
          <w:u w:val="single"/>
        </w:rPr>
        <w:t xml:space="preserve">            </w:t>
      </w:r>
      <w:r>
        <w:rPr>
          <w:rFonts w:hint="eastAsia"/>
          <w:highlight w:val="none"/>
          <w:u w:val="single"/>
        </w:rPr>
        <w:t xml:space="preserve"> </w:t>
      </w:r>
      <w:r>
        <w:rPr>
          <w:highlight w:val="none"/>
          <w:u w:val="single"/>
        </w:rPr>
        <w:t xml:space="preserve">          （盖章） </w:t>
      </w:r>
    </w:p>
    <w:p w14:paraId="7E63EBED">
      <w:pPr>
        <w:pageBreakBefore w:val="0"/>
        <w:kinsoku/>
        <w:overflowPunct/>
        <w:bidi w:val="0"/>
        <w:spacing w:line="360" w:lineRule="auto"/>
        <w:ind w:right="-101" w:rightChars="-48" w:firstLine="403" w:firstLineChars="192"/>
        <w:jc w:val="center"/>
        <w:rPr>
          <w:highlight w:val="none"/>
          <w:u w:val="single"/>
        </w:rPr>
      </w:pPr>
      <w:r>
        <w:rPr>
          <w:rFonts w:hint="eastAsia"/>
          <w:highlight w:val="none"/>
        </w:rPr>
        <w:t xml:space="preserve">                                    </w:t>
      </w:r>
      <w:r>
        <w:rPr>
          <w:highlight w:val="none"/>
        </w:rPr>
        <w:t>法定代表人或委托代理人：</w:t>
      </w:r>
      <w:r>
        <w:rPr>
          <w:highlight w:val="none"/>
          <w:u w:val="single"/>
        </w:rPr>
        <w:t xml:space="preserve">（签字或盖章） </w:t>
      </w:r>
    </w:p>
    <w:p w14:paraId="48E044F7">
      <w:pPr>
        <w:pageBreakBefore w:val="0"/>
        <w:kinsoku/>
        <w:overflowPunct/>
        <w:bidi w:val="0"/>
        <w:spacing w:line="360" w:lineRule="auto"/>
        <w:ind w:right="-101" w:rightChars="-48" w:firstLine="403" w:firstLineChars="192"/>
        <w:jc w:val="right"/>
        <w:rPr>
          <w:highlight w:val="none"/>
        </w:rPr>
      </w:pPr>
      <w:r>
        <w:rPr>
          <w:highlight w:val="none"/>
        </w:rPr>
        <w:t>日      期：</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bookmarkEnd w:id="206"/>
    <w:p w14:paraId="0894B05A">
      <w:pPr>
        <w:pageBreakBefore w:val="0"/>
        <w:kinsoku/>
        <w:overflowPunct/>
        <w:bidi w:val="0"/>
        <w:spacing w:line="360" w:lineRule="auto"/>
        <w:ind w:right="-101" w:rightChars="-48" w:firstLine="403" w:firstLineChars="192"/>
        <w:rPr>
          <w:highlight w:val="none"/>
        </w:rPr>
      </w:pPr>
      <w:bookmarkStart w:id="207" w:name="_Toc218710270"/>
    </w:p>
    <w:p w14:paraId="5E0A81B1">
      <w:pPr>
        <w:pageBreakBefore w:val="0"/>
        <w:kinsoku/>
        <w:overflowPunct/>
        <w:bidi w:val="0"/>
        <w:spacing w:line="360" w:lineRule="auto"/>
        <w:ind w:right="-101" w:rightChars="-48" w:firstLine="403" w:firstLineChars="192"/>
        <w:jc w:val="right"/>
        <w:rPr>
          <w:highlight w:val="none"/>
        </w:rPr>
      </w:pPr>
    </w:p>
    <w:bookmarkEnd w:id="207"/>
    <w:p w14:paraId="20F0A17B">
      <w:pPr>
        <w:pStyle w:val="2"/>
        <w:pageBreakBefore w:val="0"/>
        <w:kinsoku/>
        <w:overflowPunct/>
        <w:bidi w:val="0"/>
        <w:spacing w:before="0" w:after="0" w:line="360" w:lineRule="auto"/>
        <w:ind w:right="-101" w:rightChars="-48"/>
        <w:jc w:val="center"/>
        <w:rPr>
          <w:rFonts w:ascii="Times New Roman" w:hAnsi="Times New Roman" w:eastAsia="宋体"/>
          <w:szCs w:val="28"/>
          <w:highlight w:val="none"/>
        </w:rPr>
      </w:pPr>
      <w:bookmarkStart w:id="208" w:name="_Toc218710272"/>
      <w:r>
        <w:rPr>
          <w:rFonts w:ascii="Times New Roman" w:hAnsi="Times New Roman"/>
          <w:sz w:val="24"/>
          <w:szCs w:val="24"/>
          <w:highlight w:val="none"/>
        </w:rPr>
        <w:br w:type="page"/>
      </w:r>
      <w:bookmarkEnd w:id="208"/>
      <w:bookmarkStart w:id="209" w:name="_Toc20063_WPSOffice_Level2"/>
      <w:bookmarkStart w:id="210" w:name="_Toc15020"/>
      <w:bookmarkStart w:id="211" w:name="_Toc218710273"/>
      <w:bookmarkStart w:id="212" w:name="_Toc25442"/>
      <w:bookmarkStart w:id="213" w:name="_Toc20872"/>
      <w:bookmarkStart w:id="214" w:name="_Toc11319"/>
      <w:bookmarkStart w:id="215" w:name="_Toc22612"/>
      <w:bookmarkStart w:id="216" w:name="_Toc23243"/>
      <w:bookmarkStart w:id="217" w:name="_Toc24169"/>
      <w:bookmarkStart w:id="218" w:name="_Toc16839"/>
      <w:bookmarkStart w:id="219" w:name="_Toc22520"/>
      <w:bookmarkStart w:id="220" w:name="_Toc4879"/>
      <w:bookmarkStart w:id="221" w:name="_Toc1737"/>
      <w:r>
        <w:rPr>
          <w:rFonts w:hint="eastAsia" w:ascii="宋体" w:hAnsi="宋体" w:eastAsia="宋体" w:cs="宋体"/>
          <w:highlight w:val="none"/>
        </w:rPr>
        <w:t>五 承诺书</w:t>
      </w:r>
    </w:p>
    <w:p w14:paraId="29B8A323">
      <w:pPr>
        <w:pStyle w:val="130"/>
        <w:pageBreakBefore w:val="0"/>
        <w:kinsoku/>
        <w:overflowPunct/>
        <w:bidi w:val="0"/>
        <w:spacing w:line="360" w:lineRule="auto"/>
        <w:ind w:left="0" w:leftChars="0" w:right="-101" w:rightChars="-48" w:firstLine="0" w:firstLineChars="0"/>
        <w:jc w:val="center"/>
        <w:rPr>
          <w:rFonts w:eastAsia="黑体"/>
          <w:b/>
          <w:sz w:val="24"/>
          <w:szCs w:val="24"/>
          <w:highlight w:val="none"/>
        </w:rPr>
      </w:pPr>
    </w:p>
    <w:p w14:paraId="56B2240E">
      <w:pPr>
        <w:pageBreakBefore w:val="0"/>
        <w:kinsoku/>
        <w:overflowPunct/>
        <w:bidi w:val="0"/>
        <w:spacing w:line="360" w:lineRule="auto"/>
        <w:ind w:right="-101" w:rightChars="-48"/>
        <w:rPr>
          <w:rFonts w:ascii="宋体" w:hAnsi="宋体" w:cs="宋体"/>
          <w:szCs w:val="21"/>
          <w:highlight w:val="none"/>
        </w:rPr>
      </w:pPr>
      <w:r>
        <w:rPr>
          <w:rFonts w:hint="eastAsia" w:ascii="宋体" w:hAnsi="宋体" w:cs="宋体"/>
          <w:szCs w:val="21"/>
          <w:highlight w:val="none"/>
        </w:rPr>
        <w:t>致：南通轨道交通集团有限公司</w:t>
      </w:r>
    </w:p>
    <w:p w14:paraId="2B0BA971">
      <w:pPr>
        <w:pageBreakBefore w:val="0"/>
        <w:kinsoku/>
        <w:overflowPunct/>
        <w:bidi w:val="0"/>
        <w:spacing w:line="360" w:lineRule="auto"/>
        <w:ind w:right="-101" w:rightChars="-48" w:firstLine="420" w:firstLineChars="200"/>
        <w:rPr>
          <w:rFonts w:ascii="宋体" w:hAnsi="宋体" w:cs="宋体"/>
          <w:szCs w:val="21"/>
          <w:highlight w:val="none"/>
        </w:rPr>
      </w:pPr>
      <w:r>
        <w:rPr>
          <w:rFonts w:hint="eastAsia" w:ascii="宋体" w:hAnsi="宋体" w:cs="宋体"/>
          <w:szCs w:val="21"/>
          <w:highlight w:val="none"/>
        </w:rPr>
        <w:t>我方在此郑重承诺：</w:t>
      </w:r>
    </w:p>
    <w:p w14:paraId="0EE7CBD4">
      <w:pPr>
        <w:pageBreakBefore w:val="0"/>
        <w:kinsoku/>
        <w:overflowPunct/>
        <w:bidi w:val="0"/>
        <w:spacing w:line="360" w:lineRule="auto"/>
        <w:ind w:right="-101" w:rightChars="-48" w:firstLine="422" w:firstLineChars="200"/>
        <w:rPr>
          <w:rFonts w:hint="default" w:ascii="宋体" w:hAnsi="宋体" w:eastAsia="宋体" w:cs="宋体"/>
          <w:szCs w:val="21"/>
          <w:highlight w:val="none"/>
          <w:lang w:val="en-US" w:eastAsia="zh-CN"/>
        </w:rPr>
      </w:pPr>
      <w:r>
        <w:rPr>
          <w:rFonts w:hint="eastAsia" w:ascii="宋体" w:hAnsi="宋体" w:cs="宋体"/>
          <w:b/>
          <w:bCs/>
          <w:szCs w:val="21"/>
          <w:highlight w:val="none"/>
          <w:u w:val="single"/>
          <w:lang w:val="en-US" w:eastAsia="zh-CN"/>
        </w:rPr>
        <w:t>我方同意以最终入围的三家服务单位的报价系数中最低的报价系数作为我方最终报价系数与你方签订合同。</w:t>
      </w:r>
    </w:p>
    <w:p w14:paraId="3F32273F">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szCs w:val="21"/>
          <w:highlight w:val="none"/>
        </w:rPr>
        <w:t>在参与本次比选参选活动中，如有下述行为，我方将自动放弃参选或中选资格，已签订合同的项目合同无效。</w:t>
      </w:r>
    </w:p>
    <w:p w14:paraId="51A3E033">
      <w:pPr>
        <w:pageBreakBefore w:val="0"/>
        <w:kinsoku/>
        <w:overflowPunct/>
        <w:bidi w:val="0"/>
        <w:spacing w:line="360" w:lineRule="auto"/>
        <w:ind w:right="-101" w:rightChars="-48" w:firstLine="420" w:firstLineChars="200"/>
        <w:rPr>
          <w:rFonts w:ascii="宋体" w:hAnsi="宋体" w:cs="宋体"/>
          <w:szCs w:val="21"/>
          <w:highlight w:val="none"/>
        </w:rPr>
      </w:pPr>
      <w:r>
        <w:rPr>
          <w:rFonts w:hint="eastAsia" w:ascii="宋体" w:hAnsi="宋体" w:cs="宋体"/>
          <w:szCs w:val="21"/>
          <w:highlight w:val="none"/>
        </w:rPr>
        <w:t>1.以他人名义参选；与比选人、参选人串通参选；提供虚假材料或存在其他弄虚作假行为；</w:t>
      </w:r>
    </w:p>
    <w:p w14:paraId="7DCFF36E">
      <w:pPr>
        <w:pageBreakBefore w:val="0"/>
        <w:kinsoku/>
        <w:overflowPunct/>
        <w:bidi w:val="0"/>
        <w:spacing w:line="360" w:lineRule="auto"/>
        <w:ind w:right="-101" w:rightChars="-48"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.与比选人存在利害关系且可能影响比选公正性；</w:t>
      </w:r>
    </w:p>
    <w:p w14:paraId="1A3C8FC8">
      <w:pPr>
        <w:pageBreakBefore w:val="0"/>
        <w:kinsoku/>
        <w:overflowPunct/>
        <w:bidi w:val="0"/>
        <w:spacing w:line="360" w:lineRule="auto"/>
        <w:ind w:right="-101" w:rightChars="-48" w:firstLine="420" w:firstLineChars="2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.与本比选项目的其他参选人为同一个单位负责人；</w:t>
      </w:r>
    </w:p>
    <w:p w14:paraId="5E711CB2">
      <w:pPr>
        <w:pageBreakBefore w:val="0"/>
        <w:kinsoku/>
        <w:overflowPunct/>
        <w:bidi w:val="0"/>
        <w:spacing w:line="360" w:lineRule="auto"/>
        <w:ind w:right="-101" w:rightChars="-48"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.与本比选项目的其他参选人存在控股、管理关系；</w:t>
      </w:r>
    </w:p>
    <w:p w14:paraId="5C567DFF">
      <w:pPr>
        <w:pageBreakBefore w:val="0"/>
        <w:kinsoku/>
        <w:overflowPunct/>
        <w:bidi w:val="0"/>
        <w:spacing w:line="360" w:lineRule="auto"/>
        <w:ind w:right="-101" w:rightChars="-48"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5.被“信用中国”列入失信被执行人名单；</w:t>
      </w:r>
    </w:p>
    <w:p w14:paraId="0AF9D6B7">
      <w:pPr>
        <w:pageBreakBefore w:val="0"/>
        <w:kinsoku/>
        <w:overflowPunct/>
        <w:bidi w:val="0"/>
        <w:spacing w:line="360" w:lineRule="auto"/>
        <w:ind w:right="-101" w:rightChars="-48"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6.被国家企业信用信息公示系统列入严重违法失信企业名单；</w:t>
      </w:r>
    </w:p>
    <w:p w14:paraId="4FF3AC33">
      <w:pPr>
        <w:pageBreakBefore w:val="0"/>
        <w:kinsoku/>
        <w:overflowPunct/>
        <w:bidi w:val="0"/>
        <w:spacing w:line="360" w:lineRule="auto"/>
        <w:ind w:right="-101" w:rightChars="-48"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7.被南通轨道交通集团有限公司及其所属单位列为失信投标人或列入黑名单，处于暂停或取消投标资格状态；</w:t>
      </w:r>
    </w:p>
    <w:p w14:paraId="29F5BE10">
      <w:pPr>
        <w:pageBreakBefore w:val="0"/>
        <w:kinsoku/>
        <w:overflowPunct/>
        <w:bidi w:val="0"/>
        <w:spacing w:line="360" w:lineRule="auto"/>
        <w:ind w:right="-101" w:rightChars="-48" w:firstLine="420" w:firstLineChars="200"/>
        <w:rPr>
          <w:rFonts w:ascii="宋体" w:hAnsi="宋体" w:cs="宋体"/>
          <w:szCs w:val="21"/>
          <w:highlight w:val="none"/>
        </w:rPr>
      </w:pPr>
      <w:r>
        <w:rPr>
          <w:rFonts w:hint="eastAsia" w:ascii="宋体" w:hAnsi="宋体" w:cs="宋体"/>
          <w:szCs w:val="21"/>
          <w:highlight w:val="none"/>
        </w:rPr>
        <w:t>8.被责令停产停业、暂扣或者吊销许可证、暂扣或者吊销执照；</w:t>
      </w:r>
    </w:p>
    <w:p w14:paraId="43D65831">
      <w:pPr>
        <w:pageBreakBefore w:val="0"/>
        <w:kinsoku/>
        <w:overflowPunct/>
        <w:bidi w:val="0"/>
        <w:spacing w:line="360" w:lineRule="auto"/>
        <w:ind w:right="-101" w:rightChars="-48"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9.进入清算程序，或被宣告破产，或其他丧失履约能力的情形</w:t>
      </w:r>
      <w:r>
        <w:rPr>
          <w:rFonts w:hint="eastAsia" w:ascii="宋体" w:hAnsi="宋体" w:cs="宋体"/>
          <w:szCs w:val="21"/>
          <w:highlight w:val="none"/>
          <w:lang w:eastAsia="zh-CN"/>
        </w:rPr>
        <w:t>。</w:t>
      </w:r>
    </w:p>
    <w:p w14:paraId="0374869A">
      <w:pPr>
        <w:pageBreakBefore w:val="0"/>
        <w:kinsoku/>
        <w:overflowPunct/>
        <w:bidi w:val="0"/>
        <w:spacing w:line="360" w:lineRule="auto"/>
        <w:ind w:right="-101" w:rightChars="-48"/>
        <w:rPr>
          <w:szCs w:val="21"/>
          <w:highlight w:val="none"/>
        </w:rPr>
      </w:pPr>
    </w:p>
    <w:p w14:paraId="244B42D0">
      <w:pPr>
        <w:pageBreakBefore w:val="0"/>
        <w:kinsoku/>
        <w:overflowPunct/>
        <w:bidi w:val="0"/>
        <w:spacing w:line="360" w:lineRule="auto"/>
        <w:ind w:right="-101" w:rightChars="-48" w:firstLine="403" w:firstLineChars="192"/>
        <w:jc w:val="right"/>
        <w:rPr>
          <w:highlight w:val="none"/>
          <w:u w:val="single"/>
        </w:rPr>
      </w:pPr>
      <w:r>
        <w:rPr>
          <w:rFonts w:hint="eastAsia"/>
          <w:highlight w:val="none"/>
        </w:rPr>
        <w:t>参选人</w:t>
      </w:r>
      <w:r>
        <w:rPr>
          <w:highlight w:val="none"/>
        </w:rPr>
        <w:t>：</w:t>
      </w:r>
      <w:r>
        <w:rPr>
          <w:highlight w:val="none"/>
          <w:u w:val="single"/>
        </w:rPr>
        <w:t xml:space="preserve">                      （盖章） </w:t>
      </w:r>
    </w:p>
    <w:p w14:paraId="1F2C0A28">
      <w:pPr>
        <w:pageBreakBefore w:val="0"/>
        <w:kinsoku/>
        <w:overflowPunct/>
        <w:bidi w:val="0"/>
        <w:spacing w:line="360" w:lineRule="auto"/>
        <w:ind w:right="-101" w:rightChars="-48" w:firstLine="403" w:firstLineChars="192"/>
        <w:jc w:val="right"/>
        <w:rPr>
          <w:highlight w:val="none"/>
          <w:u w:val="single"/>
        </w:rPr>
      </w:pPr>
      <w:r>
        <w:rPr>
          <w:highlight w:val="none"/>
        </w:rPr>
        <w:t>法定代表人或委托代理人：</w:t>
      </w:r>
      <w:r>
        <w:rPr>
          <w:highlight w:val="none"/>
          <w:u w:val="single"/>
        </w:rPr>
        <w:t xml:space="preserve">（签字或盖章） </w:t>
      </w:r>
    </w:p>
    <w:p w14:paraId="4BE52753">
      <w:pPr>
        <w:pageBreakBefore w:val="0"/>
        <w:kinsoku/>
        <w:overflowPunct/>
        <w:bidi w:val="0"/>
        <w:spacing w:line="360" w:lineRule="auto"/>
        <w:ind w:right="-101" w:rightChars="-48" w:firstLine="403" w:firstLineChars="192"/>
        <w:jc w:val="right"/>
        <w:rPr>
          <w:highlight w:val="none"/>
        </w:rPr>
      </w:pPr>
      <w:r>
        <w:rPr>
          <w:highlight w:val="none"/>
        </w:rPr>
        <w:t>日      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39BFFC3D">
      <w:pPr>
        <w:pageBreakBefore w:val="0"/>
        <w:kinsoku/>
        <w:overflowPunct/>
        <w:bidi w:val="0"/>
        <w:spacing w:line="360" w:lineRule="auto"/>
        <w:ind w:right="-101" w:rightChars="-48"/>
        <w:rPr>
          <w:b/>
          <w:sz w:val="36"/>
          <w:szCs w:val="36"/>
          <w:highlight w:val="none"/>
        </w:rPr>
      </w:pPr>
      <w:r>
        <w:rPr>
          <w:highlight w:val="none"/>
        </w:rPr>
        <w:br w:type="page"/>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2" w:name="_Toc25135"/>
      <w:bookmarkStart w:id="223" w:name="_Toc12442"/>
      <w:bookmarkStart w:id="224" w:name="_Toc28952"/>
      <w:bookmarkStart w:id="225" w:name="_Toc2668"/>
      <w:bookmarkStart w:id="226" w:name="_Toc25882"/>
    </w:p>
    <w:bookmarkEnd w:id="222"/>
    <w:bookmarkEnd w:id="223"/>
    <w:bookmarkEnd w:id="224"/>
    <w:bookmarkEnd w:id="225"/>
    <w:bookmarkEnd w:id="226"/>
    <w:p w14:paraId="46A107A6">
      <w:pPr>
        <w:pStyle w:val="2"/>
        <w:pageBreakBefore w:val="0"/>
        <w:kinsoku/>
        <w:overflowPunct/>
        <w:bidi w:val="0"/>
        <w:spacing w:before="0" w:after="0" w:line="360" w:lineRule="auto"/>
        <w:ind w:right="-101" w:rightChars="-48"/>
        <w:jc w:val="center"/>
        <w:rPr>
          <w:rFonts w:ascii="宋体" w:hAnsi="宋体" w:eastAsia="宋体" w:cs="宋体"/>
          <w:sz w:val="44"/>
          <w:szCs w:val="44"/>
          <w:highlight w:val="none"/>
        </w:rPr>
      </w:pPr>
      <w:r>
        <w:rPr>
          <w:rFonts w:hint="eastAsia" w:ascii="宋体" w:hAnsi="宋体" w:eastAsia="宋体" w:cs="宋体"/>
          <w:sz w:val="44"/>
          <w:szCs w:val="44"/>
          <w:highlight w:val="none"/>
        </w:rPr>
        <w:t>商务部分</w:t>
      </w:r>
    </w:p>
    <w:p w14:paraId="406CF0CD">
      <w:pPr>
        <w:pageBreakBefore w:val="0"/>
        <w:kinsoku/>
        <w:overflowPunct/>
        <w:bidi w:val="0"/>
        <w:spacing w:line="360" w:lineRule="auto"/>
        <w:ind w:right="-101" w:rightChars="-48"/>
        <w:rPr>
          <w:sz w:val="24"/>
          <w:highlight w:val="none"/>
        </w:rPr>
      </w:pPr>
    </w:p>
    <w:p w14:paraId="1917621D">
      <w:pPr>
        <w:pStyle w:val="2"/>
        <w:pageBreakBefore w:val="0"/>
        <w:kinsoku/>
        <w:overflowPunct/>
        <w:bidi w:val="0"/>
        <w:spacing w:before="0" w:after="0" w:line="360" w:lineRule="auto"/>
        <w:ind w:right="-101" w:rightChars="-48"/>
        <w:jc w:val="center"/>
        <w:rPr>
          <w:rFonts w:ascii="宋体" w:hAnsi="宋体" w:eastAsia="宋体" w:cs="宋体"/>
          <w:highlight w:val="none"/>
        </w:rPr>
      </w:pPr>
      <w:bookmarkStart w:id="227" w:name="_Toc10521"/>
      <w:bookmarkStart w:id="228" w:name="_Toc13217"/>
      <w:bookmarkStart w:id="229" w:name="_Toc26406"/>
      <w:bookmarkStart w:id="230" w:name="_Toc25748"/>
      <w:bookmarkStart w:id="231" w:name="_Toc18552_WPSOffice_Level2"/>
      <w:bookmarkStart w:id="232" w:name="_Toc25746"/>
      <w:bookmarkStart w:id="233" w:name="_Toc23546"/>
      <w:bookmarkStart w:id="234" w:name="_Toc2147"/>
      <w:bookmarkStart w:id="235" w:name="_Toc30425"/>
      <w:bookmarkStart w:id="236" w:name="_Toc21842"/>
      <w:bookmarkStart w:id="237" w:name="_Toc5042"/>
      <w:bookmarkStart w:id="238" w:name="_Toc25904"/>
      <w:bookmarkStart w:id="239" w:name="_Toc17874"/>
      <w:bookmarkStart w:id="240" w:name="_Toc22818"/>
      <w:bookmarkStart w:id="241" w:name="_Toc30573"/>
      <w:r>
        <w:rPr>
          <w:rFonts w:hint="eastAsia" w:ascii="宋体" w:hAnsi="宋体" w:eastAsia="宋体" w:cs="宋体"/>
          <w:highlight w:val="none"/>
        </w:rPr>
        <w:t>一 参选函</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E79DA94">
      <w:pPr>
        <w:pageBreakBefore w:val="0"/>
        <w:kinsoku/>
        <w:overflowPunct/>
        <w:bidi w:val="0"/>
        <w:spacing w:line="360" w:lineRule="auto"/>
        <w:ind w:right="-101" w:rightChars="-48" w:firstLine="422" w:firstLineChars="200"/>
        <w:rPr>
          <w:rFonts w:ascii="宋体" w:hAnsi="宋体" w:cs="宋体"/>
          <w:b/>
          <w:highlight w:val="none"/>
        </w:rPr>
      </w:pPr>
    </w:p>
    <w:p w14:paraId="60BC3FDE">
      <w:pPr>
        <w:pageBreakBefore w:val="0"/>
        <w:kinsoku/>
        <w:overflowPunct/>
        <w:bidi w:val="0"/>
        <w:spacing w:line="360" w:lineRule="auto"/>
        <w:ind w:right="-101" w:rightChars="-48" w:firstLine="422" w:firstLineChars="200"/>
        <w:rPr>
          <w:rFonts w:ascii="宋体" w:hAnsi="宋体" w:cs="宋体"/>
          <w:b/>
          <w:highlight w:val="none"/>
        </w:rPr>
      </w:pPr>
      <w:r>
        <w:rPr>
          <w:rFonts w:hint="eastAsia" w:ascii="宋体" w:hAnsi="宋体" w:cs="宋体"/>
          <w:b/>
          <w:highlight w:val="none"/>
        </w:rPr>
        <w:t>致：南通轨道交通集团有限公司</w:t>
      </w:r>
    </w:p>
    <w:p w14:paraId="1E76ECE0">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根据已收到的</w:t>
      </w:r>
      <w:r>
        <w:rPr>
          <w:rFonts w:hint="eastAsia" w:ascii="宋体" w:hAnsi="宋体" w:cs="宋体"/>
          <w:highlight w:val="none"/>
          <w:u w:val="single"/>
        </w:rPr>
        <w:t xml:space="preserve">              （项目名称）</w:t>
      </w:r>
      <w:r>
        <w:rPr>
          <w:rFonts w:hint="eastAsia" w:ascii="宋体" w:hAnsi="宋体" w:cs="宋体"/>
          <w:highlight w:val="none"/>
        </w:rPr>
        <w:t>比选文件，遵照规定,我方经考察现场和认真研究上述比选文件后，愿承认其全部内容。</w:t>
      </w:r>
    </w:p>
    <w:p w14:paraId="0ABEA2FA">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1、我方以报价参选文件中的</w:t>
      </w:r>
      <w:r>
        <w:rPr>
          <w:rFonts w:hint="eastAsia" w:ascii="宋体" w:hAnsi="宋体" w:cs="宋体"/>
          <w:highlight w:val="none"/>
          <w:lang w:val="en-US" w:eastAsia="zh-CN"/>
        </w:rPr>
        <w:t>报价系数</w:t>
      </w:r>
      <w:r>
        <w:rPr>
          <w:rFonts w:hint="eastAsia" w:ascii="宋体" w:hAnsi="宋体" w:cs="宋体"/>
          <w:highlight w:val="none"/>
        </w:rPr>
        <w:t>，按比选文件中的要求承担</w:t>
      </w:r>
      <w:r>
        <w:rPr>
          <w:rFonts w:hint="eastAsia" w:ascii="宋体" w:hAnsi="宋体" w:cs="宋体"/>
          <w:highlight w:val="none"/>
          <w:u w:val="single"/>
        </w:rPr>
        <w:t xml:space="preserve">              （项目名称）</w:t>
      </w:r>
      <w:r>
        <w:rPr>
          <w:rFonts w:hint="eastAsia" w:ascii="宋体" w:hAnsi="宋体" w:cs="宋体"/>
          <w:highlight w:val="none"/>
        </w:rPr>
        <w:t>的全部工作内容。</w:t>
      </w:r>
    </w:p>
    <w:p w14:paraId="07BFDF56">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2、我方承诺服务周期及参选文件响应比选文件所规定的所有工作完成时间均满足合同条款。</w:t>
      </w:r>
    </w:p>
    <w:p w14:paraId="7C031ACE">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3、如果贵方接受我方参选，我方在接到中选通知书后将按中选通知书和比选文件的要求及时签订合同。我方保证在参选人须知中规定的期限内按照要求提交成果。</w:t>
      </w:r>
    </w:p>
    <w:p w14:paraId="3DDE7054">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4、我方同意在贵方比选文件规定的参选有效期内遵守约定。在该期限期满之前，本参选书对我方始终具有约束力。</w:t>
      </w:r>
    </w:p>
    <w:p w14:paraId="1865B1B7">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5、我方充分理解贵方比选文件所提出的关于人员、设备、管理等提出的隐性要求，一旦中选，确保能按照贵方要求执行，否则愿意接受贵方对我方的相关处罚。</w:t>
      </w:r>
    </w:p>
    <w:p w14:paraId="58983E76">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6、在正式签订合同协议书之前，本参选书连同贵方的中选通知书应成为约束贵方、我方的合同文件。</w:t>
      </w:r>
    </w:p>
    <w:p w14:paraId="5EC7A2F7">
      <w:pPr>
        <w:pageBreakBefore w:val="0"/>
        <w:kinsoku/>
        <w:overflowPunct/>
        <w:bidi w:val="0"/>
        <w:spacing w:line="360" w:lineRule="auto"/>
        <w:ind w:right="-101" w:rightChars="-48" w:firstLine="420" w:firstLineChars="200"/>
        <w:rPr>
          <w:rFonts w:ascii="宋体" w:hAnsi="宋体" w:cs="宋体"/>
          <w:highlight w:val="none"/>
        </w:rPr>
      </w:pPr>
      <w:r>
        <w:rPr>
          <w:rFonts w:hint="eastAsia" w:ascii="宋体" w:hAnsi="宋体" w:cs="宋体"/>
          <w:highlight w:val="none"/>
        </w:rPr>
        <w:t>7、我方理解，贵方不一定接受最低标价的参选或可能接受其他任何参选；同时也理解，贵方不负担我单位的任何参选费用。</w:t>
      </w:r>
    </w:p>
    <w:p w14:paraId="51DE516D">
      <w:pPr>
        <w:pageBreakBefore w:val="0"/>
        <w:kinsoku/>
        <w:overflowPunct/>
        <w:bidi w:val="0"/>
        <w:spacing w:line="360" w:lineRule="auto"/>
        <w:ind w:right="-101" w:rightChars="-48" w:firstLine="420" w:firstLineChars="200"/>
        <w:rPr>
          <w:highlight w:val="none"/>
        </w:rPr>
      </w:pPr>
      <w:r>
        <w:rPr>
          <w:rFonts w:hint="eastAsia" w:ascii="宋体" w:hAnsi="宋体" w:cs="宋体"/>
          <w:highlight w:val="none"/>
        </w:rPr>
        <w:t>8、我方承诺：本参选文件提供的信息、数据、资料或证书均真实有效，否则贵方有权取消我方的参选或中选资格。</w:t>
      </w:r>
    </w:p>
    <w:p w14:paraId="07C0B22B">
      <w:pPr>
        <w:pageBreakBefore w:val="0"/>
        <w:kinsoku/>
        <w:overflowPunct/>
        <w:bidi w:val="0"/>
        <w:spacing w:line="360" w:lineRule="auto"/>
        <w:ind w:right="-101" w:rightChars="-48" w:firstLine="403" w:firstLineChars="192"/>
        <w:jc w:val="right"/>
        <w:rPr>
          <w:highlight w:val="none"/>
          <w:u w:val="single"/>
        </w:rPr>
      </w:pPr>
      <w:r>
        <w:rPr>
          <w:rFonts w:hint="eastAsia"/>
          <w:highlight w:val="none"/>
        </w:rPr>
        <w:t>参选人</w:t>
      </w:r>
      <w:r>
        <w:rPr>
          <w:highlight w:val="none"/>
        </w:rPr>
        <w:t>：</w:t>
      </w:r>
      <w:r>
        <w:rPr>
          <w:highlight w:val="none"/>
          <w:u w:val="single"/>
        </w:rPr>
        <w:t xml:space="preserve">                       （盖章） </w:t>
      </w:r>
    </w:p>
    <w:p w14:paraId="2B2F6C41">
      <w:pPr>
        <w:pageBreakBefore w:val="0"/>
        <w:kinsoku/>
        <w:overflowPunct/>
        <w:bidi w:val="0"/>
        <w:spacing w:line="360" w:lineRule="auto"/>
        <w:ind w:right="-101" w:rightChars="-48" w:firstLine="403" w:firstLineChars="192"/>
        <w:jc w:val="right"/>
        <w:rPr>
          <w:highlight w:val="none"/>
        </w:rPr>
      </w:pPr>
      <w:r>
        <w:rPr>
          <w:highlight w:val="none"/>
        </w:rPr>
        <w:t>法定代表人或委托代理人：</w:t>
      </w:r>
      <w:r>
        <w:rPr>
          <w:highlight w:val="none"/>
          <w:u w:val="single"/>
        </w:rPr>
        <w:t xml:space="preserve"> （签字或盖章） </w:t>
      </w:r>
      <w:r>
        <w:rPr>
          <w:highlight w:val="none"/>
        </w:rPr>
        <w:t xml:space="preserve"> </w:t>
      </w:r>
    </w:p>
    <w:p w14:paraId="705FB919">
      <w:pPr>
        <w:pageBreakBefore w:val="0"/>
        <w:kinsoku/>
        <w:overflowPunct/>
        <w:bidi w:val="0"/>
        <w:spacing w:line="360" w:lineRule="auto"/>
        <w:ind w:right="-101" w:rightChars="-48"/>
        <w:jc w:val="right"/>
        <w:rPr>
          <w:highlight w:val="none"/>
        </w:rPr>
      </w:pPr>
      <w:r>
        <w:rPr>
          <w:highlight w:val="none"/>
        </w:rPr>
        <w:t xml:space="preserve">    日      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3B9E51FF">
      <w:pPr>
        <w:pStyle w:val="2"/>
        <w:pageBreakBefore w:val="0"/>
        <w:kinsoku/>
        <w:overflowPunct/>
        <w:bidi w:val="0"/>
        <w:spacing w:line="360" w:lineRule="auto"/>
        <w:ind w:right="-101" w:rightChars="-48"/>
        <w:rPr>
          <w:highlight w:val="none"/>
        </w:rPr>
        <w:sectPr>
          <w:pgSz w:w="11905" w:h="16838"/>
          <w:pgMar w:top="1440" w:right="1803" w:bottom="1440" w:left="1803" w:header="850" w:footer="992" w:gutter="0"/>
          <w:cols w:space="720" w:num="1"/>
          <w:docGrid w:type="lines" w:linePitch="331" w:charSpace="0"/>
        </w:sectPr>
      </w:pPr>
    </w:p>
    <w:p w14:paraId="4AC1295F">
      <w:pPr>
        <w:pStyle w:val="2"/>
        <w:pageBreakBefore w:val="0"/>
        <w:kinsoku/>
        <w:overflowPunct/>
        <w:bidi w:val="0"/>
        <w:spacing w:before="0" w:after="0" w:line="360" w:lineRule="auto"/>
        <w:ind w:right="-101" w:rightChars="-48"/>
        <w:jc w:val="center"/>
        <w:rPr>
          <w:rFonts w:ascii="宋体" w:hAnsi="宋体" w:eastAsia="宋体" w:cs="宋体"/>
          <w:highlight w:val="none"/>
        </w:rPr>
      </w:pPr>
      <w:bookmarkStart w:id="242" w:name="_Toc21204"/>
      <w:bookmarkStart w:id="243" w:name="_Toc22333"/>
      <w:bookmarkStart w:id="244" w:name="_Toc19776"/>
      <w:bookmarkStart w:id="245" w:name="_Toc25880_WPSOffice_Level2"/>
      <w:bookmarkStart w:id="246" w:name="_Toc16520"/>
      <w:bookmarkStart w:id="247" w:name="_Toc20039"/>
      <w:bookmarkStart w:id="248" w:name="_Toc18919"/>
      <w:bookmarkStart w:id="249" w:name="_Toc1151"/>
      <w:bookmarkStart w:id="250" w:name="_Toc27920"/>
      <w:bookmarkStart w:id="251" w:name="_Toc7574"/>
      <w:bookmarkStart w:id="252" w:name="_Toc16041"/>
      <w:bookmarkStart w:id="253" w:name="_Toc521"/>
      <w:bookmarkStart w:id="254" w:name="_Toc6622"/>
      <w:bookmarkStart w:id="255" w:name="_Toc13919"/>
      <w:bookmarkStart w:id="256" w:name="_Toc26085"/>
      <w:bookmarkStart w:id="257" w:name="_Toc4389"/>
      <w:bookmarkStart w:id="258" w:name="_Toc3873"/>
      <w:r>
        <w:rPr>
          <w:rFonts w:hint="eastAsia" w:ascii="宋体" w:hAnsi="宋体" w:eastAsia="宋体" w:cs="宋体"/>
          <w:highlight w:val="none"/>
        </w:rPr>
        <w:t>二 企业业绩汇总表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E2477F6">
      <w:pPr>
        <w:pageBreakBefore w:val="0"/>
        <w:kinsoku/>
        <w:overflowPunct/>
        <w:bidi w:val="0"/>
        <w:spacing w:line="360" w:lineRule="auto"/>
        <w:ind w:right="-101" w:rightChars="-48"/>
        <w:jc w:val="right"/>
        <w:rPr>
          <w:highlight w:val="none"/>
        </w:rPr>
      </w:pPr>
      <w:r>
        <w:rPr>
          <w:highlight w:val="none"/>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761E5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131FCFD8">
            <w:pPr>
              <w:pageBreakBefore w:val="0"/>
              <w:kinsoku/>
              <w:overflowPunct/>
              <w:bidi w:val="0"/>
              <w:spacing w:line="360" w:lineRule="auto"/>
              <w:ind w:right="-101" w:rightChars="-48"/>
              <w:jc w:val="center"/>
              <w:rPr>
                <w:highlight w:val="none"/>
              </w:rPr>
            </w:pPr>
            <w:bookmarkStart w:id="259" w:name="_Toc218710269"/>
            <w:r>
              <w:rPr>
                <w:highlight w:val="none"/>
              </w:rPr>
              <w:t>序号</w:t>
            </w:r>
          </w:p>
        </w:tc>
        <w:tc>
          <w:tcPr>
            <w:tcW w:w="1808" w:type="dxa"/>
            <w:vAlign w:val="center"/>
          </w:tcPr>
          <w:p w14:paraId="7138AC38">
            <w:pPr>
              <w:pageBreakBefore w:val="0"/>
              <w:kinsoku/>
              <w:overflowPunct/>
              <w:bidi w:val="0"/>
              <w:spacing w:line="360" w:lineRule="auto"/>
              <w:ind w:right="-101" w:rightChars="-48"/>
              <w:jc w:val="center"/>
              <w:rPr>
                <w:highlight w:val="none"/>
              </w:rPr>
            </w:pPr>
            <w:r>
              <w:rPr>
                <w:highlight w:val="none"/>
              </w:rPr>
              <w:t>业主名称</w:t>
            </w:r>
          </w:p>
        </w:tc>
        <w:tc>
          <w:tcPr>
            <w:tcW w:w="2040" w:type="dxa"/>
            <w:vAlign w:val="center"/>
          </w:tcPr>
          <w:p w14:paraId="2F859B86">
            <w:pPr>
              <w:pageBreakBefore w:val="0"/>
              <w:kinsoku/>
              <w:overflowPunct/>
              <w:bidi w:val="0"/>
              <w:spacing w:line="360" w:lineRule="auto"/>
              <w:ind w:right="-101" w:rightChars="-48"/>
              <w:jc w:val="center"/>
              <w:rPr>
                <w:highlight w:val="none"/>
              </w:rPr>
            </w:pPr>
            <w:r>
              <w:rPr>
                <w:highlight w:val="none"/>
              </w:rPr>
              <w:t>项目名称</w:t>
            </w:r>
          </w:p>
        </w:tc>
        <w:tc>
          <w:tcPr>
            <w:tcW w:w="2023" w:type="dxa"/>
            <w:vAlign w:val="center"/>
          </w:tcPr>
          <w:p w14:paraId="3C5EC4C8">
            <w:pPr>
              <w:pageBreakBefore w:val="0"/>
              <w:kinsoku/>
              <w:overflowPunct/>
              <w:bidi w:val="0"/>
              <w:spacing w:line="360" w:lineRule="auto"/>
              <w:ind w:right="-101" w:rightChars="-48"/>
              <w:jc w:val="center"/>
              <w:rPr>
                <w:highlight w:val="none"/>
              </w:rPr>
            </w:pPr>
            <w:r>
              <w:rPr>
                <w:highlight w:val="none"/>
              </w:rPr>
              <w:t>工作内容</w:t>
            </w:r>
          </w:p>
        </w:tc>
        <w:tc>
          <w:tcPr>
            <w:tcW w:w="1800" w:type="dxa"/>
            <w:vAlign w:val="center"/>
          </w:tcPr>
          <w:p w14:paraId="4ACB19D8">
            <w:pPr>
              <w:pageBreakBefore w:val="0"/>
              <w:kinsoku/>
              <w:overflowPunct/>
              <w:bidi w:val="0"/>
              <w:spacing w:line="360" w:lineRule="auto"/>
              <w:ind w:right="-101" w:rightChars="-48"/>
              <w:jc w:val="center"/>
              <w:rPr>
                <w:highlight w:val="none"/>
              </w:rPr>
            </w:pPr>
            <w:r>
              <w:rPr>
                <w:highlight w:val="none"/>
              </w:rPr>
              <w:t>备注</w:t>
            </w:r>
          </w:p>
        </w:tc>
      </w:tr>
      <w:tr w14:paraId="4E12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5E6072DE">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1</w:t>
            </w:r>
          </w:p>
        </w:tc>
        <w:tc>
          <w:tcPr>
            <w:tcW w:w="1808" w:type="dxa"/>
            <w:vAlign w:val="center"/>
          </w:tcPr>
          <w:p w14:paraId="10107502">
            <w:pPr>
              <w:pageBreakBefore w:val="0"/>
              <w:kinsoku/>
              <w:overflowPunct/>
              <w:bidi w:val="0"/>
              <w:spacing w:line="360" w:lineRule="auto"/>
              <w:ind w:right="-101" w:rightChars="-48"/>
              <w:jc w:val="center"/>
              <w:rPr>
                <w:highlight w:val="none"/>
              </w:rPr>
            </w:pPr>
          </w:p>
        </w:tc>
        <w:tc>
          <w:tcPr>
            <w:tcW w:w="2040" w:type="dxa"/>
            <w:vAlign w:val="center"/>
          </w:tcPr>
          <w:p w14:paraId="2D81290A">
            <w:pPr>
              <w:pageBreakBefore w:val="0"/>
              <w:kinsoku/>
              <w:overflowPunct/>
              <w:bidi w:val="0"/>
              <w:spacing w:line="360" w:lineRule="auto"/>
              <w:ind w:right="-101" w:rightChars="-48"/>
              <w:jc w:val="center"/>
              <w:rPr>
                <w:highlight w:val="none"/>
              </w:rPr>
            </w:pPr>
          </w:p>
        </w:tc>
        <w:tc>
          <w:tcPr>
            <w:tcW w:w="2023" w:type="dxa"/>
            <w:vAlign w:val="center"/>
          </w:tcPr>
          <w:p w14:paraId="075F0CB1">
            <w:pPr>
              <w:pageBreakBefore w:val="0"/>
              <w:kinsoku/>
              <w:overflowPunct/>
              <w:bidi w:val="0"/>
              <w:spacing w:line="360" w:lineRule="auto"/>
              <w:ind w:right="-101" w:rightChars="-48"/>
              <w:jc w:val="center"/>
              <w:rPr>
                <w:highlight w:val="none"/>
              </w:rPr>
            </w:pPr>
          </w:p>
        </w:tc>
        <w:tc>
          <w:tcPr>
            <w:tcW w:w="1800" w:type="dxa"/>
            <w:vAlign w:val="center"/>
          </w:tcPr>
          <w:p w14:paraId="30F6AC9F">
            <w:pPr>
              <w:pageBreakBefore w:val="0"/>
              <w:kinsoku/>
              <w:overflowPunct/>
              <w:bidi w:val="0"/>
              <w:spacing w:line="360" w:lineRule="auto"/>
              <w:ind w:right="-101" w:rightChars="-48"/>
              <w:jc w:val="center"/>
              <w:rPr>
                <w:highlight w:val="none"/>
              </w:rPr>
            </w:pPr>
          </w:p>
        </w:tc>
      </w:tr>
      <w:tr w14:paraId="3BA19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2DB95632">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2</w:t>
            </w:r>
          </w:p>
        </w:tc>
        <w:tc>
          <w:tcPr>
            <w:tcW w:w="1808" w:type="dxa"/>
            <w:vAlign w:val="center"/>
          </w:tcPr>
          <w:p w14:paraId="5ADCDCCC">
            <w:pPr>
              <w:pageBreakBefore w:val="0"/>
              <w:kinsoku/>
              <w:overflowPunct/>
              <w:bidi w:val="0"/>
              <w:spacing w:line="360" w:lineRule="auto"/>
              <w:ind w:right="-101" w:rightChars="-48"/>
              <w:jc w:val="center"/>
              <w:rPr>
                <w:highlight w:val="none"/>
              </w:rPr>
            </w:pPr>
          </w:p>
        </w:tc>
        <w:tc>
          <w:tcPr>
            <w:tcW w:w="2040" w:type="dxa"/>
            <w:vAlign w:val="center"/>
          </w:tcPr>
          <w:p w14:paraId="57078716">
            <w:pPr>
              <w:pageBreakBefore w:val="0"/>
              <w:kinsoku/>
              <w:overflowPunct/>
              <w:bidi w:val="0"/>
              <w:spacing w:line="360" w:lineRule="auto"/>
              <w:ind w:right="-101" w:rightChars="-48"/>
              <w:jc w:val="center"/>
              <w:rPr>
                <w:highlight w:val="none"/>
              </w:rPr>
            </w:pPr>
          </w:p>
        </w:tc>
        <w:tc>
          <w:tcPr>
            <w:tcW w:w="2023" w:type="dxa"/>
            <w:vAlign w:val="center"/>
          </w:tcPr>
          <w:p w14:paraId="1666B74C">
            <w:pPr>
              <w:pageBreakBefore w:val="0"/>
              <w:kinsoku/>
              <w:overflowPunct/>
              <w:bidi w:val="0"/>
              <w:spacing w:line="360" w:lineRule="auto"/>
              <w:ind w:right="-101" w:rightChars="-48"/>
              <w:jc w:val="center"/>
              <w:rPr>
                <w:highlight w:val="none"/>
              </w:rPr>
            </w:pPr>
          </w:p>
        </w:tc>
        <w:tc>
          <w:tcPr>
            <w:tcW w:w="1800" w:type="dxa"/>
            <w:vAlign w:val="center"/>
          </w:tcPr>
          <w:p w14:paraId="33463BE4">
            <w:pPr>
              <w:pageBreakBefore w:val="0"/>
              <w:kinsoku/>
              <w:overflowPunct/>
              <w:bidi w:val="0"/>
              <w:spacing w:line="360" w:lineRule="auto"/>
              <w:ind w:right="-101" w:rightChars="-48"/>
              <w:jc w:val="center"/>
              <w:rPr>
                <w:highlight w:val="none"/>
              </w:rPr>
            </w:pPr>
          </w:p>
        </w:tc>
      </w:tr>
      <w:tr w14:paraId="1669B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5E10161">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3</w:t>
            </w:r>
          </w:p>
        </w:tc>
        <w:tc>
          <w:tcPr>
            <w:tcW w:w="1808" w:type="dxa"/>
            <w:vAlign w:val="center"/>
          </w:tcPr>
          <w:p w14:paraId="789BFC58">
            <w:pPr>
              <w:pageBreakBefore w:val="0"/>
              <w:kinsoku/>
              <w:overflowPunct/>
              <w:bidi w:val="0"/>
              <w:spacing w:line="360" w:lineRule="auto"/>
              <w:ind w:right="-101" w:rightChars="-48"/>
              <w:jc w:val="center"/>
              <w:rPr>
                <w:highlight w:val="none"/>
              </w:rPr>
            </w:pPr>
          </w:p>
        </w:tc>
        <w:tc>
          <w:tcPr>
            <w:tcW w:w="2040" w:type="dxa"/>
            <w:vAlign w:val="center"/>
          </w:tcPr>
          <w:p w14:paraId="60D1687F">
            <w:pPr>
              <w:pageBreakBefore w:val="0"/>
              <w:kinsoku/>
              <w:overflowPunct/>
              <w:bidi w:val="0"/>
              <w:spacing w:line="360" w:lineRule="auto"/>
              <w:ind w:right="-101" w:rightChars="-48"/>
              <w:jc w:val="center"/>
              <w:rPr>
                <w:highlight w:val="none"/>
              </w:rPr>
            </w:pPr>
          </w:p>
        </w:tc>
        <w:tc>
          <w:tcPr>
            <w:tcW w:w="2023" w:type="dxa"/>
            <w:vAlign w:val="center"/>
          </w:tcPr>
          <w:p w14:paraId="16DB0497">
            <w:pPr>
              <w:pageBreakBefore w:val="0"/>
              <w:kinsoku/>
              <w:overflowPunct/>
              <w:bidi w:val="0"/>
              <w:spacing w:line="360" w:lineRule="auto"/>
              <w:ind w:right="-101" w:rightChars="-48"/>
              <w:jc w:val="center"/>
              <w:rPr>
                <w:highlight w:val="none"/>
              </w:rPr>
            </w:pPr>
          </w:p>
        </w:tc>
        <w:tc>
          <w:tcPr>
            <w:tcW w:w="1800" w:type="dxa"/>
            <w:vAlign w:val="center"/>
          </w:tcPr>
          <w:p w14:paraId="2F829174">
            <w:pPr>
              <w:pageBreakBefore w:val="0"/>
              <w:kinsoku/>
              <w:overflowPunct/>
              <w:bidi w:val="0"/>
              <w:spacing w:line="360" w:lineRule="auto"/>
              <w:ind w:right="-101" w:rightChars="-48"/>
              <w:jc w:val="center"/>
              <w:rPr>
                <w:highlight w:val="none"/>
              </w:rPr>
            </w:pPr>
          </w:p>
        </w:tc>
      </w:tr>
      <w:tr w14:paraId="3807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413A5F94">
            <w:pPr>
              <w:pageBreakBefore w:val="0"/>
              <w:kinsoku/>
              <w:overflowPunct/>
              <w:bidi w:val="0"/>
              <w:spacing w:line="360" w:lineRule="auto"/>
              <w:ind w:right="-101" w:rightChars="-48"/>
              <w:jc w:val="center"/>
              <w:rPr>
                <w:rFonts w:ascii="宋体" w:hAnsi="宋体" w:cs="宋体"/>
                <w:highlight w:val="none"/>
              </w:rPr>
            </w:pPr>
            <w:r>
              <w:rPr>
                <w:rFonts w:hint="eastAsia" w:ascii="宋体" w:hAnsi="宋体" w:cs="宋体"/>
                <w:highlight w:val="none"/>
              </w:rPr>
              <w:t>4</w:t>
            </w:r>
          </w:p>
        </w:tc>
        <w:tc>
          <w:tcPr>
            <w:tcW w:w="1808" w:type="dxa"/>
            <w:vAlign w:val="center"/>
          </w:tcPr>
          <w:p w14:paraId="3ED3AADE">
            <w:pPr>
              <w:pageBreakBefore w:val="0"/>
              <w:kinsoku/>
              <w:overflowPunct/>
              <w:bidi w:val="0"/>
              <w:spacing w:line="360" w:lineRule="auto"/>
              <w:ind w:right="-101" w:rightChars="-48"/>
              <w:jc w:val="center"/>
              <w:rPr>
                <w:highlight w:val="none"/>
              </w:rPr>
            </w:pPr>
          </w:p>
        </w:tc>
        <w:tc>
          <w:tcPr>
            <w:tcW w:w="2040" w:type="dxa"/>
            <w:vAlign w:val="center"/>
          </w:tcPr>
          <w:p w14:paraId="06E5ED25">
            <w:pPr>
              <w:pageBreakBefore w:val="0"/>
              <w:kinsoku/>
              <w:overflowPunct/>
              <w:bidi w:val="0"/>
              <w:spacing w:line="360" w:lineRule="auto"/>
              <w:ind w:right="-101" w:rightChars="-48"/>
              <w:jc w:val="center"/>
              <w:rPr>
                <w:highlight w:val="none"/>
              </w:rPr>
            </w:pPr>
          </w:p>
        </w:tc>
        <w:tc>
          <w:tcPr>
            <w:tcW w:w="2023" w:type="dxa"/>
            <w:vAlign w:val="center"/>
          </w:tcPr>
          <w:p w14:paraId="07CA4B79">
            <w:pPr>
              <w:pageBreakBefore w:val="0"/>
              <w:kinsoku/>
              <w:overflowPunct/>
              <w:bidi w:val="0"/>
              <w:spacing w:line="360" w:lineRule="auto"/>
              <w:ind w:right="-101" w:rightChars="-48"/>
              <w:jc w:val="center"/>
              <w:rPr>
                <w:highlight w:val="none"/>
              </w:rPr>
            </w:pPr>
          </w:p>
        </w:tc>
        <w:tc>
          <w:tcPr>
            <w:tcW w:w="1800" w:type="dxa"/>
            <w:vAlign w:val="center"/>
          </w:tcPr>
          <w:p w14:paraId="2D588C62">
            <w:pPr>
              <w:pageBreakBefore w:val="0"/>
              <w:kinsoku/>
              <w:overflowPunct/>
              <w:bidi w:val="0"/>
              <w:spacing w:line="360" w:lineRule="auto"/>
              <w:ind w:right="-101" w:rightChars="-48"/>
              <w:jc w:val="center"/>
              <w:rPr>
                <w:highlight w:val="none"/>
              </w:rPr>
            </w:pPr>
          </w:p>
        </w:tc>
      </w:tr>
      <w:tr w14:paraId="47C7B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26B037FB">
            <w:pPr>
              <w:pageBreakBefore w:val="0"/>
              <w:kinsoku/>
              <w:overflowPunct/>
              <w:bidi w:val="0"/>
              <w:spacing w:line="360" w:lineRule="auto"/>
              <w:ind w:right="-101" w:rightChars="-48"/>
              <w:jc w:val="center"/>
              <w:rPr>
                <w:highlight w:val="none"/>
              </w:rPr>
            </w:pPr>
            <w:r>
              <w:rPr>
                <w:highlight w:val="none"/>
              </w:rPr>
              <w:t>…</w:t>
            </w:r>
          </w:p>
        </w:tc>
        <w:tc>
          <w:tcPr>
            <w:tcW w:w="1808" w:type="dxa"/>
            <w:vAlign w:val="center"/>
          </w:tcPr>
          <w:p w14:paraId="1B80259C">
            <w:pPr>
              <w:pageBreakBefore w:val="0"/>
              <w:kinsoku/>
              <w:overflowPunct/>
              <w:bidi w:val="0"/>
              <w:spacing w:line="360" w:lineRule="auto"/>
              <w:ind w:right="-101" w:rightChars="-48"/>
              <w:jc w:val="center"/>
              <w:rPr>
                <w:highlight w:val="none"/>
              </w:rPr>
            </w:pPr>
          </w:p>
        </w:tc>
        <w:tc>
          <w:tcPr>
            <w:tcW w:w="2040" w:type="dxa"/>
            <w:vAlign w:val="center"/>
          </w:tcPr>
          <w:p w14:paraId="1D9D5CD8">
            <w:pPr>
              <w:pageBreakBefore w:val="0"/>
              <w:kinsoku/>
              <w:overflowPunct/>
              <w:bidi w:val="0"/>
              <w:spacing w:line="360" w:lineRule="auto"/>
              <w:ind w:right="-101" w:rightChars="-48"/>
              <w:jc w:val="center"/>
              <w:rPr>
                <w:highlight w:val="none"/>
              </w:rPr>
            </w:pPr>
          </w:p>
        </w:tc>
        <w:tc>
          <w:tcPr>
            <w:tcW w:w="2023" w:type="dxa"/>
            <w:vAlign w:val="center"/>
          </w:tcPr>
          <w:p w14:paraId="7704CDF5">
            <w:pPr>
              <w:pageBreakBefore w:val="0"/>
              <w:kinsoku/>
              <w:overflowPunct/>
              <w:bidi w:val="0"/>
              <w:spacing w:line="360" w:lineRule="auto"/>
              <w:ind w:right="-101" w:rightChars="-48"/>
              <w:jc w:val="center"/>
              <w:rPr>
                <w:highlight w:val="none"/>
              </w:rPr>
            </w:pPr>
          </w:p>
        </w:tc>
        <w:tc>
          <w:tcPr>
            <w:tcW w:w="1800" w:type="dxa"/>
            <w:vAlign w:val="center"/>
          </w:tcPr>
          <w:p w14:paraId="581F921D">
            <w:pPr>
              <w:pageBreakBefore w:val="0"/>
              <w:kinsoku/>
              <w:overflowPunct/>
              <w:bidi w:val="0"/>
              <w:spacing w:line="360" w:lineRule="auto"/>
              <w:ind w:right="-101" w:rightChars="-48"/>
              <w:jc w:val="center"/>
              <w:rPr>
                <w:highlight w:val="none"/>
              </w:rPr>
            </w:pPr>
          </w:p>
        </w:tc>
      </w:tr>
    </w:tbl>
    <w:p w14:paraId="3945E3DA">
      <w:pPr>
        <w:pageBreakBefore w:val="0"/>
        <w:kinsoku/>
        <w:overflowPunct/>
        <w:bidi w:val="0"/>
        <w:spacing w:line="360" w:lineRule="auto"/>
        <w:ind w:left="437" w:leftChars="208" w:right="-101" w:rightChars="-48" w:firstLine="2"/>
        <w:rPr>
          <w:b/>
          <w:highlight w:val="none"/>
        </w:rPr>
      </w:pPr>
      <w:r>
        <w:rPr>
          <w:b/>
          <w:highlight w:val="none"/>
        </w:rPr>
        <w:t>注：本页可续表。</w:t>
      </w:r>
    </w:p>
    <w:p w14:paraId="19EE24ED">
      <w:pPr>
        <w:pageBreakBefore w:val="0"/>
        <w:kinsoku/>
        <w:overflowPunct/>
        <w:bidi w:val="0"/>
        <w:spacing w:line="360" w:lineRule="auto"/>
        <w:ind w:right="-101" w:rightChars="-48" w:firstLine="403" w:firstLineChars="192"/>
        <w:rPr>
          <w:highlight w:val="none"/>
        </w:rPr>
      </w:pPr>
    </w:p>
    <w:p w14:paraId="762A5CD8">
      <w:pPr>
        <w:pageBreakBefore w:val="0"/>
        <w:kinsoku/>
        <w:overflowPunct/>
        <w:bidi w:val="0"/>
        <w:spacing w:line="360" w:lineRule="auto"/>
        <w:ind w:right="-101" w:rightChars="-48" w:firstLine="403" w:firstLineChars="192"/>
        <w:rPr>
          <w:highlight w:val="none"/>
        </w:rPr>
      </w:pPr>
    </w:p>
    <w:p w14:paraId="45B9C47C">
      <w:pPr>
        <w:pStyle w:val="2"/>
        <w:pageBreakBefore w:val="0"/>
        <w:kinsoku/>
        <w:overflowPunct/>
        <w:bidi w:val="0"/>
        <w:spacing w:before="0" w:after="0" w:line="360" w:lineRule="auto"/>
        <w:ind w:right="-101" w:rightChars="-48"/>
        <w:jc w:val="center"/>
        <w:rPr>
          <w:rFonts w:ascii="宋体" w:hAnsi="宋体" w:eastAsia="宋体" w:cs="宋体"/>
          <w:szCs w:val="28"/>
          <w:highlight w:val="none"/>
        </w:rPr>
      </w:pPr>
      <w:r>
        <w:rPr>
          <w:rFonts w:ascii="Times New Roman" w:hAnsi="Times New Roman"/>
          <w:sz w:val="24"/>
          <w:szCs w:val="24"/>
          <w:highlight w:val="none"/>
        </w:rPr>
        <w:br w:type="page"/>
      </w:r>
      <w:bookmarkEnd w:id="259"/>
      <w:bookmarkStart w:id="260" w:name="_Toc16889"/>
      <w:bookmarkStart w:id="261" w:name="_Toc11301"/>
      <w:bookmarkStart w:id="262" w:name="_Toc13113"/>
      <w:bookmarkStart w:id="263" w:name="_Toc2092"/>
      <w:bookmarkStart w:id="264" w:name="_Toc18049"/>
      <w:bookmarkStart w:id="265" w:name="_Toc18046"/>
      <w:bookmarkStart w:id="266" w:name="_Toc11231"/>
      <w:bookmarkStart w:id="267" w:name="_Toc9086"/>
      <w:bookmarkStart w:id="268" w:name="_Toc2919"/>
      <w:bookmarkStart w:id="269" w:name="_Toc11784_WPSOffice_Level2"/>
      <w:bookmarkStart w:id="270" w:name="_Toc5618"/>
      <w:bookmarkStart w:id="271" w:name="_Toc8315"/>
      <w:bookmarkStart w:id="272" w:name="_Toc420"/>
      <w:bookmarkStart w:id="273" w:name="_Toc22252"/>
      <w:bookmarkStart w:id="274" w:name="_Toc259"/>
      <w:r>
        <w:rPr>
          <w:rFonts w:hint="eastAsia" w:ascii="宋体" w:hAnsi="宋体" w:eastAsia="宋体" w:cs="宋体"/>
          <w:szCs w:val="28"/>
          <w:highlight w:val="none"/>
        </w:rPr>
        <w:t>三 企业业绩概况表</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EE95EA2">
      <w:pPr>
        <w:pageBreakBefore w:val="0"/>
        <w:kinsoku/>
        <w:overflowPunct/>
        <w:bidi w:val="0"/>
        <w:spacing w:line="360" w:lineRule="auto"/>
        <w:ind w:left="439" w:right="-101" w:rightChars="-48" w:hanging="438" w:hangingChars="209"/>
        <w:jc w:val="right"/>
        <w:rPr>
          <w:highlight w:val="none"/>
        </w:rPr>
      </w:pPr>
      <w:r>
        <w:rPr>
          <w:highlight w:val="none"/>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00D37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897D6F1">
            <w:pPr>
              <w:pageBreakBefore w:val="0"/>
              <w:kinsoku/>
              <w:overflowPunct/>
              <w:bidi w:val="0"/>
              <w:adjustRightInd w:val="0"/>
              <w:snapToGrid w:val="0"/>
              <w:spacing w:line="360" w:lineRule="auto"/>
              <w:ind w:right="-101" w:rightChars="-48"/>
              <w:jc w:val="center"/>
              <w:rPr>
                <w:highlight w:val="none"/>
              </w:rPr>
            </w:pPr>
            <w:r>
              <w:rPr>
                <w:highlight w:val="none"/>
              </w:rPr>
              <w:t>序号</w:t>
            </w:r>
          </w:p>
        </w:tc>
        <w:tc>
          <w:tcPr>
            <w:tcW w:w="5577" w:type="dxa"/>
            <w:vAlign w:val="center"/>
          </w:tcPr>
          <w:p w14:paraId="3BCD9071">
            <w:pPr>
              <w:pageBreakBefore w:val="0"/>
              <w:kinsoku/>
              <w:overflowPunct/>
              <w:bidi w:val="0"/>
              <w:adjustRightInd w:val="0"/>
              <w:snapToGrid w:val="0"/>
              <w:spacing w:line="360" w:lineRule="auto"/>
              <w:ind w:right="-101" w:rightChars="-48" w:firstLine="420" w:firstLineChars="200"/>
              <w:jc w:val="center"/>
              <w:rPr>
                <w:highlight w:val="none"/>
              </w:rPr>
            </w:pPr>
          </w:p>
        </w:tc>
      </w:tr>
      <w:tr w14:paraId="05742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3CA1AC5">
            <w:pPr>
              <w:pageBreakBefore w:val="0"/>
              <w:kinsoku/>
              <w:overflowPunct/>
              <w:bidi w:val="0"/>
              <w:adjustRightInd w:val="0"/>
              <w:snapToGrid w:val="0"/>
              <w:spacing w:line="360" w:lineRule="auto"/>
              <w:ind w:right="-101" w:rightChars="-48"/>
              <w:jc w:val="center"/>
              <w:rPr>
                <w:highlight w:val="none"/>
              </w:rPr>
            </w:pPr>
            <w:r>
              <w:rPr>
                <w:highlight w:val="none"/>
              </w:rPr>
              <w:t>项目名称</w:t>
            </w:r>
          </w:p>
        </w:tc>
        <w:tc>
          <w:tcPr>
            <w:tcW w:w="5577" w:type="dxa"/>
            <w:vAlign w:val="center"/>
          </w:tcPr>
          <w:p w14:paraId="5DC284C5">
            <w:pPr>
              <w:pageBreakBefore w:val="0"/>
              <w:kinsoku/>
              <w:overflowPunct/>
              <w:bidi w:val="0"/>
              <w:adjustRightInd w:val="0"/>
              <w:snapToGrid w:val="0"/>
              <w:spacing w:line="360" w:lineRule="auto"/>
              <w:ind w:right="-101" w:rightChars="-48" w:firstLine="420" w:firstLineChars="200"/>
              <w:jc w:val="center"/>
              <w:rPr>
                <w:highlight w:val="none"/>
              </w:rPr>
            </w:pPr>
          </w:p>
        </w:tc>
      </w:tr>
      <w:tr w14:paraId="3FB61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4FB95D5">
            <w:pPr>
              <w:pageBreakBefore w:val="0"/>
              <w:kinsoku/>
              <w:overflowPunct/>
              <w:bidi w:val="0"/>
              <w:adjustRightInd w:val="0"/>
              <w:snapToGrid w:val="0"/>
              <w:spacing w:line="360" w:lineRule="auto"/>
              <w:ind w:left="42" w:right="-101" w:rightChars="-48" w:hanging="42" w:hangingChars="20"/>
              <w:jc w:val="center"/>
              <w:rPr>
                <w:highlight w:val="none"/>
              </w:rPr>
            </w:pPr>
            <w:r>
              <w:rPr>
                <w:highlight w:val="none"/>
              </w:rPr>
              <w:t>项目所在地</w:t>
            </w:r>
          </w:p>
        </w:tc>
        <w:tc>
          <w:tcPr>
            <w:tcW w:w="5577" w:type="dxa"/>
            <w:vAlign w:val="center"/>
          </w:tcPr>
          <w:p w14:paraId="33721588">
            <w:pPr>
              <w:pageBreakBefore w:val="0"/>
              <w:kinsoku/>
              <w:overflowPunct/>
              <w:bidi w:val="0"/>
              <w:adjustRightInd w:val="0"/>
              <w:snapToGrid w:val="0"/>
              <w:spacing w:line="360" w:lineRule="auto"/>
              <w:ind w:right="-101" w:rightChars="-48" w:firstLine="420" w:firstLineChars="200"/>
              <w:jc w:val="center"/>
              <w:rPr>
                <w:highlight w:val="none"/>
              </w:rPr>
            </w:pPr>
          </w:p>
        </w:tc>
      </w:tr>
      <w:tr w14:paraId="794C2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4B8C58E">
            <w:pPr>
              <w:pageBreakBefore w:val="0"/>
              <w:kinsoku/>
              <w:overflowPunct/>
              <w:bidi w:val="0"/>
              <w:adjustRightInd w:val="0"/>
              <w:snapToGrid w:val="0"/>
              <w:spacing w:line="360" w:lineRule="auto"/>
              <w:ind w:right="-101" w:rightChars="-48"/>
              <w:jc w:val="center"/>
              <w:rPr>
                <w:highlight w:val="none"/>
              </w:rPr>
            </w:pPr>
            <w:r>
              <w:rPr>
                <w:highlight w:val="none"/>
              </w:rPr>
              <w:t>业主名称</w:t>
            </w:r>
          </w:p>
        </w:tc>
        <w:tc>
          <w:tcPr>
            <w:tcW w:w="5577" w:type="dxa"/>
            <w:vAlign w:val="center"/>
          </w:tcPr>
          <w:p w14:paraId="7E2ECEB7">
            <w:pPr>
              <w:pageBreakBefore w:val="0"/>
              <w:kinsoku/>
              <w:overflowPunct/>
              <w:bidi w:val="0"/>
              <w:adjustRightInd w:val="0"/>
              <w:snapToGrid w:val="0"/>
              <w:spacing w:line="360" w:lineRule="auto"/>
              <w:ind w:right="-101" w:rightChars="-48" w:firstLine="420" w:firstLineChars="200"/>
              <w:jc w:val="center"/>
              <w:rPr>
                <w:highlight w:val="none"/>
              </w:rPr>
            </w:pPr>
          </w:p>
        </w:tc>
      </w:tr>
      <w:tr w14:paraId="4ACA3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E9DFB41">
            <w:pPr>
              <w:pageBreakBefore w:val="0"/>
              <w:kinsoku/>
              <w:overflowPunct/>
              <w:bidi w:val="0"/>
              <w:adjustRightInd w:val="0"/>
              <w:snapToGrid w:val="0"/>
              <w:spacing w:line="360" w:lineRule="auto"/>
              <w:ind w:right="-101" w:rightChars="-48"/>
              <w:jc w:val="center"/>
              <w:rPr>
                <w:highlight w:val="none"/>
              </w:rPr>
            </w:pPr>
            <w:r>
              <w:rPr>
                <w:highlight w:val="none"/>
              </w:rPr>
              <w:t>业主地址</w:t>
            </w:r>
          </w:p>
        </w:tc>
        <w:tc>
          <w:tcPr>
            <w:tcW w:w="5577" w:type="dxa"/>
            <w:vAlign w:val="center"/>
          </w:tcPr>
          <w:p w14:paraId="176510F0">
            <w:pPr>
              <w:pageBreakBefore w:val="0"/>
              <w:kinsoku/>
              <w:overflowPunct/>
              <w:bidi w:val="0"/>
              <w:adjustRightInd w:val="0"/>
              <w:snapToGrid w:val="0"/>
              <w:spacing w:line="360" w:lineRule="auto"/>
              <w:ind w:right="-101" w:rightChars="-48" w:firstLine="420" w:firstLineChars="200"/>
              <w:jc w:val="center"/>
              <w:rPr>
                <w:highlight w:val="none"/>
              </w:rPr>
            </w:pPr>
          </w:p>
        </w:tc>
      </w:tr>
      <w:tr w14:paraId="7038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E2B8266">
            <w:pPr>
              <w:pageBreakBefore w:val="0"/>
              <w:kinsoku/>
              <w:overflowPunct/>
              <w:bidi w:val="0"/>
              <w:adjustRightInd w:val="0"/>
              <w:snapToGrid w:val="0"/>
              <w:spacing w:line="360" w:lineRule="auto"/>
              <w:ind w:right="-101" w:rightChars="-48"/>
              <w:jc w:val="center"/>
              <w:rPr>
                <w:highlight w:val="none"/>
              </w:rPr>
            </w:pPr>
            <w:r>
              <w:rPr>
                <w:highlight w:val="none"/>
              </w:rPr>
              <w:t>业主电话</w:t>
            </w:r>
          </w:p>
        </w:tc>
        <w:tc>
          <w:tcPr>
            <w:tcW w:w="5577" w:type="dxa"/>
            <w:vAlign w:val="center"/>
          </w:tcPr>
          <w:p w14:paraId="716B5A37">
            <w:pPr>
              <w:pageBreakBefore w:val="0"/>
              <w:kinsoku/>
              <w:overflowPunct/>
              <w:bidi w:val="0"/>
              <w:adjustRightInd w:val="0"/>
              <w:snapToGrid w:val="0"/>
              <w:spacing w:line="360" w:lineRule="auto"/>
              <w:ind w:right="-101" w:rightChars="-48" w:firstLine="420" w:firstLineChars="200"/>
              <w:jc w:val="center"/>
              <w:rPr>
                <w:highlight w:val="none"/>
              </w:rPr>
            </w:pPr>
          </w:p>
        </w:tc>
      </w:tr>
      <w:tr w14:paraId="5967E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B1527A0">
            <w:pPr>
              <w:pageBreakBefore w:val="0"/>
              <w:kinsoku/>
              <w:overflowPunct/>
              <w:bidi w:val="0"/>
              <w:adjustRightInd w:val="0"/>
              <w:snapToGrid w:val="0"/>
              <w:spacing w:line="360" w:lineRule="auto"/>
              <w:ind w:right="-101" w:rightChars="-48"/>
              <w:jc w:val="center"/>
              <w:rPr>
                <w:highlight w:val="none"/>
              </w:rPr>
            </w:pPr>
            <w:r>
              <w:rPr>
                <w:rFonts w:hint="eastAsia"/>
                <w:highlight w:val="none"/>
              </w:rPr>
              <w:t>合同</w:t>
            </w:r>
            <w:r>
              <w:rPr>
                <w:highlight w:val="none"/>
              </w:rPr>
              <w:t>金额</w:t>
            </w:r>
          </w:p>
        </w:tc>
        <w:tc>
          <w:tcPr>
            <w:tcW w:w="5577" w:type="dxa"/>
            <w:vAlign w:val="center"/>
          </w:tcPr>
          <w:p w14:paraId="64F64A70">
            <w:pPr>
              <w:pageBreakBefore w:val="0"/>
              <w:kinsoku/>
              <w:overflowPunct/>
              <w:bidi w:val="0"/>
              <w:adjustRightInd w:val="0"/>
              <w:snapToGrid w:val="0"/>
              <w:spacing w:line="360" w:lineRule="auto"/>
              <w:ind w:right="-101" w:rightChars="-48" w:firstLine="420" w:firstLineChars="200"/>
              <w:jc w:val="center"/>
              <w:rPr>
                <w:highlight w:val="none"/>
              </w:rPr>
            </w:pPr>
          </w:p>
        </w:tc>
      </w:tr>
      <w:tr w14:paraId="32D50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EADA4F8">
            <w:pPr>
              <w:pageBreakBefore w:val="0"/>
              <w:kinsoku/>
              <w:overflowPunct/>
              <w:bidi w:val="0"/>
              <w:adjustRightInd w:val="0"/>
              <w:snapToGrid w:val="0"/>
              <w:spacing w:line="360" w:lineRule="auto"/>
              <w:ind w:right="-101" w:rightChars="-48"/>
              <w:jc w:val="center"/>
              <w:rPr>
                <w:highlight w:val="none"/>
              </w:rPr>
            </w:pPr>
            <w:r>
              <w:rPr>
                <w:highlight w:val="none"/>
              </w:rPr>
              <w:t>承担的工作内容</w:t>
            </w:r>
          </w:p>
        </w:tc>
        <w:tc>
          <w:tcPr>
            <w:tcW w:w="5577" w:type="dxa"/>
            <w:vAlign w:val="center"/>
          </w:tcPr>
          <w:p w14:paraId="590C7B0D">
            <w:pPr>
              <w:pageBreakBefore w:val="0"/>
              <w:kinsoku/>
              <w:overflowPunct/>
              <w:bidi w:val="0"/>
              <w:adjustRightInd w:val="0"/>
              <w:snapToGrid w:val="0"/>
              <w:spacing w:line="360" w:lineRule="auto"/>
              <w:ind w:right="-101" w:rightChars="-48" w:firstLine="420" w:firstLineChars="200"/>
              <w:jc w:val="center"/>
              <w:rPr>
                <w:highlight w:val="none"/>
              </w:rPr>
            </w:pPr>
          </w:p>
        </w:tc>
      </w:tr>
      <w:tr w14:paraId="42B2D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D41C485">
            <w:pPr>
              <w:pageBreakBefore w:val="0"/>
              <w:kinsoku/>
              <w:overflowPunct/>
              <w:bidi w:val="0"/>
              <w:adjustRightInd w:val="0"/>
              <w:snapToGrid w:val="0"/>
              <w:spacing w:line="360" w:lineRule="auto"/>
              <w:ind w:right="-101" w:rightChars="-48"/>
              <w:jc w:val="center"/>
              <w:rPr>
                <w:highlight w:val="none"/>
              </w:rPr>
            </w:pPr>
            <w:r>
              <w:rPr>
                <w:highlight w:val="none"/>
              </w:rPr>
              <w:t>项目负责人</w:t>
            </w:r>
          </w:p>
        </w:tc>
        <w:tc>
          <w:tcPr>
            <w:tcW w:w="5577" w:type="dxa"/>
            <w:vAlign w:val="center"/>
          </w:tcPr>
          <w:p w14:paraId="70B58B47">
            <w:pPr>
              <w:pageBreakBefore w:val="0"/>
              <w:kinsoku/>
              <w:overflowPunct/>
              <w:bidi w:val="0"/>
              <w:adjustRightInd w:val="0"/>
              <w:snapToGrid w:val="0"/>
              <w:spacing w:line="360" w:lineRule="auto"/>
              <w:ind w:right="-101" w:rightChars="-48" w:firstLine="420" w:firstLineChars="200"/>
              <w:jc w:val="center"/>
              <w:rPr>
                <w:highlight w:val="none"/>
              </w:rPr>
            </w:pPr>
          </w:p>
        </w:tc>
      </w:tr>
      <w:tr w14:paraId="4286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3C33C4F">
            <w:pPr>
              <w:pageBreakBefore w:val="0"/>
              <w:kinsoku/>
              <w:overflowPunct/>
              <w:bidi w:val="0"/>
              <w:adjustRightInd w:val="0"/>
              <w:snapToGrid w:val="0"/>
              <w:spacing w:line="360" w:lineRule="auto"/>
              <w:ind w:right="-101" w:rightChars="-48"/>
              <w:jc w:val="center"/>
              <w:rPr>
                <w:highlight w:val="none"/>
              </w:rPr>
            </w:pPr>
            <w:r>
              <w:rPr>
                <w:highlight w:val="none"/>
              </w:rPr>
              <w:t>备注</w:t>
            </w:r>
          </w:p>
        </w:tc>
        <w:tc>
          <w:tcPr>
            <w:tcW w:w="5577" w:type="dxa"/>
            <w:vAlign w:val="center"/>
          </w:tcPr>
          <w:p w14:paraId="528D7449">
            <w:pPr>
              <w:pageBreakBefore w:val="0"/>
              <w:kinsoku/>
              <w:overflowPunct/>
              <w:bidi w:val="0"/>
              <w:adjustRightInd w:val="0"/>
              <w:snapToGrid w:val="0"/>
              <w:spacing w:line="360" w:lineRule="auto"/>
              <w:ind w:right="-101" w:rightChars="-48" w:firstLine="420" w:firstLineChars="200"/>
              <w:jc w:val="center"/>
              <w:rPr>
                <w:highlight w:val="none"/>
              </w:rPr>
            </w:pPr>
          </w:p>
        </w:tc>
      </w:tr>
    </w:tbl>
    <w:p w14:paraId="5A587CBC">
      <w:pPr>
        <w:pageBreakBefore w:val="0"/>
        <w:kinsoku/>
        <w:overflowPunct/>
        <w:bidi w:val="0"/>
        <w:adjustRightInd w:val="0"/>
        <w:snapToGrid w:val="0"/>
        <w:spacing w:line="360" w:lineRule="auto"/>
        <w:ind w:right="-101" w:rightChars="-48"/>
        <w:jc w:val="left"/>
        <w:rPr>
          <w:highlight w:val="none"/>
        </w:rPr>
      </w:pPr>
      <w:r>
        <w:rPr>
          <w:highlight w:val="none"/>
        </w:rPr>
        <w:t>注：每一个项目填一张表，本表后附业绩证明材料的复印件</w:t>
      </w:r>
      <w:r>
        <w:rPr>
          <w:rFonts w:hint="eastAsia"/>
          <w:highlight w:val="none"/>
        </w:rPr>
        <w:t>或扫描件</w:t>
      </w:r>
      <w:r>
        <w:rPr>
          <w:highlight w:val="none"/>
        </w:rPr>
        <w:t>。</w:t>
      </w:r>
      <w:bookmarkStart w:id="275" w:name="_Toc20296"/>
      <w:bookmarkStart w:id="276" w:name="_Toc3697"/>
      <w:bookmarkStart w:id="277" w:name="_Toc10610"/>
      <w:bookmarkStart w:id="278" w:name="_Toc29658"/>
      <w:bookmarkStart w:id="279" w:name="_Toc3965"/>
    </w:p>
    <w:p w14:paraId="0D4625ED">
      <w:pPr>
        <w:pageBreakBefore w:val="0"/>
        <w:kinsoku/>
        <w:overflowPunct/>
        <w:bidi w:val="0"/>
        <w:spacing w:line="360" w:lineRule="auto"/>
        <w:ind w:right="-101" w:rightChars="-48"/>
        <w:rPr>
          <w:highlight w:val="none"/>
        </w:rPr>
      </w:pPr>
      <w:r>
        <w:rPr>
          <w:highlight w:val="none"/>
        </w:rPr>
        <w:br w:type="page"/>
      </w:r>
    </w:p>
    <w:p w14:paraId="547E7A7E">
      <w:pPr>
        <w:pStyle w:val="2"/>
        <w:pageBreakBefore w:val="0"/>
        <w:kinsoku/>
        <w:overflowPunct/>
        <w:bidi w:val="0"/>
        <w:spacing w:line="360" w:lineRule="auto"/>
        <w:ind w:right="-101" w:rightChars="-48"/>
        <w:jc w:val="center"/>
        <w:rPr>
          <w:rFonts w:ascii="宋体" w:hAnsi="宋体" w:cs="宋体"/>
          <w:highlight w:val="none"/>
        </w:rPr>
      </w:pPr>
      <w:r>
        <w:rPr>
          <w:rFonts w:hint="eastAsia" w:ascii="宋体" w:hAnsi="宋体" w:eastAsia="宋体" w:cs="宋体"/>
          <w:highlight w:val="none"/>
        </w:rPr>
        <w:t xml:space="preserve">四 </w:t>
      </w:r>
      <w:bookmarkEnd w:id="275"/>
      <w:bookmarkEnd w:id="276"/>
      <w:bookmarkEnd w:id="277"/>
      <w:bookmarkEnd w:id="278"/>
      <w:bookmarkEnd w:id="279"/>
      <w:r>
        <w:rPr>
          <w:rFonts w:hint="eastAsia" w:ascii="宋体" w:hAnsi="宋体" w:eastAsia="宋体" w:cs="宋体"/>
          <w:highlight w:val="none"/>
        </w:rPr>
        <w:t>项目负责人</w:t>
      </w:r>
      <w:r>
        <w:rPr>
          <w:rFonts w:hint="eastAsia" w:ascii="宋体" w:hAnsi="宋体" w:eastAsia="宋体" w:cs="宋体"/>
          <w:kern w:val="2"/>
          <w:sz w:val="30"/>
          <w:szCs w:val="30"/>
          <w:highlight w:val="none"/>
        </w:rPr>
        <w:t>业绩汇总表</w:t>
      </w:r>
    </w:p>
    <w:p w14:paraId="0661C385">
      <w:pPr>
        <w:pageBreakBefore w:val="0"/>
        <w:kinsoku/>
        <w:overflowPunct/>
        <w:bidi w:val="0"/>
        <w:spacing w:line="360" w:lineRule="auto"/>
        <w:ind w:right="-101" w:rightChars="-48"/>
        <w:jc w:val="right"/>
        <w:rPr>
          <w:rFonts w:ascii="宋体" w:hAnsi="宋体" w:cs="宋体"/>
          <w:highlight w:val="none"/>
        </w:rPr>
      </w:pPr>
      <w:r>
        <w:rPr>
          <w:rFonts w:hint="eastAsia" w:ascii="宋体" w:hAnsi="宋体" w:cs="宋体"/>
          <w:highlight w:val="none"/>
        </w:rPr>
        <w:t xml:space="preserve">                                            </w:t>
      </w:r>
    </w:p>
    <w:tbl>
      <w:tblPr>
        <w:tblStyle w:val="36"/>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06FEC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7916F952">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序号</w:t>
            </w:r>
          </w:p>
        </w:tc>
        <w:tc>
          <w:tcPr>
            <w:tcW w:w="1808" w:type="dxa"/>
            <w:vAlign w:val="center"/>
          </w:tcPr>
          <w:p w14:paraId="00B27F02">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业主名称</w:t>
            </w:r>
          </w:p>
        </w:tc>
        <w:tc>
          <w:tcPr>
            <w:tcW w:w="2040" w:type="dxa"/>
            <w:vAlign w:val="center"/>
          </w:tcPr>
          <w:p w14:paraId="4E28F374">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项目名称</w:t>
            </w:r>
          </w:p>
        </w:tc>
        <w:tc>
          <w:tcPr>
            <w:tcW w:w="2023" w:type="dxa"/>
            <w:vAlign w:val="center"/>
          </w:tcPr>
          <w:p w14:paraId="36FF5A97">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工作内容</w:t>
            </w:r>
          </w:p>
        </w:tc>
        <w:tc>
          <w:tcPr>
            <w:tcW w:w="1800" w:type="dxa"/>
            <w:vAlign w:val="center"/>
          </w:tcPr>
          <w:p w14:paraId="2CCCD197">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备注</w:t>
            </w:r>
          </w:p>
        </w:tc>
      </w:tr>
      <w:tr w14:paraId="30723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283EA60C">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1</w:t>
            </w:r>
          </w:p>
        </w:tc>
        <w:tc>
          <w:tcPr>
            <w:tcW w:w="1808" w:type="dxa"/>
            <w:vAlign w:val="center"/>
          </w:tcPr>
          <w:p w14:paraId="708FFC61">
            <w:pPr>
              <w:pageBreakBefore w:val="0"/>
              <w:kinsoku/>
              <w:overflowPunct/>
              <w:bidi w:val="0"/>
              <w:spacing w:line="360" w:lineRule="auto"/>
              <w:ind w:right="-101" w:rightChars="-48"/>
              <w:jc w:val="center"/>
              <w:rPr>
                <w:rFonts w:ascii="宋体" w:hAnsi="宋体" w:cs="宋体"/>
                <w:szCs w:val="21"/>
                <w:highlight w:val="none"/>
              </w:rPr>
            </w:pPr>
          </w:p>
        </w:tc>
        <w:tc>
          <w:tcPr>
            <w:tcW w:w="2040" w:type="dxa"/>
            <w:vAlign w:val="center"/>
          </w:tcPr>
          <w:p w14:paraId="7D54B435">
            <w:pPr>
              <w:pageBreakBefore w:val="0"/>
              <w:kinsoku/>
              <w:overflowPunct/>
              <w:bidi w:val="0"/>
              <w:spacing w:line="360" w:lineRule="auto"/>
              <w:ind w:right="-101" w:rightChars="-48"/>
              <w:jc w:val="center"/>
              <w:rPr>
                <w:rFonts w:ascii="宋体" w:hAnsi="宋体" w:cs="宋体"/>
                <w:szCs w:val="21"/>
                <w:highlight w:val="none"/>
              </w:rPr>
            </w:pPr>
          </w:p>
        </w:tc>
        <w:tc>
          <w:tcPr>
            <w:tcW w:w="2023" w:type="dxa"/>
            <w:vAlign w:val="center"/>
          </w:tcPr>
          <w:p w14:paraId="311793E2">
            <w:pPr>
              <w:pageBreakBefore w:val="0"/>
              <w:kinsoku/>
              <w:overflowPunct/>
              <w:bidi w:val="0"/>
              <w:spacing w:line="360" w:lineRule="auto"/>
              <w:ind w:right="-101" w:rightChars="-48"/>
              <w:jc w:val="center"/>
              <w:rPr>
                <w:rFonts w:ascii="宋体" w:hAnsi="宋体" w:cs="宋体"/>
                <w:szCs w:val="21"/>
                <w:highlight w:val="none"/>
              </w:rPr>
            </w:pPr>
          </w:p>
        </w:tc>
        <w:tc>
          <w:tcPr>
            <w:tcW w:w="1800" w:type="dxa"/>
            <w:vAlign w:val="center"/>
          </w:tcPr>
          <w:p w14:paraId="1D240386">
            <w:pPr>
              <w:pageBreakBefore w:val="0"/>
              <w:kinsoku/>
              <w:overflowPunct/>
              <w:bidi w:val="0"/>
              <w:spacing w:line="360" w:lineRule="auto"/>
              <w:ind w:right="-101" w:rightChars="-48"/>
              <w:jc w:val="center"/>
              <w:rPr>
                <w:rFonts w:ascii="宋体" w:hAnsi="宋体" w:cs="宋体"/>
                <w:szCs w:val="21"/>
                <w:highlight w:val="none"/>
              </w:rPr>
            </w:pPr>
          </w:p>
        </w:tc>
      </w:tr>
      <w:tr w14:paraId="7844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5CBF362B">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2</w:t>
            </w:r>
          </w:p>
        </w:tc>
        <w:tc>
          <w:tcPr>
            <w:tcW w:w="1808" w:type="dxa"/>
            <w:vAlign w:val="center"/>
          </w:tcPr>
          <w:p w14:paraId="695BCA7A">
            <w:pPr>
              <w:pageBreakBefore w:val="0"/>
              <w:kinsoku/>
              <w:overflowPunct/>
              <w:bidi w:val="0"/>
              <w:spacing w:line="360" w:lineRule="auto"/>
              <w:ind w:right="-101" w:rightChars="-48"/>
              <w:jc w:val="center"/>
              <w:rPr>
                <w:rFonts w:ascii="宋体" w:hAnsi="宋体" w:cs="宋体"/>
                <w:szCs w:val="21"/>
                <w:highlight w:val="none"/>
              </w:rPr>
            </w:pPr>
          </w:p>
        </w:tc>
        <w:tc>
          <w:tcPr>
            <w:tcW w:w="2040" w:type="dxa"/>
            <w:vAlign w:val="center"/>
          </w:tcPr>
          <w:p w14:paraId="680D6F1D">
            <w:pPr>
              <w:pageBreakBefore w:val="0"/>
              <w:kinsoku/>
              <w:overflowPunct/>
              <w:bidi w:val="0"/>
              <w:spacing w:line="360" w:lineRule="auto"/>
              <w:ind w:right="-101" w:rightChars="-48"/>
              <w:jc w:val="center"/>
              <w:rPr>
                <w:rFonts w:ascii="宋体" w:hAnsi="宋体" w:cs="宋体"/>
                <w:szCs w:val="21"/>
                <w:highlight w:val="none"/>
              </w:rPr>
            </w:pPr>
          </w:p>
        </w:tc>
        <w:tc>
          <w:tcPr>
            <w:tcW w:w="2023" w:type="dxa"/>
            <w:vAlign w:val="center"/>
          </w:tcPr>
          <w:p w14:paraId="77199810">
            <w:pPr>
              <w:pageBreakBefore w:val="0"/>
              <w:kinsoku/>
              <w:overflowPunct/>
              <w:bidi w:val="0"/>
              <w:spacing w:line="360" w:lineRule="auto"/>
              <w:ind w:right="-101" w:rightChars="-48"/>
              <w:jc w:val="center"/>
              <w:rPr>
                <w:rFonts w:ascii="宋体" w:hAnsi="宋体" w:cs="宋体"/>
                <w:szCs w:val="21"/>
                <w:highlight w:val="none"/>
              </w:rPr>
            </w:pPr>
          </w:p>
        </w:tc>
        <w:tc>
          <w:tcPr>
            <w:tcW w:w="1800" w:type="dxa"/>
            <w:vAlign w:val="center"/>
          </w:tcPr>
          <w:p w14:paraId="1A274532">
            <w:pPr>
              <w:pageBreakBefore w:val="0"/>
              <w:kinsoku/>
              <w:overflowPunct/>
              <w:bidi w:val="0"/>
              <w:spacing w:line="360" w:lineRule="auto"/>
              <w:ind w:right="-101" w:rightChars="-48"/>
              <w:jc w:val="center"/>
              <w:rPr>
                <w:rFonts w:ascii="宋体" w:hAnsi="宋体" w:cs="宋体"/>
                <w:szCs w:val="21"/>
                <w:highlight w:val="none"/>
              </w:rPr>
            </w:pPr>
          </w:p>
        </w:tc>
      </w:tr>
      <w:tr w14:paraId="11467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35A8CBE2">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3</w:t>
            </w:r>
          </w:p>
        </w:tc>
        <w:tc>
          <w:tcPr>
            <w:tcW w:w="1808" w:type="dxa"/>
            <w:vAlign w:val="center"/>
          </w:tcPr>
          <w:p w14:paraId="1B58B16F">
            <w:pPr>
              <w:pageBreakBefore w:val="0"/>
              <w:kinsoku/>
              <w:overflowPunct/>
              <w:bidi w:val="0"/>
              <w:spacing w:line="360" w:lineRule="auto"/>
              <w:ind w:right="-101" w:rightChars="-48"/>
              <w:jc w:val="center"/>
              <w:rPr>
                <w:rFonts w:ascii="宋体" w:hAnsi="宋体" w:cs="宋体"/>
                <w:szCs w:val="21"/>
                <w:highlight w:val="none"/>
              </w:rPr>
            </w:pPr>
          </w:p>
        </w:tc>
        <w:tc>
          <w:tcPr>
            <w:tcW w:w="2040" w:type="dxa"/>
            <w:vAlign w:val="center"/>
          </w:tcPr>
          <w:p w14:paraId="5986460D">
            <w:pPr>
              <w:pageBreakBefore w:val="0"/>
              <w:kinsoku/>
              <w:overflowPunct/>
              <w:bidi w:val="0"/>
              <w:spacing w:line="360" w:lineRule="auto"/>
              <w:ind w:right="-101" w:rightChars="-48"/>
              <w:jc w:val="center"/>
              <w:rPr>
                <w:rFonts w:ascii="宋体" w:hAnsi="宋体" w:cs="宋体"/>
                <w:szCs w:val="21"/>
                <w:highlight w:val="none"/>
              </w:rPr>
            </w:pPr>
          </w:p>
        </w:tc>
        <w:tc>
          <w:tcPr>
            <w:tcW w:w="2023" w:type="dxa"/>
            <w:vAlign w:val="center"/>
          </w:tcPr>
          <w:p w14:paraId="5F4021C0">
            <w:pPr>
              <w:pageBreakBefore w:val="0"/>
              <w:kinsoku/>
              <w:overflowPunct/>
              <w:bidi w:val="0"/>
              <w:spacing w:line="360" w:lineRule="auto"/>
              <w:ind w:right="-101" w:rightChars="-48"/>
              <w:jc w:val="center"/>
              <w:rPr>
                <w:rFonts w:ascii="宋体" w:hAnsi="宋体" w:cs="宋体"/>
                <w:szCs w:val="21"/>
                <w:highlight w:val="none"/>
              </w:rPr>
            </w:pPr>
          </w:p>
        </w:tc>
        <w:tc>
          <w:tcPr>
            <w:tcW w:w="1800" w:type="dxa"/>
            <w:vAlign w:val="center"/>
          </w:tcPr>
          <w:p w14:paraId="5B118BB2">
            <w:pPr>
              <w:pageBreakBefore w:val="0"/>
              <w:kinsoku/>
              <w:overflowPunct/>
              <w:bidi w:val="0"/>
              <w:spacing w:line="360" w:lineRule="auto"/>
              <w:ind w:right="-101" w:rightChars="-48"/>
              <w:jc w:val="center"/>
              <w:rPr>
                <w:rFonts w:ascii="宋体" w:hAnsi="宋体" w:cs="宋体"/>
                <w:szCs w:val="21"/>
                <w:highlight w:val="none"/>
              </w:rPr>
            </w:pPr>
          </w:p>
        </w:tc>
      </w:tr>
      <w:tr w14:paraId="22988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B9C1792">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4</w:t>
            </w:r>
          </w:p>
        </w:tc>
        <w:tc>
          <w:tcPr>
            <w:tcW w:w="1808" w:type="dxa"/>
            <w:vAlign w:val="center"/>
          </w:tcPr>
          <w:p w14:paraId="52388865">
            <w:pPr>
              <w:pageBreakBefore w:val="0"/>
              <w:kinsoku/>
              <w:overflowPunct/>
              <w:bidi w:val="0"/>
              <w:spacing w:line="360" w:lineRule="auto"/>
              <w:ind w:right="-101" w:rightChars="-48"/>
              <w:jc w:val="center"/>
              <w:rPr>
                <w:rFonts w:ascii="宋体" w:hAnsi="宋体" w:cs="宋体"/>
                <w:szCs w:val="21"/>
                <w:highlight w:val="none"/>
              </w:rPr>
            </w:pPr>
          </w:p>
        </w:tc>
        <w:tc>
          <w:tcPr>
            <w:tcW w:w="2040" w:type="dxa"/>
            <w:vAlign w:val="center"/>
          </w:tcPr>
          <w:p w14:paraId="06564EBB">
            <w:pPr>
              <w:pageBreakBefore w:val="0"/>
              <w:kinsoku/>
              <w:overflowPunct/>
              <w:bidi w:val="0"/>
              <w:spacing w:line="360" w:lineRule="auto"/>
              <w:ind w:right="-101" w:rightChars="-48"/>
              <w:jc w:val="center"/>
              <w:rPr>
                <w:rFonts w:ascii="宋体" w:hAnsi="宋体" w:cs="宋体"/>
                <w:szCs w:val="21"/>
                <w:highlight w:val="none"/>
              </w:rPr>
            </w:pPr>
          </w:p>
        </w:tc>
        <w:tc>
          <w:tcPr>
            <w:tcW w:w="2023" w:type="dxa"/>
            <w:vAlign w:val="center"/>
          </w:tcPr>
          <w:p w14:paraId="516F6FD2">
            <w:pPr>
              <w:pageBreakBefore w:val="0"/>
              <w:kinsoku/>
              <w:overflowPunct/>
              <w:bidi w:val="0"/>
              <w:spacing w:line="360" w:lineRule="auto"/>
              <w:ind w:right="-101" w:rightChars="-48"/>
              <w:jc w:val="center"/>
              <w:rPr>
                <w:rFonts w:ascii="宋体" w:hAnsi="宋体" w:cs="宋体"/>
                <w:szCs w:val="21"/>
                <w:highlight w:val="none"/>
              </w:rPr>
            </w:pPr>
          </w:p>
        </w:tc>
        <w:tc>
          <w:tcPr>
            <w:tcW w:w="1800" w:type="dxa"/>
            <w:vAlign w:val="center"/>
          </w:tcPr>
          <w:p w14:paraId="43CE85AA">
            <w:pPr>
              <w:pageBreakBefore w:val="0"/>
              <w:kinsoku/>
              <w:overflowPunct/>
              <w:bidi w:val="0"/>
              <w:spacing w:line="360" w:lineRule="auto"/>
              <w:ind w:right="-101" w:rightChars="-48"/>
              <w:jc w:val="center"/>
              <w:rPr>
                <w:rFonts w:ascii="宋体" w:hAnsi="宋体" w:cs="宋体"/>
                <w:szCs w:val="21"/>
                <w:highlight w:val="none"/>
              </w:rPr>
            </w:pPr>
          </w:p>
        </w:tc>
      </w:tr>
      <w:tr w14:paraId="480FA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60752D30">
            <w:pPr>
              <w:pageBreakBefore w:val="0"/>
              <w:kinsoku/>
              <w:overflowPunct/>
              <w:bidi w:val="0"/>
              <w:spacing w:line="360" w:lineRule="auto"/>
              <w:ind w:right="-101" w:rightChars="-48"/>
              <w:jc w:val="center"/>
              <w:rPr>
                <w:rFonts w:ascii="宋体" w:hAnsi="宋体" w:cs="宋体"/>
                <w:szCs w:val="21"/>
                <w:highlight w:val="none"/>
              </w:rPr>
            </w:pPr>
            <w:r>
              <w:rPr>
                <w:rFonts w:hint="eastAsia" w:ascii="宋体" w:hAnsi="宋体" w:cs="宋体"/>
                <w:szCs w:val="21"/>
                <w:highlight w:val="none"/>
              </w:rPr>
              <w:t>…</w:t>
            </w:r>
          </w:p>
        </w:tc>
        <w:tc>
          <w:tcPr>
            <w:tcW w:w="1808" w:type="dxa"/>
            <w:vAlign w:val="center"/>
          </w:tcPr>
          <w:p w14:paraId="1A34D4E9">
            <w:pPr>
              <w:pageBreakBefore w:val="0"/>
              <w:kinsoku/>
              <w:overflowPunct/>
              <w:bidi w:val="0"/>
              <w:spacing w:line="360" w:lineRule="auto"/>
              <w:ind w:right="-101" w:rightChars="-48"/>
              <w:jc w:val="center"/>
              <w:rPr>
                <w:rFonts w:ascii="宋体" w:hAnsi="宋体" w:cs="宋体"/>
                <w:szCs w:val="21"/>
                <w:highlight w:val="none"/>
              </w:rPr>
            </w:pPr>
          </w:p>
        </w:tc>
        <w:tc>
          <w:tcPr>
            <w:tcW w:w="2040" w:type="dxa"/>
            <w:vAlign w:val="center"/>
          </w:tcPr>
          <w:p w14:paraId="3B0C9C7D">
            <w:pPr>
              <w:pageBreakBefore w:val="0"/>
              <w:kinsoku/>
              <w:overflowPunct/>
              <w:bidi w:val="0"/>
              <w:spacing w:line="360" w:lineRule="auto"/>
              <w:ind w:right="-101" w:rightChars="-48"/>
              <w:jc w:val="center"/>
              <w:rPr>
                <w:rFonts w:ascii="宋体" w:hAnsi="宋体" w:cs="宋体"/>
                <w:szCs w:val="21"/>
                <w:highlight w:val="none"/>
              </w:rPr>
            </w:pPr>
          </w:p>
        </w:tc>
        <w:tc>
          <w:tcPr>
            <w:tcW w:w="2023" w:type="dxa"/>
            <w:vAlign w:val="center"/>
          </w:tcPr>
          <w:p w14:paraId="1B852020">
            <w:pPr>
              <w:pageBreakBefore w:val="0"/>
              <w:kinsoku/>
              <w:overflowPunct/>
              <w:bidi w:val="0"/>
              <w:spacing w:line="360" w:lineRule="auto"/>
              <w:ind w:right="-101" w:rightChars="-48"/>
              <w:jc w:val="center"/>
              <w:rPr>
                <w:rFonts w:ascii="宋体" w:hAnsi="宋体" w:cs="宋体"/>
                <w:szCs w:val="21"/>
                <w:highlight w:val="none"/>
              </w:rPr>
            </w:pPr>
          </w:p>
        </w:tc>
        <w:tc>
          <w:tcPr>
            <w:tcW w:w="1800" w:type="dxa"/>
            <w:vAlign w:val="center"/>
          </w:tcPr>
          <w:p w14:paraId="5ACFA3BE">
            <w:pPr>
              <w:pageBreakBefore w:val="0"/>
              <w:kinsoku/>
              <w:overflowPunct/>
              <w:bidi w:val="0"/>
              <w:spacing w:line="360" w:lineRule="auto"/>
              <w:ind w:right="-101" w:rightChars="-48"/>
              <w:jc w:val="center"/>
              <w:rPr>
                <w:rFonts w:ascii="宋体" w:hAnsi="宋体" w:cs="宋体"/>
                <w:szCs w:val="21"/>
                <w:highlight w:val="none"/>
              </w:rPr>
            </w:pPr>
          </w:p>
        </w:tc>
      </w:tr>
    </w:tbl>
    <w:p w14:paraId="5093F0C1">
      <w:pPr>
        <w:pageBreakBefore w:val="0"/>
        <w:kinsoku/>
        <w:overflowPunct/>
        <w:bidi w:val="0"/>
        <w:spacing w:line="360" w:lineRule="auto"/>
        <w:ind w:right="-101" w:rightChars="-48"/>
        <w:jc w:val="left"/>
        <w:rPr>
          <w:rFonts w:ascii="宋体" w:hAnsi="宋体" w:cs="宋体"/>
          <w:b/>
          <w:highlight w:val="none"/>
        </w:rPr>
      </w:pPr>
      <w:r>
        <w:rPr>
          <w:rFonts w:hint="eastAsia" w:ascii="宋体" w:hAnsi="宋体" w:cs="宋体"/>
          <w:highlight w:val="none"/>
        </w:rPr>
        <w:t>注：本页可续表。</w:t>
      </w:r>
    </w:p>
    <w:p w14:paraId="75610D16">
      <w:pPr>
        <w:pageBreakBefore w:val="0"/>
        <w:kinsoku/>
        <w:overflowPunct/>
        <w:bidi w:val="0"/>
        <w:spacing w:line="360" w:lineRule="auto"/>
        <w:ind w:right="-101" w:rightChars="-48" w:firstLine="403" w:firstLineChars="192"/>
        <w:rPr>
          <w:rFonts w:ascii="宋体" w:hAnsi="宋体" w:cs="宋体"/>
          <w:highlight w:val="none"/>
        </w:rPr>
      </w:pPr>
    </w:p>
    <w:p w14:paraId="3F63CBBC">
      <w:pPr>
        <w:pageBreakBefore w:val="0"/>
        <w:kinsoku/>
        <w:overflowPunct/>
        <w:bidi w:val="0"/>
        <w:spacing w:line="360" w:lineRule="auto"/>
        <w:ind w:right="-101" w:rightChars="-48" w:firstLine="403" w:firstLineChars="192"/>
        <w:rPr>
          <w:rFonts w:ascii="宋体" w:hAnsi="宋体" w:cs="宋体"/>
          <w:highlight w:val="none"/>
        </w:rPr>
      </w:pPr>
    </w:p>
    <w:p w14:paraId="6EF2BCA5">
      <w:pPr>
        <w:pStyle w:val="2"/>
        <w:pageBreakBefore w:val="0"/>
        <w:kinsoku/>
        <w:overflowPunct/>
        <w:bidi w:val="0"/>
        <w:spacing w:line="360" w:lineRule="auto"/>
        <w:ind w:right="-101" w:rightChars="-48"/>
        <w:jc w:val="center"/>
        <w:rPr>
          <w:rFonts w:ascii="宋体" w:hAnsi="宋体" w:eastAsia="宋体" w:cs="宋体"/>
          <w:highlight w:val="none"/>
        </w:rPr>
      </w:pPr>
      <w:r>
        <w:rPr>
          <w:rFonts w:hint="eastAsia" w:ascii="宋体" w:hAnsi="宋体" w:cs="宋体"/>
          <w:sz w:val="24"/>
          <w:szCs w:val="24"/>
          <w:highlight w:val="none"/>
        </w:rPr>
        <w:br w:type="page"/>
      </w:r>
      <w:r>
        <w:rPr>
          <w:rFonts w:hint="eastAsia" w:ascii="宋体" w:hAnsi="宋体" w:eastAsia="宋体" w:cs="宋体"/>
          <w:highlight w:val="none"/>
        </w:rPr>
        <w:t>五 项目负责人业绩概况表</w:t>
      </w:r>
    </w:p>
    <w:p w14:paraId="65CB4346">
      <w:pPr>
        <w:pageBreakBefore w:val="0"/>
        <w:kinsoku/>
        <w:overflowPunct/>
        <w:bidi w:val="0"/>
        <w:spacing w:line="360" w:lineRule="auto"/>
        <w:ind w:left="439" w:right="-101" w:rightChars="-48" w:hanging="438" w:hangingChars="209"/>
        <w:jc w:val="right"/>
        <w:rPr>
          <w:rFonts w:ascii="宋体" w:hAnsi="宋体" w:cs="宋体"/>
          <w:highlight w:val="none"/>
        </w:rPr>
      </w:pPr>
      <w:r>
        <w:rPr>
          <w:rFonts w:hint="eastAsia" w:ascii="宋体" w:hAnsi="宋体" w:cs="宋体"/>
          <w:highlight w:val="none"/>
        </w:rPr>
        <w:t xml:space="preserve">                              </w:t>
      </w:r>
    </w:p>
    <w:tbl>
      <w:tblPr>
        <w:tblStyle w:val="36"/>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45784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5B8F8D4">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序号</w:t>
            </w:r>
          </w:p>
        </w:tc>
        <w:tc>
          <w:tcPr>
            <w:tcW w:w="5577" w:type="dxa"/>
            <w:vAlign w:val="center"/>
          </w:tcPr>
          <w:p w14:paraId="0247E2E1">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45103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82FF09F">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项目名称</w:t>
            </w:r>
          </w:p>
        </w:tc>
        <w:tc>
          <w:tcPr>
            <w:tcW w:w="5577" w:type="dxa"/>
            <w:vAlign w:val="center"/>
          </w:tcPr>
          <w:p w14:paraId="56DEA107">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7146D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6F4EDE3">
            <w:pPr>
              <w:pageBreakBefore w:val="0"/>
              <w:kinsoku/>
              <w:overflowPunct/>
              <w:bidi w:val="0"/>
              <w:adjustRightInd w:val="0"/>
              <w:snapToGrid w:val="0"/>
              <w:spacing w:line="360" w:lineRule="auto"/>
              <w:ind w:left="42" w:right="-101" w:rightChars="-48" w:hanging="42" w:hangingChars="20"/>
              <w:jc w:val="center"/>
              <w:rPr>
                <w:rFonts w:ascii="宋体" w:hAnsi="宋体" w:cs="宋体"/>
                <w:highlight w:val="none"/>
              </w:rPr>
            </w:pPr>
            <w:r>
              <w:rPr>
                <w:rFonts w:hint="eastAsia" w:ascii="宋体" w:hAnsi="宋体" w:cs="宋体"/>
                <w:highlight w:val="none"/>
              </w:rPr>
              <w:t>项目所在地</w:t>
            </w:r>
          </w:p>
        </w:tc>
        <w:tc>
          <w:tcPr>
            <w:tcW w:w="5577" w:type="dxa"/>
            <w:vAlign w:val="center"/>
          </w:tcPr>
          <w:p w14:paraId="425FD327">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7F01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E1BE084">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业主名称</w:t>
            </w:r>
          </w:p>
        </w:tc>
        <w:tc>
          <w:tcPr>
            <w:tcW w:w="5577" w:type="dxa"/>
            <w:vAlign w:val="center"/>
          </w:tcPr>
          <w:p w14:paraId="577AAA44">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6CDF0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72E63F5">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业主地址</w:t>
            </w:r>
          </w:p>
        </w:tc>
        <w:tc>
          <w:tcPr>
            <w:tcW w:w="5577" w:type="dxa"/>
            <w:vAlign w:val="center"/>
          </w:tcPr>
          <w:p w14:paraId="5E47581B">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1FF24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B589064">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业主电话</w:t>
            </w:r>
          </w:p>
        </w:tc>
        <w:tc>
          <w:tcPr>
            <w:tcW w:w="5577" w:type="dxa"/>
            <w:vAlign w:val="center"/>
          </w:tcPr>
          <w:p w14:paraId="5DE62541">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1A0A7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78AE00A">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合同金额</w:t>
            </w:r>
          </w:p>
        </w:tc>
        <w:tc>
          <w:tcPr>
            <w:tcW w:w="5577" w:type="dxa"/>
            <w:vAlign w:val="center"/>
          </w:tcPr>
          <w:p w14:paraId="752A6013">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20102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66E2BD0">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承担的工作内容</w:t>
            </w:r>
          </w:p>
        </w:tc>
        <w:tc>
          <w:tcPr>
            <w:tcW w:w="5577" w:type="dxa"/>
            <w:vAlign w:val="center"/>
          </w:tcPr>
          <w:p w14:paraId="7CD8BFB3">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r w14:paraId="1D866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56571CA">
            <w:pPr>
              <w:pageBreakBefore w:val="0"/>
              <w:kinsoku/>
              <w:overflowPunct/>
              <w:bidi w:val="0"/>
              <w:adjustRightInd w:val="0"/>
              <w:snapToGrid w:val="0"/>
              <w:spacing w:line="360" w:lineRule="auto"/>
              <w:ind w:right="-101" w:rightChars="-48"/>
              <w:jc w:val="center"/>
              <w:rPr>
                <w:rFonts w:ascii="宋体" w:hAnsi="宋体" w:cs="宋体"/>
                <w:highlight w:val="none"/>
              </w:rPr>
            </w:pPr>
            <w:r>
              <w:rPr>
                <w:rFonts w:hint="eastAsia" w:ascii="宋体" w:hAnsi="宋体" w:cs="宋体"/>
                <w:highlight w:val="none"/>
              </w:rPr>
              <w:t>备注</w:t>
            </w:r>
          </w:p>
        </w:tc>
        <w:tc>
          <w:tcPr>
            <w:tcW w:w="5577" w:type="dxa"/>
            <w:vAlign w:val="center"/>
          </w:tcPr>
          <w:p w14:paraId="47A881AC">
            <w:pPr>
              <w:pageBreakBefore w:val="0"/>
              <w:kinsoku/>
              <w:overflowPunct/>
              <w:bidi w:val="0"/>
              <w:adjustRightInd w:val="0"/>
              <w:snapToGrid w:val="0"/>
              <w:spacing w:line="360" w:lineRule="auto"/>
              <w:ind w:right="-101" w:rightChars="-48" w:firstLine="420" w:firstLineChars="200"/>
              <w:jc w:val="center"/>
              <w:rPr>
                <w:rFonts w:ascii="宋体" w:hAnsi="宋体" w:cs="宋体"/>
                <w:highlight w:val="none"/>
              </w:rPr>
            </w:pPr>
          </w:p>
        </w:tc>
      </w:tr>
    </w:tbl>
    <w:p w14:paraId="6BAE55E1">
      <w:pPr>
        <w:pageBreakBefore w:val="0"/>
        <w:tabs>
          <w:tab w:val="left" w:pos="440"/>
        </w:tabs>
        <w:kinsoku/>
        <w:overflowPunct/>
        <w:bidi w:val="0"/>
        <w:spacing w:line="360" w:lineRule="auto"/>
        <w:ind w:left="437" w:right="-101" w:rightChars="-48" w:hanging="436" w:hangingChars="208"/>
        <w:rPr>
          <w:rFonts w:ascii="宋体" w:hAnsi="宋体" w:cs="宋体"/>
          <w:highlight w:val="none"/>
        </w:rPr>
      </w:pPr>
      <w:r>
        <w:rPr>
          <w:rFonts w:hint="eastAsia" w:ascii="宋体" w:hAnsi="宋体" w:cs="宋体"/>
          <w:highlight w:val="none"/>
        </w:rPr>
        <w:t>注：每一个项目填一张表，本表后附业绩证明材料的复印件或扫描件等。</w:t>
      </w:r>
    </w:p>
    <w:p w14:paraId="08258EC6">
      <w:pPr>
        <w:rPr>
          <w:highlight w:val="none"/>
        </w:rPr>
      </w:pPr>
      <w:r>
        <w:rPr>
          <w:highlight w:val="none"/>
        </w:rPr>
        <w:br w:type="page"/>
      </w:r>
    </w:p>
    <w:p w14:paraId="5B711EB8">
      <w:pPr>
        <w:pStyle w:val="2"/>
        <w:jc w:val="center"/>
        <w:rPr>
          <w:rFonts w:hint="eastAsia" w:ascii="宋体" w:hAnsi="宋体" w:eastAsia="宋体" w:cs="宋体"/>
          <w:highlight w:val="none"/>
        </w:rPr>
      </w:pPr>
      <w:r>
        <w:rPr>
          <w:rFonts w:hint="eastAsia" w:ascii="宋体" w:hAnsi="宋体" w:eastAsia="宋体" w:cs="宋体"/>
          <w:highlight w:val="none"/>
          <w:lang w:val="en-US" w:eastAsia="zh-CN"/>
        </w:rPr>
        <w:t>六</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拟投入本项目人员一览</w:t>
      </w:r>
      <w:r>
        <w:rPr>
          <w:rFonts w:hint="eastAsia" w:ascii="宋体" w:hAnsi="宋体" w:eastAsia="宋体" w:cs="宋体"/>
          <w:highlight w:val="none"/>
        </w:rPr>
        <w:t>表</w:t>
      </w:r>
    </w:p>
    <w:p w14:paraId="646AA32F">
      <w:pPr>
        <w:rPr>
          <w:rFonts w:hint="eastAsia"/>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800"/>
        <w:gridCol w:w="1320"/>
        <w:gridCol w:w="1875"/>
        <w:gridCol w:w="2659"/>
      </w:tblGrid>
      <w:tr w14:paraId="298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1BBD1441">
            <w:pPr>
              <w:jc w:val="center"/>
              <w:rPr>
                <w:rFonts w:hint="eastAsia" w:ascii="宋体" w:hAnsi="宋体" w:eastAsia="宋体" w:cs="宋体"/>
                <w:b/>
                <w:highlight w:val="none"/>
              </w:rPr>
            </w:pPr>
            <w:r>
              <w:rPr>
                <w:rFonts w:hint="eastAsia" w:ascii="宋体" w:hAnsi="宋体" w:eastAsia="宋体" w:cs="宋体"/>
                <w:b/>
                <w:highlight w:val="none"/>
                <w:lang w:val="en-US" w:eastAsia="zh-CN"/>
              </w:rPr>
              <w:t>序号</w:t>
            </w:r>
            <w:r>
              <w:rPr>
                <w:rFonts w:hint="eastAsia" w:ascii="宋体" w:hAnsi="宋体" w:eastAsia="宋体" w:cs="宋体"/>
                <w:b/>
                <w:highlight w:val="none"/>
              </w:rPr>
              <w:br w:type="page"/>
            </w:r>
          </w:p>
        </w:tc>
        <w:tc>
          <w:tcPr>
            <w:tcW w:w="1800" w:type="dxa"/>
          </w:tcPr>
          <w:p w14:paraId="3B12FC49">
            <w:pPr>
              <w:jc w:val="center"/>
              <w:rPr>
                <w:rFonts w:hint="default" w:ascii="宋体" w:hAnsi="宋体" w:eastAsia="宋体" w:cs="宋体"/>
                <w:b/>
                <w:highlight w:val="none"/>
                <w:lang w:val="en-US" w:eastAsia="zh-CN"/>
              </w:rPr>
            </w:pPr>
            <w:r>
              <w:rPr>
                <w:rFonts w:hint="eastAsia" w:ascii="宋体" w:hAnsi="宋体" w:eastAsia="宋体" w:cs="宋体"/>
                <w:b/>
                <w:highlight w:val="none"/>
                <w:lang w:val="en-US" w:eastAsia="zh-CN"/>
              </w:rPr>
              <w:t>人员职务</w:t>
            </w:r>
          </w:p>
        </w:tc>
        <w:tc>
          <w:tcPr>
            <w:tcW w:w="1320" w:type="dxa"/>
          </w:tcPr>
          <w:p w14:paraId="624F57EF">
            <w:pPr>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姓名</w:t>
            </w:r>
          </w:p>
        </w:tc>
        <w:tc>
          <w:tcPr>
            <w:tcW w:w="1875" w:type="dxa"/>
          </w:tcPr>
          <w:p w14:paraId="1041B189">
            <w:pPr>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职称</w:t>
            </w:r>
          </w:p>
        </w:tc>
        <w:tc>
          <w:tcPr>
            <w:tcW w:w="2659" w:type="dxa"/>
          </w:tcPr>
          <w:p w14:paraId="7FA03BD9">
            <w:pPr>
              <w:jc w:val="center"/>
              <w:rPr>
                <w:highlight w:val="none"/>
                <w:vertAlign w:val="baseline"/>
              </w:rPr>
            </w:pPr>
            <w:r>
              <w:rPr>
                <w:rFonts w:hint="eastAsia" w:ascii="宋体" w:hAnsi="宋体" w:cs="宋体"/>
                <w:b/>
                <w:highlight w:val="none"/>
              </w:rPr>
              <w:t>工作年限经历</w:t>
            </w:r>
          </w:p>
        </w:tc>
      </w:tr>
      <w:tr w14:paraId="3652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66152276">
            <w:pPr>
              <w:jc w:val="center"/>
              <w:rPr>
                <w:rFonts w:hint="eastAsia" w:eastAsia="宋体"/>
                <w:highlight w:val="none"/>
                <w:vertAlign w:val="baseline"/>
                <w:lang w:val="en-US" w:eastAsia="zh-CN"/>
              </w:rPr>
            </w:pPr>
            <w:r>
              <w:rPr>
                <w:rFonts w:hint="eastAsia"/>
                <w:highlight w:val="none"/>
                <w:vertAlign w:val="baseline"/>
                <w:lang w:val="en-US" w:eastAsia="zh-CN"/>
              </w:rPr>
              <w:t>1</w:t>
            </w:r>
          </w:p>
        </w:tc>
        <w:tc>
          <w:tcPr>
            <w:tcW w:w="1800" w:type="dxa"/>
          </w:tcPr>
          <w:p w14:paraId="3D494127">
            <w:pPr>
              <w:jc w:val="center"/>
              <w:rPr>
                <w:highlight w:val="none"/>
                <w:vertAlign w:val="baseline"/>
              </w:rPr>
            </w:pPr>
          </w:p>
        </w:tc>
        <w:tc>
          <w:tcPr>
            <w:tcW w:w="1320" w:type="dxa"/>
          </w:tcPr>
          <w:p w14:paraId="7F72DB20">
            <w:pPr>
              <w:jc w:val="center"/>
              <w:rPr>
                <w:highlight w:val="none"/>
                <w:vertAlign w:val="baseline"/>
              </w:rPr>
            </w:pPr>
          </w:p>
        </w:tc>
        <w:tc>
          <w:tcPr>
            <w:tcW w:w="1875" w:type="dxa"/>
          </w:tcPr>
          <w:p w14:paraId="15D02FE9">
            <w:pPr>
              <w:jc w:val="center"/>
              <w:rPr>
                <w:highlight w:val="none"/>
                <w:vertAlign w:val="baseline"/>
              </w:rPr>
            </w:pPr>
          </w:p>
        </w:tc>
        <w:tc>
          <w:tcPr>
            <w:tcW w:w="2659" w:type="dxa"/>
          </w:tcPr>
          <w:p w14:paraId="3460B54F">
            <w:pPr>
              <w:jc w:val="center"/>
              <w:rPr>
                <w:highlight w:val="none"/>
                <w:vertAlign w:val="baseline"/>
              </w:rPr>
            </w:pPr>
          </w:p>
        </w:tc>
      </w:tr>
      <w:tr w14:paraId="2F90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081BAF6C">
            <w:pPr>
              <w:jc w:val="center"/>
              <w:rPr>
                <w:rFonts w:hint="eastAsia" w:eastAsia="宋体"/>
                <w:highlight w:val="none"/>
                <w:vertAlign w:val="baseline"/>
                <w:lang w:val="en-US" w:eastAsia="zh-CN"/>
              </w:rPr>
            </w:pPr>
            <w:r>
              <w:rPr>
                <w:rFonts w:hint="eastAsia"/>
                <w:highlight w:val="none"/>
                <w:vertAlign w:val="baseline"/>
                <w:lang w:val="en-US" w:eastAsia="zh-CN"/>
              </w:rPr>
              <w:t>2</w:t>
            </w:r>
          </w:p>
        </w:tc>
        <w:tc>
          <w:tcPr>
            <w:tcW w:w="1800" w:type="dxa"/>
          </w:tcPr>
          <w:p w14:paraId="2E5EA052">
            <w:pPr>
              <w:jc w:val="center"/>
              <w:rPr>
                <w:highlight w:val="none"/>
                <w:vertAlign w:val="baseline"/>
              </w:rPr>
            </w:pPr>
          </w:p>
        </w:tc>
        <w:tc>
          <w:tcPr>
            <w:tcW w:w="1320" w:type="dxa"/>
          </w:tcPr>
          <w:p w14:paraId="3D1B922A">
            <w:pPr>
              <w:jc w:val="center"/>
              <w:rPr>
                <w:highlight w:val="none"/>
                <w:vertAlign w:val="baseline"/>
              </w:rPr>
            </w:pPr>
          </w:p>
        </w:tc>
        <w:tc>
          <w:tcPr>
            <w:tcW w:w="1875" w:type="dxa"/>
          </w:tcPr>
          <w:p w14:paraId="0BB0176C">
            <w:pPr>
              <w:jc w:val="center"/>
              <w:rPr>
                <w:highlight w:val="none"/>
                <w:vertAlign w:val="baseline"/>
              </w:rPr>
            </w:pPr>
          </w:p>
        </w:tc>
        <w:tc>
          <w:tcPr>
            <w:tcW w:w="2659" w:type="dxa"/>
          </w:tcPr>
          <w:p w14:paraId="746848BE">
            <w:pPr>
              <w:jc w:val="center"/>
              <w:rPr>
                <w:highlight w:val="none"/>
                <w:vertAlign w:val="baseline"/>
              </w:rPr>
            </w:pPr>
          </w:p>
        </w:tc>
      </w:tr>
      <w:tr w14:paraId="357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2D55A4FE">
            <w:pPr>
              <w:jc w:val="center"/>
              <w:rPr>
                <w:rFonts w:hint="eastAsia" w:eastAsia="宋体"/>
                <w:highlight w:val="none"/>
                <w:vertAlign w:val="baseline"/>
                <w:lang w:val="en-US" w:eastAsia="zh-CN"/>
              </w:rPr>
            </w:pPr>
            <w:r>
              <w:rPr>
                <w:rFonts w:hint="eastAsia"/>
                <w:highlight w:val="none"/>
                <w:vertAlign w:val="baseline"/>
                <w:lang w:val="en-US" w:eastAsia="zh-CN"/>
              </w:rPr>
              <w:t>3</w:t>
            </w:r>
          </w:p>
        </w:tc>
        <w:tc>
          <w:tcPr>
            <w:tcW w:w="1800" w:type="dxa"/>
          </w:tcPr>
          <w:p w14:paraId="4E9DA122">
            <w:pPr>
              <w:jc w:val="center"/>
              <w:rPr>
                <w:highlight w:val="none"/>
                <w:vertAlign w:val="baseline"/>
              </w:rPr>
            </w:pPr>
          </w:p>
        </w:tc>
        <w:tc>
          <w:tcPr>
            <w:tcW w:w="1320" w:type="dxa"/>
          </w:tcPr>
          <w:p w14:paraId="76B017FE">
            <w:pPr>
              <w:jc w:val="center"/>
              <w:rPr>
                <w:highlight w:val="none"/>
                <w:vertAlign w:val="baseline"/>
              </w:rPr>
            </w:pPr>
          </w:p>
        </w:tc>
        <w:tc>
          <w:tcPr>
            <w:tcW w:w="1875" w:type="dxa"/>
          </w:tcPr>
          <w:p w14:paraId="3DFB726C">
            <w:pPr>
              <w:jc w:val="center"/>
              <w:rPr>
                <w:highlight w:val="none"/>
                <w:vertAlign w:val="baseline"/>
              </w:rPr>
            </w:pPr>
          </w:p>
        </w:tc>
        <w:tc>
          <w:tcPr>
            <w:tcW w:w="2659" w:type="dxa"/>
          </w:tcPr>
          <w:p w14:paraId="16436D2A">
            <w:pPr>
              <w:jc w:val="center"/>
              <w:rPr>
                <w:highlight w:val="none"/>
                <w:vertAlign w:val="baseline"/>
              </w:rPr>
            </w:pPr>
          </w:p>
        </w:tc>
      </w:tr>
      <w:tr w14:paraId="3498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0E24E7A">
            <w:pPr>
              <w:jc w:val="center"/>
              <w:rPr>
                <w:rFonts w:hint="eastAsia" w:eastAsia="宋体"/>
                <w:highlight w:val="none"/>
                <w:vertAlign w:val="baseline"/>
                <w:lang w:val="en-US" w:eastAsia="zh-CN"/>
              </w:rPr>
            </w:pPr>
            <w:r>
              <w:rPr>
                <w:rFonts w:hint="eastAsia"/>
                <w:highlight w:val="none"/>
                <w:vertAlign w:val="baseline"/>
                <w:lang w:val="en-US" w:eastAsia="zh-CN"/>
              </w:rPr>
              <w:t>4</w:t>
            </w:r>
          </w:p>
        </w:tc>
        <w:tc>
          <w:tcPr>
            <w:tcW w:w="1800" w:type="dxa"/>
          </w:tcPr>
          <w:p w14:paraId="4ADCD944">
            <w:pPr>
              <w:jc w:val="center"/>
              <w:rPr>
                <w:highlight w:val="none"/>
                <w:vertAlign w:val="baseline"/>
              </w:rPr>
            </w:pPr>
          </w:p>
        </w:tc>
        <w:tc>
          <w:tcPr>
            <w:tcW w:w="1320" w:type="dxa"/>
          </w:tcPr>
          <w:p w14:paraId="45917E14">
            <w:pPr>
              <w:jc w:val="center"/>
              <w:rPr>
                <w:highlight w:val="none"/>
                <w:vertAlign w:val="baseline"/>
              </w:rPr>
            </w:pPr>
          </w:p>
        </w:tc>
        <w:tc>
          <w:tcPr>
            <w:tcW w:w="1875" w:type="dxa"/>
          </w:tcPr>
          <w:p w14:paraId="0A979B92">
            <w:pPr>
              <w:jc w:val="center"/>
              <w:rPr>
                <w:highlight w:val="none"/>
                <w:vertAlign w:val="baseline"/>
              </w:rPr>
            </w:pPr>
          </w:p>
        </w:tc>
        <w:tc>
          <w:tcPr>
            <w:tcW w:w="2659" w:type="dxa"/>
          </w:tcPr>
          <w:p w14:paraId="2BECB632">
            <w:pPr>
              <w:jc w:val="center"/>
              <w:rPr>
                <w:highlight w:val="none"/>
                <w:vertAlign w:val="baseline"/>
              </w:rPr>
            </w:pPr>
          </w:p>
        </w:tc>
      </w:tr>
      <w:tr w14:paraId="7800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14:paraId="5DF5B4B2">
            <w:pPr>
              <w:jc w:val="center"/>
              <w:rPr>
                <w:rFonts w:hint="eastAsia" w:eastAsia="宋体"/>
                <w:highlight w:val="none"/>
                <w:vertAlign w:val="baseline"/>
                <w:lang w:val="en-US" w:eastAsia="zh-CN"/>
              </w:rPr>
            </w:pPr>
            <w:r>
              <w:rPr>
                <w:rFonts w:hint="eastAsia"/>
                <w:highlight w:val="none"/>
                <w:vertAlign w:val="baseline"/>
                <w:lang w:val="en-US" w:eastAsia="zh-CN"/>
              </w:rPr>
              <w:t>……</w:t>
            </w:r>
          </w:p>
        </w:tc>
        <w:tc>
          <w:tcPr>
            <w:tcW w:w="1800" w:type="dxa"/>
          </w:tcPr>
          <w:p w14:paraId="2A3E7C8E">
            <w:pPr>
              <w:jc w:val="center"/>
              <w:rPr>
                <w:highlight w:val="none"/>
                <w:vertAlign w:val="baseline"/>
              </w:rPr>
            </w:pPr>
            <w:r>
              <w:rPr>
                <w:rFonts w:hint="eastAsia"/>
                <w:highlight w:val="none"/>
                <w:vertAlign w:val="baseline"/>
                <w:lang w:val="en-US" w:eastAsia="zh-CN"/>
              </w:rPr>
              <w:t>……</w:t>
            </w:r>
          </w:p>
        </w:tc>
        <w:tc>
          <w:tcPr>
            <w:tcW w:w="1320" w:type="dxa"/>
          </w:tcPr>
          <w:p w14:paraId="6D8FBA09">
            <w:pPr>
              <w:jc w:val="center"/>
              <w:rPr>
                <w:highlight w:val="none"/>
                <w:vertAlign w:val="baseline"/>
              </w:rPr>
            </w:pPr>
          </w:p>
        </w:tc>
        <w:tc>
          <w:tcPr>
            <w:tcW w:w="1875" w:type="dxa"/>
          </w:tcPr>
          <w:p w14:paraId="026A3613">
            <w:pPr>
              <w:jc w:val="center"/>
              <w:rPr>
                <w:highlight w:val="none"/>
                <w:vertAlign w:val="baseline"/>
              </w:rPr>
            </w:pPr>
          </w:p>
        </w:tc>
        <w:tc>
          <w:tcPr>
            <w:tcW w:w="2659" w:type="dxa"/>
          </w:tcPr>
          <w:p w14:paraId="56BC3B28">
            <w:pPr>
              <w:jc w:val="center"/>
              <w:rPr>
                <w:highlight w:val="none"/>
                <w:vertAlign w:val="baseline"/>
              </w:rPr>
            </w:pPr>
          </w:p>
        </w:tc>
      </w:tr>
    </w:tbl>
    <w:p w14:paraId="1612D0C7">
      <w:pPr>
        <w:spacing w:line="360" w:lineRule="auto"/>
        <w:ind w:left="420" w:hanging="420" w:hangingChars="200"/>
        <w:rPr>
          <w:rFonts w:ascii="宋体" w:hAnsi="宋体" w:cs="宋体"/>
          <w:highlight w:val="none"/>
        </w:rPr>
      </w:pPr>
      <w:r>
        <w:rPr>
          <w:rFonts w:hint="eastAsia" w:ascii="宋体" w:hAnsi="宋体" w:cs="宋体"/>
          <w:highlight w:val="none"/>
        </w:rPr>
        <w:t>注：1.本表只作为</w:t>
      </w:r>
      <w:r>
        <w:rPr>
          <w:rFonts w:hint="eastAsia" w:ascii="宋体" w:hAnsi="宋体" w:cs="宋体"/>
          <w:highlight w:val="none"/>
          <w:lang w:val="en-US" w:eastAsia="zh-CN"/>
        </w:rPr>
        <w:t>参选</w:t>
      </w:r>
      <w:r>
        <w:rPr>
          <w:rFonts w:hint="eastAsia" w:ascii="宋体" w:hAnsi="宋体" w:cs="宋体"/>
          <w:highlight w:val="none"/>
        </w:rPr>
        <w:t>人参考使用，具体格式可根据实际情况自行调整，但内容应按</w:t>
      </w:r>
      <w:r>
        <w:rPr>
          <w:rFonts w:hint="eastAsia" w:ascii="宋体" w:hAnsi="宋体" w:cs="宋体"/>
          <w:highlight w:val="none"/>
          <w:lang w:val="en-US" w:eastAsia="zh-CN"/>
        </w:rPr>
        <w:t>比选</w:t>
      </w:r>
      <w:r>
        <w:rPr>
          <w:rFonts w:hint="eastAsia" w:ascii="宋体" w:hAnsi="宋体" w:cs="宋体"/>
          <w:highlight w:val="none"/>
        </w:rPr>
        <w:t>文件人员要求架构配置；</w:t>
      </w:r>
    </w:p>
    <w:p w14:paraId="4FE8AD83">
      <w:pPr>
        <w:numPr>
          <w:ilvl w:val="0"/>
          <w:numId w:val="0"/>
        </w:numPr>
        <w:spacing w:line="360" w:lineRule="auto"/>
        <w:ind w:leftChars="208"/>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“……”位置由投标人自行填写，本页可续表；</w:t>
      </w:r>
    </w:p>
    <w:p w14:paraId="1F371849">
      <w:pPr>
        <w:numPr>
          <w:ilvl w:val="0"/>
          <w:numId w:val="0"/>
        </w:numPr>
        <w:spacing w:line="360" w:lineRule="auto"/>
        <w:ind w:leftChars="208"/>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本表后须附项目组成员资质证书复印件。</w:t>
      </w:r>
    </w:p>
    <w:p w14:paraId="27071337">
      <w:pPr>
        <w:rPr>
          <w:highlight w:val="none"/>
        </w:rPr>
      </w:pPr>
      <w:r>
        <w:rPr>
          <w:highlight w:val="none"/>
        </w:rPr>
        <w:br w:type="page"/>
      </w:r>
    </w:p>
    <w:p w14:paraId="7D294E59">
      <w:pPr>
        <w:pStyle w:val="2"/>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七</w:t>
      </w:r>
      <w:r>
        <w:rPr>
          <w:rFonts w:hint="eastAsia" w:ascii="宋体" w:hAnsi="宋体" w:eastAsia="宋体" w:cs="宋体"/>
          <w:highlight w:val="none"/>
        </w:rPr>
        <w:t xml:space="preserve"> </w:t>
      </w:r>
      <w:r>
        <w:rPr>
          <w:rFonts w:hint="eastAsia" w:ascii="宋体" w:hAnsi="宋体" w:eastAsia="宋体" w:cs="宋体"/>
          <w:highlight w:val="none"/>
          <w:lang w:val="en-US" w:eastAsia="zh-CN"/>
        </w:rPr>
        <w:t>企业信用评价</w:t>
      </w:r>
    </w:p>
    <w:p w14:paraId="788E2466">
      <w:pPr>
        <w:jc w:val="center"/>
        <w:rPr>
          <w:highlight w:val="none"/>
        </w:rPr>
      </w:pPr>
      <w:r>
        <w:rPr>
          <w:rFonts w:hint="eastAsia" w:ascii="宋体" w:hAnsi="宋体" w:eastAsia="宋体" w:cs="宋体"/>
          <w:b/>
          <w:bCs/>
          <w:highlight w:val="none"/>
          <w:lang w:val="en-US" w:eastAsia="zh-CN"/>
        </w:rPr>
        <w:t>格式自拟</w:t>
      </w:r>
    </w:p>
    <w:bookmarkEnd w:id="258"/>
    <w:p w14:paraId="78E09664">
      <w:pPr>
        <w:pageBreakBefore w:val="0"/>
        <w:kinsoku/>
        <w:overflowPunct/>
        <w:bidi w:val="0"/>
        <w:spacing w:line="360" w:lineRule="auto"/>
        <w:ind w:right="-101" w:rightChars="-48"/>
        <w:rPr>
          <w:highlight w:val="none"/>
        </w:rPr>
      </w:pPr>
      <w:bookmarkStart w:id="280" w:name="_Toc25682"/>
      <w:bookmarkStart w:id="281" w:name="_Toc6591"/>
      <w:bookmarkStart w:id="282" w:name="_Toc31900"/>
      <w:bookmarkStart w:id="283" w:name="_Toc14751"/>
      <w:bookmarkStart w:id="284" w:name="_Toc30809"/>
      <w:bookmarkStart w:id="285" w:name="_Toc18321"/>
      <w:bookmarkStart w:id="286" w:name="_Toc27914"/>
      <w:bookmarkStart w:id="287" w:name="_Toc12365_WPSOffice_Level2"/>
      <w:bookmarkStart w:id="288" w:name="_Toc15329"/>
      <w:bookmarkStart w:id="289" w:name="_Toc7696"/>
    </w:p>
    <w:p w14:paraId="20543122">
      <w:pPr>
        <w:pStyle w:val="2"/>
        <w:pageBreakBefore w:val="0"/>
        <w:kinsoku/>
        <w:overflowPunct/>
        <w:bidi w:val="0"/>
        <w:spacing w:line="360" w:lineRule="auto"/>
        <w:ind w:right="-101" w:rightChars="-48"/>
        <w:rPr>
          <w:highlight w:val="none"/>
        </w:rPr>
        <w:sectPr>
          <w:pgSz w:w="11905" w:h="16838"/>
          <w:pgMar w:top="1440" w:right="1803" w:bottom="1440" w:left="1803" w:header="850" w:footer="992" w:gutter="0"/>
          <w:cols w:space="720" w:num="1"/>
          <w:docGrid w:type="lines" w:linePitch="331" w:charSpace="0"/>
        </w:sectPr>
      </w:pPr>
    </w:p>
    <w:bookmarkEnd w:id="280"/>
    <w:bookmarkEnd w:id="281"/>
    <w:bookmarkEnd w:id="282"/>
    <w:bookmarkEnd w:id="283"/>
    <w:bookmarkEnd w:id="284"/>
    <w:bookmarkEnd w:id="285"/>
    <w:bookmarkEnd w:id="286"/>
    <w:bookmarkEnd w:id="287"/>
    <w:bookmarkEnd w:id="288"/>
    <w:bookmarkEnd w:id="289"/>
    <w:p w14:paraId="04E5F616">
      <w:pPr>
        <w:pageBreakBefore w:val="0"/>
        <w:kinsoku/>
        <w:overflowPunct/>
        <w:bidi w:val="0"/>
        <w:spacing w:line="360" w:lineRule="auto"/>
        <w:ind w:right="-101" w:rightChars="-48"/>
        <w:jc w:val="center"/>
        <w:rPr>
          <w:b/>
          <w:bCs/>
          <w:highlight w:val="none"/>
        </w:rPr>
      </w:pPr>
      <w:r>
        <w:rPr>
          <w:rFonts w:hint="eastAsia" w:ascii="宋体" w:hAnsi="宋体" w:cs="宋体"/>
          <w:sz w:val="44"/>
          <w:szCs w:val="44"/>
          <w:highlight w:val="none"/>
        </w:rPr>
        <w:t>技术部分</w:t>
      </w:r>
    </w:p>
    <w:p w14:paraId="505E5399">
      <w:pPr>
        <w:pageBreakBefore w:val="0"/>
        <w:kinsoku/>
        <w:overflowPunct/>
        <w:bidi w:val="0"/>
        <w:spacing w:line="360" w:lineRule="auto"/>
        <w:ind w:right="-101" w:rightChars="-48"/>
        <w:rPr>
          <w:b/>
          <w:bCs/>
          <w:highlight w:val="none"/>
        </w:rPr>
      </w:pPr>
      <w:r>
        <w:rPr>
          <w:b/>
          <w:bCs/>
          <w:highlight w:val="none"/>
        </w:rPr>
        <w:t>技术</w:t>
      </w:r>
      <w:r>
        <w:rPr>
          <w:rFonts w:hint="eastAsia"/>
          <w:b/>
          <w:bCs/>
          <w:highlight w:val="none"/>
        </w:rPr>
        <w:t>参选文件</w:t>
      </w:r>
      <w:r>
        <w:rPr>
          <w:b/>
          <w:bCs/>
          <w:highlight w:val="none"/>
        </w:rPr>
        <w:t>无规定排版格式，由</w:t>
      </w:r>
      <w:r>
        <w:rPr>
          <w:rFonts w:hint="eastAsia"/>
          <w:b/>
          <w:bCs/>
          <w:highlight w:val="none"/>
        </w:rPr>
        <w:t>参选人</w:t>
      </w:r>
      <w:r>
        <w:rPr>
          <w:b/>
          <w:bCs/>
          <w:highlight w:val="none"/>
        </w:rPr>
        <w:t>自拟，但相关制作要求按</w:t>
      </w:r>
      <w:r>
        <w:rPr>
          <w:rFonts w:hint="eastAsia"/>
          <w:b/>
          <w:bCs/>
          <w:highlight w:val="none"/>
        </w:rPr>
        <w:t>比选文件</w:t>
      </w:r>
      <w:r>
        <w:rPr>
          <w:b/>
          <w:bCs/>
          <w:highlight w:val="none"/>
        </w:rPr>
        <w:t>具体条款执行。</w:t>
      </w:r>
    </w:p>
    <w:p w14:paraId="1ABDF41E">
      <w:pPr>
        <w:pStyle w:val="2"/>
        <w:pageBreakBefore w:val="0"/>
        <w:kinsoku/>
        <w:overflowPunct/>
        <w:bidi w:val="0"/>
        <w:spacing w:line="360" w:lineRule="auto"/>
        <w:ind w:right="-101" w:rightChars="-48"/>
        <w:rPr>
          <w:highlight w:val="none"/>
        </w:rPr>
        <w:sectPr>
          <w:footerReference r:id="rId8" w:type="default"/>
          <w:pgSz w:w="11905" w:h="16838"/>
          <w:pgMar w:top="1440" w:right="1803" w:bottom="1440" w:left="1803" w:header="850" w:footer="992" w:gutter="0"/>
          <w:cols w:space="720" w:num="1"/>
          <w:docGrid w:type="lines" w:linePitch="331" w:charSpace="0"/>
        </w:sectPr>
      </w:pPr>
    </w:p>
    <w:p w14:paraId="12C11201">
      <w:pPr>
        <w:pStyle w:val="2"/>
        <w:pageBreakBefore w:val="0"/>
        <w:kinsoku/>
        <w:overflowPunct/>
        <w:bidi w:val="0"/>
        <w:spacing w:before="0" w:after="0" w:line="360" w:lineRule="auto"/>
        <w:ind w:right="-101" w:rightChars="-48"/>
        <w:jc w:val="center"/>
        <w:rPr>
          <w:rFonts w:ascii="宋体" w:hAnsi="宋体" w:eastAsia="宋体" w:cs="宋体"/>
          <w:highlight w:val="none"/>
        </w:rPr>
      </w:pPr>
      <w:bookmarkStart w:id="290" w:name="_Toc2344"/>
      <w:bookmarkStart w:id="291" w:name="_Toc32222"/>
      <w:bookmarkStart w:id="292" w:name="_Toc2384"/>
      <w:bookmarkStart w:id="293" w:name="_Toc1013"/>
      <w:bookmarkStart w:id="294" w:name="_Toc25174"/>
      <w:bookmarkStart w:id="295" w:name="_Toc12471"/>
      <w:bookmarkStart w:id="296" w:name="_Toc27313"/>
      <w:bookmarkStart w:id="297" w:name="_Toc13787"/>
      <w:bookmarkStart w:id="298" w:name="_Toc4072"/>
      <w:bookmarkStart w:id="299" w:name="_Toc22240"/>
      <w:bookmarkStart w:id="300" w:name="_Toc14282"/>
      <w:bookmarkStart w:id="301" w:name="_Toc3277"/>
      <w:r>
        <w:rPr>
          <w:rFonts w:hint="eastAsia" w:ascii="宋体" w:hAnsi="宋体" w:eastAsia="宋体" w:cs="宋体"/>
          <w:sz w:val="44"/>
          <w:szCs w:val="44"/>
          <w:highlight w:val="none"/>
        </w:rPr>
        <w:t>报价部分</w:t>
      </w:r>
    </w:p>
    <w:p w14:paraId="20862CC4">
      <w:pPr>
        <w:pStyle w:val="2"/>
        <w:pageBreakBefore w:val="0"/>
        <w:kinsoku/>
        <w:overflowPunct/>
        <w:bidi w:val="0"/>
        <w:spacing w:before="0" w:after="0" w:line="360" w:lineRule="auto"/>
        <w:ind w:right="-101" w:rightChars="-48"/>
        <w:jc w:val="center"/>
        <w:rPr>
          <w:rFonts w:hint="default" w:ascii="宋体" w:hAnsi="宋体" w:eastAsia="宋体" w:cs="宋体"/>
          <w:highlight w:val="none"/>
          <w:lang w:val="en-US" w:eastAsia="zh-CN"/>
        </w:rPr>
      </w:pPr>
      <w:r>
        <w:rPr>
          <w:rFonts w:hint="eastAsia" w:ascii="宋体" w:hAnsi="宋体" w:eastAsia="宋体" w:cs="宋体"/>
          <w:highlight w:val="none"/>
        </w:rPr>
        <w:t>参选报价表</w:t>
      </w:r>
    </w:p>
    <w:tbl>
      <w:tblPr>
        <w:tblStyle w:val="36"/>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103CC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01726346">
            <w:pPr>
              <w:pStyle w:val="17"/>
              <w:pageBreakBefore w:val="0"/>
              <w:kinsoku/>
              <w:overflowPunct/>
              <w:bidi w:val="0"/>
              <w:spacing w:line="360" w:lineRule="auto"/>
              <w:ind w:left="0" w:right="-101" w:rightChars="-48"/>
              <w:jc w:val="center"/>
              <w:rPr>
                <w:rFonts w:hint="eastAsia" w:ascii="宋体" w:hAnsi="宋体" w:eastAsia="宋体" w:cs="宋体"/>
                <w:bCs/>
                <w:kern w:val="2"/>
                <w:sz w:val="21"/>
                <w:szCs w:val="24"/>
                <w:highlight w:val="none"/>
                <w:lang w:val="en-US" w:eastAsia="zh-CN"/>
              </w:rPr>
            </w:pPr>
            <w:r>
              <w:rPr>
                <w:rFonts w:hint="eastAsia" w:ascii="宋体" w:hAnsi="宋体" w:eastAsia="宋体" w:cs="宋体"/>
                <w:bCs/>
                <w:kern w:val="2"/>
                <w:sz w:val="21"/>
                <w:szCs w:val="24"/>
                <w:highlight w:val="none"/>
              </w:rPr>
              <w:t>参选报价</w:t>
            </w:r>
            <w:r>
              <w:rPr>
                <w:rFonts w:hint="eastAsia" w:ascii="宋体" w:hAnsi="宋体" w:eastAsia="宋体" w:cs="宋体"/>
                <w:bCs/>
                <w:kern w:val="2"/>
                <w:sz w:val="21"/>
                <w:szCs w:val="24"/>
                <w:highlight w:val="none"/>
                <w:lang w:val="en-US" w:eastAsia="zh-CN"/>
              </w:rPr>
              <w:t>系数</w:t>
            </w:r>
          </w:p>
          <w:p w14:paraId="3C2CE66E">
            <w:pPr>
              <w:pStyle w:val="17"/>
              <w:pageBreakBefore w:val="0"/>
              <w:kinsoku/>
              <w:overflowPunct/>
              <w:bidi w:val="0"/>
              <w:spacing w:line="360" w:lineRule="auto"/>
              <w:ind w:left="0" w:right="-101" w:rightChars="-48"/>
              <w:jc w:val="center"/>
              <w:rPr>
                <w:rFonts w:ascii="宋体" w:hAnsi="宋体" w:eastAsia="宋体" w:cs="宋体"/>
                <w:bCs/>
                <w:kern w:val="2"/>
                <w:sz w:val="21"/>
                <w:szCs w:val="24"/>
                <w:highlight w:val="none"/>
              </w:rPr>
            </w:pPr>
            <w:r>
              <w:rPr>
                <w:rFonts w:hint="eastAsia" w:ascii="宋体" w:hAnsi="宋体" w:eastAsia="宋体" w:cs="宋体"/>
                <w:bCs/>
                <w:kern w:val="2"/>
                <w:sz w:val="21"/>
                <w:szCs w:val="24"/>
                <w:highlight w:val="none"/>
              </w:rPr>
              <w:t>(0＜报价系数必须≤0.6)</w:t>
            </w:r>
          </w:p>
        </w:tc>
        <w:tc>
          <w:tcPr>
            <w:tcW w:w="4895" w:type="dxa"/>
            <w:vAlign w:val="center"/>
          </w:tcPr>
          <w:p w14:paraId="052483C9">
            <w:pPr>
              <w:pStyle w:val="17"/>
              <w:pageBreakBefore w:val="0"/>
              <w:kinsoku/>
              <w:overflowPunct/>
              <w:bidi w:val="0"/>
              <w:spacing w:line="360" w:lineRule="auto"/>
              <w:ind w:left="0" w:right="-101" w:rightChars="-48"/>
              <w:jc w:val="center"/>
              <w:rPr>
                <w:rFonts w:ascii="宋体" w:hAnsi="宋体" w:cs="宋体"/>
                <w:bCs/>
                <w:szCs w:val="21"/>
                <w:highlight w:val="none"/>
              </w:rPr>
            </w:pPr>
          </w:p>
        </w:tc>
      </w:tr>
      <w:tr w14:paraId="46F17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51BD5D91">
            <w:pPr>
              <w:pStyle w:val="17"/>
              <w:pageBreakBefore w:val="0"/>
              <w:kinsoku/>
              <w:overflowPunct/>
              <w:bidi w:val="0"/>
              <w:spacing w:line="360" w:lineRule="auto"/>
              <w:ind w:left="0" w:right="-101" w:rightChars="-48"/>
              <w:jc w:val="center"/>
              <w:rPr>
                <w:rFonts w:ascii="宋体" w:hAnsi="宋体" w:eastAsia="宋体" w:cs="宋体"/>
                <w:bCs/>
                <w:kern w:val="2"/>
                <w:sz w:val="21"/>
                <w:szCs w:val="24"/>
                <w:highlight w:val="none"/>
              </w:rPr>
            </w:pPr>
            <w:r>
              <w:rPr>
                <w:rFonts w:hint="eastAsia" w:ascii="宋体" w:hAnsi="宋体" w:eastAsia="宋体" w:cs="宋体"/>
                <w:bCs/>
                <w:kern w:val="2"/>
                <w:sz w:val="21"/>
                <w:szCs w:val="24"/>
                <w:highlight w:val="none"/>
              </w:rPr>
              <w:t>税率（%）</w:t>
            </w:r>
          </w:p>
        </w:tc>
        <w:tc>
          <w:tcPr>
            <w:tcW w:w="4895" w:type="dxa"/>
            <w:vAlign w:val="center"/>
          </w:tcPr>
          <w:p w14:paraId="611DF7CF">
            <w:pPr>
              <w:pStyle w:val="17"/>
              <w:pageBreakBefore w:val="0"/>
              <w:kinsoku/>
              <w:overflowPunct/>
              <w:bidi w:val="0"/>
              <w:spacing w:line="360" w:lineRule="auto"/>
              <w:ind w:left="0" w:right="-101" w:rightChars="-48"/>
              <w:jc w:val="center"/>
              <w:rPr>
                <w:rFonts w:ascii="宋体" w:hAnsi="宋体" w:cs="宋体"/>
                <w:bCs/>
                <w:szCs w:val="21"/>
                <w:highlight w:val="none"/>
              </w:rPr>
            </w:pPr>
          </w:p>
        </w:tc>
      </w:tr>
      <w:tr w14:paraId="58B6E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vAlign w:val="center"/>
          </w:tcPr>
          <w:p w14:paraId="243323F0">
            <w:pPr>
              <w:pageBreakBefore w:val="0"/>
              <w:widowControl/>
              <w:kinsoku/>
              <w:overflowPunct/>
              <w:bidi w:val="0"/>
              <w:spacing w:line="360" w:lineRule="auto"/>
              <w:ind w:right="-101" w:rightChars="-48"/>
              <w:jc w:val="center"/>
              <w:textAlignment w:val="center"/>
              <w:rPr>
                <w:rFonts w:ascii="宋体" w:hAnsi="宋体" w:cs="宋体"/>
                <w:highlight w:val="none"/>
              </w:rPr>
            </w:pPr>
            <w:r>
              <w:rPr>
                <w:rFonts w:hint="eastAsia" w:ascii="宋体" w:hAnsi="宋体" w:cs="宋体"/>
                <w:bCs/>
                <w:highlight w:val="none"/>
              </w:rPr>
              <w:t>备注</w:t>
            </w:r>
          </w:p>
        </w:tc>
        <w:tc>
          <w:tcPr>
            <w:tcW w:w="4895" w:type="dxa"/>
            <w:vAlign w:val="center"/>
          </w:tcPr>
          <w:p w14:paraId="72941B5F">
            <w:pPr>
              <w:pageBreakBefore w:val="0"/>
              <w:kinsoku/>
              <w:overflowPunct/>
              <w:bidi w:val="0"/>
              <w:spacing w:line="360" w:lineRule="auto"/>
              <w:ind w:right="-101" w:rightChars="-48"/>
              <w:jc w:val="center"/>
              <w:rPr>
                <w:rFonts w:ascii="宋体" w:hAnsi="宋体" w:cs="宋体"/>
                <w:highlight w:val="none"/>
              </w:rPr>
            </w:pPr>
          </w:p>
        </w:tc>
      </w:tr>
    </w:tbl>
    <w:p w14:paraId="62567D39">
      <w:pPr>
        <w:pageBreakBefore w:val="0"/>
        <w:tabs>
          <w:tab w:val="left" w:pos="5362"/>
        </w:tabs>
        <w:kinsoku/>
        <w:overflowPunct/>
        <w:bidi w:val="0"/>
        <w:spacing w:line="360" w:lineRule="auto"/>
        <w:ind w:left="658" w:right="-101" w:rightChars="-48" w:hanging="658" w:hangingChars="312"/>
        <w:rPr>
          <w:rFonts w:ascii="宋体" w:hAnsi="宋体" w:cs="宋体"/>
          <w:b/>
          <w:bCs/>
          <w:highlight w:val="none"/>
        </w:rPr>
      </w:pPr>
      <w:r>
        <w:rPr>
          <w:rFonts w:hint="eastAsia" w:ascii="宋体" w:hAnsi="宋体" w:cs="宋体"/>
          <w:b/>
          <w:bCs/>
          <w:highlight w:val="none"/>
        </w:rPr>
        <w:t>注：1.本表包括了参选人的全部工作内容及其费用；</w:t>
      </w:r>
    </w:p>
    <w:p w14:paraId="58DF4DEC">
      <w:pPr>
        <w:pageBreakBefore w:val="0"/>
        <w:numPr>
          <w:ilvl w:val="0"/>
          <w:numId w:val="3"/>
        </w:numPr>
        <w:kinsoku/>
        <w:overflowPunct/>
        <w:bidi w:val="0"/>
        <w:spacing w:line="360" w:lineRule="auto"/>
        <w:ind w:right="-101" w:rightChars="-48" w:firstLine="441"/>
        <w:rPr>
          <w:rFonts w:ascii="宋体" w:hAnsi="宋体" w:cs="宋体"/>
          <w:b/>
          <w:bCs/>
          <w:highlight w:val="none"/>
        </w:rPr>
      </w:pPr>
      <w:r>
        <w:rPr>
          <w:rFonts w:hint="eastAsia" w:ascii="宋体" w:hAnsi="宋体" w:cs="宋体"/>
          <w:b/>
          <w:bCs/>
          <w:highlight w:val="none"/>
        </w:rPr>
        <w:t>参选报价</w:t>
      </w:r>
      <w:r>
        <w:rPr>
          <w:rFonts w:hint="eastAsia" w:ascii="宋体" w:hAnsi="宋体" w:cs="宋体"/>
          <w:b/>
          <w:bCs/>
          <w:highlight w:val="none"/>
          <w:lang w:val="en-US" w:eastAsia="zh-CN"/>
        </w:rPr>
        <w:t>系数</w:t>
      </w:r>
      <w:r>
        <w:rPr>
          <w:rFonts w:hint="eastAsia" w:ascii="宋体" w:hAnsi="宋体" w:cs="宋体"/>
          <w:b/>
          <w:bCs/>
          <w:highlight w:val="none"/>
        </w:rPr>
        <w:t>不得高于</w:t>
      </w:r>
      <w:r>
        <w:rPr>
          <w:rFonts w:hint="eastAsia" w:ascii="宋体" w:hAnsi="宋体" w:cs="宋体"/>
          <w:b/>
          <w:bCs/>
          <w:highlight w:val="none"/>
          <w:lang w:val="en-US" w:eastAsia="zh-CN"/>
        </w:rPr>
        <w:t>0.6</w:t>
      </w:r>
      <w:r>
        <w:rPr>
          <w:rFonts w:hint="eastAsia" w:ascii="宋体" w:hAnsi="宋体" w:cs="宋体"/>
          <w:b/>
          <w:bCs/>
          <w:highlight w:val="none"/>
        </w:rPr>
        <w:t>，否则参选文件按废标处理</w:t>
      </w:r>
      <w:r>
        <w:rPr>
          <w:rFonts w:hint="eastAsia" w:ascii="宋体" w:hAnsi="宋体" w:cs="宋体"/>
          <w:b/>
          <w:bCs/>
          <w:highlight w:val="none"/>
          <w:lang w:eastAsia="zh-CN"/>
        </w:rPr>
        <w:t>；</w:t>
      </w:r>
    </w:p>
    <w:p w14:paraId="2A0C4869">
      <w:pPr>
        <w:pageBreakBefore w:val="0"/>
        <w:numPr>
          <w:ilvl w:val="0"/>
          <w:numId w:val="3"/>
        </w:numPr>
        <w:kinsoku/>
        <w:overflowPunct/>
        <w:bidi w:val="0"/>
        <w:spacing w:line="360" w:lineRule="auto"/>
        <w:ind w:right="-101" w:rightChars="-48" w:firstLine="441"/>
        <w:rPr>
          <w:rFonts w:ascii="宋体" w:hAnsi="宋体" w:cs="宋体"/>
          <w:b/>
          <w:bCs/>
          <w:highlight w:val="none"/>
        </w:rPr>
      </w:pPr>
      <w:r>
        <w:rPr>
          <w:rFonts w:hint="eastAsia" w:ascii="宋体" w:hAnsi="宋体" w:cs="宋体"/>
          <w:b/>
          <w:bCs/>
          <w:highlight w:val="none"/>
          <w:u w:val="single"/>
          <w:lang w:val="en-US" w:eastAsia="zh-CN"/>
        </w:rPr>
        <w:t>比选人将</w:t>
      </w:r>
      <w:r>
        <w:rPr>
          <w:rFonts w:hint="eastAsia" w:ascii="宋体" w:hAnsi="宋体" w:cs="宋体"/>
          <w:b/>
          <w:bCs/>
          <w:szCs w:val="21"/>
          <w:highlight w:val="none"/>
          <w:u w:val="single"/>
          <w:lang w:val="en-US" w:eastAsia="zh-CN"/>
        </w:rPr>
        <w:t>以最终入围的三家服务单位的报价系数中最低的报价系数作为所有中选服务单位的最终报价系数签订合同。</w:t>
      </w:r>
    </w:p>
    <w:p w14:paraId="311E4F0B">
      <w:pPr>
        <w:pageBreakBefore w:val="0"/>
        <w:kinsoku/>
        <w:overflowPunct/>
        <w:bidi w:val="0"/>
        <w:spacing w:line="360" w:lineRule="auto"/>
        <w:ind w:right="-101" w:rightChars="-48"/>
        <w:rPr>
          <w:rFonts w:ascii="宋体" w:hAnsi="宋体" w:cs="宋体"/>
          <w:highlight w:val="none"/>
        </w:rPr>
      </w:pPr>
      <w:r>
        <w:rPr>
          <w:rFonts w:hint="eastAsia" w:ascii="宋体" w:hAnsi="宋体" w:cs="宋体"/>
          <w:highlight w:val="none"/>
        </w:rPr>
        <w:t xml:space="preserve">   </w:t>
      </w:r>
    </w:p>
    <w:p w14:paraId="4BF681AD">
      <w:pPr>
        <w:pageBreakBefore w:val="0"/>
        <w:kinsoku/>
        <w:overflowPunct/>
        <w:bidi w:val="0"/>
        <w:spacing w:line="360" w:lineRule="auto"/>
        <w:ind w:right="-101" w:rightChars="-48"/>
        <w:rPr>
          <w:rFonts w:ascii="宋体" w:hAnsi="宋体" w:cs="宋体"/>
          <w:highlight w:val="none"/>
        </w:rPr>
      </w:pPr>
    </w:p>
    <w:p w14:paraId="3F1F11D0">
      <w:pPr>
        <w:pageBreakBefore w:val="0"/>
        <w:kinsoku/>
        <w:overflowPunct/>
        <w:bidi w:val="0"/>
        <w:spacing w:line="360" w:lineRule="auto"/>
        <w:ind w:right="-101" w:rightChars="-48" w:firstLine="403" w:firstLineChars="192"/>
        <w:jc w:val="right"/>
        <w:rPr>
          <w:rFonts w:ascii="宋体" w:hAnsi="宋体" w:cs="宋体"/>
          <w:highlight w:val="none"/>
          <w:u w:val="single"/>
        </w:rPr>
      </w:pPr>
      <w:r>
        <w:rPr>
          <w:rFonts w:hint="eastAsia" w:ascii="宋体" w:hAnsi="宋体" w:cs="宋体"/>
          <w:highlight w:val="none"/>
        </w:rPr>
        <w:t xml:space="preserve">    参选人：</w:t>
      </w:r>
      <w:r>
        <w:rPr>
          <w:rFonts w:hint="eastAsia" w:ascii="宋体" w:hAnsi="宋体" w:cs="宋体"/>
          <w:highlight w:val="none"/>
          <w:u w:val="single"/>
        </w:rPr>
        <w:t xml:space="preserve">                      （盖章） </w:t>
      </w:r>
    </w:p>
    <w:p w14:paraId="027C9038">
      <w:pPr>
        <w:pageBreakBefore w:val="0"/>
        <w:kinsoku/>
        <w:overflowPunct/>
        <w:bidi w:val="0"/>
        <w:spacing w:line="360" w:lineRule="auto"/>
        <w:ind w:right="-101" w:rightChars="-48" w:firstLine="403" w:firstLineChars="192"/>
        <w:jc w:val="right"/>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u w:val="single"/>
        </w:rPr>
        <w:t>（签字或盖章）</w:t>
      </w:r>
    </w:p>
    <w:p w14:paraId="048BF5E8">
      <w:pPr>
        <w:pageBreakBefore w:val="0"/>
        <w:kinsoku/>
        <w:overflowPunct/>
        <w:bidi w:val="0"/>
        <w:spacing w:line="360" w:lineRule="auto"/>
        <w:ind w:right="-101" w:rightChars="-48" w:firstLine="420" w:firstLineChars="200"/>
        <w:jc w:val="right"/>
        <w:rPr>
          <w:rFonts w:ascii="宋体" w:hAnsi="宋体" w:cs="宋体"/>
          <w:highlight w:val="none"/>
        </w:r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bookmarkEnd w:id="290"/>
      <w:bookmarkEnd w:id="291"/>
      <w:bookmarkEnd w:id="292"/>
      <w:bookmarkEnd w:id="293"/>
      <w:bookmarkEnd w:id="294"/>
      <w:bookmarkEnd w:id="295"/>
      <w:bookmarkEnd w:id="296"/>
      <w:bookmarkEnd w:id="297"/>
      <w:bookmarkEnd w:id="298"/>
      <w:bookmarkEnd w:id="299"/>
      <w:bookmarkEnd w:id="300"/>
      <w:bookmarkEnd w:id="301"/>
    </w:p>
    <w:p w14:paraId="4971AA22">
      <w:pPr>
        <w:pStyle w:val="78"/>
        <w:pageBreakBefore w:val="0"/>
        <w:kinsoku/>
        <w:overflowPunct/>
        <w:bidi w:val="0"/>
        <w:spacing w:line="360" w:lineRule="auto"/>
        <w:ind w:right="-101" w:rightChars="-48"/>
        <w:rPr>
          <w:highlight w:val="none"/>
          <w:lang w:eastAsia="zh-CN"/>
        </w:rPr>
      </w:pPr>
    </w:p>
    <w:sectPr>
      <w:footerReference r:id="rId9" w:type="default"/>
      <w:pgSz w:w="11905" w:h="16838"/>
      <w:pgMar w:top="1440" w:right="1803" w:bottom="1440" w:left="1803" w:header="850" w:footer="992"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新字海-粗楷">
    <w:altName w:val="宋体"/>
    <w:panose1 w:val="00000000000000000000"/>
    <w:charset w:val="88"/>
    <w:family w:val="auto"/>
    <w:pitch w:val="default"/>
    <w:sig w:usb0="00000000" w:usb1="00000000" w:usb2="00000010" w:usb3="00000000" w:csb0="00100000" w:csb1="00000000"/>
  </w:font>
  <w:font w:name="PMingLiU">
    <w:altName w:val="PMingLiU-ExtB"/>
    <w:panose1 w:val="02020500000000000000"/>
    <w:charset w:val="88"/>
    <w:family w:val="auto"/>
    <w:pitch w:val="default"/>
    <w:sig w:usb0="00000000" w:usb1="00000000" w:usb2="00000016" w:usb3="00000000" w:csb0="001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367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1CED">
    <w:pPr>
      <w:pStyle w:val="2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93827E">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7393827E">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CD60">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809FE1">
                          <w:pPr>
                            <w:pStyle w:val="23"/>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0TRk8QBAACQAwAADgAAAAAAAAABACAAAAAeAQAAZHJzL2Uyb0RvYy54bWxQ&#10;SwUGAAAAAAYABgBZAQAAVAUAAAAA&#10;">
              <v:fill on="f" focussize="0,0"/>
              <v:stroke on="f"/>
              <v:imagedata o:title=""/>
              <o:lock v:ext="edit" aspectratio="f"/>
              <v:textbox inset="0mm,0mm,0mm,0mm" style="mso-fit-shape-to-text:t;">
                <w:txbxContent>
                  <w:p w14:paraId="6B809FE1">
                    <w:pPr>
                      <w:pStyle w:val="2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9DF0">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7144A">
                          <w:pPr>
                            <w:pStyle w:val="23"/>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14:paraId="7497144A">
                    <w:pPr>
                      <w:pStyle w:val="2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24ED">
    <w:pPr>
      <w:pStyle w:val="2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7492E">
                          <w:pPr>
                            <w:pStyle w:val="23"/>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3PYsUBAACQ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jtz2LFAQAAkAMAAA4AAAAAAAAAAQAgAAAAHgEAAGRycy9lMm9Eb2MueG1s&#10;UEsFBgAAAAAGAAYAWQEAAFUFAAAAAA==&#10;">
              <v:fill on="f" focussize="0,0"/>
              <v:stroke on="f"/>
              <v:imagedata o:title=""/>
              <o:lock v:ext="edit" aspectratio="f"/>
              <v:textbox inset="0mm,0mm,0mm,0mm" style="mso-fit-shape-to-text:t;">
                <w:txbxContent>
                  <w:p w14:paraId="3AB7492E">
                    <w:pPr>
                      <w:pStyle w:val="2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1C15">
    <w:pPr>
      <w:pStyle w:val="23"/>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492B2">
                          <w:pPr>
                            <w:pStyle w:val="2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S+nsUBAACQ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5Uvp7FAQAAkAMAAA4AAAAAAAAAAQAgAAAAHgEAAGRycy9lMm9Eb2MueG1s&#10;UEsFBgAAAAAGAAYAWQEAAFUFAAAAAA==&#10;">
              <v:fill on="f" focussize="0,0"/>
              <v:stroke on="f"/>
              <v:imagedata o:title=""/>
              <o:lock v:ext="edit" aspectratio="f"/>
              <v:textbox inset="0mm,0mm,0mm,0mm" style="mso-fit-shape-to-text:t;">
                <w:txbxContent>
                  <w:p w14:paraId="3C8492B2">
                    <w:pPr>
                      <w:pStyle w:val="2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B211">
    <w:pPr>
      <w:pStyle w:val="25"/>
      <w:pBdr>
        <w:bottom w:val="none" w:color="auto" w:sz="0" w:space="1"/>
      </w:pBdr>
      <w:jc w:val="left"/>
      <w:rPr>
        <w:rFonts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D2A08"/>
    <w:multiLevelType w:val="singleLevel"/>
    <w:tmpl w:val="C71D2A08"/>
    <w:lvl w:ilvl="0" w:tentative="0">
      <w:start w:val="3"/>
      <w:numFmt w:val="decimal"/>
      <w:suff w:val="nothing"/>
      <w:lvlText w:val="%1、"/>
      <w:lvlJc w:val="left"/>
    </w:lvl>
  </w:abstractNum>
  <w:abstractNum w:abstractNumId="1">
    <w:nsid w:val="38DA3F37"/>
    <w:multiLevelType w:val="multilevel"/>
    <w:tmpl w:val="38DA3F37"/>
    <w:lvl w:ilvl="0" w:tentative="0">
      <w:start w:val="1"/>
      <w:numFmt w:val="bullet"/>
      <w:pStyle w:val="152"/>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59AA9837"/>
    <w:multiLevelType w:val="singleLevel"/>
    <w:tmpl w:val="59AA9837"/>
    <w:lvl w:ilvl="0" w:tentative="0">
      <w:start w:val="2"/>
      <w:numFmt w:val="decimal"/>
      <w:suff w:val="nothing"/>
      <w:lvlText w:val="%1."/>
      <w:lvlJc w:val="left"/>
      <w:pPr>
        <w:ind w:left="-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GQ4M2UwODQ5ZTZhYjc0YjkwOGNjZTJhOTAwMWIifQ=="/>
  </w:docVars>
  <w:rsids>
    <w:rsidRoot w:val="0066708D"/>
    <w:rsid w:val="00000546"/>
    <w:rsid w:val="00000AB2"/>
    <w:rsid w:val="00002A9B"/>
    <w:rsid w:val="0000474E"/>
    <w:rsid w:val="000065AF"/>
    <w:rsid w:val="000103FA"/>
    <w:rsid w:val="000144B7"/>
    <w:rsid w:val="00015136"/>
    <w:rsid w:val="00015ECD"/>
    <w:rsid w:val="000176B2"/>
    <w:rsid w:val="0001787A"/>
    <w:rsid w:val="000179C2"/>
    <w:rsid w:val="000207EA"/>
    <w:rsid w:val="00020819"/>
    <w:rsid w:val="0002112A"/>
    <w:rsid w:val="00021B3F"/>
    <w:rsid w:val="0002219B"/>
    <w:rsid w:val="0002458D"/>
    <w:rsid w:val="0002533A"/>
    <w:rsid w:val="0002708D"/>
    <w:rsid w:val="000274F9"/>
    <w:rsid w:val="000277CD"/>
    <w:rsid w:val="000313D7"/>
    <w:rsid w:val="00031AD6"/>
    <w:rsid w:val="00033FA3"/>
    <w:rsid w:val="00034346"/>
    <w:rsid w:val="000356E5"/>
    <w:rsid w:val="00036F7E"/>
    <w:rsid w:val="00040669"/>
    <w:rsid w:val="00040AC9"/>
    <w:rsid w:val="000431E3"/>
    <w:rsid w:val="0004496E"/>
    <w:rsid w:val="00044ADE"/>
    <w:rsid w:val="00045858"/>
    <w:rsid w:val="00046E7F"/>
    <w:rsid w:val="00053E7A"/>
    <w:rsid w:val="0005583D"/>
    <w:rsid w:val="00056741"/>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1396"/>
    <w:rsid w:val="00082843"/>
    <w:rsid w:val="00082CBF"/>
    <w:rsid w:val="000839F1"/>
    <w:rsid w:val="00084DE0"/>
    <w:rsid w:val="00085157"/>
    <w:rsid w:val="00085D79"/>
    <w:rsid w:val="00085F63"/>
    <w:rsid w:val="000860FE"/>
    <w:rsid w:val="0008766A"/>
    <w:rsid w:val="00090915"/>
    <w:rsid w:val="0009490F"/>
    <w:rsid w:val="00094B87"/>
    <w:rsid w:val="00096BFB"/>
    <w:rsid w:val="00097BCB"/>
    <w:rsid w:val="000A096A"/>
    <w:rsid w:val="000A0EF7"/>
    <w:rsid w:val="000A0EF8"/>
    <w:rsid w:val="000A15A0"/>
    <w:rsid w:val="000A2563"/>
    <w:rsid w:val="000A3F28"/>
    <w:rsid w:val="000A5187"/>
    <w:rsid w:val="000A6761"/>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9ED"/>
    <w:rsid w:val="00102AE0"/>
    <w:rsid w:val="00104F7C"/>
    <w:rsid w:val="001053C5"/>
    <w:rsid w:val="0010712E"/>
    <w:rsid w:val="001072DB"/>
    <w:rsid w:val="00107435"/>
    <w:rsid w:val="00114978"/>
    <w:rsid w:val="00114F16"/>
    <w:rsid w:val="001178DB"/>
    <w:rsid w:val="00117E6F"/>
    <w:rsid w:val="00125B3D"/>
    <w:rsid w:val="00126CE9"/>
    <w:rsid w:val="00130180"/>
    <w:rsid w:val="00131BEC"/>
    <w:rsid w:val="0013301F"/>
    <w:rsid w:val="0013336A"/>
    <w:rsid w:val="00133842"/>
    <w:rsid w:val="00133A76"/>
    <w:rsid w:val="00134655"/>
    <w:rsid w:val="0013596A"/>
    <w:rsid w:val="00135ACB"/>
    <w:rsid w:val="00135FAC"/>
    <w:rsid w:val="001363E8"/>
    <w:rsid w:val="0013686A"/>
    <w:rsid w:val="00142F1A"/>
    <w:rsid w:val="001462E0"/>
    <w:rsid w:val="00146479"/>
    <w:rsid w:val="00146643"/>
    <w:rsid w:val="00147766"/>
    <w:rsid w:val="0015206F"/>
    <w:rsid w:val="00152826"/>
    <w:rsid w:val="001546EC"/>
    <w:rsid w:val="00154AF5"/>
    <w:rsid w:val="0015612C"/>
    <w:rsid w:val="00156E3A"/>
    <w:rsid w:val="00157D64"/>
    <w:rsid w:val="001608D5"/>
    <w:rsid w:val="00161A82"/>
    <w:rsid w:val="00164509"/>
    <w:rsid w:val="001655B9"/>
    <w:rsid w:val="00166316"/>
    <w:rsid w:val="001665AB"/>
    <w:rsid w:val="0016728C"/>
    <w:rsid w:val="001702F5"/>
    <w:rsid w:val="001703A3"/>
    <w:rsid w:val="00170B76"/>
    <w:rsid w:val="00172460"/>
    <w:rsid w:val="0017324A"/>
    <w:rsid w:val="001745FF"/>
    <w:rsid w:val="001748AC"/>
    <w:rsid w:val="0017497C"/>
    <w:rsid w:val="001770E3"/>
    <w:rsid w:val="00177438"/>
    <w:rsid w:val="001814CA"/>
    <w:rsid w:val="00181911"/>
    <w:rsid w:val="001820D2"/>
    <w:rsid w:val="001838FE"/>
    <w:rsid w:val="00183A3A"/>
    <w:rsid w:val="00184AD9"/>
    <w:rsid w:val="00184AF5"/>
    <w:rsid w:val="00185828"/>
    <w:rsid w:val="00186126"/>
    <w:rsid w:val="00186DF5"/>
    <w:rsid w:val="001875B3"/>
    <w:rsid w:val="0019058C"/>
    <w:rsid w:val="00192A38"/>
    <w:rsid w:val="0019303E"/>
    <w:rsid w:val="00193F84"/>
    <w:rsid w:val="0019554C"/>
    <w:rsid w:val="0019566E"/>
    <w:rsid w:val="00195BE1"/>
    <w:rsid w:val="001964AF"/>
    <w:rsid w:val="001964E7"/>
    <w:rsid w:val="00197A98"/>
    <w:rsid w:val="001A0707"/>
    <w:rsid w:val="001A14DF"/>
    <w:rsid w:val="001A2111"/>
    <w:rsid w:val="001A51B7"/>
    <w:rsid w:val="001A6DDB"/>
    <w:rsid w:val="001A7B4C"/>
    <w:rsid w:val="001A7BFE"/>
    <w:rsid w:val="001B4291"/>
    <w:rsid w:val="001B56B0"/>
    <w:rsid w:val="001B6C7A"/>
    <w:rsid w:val="001B7843"/>
    <w:rsid w:val="001B7F42"/>
    <w:rsid w:val="001C0AC4"/>
    <w:rsid w:val="001C20B6"/>
    <w:rsid w:val="001C3F14"/>
    <w:rsid w:val="001C3F6B"/>
    <w:rsid w:val="001C78FA"/>
    <w:rsid w:val="001D0D3C"/>
    <w:rsid w:val="001D3142"/>
    <w:rsid w:val="001D4B9A"/>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466D"/>
    <w:rsid w:val="001F72DB"/>
    <w:rsid w:val="00202420"/>
    <w:rsid w:val="002034E3"/>
    <w:rsid w:val="00203EB0"/>
    <w:rsid w:val="00204064"/>
    <w:rsid w:val="002044CF"/>
    <w:rsid w:val="00204BAB"/>
    <w:rsid w:val="00207F66"/>
    <w:rsid w:val="0021700A"/>
    <w:rsid w:val="00217736"/>
    <w:rsid w:val="002238CD"/>
    <w:rsid w:val="00224912"/>
    <w:rsid w:val="00224A02"/>
    <w:rsid w:val="00225ED7"/>
    <w:rsid w:val="00227B1A"/>
    <w:rsid w:val="002304ED"/>
    <w:rsid w:val="00230F76"/>
    <w:rsid w:val="002323C9"/>
    <w:rsid w:val="0023372A"/>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29D6"/>
    <w:rsid w:val="00256976"/>
    <w:rsid w:val="002574B8"/>
    <w:rsid w:val="00260643"/>
    <w:rsid w:val="002625F8"/>
    <w:rsid w:val="002629C0"/>
    <w:rsid w:val="002630CD"/>
    <w:rsid w:val="0026343B"/>
    <w:rsid w:val="00263FB2"/>
    <w:rsid w:val="002642D6"/>
    <w:rsid w:val="0026460E"/>
    <w:rsid w:val="00264FD3"/>
    <w:rsid w:val="00266095"/>
    <w:rsid w:val="00266382"/>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A775D"/>
    <w:rsid w:val="002B0137"/>
    <w:rsid w:val="002B03B1"/>
    <w:rsid w:val="002B405E"/>
    <w:rsid w:val="002B4B4F"/>
    <w:rsid w:val="002B4D77"/>
    <w:rsid w:val="002B4F8A"/>
    <w:rsid w:val="002B6197"/>
    <w:rsid w:val="002B766C"/>
    <w:rsid w:val="002B7DA4"/>
    <w:rsid w:val="002C16D8"/>
    <w:rsid w:val="002C170D"/>
    <w:rsid w:val="002C1F75"/>
    <w:rsid w:val="002C27CB"/>
    <w:rsid w:val="002C34AA"/>
    <w:rsid w:val="002C7464"/>
    <w:rsid w:val="002D039C"/>
    <w:rsid w:val="002D0AED"/>
    <w:rsid w:val="002D123F"/>
    <w:rsid w:val="002D24FF"/>
    <w:rsid w:val="002D32C5"/>
    <w:rsid w:val="002D3D9A"/>
    <w:rsid w:val="002D3DCF"/>
    <w:rsid w:val="002D4AAB"/>
    <w:rsid w:val="002D5706"/>
    <w:rsid w:val="002D64F0"/>
    <w:rsid w:val="002D6AE9"/>
    <w:rsid w:val="002D71CE"/>
    <w:rsid w:val="002D7415"/>
    <w:rsid w:val="002E0187"/>
    <w:rsid w:val="002E0D30"/>
    <w:rsid w:val="002E11B4"/>
    <w:rsid w:val="002E396A"/>
    <w:rsid w:val="002E4D12"/>
    <w:rsid w:val="002E5DDE"/>
    <w:rsid w:val="002E6A31"/>
    <w:rsid w:val="002E6B1F"/>
    <w:rsid w:val="002E6E72"/>
    <w:rsid w:val="002E72F4"/>
    <w:rsid w:val="002E76B3"/>
    <w:rsid w:val="002E7808"/>
    <w:rsid w:val="002E7FB0"/>
    <w:rsid w:val="002F0578"/>
    <w:rsid w:val="002F1659"/>
    <w:rsid w:val="002F1FA7"/>
    <w:rsid w:val="002F354E"/>
    <w:rsid w:val="002F3654"/>
    <w:rsid w:val="002F3A00"/>
    <w:rsid w:val="002F4C7F"/>
    <w:rsid w:val="002F61AE"/>
    <w:rsid w:val="002F7741"/>
    <w:rsid w:val="002F7B80"/>
    <w:rsid w:val="002F7E83"/>
    <w:rsid w:val="003016F6"/>
    <w:rsid w:val="003017D8"/>
    <w:rsid w:val="003017F0"/>
    <w:rsid w:val="00301958"/>
    <w:rsid w:val="00303B8F"/>
    <w:rsid w:val="003045D9"/>
    <w:rsid w:val="00304E4E"/>
    <w:rsid w:val="00304FA6"/>
    <w:rsid w:val="00305686"/>
    <w:rsid w:val="00305B5A"/>
    <w:rsid w:val="00310857"/>
    <w:rsid w:val="00314C91"/>
    <w:rsid w:val="00317F41"/>
    <w:rsid w:val="00321C1B"/>
    <w:rsid w:val="00323C57"/>
    <w:rsid w:val="00323F5E"/>
    <w:rsid w:val="00325DFB"/>
    <w:rsid w:val="00326695"/>
    <w:rsid w:val="00326724"/>
    <w:rsid w:val="00326CD4"/>
    <w:rsid w:val="0032783F"/>
    <w:rsid w:val="00327AA9"/>
    <w:rsid w:val="00327EF8"/>
    <w:rsid w:val="0033346D"/>
    <w:rsid w:val="00333C74"/>
    <w:rsid w:val="00333F95"/>
    <w:rsid w:val="003373C4"/>
    <w:rsid w:val="00337EE6"/>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F5B"/>
    <w:rsid w:val="00362FAE"/>
    <w:rsid w:val="00363883"/>
    <w:rsid w:val="003653F1"/>
    <w:rsid w:val="00365C15"/>
    <w:rsid w:val="00365F0A"/>
    <w:rsid w:val="00367EC3"/>
    <w:rsid w:val="00370716"/>
    <w:rsid w:val="003717BE"/>
    <w:rsid w:val="00371CFC"/>
    <w:rsid w:val="00373C45"/>
    <w:rsid w:val="00374DC8"/>
    <w:rsid w:val="00374EDA"/>
    <w:rsid w:val="00375586"/>
    <w:rsid w:val="00376496"/>
    <w:rsid w:val="00376828"/>
    <w:rsid w:val="003777AF"/>
    <w:rsid w:val="00377F76"/>
    <w:rsid w:val="00380270"/>
    <w:rsid w:val="00381EDB"/>
    <w:rsid w:val="003821DE"/>
    <w:rsid w:val="0038377B"/>
    <w:rsid w:val="003838D5"/>
    <w:rsid w:val="003847D6"/>
    <w:rsid w:val="00386C3E"/>
    <w:rsid w:val="0038781F"/>
    <w:rsid w:val="00387E64"/>
    <w:rsid w:val="003926C9"/>
    <w:rsid w:val="00392F35"/>
    <w:rsid w:val="00393422"/>
    <w:rsid w:val="00393E36"/>
    <w:rsid w:val="0039416E"/>
    <w:rsid w:val="00394C24"/>
    <w:rsid w:val="00394C8F"/>
    <w:rsid w:val="00396451"/>
    <w:rsid w:val="00396F85"/>
    <w:rsid w:val="00397448"/>
    <w:rsid w:val="003A0212"/>
    <w:rsid w:val="003A2746"/>
    <w:rsid w:val="003A3D3D"/>
    <w:rsid w:val="003A5070"/>
    <w:rsid w:val="003A56B0"/>
    <w:rsid w:val="003B05BC"/>
    <w:rsid w:val="003B0CEC"/>
    <w:rsid w:val="003B156C"/>
    <w:rsid w:val="003B2D19"/>
    <w:rsid w:val="003B60FA"/>
    <w:rsid w:val="003B64EA"/>
    <w:rsid w:val="003C290B"/>
    <w:rsid w:val="003C7549"/>
    <w:rsid w:val="003D0404"/>
    <w:rsid w:val="003D1841"/>
    <w:rsid w:val="003D1E69"/>
    <w:rsid w:val="003E017B"/>
    <w:rsid w:val="003E154C"/>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A9D"/>
    <w:rsid w:val="00406CB3"/>
    <w:rsid w:val="00407107"/>
    <w:rsid w:val="00410143"/>
    <w:rsid w:val="004105DE"/>
    <w:rsid w:val="00410F2E"/>
    <w:rsid w:val="00412477"/>
    <w:rsid w:val="0041654F"/>
    <w:rsid w:val="004214C7"/>
    <w:rsid w:val="00421885"/>
    <w:rsid w:val="004220FE"/>
    <w:rsid w:val="004232CC"/>
    <w:rsid w:val="004307C8"/>
    <w:rsid w:val="00431D96"/>
    <w:rsid w:val="004330EC"/>
    <w:rsid w:val="004332C6"/>
    <w:rsid w:val="004368C0"/>
    <w:rsid w:val="0044040E"/>
    <w:rsid w:val="00442CC6"/>
    <w:rsid w:val="00442CE9"/>
    <w:rsid w:val="00442D73"/>
    <w:rsid w:val="00444153"/>
    <w:rsid w:val="00444FFC"/>
    <w:rsid w:val="00445426"/>
    <w:rsid w:val="0044560A"/>
    <w:rsid w:val="00446D75"/>
    <w:rsid w:val="00454344"/>
    <w:rsid w:val="00454549"/>
    <w:rsid w:val="004555B3"/>
    <w:rsid w:val="00456635"/>
    <w:rsid w:val="004575AE"/>
    <w:rsid w:val="004601C9"/>
    <w:rsid w:val="00460D8F"/>
    <w:rsid w:val="0046230E"/>
    <w:rsid w:val="0046252B"/>
    <w:rsid w:val="00462E98"/>
    <w:rsid w:val="00462FB0"/>
    <w:rsid w:val="004649C4"/>
    <w:rsid w:val="00465A2D"/>
    <w:rsid w:val="004707AA"/>
    <w:rsid w:val="00470E6C"/>
    <w:rsid w:val="004717E4"/>
    <w:rsid w:val="00472F1D"/>
    <w:rsid w:val="00473F45"/>
    <w:rsid w:val="00475BAC"/>
    <w:rsid w:val="00476D45"/>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2483"/>
    <w:rsid w:val="004A329C"/>
    <w:rsid w:val="004A35F5"/>
    <w:rsid w:val="004A4540"/>
    <w:rsid w:val="004B003C"/>
    <w:rsid w:val="004B189D"/>
    <w:rsid w:val="004B3660"/>
    <w:rsid w:val="004B3D1C"/>
    <w:rsid w:val="004B5ADC"/>
    <w:rsid w:val="004B72E4"/>
    <w:rsid w:val="004B7608"/>
    <w:rsid w:val="004B7615"/>
    <w:rsid w:val="004B7CC5"/>
    <w:rsid w:val="004B7E0F"/>
    <w:rsid w:val="004C37CF"/>
    <w:rsid w:val="004C3EEB"/>
    <w:rsid w:val="004C5199"/>
    <w:rsid w:val="004C5A46"/>
    <w:rsid w:val="004C5DEE"/>
    <w:rsid w:val="004C6799"/>
    <w:rsid w:val="004D0458"/>
    <w:rsid w:val="004D0ADB"/>
    <w:rsid w:val="004D0BAA"/>
    <w:rsid w:val="004D1B87"/>
    <w:rsid w:val="004D3D50"/>
    <w:rsid w:val="004D3F25"/>
    <w:rsid w:val="004D616D"/>
    <w:rsid w:val="004E09A2"/>
    <w:rsid w:val="004E0EC2"/>
    <w:rsid w:val="004E185D"/>
    <w:rsid w:val="004E2F92"/>
    <w:rsid w:val="004E363C"/>
    <w:rsid w:val="004E384B"/>
    <w:rsid w:val="004E5615"/>
    <w:rsid w:val="004E594D"/>
    <w:rsid w:val="004E5C26"/>
    <w:rsid w:val="004E7CDB"/>
    <w:rsid w:val="004F0FE2"/>
    <w:rsid w:val="004F3153"/>
    <w:rsid w:val="004F3C8A"/>
    <w:rsid w:val="004F420A"/>
    <w:rsid w:val="004F46A5"/>
    <w:rsid w:val="004F4ADC"/>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3196"/>
    <w:rsid w:val="00536991"/>
    <w:rsid w:val="00537500"/>
    <w:rsid w:val="00540316"/>
    <w:rsid w:val="0054065A"/>
    <w:rsid w:val="00540EB0"/>
    <w:rsid w:val="00541004"/>
    <w:rsid w:val="00541053"/>
    <w:rsid w:val="00542949"/>
    <w:rsid w:val="00542CF0"/>
    <w:rsid w:val="00546EEA"/>
    <w:rsid w:val="00547737"/>
    <w:rsid w:val="005501FD"/>
    <w:rsid w:val="0055054F"/>
    <w:rsid w:val="00556151"/>
    <w:rsid w:val="005563D1"/>
    <w:rsid w:val="00556B11"/>
    <w:rsid w:val="00556D35"/>
    <w:rsid w:val="00560B23"/>
    <w:rsid w:val="00562806"/>
    <w:rsid w:val="00562E39"/>
    <w:rsid w:val="0056489B"/>
    <w:rsid w:val="00564BF9"/>
    <w:rsid w:val="00565B7B"/>
    <w:rsid w:val="00566B4E"/>
    <w:rsid w:val="00566BF8"/>
    <w:rsid w:val="00566EE0"/>
    <w:rsid w:val="005677B2"/>
    <w:rsid w:val="0057069C"/>
    <w:rsid w:val="00580806"/>
    <w:rsid w:val="005808D7"/>
    <w:rsid w:val="00580BF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559E"/>
    <w:rsid w:val="005A6C6C"/>
    <w:rsid w:val="005A74D4"/>
    <w:rsid w:val="005A7F48"/>
    <w:rsid w:val="005B1402"/>
    <w:rsid w:val="005B1C57"/>
    <w:rsid w:val="005B3D9B"/>
    <w:rsid w:val="005B55B2"/>
    <w:rsid w:val="005C35F6"/>
    <w:rsid w:val="005C3EBE"/>
    <w:rsid w:val="005C564A"/>
    <w:rsid w:val="005C5B8F"/>
    <w:rsid w:val="005C5CFE"/>
    <w:rsid w:val="005C5D43"/>
    <w:rsid w:val="005C6048"/>
    <w:rsid w:val="005C61E3"/>
    <w:rsid w:val="005C740A"/>
    <w:rsid w:val="005C74D0"/>
    <w:rsid w:val="005C7E74"/>
    <w:rsid w:val="005D2AD8"/>
    <w:rsid w:val="005D7816"/>
    <w:rsid w:val="005D798C"/>
    <w:rsid w:val="005E2119"/>
    <w:rsid w:val="005E49A3"/>
    <w:rsid w:val="005E6BFC"/>
    <w:rsid w:val="005E6D29"/>
    <w:rsid w:val="005F1632"/>
    <w:rsid w:val="005F33F4"/>
    <w:rsid w:val="005F347B"/>
    <w:rsid w:val="005F37A7"/>
    <w:rsid w:val="005F3A1F"/>
    <w:rsid w:val="005F5C7F"/>
    <w:rsid w:val="006023B5"/>
    <w:rsid w:val="0060456C"/>
    <w:rsid w:val="006046E5"/>
    <w:rsid w:val="006055F7"/>
    <w:rsid w:val="00607679"/>
    <w:rsid w:val="00612F49"/>
    <w:rsid w:val="0061417D"/>
    <w:rsid w:val="0061547A"/>
    <w:rsid w:val="00616D1C"/>
    <w:rsid w:val="00616FD4"/>
    <w:rsid w:val="0062314C"/>
    <w:rsid w:val="0062417D"/>
    <w:rsid w:val="00625AFB"/>
    <w:rsid w:val="0062722E"/>
    <w:rsid w:val="00635E25"/>
    <w:rsid w:val="00635FBA"/>
    <w:rsid w:val="006416E6"/>
    <w:rsid w:val="00641F10"/>
    <w:rsid w:val="006426A8"/>
    <w:rsid w:val="00643D3F"/>
    <w:rsid w:val="00646AAA"/>
    <w:rsid w:val="00647082"/>
    <w:rsid w:val="00650160"/>
    <w:rsid w:val="0065076A"/>
    <w:rsid w:val="00652D87"/>
    <w:rsid w:val="00653609"/>
    <w:rsid w:val="00653742"/>
    <w:rsid w:val="006568A2"/>
    <w:rsid w:val="006568D7"/>
    <w:rsid w:val="00656CAE"/>
    <w:rsid w:val="00660839"/>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A80"/>
    <w:rsid w:val="00696431"/>
    <w:rsid w:val="00696F86"/>
    <w:rsid w:val="00697834"/>
    <w:rsid w:val="006A4770"/>
    <w:rsid w:val="006A4FB4"/>
    <w:rsid w:val="006A534B"/>
    <w:rsid w:val="006A68F1"/>
    <w:rsid w:val="006B00DC"/>
    <w:rsid w:val="006B098C"/>
    <w:rsid w:val="006B0FFF"/>
    <w:rsid w:val="006B16FF"/>
    <w:rsid w:val="006B1B1D"/>
    <w:rsid w:val="006B285C"/>
    <w:rsid w:val="006B2902"/>
    <w:rsid w:val="006B2E88"/>
    <w:rsid w:val="006B4295"/>
    <w:rsid w:val="006B66CC"/>
    <w:rsid w:val="006B7D34"/>
    <w:rsid w:val="006C2854"/>
    <w:rsid w:val="006C2923"/>
    <w:rsid w:val="006C3311"/>
    <w:rsid w:val="006C3F4E"/>
    <w:rsid w:val="006C46C9"/>
    <w:rsid w:val="006C5FB9"/>
    <w:rsid w:val="006C6CDD"/>
    <w:rsid w:val="006C6F6B"/>
    <w:rsid w:val="006C793F"/>
    <w:rsid w:val="006D5119"/>
    <w:rsid w:val="006D77B1"/>
    <w:rsid w:val="006E008F"/>
    <w:rsid w:val="006E1D37"/>
    <w:rsid w:val="006E3CC9"/>
    <w:rsid w:val="006E5648"/>
    <w:rsid w:val="006E6446"/>
    <w:rsid w:val="006E6C7E"/>
    <w:rsid w:val="006E70D0"/>
    <w:rsid w:val="006F0AFA"/>
    <w:rsid w:val="006F0E2C"/>
    <w:rsid w:val="006F1F80"/>
    <w:rsid w:val="006F33F2"/>
    <w:rsid w:val="006F58FF"/>
    <w:rsid w:val="006F7B38"/>
    <w:rsid w:val="00700097"/>
    <w:rsid w:val="00700883"/>
    <w:rsid w:val="00700BD8"/>
    <w:rsid w:val="00702D60"/>
    <w:rsid w:val="00702F14"/>
    <w:rsid w:val="0070302C"/>
    <w:rsid w:val="0070427C"/>
    <w:rsid w:val="0070429A"/>
    <w:rsid w:val="00705055"/>
    <w:rsid w:val="00706370"/>
    <w:rsid w:val="00706C55"/>
    <w:rsid w:val="0071105F"/>
    <w:rsid w:val="00711215"/>
    <w:rsid w:val="0071139A"/>
    <w:rsid w:val="0071149B"/>
    <w:rsid w:val="00713D30"/>
    <w:rsid w:val="007168E1"/>
    <w:rsid w:val="007213D7"/>
    <w:rsid w:val="007216E2"/>
    <w:rsid w:val="0072221F"/>
    <w:rsid w:val="0072334E"/>
    <w:rsid w:val="0072356B"/>
    <w:rsid w:val="00725A2F"/>
    <w:rsid w:val="0072665F"/>
    <w:rsid w:val="00727D3F"/>
    <w:rsid w:val="0073070A"/>
    <w:rsid w:val="007311C8"/>
    <w:rsid w:val="00731352"/>
    <w:rsid w:val="007314A8"/>
    <w:rsid w:val="00734E48"/>
    <w:rsid w:val="0073573A"/>
    <w:rsid w:val="00737311"/>
    <w:rsid w:val="007410B2"/>
    <w:rsid w:val="00741D87"/>
    <w:rsid w:val="00742DD5"/>
    <w:rsid w:val="00743236"/>
    <w:rsid w:val="00745800"/>
    <w:rsid w:val="0074593C"/>
    <w:rsid w:val="007477F3"/>
    <w:rsid w:val="0074797A"/>
    <w:rsid w:val="00750F81"/>
    <w:rsid w:val="007520D1"/>
    <w:rsid w:val="00752E8D"/>
    <w:rsid w:val="007565ED"/>
    <w:rsid w:val="00757B96"/>
    <w:rsid w:val="00762780"/>
    <w:rsid w:val="00762E44"/>
    <w:rsid w:val="00763193"/>
    <w:rsid w:val="00763252"/>
    <w:rsid w:val="0076338C"/>
    <w:rsid w:val="00763910"/>
    <w:rsid w:val="00764E9B"/>
    <w:rsid w:val="00765611"/>
    <w:rsid w:val="00771BB5"/>
    <w:rsid w:val="00773465"/>
    <w:rsid w:val="00773862"/>
    <w:rsid w:val="0077434F"/>
    <w:rsid w:val="007759C2"/>
    <w:rsid w:val="00776194"/>
    <w:rsid w:val="007762E8"/>
    <w:rsid w:val="00777477"/>
    <w:rsid w:val="00777947"/>
    <w:rsid w:val="00777B07"/>
    <w:rsid w:val="00777B1C"/>
    <w:rsid w:val="00782FF0"/>
    <w:rsid w:val="00783D95"/>
    <w:rsid w:val="00783F1A"/>
    <w:rsid w:val="0078439F"/>
    <w:rsid w:val="0078524A"/>
    <w:rsid w:val="00785605"/>
    <w:rsid w:val="007906DC"/>
    <w:rsid w:val="0079107F"/>
    <w:rsid w:val="007963DB"/>
    <w:rsid w:val="00796F1B"/>
    <w:rsid w:val="00797A4E"/>
    <w:rsid w:val="00797C4E"/>
    <w:rsid w:val="007A0307"/>
    <w:rsid w:val="007A043A"/>
    <w:rsid w:val="007A07BC"/>
    <w:rsid w:val="007A1CBE"/>
    <w:rsid w:val="007A5430"/>
    <w:rsid w:val="007A6E0B"/>
    <w:rsid w:val="007A70B4"/>
    <w:rsid w:val="007B048E"/>
    <w:rsid w:val="007B1A3D"/>
    <w:rsid w:val="007B20B8"/>
    <w:rsid w:val="007B297F"/>
    <w:rsid w:val="007B2B65"/>
    <w:rsid w:val="007B4062"/>
    <w:rsid w:val="007B5DEF"/>
    <w:rsid w:val="007B5F91"/>
    <w:rsid w:val="007B62C7"/>
    <w:rsid w:val="007B6697"/>
    <w:rsid w:val="007B7E0C"/>
    <w:rsid w:val="007C12D4"/>
    <w:rsid w:val="007C29A3"/>
    <w:rsid w:val="007C2CA3"/>
    <w:rsid w:val="007C3230"/>
    <w:rsid w:val="007C5A7E"/>
    <w:rsid w:val="007C60DB"/>
    <w:rsid w:val="007C6147"/>
    <w:rsid w:val="007C6C85"/>
    <w:rsid w:val="007C72FF"/>
    <w:rsid w:val="007C795E"/>
    <w:rsid w:val="007D34F2"/>
    <w:rsid w:val="007D3E13"/>
    <w:rsid w:val="007D4A85"/>
    <w:rsid w:val="007D4C90"/>
    <w:rsid w:val="007D602B"/>
    <w:rsid w:val="007D7074"/>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2E78"/>
    <w:rsid w:val="00803ED3"/>
    <w:rsid w:val="0080407B"/>
    <w:rsid w:val="00804416"/>
    <w:rsid w:val="00805157"/>
    <w:rsid w:val="00805BAE"/>
    <w:rsid w:val="00806F20"/>
    <w:rsid w:val="0080771F"/>
    <w:rsid w:val="00810010"/>
    <w:rsid w:val="008108D3"/>
    <w:rsid w:val="00810D6B"/>
    <w:rsid w:val="00811840"/>
    <w:rsid w:val="00811B41"/>
    <w:rsid w:val="00812D14"/>
    <w:rsid w:val="0081389D"/>
    <w:rsid w:val="0081484F"/>
    <w:rsid w:val="008148FE"/>
    <w:rsid w:val="00816A3D"/>
    <w:rsid w:val="00817506"/>
    <w:rsid w:val="00820BB0"/>
    <w:rsid w:val="008212A9"/>
    <w:rsid w:val="00821FB3"/>
    <w:rsid w:val="00823C06"/>
    <w:rsid w:val="00823C29"/>
    <w:rsid w:val="0082546F"/>
    <w:rsid w:val="00825AB3"/>
    <w:rsid w:val="00827110"/>
    <w:rsid w:val="008275B9"/>
    <w:rsid w:val="00831B6F"/>
    <w:rsid w:val="00831D42"/>
    <w:rsid w:val="00832700"/>
    <w:rsid w:val="00832C60"/>
    <w:rsid w:val="008343B3"/>
    <w:rsid w:val="00835A50"/>
    <w:rsid w:val="00837CF4"/>
    <w:rsid w:val="00840898"/>
    <w:rsid w:val="00843C5A"/>
    <w:rsid w:val="00844799"/>
    <w:rsid w:val="00846D75"/>
    <w:rsid w:val="00846F6D"/>
    <w:rsid w:val="0084797B"/>
    <w:rsid w:val="00851F04"/>
    <w:rsid w:val="00852A6E"/>
    <w:rsid w:val="008533C4"/>
    <w:rsid w:val="008554F5"/>
    <w:rsid w:val="00855936"/>
    <w:rsid w:val="008573EF"/>
    <w:rsid w:val="0086108F"/>
    <w:rsid w:val="00863727"/>
    <w:rsid w:val="00863B00"/>
    <w:rsid w:val="00865553"/>
    <w:rsid w:val="0087085F"/>
    <w:rsid w:val="00870AC5"/>
    <w:rsid w:val="00870CAD"/>
    <w:rsid w:val="00871C79"/>
    <w:rsid w:val="00872E8A"/>
    <w:rsid w:val="00873605"/>
    <w:rsid w:val="0087596C"/>
    <w:rsid w:val="00875F32"/>
    <w:rsid w:val="00877743"/>
    <w:rsid w:val="00880152"/>
    <w:rsid w:val="008805F5"/>
    <w:rsid w:val="0088225C"/>
    <w:rsid w:val="00882931"/>
    <w:rsid w:val="00882B19"/>
    <w:rsid w:val="00884572"/>
    <w:rsid w:val="00886375"/>
    <w:rsid w:val="00886651"/>
    <w:rsid w:val="008904E6"/>
    <w:rsid w:val="008910FD"/>
    <w:rsid w:val="008915BA"/>
    <w:rsid w:val="0089195A"/>
    <w:rsid w:val="00892730"/>
    <w:rsid w:val="008943E4"/>
    <w:rsid w:val="008950AF"/>
    <w:rsid w:val="00895120"/>
    <w:rsid w:val="008952C7"/>
    <w:rsid w:val="00895F3E"/>
    <w:rsid w:val="0089644C"/>
    <w:rsid w:val="008A1082"/>
    <w:rsid w:val="008A15B7"/>
    <w:rsid w:val="008A4388"/>
    <w:rsid w:val="008A58B2"/>
    <w:rsid w:val="008B08A9"/>
    <w:rsid w:val="008B0C26"/>
    <w:rsid w:val="008B2510"/>
    <w:rsid w:val="008B2773"/>
    <w:rsid w:val="008B4F47"/>
    <w:rsid w:val="008B585F"/>
    <w:rsid w:val="008B5BDB"/>
    <w:rsid w:val="008C3462"/>
    <w:rsid w:val="008C3483"/>
    <w:rsid w:val="008C3E28"/>
    <w:rsid w:val="008C3EEE"/>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4294"/>
    <w:rsid w:val="008E523B"/>
    <w:rsid w:val="008E5CB4"/>
    <w:rsid w:val="008E6320"/>
    <w:rsid w:val="008E6F4A"/>
    <w:rsid w:val="008F025F"/>
    <w:rsid w:val="008F0D15"/>
    <w:rsid w:val="008F0D74"/>
    <w:rsid w:val="008F124F"/>
    <w:rsid w:val="008F20DC"/>
    <w:rsid w:val="008F3ACA"/>
    <w:rsid w:val="008F56F3"/>
    <w:rsid w:val="008F68B6"/>
    <w:rsid w:val="008F7694"/>
    <w:rsid w:val="008F7D27"/>
    <w:rsid w:val="00900480"/>
    <w:rsid w:val="00900CE9"/>
    <w:rsid w:val="009018BE"/>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A92"/>
    <w:rsid w:val="00922B69"/>
    <w:rsid w:val="00923276"/>
    <w:rsid w:val="0092361F"/>
    <w:rsid w:val="00925885"/>
    <w:rsid w:val="00927D34"/>
    <w:rsid w:val="0093181C"/>
    <w:rsid w:val="009344CE"/>
    <w:rsid w:val="009353BF"/>
    <w:rsid w:val="00937DDD"/>
    <w:rsid w:val="00937EA6"/>
    <w:rsid w:val="00941ED8"/>
    <w:rsid w:val="0094299A"/>
    <w:rsid w:val="0094303A"/>
    <w:rsid w:val="009454B2"/>
    <w:rsid w:val="00946768"/>
    <w:rsid w:val="009467EF"/>
    <w:rsid w:val="00951A38"/>
    <w:rsid w:val="009531F9"/>
    <w:rsid w:val="00954AA3"/>
    <w:rsid w:val="00961AA4"/>
    <w:rsid w:val="00964C1E"/>
    <w:rsid w:val="00964C92"/>
    <w:rsid w:val="00965284"/>
    <w:rsid w:val="00966498"/>
    <w:rsid w:val="00966D34"/>
    <w:rsid w:val="00966FB5"/>
    <w:rsid w:val="00971344"/>
    <w:rsid w:val="009723AB"/>
    <w:rsid w:val="00972C5F"/>
    <w:rsid w:val="00974F8E"/>
    <w:rsid w:val="00974FC1"/>
    <w:rsid w:val="009755B9"/>
    <w:rsid w:val="00976B00"/>
    <w:rsid w:val="00976B73"/>
    <w:rsid w:val="00981FEA"/>
    <w:rsid w:val="0098378B"/>
    <w:rsid w:val="009858BF"/>
    <w:rsid w:val="009867F7"/>
    <w:rsid w:val="00992576"/>
    <w:rsid w:val="00992BAF"/>
    <w:rsid w:val="009947C7"/>
    <w:rsid w:val="0099510D"/>
    <w:rsid w:val="00995E70"/>
    <w:rsid w:val="00996823"/>
    <w:rsid w:val="00996855"/>
    <w:rsid w:val="00997EC4"/>
    <w:rsid w:val="009A2F0F"/>
    <w:rsid w:val="009A308C"/>
    <w:rsid w:val="009A633D"/>
    <w:rsid w:val="009A6849"/>
    <w:rsid w:val="009B03E3"/>
    <w:rsid w:val="009B1DB4"/>
    <w:rsid w:val="009B23D9"/>
    <w:rsid w:val="009B5005"/>
    <w:rsid w:val="009B5F3E"/>
    <w:rsid w:val="009B69AC"/>
    <w:rsid w:val="009B7476"/>
    <w:rsid w:val="009B79FA"/>
    <w:rsid w:val="009C05D9"/>
    <w:rsid w:val="009C0AAB"/>
    <w:rsid w:val="009C12B7"/>
    <w:rsid w:val="009C1650"/>
    <w:rsid w:val="009C1AC8"/>
    <w:rsid w:val="009C33B3"/>
    <w:rsid w:val="009C35CD"/>
    <w:rsid w:val="009C42B7"/>
    <w:rsid w:val="009C567D"/>
    <w:rsid w:val="009C5A64"/>
    <w:rsid w:val="009C6306"/>
    <w:rsid w:val="009C6801"/>
    <w:rsid w:val="009C6A89"/>
    <w:rsid w:val="009C6D9F"/>
    <w:rsid w:val="009C77A9"/>
    <w:rsid w:val="009D0643"/>
    <w:rsid w:val="009D07AE"/>
    <w:rsid w:val="009D190A"/>
    <w:rsid w:val="009D251F"/>
    <w:rsid w:val="009D292A"/>
    <w:rsid w:val="009D77B2"/>
    <w:rsid w:val="009E1108"/>
    <w:rsid w:val="009E3218"/>
    <w:rsid w:val="009E5668"/>
    <w:rsid w:val="009E6DB0"/>
    <w:rsid w:val="009F01E7"/>
    <w:rsid w:val="009F18DE"/>
    <w:rsid w:val="009F22B0"/>
    <w:rsid w:val="009F30C4"/>
    <w:rsid w:val="009F5ADC"/>
    <w:rsid w:val="009F63A1"/>
    <w:rsid w:val="009F6AFE"/>
    <w:rsid w:val="009F73E3"/>
    <w:rsid w:val="009F7C80"/>
    <w:rsid w:val="00A006FB"/>
    <w:rsid w:val="00A03DA7"/>
    <w:rsid w:val="00A04812"/>
    <w:rsid w:val="00A05A21"/>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03E1"/>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5405"/>
    <w:rsid w:val="00A657D6"/>
    <w:rsid w:val="00A66828"/>
    <w:rsid w:val="00A70160"/>
    <w:rsid w:val="00A71B7F"/>
    <w:rsid w:val="00A726A3"/>
    <w:rsid w:val="00A72F6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36D4"/>
    <w:rsid w:val="00A97341"/>
    <w:rsid w:val="00A97C4D"/>
    <w:rsid w:val="00AA023C"/>
    <w:rsid w:val="00AA22B9"/>
    <w:rsid w:val="00AA3276"/>
    <w:rsid w:val="00AA3A91"/>
    <w:rsid w:val="00AA46C1"/>
    <w:rsid w:val="00AA490E"/>
    <w:rsid w:val="00AA530A"/>
    <w:rsid w:val="00AA6E1C"/>
    <w:rsid w:val="00AB3627"/>
    <w:rsid w:val="00AB4205"/>
    <w:rsid w:val="00AB5B24"/>
    <w:rsid w:val="00AB7629"/>
    <w:rsid w:val="00AC0F28"/>
    <w:rsid w:val="00AC1037"/>
    <w:rsid w:val="00AC148D"/>
    <w:rsid w:val="00AC37B1"/>
    <w:rsid w:val="00AC4098"/>
    <w:rsid w:val="00AC43D6"/>
    <w:rsid w:val="00AC5DDA"/>
    <w:rsid w:val="00AC6031"/>
    <w:rsid w:val="00AC6DB0"/>
    <w:rsid w:val="00AC7518"/>
    <w:rsid w:val="00AD2B91"/>
    <w:rsid w:val="00AD3620"/>
    <w:rsid w:val="00AD3A17"/>
    <w:rsid w:val="00AD3B9A"/>
    <w:rsid w:val="00AD5070"/>
    <w:rsid w:val="00AD6644"/>
    <w:rsid w:val="00AD74C2"/>
    <w:rsid w:val="00AD7601"/>
    <w:rsid w:val="00AE0C8E"/>
    <w:rsid w:val="00AE6D5D"/>
    <w:rsid w:val="00AE7D95"/>
    <w:rsid w:val="00AF0742"/>
    <w:rsid w:val="00AF5A3C"/>
    <w:rsid w:val="00AF5A7C"/>
    <w:rsid w:val="00AF6025"/>
    <w:rsid w:val="00AF6740"/>
    <w:rsid w:val="00AF6BB8"/>
    <w:rsid w:val="00AF701D"/>
    <w:rsid w:val="00B002E2"/>
    <w:rsid w:val="00B01111"/>
    <w:rsid w:val="00B01167"/>
    <w:rsid w:val="00B01BDC"/>
    <w:rsid w:val="00B02035"/>
    <w:rsid w:val="00B0255D"/>
    <w:rsid w:val="00B02A2B"/>
    <w:rsid w:val="00B03248"/>
    <w:rsid w:val="00B06601"/>
    <w:rsid w:val="00B1092E"/>
    <w:rsid w:val="00B1163B"/>
    <w:rsid w:val="00B130E2"/>
    <w:rsid w:val="00B151DF"/>
    <w:rsid w:val="00B2065B"/>
    <w:rsid w:val="00B207AD"/>
    <w:rsid w:val="00B2098B"/>
    <w:rsid w:val="00B21DEA"/>
    <w:rsid w:val="00B23107"/>
    <w:rsid w:val="00B23429"/>
    <w:rsid w:val="00B25098"/>
    <w:rsid w:val="00B2697F"/>
    <w:rsid w:val="00B27335"/>
    <w:rsid w:val="00B300F8"/>
    <w:rsid w:val="00B3067B"/>
    <w:rsid w:val="00B3094E"/>
    <w:rsid w:val="00B3154A"/>
    <w:rsid w:val="00B31AC8"/>
    <w:rsid w:val="00B330F6"/>
    <w:rsid w:val="00B34203"/>
    <w:rsid w:val="00B34572"/>
    <w:rsid w:val="00B348F7"/>
    <w:rsid w:val="00B3507F"/>
    <w:rsid w:val="00B412F7"/>
    <w:rsid w:val="00B424DF"/>
    <w:rsid w:val="00B43AB6"/>
    <w:rsid w:val="00B43D31"/>
    <w:rsid w:val="00B441B2"/>
    <w:rsid w:val="00B443C5"/>
    <w:rsid w:val="00B4513B"/>
    <w:rsid w:val="00B451BC"/>
    <w:rsid w:val="00B463FE"/>
    <w:rsid w:val="00B50265"/>
    <w:rsid w:val="00B5107D"/>
    <w:rsid w:val="00B511A0"/>
    <w:rsid w:val="00B51284"/>
    <w:rsid w:val="00B519C5"/>
    <w:rsid w:val="00B53A07"/>
    <w:rsid w:val="00B55126"/>
    <w:rsid w:val="00B5533E"/>
    <w:rsid w:val="00B555CA"/>
    <w:rsid w:val="00B55B05"/>
    <w:rsid w:val="00B573C7"/>
    <w:rsid w:val="00B577C5"/>
    <w:rsid w:val="00B60A6F"/>
    <w:rsid w:val="00B60E4F"/>
    <w:rsid w:val="00B61197"/>
    <w:rsid w:val="00B62C59"/>
    <w:rsid w:val="00B62CFD"/>
    <w:rsid w:val="00B64334"/>
    <w:rsid w:val="00B65F94"/>
    <w:rsid w:val="00B66498"/>
    <w:rsid w:val="00B67D26"/>
    <w:rsid w:val="00B71734"/>
    <w:rsid w:val="00B71859"/>
    <w:rsid w:val="00B733AC"/>
    <w:rsid w:val="00B742A1"/>
    <w:rsid w:val="00B754DE"/>
    <w:rsid w:val="00B76806"/>
    <w:rsid w:val="00B86384"/>
    <w:rsid w:val="00B864F5"/>
    <w:rsid w:val="00B86DE2"/>
    <w:rsid w:val="00B87D27"/>
    <w:rsid w:val="00B87EC7"/>
    <w:rsid w:val="00B9038A"/>
    <w:rsid w:val="00B91592"/>
    <w:rsid w:val="00B93A32"/>
    <w:rsid w:val="00B9786C"/>
    <w:rsid w:val="00B97E68"/>
    <w:rsid w:val="00BA11CB"/>
    <w:rsid w:val="00BA2547"/>
    <w:rsid w:val="00BA382F"/>
    <w:rsid w:val="00BA52B9"/>
    <w:rsid w:val="00BA7B9E"/>
    <w:rsid w:val="00BB26FB"/>
    <w:rsid w:val="00BB26FE"/>
    <w:rsid w:val="00BB286A"/>
    <w:rsid w:val="00BB298A"/>
    <w:rsid w:val="00BB41C2"/>
    <w:rsid w:val="00BB4630"/>
    <w:rsid w:val="00BB6D60"/>
    <w:rsid w:val="00BB7976"/>
    <w:rsid w:val="00BC2066"/>
    <w:rsid w:val="00BC504B"/>
    <w:rsid w:val="00BC53E8"/>
    <w:rsid w:val="00BC6074"/>
    <w:rsid w:val="00BC6401"/>
    <w:rsid w:val="00BC7390"/>
    <w:rsid w:val="00BC786F"/>
    <w:rsid w:val="00BD0C59"/>
    <w:rsid w:val="00BD1A40"/>
    <w:rsid w:val="00BD1E43"/>
    <w:rsid w:val="00BD306F"/>
    <w:rsid w:val="00BD31AB"/>
    <w:rsid w:val="00BD34AC"/>
    <w:rsid w:val="00BD5C8D"/>
    <w:rsid w:val="00BD697C"/>
    <w:rsid w:val="00BE1695"/>
    <w:rsid w:val="00BE27F0"/>
    <w:rsid w:val="00BE302C"/>
    <w:rsid w:val="00BE5250"/>
    <w:rsid w:val="00BE5E4E"/>
    <w:rsid w:val="00BE6DA8"/>
    <w:rsid w:val="00BF024A"/>
    <w:rsid w:val="00BF17AB"/>
    <w:rsid w:val="00BF1E4F"/>
    <w:rsid w:val="00BF2D66"/>
    <w:rsid w:val="00BF2D96"/>
    <w:rsid w:val="00BF2DE0"/>
    <w:rsid w:val="00BF33D7"/>
    <w:rsid w:val="00BF7191"/>
    <w:rsid w:val="00C01A9E"/>
    <w:rsid w:val="00C01E44"/>
    <w:rsid w:val="00C04988"/>
    <w:rsid w:val="00C056A2"/>
    <w:rsid w:val="00C05CAA"/>
    <w:rsid w:val="00C10AAA"/>
    <w:rsid w:val="00C11035"/>
    <w:rsid w:val="00C11C29"/>
    <w:rsid w:val="00C16692"/>
    <w:rsid w:val="00C242EA"/>
    <w:rsid w:val="00C25BFC"/>
    <w:rsid w:val="00C25C7D"/>
    <w:rsid w:val="00C26DA3"/>
    <w:rsid w:val="00C26EC5"/>
    <w:rsid w:val="00C27ED3"/>
    <w:rsid w:val="00C32BB4"/>
    <w:rsid w:val="00C36F7B"/>
    <w:rsid w:val="00C3794E"/>
    <w:rsid w:val="00C43F02"/>
    <w:rsid w:val="00C43F07"/>
    <w:rsid w:val="00C4554E"/>
    <w:rsid w:val="00C45B3B"/>
    <w:rsid w:val="00C4702B"/>
    <w:rsid w:val="00C50161"/>
    <w:rsid w:val="00C50C09"/>
    <w:rsid w:val="00C50F73"/>
    <w:rsid w:val="00C5282F"/>
    <w:rsid w:val="00C53A06"/>
    <w:rsid w:val="00C53E85"/>
    <w:rsid w:val="00C62A66"/>
    <w:rsid w:val="00C62D7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5BF7"/>
    <w:rsid w:val="00C86D29"/>
    <w:rsid w:val="00C90BA8"/>
    <w:rsid w:val="00C92344"/>
    <w:rsid w:val="00C9248C"/>
    <w:rsid w:val="00C94B6B"/>
    <w:rsid w:val="00C94C32"/>
    <w:rsid w:val="00C97182"/>
    <w:rsid w:val="00CA22D8"/>
    <w:rsid w:val="00CA295E"/>
    <w:rsid w:val="00CA296D"/>
    <w:rsid w:val="00CA2E38"/>
    <w:rsid w:val="00CA3044"/>
    <w:rsid w:val="00CA4DEE"/>
    <w:rsid w:val="00CB1419"/>
    <w:rsid w:val="00CB166A"/>
    <w:rsid w:val="00CB4730"/>
    <w:rsid w:val="00CB54E5"/>
    <w:rsid w:val="00CB57D0"/>
    <w:rsid w:val="00CC1612"/>
    <w:rsid w:val="00CC1804"/>
    <w:rsid w:val="00CC1ADD"/>
    <w:rsid w:val="00CC2070"/>
    <w:rsid w:val="00CC26AA"/>
    <w:rsid w:val="00CC2E0D"/>
    <w:rsid w:val="00CC3D91"/>
    <w:rsid w:val="00CC61D1"/>
    <w:rsid w:val="00CD01B5"/>
    <w:rsid w:val="00CD0F30"/>
    <w:rsid w:val="00CD125A"/>
    <w:rsid w:val="00CD148C"/>
    <w:rsid w:val="00CD2F6F"/>
    <w:rsid w:val="00CD4609"/>
    <w:rsid w:val="00CD5B2D"/>
    <w:rsid w:val="00CD67CA"/>
    <w:rsid w:val="00CE001B"/>
    <w:rsid w:val="00CE0D03"/>
    <w:rsid w:val="00CE1617"/>
    <w:rsid w:val="00CE1F3D"/>
    <w:rsid w:val="00CE4680"/>
    <w:rsid w:val="00CE591C"/>
    <w:rsid w:val="00CE6D76"/>
    <w:rsid w:val="00CF03C9"/>
    <w:rsid w:val="00CF0990"/>
    <w:rsid w:val="00CF1AD6"/>
    <w:rsid w:val="00CF280E"/>
    <w:rsid w:val="00CF28FD"/>
    <w:rsid w:val="00CF3873"/>
    <w:rsid w:val="00CF5194"/>
    <w:rsid w:val="00CF5D1A"/>
    <w:rsid w:val="00CF5DBF"/>
    <w:rsid w:val="00CF7670"/>
    <w:rsid w:val="00CF7B18"/>
    <w:rsid w:val="00D0049D"/>
    <w:rsid w:val="00D03AA1"/>
    <w:rsid w:val="00D04FAB"/>
    <w:rsid w:val="00D053A6"/>
    <w:rsid w:val="00D05E72"/>
    <w:rsid w:val="00D073F4"/>
    <w:rsid w:val="00D10B75"/>
    <w:rsid w:val="00D10D13"/>
    <w:rsid w:val="00D10E13"/>
    <w:rsid w:val="00D14B22"/>
    <w:rsid w:val="00D160F3"/>
    <w:rsid w:val="00D165B6"/>
    <w:rsid w:val="00D2265D"/>
    <w:rsid w:val="00D24AAC"/>
    <w:rsid w:val="00D25D78"/>
    <w:rsid w:val="00D27410"/>
    <w:rsid w:val="00D27924"/>
    <w:rsid w:val="00D30131"/>
    <w:rsid w:val="00D3163D"/>
    <w:rsid w:val="00D317B7"/>
    <w:rsid w:val="00D32446"/>
    <w:rsid w:val="00D3274F"/>
    <w:rsid w:val="00D33076"/>
    <w:rsid w:val="00D340A1"/>
    <w:rsid w:val="00D35B14"/>
    <w:rsid w:val="00D360F7"/>
    <w:rsid w:val="00D4072A"/>
    <w:rsid w:val="00D40DE8"/>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07FC"/>
    <w:rsid w:val="00D61BA4"/>
    <w:rsid w:val="00D61F3B"/>
    <w:rsid w:val="00D62534"/>
    <w:rsid w:val="00D64622"/>
    <w:rsid w:val="00D651CA"/>
    <w:rsid w:val="00D652F7"/>
    <w:rsid w:val="00D65FAF"/>
    <w:rsid w:val="00D65FF5"/>
    <w:rsid w:val="00D667B7"/>
    <w:rsid w:val="00D67DC1"/>
    <w:rsid w:val="00D7115B"/>
    <w:rsid w:val="00D7167F"/>
    <w:rsid w:val="00D72B03"/>
    <w:rsid w:val="00D72B4C"/>
    <w:rsid w:val="00D75751"/>
    <w:rsid w:val="00D75CB1"/>
    <w:rsid w:val="00D768BD"/>
    <w:rsid w:val="00D7744C"/>
    <w:rsid w:val="00D847C8"/>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6C48"/>
    <w:rsid w:val="00DB188B"/>
    <w:rsid w:val="00DB20F7"/>
    <w:rsid w:val="00DB23EC"/>
    <w:rsid w:val="00DB31A2"/>
    <w:rsid w:val="00DB4899"/>
    <w:rsid w:val="00DB54BF"/>
    <w:rsid w:val="00DB69C5"/>
    <w:rsid w:val="00DB7E26"/>
    <w:rsid w:val="00DC048D"/>
    <w:rsid w:val="00DC085F"/>
    <w:rsid w:val="00DC193A"/>
    <w:rsid w:val="00DC2E68"/>
    <w:rsid w:val="00DC4D48"/>
    <w:rsid w:val="00DC6E4F"/>
    <w:rsid w:val="00DC7A4F"/>
    <w:rsid w:val="00DD0259"/>
    <w:rsid w:val="00DD030C"/>
    <w:rsid w:val="00DD34AD"/>
    <w:rsid w:val="00DD3FD4"/>
    <w:rsid w:val="00DD58F5"/>
    <w:rsid w:val="00DD6A3D"/>
    <w:rsid w:val="00DD6BD3"/>
    <w:rsid w:val="00DE1BE7"/>
    <w:rsid w:val="00DE3733"/>
    <w:rsid w:val="00DE38EE"/>
    <w:rsid w:val="00DE4D1C"/>
    <w:rsid w:val="00DE5425"/>
    <w:rsid w:val="00DE710B"/>
    <w:rsid w:val="00DF059A"/>
    <w:rsid w:val="00DF07A3"/>
    <w:rsid w:val="00DF2E94"/>
    <w:rsid w:val="00DF30F2"/>
    <w:rsid w:val="00DF3C53"/>
    <w:rsid w:val="00DF4990"/>
    <w:rsid w:val="00DF5516"/>
    <w:rsid w:val="00DF5D18"/>
    <w:rsid w:val="00DF63AF"/>
    <w:rsid w:val="00DF6A9E"/>
    <w:rsid w:val="00E00163"/>
    <w:rsid w:val="00E006A1"/>
    <w:rsid w:val="00E01682"/>
    <w:rsid w:val="00E01DFD"/>
    <w:rsid w:val="00E05938"/>
    <w:rsid w:val="00E05D2E"/>
    <w:rsid w:val="00E07D90"/>
    <w:rsid w:val="00E07D9B"/>
    <w:rsid w:val="00E11186"/>
    <w:rsid w:val="00E11DCC"/>
    <w:rsid w:val="00E14144"/>
    <w:rsid w:val="00E15584"/>
    <w:rsid w:val="00E1668F"/>
    <w:rsid w:val="00E17989"/>
    <w:rsid w:val="00E17A2A"/>
    <w:rsid w:val="00E17D34"/>
    <w:rsid w:val="00E201E8"/>
    <w:rsid w:val="00E20C51"/>
    <w:rsid w:val="00E2415E"/>
    <w:rsid w:val="00E241BE"/>
    <w:rsid w:val="00E27B5A"/>
    <w:rsid w:val="00E30039"/>
    <w:rsid w:val="00E30425"/>
    <w:rsid w:val="00E31335"/>
    <w:rsid w:val="00E32621"/>
    <w:rsid w:val="00E3382E"/>
    <w:rsid w:val="00E352E5"/>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61AA5"/>
    <w:rsid w:val="00E6215E"/>
    <w:rsid w:val="00E64291"/>
    <w:rsid w:val="00E66C85"/>
    <w:rsid w:val="00E66EFC"/>
    <w:rsid w:val="00E71EF5"/>
    <w:rsid w:val="00E721DF"/>
    <w:rsid w:val="00E72C1D"/>
    <w:rsid w:val="00E735B7"/>
    <w:rsid w:val="00E7415A"/>
    <w:rsid w:val="00E74241"/>
    <w:rsid w:val="00E75B35"/>
    <w:rsid w:val="00E76E60"/>
    <w:rsid w:val="00E80318"/>
    <w:rsid w:val="00E80798"/>
    <w:rsid w:val="00E82415"/>
    <w:rsid w:val="00E836CE"/>
    <w:rsid w:val="00E846E5"/>
    <w:rsid w:val="00E874A7"/>
    <w:rsid w:val="00E87BB5"/>
    <w:rsid w:val="00E91B87"/>
    <w:rsid w:val="00E92763"/>
    <w:rsid w:val="00E931B1"/>
    <w:rsid w:val="00E93B6F"/>
    <w:rsid w:val="00E93BCF"/>
    <w:rsid w:val="00E9417F"/>
    <w:rsid w:val="00E960E0"/>
    <w:rsid w:val="00E97124"/>
    <w:rsid w:val="00EA158B"/>
    <w:rsid w:val="00EA1A4B"/>
    <w:rsid w:val="00EA44E9"/>
    <w:rsid w:val="00EA6022"/>
    <w:rsid w:val="00EA6C85"/>
    <w:rsid w:val="00EA7E39"/>
    <w:rsid w:val="00EB009E"/>
    <w:rsid w:val="00EB3D4F"/>
    <w:rsid w:val="00EB43FE"/>
    <w:rsid w:val="00EB6380"/>
    <w:rsid w:val="00EB7D0B"/>
    <w:rsid w:val="00EC10A8"/>
    <w:rsid w:val="00EC121A"/>
    <w:rsid w:val="00EC12F0"/>
    <w:rsid w:val="00EC1DB9"/>
    <w:rsid w:val="00EC2698"/>
    <w:rsid w:val="00EC2CFD"/>
    <w:rsid w:val="00EC3015"/>
    <w:rsid w:val="00EC3E88"/>
    <w:rsid w:val="00EC4774"/>
    <w:rsid w:val="00EC5EF6"/>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0ABC"/>
    <w:rsid w:val="00EF16D5"/>
    <w:rsid w:val="00EF1ACD"/>
    <w:rsid w:val="00EF3975"/>
    <w:rsid w:val="00EF3A0C"/>
    <w:rsid w:val="00EF472E"/>
    <w:rsid w:val="00EF4E11"/>
    <w:rsid w:val="00F013FE"/>
    <w:rsid w:val="00F01922"/>
    <w:rsid w:val="00F03A97"/>
    <w:rsid w:val="00F03C65"/>
    <w:rsid w:val="00F045C2"/>
    <w:rsid w:val="00F0479D"/>
    <w:rsid w:val="00F05AAC"/>
    <w:rsid w:val="00F064B3"/>
    <w:rsid w:val="00F07525"/>
    <w:rsid w:val="00F07F9E"/>
    <w:rsid w:val="00F12D02"/>
    <w:rsid w:val="00F13EEE"/>
    <w:rsid w:val="00F14C02"/>
    <w:rsid w:val="00F156F2"/>
    <w:rsid w:val="00F202B9"/>
    <w:rsid w:val="00F208A7"/>
    <w:rsid w:val="00F21745"/>
    <w:rsid w:val="00F22A6D"/>
    <w:rsid w:val="00F23389"/>
    <w:rsid w:val="00F247E1"/>
    <w:rsid w:val="00F253FD"/>
    <w:rsid w:val="00F25DCF"/>
    <w:rsid w:val="00F27AD7"/>
    <w:rsid w:val="00F31F7C"/>
    <w:rsid w:val="00F3244A"/>
    <w:rsid w:val="00F32BB8"/>
    <w:rsid w:val="00F338E7"/>
    <w:rsid w:val="00F34797"/>
    <w:rsid w:val="00F35116"/>
    <w:rsid w:val="00F3582E"/>
    <w:rsid w:val="00F359F9"/>
    <w:rsid w:val="00F37699"/>
    <w:rsid w:val="00F37928"/>
    <w:rsid w:val="00F40C3A"/>
    <w:rsid w:val="00F422F4"/>
    <w:rsid w:val="00F4380F"/>
    <w:rsid w:val="00F43B51"/>
    <w:rsid w:val="00F43E18"/>
    <w:rsid w:val="00F4436B"/>
    <w:rsid w:val="00F47751"/>
    <w:rsid w:val="00F5077B"/>
    <w:rsid w:val="00F53648"/>
    <w:rsid w:val="00F5567F"/>
    <w:rsid w:val="00F56142"/>
    <w:rsid w:val="00F60E85"/>
    <w:rsid w:val="00F6142D"/>
    <w:rsid w:val="00F6226B"/>
    <w:rsid w:val="00F62354"/>
    <w:rsid w:val="00F62C06"/>
    <w:rsid w:val="00F64573"/>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70"/>
    <w:rsid w:val="00F85653"/>
    <w:rsid w:val="00F8577A"/>
    <w:rsid w:val="00F874DC"/>
    <w:rsid w:val="00F91079"/>
    <w:rsid w:val="00F92C78"/>
    <w:rsid w:val="00F934C1"/>
    <w:rsid w:val="00F93F80"/>
    <w:rsid w:val="00F94694"/>
    <w:rsid w:val="00F95226"/>
    <w:rsid w:val="00F96424"/>
    <w:rsid w:val="00F97F30"/>
    <w:rsid w:val="00FA1F06"/>
    <w:rsid w:val="00FA241B"/>
    <w:rsid w:val="00FA2E83"/>
    <w:rsid w:val="00FA317D"/>
    <w:rsid w:val="00FA4E2D"/>
    <w:rsid w:val="00FA5CDA"/>
    <w:rsid w:val="00FA69FC"/>
    <w:rsid w:val="00FA7701"/>
    <w:rsid w:val="00FB03A2"/>
    <w:rsid w:val="00FB04CD"/>
    <w:rsid w:val="00FB1776"/>
    <w:rsid w:val="00FB1943"/>
    <w:rsid w:val="00FB1E60"/>
    <w:rsid w:val="00FB2C5C"/>
    <w:rsid w:val="00FB737F"/>
    <w:rsid w:val="00FC2A7D"/>
    <w:rsid w:val="00FC6AB4"/>
    <w:rsid w:val="00FC6B87"/>
    <w:rsid w:val="00FC6EA5"/>
    <w:rsid w:val="00FD0D1E"/>
    <w:rsid w:val="00FD15BA"/>
    <w:rsid w:val="00FD42F8"/>
    <w:rsid w:val="00FD53A0"/>
    <w:rsid w:val="00FD7867"/>
    <w:rsid w:val="00FD7C91"/>
    <w:rsid w:val="00FE208A"/>
    <w:rsid w:val="00FE68A8"/>
    <w:rsid w:val="00FE6DDB"/>
    <w:rsid w:val="00FE7F3F"/>
    <w:rsid w:val="00FF0090"/>
    <w:rsid w:val="00FF0A5B"/>
    <w:rsid w:val="00FF1535"/>
    <w:rsid w:val="00FF20B4"/>
    <w:rsid w:val="00FF3207"/>
    <w:rsid w:val="00FF33F5"/>
    <w:rsid w:val="00FF3B65"/>
    <w:rsid w:val="00FF4176"/>
    <w:rsid w:val="00FF55E0"/>
    <w:rsid w:val="00FF56BA"/>
    <w:rsid w:val="00FF706A"/>
    <w:rsid w:val="0100390C"/>
    <w:rsid w:val="01017684"/>
    <w:rsid w:val="01054040"/>
    <w:rsid w:val="01087875"/>
    <w:rsid w:val="01115B19"/>
    <w:rsid w:val="0119223D"/>
    <w:rsid w:val="01321C24"/>
    <w:rsid w:val="0135375F"/>
    <w:rsid w:val="01437730"/>
    <w:rsid w:val="014A6652"/>
    <w:rsid w:val="01565C22"/>
    <w:rsid w:val="01586EC3"/>
    <w:rsid w:val="015F17F8"/>
    <w:rsid w:val="0167398B"/>
    <w:rsid w:val="01695955"/>
    <w:rsid w:val="017D43BA"/>
    <w:rsid w:val="017D6846"/>
    <w:rsid w:val="018E7169"/>
    <w:rsid w:val="01AE427A"/>
    <w:rsid w:val="01AF0E8E"/>
    <w:rsid w:val="01BF37C7"/>
    <w:rsid w:val="01DD7AA6"/>
    <w:rsid w:val="01FD7E4B"/>
    <w:rsid w:val="01FF1E15"/>
    <w:rsid w:val="020534CF"/>
    <w:rsid w:val="02290C40"/>
    <w:rsid w:val="023615AF"/>
    <w:rsid w:val="025B2DC4"/>
    <w:rsid w:val="02624152"/>
    <w:rsid w:val="02641C78"/>
    <w:rsid w:val="026E0706"/>
    <w:rsid w:val="02723F64"/>
    <w:rsid w:val="02776E50"/>
    <w:rsid w:val="02855771"/>
    <w:rsid w:val="028B38C4"/>
    <w:rsid w:val="029562D6"/>
    <w:rsid w:val="02A03A4C"/>
    <w:rsid w:val="02A7242C"/>
    <w:rsid w:val="02B341A0"/>
    <w:rsid w:val="02BB0DCB"/>
    <w:rsid w:val="02C2228F"/>
    <w:rsid w:val="02CC6AF9"/>
    <w:rsid w:val="02CF4893"/>
    <w:rsid w:val="02DB38E0"/>
    <w:rsid w:val="02E77997"/>
    <w:rsid w:val="02E828A9"/>
    <w:rsid w:val="02F65D83"/>
    <w:rsid w:val="02F84024"/>
    <w:rsid w:val="02FA710B"/>
    <w:rsid w:val="030D41CD"/>
    <w:rsid w:val="031C7036"/>
    <w:rsid w:val="03331DD0"/>
    <w:rsid w:val="0350044F"/>
    <w:rsid w:val="035809BE"/>
    <w:rsid w:val="03674822"/>
    <w:rsid w:val="03697BFD"/>
    <w:rsid w:val="03782EB8"/>
    <w:rsid w:val="039B175F"/>
    <w:rsid w:val="03CF2CE2"/>
    <w:rsid w:val="03D634DF"/>
    <w:rsid w:val="03FF7DBF"/>
    <w:rsid w:val="0400747C"/>
    <w:rsid w:val="04085103"/>
    <w:rsid w:val="040D2EE7"/>
    <w:rsid w:val="0422078D"/>
    <w:rsid w:val="042619A2"/>
    <w:rsid w:val="04394E9F"/>
    <w:rsid w:val="04471852"/>
    <w:rsid w:val="044C2EB2"/>
    <w:rsid w:val="045E610F"/>
    <w:rsid w:val="04635599"/>
    <w:rsid w:val="047A3254"/>
    <w:rsid w:val="04844854"/>
    <w:rsid w:val="04927B1C"/>
    <w:rsid w:val="04C34C3D"/>
    <w:rsid w:val="04C74740"/>
    <w:rsid w:val="04CD4B8D"/>
    <w:rsid w:val="04D01847"/>
    <w:rsid w:val="04FB714A"/>
    <w:rsid w:val="050634BB"/>
    <w:rsid w:val="05080FE1"/>
    <w:rsid w:val="051A0D14"/>
    <w:rsid w:val="05271FF5"/>
    <w:rsid w:val="0530678A"/>
    <w:rsid w:val="05483AD3"/>
    <w:rsid w:val="055A43A7"/>
    <w:rsid w:val="0565124E"/>
    <w:rsid w:val="05654AE7"/>
    <w:rsid w:val="057448C8"/>
    <w:rsid w:val="05785D0C"/>
    <w:rsid w:val="05927A85"/>
    <w:rsid w:val="05934B2F"/>
    <w:rsid w:val="05946D18"/>
    <w:rsid w:val="05972365"/>
    <w:rsid w:val="05A57FA1"/>
    <w:rsid w:val="05AD3861"/>
    <w:rsid w:val="05C11A36"/>
    <w:rsid w:val="05E358B1"/>
    <w:rsid w:val="05ED72D5"/>
    <w:rsid w:val="05F11B6D"/>
    <w:rsid w:val="05F41565"/>
    <w:rsid w:val="05FA0EFB"/>
    <w:rsid w:val="060F6837"/>
    <w:rsid w:val="061B09E7"/>
    <w:rsid w:val="061D0E3B"/>
    <w:rsid w:val="063D6CE4"/>
    <w:rsid w:val="065344DE"/>
    <w:rsid w:val="066E03D2"/>
    <w:rsid w:val="067F3525"/>
    <w:rsid w:val="0687772A"/>
    <w:rsid w:val="06A905A2"/>
    <w:rsid w:val="06A92549"/>
    <w:rsid w:val="06EB0D1B"/>
    <w:rsid w:val="06EC66E0"/>
    <w:rsid w:val="06F50112"/>
    <w:rsid w:val="070C0181"/>
    <w:rsid w:val="073D27EE"/>
    <w:rsid w:val="07484D47"/>
    <w:rsid w:val="07577003"/>
    <w:rsid w:val="075A7AEE"/>
    <w:rsid w:val="075E1FF5"/>
    <w:rsid w:val="077D7F4A"/>
    <w:rsid w:val="07866B42"/>
    <w:rsid w:val="0790552D"/>
    <w:rsid w:val="07950266"/>
    <w:rsid w:val="07954516"/>
    <w:rsid w:val="07A31495"/>
    <w:rsid w:val="07B026C9"/>
    <w:rsid w:val="07D43510"/>
    <w:rsid w:val="07F12FAF"/>
    <w:rsid w:val="07F712CB"/>
    <w:rsid w:val="0823691D"/>
    <w:rsid w:val="08363078"/>
    <w:rsid w:val="08391252"/>
    <w:rsid w:val="083A64E8"/>
    <w:rsid w:val="084B203D"/>
    <w:rsid w:val="085235CB"/>
    <w:rsid w:val="085C5C30"/>
    <w:rsid w:val="08797942"/>
    <w:rsid w:val="087F780C"/>
    <w:rsid w:val="08901A19"/>
    <w:rsid w:val="08B35707"/>
    <w:rsid w:val="08C571E9"/>
    <w:rsid w:val="08D31906"/>
    <w:rsid w:val="08DD12F0"/>
    <w:rsid w:val="08DD4446"/>
    <w:rsid w:val="08E73603"/>
    <w:rsid w:val="08E76BA3"/>
    <w:rsid w:val="08FB2E78"/>
    <w:rsid w:val="090556D8"/>
    <w:rsid w:val="09074686"/>
    <w:rsid w:val="09265893"/>
    <w:rsid w:val="092E642F"/>
    <w:rsid w:val="09354470"/>
    <w:rsid w:val="094A7332"/>
    <w:rsid w:val="094E03CE"/>
    <w:rsid w:val="095A4852"/>
    <w:rsid w:val="097430E9"/>
    <w:rsid w:val="0981271E"/>
    <w:rsid w:val="09AE3A49"/>
    <w:rsid w:val="09B63701"/>
    <w:rsid w:val="09BE25B6"/>
    <w:rsid w:val="09C63218"/>
    <w:rsid w:val="09EE0380"/>
    <w:rsid w:val="0A0A57FB"/>
    <w:rsid w:val="0A243623"/>
    <w:rsid w:val="0A364D13"/>
    <w:rsid w:val="0A3B531A"/>
    <w:rsid w:val="0A540824"/>
    <w:rsid w:val="0A54369F"/>
    <w:rsid w:val="0A620AA0"/>
    <w:rsid w:val="0A6508A6"/>
    <w:rsid w:val="0A735F3E"/>
    <w:rsid w:val="0A813D69"/>
    <w:rsid w:val="0A92134D"/>
    <w:rsid w:val="0AA01CBB"/>
    <w:rsid w:val="0AA07F0D"/>
    <w:rsid w:val="0AA70BF1"/>
    <w:rsid w:val="0AB46BD0"/>
    <w:rsid w:val="0ABE2374"/>
    <w:rsid w:val="0ACC2AB1"/>
    <w:rsid w:val="0ADF39E8"/>
    <w:rsid w:val="0AE85CD2"/>
    <w:rsid w:val="0AE94314"/>
    <w:rsid w:val="0B064214"/>
    <w:rsid w:val="0B0D6E40"/>
    <w:rsid w:val="0B0E131B"/>
    <w:rsid w:val="0B2E3169"/>
    <w:rsid w:val="0B4A640A"/>
    <w:rsid w:val="0B54368F"/>
    <w:rsid w:val="0B552AA6"/>
    <w:rsid w:val="0B556321"/>
    <w:rsid w:val="0B5F56D3"/>
    <w:rsid w:val="0B626F71"/>
    <w:rsid w:val="0B9326C3"/>
    <w:rsid w:val="0BA60F03"/>
    <w:rsid w:val="0BAB6B6A"/>
    <w:rsid w:val="0BB52366"/>
    <w:rsid w:val="0BB937A9"/>
    <w:rsid w:val="0BCE4606"/>
    <w:rsid w:val="0BCF5714"/>
    <w:rsid w:val="0C1E6732"/>
    <w:rsid w:val="0C6632C1"/>
    <w:rsid w:val="0C676F35"/>
    <w:rsid w:val="0C7E7DDA"/>
    <w:rsid w:val="0C8310F1"/>
    <w:rsid w:val="0C8721DD"/>
    <w:rsid w:val="0C8E44C1"/>
    <w:rsid w:val="0C9D2894"/>
    <w:rsid w:val="0CC22DB2"/>
    <w:rsid w:val="0CC779D3"/>
    <w:rsid w:val="0CCA634C"/>
    <w:rsid w:val="0CEB7E09"/>
    <w:rsid w:val="0CED20B9"/>
    <w:rsid w:val="0CF83115"/>
    <w:rsid w:val="0CFB6E11"/>
    <w:rsid w:val="0CFC0A99"/>
    <w:rsid w:val="0CFF0F1B"/>
    <w:rsid w:val="0D164A0E"/>
    <w:rsid w:val="0D2512B6"/>
    <w:rsid w:val="0D256504"/>
    <w:rsid w:val="0D4A2C9D"/>
    <w:rsid w:val="0D4E799C"/>
    <w:rsid w:val="0D504342"/>
    <w:rsid w:val="0D5D490F"/>
    <w:rsid w:val="0D5F3A7D"/>
    <w:rsid w:val="0D7D0092"/>
    <w:rsid w:val="0D9773A6"/>
    <w:rsid w:val="0DB65D56"/>
    <w:rsid w:val="0DD6614B"/>
    <w:rsid w:val="0DED6FC6"/>
    <w:rsid w:val="0E0B1D42"/>
    <w:rsid w:val="0E0D1416"/>
    <w:rsid w:val="0E1665FF"/>
    <w:rsid w:val="0E193821"/>
    <w:rsid w:val="0E234371"/>
    <w:rsid w:val="0E250E55"/>
    <w:rsid w:val="0E2A00DE"/>
    <w:rsid w:val="0E2B1E4A"/>
    <w:rsid w:val="0E400B70"/>
    <w:rsid w:val="0E565139"/>
    <w:rsid w:val="0E5E3797"/>
    <w:rsid w:val="0E76640F"/>
    <w:rsid w:val="0E8A515C"/>
    <w:rsid w:val="0E9022EA"/>
    <w:rsid w:val="0E947D89"/>
    <w:rsid w:val="0EA93835"/>
    <w:rsid w:val="0EAB2B6B"/>
    <w:rsid w:val="0EAC08FD"/>
    <w:rsid w:val="0EC55513"/>
    <w:rsid w:val="0ECE5A23"/>
    <w:rsid w:val="0EDE063E"/>
    <w:rsid w:val="0EE36F16"/>
    <w:rsid w:val="0EE60B7C"/>
    <w:rsid w:val="0EF95CA5"/>
    <w:rsid w:val="0F0269FA"/>
    <w:rsid w:val="0F0806AD"/>
    <w:rsid w:val="0F0C3DC3"/>
    <w:rsid w:val="0F234C69"/>
    <w:rsid w:val="0F287AEA"/>
    <w:rsid w:val="0F5F0397"/>
    <w:rsid w:val="0F670FFA"/>
    <w:rsid w:val="0F692770"/>
    <w:rsid w:val="0F6C4862"/>
    <w:rsid w:val="0F766A8F"/>
    <w:rsid w:val="0F775ED1"/>
    <w:rsid w:val="0F784FB5"/>
    <w:rsid w:val="0F846DFF"/>
    <w:rsid w:val="0FA43172"/>
    <w:rsid w:val="0FC40715"/>
    <w:rsid w:val="0FC60169"/>
    <w:rsid w:val="0FD41995"/>
    <w:rsid w:val="0FDF32F1"/>
    <w:rsid w:val="0FEB6F1B"/>
    <w:rsid w:val="0FED59A3"/>
    <w:rsid w:val="0FFB485C"/>
    <w:rsid w:val="0FFC098B"/>
    <w:rsid w:val="101B5666"/>
    <w:rsid w:val="10480E2B"/>
    <w:rsid w:val="105A46BB"/>
    <w:rsid w:val="106320E5"/>
    <w:rsid w:val="106612B1"/>
    <w:rsid w:val="108416CC"/>
    <w:rsid w:val="108654B0"/>
    <w:rsid w:val="109253E6"/>
    <w:rsid w:val="10DF2807"/>
    <w:rsid w:val="11082369"/>
    <w:rsid w:val="11083133"/>
    <w:rsid w:val="110C3C07"/>
    <w:rsid w:val="11173EC6"/>
    <w:rsid w:val="112D1D65"/>
    <w:rsid w:val="117C59F7"/>
    <w:rsid w:val="119A3908"/>
    <w:rsid w:val="11AC599A"/>
    <w:rsid w:val="11CE589C"/>
    <w:rsid w:val="11E06E41"/>
    <w:rsid w:val="12167C03"/>
    <w:rsid w:val="122E5DFF"/>
    <w:rsid w:val="125E4936"/>
    <w:rsid w:val="12647A72"/>
    <w:rsid w:val="126E269F"/>
    <w:rsid w:val="129E46CD"/>
    <w:rsid w:val="12A16D81"/>
    <w:rsid w:val="12B8367C"/>
    <w:rsid w:val="12C53A80"/>
    <w:rsid w:val="12D4230F"/>
    <w:rsid w:val="12FC7146"/>
    <w:rsid w:val="1304176A"/>
    <w:rsid w:val="130624DA"/>
    <w:rsid w:val="131248C6"/>
    <w:rsid w:val="13275128"/>
    <w:rsid w:val="13372BA8"/>
    <w:rsid w:val="133921D0"/>
    <w:rsid w:val="133D7B22"/>
    <w:rsid w:val="13426006"/>
    <w:rsid w:val="13441927"/>
    <w:rsid w:val="134A13D0"/>
    <w:rsid w:val="135F434B"/>
    <w:rsid w:val="13674B86"/>
    <w:rsid w:val="136C6BDF"/>
    <w:rsid w:val="1373376A"/>
    <w:rsid w:val="138008DC"/>
    <w:rsid w:val="138D2581"/>
    <w:rsid w:val="13923A6C"/>
    <w:rsid w:val="13C46A1B"/>
    <w:rsid w:val="13C52C06"/>
    <w:rsid w:val="13F85AEA"/>
    <w:rsid w:val="13FB79A3"/>
    <w:rsid w:val="14024B7C"/>
    <w:rsid w:val="14106A51"/>
    <w:rsid w:val="141C6857"/>
    <w:rsid w:val="142D0ACD"/>
    <w:rsid w:val="142F0B37"/>
    <w:rsid w:val="143D67CD"/>
    <w:rsid w:val="146D0D43"/>
    <w:rsid w:val="1478625E"/>
    <w:rsid w:val="14A625C4"/>
    <w:rsid w:val="14C173FE"/>
    <w:rsid w:val="14C24044"/>
    <w:rsid w:val="14CB5B87"/>
    <w:rsid w:val="14CD32B0"/>
    <w:rsid w:val="14CF6D94"/>
    <w:rsid w:val="14E73342"/>
    <w:rsid w:val="14F047E2"/>
    <w:rsid w:val="14F6096B"/>
    <w:rsid w:val="14FE7D0A"/>
    <w:rsid w:val="15127A27"/>
    <w:rsid w:val="15136329"/>
    <w:rsid w:val="151F250D"/>
    <w:rsid w:val="152B748A"/>
    <w:rsid w:val="152D4D3E"/>
    <w:rsid w:val="15463B9F"/>
    <w:rsid w:val="15634A5D"/>
    <w:rsid w:val="15665A09"/>
    <w:rsid w:val="15724254"/>
    <w:rsid w:val="157E5B3F"/>
    <w:rsid w:val="15892E91"/>
    <w:rsid w:val="158E4D7E"/>
    <w:rsid w:val="15A83D50"/>
    <w:rsid w:val="15BE4C06"/>
    <w:rsid w:val="15C02C1E"/>
    <w:rsid w:val="15C154CF"/>
    <w:rsid w:val="15D64D0B"/>
    <w:rsid w:val="15DA3B31"/>
    <w:rsid w:val="15F074B7"/>
    <w:rsid w:val="15FC5F99"/>
    <w:rsid w:val="16050CEC"/>
    <w:rsid w:val="160F751E"/>
    <w:rsid w:val="16105F47"/>
    <w:rsid w:val="161D0664"/>
    <w:rsid w:val="1623300D"/>
    <w:rsid w:val="16291FEE"/>
    <w:rsid w:val="163B09C1"/>
    <w:rsid w:val="163C048F"/>
    <w:rsid w:val="16540302"/>
    <w:rsid w:val="16691AFB"/>
    <w:rsid w:val="16736F39"/>
    <w:rsid w:val="16A03120"/>
    <w:rsid w:val="16A179A1"/>
    <w:rsid w:val="16B267AB"/>
    <w:rsid w:val="16BE59A3"/>
    <w:rsid w:val="16CA07EC"/>
    <w:rsid w:val="16CE7290"/>
    <w:rsid w:val="16DC407B"/>
    <w:rsid w:val="16F37F18"/>
    <w:rsid w:val="16F969DB"/>
    <w:rsid w:val="170757B0"/>
    <w:rsid w:val="170967A8"/>
    <w:rsid w:val="170F6452"/>
    <w:rsid w:val="17123F41"/>
    <w:rsid w:val="17474722"/>
    <w:rsid w:val="174A7368"/>
    <w:rsid w:val="17566A97"/>
    <w:rsid w:val="176651A7"/>
    <w:rsid w:val="17A54DB5"/>
    <w:rsid w:val="17B1375A"/>
    <w:rsid w:val="17B31280"/>
    <w:rsid w:val="17C92C60"/>
    <w:rsid w:val="17CF19E0"/>
    <w:rsid w:val="17E31439"/>
    <w:rsid w:val="17F43647"/>
    <w:rsid w:val="18054E8B"/>
    <w:rsid w:val="18155A97"/>
    <w:rsid w:val="182047FD"/>
    <w:rsid w:val="18276946"/>
    <w:rsid w:val="18440270"/>
    <w:rsid w:val="185F52BC"/>
    <w:rsid w:val="18677F3E"/>
    <w:rsid w:val="18974105"/>
    <w:rsid w:val="18A670AA"/>
    <w:rsid w:val="18CD45C3"/>
    <w:rsid w:val="18D712BE"/>
    <w:rsid w:val="18D84883"/>
    <w:rsid w:val="18E118C9"/>
    <w:rsid w:val="18EB2C9C"/>
    <w:rsid w:val="18EF6E35"/>
    <w:rsid w:val="18F020A9"/>
    <w:rsid w:val="18F156A4"/>
    <w:rsid w:val="190F47BE"/>
    <w:rsid w:val="193957B5"/>
    <w:rsid w:val="194277CA"/>
    <w:rsid w:val="194C488B"/>
    <w:rsid w:val="19524AC9"/>
    <w:rsid w:val="19576982"/>
    <w:rsid w:val="196F09AC"/>
    <w:rsid w:val="196F11D7"/>
    <w:rsid w:val="19741FA0"/>
    <w:rsid w:val="199E0B12"/>
    <w:rsid w:val="19D578FB"/>
    <w:rsid w:val="19D84FCE"/>
    <w:rsid w:val="19EA71F3"/>
    <w:rsid w:val="19F16096"/>
    <w:rsid w:val="19F57A56"/>
    <w:rsid w:val="19FF076F"/>
    <w:rsid w:val="1A115020"/>
    <w:rsid w:val="1A661211"/>
    <w:rsid w:val="1A661C4C"/>
    <w:rsid w:val="1A7B3BAB"/>
    <w:rsid w:val="1A9133CF"/>
    <w:rsid w:val="1AC76DF0"/>
    <w:rsid w:val="1ACE5507"/>
    <w:rsid w:val="1AD11A1D"/>
    <w:rsid w:val="1ADC0AEE"/>
    <w:rsid w:val="1AE30759"/>
    <w:rsid w:val="1AEC4C0A"/>
    <w:rsid w:val="1B005A5A"/>
    <w:rsid w:val="1B0172A6"/>
    <w:rsid w:val="1B0E2C71"/>
    <w:rsid w:val="1B2634C8"/>
    <w:rsid w:val="1B32306E"/>
    <w:rsid w:val="1B3B255C"/>
    <w:rsid w:val="1B3C77DE"/>
    <w:rsid w:val="1B7B1A56"/>
    <w:rsid w:val="1B8A3488"/>
    <w:rsid w:val="1B9063B3"/>
    <w:rsid w:val="1B9615FD"/>
    <w:rsid w:val="1BB50748"/>
    <w:rsid w:val="1BCF5033"/>
    <w:rsid w:val="1BD347AA"/>
    <w:rsid w:val="1BD45C69"/>
    <w:rsid w:val="1BDB0DA5"/>
    <w:rsid w:val="1C0025BA"/>
    <w:rsid w:val="1C026332"/>
    <w:rsid w:val="1C0661FE"/>
    <w:rsid w:val="1C222AC8"/>
    <w:rsid w:val="1C2559A9"/>
    <w:rsid w:val="1C282874"/>
    <w:rsid w:val="1C3511CF"/>
    <w:rsid w:val="1C3C6242"/>
    <w:rsid w:val="1C4B4CB1"/>
    <w:rsid w:val="1C6A0E0E"/>
    <w:rsid w:val="1C6F2165"/>
    <w:rsid w:val="1C705992"/>
    <w:rsid w:val="1C9661CD"/>
    <w:rsid w:val="1C9E598F"/>
    <w:rsid w:val="1C9F6277"/>
    <w:rsid w:val="1CA26DD0"/>
    <w:rsid w:val="1CD93F4B"/>
    <w:rsid w:val="1D3A5FA0"/>
    <w:rsid w:val="1D441E7C"/>
    <w:rsid w:val="1D4B79E2"/>
    <w:rsid w:val="1D610593"/>
    <w:rsid w:val="1D6D76D3"/>
    <w:rsid w:val="1D7229FB"/>
    <w:rsid w:val="1D750E0E"/>
    <w:rsid w:val="1D7D4391"/>
    <w:rsid w:val="1D835F21"/>
    <w:rsid w:val="1DA022A7"/>
    <w:rsid w:val="1DA150EA"/>
    <w:rsid w:val="1DA90A2F"/>
    <w:rsid w:val="1DAD6CAB"/>
    <w:rsid w:val="1DB47E1A"/>
    <w:rsid w:val="1DB620D0"/>
    <w:rsid w:val="1DCE59D1"/>
    <w:rsid w:val="1DD7570D"/>
    <w:rsid w:val="1DE75F4B"/>
    <w:rsid w:val="1DF15F8A"/>
    <w:rsid w:val="1DF83E91"/>
    <w:rsid w:val="1DFC18B3"/>
    <w:rsid w:val="1DFE0D7B"/>
    <w:rsid w:val="1E130A2A"/>
    <w:rsid w:val="1E3C1C4C"/>
    <w:rsid w:val="1E3D54D5"/>
    <w:rsid w:val="1E432C32"/>
    <w:rsid w:val="1E54148A"/>
    <w:rsid w:val="1E70154E"/>
    <w:rsid w:val="1E733D65"/>
    <w:rsid w:val="1E845724"/>
    <w:rsid w:val="1E8B6D37"/>
    <w:rsid w:val="1E93334F"/>
    <w:rsid w:val="1EA25BAA"/>
    <w:rsid w:val="1EB06519"/>
    <w:rsid w:val="1EE27F37"/>
    <w:rsid w:val="1EEB6C45"/>
    <w:rsid w:val="1EF309B7"/>
    <w:rsid w:val="1F2760B0"/>
    <w:rsid w:val="1F30574B"/>
    <w:rsid w:val="1F370D5E"/>
    <w:rsid w:val="1F3D290D"/>
    <w:rsid w:val="1F6D5F18"/>
    <w:rsid w:val="1F8B4890"/>
    <w:rsid w:val="1F8D1CC6"/>
    <w:rsid w:val="1F9A5250"/>
    <w:rsid w:val="1FBA6F24"/>
    <w:rsid w:val="1FC3227C"/>
    <w:rsid w:val="201718C3"/>
    <w:rsid w:val="201863C7"/>
    <w:rsid w:val="202630DE"/>
    <w:rsid w:val="202A33D5"/>
    <w:rsid w:val="20351166"/>
    <w:rsid w:val="20407429"/>
    <w:rsid w:val="204F35BE"/>
    <w:rsid w:val="205639A3"/>
    <w:rsid w:val="20661EB5"/>
    <w:rsid w:val="20783067"/>
    <w:rsid w:val="2091237A"/>
    <w:rsid w:val="209459C7"/>
    <w:rsid w:val="2099357B"/>
    <w:rsid w:val="20A7010A"/>
    <w:rsid w:val="20C640EA"/>
    <w:rsid w:val="20F5527C"/>
    <w:rsid w:val="21026DD4"/>
    <w:rsid w:val="21191D22"/>
    <w:rsid w:val="2122245F"/>
    <w:rsid w:val="21426E78"/>
    <w:rsid w:val="2157315E"/>
    <w:rsid w:val="215A451A"/>
    <w:rsid w:val="2160030E"/>
    <w:rsid w:val="2173382E"/>
    <w:rsid w:val="217D5C7B"/>
    <w:rsid w:val="21824468"/>
    <w:rsid w:val="21904D45"/>
    <w:rsid w:val="21962EF2"/>
    <w:rsid w:val="21AF794F"/>
    <w:rsid w:val="21B447F5"/>
    <w:rsid w:val="21B46321"/>
    <w:rsid w:val="21BE719F"/>
    <w:rsid w:val="21BF4CC5"/>
    <w:rsid w:val="21E2523E"/>
    <w:rsid w:val="21E309B4"/>
    <w:rsid w:val="21E66970"/>
    <w:rsid w:val="21E74B01"/>
    <w:rsid w:val="21FA27FC"/>
    <w:rsid w:val="21FA555E"/>
    <w:rsid w:val="225E1A32"/>
    <w:rsid w:val="226C12D2"/>
    <w:rsid w:val="2274785E"/>
    <w:rsid w:val="2281582F"/>
    <w:rsid w:val="228C28EC"/>
    <w:rsid w:val="22A75620"/>
    <w:rsid w:val="22CF5546"/>
    <w:rsid w:val="22D14BC6"/>
    <w:rsid w:val="22E06CA1"/>
    <w:rsid w:val="22EC1CDE"/>
    <w:rsid w:val="22EE405A"/>
    <w:rsid w:val="23187E04"/>
    <w:rsid w:val="231D3908"/>
    <w:rsid w:val="233740CD"/>
    <w:rsid w:val="235F7526"/>
    <w:rsid w:val="23921DA8"/>
    <w:rsid w:val="23931F66"/>
    <w:rsid w:val="23947475"/>
    <w:rsid w:val="23A052B1"/>
    <w:rsid w:val="23B30F64"/>
    <w:rsid w:val="23E17175"/>
    <w:rsid w:val="23F6004F"/>
    <w:rsid w:val="24024CEA"/>
    <w:rsid w:val="24044F9B"/>
    <w:rsid w:val="24053736"/>
    <w:rsid w:val="240A49D7"/>
    <w:rsid w:val="240D1D18"/>
    <w:rsid w:val="241251AA"/>
    <w:rsid w:val="2419690F"/>
    <w:rsid w:val="243628A9"/>
    <w:rsid w:val="243629A0"/>
    <w:rsid w:val="24400E1F"/>
    <w:rsid w:val="24457704"/>
    <w:rsid w:val="244B0A92"/>
    <w:rsid w:val="24507A15"/>
    <w:rsid w:val="246555E1"/>
    <w:rsid w:val="246928EF"/>
    <w:rsid w:val="247A1062"/>
    <w:rsid w:val="247D51DF"/>
    <w:rsid w:val="248520D7"/>
    <w:rsid w:val="248D2E59"/>
    <w:rsid w:val="24A15DB4"/>
    <w:rsid w:val="24A3442A"/>
    <w:rsid w:val="24BA695C"/>
    <w:rsid w:val="24BC729A"/>
    <w:rsid w:val="24C3687B"/>
    <w:rsid w:val="24D24662"/>
    <w:rsid w:val="24D434BF"/>
    <w:rsid w:val="24D855E8"/>
    <w:rsid w:val="25322B51"/>
    <w:rsid w:val="255557CB"/>
    <w:rsid w:val="255A45B0"/>
    <w:rsid w:val="2569263E"/>
    <w:rsid w:val="257F6C45"/>
    <w:rsid w:val="258E2019"/>
    <w:rsid w:val="259316D8"/>
    <w:rsid w:val="25AF2692"/>
    <w:rsid w:val="25B87FEB"/>
    <w:rsid w:val="25BB7E0B"/>
    <w:rsid w:val="25D13B43"/>
    <w:rsid w:val="25E27401"/>
    <w:rsid w:val="25EB277D"/>
    <w:rsid w:val="25F3528B"/>
    <w:rsid w:val="2611159E"/>
    <w:rsid w:val="26127ABA"/>
    <w:rsid w:val="2621364C"/>
    <w:rsid w:val="263C6B3D"/>
    <w:rsid w:val="2643113A"/>
    <w:rsid w:val="264B2324"/>
    <w:rsid w:val="26695200"/>
    <w:rsid w:val="266B24A0"/>
    <w:rsid w:val="266D4CF0"/>
    <w:rsid w:val="268442D5"/>
    <w:rsid w:val="26993D8C"/>
    <w:rsid w:val="26AA7CF2"/>
    <w:rsid w:val="26B741BD"/>
    <w:rsid w:val="26E03CCC"/>
    <w:rsid w:val="26E471D6"/>
    <w:rsid w:val="26E76360"/>
    <w:rsid w:val="26F71517"/>
    <w:rsid w:val="2707220D"/>
    <w:rsid w:val="270A3E90"/>
    <w:rsid w:val="270E20AE"/>
    <w:rsid w:val="271956ED"/>
    <w:rsid w:val="27221F7E"/>
    <w:rsid w:val="27427F2B"/>
    <w:rsid w:val="27472D76"/>
    <w:rsid w:val="27624129"/>
    <w:rsid w:val="276C185B"/>
    <w:rsid w:val="27826D9A"/>
    <w:rsid w:val="27847E7D"/>
    <w:rsid w:val="27A72D85"/>
    <w:rsid w:val="27AC5CEC"/>
    <w:rsid w:val="27D36DD5"/>
    <w:rsid w:val="27D47C2D"/>
    <w:rsid w:val="27D8088F"/>
    <w:rsid w:val="27DA5B03"/>
    <w:rsid w:val="2811796B"/>
    <w:rsid w:val="282D0BDB"/>
    <w:rsid w:val="283D06F2"/>
    <w:rsid w:val="28485CA4"/>
    <w:rsid w:val="28524C86"/>
    <w:rsid w:val="28575C58"/>
    <w:rsid w:val="285E0705"/>
    <w:rsid w:val="285F68BA"/>
    <w:rsid w:val="28660B97"/>
    <w:rsid w:val="28887BBF"/>
    <w:rsid w:val="28941555"/>
    <w:rsid w:val="28AC2F62"/>
    <w:rsid w:val="28B02A38"/>
    <w:rsid w:val="28B104D8"/>
    <w:rsid w:val="28B5297E"/>
    <w:rsid w:val="28CB45CD"/>
    <w:rsid w:val="28E07743"/>
    <w:rsid w:val="28E12923"/>
    <w:rsid w:val="28F674E8"/>
    <w:rsid w:val="28F90B6A"/>
    <w:rsid w:val="28F955CF"/>
    <w:rsid w:val="28FE2577"/>
    <w:rsid w:val="290F02E0"/>
    <w:rsid w:val="292214A3"/>
    <w:rsid w:val="296231D5"/>
    <w:rsid w:val="29737890"/>
    <w:rsid w:val="29787AF8"/>
    <w:rsid w:val="297D756B"/>
    <w:rsid w:val="297F65C0"/>
    <w:rsid w:val="298079CD"/>
    <w:rsid w:val="2987431B"/>
    <w:rsid w:val="298E59BA"/>
    <w:rsid w:val="2994168D"/>
    <w:rsid w:val="29A94291"/>
    <w:rsid w:val="29AC742C"/>
    <w:rsid w:val="29BB16B8"/>
    <w:rsid w:val="29BE7E45"/>
    <w:rsid w:val="29CA0B66"/>
    <w:rsid w:val="29DA269C"/>
    <w:rsid w:val="29DD03DE"/>
    <w:rsid w:val="29EF3C6E"/>
    <w:rsid w:val="2A202079"/>
    <w:rsid w:val="2A241B69"/>
    <w:rsid w:val="2A2E0F80"/>
    <w:rsid w:val="2A470208"/>
    <w:rsid w:val="2A5D6A1E"/>
    <w:rsid w:val="2A650869"/>
    <w:rsid w:val="2A7C3754"/>
    <w:rsid w:val="2A9630A9"/>
    <w:rsid w:val="2ACF41CB"/>
    <w:rsid w:val="2AD050FF"/>
    <w:rsid w:val="2ADE41E3"/>
    <w:rsid w:val="2AFA0B1C"/>
    <w:rsid w:val="2B006133"/>
    <w:rsid w:val="2B0F281A"/>
    <w:rsid w:val="2B152714"/>
    <w:rsid w:val="2B1659E8"/>
    <w:rsid w:val="2B17656A"/>
    <w:rsid w:val="2B2C20F6"/>
    <w:rsid w:val="2B361B54"/>
    <w:rsid w:val="2B403A01"/>
    <w:rsid w:val="2B473D61"/>
    <w:rsid w:val="2B545055"/>
    <w:rsid w:val="2B6C1A1A"/>
    <w:rsid w:val="2B6C5576"/>
    <w:rsid w:val="2B6F3EEF"/>
    <w:rsid w:val="2B7A2B6D"/>
    <w:rsid w:val="2B910285"/>
    <w:rsid w:val="2BA40898"/>
    <w:rsid w:val="2BA6517D"/>
    <w:rsid w:val="2BBE1B4A"/>
    <w:rsid w:val="2BC11E73"/>
    <w:rsid w:val="2BC5452F"/>
    <w:rsid w:val="2BEC26A9"/>
    <w:rsid w:val="2BEC66B7"/>
    <w:rsid w:val="2C014301"/>
    <w:rsid w:val="2C1A3224"/>
    <w:rsid w:val="2C30164F"/>
    <w:rsid w:val="2C3623FB"/>
    <w:rsid w:val="2C386E53"/>
    <w:rsid w:val="2C45390A"/>
    <w:rsid w:val="2C4709BC"/>
    <w:rsid w:val="2C4816CB"/>
    <w:rsid w:val="2C6142B1"/>
    <w:rsid w:val="2C7108B6"/>
    <w:rsid w:val="2C817A09"/>
    <w:rsid w:val="2C9139C3"/>
    <w:rsid w:val="2C9812D6"/>
    <w:rsid w:val="2CB35427"/>
    <w:rsid w:val="2CB77A83"/>
    <w:rsid w:val="2CB95B41"/>
    <w:rsid w:val="2CD94E8D"/>
    <w:rsid w:val="2CE37BDF"/>
    <w:rsid w:val="2CE46631"/>
    <w:rsid w:val="2D006C09"/>
    <w:rsid w:val="2D040A3E"/>
    <w:rsid w:val="2D0C567C"/>
    <w:rsid w:val="2D2D19CD"/>
    <w:rsid w:val="2D35408E"/>
    <w:rsid w:val="2D384C14"/>
    <w:rsid w:val="2D452523"/>
    <w:rsid w:val="2D4E4F1B"/>
    <w:rsid w:val="2D6606CF"/>
    <w:rsid w:val="2D7D44CB"/>
    <w:rsid w:val="2D811492"/>
    <w:rsid w:val="2D8114FB"/>
    <w:rsid w:val="2D89698A"/>
    <w:rsid w:val="2D8D3ECA"/>
    <w:rsid w:val="2D8E76C0"/>
    <w:rsid w:val="2D937C40"/>
    <w:rsid w:val="2DA95F68"/>
    <w:rsid w:val="2DAC4350"/>
    <w:rsid w:val="2DB358B0"/>
    <w:rsid w:val="2DB80F46"/>
    <w:rsid w:val="2DDB3BF5"/>
    <w:rsid w:val="2DDD275B"/>
    <w:rsid w:val="2DDE78CA"/>
    <w:rsid w:val="2DDF5C3D"/>
    <w:rsid w:val="2DE46241"/>
    <w:rsid w:val="2DE55AB4"/>
    <w:rsid w:val="2E051CB2"/>
    <w:rsid w:val="2E266F24"/>
    <w:rsid w:val="2E420430"/>
    <w:rsid w:val="2E4732F0"/>
    <w:rsid w:val="2E550541"/>
    <w:rsid w:val="2E6764C9"/>
    <w:rsid w:val="2E7110F5"/>
    <w:rsid w:val="2E8D1F5A"/>
    <w:rsid w:val="2EAF7FEB"/>
    <w:rsid w:val="2ED7364E"/>
    <w:rsid w:val="2EEF6BEA"/>
    <w:rsid w:val="2F02092C"/>
    <w:rsid w:val="2F0816B9"/>
    <w:rsid w:val="2F0B5447"/>
    <w:rsid w:val="2F1447AB"/>
    <w:rsid w:val="2F234AE5"/>
    <w:rsid w:val="2F2820FC"/>
    <w:rsid w:val="2F3740ED"/>
    <w:rsid w:val="2F4B1AB5"/>
    <w:rsid w:val="2F53591D"/>
    <w:rsid w:val="2F5922B5"/>
    <w:rsid w:val="2F6673FE"/>
    <w:rsid w:val="2F85469D"/>
    <w:rsid w:val="2F8A06C1"/>
    <w:rsid w:val="2F916E17"/>
    <w:rsid w:val="2F967907"/>
    <w:rsid w:val="2F9778D8"/>
    <w:rsid w:val="2FCA31B3"/>
    <w:rsid w:val="2FD05D3D"/>
    <w:rsid w:val="2FD82CEE"/>
    <w:rsid w:val="2FE778C1"/>
    <w:rsid w:val="2FE925DC"/>
    <w:rsid w:val="2FEF2C1A"/>
    <w:rsid w:val="30093CDB"/>
    <w:rsid w:val="301461DC"/>
    <w:rsid w:val="301D7787"/>
    <w:rsid w:val="302723B3"/>
    <w:rsid w:val="303C464F"/>
    <w:rsid w:val="30AC2DFC"/>
    <w:rsid w:val="30C10112"/>
    <w:rsid w:val="30DD0CC4"/>
    <w:rsid w:val="30E72737"/>
    <w:rsid w:val="313306E8"/>
    <w:rsid w:val="313451F6"/>
    <w:rsid w:val="318F2C96"/>
    <w:rsid w:val="319E26CD"/>
    <w:rsid w:val="31CF4AB1"/>
    <w:rsid w:val="31ED0FA5"/>
    <w:rsid w:val="31F22F49"/>
    <w:rsid w:val="32201314"/>
    <w:rsid w:val="3220530C"/>
    <w:rsid w:val="32250B75"/>
    <w:rsid w:val="3227588C"/>
    <w:rsid w:val="32572CD5"/>
    <w:rsid w:val="32713DBA"/>
    <w:rsid w:val="32784D4B"/>
    <w:rsid w:val="32792B76"/>
    <w:rsid w:val="328217B0"/>
    <w:rsid w:val="3291620A"/>
    <w:rsid w:val="32AC094E"/>
    <w:rsid w:val="32CD6F61"/>
    <w:rsid w:val="32D60752"/>
    <w:rsid w:val="32EE636B"/>
    <w:rsid w:val="32EF5B1D"/>
    <w:rsid w:val="32FD73FC"/>
    <w:rsid w:val="331A30CB"/>
    <w:rsid w:val="331B33C1"/>
    <w:rsid w:val="332279BA"/>
    <w:rsid w:val="332350B4"/>
    <w:rsid w:val="33276347"/>
    <w:rsid w:val="33661445"/>
    <w:rsid w:val="3369683F"/>
    <w:rsid w:val="33841775"/>
    <w:rsid w:val="33864D45"/>
    <w:rsid w:val="33B077FA"/>
    <w:rsid w:val="33BC2E13"/>
    <w:rsid w:val="33C57F19"/>
    <w:rsid w:val="33C86F17"/>
    <w:rsid w:val="33C87AB6"/>
    <w:rsid w:val="33D275E0"/>
    <w:rsid w:val="33E6570C"/>
    <w:rsid w:val="34022F8E"/>
    <w:rsid w:val="34391DAC"/>
    <w:rsid w:val="343F6271"/>
    <w:rsid w:val="344515FB"/>
    <w:rsid w:val="344F6B1A"/>
    <w:rsid w:val="345179FF"/>
    <w:rsid w:val="345C3432"/>
    <w:rsid w:val="34657983"/>
    <w:rsid w:val="346E6F6B"/>
    <w:rsid w:val="347C419D"/>
    <w:rsid w:val="347D578F"/>
    <w:rsid w:val="34847806"/>
    <w:rsid w:val="34861974"/>
    <w:rsid w:val="3487445F"/>
    <w:rsid w:val="34A9783B"/>
    <w:rsid w:val="34B1049E"/>
    <w:rsid w:val="34B72631"/>
    <w:rsid w:val="34B85CD0"/>
    <w:rsid w:val="34BF60DF"/>
    <w:rsid w:val="34CA0B0B"/>
    <w:rsid w:val="34CB5A03"/>
    <w:rsid w:val="34D04DC8"/>
    <w:rsid w:val="34DA795B"/>
    <w:rsid w:val="354C7D1B"/>
    <w:rsid w:val="3562655B"/>
    <w:rsid w:val="35646704"/>
    <w:rsid w:val="356556A0"/>
    <w:rsid w:val="357B0C2D"/>
    <w:rsid w:val="3597011C"/>
    <w:rsid w:val="35B71AE4"/>
    <w:rsid w:val="35D310A8"/>
    <w:rsid w:val="35D352CA"/>
    <w:rsid w:val="35D42696"/>
    <w:rsid w:val="35D73F34"/>
    <w:rsid w:val="35EA010B"/>
    <w:rsid w:val="35F1149A"/>
    <w:rsid w:val="35FB5FCC"/>
    <w:rsid w:val="35FC7E8E"/>
    <w:rsid w:val="35FF5071"/>
    <w:rsid w:val="36015455"/>
    <w:rsid w:val="360A41CE"/>
    <w:rsid w:val="360B1E2F"/>
    <w:rsid w:val="36112F3A"/>
    <w:rsid w:val="36221945"/>
    <w:rsid w:val="362D2322"/>
    <w:rsid w:val="364610BA"/>
    <w:rsid w:val="3667175C"/>
    <w:rsid w:val="36A656A2"/>
    <w:rsid w:val="36B12083"/>
    <w:rsid w:val="36C16230"/>
    <w:rsid w:val="36F62AE0"/>
    <w:rsid w:val="36FA379C"/>
    <w:rsid w:val="36FF5058"/>
    <w:rsid w:val="370074BA"/>
    <w:rsid w:val="37256F21"/>
    <w:rsid w:val="372C4753"/>
    <w:rsid w:val="374D2671"/>
    <w:rsid w:val="3759097F"/>
    <w:rsid w:val="37623CD1"/>
    <w:rsid w:val="377A1AA3"/>
    <w:rsid w:val="377E7BD6"/>
    <w:rsid w:val="3795459A"/>
    <w:rsid w:val="37974BB6"/>
    <w:rsid w:val="37AF1978"/>
    <w:rsid w:val="37BB0727"/>
    <w:rsid w:val="37BC74FE"/>
    <w:rsid w:val="37CD1B5C"/>
    <w:rsid w:val="37E666B0"/>
    <w:rsid w:val="37EE4E51"/>
    <w:rsid w:val="37F30DCD"/>
    <w:rsid w:val="37FE7E9E"/>
    <w:rsid w:val="37FF5058"/>
    <w:rsid w:val="380C0EF9"/>
    <w:rsid w:val="381766DF"/>
    <w:rsid w:val="38194C17"/>
    <w:rsid w:val="3836377A"/>
    <w:rsid w:val="383C5F9A"/>
    <w:rsid w:val="386833E9"/>
    <w:rsid w:val="38743CBC"/>
    <w:rsid w:val="387463B2"/>
    <w:rsid w:val="38796AD2"/>
    <w:rsid w:val="388F5D19"/>
    <w:rsid w:val="38926E04"/>
    <w:rsid w:val="38A30A45"/>
    <w:rsid w:val="38AA395D"/>
    <w:rsid w:val="38AC67B8"/>
    <w:rsid w:val="38B26EC0"/>
    <w:rsid w:val="38E7249A"/>
    <w:rsid w:val="38E80DE2"/>
    <w:rsid w:val="38EF7D72"/>
    <w:rsid w:val="38F44A75"/>
    <w:rsid w:val="38FE5C7B"/>
    <w:rsid w:val="39135BD6"/>
    <w:rsid w:val="39191195"/>
    <w:rsid w:val="39642F08"/>
    <w:rsid w:val="3971644D"/>
    <w:rsid w:val="39785A2E"/>
    <w:rsid w:val="398C5086"/>
    <w:rsid w:val="3992139A"/>
    <w:rsid w:val="3995059C"/>
    <w:rsid w:val="399D36E6"/>
    <w:rsid w:val="39A24F86"/>
    <w:rsid w:val="39A72EC5"/>
    <w:rsid w:val="39AA60D3"/>
    <w:rsid w:val="39AA6EF6"/>
    <w:rsid w:val="39AE1450"/>
    <w:rsid w:val="39B46BA0"/>
    <w:rsid w:val="39BA4569"/>
    <w:rsid w:val="39D61839"/>
    <w:rsid w:val="39DD50F8"/>
    <w:rsid w:val="39EA383C"/>
    <w:rsid w:val="39EA702F"/>
    <w:rsid w:val="39FD5F33"/>
    <w:rsid w:val="3A117902"/>
    <w:rsid w:val="3A257964"/>
    <w:rsid w:val="3A376A81"/>
    <w:rsid w:val="3A4B2371"/>
    <w:rsid w:val="3A4B7556"/>
    <w:rsid w:val="3A563FC1"/>
    <w:rsid w:val="3A634045"/>
    <w:rsid w:val="3A663AD8"/>
    <w:rsid w:val="3A6F06DC"/>
    <w:rsid w:val="3A887EF3"/>
    <w:rsid w:val="3A8B0EFD"/>
    <w:rsid w:val="3AA45CB6"/>
    <w:rsid w:val="3AB64D0B"/>
    <w:rsid w:val="3AD66EB0"/>
    <w:rsid w:val="3AE92FDC"/>
    <w:rsid w:val="3AF235BE"/>
    <w:rsid w:val="3B26431E"/>
    <w:rsid w:val="3B284F7B"/>
    <w:rsid w:val="3B2918D3"/>
    <w:rsid w:val="3B5079FE"/>
    <w:rsid w:val="3B7164BD"/>
    <w:rsid w:val="3B736ADE"/>
    <w:rsid w:val="3B7A51A8"/>
    <w:rsid w:val="3B7F5E89"/>
    <w:rsid w:val="3B881516"/>
    <w:rsid w:val="3B8B1A48"/>
    <w:rsid w:val="3B8C3A12"/>
    <w:rsid w:val="3B8E778B"/>
    <w:rsid w:val="3B9B7B05"/>
    <w:rsid w:val="3BA448B8"/>
    <w:rsid w:val="3BA743A8"/>
    <w:rsid w:val="3BB95A05"/>
    <w:rsid w:val="3BC76AA2"/>
    <w:rsid w:val="3BD66570"/>
    <w:rsid w:val="3BD74B5F"/>
    <w:rsid w:val="3BDD1834"/>
    <w:rsid w:val="3BFE0815"/>
    <w:rsid w:val="3C241E9D"/>
    <w:rsid w:val="3C351E3D"/>
    <w:rsid w:val="3C574020"/>
    <w:rsid w:val="3C5D2D97"/>
    <w:rsid w:val="3C7050AE"/>
    <w:rsid w:val="3C725F5A"/>
    <w:rsid w:val="3C771FCD"/>
    <w:rsid w:val="3C8539FB"/>
    <w:rsid w:val="3C9F32D2"/>
    <w:rsid w:val="3CA86671"/>
    <w:rsid w:val="3CAD3F9E"/>
    <w:rsid w:val="3CDE68F9"/>
    <w:rsid w:val="3CE024D8"/>
    <w:rsid w:val="3CE851D3"/>
    <w:rsid w:val="3CF7310E"/>
    <w:rsid w:val="3D0E3E15"/>
    <w:rsid w:val="3D127F47"/>
    <w:rsid w:val="3D154364"/>
    <w:rsid w:val="3D18493A"/>
    <w:rsid w:val="3D540560"/>
    <w:rsid w:val="3D581DFE"/>
    <w:rsid w:val="3D682DF3"/>
    <w:rsid w:val="3D714C6E"/>
    <w:rsid w:val="3D737503"/>
    <w:rsid w:val="3D87623F"/>
    <w:rsid w:val="3D955F54"/>
    <w:rsid w:val="3D976450"/>
    <w:rsid w:val="3D9A6B04"/>
    <w:rsid w:val="3D9E1007"/>
    <w:rsid w:val="3DBE2C48"/>
    <w:rsid w:val="3DDB0FBF"/>
    <w:rsid w:val="3E2466D6"/>
    <w:rsid w:val="3E2F30E8"/>
    <w:rsid w:val="3E522CF1"/>
    <w:rsid w:val="3E590038"/>
    <w:rsid w:val="3E592DB3"/>
    <w:rsid w:val="3E594080"/>
    <w:rsid w:val="3E773345"/>
    <w:rsid w:val="3E786C05"/>
    <w:rsid w:val="3E810EE1"/>
    <w:rsid w:val="3E9E5F37"/>
    <w:rsid w:val="3E9F489B"/>
    <w:rsid w:val="3EA900F4"/>
    <w:rsid w:val="3EAD0CC4"/>
    <w:rsid w:val="3EB81750"/>
    <w:rsid w:val="3EC94D9E"/>
    <w:rsid w:val="3EF67B21"/>
    <w:rsid w:val="3F0D1EF3"/>
    <w:rsid w:val="3F260EB0"/>
    <w:rsid w:val="3F391EFF"/>
    <w:rsid w:val="3F3B0C9D"/>
    <w:rsid w:val="3F3E27B9"/>
    <w:rsid w:val="3F4544C9"/>
    <w:rsid w:val="3F5B40F4"/>
    <w:rsid w:val="3F6320BB"/>
    <w:rsid w:val="3FAA5E53"/>
    <w:rsid w:val="3FAC6431"/>
    <w:rsid w:val="3FC96FE3"/>
    <w:rsid w:val="3FD1082F"/>
    <w:rsid w:val="3FD73884"/>
    <w:rsid w:val="3FED1EEC"/>
    <w:rsid w:val="400B3158"/>
    <w:rsid w:val="400C4DA2"/>
    <w:rsid w:val="400E2C48"/>
    <w:rsid w:val="4010076F"/>
    <w:rsid w:val="4013025E"/>
    <w:rsid w:val="401C10D8"/>
    <w:rsid w:val="401D2496"/>
    <w:rsid w:val="403703F1"/>
    <w:rsid w:val="40431258"/>
    <w:rsid w:val="4044363D"/>
    <w:rsid w:val="40790150"/>
    <w:rsid w:val="40820A80"/>
    <w:rsid w:val="40876851"/>
    <w:rsid w:val="408B151C"/>
    <w:rsid w:val="40937762"/>
    <w:rsid w:val="40C61A69"/>
    <w:rsid w:val="40CC0043"/>
    <w:rsid w:val="40D253BB"/>
    <w:rsid w:val="40DE261A"/>
    <w:rsid w:val="40E11AEF"/>
    <w:rsid w:val="40EC5690"/>
    <w:rsid w:val="40F344F9"/>
    <w:rsid w:val="40FF07D7"/>
    <w:rsid w:val="4116259D"/>
    <w:rsid w:val="414447B0"/>
    <w:rsid w:val="415C4DA1"/>
    <w:rsid w:val="4167204B"/>
    <w:rsid w:val="418205C6"/>
    <w:rsid w:val="41885B91"/>
    <w:rsid w:val="418F1B67"/>
    <w:rsid w:val="41A1243A"/>
    <w:rsid w:val="41B73FD5"/>
    <w:rsid w:val="41DD22AA"/>
    <w:rsid w:val="41F95AAE"/>
    <w:rsid w:val="41FD7505"/>
    <w:rsid w:val="4220697D"/>
    <w:rsid w:val="425748FE"/>
    <w:rsid w:val="42672AE3"/>
    <w:rsid w:val="42764C03"/>
    <w:rsid w:val="42875D90"/>
    <w:rsid w:val="429E7B25"/>
    <w:rsid w:val="42AA00FC"/>
    <w:rsid w:val="42BF7DAA"/>
    <w:rsid w:val="42C47ED1"/>
    <w:rsid w:val="42ED123B"/>
    <w:rsid w:val="43080E42"/>
    <w:rsid w:val="431E31A2"/>
    <w:rsid w:val="433B5A31"/>
    <w:rsid w:val="43515CE6"/>
    <w:rsid w:val="43544E16"/>
    <w:rsid w:val="4358651D"/>
    <w:rsid w:val="436332AB"/>
    <w:rsid w:val="43762733"/>
    <w:rsid w:val="438307EA"/>
    <w:rsid w:val="438B0671"/>
    <w:rsid w:val="43900179"/>
    <w:rsid w:val="43A757B8"/>
    <w:rsid w:val="43B4799E"/>
    <w:rsid w:val="43B65AD0"/>
    <w:rsid w:val="43CD41FD"/>
    <w:rsid w:val="43E50160"/>
    <w:rsid w:val="43F9776B"/>
    <w:rsid w:val="440A2354"/>
    <w:rsid w:val="44254A04"/>
    <w:rsid w:val="442C18EF"/>
    <w:rsid w:val="443608C2"/>
    <w:rsid w:val="443C1D09"/>
    <w:rsid w:val="443D3AFC"/>
    <w:rsid w:val="44421112"/>
    <w:rsid w:val="445A645C"/>
    <w:rsid w:val="44662AA1"/>
    <w:rsid w:val="44727C49"/>
    <w:rsid w:val="44775260"/>
    <w:rsid w:val="44833B83"/>
    <w:rsid w:val="448610CA"/>
    <w:rsid w:val="44912F1B"/>
    <w:rsid w:val="4497145E"/>
    <w:rsid w:val="44A42C24"/>
    <w:rsid w:val="44A504D3"/>
    <w:rsid w:val="44B65387"/>
    <w:rsid w:val="44B6565C"/>
    <w:rsid w:val="44B952AC"/>
    <w:rsid w:val="44D91D4F"/>
    <w:rsid w:val="44F766CF"/>
    <w:rsid w:val="44FF34A7"/>
    <w:rsid w:val="452D61E0"/>
    <w:rsid w:val="454D75BE"/>
    <w:rsid w:val="4557347D"/>
    <w:rsid w:val="456F672F"/>
    <w:rsid w:val="45997DAE"/>
    <w:rsid w:val="459B6062"/>
    <w:rsid w:val="45C1250B"/>
    <w:rsid w:val="45C51FFB"/>
    <w:rsid w:val="45C91098"/>
    <w:rsid w:val="45CF1C33"/>
    <w:rsid w:val="45D264C6"/>
    <w:rsid w:val="45E615FB"/>
    <w:rsid w:val="45EA7CB3"/>
    <w:rsid w:val="45EF13EA"/>
    <w:rsid w:val="45F17A3D"/>
    <w:rsid w:val="45F7345F"/>
    <w:rsid w:val="45FA2AFC"/>
    <w:rsid w:val="45FD5269"/>
    <w:rsid w:val="46126D2B"/>
    <w:rsid w:val="4613720A"/>
    <w:rsid w:val="462D72F1"/>
    <w:rsid w:val="46354763"/>
    <w:rsid w:val="463A2F84"/>
    <w:rsid w:val="464B5F3B"/>
    <w:rsid w:val="464D790E"/>
    <w:rsid w:val="464F567B"/>
    <w:rsid w:val="465B295F"/>
    <w:rsid w:val="465F5144"/>
    <w:rsid w:val="46667A2E"/>
    <w:rsid w:val="4669363B"/>
    <w:rsid w:val="468C731C"/>
    <w:rsid w:val="469021DE"/>
    <w:rsid w:val="469453B9"/>
    <w:rsid w:val="46964690"/>
    <w:rsid w:val="469F284C"/>
    <w:rsid w:val="46A26D6F"/>
    <w:rsid w:val="46C706EC"/>
    <w:rsid w:val="46C91D7E"/>
    <w:rsid w:val="46CE77DF"/>
    <w:rsid w:val="46D00C57"/>
    <w:rsid w:val="46E72276"/>
    <w:rsid w:val="4703102D"/>
    <w:rsid w:val="472B40E0"/>
    <w:rsid w:val="472B7E65"/>
    <w:rsid w:val="473138E7"/>
    <w:rsid w:val="47395E3D"/>
    <w:rsid w:val="474451A1"/>
    <w:rsid w:val="47495429"/>
    <w:rsid w:val="475907FB"/>
    <w:rsid w:val="477F442B"/>
    <w:rsid w:val="47820827"/>
    <w:rsid w:val="478D4D9A"/>
    <w:rsid w:val="47A82B37"/>
    <w:rsid w:val="47AF6ABF"/>
    <w:rsid w:val="47B31C0D"/>
    <w:rsid w:val="47C403EA"/>
    <w:rsid w:val="47E0485C"/>
    <w:rsid w:val="47E4066D"/>
    <w:rsid w:val="47E65D42"/>
    <w:rsid w:val="47E80223"/>
    <w:rsid w:val="482055CB"/>
    <w:rsid w:val="48396CD0"/>
    <w:rsid w:val="483B1943"/>
    <w:rsid w:val="483E74EA"/>
    <w:rsid w:val="4850573E"/>
    <w:rsid w:val="485062CB"/>
    <w:rsid w:val="48755737"/>
    <w:rsid w:val="487C7EE2"/>
    <w:rsid w:val="488A12DA"/>
    <w:rsid w:val="48971EFF"/>
    <w:rsid w:val="48AE6D76"/>
    <w:rsid w:val="48C04496"/>
    <w:rsid w:val="48CE77CA"/>
    <w:rsid w:val="48D86622"/>
    <w:rsid w:val="49005C4A"/>
    <w:rsid w:val="49042E3A"/>
    <w:rsid w:val="49077B04"/>
    <w:rsid w:val="490B241B"/>
    <w:rsid w:val="49272668"/>
    <w:rsid w:val="492D05E3"/>
    <w:rsid w:val="49451E62"/>
    <w:rsid w:val="495309C1"/>
    <w:rsid w:val="49554AD5"/>
    <w:rsid w:val="49690EEF"/>
    <w:rsid w:val="496B110B"/>
    <w:rsid w:val="498134E7"/>
    <w:rsid w:val="4984324F"/>
    <w:rsid w:val="499369D4"/>
    <w:rsid w:val="49A466F8"/>
    <w:rsid w:val="49B34F79"/>
    <w:rsid w:val="49B77EAC"/>
    <w:rsid w:val="49CA17B1"/>
    <w:rsid w:val="49D669E7"/>
    <w:rsid w:val="49DC3DB7"/>
    <w:rsid w:val="49E36EF3"/>
    <w:rsid w:val="49E6438D"/>
    <w:rsid w:val="4A0C644A"/>
    <w:rsid w:val="4A143551"/>
    <w:rsid w:val="4A187AA1"/>
    <w:rsid w:val="4A2871FE"/>
    <w:rsid w:val="4A3C6604"/>
    <w:rsid w:val="4A404E23"/>
    <w:rsid w:val="4A431740"/>
    <w:rsid w:val="4A4C4A99"/>
    <w:rsid w:val="4A613290"/>
    <w:rsid w:val="4A62250E"/>
    <w:rsid w:val="4A653DAC"/>
    <w:rsid w:val="4A726F21"/>
    <w:rsid w:val="4A764D44"/>
    <w:rsid w:val="4A7E09CA"/>
    <w:rsid w:val="4A8561FD"/>
    <w:rsid w:val="4AA42E50"/>
    <w:rsid w:val="4AB131AC"/>
    <w:rsid w:val="4AB16FF2"/>
    <w:rsid w:val="4AC932CC"/>
    <w:rsid w:val="4AE271AB"/>
    <w:rsid w:val="4AEE78FE"/>
    <w:rsid w:val="4AEF3676"/>
    <w:rsid w:val="4AF606BE"/>
    <w:rsid w:val="4AF60EA8"/>
    <w:rsid w:val="4AFF47E8"/>
    <w:rsid w:val="4B00666E"/>
    <w:rsid w:val="4B045373"/>
    <w:rsid w:val="4B085310"/>
    <w:rsid w:val="4B0C4228"/>
    <w:rsid w:val="4B386B61"/>
    <w:rsid w:val="4B40489E"/>
    <w:rsid w:val="4B5E167A"/>
    <w:rsid w:val="4B667DDC"/>
    <w:rsid w:val="4B7C0820"/>
    <w:rsid w:val="4BA32DDE"/>
    <w:rsid w:val="4BC108B4"/>
    <w:rsid w:val="4BC32B39"/>
    <w:rsid w:val="4BC66ACD"/>
    <w:rsid w:val="4BE013B1"/>
    <w:rsid w:val="4BE45514"/>
    <w:rsid w:val="4C0862A1"/>
    <w:rsid w:val="4C4A14AC"/>
    <w:rsid w:val="4C4D68A6"/>
    <w:rsid w:val="4C5B5467"/>
    <w:rsid w:val="4C63190E"/>
    <w:rsid w:val="4C7107E7"/>
    <w:rsid w:val="4C862367"/>
    <w:rsid w:val="4C8B5AEC"/>
    <w:rsid w:val="4CA30BBC"/>
    <w:rsid w:val="4CB21047"/>
    <w:rsid w:val="4CCF5BFD"/>
    <w:rsid w:val="4CD3041B"/>
    <w:rsid w:val="4CE0771A"/>
    <w:rsid w:val="4D0F0ADB"/>
    <w:rsid w:val="4D147256"/>
    <w:rsid w:val="4D1A4627"/>
    <w:rsid w:val="4D1E3BF0"/>
    <w:rsid w:val="4D2172C7"/>
    <w:rsid w:val="4D225F85"/>
    <w:rsid w:val="4D241CFD"/>
    <w:rsid w:val="4D2E2B7B"/>
    <w:rsid w:val="4D33595B"/>
    <w:rsid w:val="4D38031C"/>
    <w:rsid w:val="4D567C6D"/>
    <w:rsid w:val="4D5A44E5"/>
    <w:rsid w:val="4D5B3DE3"/>
    <w:rsid w:val="4D6F1FCB"/>
    <w:rsid w:val="4D896AD8"/>
    <w:rsid w:val="4D8D5680"/>
    <w:rsid w:val="4DA1483A"/>
    <w:rsid w:val="4DA9670D"/>
    <w:rsid w:val="4DB0533F"/>
    <w:rsid w:val="4DBA0822"/>
    <w:rsid w:val="4DBA440F"/>
    <w:rsid w:val="4DBC1E2F"/>
    <w:rsid w:val="4DBF37D4"/>
    <w:rsid w:val="4DD06A2F"/>
    <w:rsid w:val="4DD74FC1"/>
    <w:rsid w:val="4DF2028E"/>
    <w:rsid w:val="4E13726D"/>
    <w:rsid w:val="4E243296"/>
    <w:rsid w:val="4E24727A"/>
    <w:rsid w:val="4E4B3832"/>
    <w:rsid w:val="4E4D03C7"/>
    <w:rsid w:val="4E606D65"/>
    <w:rsid w:val="4E6B1D97"/>
    <w:rsid w:val="4E720846"/>
    <w:rsid w:val="4E90472A"/>
    <w:rsid w:val="4E936EFC"/>
    <w:rsid w:val="4EAB246D"/>
    <w:rsid w:val="4EAC01FC"/>
    <w:rsid w:val="4EC90CCF"/>
    <w:rsid w:val="4EC93BC4"/>
    <w:rsid w:val="4ED4505D"/>
    <w:rsid w:val="4EDD07DB"/>
    <w:rsid w:val="4EE14D9C"/>
    <w:rsid w:val="4EEC684A"/>
    <w:rsid w:val="4F032C15"/>
    <w:rsid w:val="4F0E0906"/>
    <w:rsid w:val="4F3C4E43"/>
    <w:rsid w:val="4F4313FC"/>
    <w:rsid w:val="4F75345F"/>
    <w:rsid w:val="4F787C25"/>
    <w:rsid w:val="4F9B3A67"/>
    <w:rsid w:val="4FA6195F"/>
    <w:rsid w:val="4FAA48E3"/>
    <w:rsid w:val="4FC226E5"/>
    <w:rsid w:val="4FC77813"/>
    <w:rsid w:val="4FC96B8B"/>
    <w:rsid w:val="4FDD43E5"/>
    <w:rsid w:val="4FEC683A"/>
    <w:rsid w:val="501026E1"/>
    <w:rsid w:val="5012161C"/>
    <w:rsid w:val="50444D30"/>
    <w:rsid w:val="504F4060"/>
    <w:rsid w:val="50827466"/>
    <w:rsid w:val="50847F75"/>
    <w:rsid w:val="509937A3"/>
    <w:rsid w:val="50A218B6"/>
    <w:rsid w:val="50B45146"/>
    <w:rsid w:val="50B75F83"/>
    <w:rsid w:val="50BF3AD1"/>
    <w:rsid w:val="50C632E2"/>
    <w:rsid w:val="50D32542"/>
    <w:rsid w:val="510065DD"/>
    <w:rsid w:val="510C4F82"/>
    <w:rsid w:val="511D2CEB"/>
    <w:rsid w:val="51321D6B"/>
    <w:rsid w:val="5140188A"/>
    <w:rsid w:val="51424ECF"/>
    <w:rsid w:val="51532BB1"/>
    <w:rsid w:val="51550EA9"/>
    <w:rsid w:val="515C7D1B"/>
    <w:rsid w:val="517A14F8"/>
    <w:rsid w:val="517E08C1"/>
    <w:rsid w:val="51963AAE"/>
    <w:rsid w:val="519A542A"/>
    <w:rsid w:val="51A21442"/>
    <w:rsid w:val="51BF3DA2"/>
    <w:rsid w:val="51C84535"/>
    <w:rsid w:val="51D3240E"/>
    <w:rsid w:val="51F37EF0"/>
    <w:rsid w:val="520438D3"/>
    <w:rsid w:val="520479B5"/>
    <w:rsid w:val="52183C6B"/>
    <w:rsid w:val="52187956"/>
    <w:rsid w:val="52266FC9"/>
    <w:rsid w:val="522B58DB"/>
    <w:rsid w:val="522C72EA"/>
    <w:rsid w:val="522F282A"/>
    <w:rsid w:val="52331558"/>
    <w:rsid w:val="523734C2"/>
    <w:rsid w:val="52551F21"/>
    <w:rsid w:val="525564B4"/>
    <w:rsid w:val="52670B45"/>
    <w:rsid w:val="529B239D"/>
    <w:rsid w:val="52A80063"/>
    <w:rsid w:val="52BA4BDF"/>
    <w:rsid w:val="52C11B82"/>
    <w:rsid w:val="52C75583"/>
    <w:rsid w:val="52F03702"/>
    <w:rsid w:val="52F92296"/>
    <w:rsid w:val="530B3AF4"/>
    <w:rsid w:val="53194A24"/>
    <w:rsid w:val="531D7274"/>
    <w:rsid w:val="532257D2"/>
    <w:rsid w:val="53285BE5"/>
    <w:rsid w:val="53361F22"/>
    <w:rsid w:val="533F623F"/>
    <w:rsid w:val="534704F3"/>
    <w:rsid w:val="53526FD4"/>
    <w:rsid w:val="536F16FD"/>
    <w:rsid w:val="53940307"/>
    <w:rsid w:val="539B4518"/>
    <w:rsid w:val="53A72D40"/>
    <w:rsid w:val="53B23F4E"/>
    <w:rsid w:val="53B9306E"/>
    <w:rsid w:val="53C50E71"/>
    <w:rsid w:val="53DF6281"/>
    <w:rsid w:val="53E37A74"/>
    <w:rsid w:val="53FB308C"/>
    <w:rsid w:val="53FC752F"/>
    <w:rsid w:val="54126862"/>
    <w:rsid w:val="542B0B54"/>
    <w:rsid w:val="543231FA"/>
    <w:rsid w:val="544058DC"/>
    <w:rsid w:val="544B5A66"/>
    <w:rsid w:val="545A24A8"/>
    <w:rsid w:val="54752E3E"/>
    <w:rsid w:val="547E0169"/>
    <w:rsid w:val="54994D7E"/>
    <w:rsid w:val="54B36233"/>
    <w:rsid w:val="54DD3870"/>
    <w:rsid w:val="54EF17F3"/>
    <w:rsid w:val="54F159AB"/>
    <w:rsid w:val="550079E8"/>
    <w:rsid w:val="550624E0"/>
    <w:rsid w:val="55144C39"/>
    <w:rsid w:val="5517656B"/>
    <w:rsid w:val="5518141A"/>
    <w:rsid w:val="5522088F"/>
    <w:rsid w:val="552F24E6"/>
    <w:rsid w:val="55300100"/>
    <w:rsid w:val="55346855"/>
    <w:rsid w:val="553B7BE4"/>
    <w:rsid w:val="555E3D42"/>
    <w:rsid w:val="5560352D"/>
    <w:rsid w:val="55721133"/>
    <w:rsid w:val="558923DF"/>
    <w:rsid w:val="558F6181"/>
    <w:rsid w:val="558F63CF"/>
    <w:rsid w:val="559509EF"/>
    <w:rsid w:val="55A25EB5"/>
    <w:rsid w:val="55B465C7"/>
    <w:rsid w:val="55B851ED"/>
    <w:rsid w:val="55BB0D24"/>
    <w:rsid w:val="55C6693D"/>
    <w:rsid w:val="55EE4C56"/>
    <w:rsid w:val="5606767B"/>
    <w:rsid w:val="56091100"/>
    <w:rsid w:val="560C2139"/>
    <w:rsid w:val="56280790"/>
    <w:rsid w:val="564407D3"/>
    <w:rsid w:val="565E5139"/>
    <w:rsid w:val="56624501"/>
    <w:rsid w:val="567F406A"/>
    <w:rsid w:val="56810D72"/>
    <w:rsid w:val="568C4614"/>
    <w:rsid w:val="569B0DDF"/>
    <w:rsid w:val="569E48CE"/>
    <w:rsid w:val="56A025F8"/>
    <w:rsid w:val="56AB6FEB"/>
    <w:rsid w:val="56B11856"/>
    <w:rsid w:val="56B815DD"/>
    <w:rsid w:val="56C8194B"/>
    <w:rsid w:val="56F07FB1"/>
    <w:rsid w:val="56F978F7"/>
    <w:rsid w:val="56FA587C"/>
    <w:rsid w:val="572E07E4"/>
    <w:rsid w:val="573963A5"/>
    <w:rsid w:val="575256B8"/>
    <w:rsid w:val="57543BAA"/>
    <w:rsid w:val="576527DB"/>
    <w:rsid w:val="576C677A"/>
    <w:rsid w:val="57737EC4"/>
    <w:rsid w:val="57B86FB7"/>
    <w:rsid w:val="57E207EA"/>
    <w:rsid w:val="57E52089"/>
    <w:rsid w:val="580015F7"/>
    <w:rsid w:val="58163BB1"/>
    <w:rsid w:val="581D3F89"/>
    <w:rsid w:val="582128C9"/>
    <w:rsid w:val="582E1A65"/>
    <w:rsid w:val="582E57DE"/>
    <w:rsid w:val="58346B6C"/>
    <w:rsid w:val="585D3759"/>
    <w:rsid w:val="58615BB3"/>
    <w:rsid w:val="58662A44"/>
    <w:rsid w:val="586D2BCD"/>
    <w:rsid w:val="58732F38"/>
    <w:rsid w:val="589454F4"/>
    <w:rsid w:val="58994228"/>
    <w:rsid w:val="58AE2DC2"/>
    <w:rsid w:val="58B24661"/>
    <w:rsid w:val="58BD4EAA"/>
    <w:rsid w:val="58C521AF"/>
    <w:rsid w:val="58CA70B2"/>
    <w:rsid w:val="58D16993"/>
    <w:rsid w:val="591651AF"/>
    <w:rsid w:val="591A3FB4"/>
    <w:rsid w:val="595C45CC"/>
    <w:rsid w:val="5960163C"/>
    <w:rsid w:val="59701FF1"/>
    <w:rsid w:val="597D4762"/>
    <w:rsid w:val="59884A41"/>
    <w:rsid w:val="59975605"/>
    <w:rsid w:val="59980B22"/>
    <w:rsid w:val="599931DB"/>
    <w:rsid w:val="59A365D6"/>
    <w:rsid w:val="59AC6BD1"/>
    <w:rsid w:val="59C6624C"/>
    <w:rsid w:val="59C87211"/>
    <w:rsid w:val="59CF1242"/>
    <w:rsid w:val="59F36CDF"/>
    <w:rsid w:val="59F62804"/>
    <w:rsid w:val="59F91E1B"/>
    <w:rsid w:val="5A160809"/>
    <w:rsid w:val="5A3612C1"/>
    <w:rsid w:val="5A3D06E8"/>
    <w:rsid w:val="5A5906B0"/>
    <w:rsid w:val="5A5B2AD6"/>
    <w:rsid w:val="5A64198B"/>
    <w:rsid w:val="5A647BDD"/>
    <w:rsid w:val="5A6776CD"/>
    <w:rsid w:val="5A783688"/>
    <w:rsid w:val="5A7E7E7F"/>
    <w:rsid w:val="5A7F428D"/>
    <w:rsid w:val="5AB02E22"/>
    <w:rsid w:val="5AB60C96"/>
    <w:rsid w:val="5AB71AD6"/>
    <w:rsid w:val="5ABB71F3"/>
    <w:rsid w:val="5AC34708"/>
    <w:rsid w:val="5AC81A94"/>
    <w:rsid w:val="5AD30120"/>
    <w:rsid w:val="5ADD1E9F"/>
    <w:rsid w:val="5AED4C29"/>
    <w:rsid w:val="5AFD4101"/>
    <w:rsid w:val="5B0D115D"/>
    <w:rsid w:val="5B1B5C1C"/>
    <w:rsid w:val="5B4C62AA"/>
    <w:rsid w:val="5B5A479B"/>
    <w:rsid w:val="5B7B5999"/>
    <w:rsid w:val="5B8701FE"/>
    <w:rsid w:val="5B8F2A37"/>
    <w:rsid w:val="5BA81D4B"/>
    <w:rsid w:val="5BC1388C"/>
    <w:rsid w:val="5BF26C79"/>
    <w:rsid w:val="5BF36D3D"/>
    <w:rsid w:val="5BF42F0E"/>
    <w:rsid w:val="5BF70DC5"/>
    <w:rsid w:val="5BFB2980"/>
    <w:rsid w:val="5C0F5926"/>
    <w:rsid w:val="5C2C57D9"/>
    <w:rsid w:val="5C332A22"/>
    <w:rsid w:val="5C3372E2"/>
    <w:rsid w:val="5C381066"/>
    <w:rsid w:val="5C3D458D"/>
    <w:rsid w:val="5C5872CD"/>
    <w:rsid w:val="5C89392A"/>
    <w:rsid w:val="5C9F4EFC"/>
    <w:rsid w:val="5CA74067"/>
    <w:rsid w:val="5CAE076F"/>
    <w:rsid w:val="5CB32755"/>
    <w:rsid w:val="5CB77601"/>
    <w:rsid w:val="5CBD6C00"/>
    <w:rsid w:val="5CCC562C"/>
    <w:rsid w:val="5CCE2E9A"/>
    <w:rsid w:val="5CCF51F0"/>
    <w:rsid w:val="5CD31049"/>
    <w:rsid w:val="5CEA5527"/>
    <w:rsid w:val="5CEF26C6"/>
    <w:rsid w:val="5D057876"/>
    <w:rsid w:val="5D3025C8"/>
    <w:rsid w:val="5D3271D9"/>
    <w:rsid w:val="5D380EAD"/>
    <w:rsid w:val="5D3C26AE"/>
    <w:rsid w:val="5D417D61"/>
    <w:rsid w:val="5D4569AE"/>
    <w:rsid w:val="5D592839"/>
    <w:rsid w:val="5D6129C6"/>
    <w:rsid w:val="5D645B66"/>
    <w:rsid w:val="5D696585"/>
    <w:rsid w:val="5D7F0635"/>
    <w:rsid w:val="5D804D2D"/>
    <w:rsid w:val="5D8E3401"/>
    <w:rsid w:val="5D975C92"/>
    <w:rsid w:val="5D9B1B67"/>
    <w:rsid w:val="5DA3431F"/>
    <w:rsid w:val="5DB744C7"/>
    <w:rsid w:val="5E066E73"/>
    <w:rsid w:val="5E1436C8"/>
    <w:rsid w:val="5E222FA7"/>
    <w:rsid w:val="5E337FF2"/>
    <w:rsid w:val="5E47584B"/>
    <w:rsid w:val="5E5E1703"/>
    <w:rsid w:val="5E6006BB"/>
    <w:rsid w:val="5E6501CF"/>
    <w:rsid w:val="5EA507C4"/>
    <w:rsid w:val="5ECC5D50"/>
    <w:rsid w:val="5EEA7ECF"/>
    <w:rsid w:val="5F08322C"/>
    <w:rsid w:val="5F090D52"/>
    <w:rsid w:val="5F0B4ACB"/>
    <w:rsid w:val="5F130A87"/>
    <w:rsid w:val="5F13572D"/>
    <w:rsid w:val="5F191895"/>
    <w:rsid w:val="5F19651F"/>
    <w:rsid w:val="5F463D55"/>
    <w:rsid w:val="5F4B3119"/>
    <w:rsid w:val="5F553C8D"/>
    <w:rsid w:val="5F6A3C59"/>
    <w:rsid w:val="5F73513A"/>
    <w:rsid w:val="5F7F6C0C"/>
    <w:rsid w:val="5F8C1DD9"/>
    <w:rsid w:val="5F9C1BC7"/>
    <w:rsid w:val="5F9D6B08"/>
    <w:rsid w:val="5FAE4A45"/>
    <w:rsid w:val="5FAF36A8"/>
    <w:rsid w:val="5FB7255D"/>
    <w:rsid w:val="5FBA204D"/>
    <w:rsid w:val="5FBE38EB"/>
    <w:rsid w:val="5FC51DA0"/>
    <w:rsid w:val="5FD81309"/>
    <w:rsid w:val="5FFA480A"/>
    <w:rsid w:val="60127CE4"/>
    <w:rsid w:val="602C6A5A"/>
    <w:rsid w:val="603174A3"/>
    <w:rsid w:val="6033538C"/>
    <w:rsid w:val="603E67DA"/>
    <w:rsid w:val="60543E36"/>
    <w:rsid w:val="60C2565D"/>
    <w:rsid w:val="60D33507"/>
    <w:rsid w:val="611328E5"/>
    <w:rsid w:val="612B107A"/>
    <w:rsid w:val="61426602"/>
    <w:rsid w:val="61427667"/>
    <w:rsid w:val="615C08D8"/>
    <w:rsid w:val="61744924"/>
    <w:rsid w:val="61830BFA"/>
    <w:rsid w:val="61917E9D"/>
    <w:rsid w:val="619706DF"/>
    <w:rsid w:val="619C5B33"/>
    <w:rsid w:val="619D6A40"/>
    <w:rsid w:val="61EE673E"/>
    <w:rsid w:val="61F903E6"/>
    <w:rsid w:val="620121E4"/>
    <w:rsid w:val="62037CDB"/>
    <w:rsid w:val="62265778"/>
    <w:rsid w:val="622F474D"/>
    <w:rsid w:val="62511D38"/>
    <w:rsid w:val="625F7CDE"/>
    <w:rsid w:val="62774C84"/>
    <w:rsid w:val="62B87124"/>
    <w:rsid w:val="62C006BF"/>
    <w:rsid w:val="62C26C2A"/>
    <w:rsid w:val="62C850AC"/>
    <w:rsid w:val="62EB6770"/>
    <w:rsid w:val="62F7618C"/>
    <w:rsid w:val="62FB7476"/>
    <w:rsid w:val="62FE5974"/>
    <w:rsid w:val="63285F64"/>
    <w:rsid w:val="632E2B36"/>
    <w:rsid w:val="63310878"/>
    <w:rsid w:val="633640E0"/>
    <w:rsid w:val="633B34A5"/>
    <w:rsid w:val="633F4D43"/>
    <w:rsid w:val="634265E1"/>
    <w:rsid w:val="63461B81"/>
    <w:rsid w:val="635D0C9C"/>
    <w:rsid w:val="6373359C"/>
    <w:rsid w:val="63775F3E"/>
    <w:rsid w:val="638050A5"/>
    <w:rsid w:val="638F7399"/>
    <w:rsid w:val="63912164"/>
    <w:rsid w:val="639554A5"/>
    <w:rsid w:val="63AD43A2"/>
    <w:rsid w:val="63B32808"/>
    <w:rsid w:val="63B75674"/>
    <w:rsid w:val="63C66299"/>
    <w:rsid w:val="63E56E61"/>
    <w:rsid w:val="63EA6FBC"/>
    <w:rsid w:val="640A4548"/>
    <w:rsid w:val="6413646C"/>
    <w:rsid w:val="641C5084"/>
    <w:rsid w:val="64204BDA"/>
    <w:rsid w:val="64485E79"/>
    <w:rsid w:val="645B2050"/>
    <w:rsid w:val="645F1B52"/>
    <w:rsid w:val="646C0F75"/>
    <w:rsid w:val="64AA756E"/>
    <w:rsid w:val="64C157D2"/>
    <w:rsid w:val="64C93C07"/>
    <w:rsid w:val="64D15E6F"/>
    <w:rsid w:val="64EB28E0"/>
    <w:rsid w:val="64F32289"/>
    <w:rsid w:val="65051FBC"/>
    <w:rsid w:val="65123E9C"/>
    <w:rsid w:val="65196F82"/>
    <w:rsid w:val="65291D4B"/>
    <w:rsid w:val="65474BE1"/>
    <w:rsid w:val="658F6BDA"/>
    <w:rsid w:val="659737D4"/>
    <w:rsid w:val="65A753BA"/>
    <w:rsid w:val="65B32D6C"/>
    <w:rsid w:val="65BD6942"/>
    <w:rsid w:val="65D57E5E"/>
    <w:rsid w:val="65D64AEE"/>
    <w:rsid w:val="65D9682D"/>
    <w:rsid w:val="65DC56D3"/>
    <w:rsid w:val="65E24F49"/>
    <w:rsid w:val="65E34BDD"/>
    <w:rsid w:val="65E63B9C"/>
    <w:rsid w:val="65E9396A"/>
    <w:rsid w:val="65F31E15"/>
    <w:rsid w:val="66156A5A"/>
    <w:rsid w:val="664208B6"/>
    <w:rsid w:val="66476636"/>
    <w:rsid w:val="6655429A"/>
    <w:rsid w:val="665A0924"/>
    <w:rsid w:val="66607B95"/>
    <w:rsid w:val="667B7466"/>
    <w:rsid w:val="668A1C23"/>
    <w:rsid w:val="6699346E"/>
    <w:rsid w:val="66A070C9"/>
    <w:rsid w:val="66A54190"/>
    <w:rsid w:val="66A650D9"/>
    <w:rsid w:val="66E16203"/>
    <w:rsid w:val="670818F0"/>
    <w:rsid w:val="67281C9A"/>
    <w:rsid w:val="67281F92"/>
    <w:rsid w:val="673957D1"/>
    <w:rsid w:val="673A11A0"/>
    <w:rsid w:val="674C7F5D"/>
    <w:rsid w:val="67897E8A"/>
    <w:rsid w:val="678F1183"/>
    <w:rsid w:val="678F3006"/>
    <w:rsid w:val="67991F27"/>
    <w:rsid w:val="67A50DA3"/>
    <w:rsid w:val="67C21D21"/>
    <w:rsid w:val="67C52DAE"/>
    <w:rsid w:val="67CB0F1A"/>
    <w:rsid w:val="67D267DB"/>
    <w:rsid w:val="67D808FF"/>
    <w:rsid w:val="67F23A74"/>
    <w:rsid w:val="6817628E"/>
    <w:rsid w:val="685F0182"/>
    <w:rsid w:val="686804DB"/>
    <w:rsid w:val="688402B2"/>
    <w:rsid w:val="68A67612"/>
    <w:rsid w:val="68B72869"/>
    <w:rsid w:val="68D87468"/>
    <w:rsid w:val="68F20AA9"/>
    <w:rsid w:val="690A2540"/>
    <w:rsid w:val="69321272"/>
    <w:rsid w:val="69410B62"/>
    <w:rsid w:val="69594684"/>
    <w:rsid w:val="695B21AB"/>
    <w:rsid w:val="696C3EA5"/>
    <w:rsid w:val="697471F7"/>
    <w:rsid w:val="698711F2"/>
    <w:rsid w:val="69912070"/>
    <w:rsid w:val="69A67B99"/>
    <w:rsid w:val="69AB2B19"/>
    <w:rsid w:val="69BE3B49"/>
    <w:rsid w:val="69D362B1"/>
    <w:rsid w:val="69EB79D2"/>
    <w:rsid w:val="6A0E546F"/>
    <w:rsid w:val="6A152CA1"/>
    <w:rsid w:val="6A266C5C"/>
    <w:rsid w:val="6A2E5B11"/>
    <w:rsid w:val="6A3749C6"/>
    <w:rsid w:val="6A721EA2"/>
    <w:rsid w:val="6A862F69"/>
    <w:rsid w:val="6AA858C3"/>
    <w:rsid w:val="6AFE1987"/>
    <w:rsid w:val="6B013EB0"/>
    <w:rsid w:val="6B0A3DAB"/>
    <w:rsid w:val="6B0A4E5A"/>
    <w:rsid w:val="6B0C6DAE"/>
    <w:rsid w:val="6B1A004E"/>
    <w:rsid w:val="6B1E5B86"/>
    <w:rsid w:val="6B256F14"/>
    <w:rsid w:val="6B4A0729"/>
    <w:rsid w:val="6B5B46E4"/>
    <w:rsid w:val="6B60557E"/>
    <w:rsid w:val="6B625A72"/>
    <w:rsid w:val="6B7E54B0"/>
    <w:rsid w:val="6B8E183E"/>
    <w:rsid w:val="6B936291"/>
    <w:rsid w:val="6B953355"/>
    <w:rsid w:val="6BBD1A66"/>
    <w:rsid w:val="6BCA4B0A"/>
    <w:rsid w:val="6BE50451"/>
    <w:rsid w:val="6BF653E3"/>
    <w:rsid w:val="6BF9674E"/>
    <w:rsid w:val="6BFB17F5"/>
    <w:rsid w:val="6C153260"/>
    <w:rsid w:val="6C321673"/>
    <w:rsid w:val="6C44786E"/>
    <w:rsid w:val="6C4C227F"/>
    <w:rsid w:val="6C4C5660"/>
    <w:rsid w:val="6C5850C7"/>
    <w:rsid w:val="6C647812"/>
    <w:rsid w:val="6C6A11DD"/>
    <w:rsid w:val="6C716611"/>
    <w:rsid w:val="6CAB4C89"/>
    <w:rsid w:val="6CAE084F"/>
    <w:rsid w:val="6CAE6A95"/>
    <w:rsid w:val="6CBF07A1"/>
    <w:rsid w:val="6CC83FFB"/>
    <w:rsid w:val="6CCC33F6"/>
    <w:rsid w:val="6CE40709"/>
    <w:rsid w:val="6CF272CA"/>
    <w:rsid w:val="6CFD69DF"/>
    <w:rsid w:val="6CFE7E66"/>
    <w:rsid w:val="6D0906EE"/>
    <w:rsid w:val="6D1234C8"/>
    <w:rsid w:val="6D2A2982"/>
    <w:rsid w:val="6D372F2F"/>
    <w:rsid w:val="6D7777CF"/>
    <w:rsid w:val="6D7E0B5E"/>
    <w:rsid w:val="6D7F3C94"/>
    <w:rsid w:val="6D880422"/>
    <w:rsid w:val="6D8816DC"/>
    <w:rsid w:val="6D9914F3"/>
    <w:rsid w:val="6DA31913"/>
    <w:rsid w:val="6DAC7BC8"/>
    <w:rsid w:val="6DB87679"/>
    <w:rsid w:val="6DD06FAF"/>
    <w:rsid w:val="6DD32C57"/>
    <w:rsid w:val="6DD733CE"/>
    <w:rsid w:val="6DE067A9"/>
    <w:rsid w:val="6E0214E2"/>
    <w:rsid w:val="6E0B6B0F"/>
    <w:rsid w:val="6E166B86"/>
    <w:rsid w:val="6E5518BE"/>
    <w:rsid w:val="6E7004A6"/>
    <w:rsid w:val="6E7354E8"/>
    <w:rsid w:val="6E895A0C"/>
    <w:rsid w:val="6E996E4B"/>
    <w:rsid w:val="6EB41ACB"/>
    <w:rsid w:val="6EC116E6"/>
    <w:rsid w:val="6EC845F6"/>
    <w:rsid w:val="6ECC79E2"/>
    <w:rsid w:val="6ED97D8C"/>
    <w:rsid w:val="6EE928E1"/>
    <w:rsid w:val="6EE97AC5"/>
    <w:rsid w:val="6EEC6857"/>
    <w:rsid w:val="6EF35013"/>
    <w:rsid w:val="6F1C2907"/>
    <w:rsid w:val="6F2D56DC"/>
    <w:rsid w:val="6F3E4CA8"/>
    <w:rsid w:val="6F6875C1"/>
    <w:rsid w:val="6F771D08"/>
    <w:rsid w:val="6FA00508"/>
    <w:rsid w:val="6FAC4B78"/>
    <w:rsid w:val="6FC61D35"/>
    <w:rsid w:val="6FD4206D"/>
    <w:rsid w:val="6FD57AD8"/>
    <w:rsid w:val="6FE67725"/>
    <w:rsid w:val="6FF11ABB"/>
    <w:rsid w:val="701A100B"/>
    <w:rsid w:val="70300483"/>
    <w:rsid w:val="7036571F"/>
    <w:rsid w:val="70413449"/>
    <w:rsid w:val="705B0CE2"/>
    <w:rsid w:val="706F0D4A"/>
    <w:rsid w:val="707149AA"/>
    <w:rsid w:val="70741DA4"/>
    <w:rsid w:val="707B38DA"/>
    <w:rsid w:val="707D4967"/>
    <w:rsid w:val="708F2650"/>
    <w:rsid w:val="70910BA8"/>
    <w:rsid w:val="709A5CAE"/>
    <w:rsid w:val="70DC5412"/>
    <w:rsid w:val="70E8748B"/>
    <w:rsid w:val="70FE623D"/>
    <w:rsid w:val="70FF1FB5"/>
    <w:rsid w:val="71284E98"/>
    <w:rsid w:val="71311706"/>
    <w:rsid w:val="7144021C"/>
    <w:rsid w:val="71443463"/>
    <w:rsid w:val="719E1A24"/>
    <w:rsid w:val="719E532A"/>
    <w:rsid w:val="71A14E1B"/>
    <w:rsid w:val="71C50B09"/>
    <w:rsid w:val="71DA506C"/>
    <w:rsid w:val="71F5068D"/>
    <w:rsid w:val="72281098"/>
    <w:rsid w:val="72477770"/>
    <w:rsid w:val="725934F8"/>
    <w:rsid w:val="72595F09"/>
    <w:rsid w:val="725B4129"/>
    <w:rsid w:val="72652EC2"/>
    <w:rsid w:val="72695938"/>
    <w:rsid w:val="72696AF1"/>
    <w:rsid w:val="7271006D"/>
    <w:rsid w:val="72744FEC"/>
    <w:rsid w:val="7275252F"/>
    <w:rsid w:val="727A317D"/>
    <w:rsid w:val="72A8342B"/>
    <w:rsid w:val="72A941EA"/>
    <w:rsid w:val="72AD7197"/>
    <w:rsid w:val="72B06FE8"/>
    <w:rsid w:val="72C26316"/>
    <w:rsid w:val="72E871A5"/>
    <w:rsid w:val="72F94DB4"/>
    <w:rsid w:val="72FA0C86"/>
    <w:rsid w:val="73057CA0"/>
    <w:rsid w:val="732420FD"/>
    <w:rsid w:val="7349727C"/>
    <w:rsid w:val="7360694F"/>
    <w:rsid w:val="7375030D"/>
    <w:rsid w:val="73797DFD"/>
    <w:rsid w:val="73815756"/>
    <w:rsid w:val="738F40F9"/>
    <w:rsid w:val="739629B5"/>
    <w:rsid w:val="73AA026A"/>
    <w:rsid w:val="73C80D84"/>
    <w:rsid w:val="73C848E1"/>
    <w:rsid w:val="73C942E2"/>
    <w:rsid w:val="73D2266C"/>
    <w:rsid w:val="73EB7915"/>
    <w:rsid w:val="73F024E4"/>
    <w:rsid w:val="740514E8"/>
    <w:rsid w:val="741A462F"/>
    <w:rsid w:val="742A3172"/>
    <w:rsid w:val="744D3038"/>
    <w:rsid w:val="745D7D5D"/>
    <w:rsid w:val="746D0255"/>
    <w:rsid w:val="74795BDB"/>
    <w:rsid w:val="747B06B5"/>
    <w:rsid w:val="747D391D"/>
    <w:rsid w:val="74816636"/>
    <w:rsid w:val="74B77572"/>
    <w:rsid w:val="74CD5B6B"/>
    <w:rsid w:val="74CE5F27"/>
    <w:rsid w:val="74D066B3"/>
    <w:rsid w:val="74D116DC"/>
    <w:rsid w:val="74D13C69"/>
    <w:rsid w:val="74D15761"/>
    <w:rsid w:val="74D343FB"/>
    <w:rsid w:val="74DF127F"/>
    <w:rsid w:val="74E476E3"/>
    <w:rsid w:val="753541F8"/>
    <w:rsid w:val="753663F5"/>
    <w:rsid w:val="753F5076"/>
    <w:rsid w:val="75457105"/>
    <w:rsid w:val="755A305F"/>
    <w:rsid w:val="7564270B"/>
    <w:rsid w:val="7572574E"/>
    <w:rsid w:val="75812C71"/>
    <w:rsid w:val="758A6F01"/>
    <w:rsid w:val="758F74DF"/>
    <w:rsid w:val="759A04FF"/>
    <w:rsid w:val="75B57991"/>
    <w:rsid w:val="75B72E5F"/>
    <w:rsid w:val="75BF7F65"/>
    <w:rsid w:val="75C737BF"/>
    <w:rsid w:val="75D346B5"/>
    <w:rsid w:val="75E41D5D"/>
    <w:rsid w:val="75E652F5"/>
    <w:rsid w:val="75E654F2"/>
    <w:rsid w:val="75FF74B7"/>
    <w:rsid w:val="761F2CFF"/>
    <w:rsid w:val="7639203F"/>
    <w:rsid w:val="76547C80"/>
    <w:rsid w:val="76572C6A"/>
    <w:rsid w:val="76616BD0"/>
    <w:rsid w:val="768D1C7F"/>
    <w:rsid w:val="76942EEE"/>
    <w:rsid w:val="76A421E3"/>
    <w:rsid w:val="76C43A85"/>
    <w:rsid w:val="76D11CFE"/>
    <w:rsid w:val="76E00627"/>
    <w:rsid w:val="76F21588"/>
    <w:rsid w:val="76F45775"/>
    <w:rsid w:val="76F706DD"/>
    <w:rsid w:val="77020109"/>
    <w:rsid w:val="77091ADF"/>
    <w:rsid w:val="774150D6"/>
    <w:rsid w:val="774B342B"/>
    <w:rsid w:val="775F072F"/>
    <w:rsid w:val="778D58C1"/>
    <w:rsid w:val="77981574"/>
    <w:rsid w:val="77BD28C6"/>
    <w:rsid w:val="77C7119B"/>
    <w:rsid w:val="77E31CE9"/>
    <w:rsid w:val="77EA751B"/>
    <w:rsid w:val="78086B94"/>
    <w:rsid w:val="780E0B4A"/>
    <w:rsid w:val="7830162C"/>
    <w:rsid w:val="783214B2"/>
    <w:rsid w:val="78342545"/>
    <w:rsid w:val="786344AC"/>
    <w:rsid w:val="78672DEE"/>
    <w:rsid w:val="786F5C73"/>
    <w:rsid w:val="787919A7"/>
    <w:rsid w:val="78941D64"/>
    <w:rsid w:val="78964FAD"/>
    <w:rsid w:val="789B38C0"/>
    <w:rsid w:val="78AC6756"/>
    <w:rsid w:val="78C25DA2"/>
    <w:rsid w:val="78CF7528"/>
    <w:rsid w:val="78D079AD"/>
    <w:rsid w:val="78D522ED"/>
    <w:rsid w:val="78D9133E"/>
    <w:rsid w:val="78DE0702"/>
    <w:rsid w:val="78E677F6"/>
    <w:rsid w:val="78FB223B"/>
    <w:rsid w:val="79142376"/>
    <w:rsid w:val="794C38BE"/>
    <w:rsid w:val="797846B3"/>
    <w:rsid w:val="797C08AB"/>
    <w:rsid w:val="79845BEF"/>
    <w:rsid w:val="79993AD1"/>
    <w:rsid w:val="79B408D2"/>
    <w:rsid w:val="79B853F7"/>
    <w:rsid w:val="7A02057D"/>
    <w:rsid w:val="7A04260F"/>
    <w:rsid w:val="7A042792"/>
    <w:rsid w:val="7A150154"/>
    <w:rsid w:val="7A1502E4"/>
    <w:rsid w:val="7A3339FB"/>
    <w:rsid w:val="7A3F1373"/>
    <w:rsid w:val="7A3F53ED"/>
    <w:rsid w:val="7A571A64"/>
    <w:rsid w:val="7A7275CC"/>
    <w:rsid w:val="7A8653A9"/>
    <w:rsid w:val="7A8772A3"/>
    <w:rsid w:val="7AAB2B39"/>
    <w:rsid w:val="7AAC16F7"/>
    <w:rsid w:val="7AC63611"/>
    <w:rsid w:val="7ACF29F8"/>
    <w:rsid w:val="7AD418B6"/>
    <w:rsid w:val="7AE077B3"/>
    <w:rsid w:val="7AE71AF0"/>
    <w:rsid w:val="7AEB0752"/>
    <w:rsid w:val="7AF350B0"/>
    <w:rsid w:val="7AF47CDC"/>
    <w:rsid w:val="7B0075BF"/>
    <w:rsid w:val="7B151501"/>
    <w:rsid w:val="7B155FAB"/>
    <w:rsid w:val="7B251E65"/>
    <w:rsid w:val="7B256ABC"/>
    <w:rsid w:val="7B4F58E7"/>
    <w:rsid w:val="7B51340D"/>
    <w:rsid w:val="7B632296"/>
    <w:rsid w:val="7B6465CE"/>
    <w:rsid w:val="7B8E7175"/>
    <w:rsid w:val="7BD06A28"/>
    <w:rsid w:val="7BF95DA7"/>
    <w:rsid w:val="7BFD5CC4"/>
    <w:rsid w:val="7C0D6D34"/>
    <w:rsid w:val="7C120267"/>
    <w:rsid w:val="7C1C3A1B"/>
    <w:rsid w:val="7C1C4D7B"/>
    <w:rsid w:val="7C2F34D3"/>
    <w:rsid w:val="7C3B1A59"/>
    <w:rsid w:val="7C3C2B6B"/>
    <w:rsid w:val="7C4D0079"/>
    <w:rsid w:val="7C635AEE"/>
    <w:rsid w:val="7C647774"/>
    <w:rsid w:val="7C7876D4"/>
    <w:rsid w:val="7C943EFA"/>
    <w:rsid w:val="7CA307B5"/>
    <w:rsid w:val="7CB62D95"/>
    <w:rsid w:val="7CDA5272"/>
    <w:rsid w:val="7CE85E00"/>
    <w:rsid w:val="7CF603ED"/>
    <w:rsid w:val="7D16490F"/>
    <w:rsid w:val="7D2708CA"/>
    <w:rsid w:val="7D296BA2"/>
    <w:rsid w:val="7D384155"/>
    <w:rsid w:val="7D3A2C93"/>
    <w:rsid w:val="7D3C0882"/>
    <w:rsid w:val="7D5471E5"/>
    <w:rsid w:val="7D5D42EC"/>
    <w:rsid w:val="7D5E506A"/>
    <w:rsid w:val="7D613EA6"/>
    <w:rsid w:val="7D6A7C65"/>
    <w:rsid w:val="7D6C452F"/>
    <w:rsid w:val="7D9C58FE"/>
    <w:rsid w:val="7DA33E6C"/>
    <w:rsid w:val="7DA868C0"/>
    <w:rsid w:val="7DC225BC"/>
    <w:rsid w:val="7DCC7AD0"/>
    <w:rsid w:val="7DE55565"/>
    <w:rsid w:val="7DF509C8"/>
    <w:rsid w:val="7DFC52B7"/>
    <w:rsid w:val="7E084369"/>
    <w:rsid w:val="7E0A6AB6"/>
    <w:rsid w:val="7E1C216A"/>
    <w:rsid w:val="7E353820"/>
    <w:rsid w:val="7E3A0A8B"/>
    <w:rsid w:val="7E3C65F7"/>
    <w:rsid w:val="7E4277D8"/>
    <w:rsid w:val="7E494870"/>
    <w:rsid w:val="7E6B47E6"/>
    <w:rsid w:val="7E8D29AE"/>
    <w:rsid w:val="7E917AA8"/>
    <w:rsid w:val="7E933D6E"/>
    <w:rsid w:val="7E9F26E2"/>
    <w:rsid w:val="7EA146AC"/>
    <w:rsid w:val="7EAD0039"/>
    <w:rsid w:val="7EFF7828"/>
    <w:rsid w:val="7F0A3FFF"/>
    <w:rsid w:val="7F102B9B"/>
    <w:rsid w:val="7F110A02"/>
    <w:rsid w:val="7F172CD6"/>
    <w:rsid w:val="7F182113"/>
    <w:rsid w:val="7F243A58"/>
    <w:rsid w:val="7F253C46"/>
    <w:rsid w:val="7F293089"/>
    <w:rsid w:val="7F2F1CB8"/>
    <w:rsid w:val="7F7C62EF"/>
    <w:rsid w:val="7F871AF4"/>
    <w:rsid w:val="7FA07C64"/>
    <w:rsid w:val="7FB763C3"/>
    <w:rsid w:val="7FCB7450"/>
    <w:rsid w:val="7FD146BB"/>
    <w:rsid w:val="7FD60A62"/>
    <w:rsid w:val="7FE97077"/>
    <w:rsid w:val="7FF3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jc w:val="left"/>
      <w:outlineLvl w:val="2"/>
    </w:pPr>
    <w:rPr>
      <w:b/>
      <w:bCs/>
      <w:kern w:val="0"/>
      <w:sz w:val="32"/>
      <w:szCs w:val="32"/>
    </w:rPr>
  </w:style>
  <w:style w:type="paragraph" w:styleId="5">
    <w:name w:val="heading 4"/>
    <w:basedOn w:val="1"/>
    <w:next w:val="1"/>
    <w:link w:val="59"/>
    <w:qFormat/>
    <w:uiPriority w:val="0"/>
    <w:pPr>
      <w:keepNext/>
      <w:jc w:val="center"/>
      <w:outlineLvl w:val="3"/>
    </w:pPr>
    <w:rPr>
      <w:rFonts w:eastAsia="新宋体"/>
      <w:kern w:val="0"/>
      <w:sz w:val="30"/>
      <w:szCs w:val="21"/>
    </w:rPr>
  </w:style>
  <w:style w:type="paragraph" w:styleId="6">
    <w:name w:val="heading 5"/>
    <w:basedOn w:val="1"/>
    <w:next w:val="1"/>
    <w:link w:val="60"/>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61"/>
    <w:qFormat/>
    <w:uiPriority w:val="0"/>
    <w:pPr>
      <w:keepNext/>
      <w:jc w:val="center"/>
      <w:outlineLvl w:val="5"/>
    </w:pPr>
    <w:rPr>
      <w:b/>
      <w:kern w:val="0"/>
      <w:sz w:val="44"/>
      <w:szCs w:val="20"/>
    </w:rPr>
  </w:style>
  <w:style w:type="paragraph" w:styleId="9">
    <w:name w:val="heading 7"/>
    <w:basedOn w:val="1"/>
    <w:next w:val="1"/>
    <w:link w:val="63"/>
    <w:qFormat/>
    <w:uiPriority w:val="0"/>
    <w:pPr>
      <w:keepNext/>
      <w:keepLines/>
      <w:spacing w:before="240" w:after="64" w:line="320" w:lineRule="auto"/>
      <w:outlineLvl w:val="6"/>
    </w:pPr>
    <w:rPr>
      <w:b/>
      <w:bCs/>
      <w:kern w:val="0"/>
      <w:sz w:val="24"/>
    </w:rPr>
  </w:style>
  <w:style w:type="paragraph" w:styleId="10">
    <w:name w:val="heading 8"/>
    <w:basedOn w:val="1"/>
    <w:next w:val="1"/>
    <w:link w:val="64"/>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5"/>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2"/>
    <w:qFormat/>
    <w:uiPriority w:val="0"/>
    <w:pPr>
      <w:ind w:firstLine="420"/>
    </w:pPr>
    <w:rPr>
      <w:kern w:val="0"/>
      <w:sz w:val="20"/>
      <w:szCs w:val="20"/>
    </w:rPr>
  </w:style>
  <w:style w:type="paragraph" w:styleId="12">
    <w:name w:val="Document Map"/>
    <w:basedOn w:val="1"/>
    <w:link w:val="66"/>
    <w:semiHidden/>
    <w:qFormat/>
    <w:uiPriority w:val="0"/>
    <w:pPr>
      <w:shd w:val="clear" w:color="auto" w:fill="000080"/>
    </w:pPr>
    <w:rPr>
      <w:kern w:val="0"/>
      <w:sz w:val="20"/>
    </w:rPr>
  </w:style>
  <w:style w:type="paragraph" w:styleId="13">
    <w:name w:val="toa heading"/>
    <w:basedOn w:val="1"/>
    <w:next w:val="1"/>
    <w:semiHidden/>
    <w:qFormat/>
    <w:uiPriority w:val="0"/>
    <w:pPr>
      <w:jc w:val="center"/>
    </w:pPr>
    <w:rPr>
      <w:rFonts w:ascii="Arial" w:hAnsi="Arial" w:eastAsia="黑体"/>
      <w:sz w:val="36"/>
    </w:rPr>
  </w:style>
  <w:style w:type="paragraph" w:styleId="14">
    <w:name w:val="annotation text"/>
    <w:basedOn w:val="1"/>
    <w:link w:val="67"/>
    <w:unhideWhenUsed/>
    <w:qFormat/>
    <w:uiPriority w:val="99"/>
    <w:pPr>
      <w:jc w:val="left"/>
    </w:pPr>
  </w:style>
  <w:style w:type="paragraph" w:styleId="15">
    <w:name w:val="Body Text 3"/>
    <w:basedOn w:val="1"/>
    <w:link w:val="68"/>
    <w:qFormat/>
    <w:uiPriority w:val="0"/>
    <w:pPr>
      <w:spacing w:after="120"/>
    </w:pPr>
    <w:rPr>
      <w:kern w:val="0"/>
      <w:sz w:val="16"/>
      <w:szCs w:val="16"/>
    </w:rPr>
  </w:style>
  <w:style w:type="paragraph" w:styleId="16">
    <w:name w:val="Body Text"/>
    <w:basedOn w:val="1"/>
    <w:next w:val="8"/>
    <w:link w:val="53"/>
    <w:qFormat/>
    <w:uiPriority w:val="0"/>
    <w:rPr>
      <w:rFonts w:ascii="仿宋_GB2312" w:eastAsia="仿宋_GB2312"/>
      <w:kern w:val="0"/>
      <w:sz w:val="24"/>
      <w:szCs w:val="20"/>
    </w:rPr>
  </w:style>
  <w:style w:type="paragraph" w:styleId="17">
    <w:name w:val="Body Text Indent"/>
    <w:basedOn w:val="1"/>
    <w:link w:val="54"/>
    <w:qFormat/>
    <w:uiPriority w:val="0"/>
    <w:pPr>
      <w:ind w:left="765"/>
    </w:pPr>
    <w:rPr>
      <w:rFonts w:ascii="仿宋_GB2312" w:eastAsia="仿宋_GB2312"/>
      <w:kern w:val="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kern w:val="0"/>
      <w:sz w:val="20"/>
      <w:szCs w:val="21"/>
    </w:rPr>
  </w:style>
  <w:style w:type="paragraph" w:styleId="20">
    <w:name w:val="Date"/>
    <w:basedOn w:val="1"/>
    <w:next w:val="1"/>
    <w:link w:val="70"/>
    <w:qFormat/>
    <w:uiPriority w:val="0"/>
    <w:rPr>
      <w:kern w:val="0"/>
      <w:sz w:val="24"/>
      <w:szCs w:val="20"/>
    </w:rPr>
  </w:style>
  <w:style w:type="paragraph" w:styleId="21">
    <w:name w:val="Body Text Indent 2"/>
    <w:basedOn w:val="1"/>
    <w:link w:val="71"/>
    <w:qFormat/>
    <w:uiPriority w:val="0"/>
    <w:pPr>
      <w:spacing w:line="500" w:lineRule="exact"/>
      <w:ind w:firstLine="560" w:firstLineChars="200"/>
    </w:pPr>
    <w:rPr>
      <w:rFonts w:eastAsia="仿宋_GB2312"/>
      <w:kern w:val="0"/>
      <w:sz w:val="28"/>
      <w:szCs w:val="20"/>
    </w:rPr>
  </w:style>
  <w:style w:type="paragraph" w:styleId="22">
    <w:name w:val="Balloon Text"/>
    <w:basedOn w:val="1"/>
    <w:link w:val="72"/>
    <w:semiHidden/>
    <w:qFormat/>
    <w:uiPriority w:val="0"/>
    <w:rPr>
      <w:kern w:val="0"/>
      <w:sz w:val="18"/>
      <w:szCs w:val="18"/>
    </w:rPr>
  </w:style>
  <w:style w:type="paragraph" w:styleId="23">
    <w:name w:val="footer"/>
    <w:basedOn w:val="1"/>
    <w:link w:val="73"/>
    <w:qFormat/>
    <w:uiPriority w:val="99"/>
    <w:pPr>
      <w:tabs>
        <w:tab w:val="center" w:pos="4153"/>
        <w:tab w:val="right" w:pos="8306"/>
      </w:tabs>
      <w:snapToGrid w:val="0"/>
      <w:jc w:val="left"/>
    </w:pPr>
    <w:rPr>
      <w:kern w:val="0"/>
      <w:sz w:val="18"/>
      <w:szCs w:val="20"/>
    </w:rPr>
  </w:style>
  <w:style w:type="paragraph" w:styleId="24">
    <w:name w:val="envelope return"/>
    <w:basedOn w:val="1"/>
    <w:unhideWhenUsed/>
    <w:qFormat/>
    <w:uiPriority w:val="99"/>
    <w:pPr>
      <w:snapToGrid w:val="0"/>
    </w:pPr>
    <w:rPr>
      <w:rFonts w:ascii="Arial" w:hAnsi="Arial"/>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qFormat/>
    <w:uiPriority w:val="0"/>
    <w:rPr>
      <w:sz w:val="24"/>
    </w:rPr>
  </w:style>
  <w:style w:type="paragraph" w:styleId="27">
    <w:name w:val="List"/>
    <w:basedOn w:val="1"/>
    <w:qFormat/>
    <w:uiPriority w:val="0"/>
    <w:pPr>
      <w:ind w:left="200" w:hanging="200" w:hangingChars="200"/>
    </w:pPr>
  </w:style>
  <w:style w:type="paragraph" w:styleId="28">
    <w:name w:val="Body Text Indent 3"/>
    <w:basedOn w:val="1"/>
    <w:link w:val="75"/>
    <w:qFormat/>
    <w:uiPriority w:val="0"/>
    <w:pPr>
      <w:spacing w:after="120"/>
      <w:ind w:left="420" w:leftChars="200"/>
    </w:pPr>
    <w:rPr>
      <w:kern w:val="0"/>
      <w:sz w:val="16"/>
      <w:szCs w:val="16"/>
    </w:rPr>
  </w:style>
  <w:style w:type="paragraph" w:styleId="29">
    <w:name w:val="toc 2"/>
    <w:basedOn w:val="1"/>
    <w:next w:val="1"/>
    <w:qFormat/>
    <w:uiPriority w:val="39"/>
    <w:pPr>
      <w:ind w:left="420" w:leftChars="200"/>
    </w:pPr>
  </w:style>
  <w:style w:type="paragraph" w:styleId="30">
    <w:name w:val="Body Text 2"/>
    <w:basedOn w:val="1"/>
    <w:link w:val="76"/>
    <w:qFormat/>
    <w:uiPriority w:val="0"/>
    <w:pPr>
      <w:snapToGrid w:val="0"/>
    </w:pPr>
    <w:rPr>
      <w:b/>
      <w:bCs/>
      <w:kern w:val="0"/>
      <w:sz w:val="18"/>
    </w:rPr>
  </w:style>
  <w:style w:type="paragraph" w:styleId="3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2">
    <w:name w:val="Title"/>
    <w:basedOn w:val="1"/>
    <w:next w:val="1"/>
    <w:qFormat/>
    <w:uiPriority w:val="0"/>
    <w:pPr>
      <w:tabs>
        <w:tab w:val="left" w:pos="840"/>
        <w:tab w:val="left" w:pos="2098"/>
      </w:tabs>
      <w:spacing w:before="240" w:after="60"/>
      <w:ind w:left="2098" w:hanging="2098"/>
      <w:jc w:val="center"/>
      <w:outlineLvl w:val="0"/>
    </w:pPr>
    <w:rPr>
      <w:rFonts w:ascii="文新字海-粗楷" w:hAnsi="PMingLiU" w:eastAsia="文新字海-粗楷"/>
      <w:bCs/>
      <w:sz w:val="32"/>
      <w:szCs w:val="32"/>
    </w:rPr>
  </w:style>
  <w:style w:type="paragraph" w:styleId="33">
    <w:name w:val="annotation subject"/>
    <w:basedOn w:val="14"/>
    <w:next w:val="14"/>
    <w:link w:val="77"/>
    <w:unhideWhenUsed/>
    <w:qFormat/>
    <w:uiPriority w:val="99"/>
    <w:rPr>
      <w:b/>
      <w:bCs/>
    </w:rPr>
  </w:style>
  <w:style w:type="paragraph" w:styleId="34">
    <w:name w:val="Body Text First Indent"/>
    <w:basedOn w:val="16"/>
    <w:link w:val="55"/>
    <w:qFormat/>
    <w:uiPriority w:val="0"/>
    <w:pPr>
      <w:spacing w:after="120"/>
      <w:ind w:firstLine="420" w:firstLineChars="100"/>
    </w:pPr>
    <w:rPr>
      <w:rFonts w:ascii="Times New Roman" w:eastAsia="宋体"/>
      <w:szCs w:val="24"/>
    </w:rPr>
  </w:style>
  <w:style w:type="paragraph" w:styleId="35">
    <w:name w:val="Body Text First Indent 2"/>
    <w:basedOn w:val="17"/>
    <w:unhideWhenUsed/>
    <w:qFormat/>
    <w:uiPriority w:val="99"/>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none"/>
    </w:rPr>
  </w:style>
  <w:style w:type="character" w:styleId="42">
    <w:name w:val="Emphasis"/>
    <w:qFormat/>
    <w:uiPriority w:val="20"/>
    <w:rPr>
      <w:b/>
      <w:bCs/>
    </w:rPr>
  </w:style>
  <w:style w:type="character" w:styleId="43">
    <w:name w:val="HTML Definition"/>
    <w:unhideWhenUsed/>
    <w:qFormat/>
    <w:uiPriority w:val="99"/>
  </w:style>
  <w:style w:type="character" w:styleId="44">
    <w:name w:val="HTML Typewriter"/>
    <w:unhideWhenUsed/>
    <w:qFormat/>
    <w:uiPriority w:val="99"/>
    <w:rPr>
      <w:rFonts w:hint="default" w:ascii="monospace" w:hAnsi="monospace" w:eastAsia="monospace" w:cs="monospace"/>
      <w:sz w:val="20"/>
    </w:rPr>
  </w:style>
  <w:style w:type="character" w:styleId="45">
    <w:name w:val="HTML Acronym"/>
    <w:unhideWhenUsed/>
    <w:qFormat/>
    <w:uiPriority w:val="99"/>
  </w:style>
  <w:style w:type="character" w:styleId="46">
    <w:name w:val="HTML Variable"/>
    <w:unhideWhenUsed/>
    <w:qFormat/>
    <w:uiPriority w:val="99"/>
  </w:style>
  <w:style w:type="character" w:styleId="47">
    <w:name w:val="Hyperlink"/>
    <w:qFormat/>
    <w:uiPriority w:val="0"/>
    <w:rPr>
      <w:color w:val="0000FF"/>
      <w:u w:val="none"/>
    </w:rPr>
  </w:style>
  <w:style w:type="character" w:styleId="48">
    <w:name w:val="HTML Code"/>
    <w:unhideWhenUsed/>
    <w:qFormat/>
    <w:uiPriority w:val="99"/>
    <w:rPr>
      <w:rFonts w:hint="default" w:ascii="monospace" w:hAnsi="monospace" w:eastAsia="monospace" w:cs="monospace"/>
      <w:sz w:val="20"/>
    </w:rPr>
  </w:style>
  <w:style w:type="character" w:styleId="49">
    <w:name w:val="annotation reference"/>
    <w:unhideWhenUsed/>
    <w:qFormat/>
    <w:uiPriority w:val="99"/>
    <w:rPr>
      <w:sz w:val="21"/>
      <w:szCs w:val="21"/>
    </w:rPr>
  </w:style>
  <w:style w:type="character" w:styleId="50">
    <w:name w:val="HTML Cite"/>
    <w:unhideWhenUsed/>
    <w:qFormat/>
    <w:uiPriority w:val="99"/>
  </w:style>
  <w:style w:type="character" w:styleId="51">
    <w:name w:val="HTML Keyboard"/>
    <w:unhideWhenUsed/>
    <w:qFormat/>
    <w:uiPriority w:val="99"/>
    <w:rPr>
      <w:rFonts w:ascii="monospace" w:hAnsi="monospace" w:eastAsia="monospace" w:cs="monospace"/>
      <w:sz w:val="20"/>
    </w:rPr>
  </w:style>
  <w:style w:type="character" w:styleId="52">
    <w:name w:val="HTML Sample"/>
    <w:unhideWhenUsed/>
    <w:qFormat/>
    <w:uiPriority w:val="99"/>
    <w:rPr>
      <w:rFonts w:hint="default" w:ascii="monospace" w:hAnsi="monospace" w:eastAsia="monospace" w:cs="monospace"/>
    </w:rPr>
  </w:style>
  <w:style w:type="character" w:customStyle="1" w:styleId="53">
    <w:name w:val="正文文本 Char"/>
    <w:link w:val="16"/>
    <w:qFormat/>
    <w:uiPriority w:val="0"/>
    <w:rPr>
      <w:rFonts w:ascii="仿宋_GB2312" w:hAnsi="Times New Roman" w:eastAsia="仿宋_GB2312" w:cs="Times New Roman"/>
      <w:sz w:val="24"/>
      <w:szCs w:val="20"/>
    </w:rPr>
  </w:style>
  <w:style w:type="character" w:customStyle="1" w:styleId="54">
    <w:name w:val="正文文本缩进 Char1"/>
    <w:link w:val="17"/>
    <w:qFormat/>
    <w:uiPriority w:val="0"/>
    <w:rPr>
      <w:rFonts w:ascii="仿宋_GB2312" w:hAnsi="Times New Roman" w:eastAsia="仿宋_GB2312" w:cs="Times New Roman"/>
      <w:sz w:val="28"/>
      <w:szCs w:val="20"/>
    </w:rPr>
  </w:style>
  <w:style w:type="character" w:customStyle="1" w:styleId="55">
    <w:name w:val="正文首行缩进 Char"/>
    <w:link w:val="34"/>
    <w:qFormat/>
    <w:uiPriority w:val="0"/>
    <w:rPr>
      <w:rFonts w:ascii="Times New Roman" w:hAnsi="Times New Roman" w:eastAsia="宋体" w:cs="Times New Roman"/>
      <w:sz w:val="24"/>
      <w:szCs w:val="24"/>
    </w:rPr>
  </w:style>
  <w:style w:type="character" w:customStyle="1" w:styleId="56">
    <w:name w:val="标题 1 Char"/>
    <w:link w:val="3"/>
    <w:qFormat/>
    <w:uiPriority w:val="0"/>
    <w:rPr>
      <w:rFonts w:ascii="Times New Roman" w:hAnsi="Times New Roman" w:eastAsia="宋体" w:cs="Times New Roman"/>
      <w:b/>
      <w:bCs/>
      <w:kern w:val="44"/>
      <w:sz w:val="44"/>
      <w:szCs w:val="44"/>
    </w:rPr>
  </w:style>
  <w:style w:type="character" w:customStyle="1" w:styleId="57">
    <w:name w:val="标题 2 Char"/>
    <w:link w:val="2"/>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4 Char"/>
    <w:link w:val="5"/>
    <w:qFormat/>
    <w:uiPriority w:val="0"/>
    <w:rPr>
      <w:rFonts w:ascii="Times New Roman" w:hAnsi="Times New Roman" w:eastAsia="新宋体" w:cs="Times New Roman"/>
      <w:sz w:val="30"/>
      <w:szCs w:val="21"/>
    </w:rPr>
  </w:style>
  <w:style w:type="character" w:customStyle="1" w:styleId="60">
    <w:name w:val="标题 5 Char"/>
    <w:link w:val="6"/>
    <w:qFormat/>
    <w:uiPriority w:val="0"/>
    <w:rPr>
      <w:rFonts w:ascii="Times New Roman" w:hAnsi="Times New Roman" w:eastAsia="宋体" w:cs="Times New Roman"/>
      <w:b/>
      <w:bCs/>
      <w:sz w:val="28"/>
      <w:szCs w:val="28"/>
    </w:rPr>
  </w:style>
  <w:style w:type="character" w:customStyle="1" w:styleId="61">
    <w:name w:val="标题 6 Char"/>
    <w:link w:val="7"/>
    <w:qFormat/>
    <w:uiPriority w:val="0"/>
    <w:rPr>
      <w:rFonts w:ascii="Times New Roman" w:hAnsi="Times New Roman" w:eastAsia="宋体" w:cs="Times New Roman"/>
      <w:b/>
      <w:sz w:val="44"/>
      <w:szCs w:val="20"/>
    </w:rPr>
  </w:style>
  <w:style w:type="character" w:customStyle="1" w:styleId="62">
    <w:name w:val="正文缩进 Char"/>
    <w:link w:val="8"/>
    <w:qFormat/>
    <w:uiPriority w:val="0"/>
    <w:rPr>
      <w:rFonts w:ascii="Times New Roman" w:hAnsi="Times New Roman" w:eastAsia="宋体" w:cs="Times New Roman"/>
      <w:kern w:val="0"/>
      <w:sz w:val="20"/>
      <w:szCs w:val="20"/>
    </w:rPr>
  </w:style>
  <w:style w:type="character" w:customStyle="1" w:styleId="63">
    <w:name w:val="标题 7 Char"/>
    <w:link w:val="9"/>
    <w:qFormat/>
    <w:uiPriority w:val="0"/>
    <w:rPr>
      <w:rFonts w:ascii="Times New Roman" w:hAnsi="Times New Roman" w:eastAsia="宋体" w:cs="Times New Roman"/>
      <w:b/>
      <w:bCs/>
      <w:sz w:val="24"/>
      <w:szCs w:val="24"/>
    </w:rPr>
  </w:style>
  <w:style w:type="character" w:customStyle="1" w:styleId="64">
    <w:name w:val="标题 8 Char"/>
    <w:link w:val="10"/>
    <w:qFormat/>
    <w:uiPriority w:val="0"/>
    <w:rPr>
      <w:rFonts w:ascii="Arial" w:hAnsi="Arial" w:eastAsia="黑体" w:cs="Times New Roman"/>
      <w:sz w:val="24"/>
      <w:szCs w:val="24"/>
    </w:rPr>
  </w:style>
  <w:style w:type="character" w:customStyle="1" w:styleId="65">
    <w:name w:val="标题 9 Char"/>
    <w:link w:val="11"/>
    <w:qFormat/>
    <w:uiPriority w:val="0"/>
    <w:rPr>
      <w:rFonts w:ascii="Arial" w:hAnsi="Arial" w:eastAsia="黑体" w:cs="Times New Roman"/>
      <w:sz w:val="24"/>
      <w:szCs w:val="21"/>
    </w:rPr>
  </w:style>
  <w:style w:type="character" w:customStyle="1" w:styleId="66">
    <w:name w:val="文档结构图 Char"/>
    <w:link w:val="12"/>
    <w:semiHidden/>
    <w:qFormat/>
    <w:uiPriority w:val="0"/>
    <w:rPr>
      <w:szCs w:val="24"/>
      <w:shd w:val="clear" w:color="auto" w:fill="000080"/>
    </w:rPr>
  </w:style>
  <w:style w:type="character" w:customStyle="1" w:styleId="67">
    <w:name w:val="批注文字 Char"/>
    <w:link w:val="14"/>
    <w:semiHidden/>
    <w:qFormat/>
    <w:uiPriority w:val="99"/>
    <w:rPr>
      <w:kern w:val="2"/>
      <w:sz w:val="21"/>
      <w:szCs w:val="24"/>
    </w:rPr>
  </w:style>
  <w:style w:type="character" w:customStyle="1" w:styleId="68">
    <w:name w:val="正文文本 3 Char"/>
    <w:link w:val="15"/>
    <w:qFormat/>
    <w:uiPriority w:val="0"/>
    <w:rPr>
      <w:rFonts w:ascii="Times New Roman" w:hAnsi="Times New Roman" w:eastAsia="宋体" w:cs="Times New Roman"/>
      <w:sz w:val="16"/>
      <w:szCs w:val="16"/>
    </w:rPr>
  </w:style>
  <w:style w:type="character" w:customStyle="1" w:styleId="69">
    <w:name w:val="纯文本 Char"/>
    <w:link w:val="19"/>
    <w:qFormat/>
    <w:uiPriority w:val="0"/>
    <w:rPr>
      <w:rFonts w:ascii="宋体" w:hAnsi="Courier New" w:eastAsia="宋体" w:cs="Courier New"/>
      <w:szCs w:val="21"/>
    </w:rPr>
  </w:style>
  <w:style w:type="character" w:customStyle="1" w:styleId="70">
    <w:name w:val="日期 Char"/>
    <w:link w:val="20"/>
    <w:qFormat/>
    <w:uiPriority w:val="0"/>
    <w:rPr>
      <w:rFonts w:ascii="Times New Roman" w:hAnsi="Times New Roman" w:eastAsia="宋体" w:cs="Times New Roman"/>
      <w:sz w:val="24"/>
      <w:szCs w:val="20"/>
    </w:rPr>
  </w:style>
  <w:style w:type="character" w:customStyle="1" w:styleId="71">
    <w:name w:val="正文文本缩进 2 Char"/>
    <w:link w:val="21"/>
    <w:qFormat/>
    <w:uiPriority w:val="0"/>
    <w:rPr>
      <w:rFonts w:ascii="Times New Roman" w:hAnsi="Times New Roman" w:eastAsia="仿宋_GB2312" w:cs="Times New Roman"/>
      <w:sz w:val="28"/>
      <w:szCs w:val="20"/>
    </w:rPr>
  </w:style>
  <w:style w:type="character" w:customStyle="1" w:styleId="72">
    <w:name w:val="批注框文本 Char"/>
    <w:link w:val="22"/>
    <w:semiHidden/>
    <w:qFormat/>
    <w:uiPriority w:val="0"/>
    <w:rPr>
      <w:sz w:val="18"/>
      <w:szCs w:val="18"/>
    </w:rPr>
  </w:style>
  <w:style w:type="character" w:customStyle="1" w:styleId="73">
    <w:name w:val="页脚 Char"/>
    <w:link w:val="23"/>
    <w:qFormat/>
    <w:uiPriority w:val="99"/>
    <w:rPr>
      <w:rFonts w:ascii="Times New Roman" w:hAnsi="Times New Roman" w:eastAsia="宋体" w:cs="Times New Roman"/>
      <w:sz w:val="18"/>
      <w:szCs w:val="20"/>
    </w:rPr>
  </w:style>
  <w:style w:type="character" w:customStyle="1" w:styleId="74">
    <w:name w:val="页眉 Char"/>
    <w:link w:val="25"/>
    <w:qFormat/>
    <w:uiPriority w:val="0"/>
    <w:rPr>
      <w:rFonts w:ascii="Times New Roman" w:hAnsi="Times New Roman" w:eastAsia="宋体" w:cs="Times New Roman"/>
      <w:sz w:val="18"/>
      <w:szCs w:val="18"/>
    </w:rPr>
  </w:style>
  <w:style w:type="character" w:customStyle="1" w:styleId="75">
    <w:name w:val="正文文本缩进 3 Char"/>
    <w:link w:val="28"/>
    <w:qFormat/>
    <w:uiPriority w:val="0"/>
    <w:rPr>
      <w:rFonts w:ascii="Times New Roman" w:hAnsi="Times New Roman" w:eastAsia="宋体" w:cs="Times New Roman"/>
      <w:sz w:val="16"/>
      <w:szCs w:val="16"/>
    </w:rPr>
  </w:style>
  <w:style w:type="character" w:customStyle="1" w:styleId="76">
    <w:name w:val="正文文本 2 Char"/>
    <w:link w:val="30"/>
    <w:qFormat/>
    <w:uiPriority w:val="0"/>
    <w:rPr>
      <w:rFonts w:ascii="Times New Roman" w:hAnsi="Times New Roman" w:eastAsia="宋体" w:cs="Times New Roman"/>
      <w:b/>
      <w:bCs/>
      <w:sz w:val="18"/>
      <w:szCs w:val="24"/>
    </w:rPr>
  </w:style>
  <w:style w:type="character" w:customStyle="1" w:styleId="77">
    <w:name w:val="批注主题 Char"/>
    <w:link w:val="33"/>
    <w:semiHidden/>
    <w:qFormat/>
    <w:uiPriority w:val="99"/>
    <w:rPr>
      <w:b/>
      <w:bCs/>
      <w:kern w:val="2"/>
      <w:sz w:val="21"/>
      <w:szCs w:val="24"/>
    </w:rPr>
  </w:style>
  <w:style w:type="paragraph" w:customStyle="1" w:styleId="78">
    <w:name w:val="无间隔1"/>
    <w:qFormat/>
    <w:uiPriority w:val="0"/>
    <w:rPr>
      <w:rFonts w:ascii="Times New Roman" w:hAnsi="Times New Roman" w:eastAsia="宋体" w:cs="Times New Roman"/>
      <w:sz w:val="22"/>
      <w:szCs w:val="22"/>
      <w:lang w:val="en-US" w:eastAsia="en-US" w:bidi="en-US"/>
    </w:rPr>
  </w:style>
  <w:style w:type="character" w:customStyle="1" w:styleId="79">
    <w:name w:val="mini-tree-nodetext3"/>
    <w:qFormat/>
    <w:uiPriority w:val="0"/>
  </w:style>
  <w:style w:type="character" w:customStyle="1" w:styleId="80">
    <w:name w:val="mini-tree-nodetext2"/>
    <w:qFormat/>
    <w:uiPriority w:val="0"/>
  </w:style>
  <w:style w:type="character" w:customStyle="1" w:styleId="81">
    <w:name w:val="正文文本缩进 Char"/>
    <w:qFormat/>
    <w:uiPriority w:val="0"/>
    <w:rPr>
      <w:rFonts w:ascii="仿宋_GB2312" w:hAnsi="Times New Roman" w:eastAsia="仿宋_GB2312" w:cs="Times New Roman"/>
      <w:sz w:val="28"/>
      <w:szCs w:val="20"/>
    </w:rPr>
  </w:style>
  <w:style w:type="character" w:customStyle="1" w:styleId="82">
    <w:name w:val="标题 4 Char1"/>
    <w:qFormat/>
    <w:uiPriority w:val="0"/>
    <w:rPr>
      <w:rFonts w:ascii="Arial" w:hAnsi="Arial" w:eastAsia="黑体"/>
      <w:b/>
      <w:bCs/>
      <w:kern w:val="2"/>
      <w:sz w:val="28"/>
      <w:szCs w:val="28"/>
      <w:lang w:val="en-US" w:eastAsia="zh-CN" w:bidi="ar-SA"/>
    </w:rPr>
  </w:style>
  <w:style w:type="character" w:customStyle="1" w:styleId="83">
    <w:name w:val="FA正文 Char"/>
    <w:link w:val="84"/>
    <w:qFormat/>
    <w:uiPriority w:val="0"/>
    <w:rPr>
      <w:rFonts w:ascii="宋体" w:hAnsi="宋体" w:eastAsia="宋体" w:cs="Times New Roman"/>
      <w:sz w:val="28"/>
      <w:szCs w:val="28"/>
    </w:rPr>
  </w:style>
  <w:style w:type="paragraph" w:customStyle="1" w:styleId="84">
    <w:name w:val="FA正文"/>
    <w:basedOn w:val="1"/>
    <w:link w:val="83"/>
    <w:qFormat/>
    <w:uiPriority w:val="0"/>
    <w:pPr>
      <w:tabs>
        <w:tab w:val="left" w:pos="3375"/>
      </w:tabs>
      <w:spacing w:line="440" w:lineRule="atLeast"/>
      <w:ind w:firstLine="538" w:firstLineChars="192"/>
    </w:pPr>
    <w:rPr>
      <w:rFonts w:ascii="宋体" w:hAnsi="宋体"/>
      <w:kern w:val="0"/>
      <w:sz w:val="28"/>
      <w:szCs w:val="28"/>
    </w:rPr>
  </w:style>
  <w:style w:type="character" w:customStyle="1" w:styleId="85">
    <w:name w:val="ssss Char1"/>
    <w:link w:val="86"/>
    <w:qFormat/>
    <w:uiPriority w:val="0"/>
    <w:rPr>
      <w:rFonts w:ascii="Times New Roman" w:hAnsi="Times New Roman" w:eastAsia="宋体" w:cs="Times New Roman"/>
      <w:sz w:val="24"/>
      <w:szCs w:val="24"/>
    </w:rPr>
  </w:style>
  <w:style w:type="paragraph" w:customStyle="1" w:styleId="86">
    <w:name w:val="ssss"/>
    <w:basedOn w:val="1"/>
    <w:link w:val="85"/>
    <w:qFormat/>
    <w:uiPriority w:val="0"/>
    <w:pPr>
      <w:spacing w:line="360" w:lineRule="auto"/>
      <w:ind w:firstLine="480" w:firstLineChars="200"/>
    </w:pPr>
    <w:rPr>
      <w:kern w:val="0"/>
      <w:sz w:val="24"/>
    </w:rPr>
  </w:style>
  <w:style w:type="character" w:customStyle="1" w:styleId="87">
    <w:name w:val="列表段落 字符"/>
    <w:qFormat/>
    <w:uiPriority w:val="34"/>
    <w:rPr>
      <w:rFonts w:ascii="Calibri" w:hAnsi="Calibri"/>
      <w:kern w:val="2"/>
      <w:sz w:val="21"/>
      <w:szCs w:val="22"/>
    </w:rPr>
  </w:style>
  <w:style w:type="character" w:customStyle="1" w:styleId="88">
    <w:name w:val="文档结构图 Char1"/>
    <w:semiHidden/>
    <w:qFormat/>
    <w:uiPriority w:val="99"/>
    <w:rPr>
      <w:rFonts w:ascii="宋体" w:hAnsi="Times New Roman" w:eastAsia="宋体" w:cs="Times New Roman"/>
      <w:sz w:val="18"/>
      <w:szCs w:val="18"/>
    </w:rPr>
  </w:style>
  <w:style w:type="character" w:customStyle="1" w:styleId="89">
    <w:name w:val="layui-this"/>
    <w:qFormat/>
    <w:uiPriority w:val="0"/>
    <w:rPr>
      <w:bdr w:val="single" w:color="EEEEEE" w:sz="6" w:space="0"/>
      <w:shd w:val="clear" w:color="auto" w:fill="FFFFFF"/>
    </w:rPr>
  </w:style>
  <w:style w:type="character" w:customStyle="1" w:styleId="90">
    <w:name w:val="样式 ssss + 宋体 五号1 Char"/>
    <w:link w:val="91"/>
    <w:qFormat/>
    <w:uiPriority w:val="0"/>
    <w:rPr>
      <w:rFonts w:ascii="宋体" w:hAnsi="宋体" w:eastAsia="宋体" w:cs="Times New Roman"/>
      <w:sz w:val="24"/>
      <w:szCs w:val="24"/>
    </w:rPr>
  </w:style>
  <w:style w:type="paragraph" w:customStyle="1" w:styleId="91">
    <w:name w:val="样式 ssss + 宋体 五号1"/>
    <w:basedOn w:val="86"/>
    <w:link w:val="90"/>
    <w:qFormat/>
    <w:uiPriority w:val="0"/>
    <w:rPr>
      <w:rFonts w:ascii="宋体" w:hAnsi="宋体"/>
    </w:rPr>
  </w:style>
  <w:style w:type="character" w:customStyle="1" w:styleId="92">
    <w:name w:val="普通正文 Char"/>
    <w:link w:val="93"/>
    <w:qFormat/>
    <w:uiPriority w:val="0"/>
    <w:rPr>
      <w:rFonts w:ascii="Arial" w:hAnsi="Arial"/>
      <w:sz w:val="24"/>
      <w:szCs w:val="24"/>
    </w:rPr>
  </w:style>
  <w:style w:type="paragraph" w:customStyle="1" w:styleId="93">
    <w:name w:val="普通正文"/>
    <w:basedOn w:val="1"/>
    <w:link w:val="9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4">
    <w:name w:val="批注框文本 Char1"/>
    <w:semiHidden/>
    <w:qFormat/>
    <w:uiPriority w:val="99"/>
    <w:rPr>
      <w:rFonts w:ascii="Times New Roman" w:hAnsi="Times New Roman" w:eastAsia="宋体" w:cs="Times New Roman"/>
      <w:sz w:val="18"/>
      <w:szCs w:val="18"/>
    </w:rPr>
  </w:style>
  <w:style w:type="character" w:customStyle="1" w:styleId="95">
    <w:name w:val="first-child"/>
    <w:qFormat/>
    <w:uiPriority w:val="0"/>
  </w:style>
  <w:style w:type="character" w:customStyle="1" w:styleId="96">
    <w:name w:val="hover"/>
    <w:qFormat/>
    <w:uiPriority w:val="0"/>
    <w:rPr>
      <w:color w:val="FFFFFF"/>
    </w:rPr>
  </w:style>
  <w:style w:type="character" w:customStyle="1" w:styleId="97">
    <w:name w:val="列出段落 Char"/>
    <w:link w:val="98"/>
    <w:qFormat/>
    <w:locked/>
    <w:uiPriority w:val="99"/>
  </w:style>
  <w:style w:type="paragraph" w:styleId="98">
    <w:name w:val="List Paragraph"/>
    <w:basedOn w:val="1"/>
    <w:link w:val="97"/>
    <w:qFormat/>
    <w:uiPriority w:val="99"/>
    <w:pPr>
      <w:ind w:firstLine="420" w:firstLineChars="200"/>
    </w:pPr>
    <w:rPr>
      <w:kern w:val="0"/>
      <w:sz w:val="20"/>
      <w:szCs w:val="20"/>
    </w:rPr>
  </w:style>
  <w:style w:type="character" w:customStyle="1" w:styleId="99">
    <w:name w:val="ssss Char"/>
    <w:qFormat/>
    <w:uiPriority w:val="0"/>
    <w:rPr>
      <w:rFonts w:eastAsia="宋体"/>
      <w:kern w:val="2"/>
      <w:sz w:val="24"/>
      <w:szCs w:val="24"/>
      <w:lang w:val="en-US" w:eastAsia="zh-CN" w:bidi="ar-SA"/>
    </w:rPr>
  </w:style>
  <w:style w:type="character" w:customStyle="1" w:styleId="100">
    <w:name w:val="hover2"/>
    <w:qFormat/>
    <w:uiPriority w:val="0"/>
    <w:rPr>
      <w:color w:val="5FB878"/>
    </w:rPr>
  </w:style>
  <w:style w:type="character" w:customStyle="1" w:styleId="101">
    <w:name w:val="cn_text1"/>
    <w:qFormat/>
    <w:uiPriority w:val="0"/>
    <w:rPr>
      <w:rFonts w:hint="default" w:ascii="ˎ̥" w:hAnsi="ˎ̥"/>
      <w:color w:val="003399"/>
      <w:spacing w:val="15"/>
      <w:sz w:val="18"/>
      <w:szCs w:val="18"/>
    </w:rPr>
  </w:style>
  <w:style w:type="character" w:customStyle="1" w:styleId="102">
    <w:name w:val="point_normal1"/>
    <w:qFormat/>
    <w:uiPriority w:val="0"/>
    <w:rPr>
      <w:rFonts w:hint="default" w:ascii="Arial" w:hAnsi="Arial" w:cs="Arial"/>
      <w:sz w:val="16"/>
      <w:szCs w:val="16"/>
    </w:rPr>
  </w:style>
  <w:style w:type="character" w:customStyle="1" w:styleId="103">
    <w:name w:val="正文缩进2格 Char"/>
    <w:link w:val="104"/>
    <w:qFormat/>
    <w:uiPriority w:val="0"/>
    <w:rPr>
      <w:rFonts w:ascii="仿宋_GB2312" w:hAnsi="宋体" w:eastAsia="仿宋_GB2312" w:cs="Times New Roman"/>
      <w:sz w:val="31"/>
      <w:szCs w:val="28"/>
    </w:rPr>
  </w:style>
  <w:style w:type="paragraph" w:customStyle="1" w:styleId="104">
    <w:name w:val="正文缩进2格"/>
    <w:basedOn w:val="1"/>
    <w:link w:val="103"/>
    <w:qFormat/>
    <w:uiPriority w:val="0"/>
    <w:pPr>
      <w:spacing w:line="600" w:lineRule="exact"/>
      <w:ind w:firstLine="639" w:firstLineChars="206"/>
    </w:pPr>
    <w:rPr>
      <w:rFonts w:ascii="仿宋_GB2312" w:hAnsi="宋体" w:eastAsia="仿宋_GB2312"/>
      <w:kern w:val="0"/>
      <w:sz w:val="31"/>
      <w:szCs w:val="28"/>
    </w:rPr>
  </w:style>
  <w:style w:type="character" w:customStyle="1" w:styleId="105">
    <w:name w:val="hover1"/>
    <w:qFormat/>
    <w:uiPriority w:val="0"/>
    <w:rPr>
      <w:color w:val="5FB878"/>
    </w:rPr>
  </w:style>
  <w:style w:type="character" w:customStyle="1" w:styleId="106">
    <w:name w:val="font41"/>
    <w:qFormat/>
    <w:uiPriority w:val="0"/>
    <w:rPr>
      <w:rFonts w:hint="eastAsia" w:ascii="宋体" w:hAnsi="宋体" w:eastAsia="宋体" w:cs="宋体"/>
      <w:color w:val="000000"/>
      <w:sz w:val="21"/>
      <w:szCs w:val="21"/>
      <w:u w:val="none"/>
    </w:rPr>
  </w:style>
  <w:style w:type="paragraph" w:customStyle="1" w:styleId="107">
    <w:name w:val="Char Char Char Char Char Char Char Char Char Char"/>
    <w:basedOn w:val="1"/>
    <w:qFormat/>
    <w:uiPriority w:val="0"/>
    <w:rPr>
      <w:rFonts w:ascii="Tahoma" w:hAnsi="Tahoma"/>
      <w:sz w:val="24"/>
      <w:szCs w:val="20"/>
    </w:rPr>
  </w:style>
  <w:style w:type="paragraph" w:customStyle="1" w:styleId="108">
    <w:name w:val="样式 标题 2标题 1.1编号标题2Reset numberingh2MVA2ERMH2 + 宋体 四号 行距:..."/>
    <w:basedOn w:val="2"/>
    <w:qFormat/>
    <w:uiPriority w:val="0"/>
    <w:pPr>
      <w:overflowPunct w:val="0"/>
      <w:adjustRightInd w:val="0"/>
      <w:spacing w:line="320" w:lineRule="exact"/>
      <w:jc w:val="center"/>
    </w:pPr>
    <w:rPr>
      <w:rFonts w:ascii="宋体" w:hAnsi="宋体" w:eastAsia="楷体_GB2312" w:cs="宋体"/>
      <w:szCs w:val="20"/>
    </w:rPr>
  </w:style>
  <w:style w:type="paragraph" w:customStyle="1" w:styleId="109">
    <w:name w:val="正文缩进11"/>
    <w:basedOn w:val="1"/>
    <w:qFormat/>
    <w:uiPriority w:val="0"/>
    <w:pPr>
      <w:ind w:firstLine="420"/>
    </w:pPr>
    <w:rPr>
      <w:b/>
      <w:szCs w:val="20"/>
    </w:rPr>
  </w:style>
  <w:style w:type="paragraph" w:customStyle="1" w:styleId="11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1">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112">
    <w:name w:val="正文样式1"/>
    <w:basedOn w:val="1"/>
    <w:qFormat/>
    <w:uiPriority w:val="0"/>
    <w:pPr>
      <w:spacing w:before="120" w:after="120" w:line="360" w:lineRule="auto"/>
      <w:ind w:firstLine="480" w:firstLineChars="200"/>
    </w:pPr>
    <w:rPr>
      <w:sz w:val="24"/>
      <w:szCs w:val="20"/>
    </w:rPr>
  </w:style>
  <w:style w:type="paragraph" w:customStyle="1" w:styleId="113">
    <w:name w:val="_Style 144"/>
    <w:basedOn w:val="17"/>
    <w:next w:val="35"/>
    <w:unhideWhenUsed/>
    <w:qFormat/>
    <w:uiPriority w:val="99"/>
    <w:pPr>
      <w:ind w:firstLine="420" w:firstLineChars="200"/>
    </w:pPr>
  </w:style>
  <w:style w:type="paragraph" w:customStyle="1" w:styleId="114">
    <w:name w:val="样式 ssss + 宋体 五号"/>
    <w:basedOn w:val="86"/>
    <w:qFormat/>
    <w:uiPriority w:val="0"/>
    <w:pPr>
      <w:ind w:firstLine="420"/>
    </w:pPr>
    <w:rPr>
      <w:rFonts w:ascii="宋体" w:hAnsi="宋体" w:cs="宋体"/>
      <w:szCs w:val="20"/>
    </w:rPr>
  </w:style>
  <w:style w:type="paragraph" w:customStyle="1" w:styleId="115">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16">
    <w:name w:val="Char Char Char Char"/>
    <w:basedOn w:val="1"/>
    <w:qFormat/>
    <w:uiPriority w:val="0"/>
    <w:rPr>
      <w:rFonts w:ascii="Tahoma" w:hAnsi="Tahoma"/>
      <w:sz w:val="24"/>
      <w:szCs w:val="20"/>
    </w:rPr>
  </w:style>
  <w:style w:type="paragraph" w:customStyle="1" w:styleId="117">
    <w:name w:val="表格"/>
    <w:basedOn w:val="1"/>
    <w:qFormat/>
    <w:uiPriority w:val="0"/>
    <w:rPr>
      <w:rFonts w:ascii="Arial" w:hAnsi="Arial"/>
      <w:sz w:val="24"/>
    </w:rPr>
  </w:style>
  <w:style w:type="paragraph" w:customStyle="1" w:styleId="118">
    <w:name w:val="Char"/>
    <w:basedOn w:val="1"/>
    <w:qFormat/>
    <w:uiPriority w:val="0"/>
    <w:pPr>
      <w:tabs>
        <w:tab w:val="left" w:pos="360"/>
      </w:tabs>
    </w:pPr>
    <w:rPr>
      <w:sz w:val="24"/>
    </w:rPr>
  </w:style>
  <w:style w:type="paragraph" w:customStyle="1" w:styleId="11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_Style 119"/>
    <w:unhideWhenUsed/>
    <w:qFormat/>
    <w:uiPriority w:val="99"/>
    <w:rPr>
      <w:rFonts w:ascii="Times New Roman" w:hAnsi="Times New Roman" w:eastAsia="宋体" w:cs="Times New Roman"/>
      <w:kern w:val="2"/>
      <w:sz w:val="21"/>
      <w:szCs w:val="24"/>
      <w:lang w:val="en-US" w:eastAsia="zh-CN" w:bidi="ar-SA"/>
    </w:rPr>
  </w:style>
  <w:style w:type="paragraph" w:customStyle="1" w:styleId="121">
    <w:name w:val="标题-----3"/>
    <w:basedOn w:val="4"/>
    <w:qFormat/>
    <w:uiPriority w:val="0"/>
    <w:pPr>
      <w:spacing w:before="0" w:after="0" w:line="240" w:lineRule="auto"/>
      <w:outlineLvl w:val="0"/>
    </w:pPr>
    <w:rPr>
      <w:rFonts w:ascii="宋体" w:hAnsi="宋体"/>
      <w:b w:val="0"/>
      <w:bCs w:val="0"/>
      <w:sz w:val="28"/>
      <w:szCs w:val="28"/>
    </w:rPr>
  </w:style>
  <w:style w:type="paragraph" w:customStyle="1" w:styleId="122">
    <w:name w:val="样式 样式 ssss + 宋体 五号 + 首行缩进:  2 字符"/>
    <w:basedOn w:val="114"/>
    <w:qFormat/>
    <w:uiPriority w:val="0"/>
    <w:pPr>
      <w:ind w:firstLine="480"/>
    </w:pPr>
  </w:style>
  <w:style w:type="paragraph" w:customStyle="1" w:styleId="12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_Style 2"/>
    <w:basedOn w:val="1"/>
    <w:qFormat/>
    <w:uiPriority w:val="0"/>
    <w:pPr>
      <w:ind w:firstLine="420" w:firstLineChars="200"/>
    </w:pPr>
    <w:rPr>
      <w:rFonts w:ascii="Calibri" w:hAnsi="Calibri"/>
    </w:rPr>
  </w:style>
  <w:style w:type="paragraph" w:customStyle="1" w:styleId="125">
    <w:name w:val="Char Char 字元 字元 字元 Char Char Char Char"/>
    <w:basedOn w:val="1"/>
    <w:qFormat/>
    <w:uiPriority w:val="0"/>
    <w:pPr>
      <w:adjustRightInd w:val="0"/>
      <w:spacing w:line="360" w:lineRule="auto"/>
    </w:pPr>
    <w:rPr>
      <w:kern w:val="0"/>
      <w:sz w:val="24"/>
      <w:szCs w:val="20"/>
    </w:rPr>
  </w:style>
  <w:style w:type="paragraph" w:customStyle="1" w:styleId="126">
    <w:name w:val="Char Char Char Char Char Char Char Char Char Char Char Char Char"/>
    <w:basedOn w:val="1"/>
    <w:qFormat/>
    <w:uiPriority w:val="0"/>
    <w:rPr>
      <w:sz w:val="24"/>
    </w:rPr>
  </w:style>
  <w:style w:type="paragraph" w:customStyle="1" w:styleId="127">
    <w:name w:val="2级标题"/>
    <w:basedOn w:val="1"/>
    <w:qFormat/>
    <w:uiPriority w:val="0"/>
    <w:pPr>
      <w:tabs>
        <w:tab w:val="left" w:pos="567"/>
      </w:tabs>
      <w:snapToGrid w:val="0"/>
      <w:spacing w:line="360" w:lineRule="auto"/>
      <w:ind w:left="567" w:hanging="567"/>
      <w:outlineLvl w:val="1"/>
    </w:pPr>
  </w:style>
  <w:style w:type="paragraph" w:customStyle="1" w:styleId="12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0">
    <w:name w:val="列出段落2"/>
    <w:basedOn w:val="1"/>
    <w:qFormat/>
    <w:uiPriority w:val="34"/>
    <w:pPr>
      <w:widowControl/>
      <w:spacing w:line="360" w:lineRule="auto"/>
      <w:ind w:left="708" w:leftChars="150" w:firstLine="420" w:firstLineChars="200"/>
      <w:jc w:val="left"/>
    </w:pPr>
    <w:rPr>
      <w:szCs w:val="21"/>
    </w:rPr>
  </w:style>
  <w:style w:type="paragraph" w:customStyle="1" w:styleId="131">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样式9"/>
    <w:basedOn w:val="1"/>
    <w:qFormat/>
    <w:uiPriority w:val="0"/>
    <w:pPr>
      <w:adjustRightInd w:val="0"/>
      <w:spacing w:line="480" w:lineRule="exact"/>
      <w:ind w:firstLine="480" w:firstLineChars="200"/>
      <w:jc w:val="left"/>
      <w:textAlignment w:val="baseline"/>
    </w:pPr>
    <w:rPr>
      <w:rFonts w:ascii="宋体" w:hAnsi="宋体"/>
      <w:kern w:val="0"/>
      <w:sz w:val="24"/>
    </w:rPr>
  </w:style>
  <w:style w:type="paragraph" w:customStyle="1" w:styleId="134">
    <w:name w:val="Table Paragraph"/>
    <w:basedOn w:val="1"/>
    <w:qFormat/>
    <w:uiPriority w:val="1"/>
  </w:style>
  <w:style w:type="paragraph" w:customStyle="1" w:styleId="13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3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7">
    <w:name w:val="样式 ssss + 居中"/>
    <w:basedOn w:val="86"/>
    <w:qFormat/>
    <w:uiPriority w:val="0"/>
    <w:pPr>
      <w:jc w:val="center"/>
    </w:pPr>
    <w:rPr>
      <w:rFonts w:cs="宋体"/>
      <w:szCs w:val="20"/>
    </w:rPr>
  </w:style>
  <w:style w:type="paragraph" w:customStyle="1" w:styleId="138">
    <w:name w:val="样式10"/>
    <w:basedOn w:val="1"/>
    <w:qFormat/>
    <w:uiPriority w:val="0"/>
    <w:pPr>
      <w:tabs>
        <w:tab w:val="left" w:pos="360"/>
      </w:tabs>
      <w:spacing w:line="360" w:lineRule="auto"/>
    </w:pPr>
    <w:rPr>
      <w:b/>
      <w:sz w:val="24"/>
    </w:rPr>
  </w:style>
  <w:style w:type="paragraph" w:customStyle="1" w:styleId="139">
    <w:name w:val="Char Char Char"/>
    <w:basedOn w:val="1"/>
    <w:qFormat/>
    <w:uiPriority w:val="0"/>
    <w:rPr>
      <w:rFonts w:ascii="Tahoma" w:hAnsi="Tahoma"/>
      <w:sz w:val="24"/>
      <w:szCs w:val="20"/>
    </w:rPr>
  </w:style>
  <w:style w:type="paragraph" w:customStyle="1" w:styleId="1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 Char Char Char1"/>
    <w:basedOn w:val="1"/>
    <w:qFormat/>
    <w:uiPriority w:val="0"/>
    <w:rPr>
      <w:rFonts w:ascii="Tahoma" w:hAnsi="Tahoma"/>
      <w:sz w:val="24"/>
      <w:szCs w:val="20"/>
    </w:rPr>
  </w:style>
  <w:style w:type="paragraph" w:customStyle="1" w:styleId="14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Char Char Char Char Char Char Char Char Char Char Char Char Char1"/>
    <w:basedOn w:val="1"/>
    <w:qFormat/>
    <w:uiPriority w:val="0"/>
  </w:style>
  <w:style w:type="paragraph" w:customStyle="1" w:styleId="146">
    <w:name w:val="样式 正文文本缩进 3 + 四号"/>
    <w:basedOn w:val="28"/>
    <w:qFormat/>
    <w:uiPriority w:val="0"/>
    <w:pPr>
      <w:spacing w:after="0" w:line="360" w:lineRule="auto"/>
      <w:ind w:left="0" w:leftChars="0" w:firstLine="437"/>
    </w:pPr>
    <w:rPr>
      <w:sz w:val="24"/>
      <w:szCs w:val="21"/>
    </w:rPr>
  </w:style>
  <w:style w:type="paragraph" w:customStyle="1" w:styleId="147">
    <w:name w:val="标题2"/>
    <w:basedOn w:val="2"/>
    <w:qFormat/>
    <w:uiPriority w:val="0"/>
    <w:pPr>
      <w:keepNext w:val="0"/>
      <w:keepLines w:val="0"/>
      <w:spacing w:before="0" w:after="0" w:line="360" w:lineRule="auto"/>
    </w:pPr>
    <w:rPr>
      <w:rFonts w:ascii="Times New Roman" w:hAnsi="Times New Roman" w:eastAsia="宋体"/>
      <w:snapToGrid w:val="0"/>
      <w:sz w:val="24"/>
    </w:rPr>
  </w:style>
  <w:style w:type="paragraph" w:customStyle="1" w:styleId="148">
    <w:name w:val="表格正文"/>
    <w:basedOn w:val="1"/>
    <w:qFormat/>
    <w:uiPriority w:val="0"/>
    <w:pPr>
      <w:spacing w:line="360" w:lineRule="auto"/>
      <w:jc w:val="left"/>
    </w:pPr>
    <w:rPr>
      <w:rFonts w:ascii="Calibri" w:hAnsi="Calibri"/>
      <w:color w:val="000000"/>
      <w:szCs w:val="28"/>
    </w:rPr>
  </w:style>
  <w:style w:type="paragraph" w:customStyle="1" w:styleId="149">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0">
    <w:name w:val="文档正文"/>
    <w:basedOn w:val="1"/>
    <w:qFormat/>
    <w:uiPriority w:val="0"/>
    <w:pPr>
      <w:adjustRightInd w:val="0"/>
      <w:spacing w:line="312" w:lineRule="atLeast"/>
      <w:ind w:firstLine="567"/>
      <w:textAlignment w:val="baseline"/>
    </w:pPr>
    <w:rPr>
      <w:rFonts w:ascii="方正仿宋简体" w:eastAsia="方正仿宋简体"/>
      <w:kern w:val="0"/>
      <w:sz w:val="28"/>
      <w:szCs w:val="20"/>
    </w:rPr>
  </w:style>
  <w:style w:type="paragraph" w:customStyle="1" w:styleId="151">
    <w:name w:val="Char2"/>
    <w:basedOn w:val="1"/>
    <w:qFormat/>
    <w:uiPriority w:val="0"/>
    <w:rPr>
      <w:rFonts w:ascii="Tahoma" w:hAnsi="Tahoma"/>
      <w:sz w:val="24"/>
      <w:szCs w:val="20"/>
    </w:rPr>
  </w:style>
  <w:style w:type="paragraph" w:customStyle="1" w:styleId="152">
    <w:name w:val="Header2"/>
    <w:basedOn w:val="1"/>
    <w:qFormat/>
    <w:uiPriority w:val="0"/>
    <w:pPr>
      <w:numPr>
        <w:ilvl w:val="0"/>
        <w:numId w:val="1"/>
      </w:numPr>
    </w:p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rPr>
  </w:style>
  <w:style w:type="table" w:customStyle="1" w:styleId="154">
    <w:name w:val="Table Normal"/>
    <w:unhideWhenUsed/>
    <w:qFormat/>
    <w:uiPriority w:val="0"/>
    <w:tblPr>
      <w:tblCellMar>
        <w:top w:w="0" w:type="dxa"/>
        <w:left w:w="0" w:type="dxa"/>
        <w:bottom w:w="0" w:type="dxa"/>
        <w:right w:w="0" w:type="dxa"/>
      </w:tblCellMar>
    </w:tblPr>
  </w:style>
  <w:style w:type="paragraph" w:customStyle="1" w:styleId="155">
    <w:name w:val="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56">
    <w:name w:val="列出段落11"/>
    <w:basedOn w:val="1"/>
    <w:qFormat/>
    <w:uiPriority w:val="34"/>
    <w:pPr>
      <w:ind w:firstLine="420" w:firstLineChars="200"/>
    </w:pPr>
    <w:rPr>
      <w:rFonts w:ascii="Calibri" w:hAnsi="Calibri"/>
    </w:rPr>
  </w:style>
  <w:style w:type="paragraph" w:customStyle="1" w:styleId="157">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paragraph" w:customStyle="1" w:styleId="158">
    <w:name w:val="样式 标题 3H3h3ERMH3ReERMH31ERMH32ERMH33ERMH34ERMH35ERMH36..."/>
    <w:basedOn w:val="4"/>
    <w:qFormat/>
    <w:uiPriority w:val="0"/>
    <w:pPr>
      <w:keepNext w:val="0"/>
      <w:keepLines w:val="0"/>
      <w:jc w:val="both"/>
    </w:pPr>
    <w:rPr>
      <w:rFonts w:ascii="宋体" w:hAnsi="宋体"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21332</Words>
  <Characters>22384</Characters>
  <Lines>226</Lines>
  <Paragraphs>63</Paragraphs>
  <TotalTime>20</TotalTime>
  <ScaleCrop>false</ScaleCrop>
  <LinksUpToDate>false</LinksUpToDate>
  <CharactersWithSpaces>23564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2025-04-15T04:29:00Z</dcterms:created>
  <dc:creator>User</dc:creator>
  <cp:lastModifiedBy>安</cp:lastModifiedBy>
  <cp:lastPrinted>2025-04-23T09:26:00Z</cp:lastPrinted>
  <dcterms:modified xsi:type="dcterms:W3CDTF">2025-04-24T09:08:43Z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17A2B9F4155242518B112FE940FB9DB9_13</vt:lpwstr>
  </property>
  <property fmtid="{D5CDD505-2E9C-101B-9397-08002B2CF9AE}" pid="4" name="KSOTemplateDocerSaveRecord">
    <vt:lpwstr>eyJoZGlkIjoiNzZiODI2N2M3Njk0ZmU4ZDEzYzg0MDY5Mjg3ZTI0YzAiLCJ1c2VySWQiOiIxNjQwMTYwODUxIn0=</vt:lpwstr>
  </property>
</Properties>
</file>