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A3ED">
      <w:pPr>
        <w:pStyle w:val="20"/>
      </w:pPr>
    </w:p>
    <w:p w14:paraId="035F2E5E">
      <w:pPr>
        <w:pStyle w:val="20"/>
        <w:jc w:val="center"/>
        <w:rPr>
          <w:rFonts w:hint="eastAsia" w:ascii="方正仿宋_GBK" w:eastAsia="方正小标宋_GBK" w:cs="黑体标宋·靱."/>
          <w:sz w:val="32"/>
          <w:szCs w:val="32"/>
          <w:lang w:eastAsia="zh-CN"/>
        </w:rPr>
      </w:pPr>
      <w:r>
        <w:rPr>
          <w:rFonts w:hint="eastAsia" w:ascii="方正小标宋_GBK" w:eastAsia="方正小标宋_GBK"/>
          <w:sz w:val="36"/>
          <w:szCs w:val="36"/>
        </w:rPr>
        <w:t>南通市城市轨道交通</w:t>
      </w:r>
      <w:r>
        <w:rPr>
          <w:rFonts w:hint="eastAsia" w:ascii="方正小标宋_GBK" w:eastAsia="方正小标宋_GBK"/>
          <w:sz w:val="36"/>
          <w:szCs w:val="36"/>
          <w:lang w:val="en-US" w:eastAsia="zh-CN"/>
        </w:rPr>
        <w:t>2025-2028年度</w:t>
      </w:r>
      <w:r>
        <w:rPr>
          <w:rFonts w:hint="eastAsia" w:ascii="方正小标宋_GBK" w:eastAsia="方正小标宋_GBK"/>
          <w:sz w:val="36"/>
          <w:szCs w:val="36"/>
          <w:lang w:eastAsia="zh-CN"/>
        </w:rPr>
        <w:t>办公软件正版化采购</w:t>
      </w:r>
      <w:r>
        <w:rPr>
          <w:rFonts w:hint="eastAsia" w:ascii="方正小标宋_GBK" w:eastAsia="方正小标宋_GBK"/>
          <w:sz w:val="36"/>
          <w:szCs w:val="36"/>
        </w:rPr>
        <w:t>项目询价</w:t>
      </w:r>
      <w:r>
        <w:rPr>
          <w:rFonts w:hint="eastAsia" w:ascii="方正小标宋_GBK" w:eastAsia="方正小标宋_GBK"/>
          <w:sz w:val="36"/>
          <w:szCs w:val="36"/>
          <w:lang w:eastAsia="zh-CN"/>
        </w:rPr>
        <w:t>公告</w:t>
      </w:r>
    </w:p>
    <w:p w14:paraId="271F3C91">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lang w:eastAsia="zh-CN"/>
        </w:rPr>
        <w:t>南通轨道交通集团有限公司办公软件正版化采购项目，拟采用询价采购方式进行采购。诚邀具备正版软件供货能力资质的供应商参加本项目的报价</w:t>
      </w:r>
      <w:r>
        <w:rPr>
          <w:rFonts w:hint="eastAsia" w:ascii="方正仿宋_GBK" w:eastAsia="方正仿宋_GBK" w:cs="方正仿宋.·靱."/>
          <w:sz w:val="32"/>
          <w:szCs w:val="32"/>
        </w:rPr>
        <w:t>。</w:t>
      </w:r>
    </w:p>
    <w:p w14:paraId="06520EA3">
      <w:pPr>
        <w:autoSpaceDE w:val="0"/>
        <w:autoSpaceDN w:val="0"/>
        <w:adjustRightInd w:val="0"/>
        <w:spacing w:line="590" w:lineRule="exact"/>
        <w:jc w:val="left"/>
        <w:rPr>
          <w:rFonts w:ascii="黑体" w:hAnsi="黑体" w:eastAsia="黑体" w:cs="黑体u蓞輀.靱."/>
          <w:color w:val="000000"/>
          <w:kern w:val="0"/>
          <w:sz w:val="32"/>
          <w:szCs w:val="32"/>
        </w:rPr>
      </w:pPr>
      <w:r>
        <w:rPr>
          <w:rFonts w:hint="eastAsia" w:ascii="黑体" w:hAnsi="黑体" w:eastAsia="黑体" w:cs="黑体u蓞輀.靱."/>
          <w:color w:val="000000"/>
          <w:kern w:val="0"/>
          <w:sz w:val="32"/>
          <w:szCs w:val="32"/>
        </w:rPr>
        <w:t>一、采购内容及预算：</w:t>
      </w:r>
      <w:r>
        <w:rPr>
          <w:rFonts w:ascii="黑体" w:hAnsi="黑体" w:eastAsia="黑体" w:cs="黑体u蓞輀.靱."/>
          <w:color w:val="000000"/>
          <w:kern w:val="0"/>
          <w:sz w:val="32"/>
          <w:szCs w:val="32"/>
        </w:rPr>
        <w:t xml:space="preserve"> </w:t>
      </w:r>
    </w:p>
    <w:p w14:paraId="63ED97E7">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w:t>
      </w:r>
      <w:r>
        <w:rPr>
          <w:rFonts w:ascii="方正仿宋_GBK" w:eastAsia="方正仿宋_GBK" w:cs="方正仿宋.·靱."/>
          <w:sz w:val="32"/>
          <w:szCs w:val="32"/>
        </w:rPr>
        <w:t>1</w:t>
      </w:r>
      <w:r>
        <w:rPr>
          <w:rFonts w:hint="eastAsia" w:ascii="方正仿宋_GBK" w:eastAsia="方正仿宋_GBK" w:cs="方正仿宋.·靱."/>
          <w:sz w:val="32"/>
          <w:szCs w:val="32"/>
        </w:rPr>
        <w:t>）采购内容：金山WPS+云套装</w:t>
      </w:r>
      <w:r>
        <w:rPr>
          <w:rFonts w:hint="eastAsia" w:ascii="方正仿宋_GBK" w:eastAsia="方正仿宋_GBK" w:cs="方正仿宋.·靱."/>
          <w:sz w:val="32"/>
          <w:szCs w:val="32"/>
          <w:lang w:eastAsia="zh-CN"/>
        </w:rPr>
        <w:t>及软件正版化服务</w:t>
      </w:r>
      <w:r>
        <w:rPr>
          <w:rFonts w:hint="eastAsia" w:ascii="方正仿宋_GBK" w:eastAsia="方正仿宋_GBK" w:cs="方正仿宋.·靱."/>
          <w:sz w:val="32"/>
          <w:szCs w:val="32"/>
        </w:rPr>
        <w:t>（详见附件1）。</w:t>
      </w:r>
      <w:r>
        <w:rPr>
          <w:rFonts w:ascii="方正仿宋_GBK" w:eastAsia="方正仿宋_GBK" w:cs="方正仿宋.·靱."/>
          <w:sz w:val="32"/>
          <w:szCs w:val="32"/>
        </w:rPr>
        <w:t xml:space="preserve"> </w:t>
      </w:r>
    </w:p>
    <w:p w14:paraId="0357AC6F">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w:t>
      </w:r>
      <w:r>
        <w:rPr>
          <w:rFonts w:ascii="方正仿宋_GBK" w:eastAsia="方正仿宋_GBK" w:cs="方正仿宋.·靱."/>
          <w:sz w:val="32"/>
          <w:szCs w:val="32"/>
        </w:rPr>
        <w:t>2</w:t>
      </w:r>
      <w:r>
        <w:rPr>
          <w:rFonts w:hint="eastAsia" w:ascii="方正仿宋_GBK" w:eastAsia="方正仿宋_GBK" w:cs="方正仿宋.·靱."/>
          <w:sz w:val="32"/>
          <w:szCs w:val="32"/>
        </w:rPr>
        <w:t>）供货时间：合同签订后 15天内</w:t>
      </w:r>
      <w:r>
        <w:rPr>
          <w:rFonts w:ascii="方正仿宋_GBK" w:eastAsia="方正仿宋_GBK" w:cs="方正仿宋.·靱."/>
          <w:sz w:val="32"/>
          <w:szCs w:val="32"/>
        </w:rPr>
        <w:t>。</w:t>
      </w:r>
    </w:p>
    <w:p w14:paraId="5FE7E6CA">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（3）交货地点：南通市。</w:t>
      </w:r>
    </w:p>
    <w:p w14:paraId="517E7488">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（4）采购预算最高限价：</w:t>
      </w:r>
      <w:r>
        <w:rPr>
          <w:rFonts w:hint="eastAsia" w:ascii="方正仿宋_GBK" w:eastAsia="方正仿宋_GBK" w:cs="方正仿宋.·靱."/>
          <w:sz w:val="32"/>
          <w:szCs w:val="32"/>
          <w:lang w:val="en-US" w:eastAsia="zh-CN"/>
        </w:rPr>
        <w:t>49</w:t>
      </w:r>
      <w:r>
        <w:rPr>
          <w:rFonts w:hint="eastAsia" w:ascii="方正仿宋_GBK" w:eastAsia="方正仿宋_GBK" w:cs="方正仿宋.·靱."/>
          <w:sz w:val="32"/>
          <w:szCs w:val="32"/>
        </w:rPr>
        <w:t>万元。</w:t>
      </w:r>
    </w:p>
    <w:p w14:paraId="23A06D54">
      <w:pPr>
        <w:autoSpaceDE w:val="0"/>
        <w:autoSpaceDN w:val="0"/>
        <w:adjustRightInd w:val="0"/>
        <w:spacing w:line="590" w:lineRule="exact"/>
        <w:jc w:val="left"/>
        <w:rPr>
          <w:rFonts w:ascii="黑体" w:hAnsi="黑体" w:eastAsia="黑体" w:cs="黑体u蓞輀.靱."/>
          <w:color w:val="000000"/>
          <w:kern w:val="0"/>
          <w:sz w:val="32"/>
          <w:szCs w:val="32"/>
        </w:rPr>
      </w:pPr>
      <w:r>
        <w:rPr>
          <w:rFonts w:ascii="黑体" w:hAnsi="黑体" w:eastAsia="黑体" w:cs="黑体u蓞輀.靱."/>
          <w:color w:val="000000"/>
          <w:kern w:val="0"/>
          <w:sz w:val="32"/>
          <w:szCs w:val="32"/>
        </w:rPr>
        <w:t xml:space="preserve"> </w:t>
      </w:r>
      <w:r>
        <w:rPr>
          <w:rFonts w:hint="eastAsia" w:ascii="黑体" w:hAnsi="黑体" w:eastAsia="黑体" w:cs="黑体u蓞輀.靱."/>
          <w:color w:val="000000"/>
          <w:kern w:val="0"/>
          <w:sz w:val="32"/>
          <w:szCs w:val="32"/>
        </w:rPr>
        <w:t>二、供应商资格要求：</w:t>
      </w:r>
      <w:r>
        <w:rPr>
          <w:rFonts w:ascii="黑体" w:hAnsi="黑体" w:eastAsia="黑体" w:cs="黑体u蓞輀.靱."/>
          <w:color w:val="000000"/>
          <w:kern w:val="0"/>
          <w:sz w:val="32"/>
          <w:szCs w:val="32"/>
        </w:rPr>
        <w:t xml:space="preserve"> </w:t>
      </w:r>
    </w:p>
    <w:p w14:paraId="66764F40">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w:t>
      </w:r>
      <w:r>
        <w:rPr>
          <w:rFonts w:ascii="方正仿宋_GBK" w:eastAsia="方正仿宋_GBK" w:cs="方正仿宋.·靱."/>
          <w:sz w:val="32"/>
          <w:szCs w:val="32"/>
        </w:rPr>
        <w:t>1</w:t>
      </w:r>
      <w:r>
        <w:rPr>
          <w:rFonts w:hint="eastAsia" w:ascii="方正仿宋_GBK" w:eastAsia="方正仿宋_GBK" w:cs="方正仿宋.·靱."/>
          <w:sz w:val="32"/>
          <w:szCs w:val="32"/>
        </w:rPr>
        <w:t>）在中华人民共和国境内注册，具有独立法人资格；</w:t>
      </w:r>
    </w:p>
    <w:p w14:paraId="23677572">
      <w:pPr>
        <w:spacing w:line="590" w:lineRule="exact"/>
        <w:ind w:firstLine="640" w:firstLineChars="200"/>
        <w:rPr>
          <w:rFonts w:hint="eastAsia" w:ascii="方正仿宋_GBK" w:eastAsia="方正仿宋_GBK" w:cs="方正仿宋.·靱."/>
          <w:sz w:val="32"/>
          <w:szCs w:val="32"/>
          <w:lang w:eastAsia="zh-CN"/>
        </w:rPr>
      </w:pPr>
      <w:r>
        <w:rPr>
          <w:rFonts w:hint="eastAsia" w:ascii="方正仿宋_GBK" w:eastAsia="方正仿宋_GBK" w:cs="方正仿宋.·靱."/>
          <w:sz w:val="32"/>
          <w:szCs w:val="32"/>
        </w:rPr>
        <w:t>（</w:t>
      </w:r>
      <w:r>
        <w:rPr>
          <w:rFonts w:ascii="方正仿宋_GBK" w:eastAsia="方正仿宋_GBK" w:cs="方正仿宋.·靱."/>
          <w:sz w:val="32"/>
          <w:szCs w:val="32"/>
        </w:rPr>
        <w:t>2</w:t>
      </w:r>
      <w:r>
        <w:rPr>
          <w:rFonts w:hint="eastAsia" w:ascii="方正仿宋_GBK" w:eastAsia="方正仿宋_GBK" w:cs="方正仿宋.·靱."/>
          <w:sz w:val="32"/>
          <w:szCs w:val="32"/>
        </w:rPr>
        <w:t>）</w:t>
      </w:r>
      <w:r>
        <w:rPr>
          <w:rFonts w:hint="eastAsia" w:ascii="方正仿宋_GBK" w:eastAsia="方正仿宋_GBK" w:cs="方正仿宋.·靱."/>
          <w:sz w:val="32"/>
          <w:szCs w:val="32"/>
          <w:lang w:eastAsia="zh-CN"/>
        </w:rPr>
        <w:t>如供应商为非生产制造商，供应商须提供所投产品厂商的授权证明；</w:t>
      </w:r>
    </w:p>
    <w:p w14:paraId="20053F6A">
      <w:pPr>
        <w:spacing w:line="590" w:lineRule="exact"/>
        <w:ind w:firstLine="640" w:firstLineChars="200"/>
        <w:rPr>
          <w:rFonts w:hint="eastAsia" w:ascii="方正仿宋_GBK" w:eastAsia="方正仿宋_GBK" w:cs="方正仿宋.·靱."/>
          <w:sz w:val="32"/>
          <w:szCs w:val="32"/>
        </w:rPr>
      </w:pPr>
      <w:r>
        <w:rPr>
          <w:rFonts w:hint="eastAsia" w:ascii="方正仿宋_GBK" w:eastAsia="方正仿宋_GBK" w:cs="方正仿宋.·靱."/>
          <w:sz w:val="32"/>
          <w:szCs w:val="32"/>
          <w:lang w:eastAsia="zh-CN"/>
        </w:rPr>
        <w:t>（</w:t>
      </w:r>
      <w:r>
        <w:rPr>
          <w:rFonts w:hint="eastAsia" w:ascii="方正仿宋_GBK" w:eastAsia="方正仿宋_GBK" w:cs="方正仿宋.·靱."/>
          <w:sz w:val="32"/>
          <w:szCs w:val="32"/>
          <w:lang w:val="en-US" w:eastAsia="zh-CN"/>
        </w:rPr>
        <w:t>3</w:t>
      </w:r>
      <w:r>
        <w:rPr>
          <w:rFonts w:hint="eastAsia" w:ascii="方正仿宋_GBK" w:eastAsia="方正仿宋_GBK" w:cs="方正仿宋.·靱."/>
          <w:sz w:val="32"/>
          <w:szCs w:val="32"/>
          <w:lang w:eastAsia="zh-CN"/>
        </w:rPr>
        <w:t>）单位负责人为同一人或者存在直接控股、管理关系的不同供应商，不得参加同一采购活动</w:t>
      </w:r>
      <w:r>
        <w:rPr>
          <w:rFonts w:hint="eastAsia" w:ascii="方正仿宋_GBK" w:eastAsia="方正仿宋_GBK" w:cs="方正仿宋.·靱."/>
          <w:sz w:val="32"/>
          <w:szCs w:val="32"/>
        </w:rPr>
        <w:t>。</w:t>
      </w:r>
    </w:p>
    <w:p w14:paraId="096D42F0">
      <w:pPr>
        <w:autoSpaceDE w:val="0"/>
        <w:autoSpaceDN w:val="0"/>
        <w:adjustRightInd w:val="0"/>
        <w:spacing w:line="590" w:lineRule="exact"/>
        <w:jc w:val="left"/>
        <w:rPr>
          <w:rFonts w:ascii="黑体" w:hAnsi="黑体" w:eastAsia="黑体" w:cs="黑体u蓞輀.靱."/>
          <w:color w:val="000000"/>
          <w:kern w:val="0"/>
          <w:sz w:val="32"/>
          <w:szCs w:val="32"/>
        </w:rPr>
      </w:pPr>
      <w:r>
        <w:rPr>
          <w:rFonts w:hint="eastAsia" w:ascii="黑体" w:hAnsi="黑体" w:eastAsia="黑体" w:cs="黑体u蓞輀.靱."/>
          <w:color w:val="000000"/>
          <w:kern w:val="0"/>
          <w:sz w:val="32"/>
          <w:szCs w:val="32"/>
        </w:rPr>
        <w:t>三、询价文件的</w:t>
      </w:r>
      <w:r>
        <w:rPr>
          <w:rFonts w:hint="eastAsia" w:ascii="黑体" w:hAnsi="黑体" w:eastAsia="黑体" w:cs="黑体u蓞輀.靱."/>
          <w:color w:val="000000"/>
          <w:kern w:val="0"/>
          <w:sz w:val="32"/>
          <w:szCs w:val="32"/>
          <w:lang w:eastAsia="zh-CN"/>
        </w:rPr>
        <w:t>获取</w:t>
      </w:r>
      <w:r>
        <w:rPr>
          <w:rFonts w:ascii="黑体" w:hAnsi="黑体" w:eastAsia="黑体" w:cs="黑体u蓞輀.靱."/>
          <w:color w:val="000000"/>
          <w:kern w:val="0"/>
          <w:sz w:val="32"/>
          <w:szCs w:val="32"/>
        </w:rPr>
        <w:t xml:space="preserve"> </w:t>
      </w:r>
    </w:p>
    <w:p w14:paraId="520A4833">
      <w:pPr>
        <w:autoSpaceDE w:val="0"/>
        <w:autoSpaceDN w:val="0"/>
        <w:adjustRightInd w:val="0"/>
        <w:spacing w:line="590" w:lineRule="exact"/>
        <w:jc w:val="left"/>
        <w:rPr>
          <w:rFonts w:hint="eastAsia" w:ascii="方正仿宋_GBK" w:eastAsia="方正仿宋_GBK" w:cs="方正仿宋.·靱."/>
          <w:sz w:val="32"/>
          <w:szCs w:val="32"/>
        </w:rPr>
      </w:pPr>
      <w:r>
        <w:rPr>
          <w:rFonts w:hint="eastAsia" w:ascii="方正仿宋_GBK" w:eastAsia="方正仿宋_GBK" w:cs="方正仿宋.·靱."/>
          <w:sz w:val="32"/>
          <w:szCs w:val="32"/>
        </w:rPr>
        <w:t>时间：自本公告发布之日起至202</w:t>
      </w:r>
      <w:r>
        <w:rPr>
          <w:rFonts w:hint="eastAsia" w:ascii="方正仿宋_GBK" w:eastAsia="方正仿宋_GBK" w:cs="方正仿宋.·靱."/>
          <w:sz w:val="32"/>
          <w:szCs w:val="32"/>
          <w:lang w:val="en-US" w:eastAsia="zh-CN"/>
        </w:rPr>
        <w:t>5</w:t>
      </w:r>
      <w:r>
        <w:rPr>
          <w:rFonts w:hint="eastAsia" w:ascii="方正仿宋_GBK" w:eastAsia="方正仿宋_GBK" w:cs="方正仿宋.·靱."/>
          <w:sz w:val="32"/>
          <w:szCs w:val="32"/>
        </w:rPr>
        <w:t>年</w:t>
      </w:r>
      <w:r>
        <w:rPr>
          <w:rFonts w:hint="eastAsia" w:ascii="方正仿宋_GBK" w:eastAsia="方正仿宋_GBK" w:cs="方正仿宋.·靱."/>
          <w:sz w:val="32"/>
          <w:szCs w:val="32"/>
          <w:lang w:val="en-US" w:eastAsia="zh-CN"/>
        </w:rPr>
        <w:t>8</w:t>
      </w:r>
      <w:r>
        <w:rPr>
          <w:rFonts w:hint="eastAsia" w:ascii="方正仿宋_GBK" w:eastAsia="方正仿宋_GBK" w:cs="方正仿宋.·靱."/>
          <w:sz w:val="32"/>
          <w:szCs w:val="32"/>
        </w:rPr>
        <w:t>月</w:t>
      </w:r>
      <w:r>
        <w:rPr>
          <w:rFonts w:hint="eastAsia" w:ascii="方正仿宋_GBK" w:eastAsia="方正仿宋_GBK" w:cs="方正仿宋.·靱."/>
          <w:sz w:val="32"/>
          <w:szCs w:val="32"/>
          <w:lang w:val="en-US" w:eastAsia="zh-CN"/>
        </w:rPr>
        <w:t>1</w:t>
      </w:r>
      <w:r>
        <w:rPr>
          <w:rFonts w:hint="eastAsia" w:ascii="方正仿宋_GBK" w:eastAsia="方正仿宋_GBK" w:cs="方正仿宋.·靱."/>
          <w:sz w:val="32"/>
          <w:szCs w:val="32"/>
        </w:rPr>
        <w:t>日</w:t>
      </w:r>
      <w:r>
        <w:rPr>
          <w:rFonts w:hint="eastAsia" w:ascii="方正仿宋_GBK" w:eastAsia="方正仿宋_GBK" w:cs="方正仿宋.·靱."/>
          <w:sz w:val="32"/>
          <w:szCs w:val="32"/>
          <w:lang w:val="en-US" w:eastAsia="zh-CN"/>
        </w:rPr>
        <w:t>14:00</w:t>
      </w:r>
      <w:r>
        <w:rPr>
          <w:rFonts w:hint="eastAsia" w:ascii="方正仿宋_GBK" w:eastAsia="方正仿宋_GBK" w:cs="方正仿宋.·靱."/>
          <w:sz w:val="32"/>
          <w:szCs w:val="32"/>
        </w:rPr>
        <w:t>（北京时间）。</w:t>
      </w:r>
    </w:p>
    <w:p w14:paraId="19B4AADF">
      <w:pPr>
        <w:autoSpaceDE w:val="0"/>
        <w:autoSpaceDN w:val="0"/>
        <w:adjustRightInd w:val="0"/>
        <w:spacing w:line="590" w:lineRule="exact"/>
        <w:jc w:val="left"/>
        <w:rPr>
          <w:rFonts w:hint="eastAsia" w:ascii="方正仿宋_GBK" w:eastAsia="方正仿宋_GBK" w:cs="方正仿宋.·靱."/>
          <w:sz w:val="32"/>
          <w:szCs w:val="32"/>
        </w:rPr>
      </w:pPr>
      <w:r>
        <w:rPr>
          <w:rFonts w:hint="eastAsia" w:ascii="方正仿宋_GBK" w:eastAsia="方正仿宋_GBK" w:cs="方正仿宋.·靱."/>
          <w:sz w:val="32"/>
          <w:szCs w:val="32"/>
          <w:lang w:eastAsia="zh-CN"/>
        </w:rPr>
        <w:t>网址</w:t>
      </w:r>
      <w:r>
        <w:rPr>
          <w:rFonts w:hint="eastAsia" w:ascii="方正仿宋_GBK" w:eastAsia="方正仿宋_GBK" w:cs="方正仿宋.·靱."/>
          <w:sz w:val="32"/>
          <w:szCs w:val="32"/>
        </w:rPr>
        <w:t>：南通</w:t>
      </w:r>
      <w:r>
        <w:rPr>
          <w:rFonts w:hint="eastAsia" w:ascii="方正仿宋_GBK" w:eastAsia="方正仿宋_GBK" w:cs="方正仿宋.·靱."/>
          <w:sz w:val="32"/>
          <w:szCs w:val="32"/>
          <w:lang w:eastAsia="zh-CN"/>
        </w:rPr>
        <w:t>轨道交通官</w:t>
      </w:r>
      <w:r>
        <w:rPr>
          <w:rFonts w:hint="eastAsia" w:ascii="方正仿宋_GBK" w:eastAsia="方正仿宋_GBK" w:cs="方正仿宋.·靱."/>
          <w:sz w:val="32"/>
          <w:szCs w:val="32"/>
        </w:rPr>
        <w:t>网</w:t>
      </w:r>
    </w:p>
    <w:p w14:paraId="16F2E988">
      <w:pPr>
        <w:autoSpaceDE w:val="0"/>
        <w:autoSpaceDN w:val="0"/>
        <w:adjustRightInd w:val="0"/>
        <w:spacing w:line="590" w:lineRule="exact"/>
        <w:jc w:val="left"/>
        <w:rPr>
          <w:rFonts w:hint="eastAsia" w:ascii="方正仿宋_GBK" w:eastAsia="方正仿宋_GBK" w:cs="方正仿宋.·靱."/>
          <w:sz w:val="32"/>
          <w:szCs w:val="32"/>
        </w:rPr>
      </w:pPr>
      <w:r>
        <w:rPr>
          <w:rFonts w:hint="eastAsia" w:ascii="方正仿宋_GBK" w:eastAsia="方正仿宋_GBK" w:cs="方正仿宋.·靱."/>
          <w:sz w:val="32"/>
          <w:szCs w:val="32"/>
        </w:rPr>
        <w:t>方式：</w:t>
      </w:r>
      <w:r>
        <w:rPr>
          <w:rFonts w:hint="eastAsia" w:ascii="方正仿宋_GBK" w:eastAsia="方正仿宋_GBK" w:cs="方正仿宋.·靱."/>
          <w:sz w:val="32"/>
          <w:szCs w:val="32"/>
          <w:lang w:eastAsia="zh-CN"/>
        </w:rPr>
        <w:t>供应商</w:t>
      </w:r>
      <w:r>
        <w:rPr>
          <w:rFonts w:hint="eastAsia" w:ascii="方正仿宋_GBK" w:eastAsia="方正仿宋_GBK" w:cs="方正仿宋.·靱."/>
          <w:sz w:val="32"/>
          <w:szCs w:val="32"/>
        </w:rPr>
        <w:t>登陆南通</w:t>
      </w:r>
      <w:r>
        <w:rPr>
          <w:rFonts w:hint="eastAsia" w:ascii="方正仿宋_GBK" w:eastAsia="方正仿宋_GBK" w:cs="方正仿宋.·靱."/>
          <w:sz w:val="32"/>
          <w:szCs w:val="32"/>
          <w:lang w:eastAsia="zh-CN"/>
        </w:rPr>
        <w:t>轨道交通官</w:t>
      </w:r>
      <w:r>
        <w:rPr>
          <w:rFonts w:hint="eastAsia" w:ascii="方正仿宋_GBK" w:eastAsia="方正仿宋_GBK" w:cs="方正仿宋.·靱."/>
          <w:sz w:val="32"/>
          <w:szCs w:val="32"/>
        </w:rPr>
        <w:t>网，在网站首页</w:t>
      </w:r>
      <w:r>
        <w:rPr>
          <w:rFonts w:hint="eastAsia" w:ascii="方正仿宋_GBK" w:eastAsia="方正仿宋_GBK" w:cs="方正仿宋.·靱."/>
          <w:sz w:val="32"/>
          <w:szCs w:val="32"/>
          <w:lang w:eastAsia="zh-CN"/>
        </w:rPr>
        <w:t>点击进入</w:t>
      </w:r>
      <w:r>
        <w:rPr>
          <w:rFonts w:hint="eastAsia" w:ascii="方正仿宋_GBK" w:eastAsia="方正仿宋_GBK" w:cs="方正仿宋.·靱."/>
          <w:sz w:val="32"/>
          <w:szCs w:val="32"/>
        </w:rPr>
        <w:t>“</w:t>
      </w:r>
      <w:r>
        <w:rPr>
          <w:rFonts w:hint="eastAsia" w:ascii="方正仿宋_GBK" w:eastAsia="方正仿宋_GBK" w:cs="方正仿宋.·靱."/>
          <w:sz w:val="32"/>
          <w:szCs w:val="32"/>
          <w:lang w:eastAsia="zh-CN"/>
        </w:rPr>
        <w:t>招标投标</w:t>
      </w:r>
      <w:r>
        <w:rPr>
          <w:rFonts w:hint="eastAsia" w:ascii="方正仿宋_GBK" w:eastAsia="方正仿宋_GBK" w:cs="方正仿宋.·靱."/>
          <w:sz w:val="32"/>
          <w:szCs w:val="32"/>
        </w:rPr>
        <w:t>”</w:t>
      </w:r>
      <w:r>
        <w:rPr>
          <w:rFonts w:hint="eastAsia" w:ascii="方正仿宋_GBK" w:eastAsia="方正仿宋_GBK" w:cs="方正仿宋.·靱."/>
          <w:sz w:val="32"/>
          <w:szCs w:val="32"/>
          <w:lang w:eastAsia="zh-CN"/>
        </w:rPr>
        <w:t>，</w:t>
      </w:r>
      <w:r>
        <w:rPr>
          <w:rFonts w:hint="eastAsia" w:ascii="方正仿宋_GBK" w:eastAsia="方正仿宋_GBK" w:cs="方正仿宋.·靱."/>
          <w:sz w:val="32"/>
          <w:szCs w:val="32"/>
        </w:rPr>
        <w:t>找到该项目</w:t>
      </w:r>
      <w:r>
        <w:rPr>
          <w:rFonts w:hint="eastAsia" w:ascii="方正仿宋_GBK" w:eastAsia="方正仿宋_GBK" w:cs="方正仿宋.·靱."/>
          <w:sz w:val="32"/>
          <w:szCs w:val="32"/>
          <w:lang w:eastAsia="zh-CN"/>
        </w:rPr>
        <w:t>点击进入即可</w:t>
      </w:r>
      <w:r>
        <w:rPr>
          <w:rFonts w:hint="eastAsia" w:ascii="方正仿宋_GBK" w:eastAsia="方正仿宋_GBK" w:cs="方正仿宋.·靱."/>
          <w:sz w:val="32"/>
          <w:szCs w:val="32"/>
        </w:rPr>
        <w:t>进行下载。</w:t>
      </w:r>
    </w:p>
    <w:p w14:paraId="66BB9E4B">
      <w:pPr>
        <w:autoSpaceDE w:val="0"/>
        <w:autoSpaceDN w:val="0"/>
        <w:adjustRightInd w:val="0"/>
        <w:spacing w:line="590" w:lineRule="exact"/>
        <w:jc w:val="left"/>
        <w:rPr>
          <w:rFonts w:ascii="黑体" w:hAnsi="黑体" w:eastAsia="黑体" w:cs="黑体u蓞輀.靱."/>
          <w:color w:val="000000"/>
          <w:kern w:val="0"/>
          <w:sz w:val="32"/>
          <w:szCs w:val="32"/>
        </w:rPr>
      </w:pPr>
      <w:r>
        <w:rPr>
          <w:rFonts w:hint="eastAsia" w:ascii="黑体" w:hAnsi="黑体" w:eastAsia="黑体" w:cs="黑体u蓞輀.靱."/>
          <w:color w:val="000000"/>
          <w:kern w:val="0"/>
          <w:sz w:val="32"/>
          <w:szCs w:val="32"/>
          <w:lang w:eastAsia="zh-CN"/>
        </w:rPr>
        <w:t>四</w:t>
      </w:r>
      <w:r>
        <w:rPr>
          <w:rFonts w:hint="eastAsia" w:ascii="黑体" w:hAnsi="黑体" w:eastAsia="黑体" w:cs="黑体u蓞輀.靱."/>
          <w:color w:val="000000"/>
          <w:kern w:val="0"/>
          <w:sz w:val="32"/>
          <w:szCs w:val="32"/>
        </w:rPr>
        <w:t>、询价响应文件的递交</w:t>
      </w:r>
      <w:r>
        <w:rPr>
          <w:rFonts w:ascii="黑体" w:hAnsi="黑体" w:eastAsia="黑体" w:cs="黑体u蓞輀.靱."/>
          <w:color w:val="000000"/>
          <w:kern w:val="0"/>
          <w:sz w:val="32"/>
          <w:szCs w:val="32"/>
        </w:rPr>
        <w:t xml:space="preserve"> </w:t>
      </w:r>
    </w:p>
    <w:p w14:paraId="1BDB5250">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w:t>
      </w:r>
      <w:r>
        <w:rPr>
          <w:rFonts w:ascii="方正仿宋_GBK" w:eastAsia="方正仿宋_GBK" w:cs="方正仿宋.·靱."/>
          <w:sz w:val="32"/>
          <w:szCs w:val="32"/>
        </w:rPr>
        <w:t>1</w:t>
      </w:r>
      <w:r>
        <w:rPr>
          <w:rFonts w:hint="eastAsia" w:ascii="方正仿宋_GBK" w:eastAsia="方正仿宋_GBK" w:cs="方正仿宋.·靱."/>
          <w:sz w:val="32"/>
          <w:szCs w:val="32"/>
        </w:rPr>
        <w:t>）递交截止时间和地点：报价书面文件（密封）请于202</w:t>
      </w:r>
      <w:r>
        <w:rPr>
          <w:rFonts w:hint="eastAsia" w:ascii="方正仿宋_GBK" w:eastAsia="方正仿宋_GBK" w:cs="方正仿宋.·靱."/>
          <w:sz w:val="32"/>
          <w:szCs w:val="32"/>
          <w:lang w:val="en-US" w:eastAsia="zh-CN"/>
        </w:rPr>
        <w:t>5</w:t>
      </w:r>
      <w:r>
        <w:rPr>
          <w:rFonts w:hint="eastAsia" w:ascii="方正仿宋_GBK" w:eastAsia="方正仿宋_GBK" w:cs="方正仿宋.·靱."/>
          <w:sz w:val="32"/>
          <w:szCs w:val="32"/>
        </w:rPr>
        <w:t>年</w:t>
      </w:r>
      <w:r>
        <w:rPr>
          <w:rFonts w:hint="eastAsia" w:ascii="方正仿宋_GBK" w:eastAsia="方正仿宋_GBK" w:cs="方正仿宋.·靱."/>
          <w:sz w:val="32"/>
          <w:szCs w:val="32"/>
          <w:lang w:val="en-US" w:eastAsia="zh-CN"/>
        </w:rPr>
        <w:t>8</w:t>
      </w:r>
      <w:r>
        <w:rPr>
          <w:rFonts w:hint="eastAsia" w:ascii="方正仿宋_GBK" w:eastAsia="方正仿宋_GBK" w:cs="方正仿宋.·靱."/>
          <w:sz w:val="32"/>
          <w:szCs w:val="32"/>
        </w:rPr>
        <w:t>月</w:t>
      </w:r>
      <w:r>
        <w:rPr>
          <w:rFonts w:hint="eastAsia" w:ascii="方正仿宋_GBK" w:eastAsia="方正仿宋_GBK" w:cs="方正仿宋.·靱."/>
          <w:sz w:val="32"/>
          <w:szCs w:val="32"/>
          <w:lang w:val="en-US" w:eastAsia="zh-CN"/>
        </w:rPr>
        <w:t>1</w:t>
      </w:r>
      <w:r>
        <w:rPr>
          <w:rFonts w:hint="eastAsia" w:ascii="方正仿宋_GBK" w:eastAsia="方正仿宋_GBK" w:cs="方正仿宋.·靱."/>
          <w:sz w:val="32"/>
          <w:szCs w:val="32"/>
        </w:rPr>
        <w:t>日下午14:00</w:t>
      </w:r>
      <w:r>
        <w:rPr>
          <w:rFonts w:hint="eastAsia" w:ascii="方正仿宋_GBK" w:eastAsia="方正仿宋_GBK" w:cs="方正仿宋.·靱."/>
          <w:sz w:val="32"/>
          <w:szCs w:val="32"/>
          <w:lang w:eastAsia="zh-CN"/>
        </w:rPr>
        <w:t>前</w:t>
      </w:r>
      <w:r>
        <w:rPr>
          <w:rFonts w:hint="eastAsia" w:ascii="方正仿宋_GBK" w:eastAsia="方正仿宋_GBK" w:cs="方正仿宋.·靱."/>
          <w:sz w:val="32"/>
          <w:szCs w:val="32"/>
        </w:rPr>
        <w:t>送至南通市</w:t>
      </w:r>
      <w:r>
        <w:rPr>
          <w:rFonts w:hint="eastAsia" w:ascii="方正仿宋_GBK" w:eastAsia="方正仿宋_GBK" w:cs="方正仿宋.·靱."/>
          <w:sz w:val="32"/>
          <w:szCs w:val="32"/>
          <w:lang w:val="en-US" w:eastAsia="zh-CN"/>
        </w:rPr>
        <w:t>崇川区崇川路158号南通轨道交通集团有限公司15楼开标室</w:t>
      </w:r>
      <w:r>
        <w:rPr>
          <w:rFonts w:hint="eastAsia" w:ascii="方正仿宋_GBK" w:eastAsia="方正仿宋_GBK" w:cs="方正仿宋.·靱."/>
          <w:sz w:val="32"/>
          <w:szCs w:val="32"/>
        </w:rPr>
        <w:t>并登记（只接受直接送达），逾时则不予受理</w:t>
      </w:r>
      <w:r>
        <w:rPr>
          <w:rFonts w:hint="eastAsia" w:ascii="方正仿宋_GBK" w:eastAsia="方正仿宋_GBK" w:cs="方正仿宋.·靱."/>
          <w:sz w:val="32"/>
          <w:szCs w:val="32"/>
          <w:lang w:eastAsia="zh-CN"/>
        </w:rPr>
        <w:t>。</w:t>
      </w:r>
    </w:p>
    <w:p w14:paraId="5034287C">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（2）询价响应文件（装订成册，一正二副），包括</w:t>
      </w:r>
      <w:r>
        <w:rPr>
          <w:rFonts w:hint="eastAsia" w:ascii="方正仿宋_GBK" w:eastAsia="方正仿宋_GBK" w:cs="方正仿宋.·靱."/>
          <w:sz w:val="32"/>
          <w:szCs w:val="32"/>
          <w:lang w:eastAsia="zh-CN"/>
        </w:rPr>
        <w:t>但不限于</w:t>
      </w:r>
      <w:r>
        <w:rPr>
          <w:rFonts w:hint="eastAsia" w:ascii="方正仿宋_GBK" w:eastAsia="方正仿宋_GBK" w:cs="方正仿宋.·靱."/>
          <w:sz w:val="32"/>
          <w:szCs w:val="32"/>
        </w:rPr>
        <w:t>以下资料：</w:t>
      </w:r>
      <w:r>
        <w:rPr>
          <w:rFonts w:ascii="方正仿宋_GBK" w:eastAsia="方正仿宋_GBK" w:cs="方正仿宋.·靱."/>
          <w:sz w:val="32"/>
          <w:szCs w:val="32"/>
        </w:rPr>
        <w:t xml:space="preserve"> </w:t>
      </w:r>
    </w:p>
    <w:p w14:paraId="26A52148">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①法定代表人身份证明材料或法人授权委托书及代理人身份证（详见附件二）；</w:t>
      </w:r>
      <w:r>
        <w:rPr>
          <w:rFonts w:ascii="方正仿宋_GBK" w:eastAsia="方正仿宋_GBK" w:cs="方正仿宋.·靱."/>
          <w:sz w:val="32"/>
          <w:szCs w:val="32"/>
        </w:rPr>
        <w:t xml:space="preserve"> </w:t>
      </w:r>
    </w:p>
    <w:p w14:paraId="7A39D67E">
      <w:pPr>
        <w:spacing w:line="590" w:lineRule="exact"/>
        <w:ind w:firstLine="640" w:firstLineChars="200"/>
        <w:rPr>
          <w:rFonts w:hint="eastAsia" w:ascii="方正仿宋_GBK" w:eastAsia="方正仿宋_GBK" w:cs="方正仿宋.·靱."/>
          <w:sz w:val="32"/>
          <w:szCs w:val="32"/>
        </w:rPr>
      </w:pPr>
      <w:r>
        <w:rPr>
          <w:rFonts w:hint="eastAsia" w:ascii="方正仿宋_GBK" w:eastAsia="方正仿宋_GBK" w:cs="方正仿宋.·靱."/>
          <w:sz w:val="32"/>
          <w:szCs w:val="32"/>
        </w:rPr>
        <w:t>②报价承诺书（详见附件三）；</w:t>
      </w:r>
    </w:p>
    <w:p w14:paraId="6773682A">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③营业执照复印件；</w:t>
      </w:r>
      <w:r>
        <w:rPr>
          <w:rFonts w:ascii="方正仿宋_GBK" w:eastAsia="方正仿宋_GBK" w:cs="方正仿宋.·靱."/>
          <w:sz w:val="32"/>
          <w:szCs w:val="32"/>
        </w:rPr>
        <w:t xml:space="preserve"> </w:t>
      </w:r>
    </w:p>
    <w:p w14:paraId="3C043CA9">
      <w:pPr>
        <w:spacing w:line="590" w:lineRule="exact"/>
        <w:ind w:firstLine="640" w:firstLineChars="200"/>
        <w:rPr>
          <w:rFonts w:hint="eastAsia" w:ascii="方正仿宋_GBK" w:eastAsia="方正仿宋_GBK" w:cs="方正仿宋.·靱."/>
          <w:sz w:val="32"/>
          <w:szCs w:val="32"/>
        </w:rPr>
      </w:pPr>
      <w:r>
        <w:rPr>
          <w:rFonts w:hint="eastAsia" w:ascii="方正仿宋_GBK" w:eastAsia="方正仿宋_GBK" w:cs="方正仿宋.·靱."/>
          <w:sz w:val="32"/>
          <w:szCs w:val="32"/>
        </w:rPr>
        <w:t>④技术需求响应文件（根据技术需求进行实质性响应，格式自拟）；</w:t>
      </w:r>
    </w:p>
    <w:p w14:paraId="44496340">
      <w:pPr>
        <w:spacing w:line="590" w:lineRule="exact"/>
        <w:ind w:firstLine="640" w:firstLineChars="200"/>
        <w:rPr>
          <w:rFonts w:hint="eastAsia" w:ascii="方正仿宋_GBK" w:eastAsia="方正仿宋_GBK" w:cs="方正仿宋.·靱."/>
          <w:sz w:val="32"/>
          <w:szCs w:val="32"/>
          <w:lang w:eastAsia="zh-CN"/>
        </w:rPr>
      </w:pPr>
      <w:r>
        <w:rPr>
          <w:rFonts w:hint="eastAsia" w:ascii="方正仿宋_GBK" w:eastAsia="方正仿宋_GBK" w:cs="方正仿宋.·靱."/>
          <w:sz w:val="32"/>
          <w:szCs w:val="32"/>
        </w:rPr>
        <w:t>⑤报价表（详见附件四）</w:t>
      </w:r>
      <w:r>
        <w:rPr>
          <w:rFonts w:hint="eastAsia" w:ascii="方正仿宋_GBK" w:eastAsia="方正仿宋_GBK" w:cs="方正仿宋.·靱."/>
          <w:sz w:val="32"/>
          <w:szCs w:val="32"/>
          <w:lang w:eastAsia="zh-CN"/>
        </w:rPr>
        <w:t>；</w:t>
      </w:r>
    </w:p>
    <w:p w14:paraId="280A080D">
      <w:pPr>
        <w:pStyle w:val="2"/>
        <w:ind w:firstLine="640" w:firstLineChars="200"/>
        <w:rPr>
          <w:rFonts w:hint="eastAsia" w:ascii="方正仿宋_GBK" w:eastAsia="方正仿宋_GBK" w:cs="方正仿宋.·靱." w:hAnsiTheme="minorHAnsi"/>
          <w:b w:val="0"/>
          <w:bCs w:val="0"/>
          <w:kern w:val="2"/>
          <w:sz w:val="32"/>
          <w:szCs w:val="32"/>
          <w:lang w:val="en-US" w:eastAsia="zh-CN" w:bidi="ar-SA"/>
        </w:rPr>
      </w:pPr>
      <w:r>
        <w:rPr>
          <w:rFonts w:hint="eastAsia" w:ascii="方正仿宋_GBK" w:eastAsia="方正仿宋_GBK" w:cs="方正仿宋.·靱." w:hAnsiTheme="minorHAnsi"/>
          <w:b w:val="0"/>
          <w:bCs w:val="0"/>
          <w:kern w:val="2"/>
          <w:sz w:val="32"/>
          <w:szCs w:val="32"/>
          <w:lang w:val="en-US" w:eastAsia="zh-CN" w:bidi="ar-SA"/>
        </w:rPr>
        <w:t>⑥制造厂商授权证明（如有）。</w:t>
      </w:r>
    </w:p>
    <w:p w14:paraId="04A43A45">
      <w:pPr>
        <w:autoSpaceDE w:val="0"/>
        <w:autoSpaceDN w:val="0"/>
        <w:adjustRightInd w:val="0"/>
        <w:spacing w:line="590" w:lineRule="exact"/>
        <w:jc w:val="left"/>
        <w:rPr>
          <w:rFonts w:ascii="黑体" w:hAnsi="黑体" w:eastAsia="黑体" w:cs="黑体u蓞輀.靱."/>
          <w:color w:val="000000"/>
          <w:kern w:val="0"/>
          <w:sz w:val="32"/>
          <w:szCs w:val="32"/>
        </w:rPr>
      </w:pPr>
      <w:r>
        <w:rPr>
          <w:rFonts w:hint="eastAsia" w:ascii="黑体" w:hAnsi="黑体" w:eastAsia="黑体" w:cs="黑体u蓞輀.靱."/>
          <w:color w:val="000000"/>
          <w:kern w:val="0"/>
          <w:sz w:val="32"/>
          <w:szCs w:val="32"/>
          <w:lang w:eastAsia="zh-CN"/>
        </w:rPr>
        <w:t>五</w:t>
      </w:r>
      <w:r>
        <w:rPr>
          <w:rFonts w:hint="eastAsia" w:ascii="黑体" w:hAnsi="黑体" w:eastAsia="黑体" w:cs="黑体u蓞輀.靱."/>
          <w:color w:val="000000"/>
          <w:kern w:val="0"/>
          <w:sz w:val="32"/>
          <w:szCs w:val="32"/>
        </w:rPr>
        <w:t>、补充说明</w:t>
      </w:r>
    </w:p>
    <w:p w14:paraId="7794EE54">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（1）报价超过最高限价的为无效响应文件。</w:t>
      </w:r>
    </w:p>
    <w:p w14:paraId="7BD4FC55">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（2）采购人对供应商响应文件审核，按照质量和服务均能满足询价采购文件实质性响应要求且报价最低的原则，确定成交供应商</w:t>
      </w:r>
      <w:r>
        <w:rPr>
          <w:rFonts w:hint="eastAsia" w:ascii="方正仿宋_GBK" w:eastAsia="方正仿宋_GBK" w:cs="方正仿宋.·靱."/>
          <w:sz w:val="32"/>
          <w:szCs w:val="32"/>
          <w:lang w:eastAsia="zh-CN"/>
        </w:rPr>
        <w:t>，若有多个最低报价，则由评委抽签决定</w:t>
      </w:r>
      <w:bookmarkStart w:id="38" w:name="_GoBack"/>
      <w:bookmarkEnd w:id="38"/>
      <w:r>
        <w:rPr>
          <w:rFonts w:hint="eastAsia" w:ascii="方正仿宋_GBK" w:eastAsia="方正仿宋_GBK" w:cs="方正仿宋.·靱."/>
          <w:sz w:val="32"/>
          <w:szCs w:val="32"/>
        </w:rPr>
        <w:t>。</w:t>
      </w:r>
    </w:p>
    <w:p w14:paraId="3770B37A">
      <w:pPr>
        <w:autoSpaceDE w:val="0"/>
        <w:autoSpaceDN w:val="0"/>
        <w:adjustRightInd w:val="0"/>
        <w:spacing w:line="590" w:lineRule="exact"/>
        <w:jc w:val="left"/>
        <w:rPr>
          <w:rFonts w:ascii="方正仿宋_GBK" w:eastAsia="方正仿宋_GBK" w:cs="方正仿宋.·靱."/>
          <w:sz w:val="32"/>
          <w:szCs w:val="32"/>
        </w:rPr>
      </w:pPr>
      <w:r>
        <w:rPr>
          <w:rFonts w:hint="eastAsia" w:ascii="黑体" w:hAnsi="黑体" w:eastAsia="黑体" w:cs="黑体u蓞輀.靱."/>
          <w:color w:val="000000"/>
          <w:kern w:val="0"/>
          <w:sz w:val="32"/>
          <w:szCs w:val="32"/>
          <w:lang w:eastAsia="zh-CN"/>
        </w:rPr>
        <w:t>六</w:t>
      </w:r>
      <w:r>
        <w:rPr>
          <w:rFonts w:hint="eastAsia" w:ascii="黑体" w:hAnsi="黑体" w:eastAsia="黑体" w:cs="黑体u蓞輀.靱."/>
          <w:color w:val="000000"/>
          <w:kern w:val="0"/>
          <w:sz w:val="32"/>
          <w:szCs w:val="32"/>
        </w:rPr>
        <w:t>、联系方式</w:t>
      </w:r>
      <w:r>
        <w:rPr>
          <w:rFonts w:ascii="黑体" w:hAnsi="黑体" w:eastAsia="黑体" w:cs="黑体u蓞輀.靱."/>
          <w:color w:val="000000"/>
          <w:kern w:val="0"/>
          <w:sz w:val="32"/>
          <w:szCs w:val="32"/>
        </w:rPr>
        <w:t xml:space="preserve"> </w:t>
      </w:r>
    </w:p>
    <w:p w14:paraId="3EC30DC6">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采购人：</w:t>
      </w:r>
      <w:r>
        <w:rPr>
          <w:rFonts w:hint="eastAsia" w:ascii="方正仿宋_GBK" w:eastAsia="方正仿宋_GBK" w:cs="方正仿宋.·靱."/>
          <w:sz w:val="32"/>
          <w:szCs w:val="32"/>
          <w:lang w:eastAsia="zh-CN"/>
        </w:rPr>
        <w:t>南通轨道交通集团有限公司</w:t>
      </w:r>
      <w:r>
        <w:rPr>
          <w:rFonts w:ascii="方正仿宋_GBK" w:eastAsia="方正仿宋_GBK" w:cs="方正仿宋.·靱."/>
          <w:sz w:val="32"/>
          <w:szCs w:val="32"/>
        </w:rPr>
        <w:t xml:space="preserve"> </w:t>
      </w:r>
    </w:p>
    <w:p w14:paraId="38284BF8">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 xml:space="preserve">联系人： </w:t>
      </w:r>
      <w:r>
        <w:rPr>
          <w:rFonts w:hint="eastAsia" w:ascii="方正仿宋_GBK" w:eastAsia="方正仿宋_GBK" w:cs="方正仿宋.·靱."/>
          <w:sz w:val="32"/>
          <w:szCs w:val="32"/>
          <w:lang w:eastAsia="zh-CN"/>
        </w:rPr>
        <w:t>李</w:t>
      </w:r>
      <w:r>
        <w:rPr>
          <w:rFonts w:hint="eastAsia" w:ascii="方正仿宋_GBK" w:eastAsia="方正仿宋_GBK" w:cs="方正仿宋.·靱."/>
          <w:sz w:val="32"/>
          <w:szCs w:val="32"/>
        </w:rPr>
        <w:t>先生</w:t>
      </w:r>
      <w:r>
        <w:rPr>
          <w:rFonts w:ascii="方正仿宋_GBK" w:eastAsia="方正仿宋_GBK" w:cs="方正仿宋.·靱."/>
          <w:sz w:val="32"/>
          <w:szCs w:val="32"/>
        </w:rPr>
        <w:t xml:space="preserve"> </w:t>
      </w:r>
    </w:p>
    <w:p w14:paraId="651ADBDD">
      <w:pPr>
        <w:spacing w:line="590" w:lineRule="exact"/>
        <w:ind w:firstLine="640" w:firstLineChars="200"/>
        <w:rPr>
          <w:rFonts w:hint="eastAsia" w:ascii="方正仿宋_GBK" w:eastAsia="方正仿宋_GBK" w:cs="方正仿宋.·靱."/>
          <w:sz w:val="32"/>
          <w:szCs w:val="32"/>
          <w:lang w:eastAsia="zh-CN"/>
        </w:rPr>
      </w:pPr>
      <w:r>
        <w:rPr>
          <w:rFonts w:hint="eastAsia" w:ascii="方正仿宋_GBK" w:eastAsia="方正仿宋_GBK" w:cs="方正仿宋.·靱."/>
          <w:sz w:val="32"/>
          <w:szCs w:val="32"/>
        </w:rPr>
        <w:t>联系地址：南通市</w:t>
      </w:r>
      <w:r>
        <w:rPr>
          <w:rFonts w:hint="eastAsia" w:ascii="方正仿宋_GBK" w:eastAsia="方正仿宋_GBK" w:cs="方正仿宋.·靱."/>
          <w:sz w:val="32"/>
          <w:szCs w:val="32"/>
          <w:lang w:val="en-US" w:eastAsia="zh-CN"/>
        </w:rPr>
        <w:t>崇川区崇川路158号南通轨道交通集团有限公司资产合约部</w:t>
      </w:r>
    </w:p>
    <w:p w14:paraId="32C51055">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rPr>
        <w:t>联系电话：</w:t>
      </w:r>
      <w:r>
        <w:rPr>
          <w:rFonts w:ascii="方正仿宋_GBK" w:eastAsia="方正仿宋_GBK" w:cs="方正仿宋.·靱."/>
          <w:sz w:val="32"/>
          <w:szCs w:val="32"/>
        </w:rPr>
        <w:t xml:space="preserve"> </w:t>
      </w:r>
      <w:r>
        <w:rPr>
          <w:rFonts w:hint="eastAsia" w:ascii="方正仿宋_GBK" w:eastAsia="方正仿宋_GBK" w:cs="方正仿宋.·靱."/>
          <w:sz w:val="32"/>
          <w:szCs w:val="32"/>
        </w:rPr>
        <w:t>0</w:t>
      </w:r>
      <w:r>
        <w:rPr>
          <w:rFonts w:ascii="方正仿宋_GBK" w:eastAsia="方正仿宋_GBK" w:cs="方正仿宋.·靱."/>
          <w:sz w:val="32"/>
          <w:szCs w:val="32"/>
        </w:rPr>
        <w:t>513-69900265</w:t>
      </w:r>
    </w:p>
    <w:p w14:paraId="19245F08">
      <w:pPr>
        <w:spacing w:line="590" w:lineRule="exact"/>
        <w:ind w:firstLine="640" w:firstLineChars="200"/>
        <w:rPr>
          <w:rFonts w:ascii="方正仿宋_GBK" w:eastAsia="方正仿宋_GBK" w:cs="方正仿宋.·靱."/>
          <w:sz w:val="32"/>
          <w:szCs w:val="32"/>
        </w:rPr>
      </w:pPr>
      <w:r>
        <w:rPr>
          <w:rFonts w:hint="eastAsia" w:ascii="方正仿宋_GBK" w:eastAsia="方正仿宋_GBK" w:cs="方正仿宋.·靱."/>
          <w:sz w:val="32"/>
          <w:szCs w:val="32"/>
          <w:lang w:eastAsia="zh-CN"/>
        </w:rPr>
        <w:t>监督部门</w:t>
      </w:r>
      <w:r>
        <w:rPr>
          <w:rFonts w:hint="eastAsia" w:ascii="方正仿宋_GBK" w:eastAsia="方正仿宋_GBK" w:cs="方正仿宋.·靱."/>
          <w:sz w:val="32"/>
          <w:szCs w:val="32"/>
        </w:rPr>
        <w:t>联系地址：南通市</w:t>
      </w:r>
      <w:r>
        <w:rPr>
          <w:rFonts w:hint="eastAsia" w:ascii="方正仿宋_GBK" w:eastAsia="方正仿宋_GBK" w:cs="方正仿宋.·靱."/>
          <w:sz w:val="32"/>
          <w:szCs w:val="32"/>
          <w:lang w:val="en-US" w:eastAsia="zh-CN"/>
        </w:rPr>
        <w:t>崇川区崇川路158号南通轨道交通集团有限公司</w:t>
      </w:r>
      <w:r>
        <w:rPr>
          <w:rFonts w:hint="eastAsia" w:ascii="方正仿宋_GBK" w:eastAsia="方正仿宋_GBK" w:cs="方正仿宋.·靱."/>
          <w:sz w:val="32"/>
          <w:szCs w:val="32"/>
        </w:rPr>
        <w:t>督查审计部</w:t>
      </w:r>
    </w:p>
    <w:p w14:paraId="68F8E3B8">
      <w:pPr>
        <w:spacing w:line="590" w:lineRule="exact"/>
        <w:ind w:firstLine="640" w:firstLineChars="200"/>
        <w:rPr>
          <w:rFonts w:hint="eastAsia" w:ascii="方正仿宋_GBK" w:eastAsia="方正仿宋_GBK" w:cs="方正仿宋.·靱."/>
          <w:sz w:val="32"/>
          <w:szCs w:val="32"/>
        </w:rPr>
      </w:pPr>
      <w:r>
        <w:rPr>
          <w:rFonts w:hint="eastAsia" w:ascii="方正仿宋_GBK" w:eastAsia="方正仿宋_GBK" w:cs="方正仿宋.·靱."/>
          <w:sz w:val="32"/>
          <w:szCs w:val="32"/>
        </w:rPr>
        <w:t>监督</w:t>
      </w:r>
      <w:r>
        <w:rPr>
          <w:rFonts w:hint="eastAsia" w:ascii="方正仿宋_GBK" w:eastAsia="方正仿宋_GBK" w:cs="方正仿宋.·靱."/>
          <w:sz w:val="32"/>
          <w:szCs w:val="32"/>
          <w:lang w:eastAsia="zh-CN"/>
        </w:rPr>
        <w:t>部门</w:t>
      </w:r>
      <w:r>
        <w:rPr>
          <w:rFonts w:hint="eastAsia" w:ascii="方正仿宋_GBK" w:eastAsia="方正仿宋_GBK" w:cs="方正仿宋.·靱."/>
          <w:sz w:val="32"/>
          <w:szCs w:val="32"/>
        </w:rPr>
        <w:t>联系电话：0513-69900271</w:t>
      </w:r>
    </w:p>
    <w:p w14:paraId="3F7D4380">
      <w:pPr>
        <w:pStyle w:val="2"/>
      </w:pPr>
    </w:p>
    <w:p w14:paraId="15A0970C">
      <w:pPr>
        <w:widowControl/>
        <w:jc w:val="left"/>
        <w:rPr>
          <w:rFonts w:ascii="方正仿宋_GBK" w:eastAsia="方正仿宋_GBK" w:cs="方正仿宋.·靱."/>
          <w:sz w:val="32"/>
          <w:szCs w:val="32"/>
        </w:rPr>
      </w:pPr>
      <w:r>
        <w:rPr>
          <w:rFonts w:ascii="方正仿宋_GBK" w:eastAsia="方正仿宋_GBK" w:cs="方正仿宋.·靱."/>
          <w:sz w:val="32"/>
          <w:szCs w:val="32"/>
        </w:rPr>
        <w:br w:type="page"/>
      </w:r>
    </w:p>
    <w:p w14:paraId="3D230281">
      <w:pPr>
        <w:pStyle w:val="2"/>
        <w:widowControl/>
        <w:spacing w:before="0" w:after="0" w:line="360" w:lineRule="auto"/>
        <w:rPr>
          <w:rFonts w:ascii="黑体" w:hAnsi="黑体" w:eastAsia="黑体"/>
          <w:bCs w:val="0"/>
          <w:szCs w:val="24"/>
        </w:rPr>
      </w:pPr>
      <w:r>
        <w:rPr>
          <w:rFonts w:hint="eastAsia" w:ascii="黑体" w:hAnsi="黑体" w:eastAsia="黑体"/>
          <w:bCs w:val="0"/>
          <w:szCs w:val="24"/>
        </w:rPr>
        <w:t>附件一：</w:t>
      </w:r>
    </w:p>
    <w:p w14:paraId="0812735A">
      <w:pPr>
        <w:spacing w:line="360" w:lineRule="auto"/>
        <w:jc w:val="center"/>
        <w:rPr>
          <w:rFonts w:ascii="Times New Roman" w:hAnsi="宋体" w:eastAsia="宋体" w:cs="Times New Roman"/>
          <w:b/>
          <w:sz w:val="28"/>
          <w:szCs w:val="24"/>
        </w:rPr>
      </w:pPr>
      <w:r>
        <w:rPr>
          <w:rFonts w:hint="eastAsia" w:ascii="Times New Roman" w:hAnsi="宋体" w:eastAsia="宋体" w:cs="Times New Roman"/>
          <w:b/>
          <w:sz w:val="28"/>
          <w:szCs w:val="24"/>
        </w:rPr>
        <w:t>技术需求</w:t>
      </w:r>
    </w:p>
    <w:p w14:paraId="42275538">
      <w:pPr>
        <w:keepNext w:val="0"/>
        <w:keepLines w:val="0"/>
        <w:pageBreakBefore w:val="0"/>
        <w:widowControl/>
        <w:shd w:val="clear" w:color="auto" w:fill="FFFFFF"/>
        <w:kinsoku/>
        <w:wordWrap/>
        <w:overflowPunct/>
        <w:topLinePunct w:val="0"/>
        <w:autoSpaceDE/>
        <w:autoSpaceDN/>
        <w:bidi w:val="0"/>
        <w:spacing w:line="360" w:lineRule="auto"/>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一、</w:t>
      </w:r>
      <w:r>
        <w:rPr>
          <w:rFonts w:hint="default" w:ascii="Times New Roman" w:hAnsi="Times New Roman" w:eastAsia="宋体" w:cs="Times New Roman"/>
          <w:szCs w:val="21"/>
        </w:rPr>
        <w:t>本次询价的</w:t>
      </w:r>
      <w:r>
        <w:rPr>
          <w:rFonts w:hint="default" w:ascii="Times New Roman" w:hAnsi="Times New Roman" w:eastAsia="宋体" w:cs="Times New Roman"/>
          <w:bCs/>
          <w:szCs w:val="21"/>
        </w:rPr>
        <w:t>正版软件</w:t>
      </w:r>
      <w:r>
        <w:rPr>
          <w:rFonts w:hint="default" w:ascii="Times New Roman" w:hAnsi="Times New Roman" w:eastAsia="宋体" w:cs="Times New Roman"/>
          <w:szCs w:val="21"/>
        </w:rPr>
        <w:t>用于</w:t>
      </w:r>
      <w:r>
        <w:rPr>
          <w:rFonts w:hint="eastAsia" w:ascii="Times New Roman" w:hAnsi="Times New Roman" w:eastAsia="宋体" w:cs="Times New Roman"/>
          <w:szCs w:val="21"/>
          <w:lang w:eastAsia="zh-CN"/>
        </w:rPr>
        <w:t>南通轨道交通集团有限公司</w:t>
      </w:r>
      <w:r>
        <w:rPr>
          <w:rFonts w:hint="default" w:ascii="Times New Roman" w:hAnsi="Times New Roman" w:eastAsia="宋体" w:cs="Times New Roman"/>
          <w:szCs w:val="21"/>
        </w:rPr>
        <w:t>及分子公司的日常办公。</w:t>
      </w:r>
    </w:p>
    <w:p w14:paraId="25F695F4">
      <w:pPr>
        <w:keepNext w:val="0"/>
        <w:keepLines w:val="0"/>
        <w:pageBreakBefore w:val="0"/>
        <w:widowControl/>
        <w:shd w:val="clear" w:color="auto" w:fill="FFFFFF"/>
        <w:kinsoku/>
        <w:wordWrap/>
        <w:overflowPunct/>
        <w:topLinePunct w:val="0"/>
        <w:autoSpaceDE/>
        <w:autoSpaceDN/>
        <w:bidi w:val="0"/>
        <w:spacing w:line="360" w:lineRule="auto"/>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二、项目要求</w:t>
      </w:r>
      <w:r>
        <w:rPr>
          <w:rFonts w:hint="default" w:ascii="Times New Roman" w:hAnsi="Times New Roman" w:eastAsia="宋体" w:cs="Times New Roman"/>
          <w:b/>
          <w:bCs/>
          <w:color w:val="333333"/>
          <w:kern w:val="0"/>
          <w:szCs w:val="21"/>
        </w:rPr>
        <w:t>（以下内容不允许负偏离）</w:t>
      </w:r>
    </w:p>
    <w:p w14:paraId="626AB3CA">
      <w:pPr>
        <w:keepNext w:val="0"/>
        <w:keepLines w:val="0"/>
        <w:pageBreakBefore w:val="0"/>
        <w:widowControl/>
        <w:shd w:val="clear" w:color="auto" w:fill="FFFFFF"/>
        <w:kinsoku/>
        <w:wordWrap/>
        <w:overflowPunct/>
        <w:topLinePunct w:val="0"/>
        <w:autoSpaceDE/>
        <w:autoSpaceDN/>
        <w:bidi w:val="0"/>
        <w:spacing w:line="360" w:lineRule="auto"/>
        <w:jc w:val="left"/>
        <w:outlineLvl w:val="0"/>
        <w:rPr>
          <w:rFonts w:hint="default" w:ascii="Times New Roman" w:hAnsi="Times New Roman" w:eastAsia="宋体" w:cs="Times New Roman"/>
          <w:b/>
          <w:bCs/>
          <w:color w:val="333333"/>
          <w:kern w:val="0"/>
          <w:szCs w:val="21"/>
        </w:rPr>
      </w:pPr>
      <w:r>
        <w:rPr>
          <w:rFonts w:hint="default" w:ascii="Times New Roman" w:hAnsi="Times New Roman" w:eastAsia="宋体" w:cs="Times New Roman"/>
          <w:b/>
          <w:bCs/>
          <w:color w:val="333333"/>
          <w:kern w:val="0"/>
          <w:szCs w:val="21"/>
        </w:rPr>
        <w:t>（一）、采购内容、参数及功能要求：</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44"/>
        <w:gridCol w:w="1275"/>
        <w:gridCol w:w="2552"/>
      </w:tblGrid>
      <w:tr w14:paraId="0D18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4" w:type="dxa"/>
            <w:noWrap w:val="0"/>
            <w:vAlign w:val="top"/>
          </w:tcPr>
          <w:p w14:paraId="523E6630">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3544" w:type="dxa"/>
            <w:noWrap w:val="0"/>
            <w:vAlign w:val="top"/>
          </w:tcPr>
          <w:p w14:paraId="0BB9A74D">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主要参数</w:t>
            </w:r>
          </w:p>
        </w:tc>
        <w:tc>
          <w:tcPr>
            <w:tcW w:w="1275" w:type="dxa"/>
            <w:noWrap w:val="0"/>
            <w:vAlign w:val="top"/>
          </w:tcPr>
          <w:p w14:paraId="46DB3AFE">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数量（批）</w:t>
            </w:r>
          </w:p>
        </w:tc>
        <w:tc>
          <w:tcPr>
            <w:tcW w:w="2552" w:type="dxa"/>
            <w:noWrap w:val="0"/>
            <w:vAlign w:val="top"/>
          </w:tcPr>
          <w:p w14:paraId="6B61955C">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备注</w:t>
            </w:r>
          </w:p>
        </w:tc>
      </w:tr>
      <w:tr w14:paraId="7BC4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44" w:type="dxa"/>
            <w:noWrap w:val="0"/>
            <w:vAlign w:val="center"/>
          </w:tcPr>
          <w:p w14:paraId="7BCC09AA">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金山WPS+云套装</w:t>
            </w:r>
          </w:p>
          <w:p w14:paraId="46D91D6D">
            <w:pPr>
              <w:pStyle w:val="26"/>
              <w:keepNext w:val="0"/>
              <w:keepLines w:val="0"/>
              <w:pageBreakBefore w:val="0"/>
              <w:kinsoku/>
              <w:wordWrap/>
              <w:overflowPunct/>
              <w:topLinePunct w:val="0"/>
              <w:autoSpaceDE/>
              <w:autoSpaceDN/>
              <w:bidi w:val="0"/>
              <w:spacing w:line="360" w:lineRule="auto"/>
              <w:ind w:firstLine="0" w:firstLineChars="0"/>
              <w:rPr>
                <w:rFonts w:hint="default" w:ascii="Times New Roman" w:hAnsi="Times New Roman" w:eastAsia="宋体" w:cs="Times New Roman"/>
                <w:szCs w:val="21"/>
              </w:rPr>
            </w:pPr>
          </w:p>
        </w:tc>
        <w:tc>
          <w:tcPr>
            <w:tcW w:w="3544" w:type="dxa"/>
            <w:noWrap w:val="0"/>
            <w:vAlign w:val="center"/>
          </w:tcPr>
          <w:p w14:paraId="003C5151">
            <w:pPr>
              <w:pStyle w:val="26"/>
              <w:keepNext w:val="0"/>
              <w:keepLines w:val="0"/>
              <w:pageBreakBefore w:val="0"/>
              <w:kinsoku/>
              <w:wordWrap/>
              <w:overflowPunct/>
              <w:topLinePunct w:val="0"/>
              <w:autoSpaceDE/>
              <w:autoSpaceDN/>
              <w:bidi w:val="0"/>
              <w:spacing w:line="360" w:lineRule="auto"/>
              <w:ind w:firstLine="0" w:firstLineChars="0"/>
              <w:jc w:val="left"/>
              <w:rPr>
                <w:rFonts w:hint="default" w:ascii="Times New Roman" w:hAnsi="Times New Roman" w:eastAsia="宋体" w:cs="Times New Roman"/>
                <w:szCs w:val="21"/>
              </w:rPr>
            </w:pPr>
            <w:r>
              <w:rPr>
                <w:rFonts w:hint="default" w:ascii="Times New Roman" w:hAnsi="Times New Roman" w:eastAsia="宋体" w:cs="Times New Roman"/>
                <w:szCs w:val="21"/>
              </w:rPr>
              <w:t>含金山WPS Office增强版+WPS移动端+WPS协作版服务（</w:t>
            </w:r>
            <w:r>
              <w:rPr>
                <w:rFonts w:hint="default" w:ascii="Times New Roman" w:hAnsi="Times New Roman" w:eastAsia="宋体" w:cs="Times New Roman"/>
                <w:szCs w:val="21"/>
                <w:shd w:val="clear" w:color="auto" w:fill="FFFFFF"/>
              </w:rPr>
              <w:t>供应商须提供所投产品厂商的授权证明，即：办公软件</w:t>
            </w:r>
            <w:r>
              <w:rPr>
                <w:rFonts w:hint="default" w:ascii="Times New Roman" w:hAnsi="Times New Roman" w:eastAsia="宋体" w:cs="Times New Roman"/>
                <w:bCs/>
                <w:szCs w:val="21"/>
              </w:rPr>
              <w:t>原厂项目授权证明。</w:t>
            </w:r>
            <w:r>
              <w:rPr>
                <w:rFonts w:hint="default" w:ascii="Times New Roman" w:hAnsi="Times New Roman" w:eastAsia="宋体" w:cs="Times New Roman"/>
                <w:szCs w:val="21"/>
              </w:rPr>
              <w:t>）</w:t>
            </w:r>
          </w:p>
        </w:tc>
        <w:tc>
          <w:tcPr>
            <w:tcW w:w="1275" w:type="dxa"/>
            <w:noWrap w:val="0"/>
            <w:vAlign w:val="center"/>
          </w:tcPr>
          <w:p w14:paraId="0968EA38">
            <w:pPr>
              <w:pStyle w:val="26"/>
              <w:keepNext w:val="0"/>
              <w:keepLines w:val="0"/>
              <w:pageBreakBefore w:val="0"/>
              <w:kinsoku/>
              <w:wordWrap/>
              <w:overflowPunct/>
              <w:topLinePunct w:val="0"/>
              <w:autoSpaceDE/>
              <w:autoSpaceDN/>
              <w:bidi w:val="0"/>
              <w:spacing w:line="360" w:lineRule="auto"/>
              <w:ind w:firstLine="0" w:firstLineChars="0"/>
              <w:jc w:val="center"/>
              <w:rPr>
                <w:rStyle w:val="17"/>
                <w:rFonts w:hint="default" w:ascii="Times New Roman" w:hAnsi="Times New Roman" w:eastAsia="宋体" w:cs="Times New Roman"/>
              </w:rPr>
            </w:pPr>
            <w:r>
              <w:rPr>
                <w:rStyle w:val="17"/>
                <w:rFonts w:hint="default" w:ascii="Times New Roman" w:hAnsi="Times New Roman" w:eastAsia="宋体" w:cs="Times New Roman"/>
              </w:rPr>
              <w:t>1</w:t>
            </w:r>
          </w:p>
          <w:p w14:paraId="2AFC470A">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p>
        </w:tc>
        <w:tc>
          <w:tcPr>
            <w:tcW w:w="2552" w:type="dxa"/>
            <w:noWrap w:val="0"/>
            <w:vAlign w:val="center"/>
          </w:tcPr>
          <w:p w14:paraId="26E1ED96">
            <w:pPr>
              <w:pStyle w:val="26"/>
              <w:keepNext w:val="0"/>
              <w:keepLines w:val="0"/>
              <w:pageBreakBefore w:val="0"/>
              <w:kinsoku/>
              <w:wordWrap/>
              <w:overflowPunct/>
              <w:topLinePunct w:val="0"/>
              <w:autoSpaceDE/>
              <w:autoSpaceDN/>
              <w:bidi w:val="0"/>
              <w:spacing w:line="360" w:lineRule="auto"/>
              <w:ind w:firstLine="0" w:firstLineChars="0"/>
              <w:jc w:val="left"/>
              <w:rPr>
                <w:rFonts w:hint="default" w:ascii="Times New Roman" w:hAnsi="Times New Roman" w:eastAsia="宋体" w:cs="Times New Roman"/>
                <w:szCs w:val="21"/>
              </w:rPr>
            </w:pPr>
            <w:r>
              <w:rPr>
                <w:rStyle w:val="17"/>
                <w:rFonts w:hint="default" w:ascii="Times New Roman" w:hAnsi="Times New Roman" w:eastAsia="宋体" w:cs="Times New Roman"/>
              </w:rPr>
              <w:t>基于500用户数的</w:t>
            </w:r>
            <w:r>
              <w:rPr>
                <w:rFonts w:hint="default" w:ascii="Times New Roman" w:hAnsi="Times New Roman" w:eastAsia="宋体" w:cs="Times New Roman"/>
                <w:szCs w:val="21"/>
              </w:rPr>
              <w:t>三年场地授权使用权，授权范围为</w:t>
            </w:r>
            <w:r>
              <w:rPr>
                <w:rFonts w:hint="eastAsia" w:ascii="Times New Roman" w:hAnsi="Times New Roman" w:eastAsia="宋体" w:cs="Times New Roman"/>
                <w:szCs w:val="21"/>
                <w:lang w:eastAsia="zh-CN"/>
              </w:rPr>
              <w:t>南通轨道交通集团有限公司</w:t>
            </w:r>
            <w:r>
              <w:rPr>
                <w:rFonts w:hint="default" w:ascii="Times New Roman" w:hAnsi="Times New Roman" w:eastAsia="宋体" w:cs="Times New Roman"/>
                <w:szCs w:val="21"/>
              </w:rPr>
              <w:t>有限公司及控股50%以上的分子公司所有用户</w:t>
            </w:r>
          </w:p>
        </w:tc>
      </w:tr>
      <w:tr w14:paraId="190B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844" w:type="dxa"/>
            <w:noWrap w:val="0"/>
            <w:vAlign w:val="center"/>
          </w:tcPr>
          <w:p w14:paraId="2B3DF375">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r>
              <w:rPr>
                <w:rFonts w:hint="default" w:ascii="Times New Roman" w:hAnsi="Times New Roman" w:eastAsia="宋体" w:cs="Times New Roman"/>
                <w:szCs w:val="21"/>
              </w:rPr>
              <w:t>软件正版化服务</w:t>
            </w:r>
          </w:p>
        </w:tc>
        <w:tc>
          <w:tcPr>
            <w:tcW w:w="3544" w:type="dxa"/>
            <w:noWrap w:val="0"/>
            <w:vAlign w:val="center"/>
          </w:tcPr>
          <w:p w14:paraId="0B62981E">
            <w:pPr>
              <w:pStyle w:val="26"/>
              <w:keepNext w:val="0"/>
              <w:keepLines w:val="0"/>
              <w:pageBreakBefore w:val="0"/>
              <w:kinsoku/>
              <w:wordWrap/>
              <w:overflowPunct/>
              <w:topLinePunct w:val="0"/>
              <w:autoSpaceDE/>
              <w:autoSpaceDN/>
              <w:bidi w:val="0"/>
              <w:spacing w:line="360" w:lineRule="auto"/>
              <w:ind w:firstLine="0" w:firstLineChars="0"/>
              <w:jc w:val="left"/>
              <w:rPr>
                <w:rFonts w:hint="default" w:ascii="Times New Roman" w:hAnsi="Times New Roman" w:eastAsia="宋体" w:cs="Times New Roman"/>
                <w:szCs w:val="21"/>
              </w:rPr>
            </w:pPr>
            <w:r>
              <w:rPr>
                <w:rFonts w:hint="default" w:ascii="Times New Roman" w:hAnsi="Times New Roman" w:eastAsia="宋体" w:cs="Times New Roman"/>
                <w:szCs w:val="21"/>
              </w:rPr>
              <w:t>协助采购人按照国家推进使用正版软件工作部际联席会议办公室和国家版权局办公厅文件要求完成相关制度建设、正版软件排查与梳理、软件资产管理台账建设、成立软件正版化专项服务小组定期开展软件正版化相关培训服务，做好迎检工作，协助采购人顺利通过软件正版化相关检查</w:t>
            </w:r>
          </w:p>
        </w:tc>
        <w:tc>
          <w:tcPr>
            <w:tcW w:w="1275" w:type="dxa"/>
            <w:noWrap w:val="0"/>
            <w:vAlign w:val="center"/>
          </w:tcPr>
          <w:p w14:paraId="3066EC61">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p>
        </w:tc>
        <w:tc>
          <w:tcPr>
            <w:tcW w:w="2552" w:type="dxa"/>
            <w:noWrap w:val="0"/>
            <w:vAlign w:val="center"/>
          </w:tcPr>
          <w:p w14:paraId="6A33ADF2">
            <w:pPr>
              <w:pStyle w:val="26"/>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Cs w:val="21"/>
              </w:rPr>
            </w:pPr>
          </w:p>
        </w:tc>
      </w:tr>
    </w:tbl>
    <w:p w14:paraId="3F456EEF">
      <w:pPr>
        <w:keepNext w:val="0"/>
        <w:keepLines w:val="0"/>
        <w:pageBreakBefore w:val="0"/>
        <w:widowControl/>
        <w:shd w:val="clear" w:color="auto" w:fill="FFFFFF"/>
        <w:kinsoku/>
        <w:wordWrap/>
        <w:overflowPunct/>
        <w:topLinePunct w:val="0"/>
        <w:autoSpaceDE/>
        <w:autoSpaceDN/>
        <w:bidi w:val="0"/>
        <w:spacing w:line="360" w:lineRule="auto"/>
        <w:jc w:val="left"/>
        <w:rPr>
          <w:rFonts w:hint="default" w:ascii="Times New Roman" w:hAnsi="Times New Roman" w:eastAsia="宋体" w:cs="Times New Roman"/>
          <w:b/>
          <w:bCs/>
          <w:color w:val="333333"/>
          <w:kern w:val="0"/>
          <w:szCs w:val="21"/>
        </w:rPr>
      </w:pPr>
      <w:r>
        <w:rPr>
          <w:rFonts w:hint="default" w:ascii="Times New Roman" w:hAnsi="Times New Roman" w:eastAsia="宋体" w:cs="Times New Roman"/>
          <w:b/>
          <w:bCs/>
          <w:color w:val="333333"/>
          <w:kern w:val="0"/>
          <w:szCs w:val="21"/>
        </w:rPr>
        <w:t>功能要求：</w:t>
      </w:r>
    </w:p>
    <w:tbl>
      <w:tblPr>
        <w:tblStyle w:val="14"/>
        <w:tblW w:w="0" w:type="auto"/>
        <w:tblInd w:w="-318" w:type="dxa"/>
        <w:tblLayout w:type="fixed"/>
        <w:tblCellMar>
          <w:top w:w="0" w:type="dxa"/>
          <w:left w:w="108" w:type="dxa"/>
          <w:bottom w:w="0" w:type="dxa"/>
          <w:right w:w="108" w:type="dxa"/>
        </w:tblCellMar>
      </w:tblPr>
      <w:tblGrid>
        <w:gridCol w:w="710"/>
        <w:gridCol w:w="8506"/>
      </w:tblGrid>
      <w:tr w14:paraId="431A2542">
        <w:tblPrEx>
          <w:tblCellMar>
            <w:top w:w="0" w:type="dxa"/>
            <w:left w:w="108" w:type="dxa"/>
            <w:bottom w:w="0" w:type="dxa"/>
            <w:right w:w="108" w:type="dxa"/>
          </w:tblCellMar>
        </w:tblPrEx>
        <w:tc>
          <w:tcPr>
            <w:tcW w:w="710" w:type="dxa"/>
            <w:tcBorders>
              <w:top w:val="single" w:color="000000" w:sz="4" w:space="0"/>
              <w:left w:val="single" w:color="000000" w:sz="4" w:space="0"/>
              <w:bottom w:val="single" w:color="000000" w:sz="4" w:space="0"/>
              <w:right w:val="single" w:color="000000" w:sz="4" w:space="0"/>
            </w:tcBorders>
            <w:noWrap w:val="0"/>
            <w:vAlign w:val="top"/>
          </w:tcPr>
          <w:p w14:paraId="3769D676">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类别</w:t>
            </w:r>
          </w:p>
        </w:tc>
        <w:tc>
          <w:tcPr>
            <w:tcW w:w="8506" w:type="dxa"/>
            <w:tcBorders>
              <w:top w:val="single" w:color="000000" w:sz="4" w:space="0"/>
              <w:left w:val="nil"/>
              <w:bottom w:val="single" w:color="000000" w:sz="4" w:space="0"/>
              <w:right w:val="single" w:color="000000" w:sz="4" w:space="0"/>
            </w:tcBorders>
            <w:noWrap w:val="0"/>
            <w:vAlign w:val="top"/>
          </w:tcPr>
          <w:p w14:paraId="22D9B7C6">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技术指标要求</w:t>
            </w:r>
          </w:p>
        </w:tc>
      </w:tr>
      <w:tr w14:paraId="6A735A43">
        <w:tblPrEx>
          <w:tblCellMar>
            <w:top w:w="0" w:type="dxa"/>
            <w:left w:w="108" w:type="dxa"/>
            <w:bottom w:w="0" w:type="dxa"/>
            <w:right w:w="108" w:type="dxa"/>
          </w:tblCellMar>
        </w:tblPrEx>
        <w:tc>
          <w:tcPr>
            <w:tcW w:w="710" w:type="dxa"/>
            <w:vMerge w:val="restart"/>
            <w:tcBorders>
              <w:top w:val="nil"/>
              <w:left w:val="single" w:color="000000" w:sz="4" w:space="0"/>
              <w:bottom w:val="single" w:color="000000" w:sz="4" w:space="0"/>
              <w:right w:val="single" w:color="000000" w:sz="4" w:space="0"/>
            </w:tcBorders>
            <w:noWrap w:val="0"/>
            <w:vAlign w:val="center"/>
          </w:tcPr>
          <w:p w14:paraId="3A4AFA6D">
            <w:pPr>
              <w:keepNext w:val="0"/>
              <w:keepLines w:val="0"/>
              <w:pageBreakBefore w:val="0"/>
              <w:kinsoku/>
              <w:wordWrap/>
              <w:overflowPunct/>
              <w:topLinePunct w:val="0"/>
              <w:autoSpaceDE/>
              <w:autoSpaceDN/>
              <w:bidi w:val="0"/>
              <w:spacing w:line="360" w:lineRule="auto"/>
              <w:ind w:right="-216"/>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基</w:t>
            </w:r>
          </w:p>
          <w:p w14:paraId="1E1D20C5">
            <w:pPr>
              <w:keepNext w:val="0"/>
              <w:keepLines w:val="0"/>
              <w:pageBreakBefore w:val="0"/>
              <w:kinsoku/>
              <w:wordWrap/>
              <w:overflowPunct/>
              <w:topLinePunct w:val="0"/>
              <w:autoSpaceDE/>
              <w:autoSpaceDN/>
              <w:bidi w:val="0"/>
              <w:spacing w:line="360" w:lineRule="auto"/>
              <w:ind w:right="-216"/>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本</w:t>
            </w:r>
          </w:p>
          <w:p w14:paraId="6589C9A1">
            <w:pPr>
              <w:keepNext w:val="0"/>
              <w:keepLines w:val="0"/>
              <w:pageBreakBefore w:val="0"/>
              <w:kinsoku/>
              <w:wordWrap/>
              <w:overflowPunct/>
              <w:topLinePunct w:val="0"/>
              <w:autoSpaceDE/>
              <w:autoSpaceDN/>
              <w:bidi w:val="0"/>
              <w:spacing w:line="360" w:lineRule="auto"/>
              <w:ind w:right="-216"/>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功</w:t>
            </w:r>
          </w:p>
          <w:p w14:paraId="028B450B">
            <w:pPr>
              <w:keepNext w:val="0"/>
              <w:keepLines w:val="0"/>
              <w:pageBreakBefore w:val="0"/>
              <w:kinsoku/>
              <w:wordWrap/>
              <w:overflowPunct/>
              <w:topLinePunct w:val="0"/>
              <w:autoSpaceDE/>
              <w:autoSpaceDN/>
              <w:bidi w:val="0"/>
              <w:spacing w:line="360" w:lineRule="auto"/>
              <w:ind w:right="-216"/>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能</w:t>
            </w:r>
          </w:p>
          <w:p w14:paraId="5D6B089A">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4F68D66D">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包含文字处理、电子表格和演示文稿三大功能模块，各模块分别在独立窗口中运行。</w:t>
            </w:r>
          </w:p>
        </w:tc>
      </w:tr>
      <w:tr w14:paraId="3165A41D">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3DF8165E">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235FF0E1">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szCs w:val="21"/>
              </w:rPr>
            </w:pPr>
            <w:r>
              <w:rPr>
                <w:rFonts w:hint="default" w:ascii="Times New Roman" w:hAnsi="Times New Roman" w:eastAsia="宋体" w:cs="Times New Roman"/>
                <w:szCs w:val="21"/>
              </w:rPr>
              <w:t>支持多种语言；编辑文档时可以进行文字编辑、段落、目录、</w:t>
            </w:r>
          </w:p>
          <w:p w14:paraId="02130561">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szCs w:val="21"/>
              </w:rPr>
            </w:pPr>
            <w:r>
              <w:rPr>
                <w:rFonts w:hint="default" w:ascii="Times New Roman" w:hAnsi="Times New Roman" w:eastAsia="宋体" w:cs="Times New Roman"/>
                <w:szCs w:val="21"/>
              </w:rPr>
              <w:t>书签等设置或插入文本框、图形、表格等对象；支持图文混排、文件修订、</w:t>
            </w:r>
          </w:p>
          <w:p w14:paraId="10CC2889">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b/>
                <w:bCs/>
                <w:szCs w:val="21"/>
              </w:rPr>
            </w:pPr>
            <w:r>
              <w:rPr>
                <w:rFonts w:hint="default" w:ascii="Times New Roman" w:hAnsi="Times New Roman" w:eastAsia="宋体" w:cs="Times New Roman"/>
                <w:szCs w:val="21"/>
              </w:rPr>
              <w:t>样式应用和文件处理等功能。</w:t>
            </w:r>
          </w:p>
        </w:tc>
      </w:tr>
      <w:tr w14:paraId="7C994EDB">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316D77EA">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4A3075AF">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支持插入封面页、空白页的功能，可以在文档中轻松的插入封面、更换封面、插入横向页面等。</w:t>
            </w:r>
          </w:p>
        </w:tc>
      </w:tr>
      <w:tr w14:paraId="2F763744">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2609D23">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2196886F">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在表格中支持一键插入求和、计数、平均值等常用公式。</w:t>
            </w:r>
          </w:p>
        </w:tc>
      </w:tr>
      <w:tr w14:paraId="2E7247ED">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42DEE994">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7E334243">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支持数据计算、支持各种常见公式，并能跨表（文件）计算，满足办公中的统计和计算各种需求。</w:t>
            </w:r>
          </w:p>
        </w:tc>
      </w:tr>
      <w:tr w14:paraId="550FB772">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D1C3839">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483290CA">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rPr>
              <w:t>能供多平台支持，支持Windows、Linux、Android、IOS操作系统。</w:t>
            </w:r>
          </w:p>
        </w:tc>
      </w:tr>
      <w:tr w14:paraId="181F8165">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62900482">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6DB0AB98">
            <w:pPr>
              <w:pStyle w:val="27"/>
              <w:keepNext w:val="0"/>
              <w:keepLines w:val="0"/>
              <w:pageBreakBefore w:val="0"/>
              <w:widowControl/>
              <w:kinsoku/>
              <w:wordWrap/>
              <w:overflowPunct/>
              <w:topLinePunct w:val="0"/>
              <w:autoSpaceDE/>
              <w:autoSpaceDN/>
              <w:bidi w:val="0"/>
              <w:adjustRightInd w:val="0"/>
              <w:snapToGrid w:val="0"/>
              <w:spacing w:line="360" w:lineRule="auto"/>
              <w:ind w:firstLine="0" w:firstLineChars="0"/>
              <w:rPr>
                <w:rFonts w:hint="default" w:ascii="Times New Roman" w:hAnsi="Times New Roman" w:eastAsia="宋体" w:cs="Times New Roman"/>
              </w:rPr>
            </w:pPr>
            <w:r>
              <w:rPr>
                <w:rFonts w:hint="default" w:ascii="Times New Roman" w:hAnsi="Times New Roman" w:eastAsia="宋体" w:cs="Times New Roman"/>
                <w:color w:val="000000"/>
                <w:kern w:val="0"/>
              </w:rPr>
              <w:t>所有模块要求均能导出成为PDF格式文件并且能直接打开PDF文件，在导出过程中可对文档信息、书签、超链接等进行输出项选择，可进行打印、加密、添加批注等权限设置。</w:t>
            </w:r>
          </w:p>
        </w:tc>
      </w:tr>
      <w:tr w14:paraId="1B588C4B">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46762C1A">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529BF9BF">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支持生成图表，能根据表格数据自动生成柱形图、折线图、散点图、饼图等图表，且各种类型之间可以方便的转换。</w:t>
            </w:r>
          </w:p>
        </w:tc>
      </w:tr>
      <w:tr w14:paraId="383D50E4">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5DA6C98">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4B08A547">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支持数据有效性，排序、筛选、分类汇总，组及分组显示等功能。</w:t>
            </w:r>
          </w:p>
        </w:tc>
      </w:tr>
      <w:tr w14:paraId="058D0350">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97D93C9">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04DC507B">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在文本输入时，产品须能提供推荐列表，帮助提高录入的速度和准确性。</w:t>
            </w:r>
          </w:p>
        </w:tc>
      </w:tr>
      <w:tr w14:paraId="40757EA7">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182F766E">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37C39CEE">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支持单元格数据的循环引用，并计算出正确的结果。</w:t>
            </w:r>
          </w:p>
        </w:tc>
      </w:tr>
      <w:tr w14:paraId="31F539C2">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9BA7102">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0CE29F30">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提供放大镜、荧光笔、触发器、动画效果、母版编辑等功能。</w:t>
            </w:r>
          </w:p>
        </w:tc>
      </w:tr>
      <w:tr w14:paraId="2CC1F0D4">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4AF519B5">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29111405">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可在幻灯片中插入图片、表格、图形、图表和多媒体对象，支持背景音乐。</w:t>
            </w:r>
          </w:p>
        </w:tc>
      </w:tr>
      <w:tr w14:paraId="46523C69">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0747D9F2">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2F09A032">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rPr>
              <w:t>产品的演示模块支持文件打包功能</w:t>
            </w:r>
          </w:p>
        </w:tc>
      </w:tr>
      <w:tr w14:paraId="4C760152">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3F3684A5">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15DAA42C">
            <w:pPr>
              <w:pStyle w:val="27"/>
              <w:keepNext w:val="0"/>
              <w:keepLines w:val="0"/>
              <w:pageBreakBefore w:val="0"/>
              <w:widowControl/>
              <w:kinsoku/>
              <w:wordWrap/>
              <w:overflowPunct/>
              <w:topLinePunct w:val="0"/>
              <w:autoSpaceDE/>
              <w:autoSpaceDN/>
              <w:bidi w:val="0"/>
              <w:adjustRightInd w:val="0"/>
              <w:snapToGrid w:val="0"/>
              <w:spacing w:line="360" w:lineRule="auto"/>
              <w:ind w:firstLine="0" w:firstLineChars="0"/>
              <w:rPr>
                <w:rFonts w:hint="default" w:ascii="Times New Roman" w:hAnsi="Times New Roman" w:eastAsia="宋体" w:cs="Times New Roman"/>
              </w:rPr>
            </w:pPr>
            <w:r>
              <w:rPr>
                <w:rFonts w:hint="default" w:ascii="Times New Roman" w:hAnsi="Times New Roman" w:eastAsia="宋体" w:cs="Times New Roman"/>
                <w:color w:val="000000"/>
                <w:kern w:val="0"/>
              </w:rPr>
              <w:t>投标产品支持邮件合并功能，能够进行合并数据的逐条查看并显示。</w:t>
            </w:r>
          </w:p>
        </w:tc>
      </w:tr>
      <w:tr w14:paraId="59EB9F44">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3B3C1CB7">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14DB5E21">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szCs w:val="21"/>
              </w:rPr>
            </w:pPr>
            <w:r>
              <w:rPr>
                <w:rFonts w:hint="default" w:ascii="Times New Roman" w:hAnsi="Times New Roman" w:eastAsia="宋体" w:cs="Times New Roman"/>
                <w:szCs w:val="21"/>
              </w:rPr>
              <w:t>可在幻灯片中插入Flash对象，可将幻灯片保存成gif、jpg、bmp、tif、png等多种图片格式。</w:t>
            </w:r>
          </w:p>
        </w:tc>
      </w:tr>
      <w:tr w14:paraId="688D974A">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26C7FED5">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365221AE">
            <w:pPr>
              <w:pStyle w:val="27"/>
              <w:keepNext w:val="0"/>
              <w:keepLines w:val="0"/>
              <w:pageBreakBefore w:val="0"/>
              <w:widowControl/>
              <w:kinsoku/>
              <w:wordWrap/>
              <w:overflowPunct/>
              <w:topLinePunct w:val="0"/>
              <w:autoSpaceDE/>
              <w:autoSpaceDN/>
              <w:bidi w:val="0"/>
              <w:adjustRightInd w:val="0"/>
              <w:snapToGrid w:val="0"/>
              <w:spacing w:line="360" w:lineRule="auto"/>
              <w:ind w:firstLine="0" w:firstLineChars="0"/>
              <w:rPr>
                <w:rFonts w:hint="default" w:ascii="Times New Roman" w:hAnsi="Times New Roman" w:eastAsia="宋体" w:cs="Times New Roman"/>
              </w:rPr>
            </w:pPr>
            <w:r>
              <w:rPr>
                <w:rFonts w:hint="default" w:ascii="Times New Roman" w:hAnsi="Times New Roman" w:eastAsia="宋体" w:cs="Times New Roman"/>
                <w:color w:val="000000"/>
                <w:kern w:val="0"/>
              </w:rPr>
              <w:t>投标产品须支持文档的章节导航功能，可以进行封面页、目录页和章节的快速导航定位显示。</w:t>
            </w:r>
          </w:p>
        </w:tc>
      </w:tr>
      <w:tr w14:paraId="42952587">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1F5A0013">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1AB940F6">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szCs w:val="21"/>
              </w:rPr>
            </w:pPr>
            <w:r>
              <w:rPr>
                <w:rFonts w:hint="default" w:ascii="Times New Roman" w:hAnsi="Times New Roman" w:eastAsia="宋体" w:cs="Times New Roman"/>
                <w:szCs w:val="21"/>
              </w:rPr>
              <w:t>具备多种打印操作控制，支持反片打印、折页打印、手动双向控制打印、支持套打等。</w:t>
            </w:r>
          </w:p>
        </w:tc>
      </w:tr>
      <w:tr w14:paraId="45DAE86D">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1854738F">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76AF0DD2">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color w:val="000000"/>
                <w:kern w:val="0"/>
                <w:szCs w:val="21"/>
              </w:rPr>
              <w:t>产品须内置个税计算、身份证生日提取等常用公式</w:t>
            </w:r>
          </w:p>
        </w:tc>
      </w:tr>
      <w:tr w14:paraId="59B0458E">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3C466BAE">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4D7FE4FD">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支持中文办公软件文档格式（UOF）。</w:t>
            </w:r>
          </w:p>
        </w:tc>
      </w:tr>
      <w:tr w14:paraId="1163634D">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7F229C69">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7FA4AB52">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文件格式双向兼容：各功能模块与微软 Office的Word、Excel、Powerpoint 三个功能模块相互兼容，支持格式包括且不限于 doc、docx、xls、xlsx、ppt、pptx、pdf、txt、xml、html；同时产品自有文件格式也能被微软Office各对应模块打开。</w:t>
            </w:r>
          </w:p>
        </w:tc>
      </w:tr>
      <w:tr w14:paraId="2992EB71">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41B0283">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1ABB70B3">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二次开发兼容：兼容带有VBA宏代码的文档，能够直接并流畅的运行。</w:t>
            </w:r>
          </w:p>
        </w:tc>
      </w:tr>
      <w:tr w14:paraId="14FB1B61">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77BD5EA">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szCs w:val="21"/>
              </w:rPr>
            </w:pPr>
          </w:p>
        </w:tc>
        <w:tc>
          <w:tcPr>
            <w:tcW w:w="8506" w:type="dxa"/>
            <w:tcBorders>
              <w:top w:val="single" w:color="000000" w:sz="4" w:space="0"/>
              <w:left w:val="nil"/>
              <w:bottom w:val="single" w:color="000000" w:sz="4" w:space="0"/>
              <w:right w:val="single" w:color="000000" w:sz="4" w:space="0"/>
            </w:tcBorders>
            <w:noWrap w:val="0"/>
            <w:vAlign w:val="top"/>
          </w:tcPr>
          <w:p w14:paraId="23ABEBEB">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b/>
                <w:bCs/>
                <w:szCs w:val="21"/>
              </w:rPr>
            </w:pPr>
            <w:r>
              <w:rPr>
                <w:rFonts w:hint="default" w:ascii="Times New Roman" w:hAnsi="Times New Roman" w:eastAsia="宋体" w:cs="Times New Roman"/>
                <w:szCs w:val="21"/>
              </w:rPr>
              <w:t>操作习惯兼容：软件界面与微软office界面在菜单排布和功能界面的操作使用上保持一致。</w:t>
            </w:r>
          </w:p>
        </w:tc>
      </w:tr>
      <w:tr w14:paraId="7CDCD774">
        <w:tblPrEx>
          <w:tblCellMar>
            <w:top w:w="0" w:type="dxa"/>
            <w:left w:w="108" w:type="dxa"/>
            <w:bottom w:w="0" w:type="dxa"/>
            <w:right w:w="108" w:type="dxa"/>
          </w:tblCellMar>
        </w:tblPrEx>
        <w:tc>
          <w:tcPr>
            <w:tcW w:w="710" w:type="dxa"/>
            <w:vMerge w:val="restart"/>
            <w:tcBorders>
              <w:top w:val="nil"/>
              <w:left w:val="single" w:color="000000" w:sz="4" w:space="0"/>
              <w:bottom w:val="single" w:color="000000" w:sz="4" w:space="0"/>
              <w:right w:val="single" w:color="000000" w:sz="4" w:space="0"/>
            </w:tcBorders>
            <w:noWrap w:val="0"/>
            <w:vAlign w:val="center"/>
          </w:tcPr>
          <w:p w14:paraId="31D8F2FE">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兼</w:t>
            </w:r>
          </w:p>
          <w:p w14:paraId="3432E0C2">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容</w:t>
            </w:r>
          </w:p>
          <w:p w14:paraId="0A4F49DD">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性</w:t>
            </w:r>
          </w:p>
        </w:tc>
        <w:tc>
          <w:tcPr>
            <w:tcW w:w="8506" w:type="dxa"/>
            <w:tcBorders>
              <w:top w:val="single" w:color="000000" w:sz="4" w:space="0"/>
              <w:left w:val="nil"/>
              <w:bottom w:val="single" w:color="000000" w:sz="4" w:space="0"/>
              <w:right w:val="single" w:color="000000" w:sz="4" w:space="0"/>
            </w:tcBorders>
            <w:noWrap w:val="0"/>
            <w:vAlign w:val="top"/>
          </w:tcPr>
          <w:p w14:paraId="75C0413F">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界面兼容：提供微软OFFICE2003的下拉式菜单与微软OFFICE2013的标签页式菜单两种界面风格，并可以在安装后通过皮肤中心进行自由切换。</w:t>
            </w:r>
          </w:p>
        </w:tc>
      </w:tr>
      <w:tr w14:paraId="27F7DFE4">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39CA356F">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6875000F">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兼容微软2010版本以上采用CNG进行加密的文档。</w:t>
            </w:r>
          </w:p>
        </w:tc>
      </w:tr>
      <w:tr w14:paraId="5C694C1B">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249EF57A">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7A0D4715">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开放的数据接口，能与内部OA系统及其他业务系统进行无缝整合，能通过OA系统正常进行收发文工作。</w:t>
            </w:r>
          </w:p>
        </w:tc>
      </w:tr>
      <w:tr w14:paraId="7BE679FF">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0EAE9AB8">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35FAC67F">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投标产品须提供基于basic的VBA宏代码编辑环境，且兼容微软Office VBA开发环境。能支持VBA嵌入式编程。</w:t>
            </w:r>
          </w:p>
        </w:tc>
      </w:tr>
      <w:tr w14:paraId="7D5D1DB2">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7B91B7F7">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612353D6">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b/>
                <w:bCs/>
                <w:szCs w:val="21"/>
              </w:rPr>
            </w:pPr>
            <w:r>
              <w:rPr>
                <w:rFonts w:hint="default" w:ascii="Times New Roman" w:hAnsi="Times New Roman" w:eastAsia="宋体" w:cs="Times New Roman"/>
                <w:color w:val="000000"/>
                <w:kern w:val="0"/>
                <w:szCs w:val="21"/>
              </w:rPr>
              <w:t>投标产品能提供丰富的二次开发接口，支持Asp.net、C++、VB、VC、Java、JavaScript等调用。</w:t>
            </w:r>
          </w:p>
        </w:tc>
      </w:tr>
      <w:tr w14:paraId="41C60A0E">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0F201D25">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0D56F41E">
            <w:pPr>
              <w:keepNext w:val="0"/>
              <w:keepLines w:val="0"/>
              <w:pageBreakBefore w:val="0"/>
              <w:kinsoku/>
              <w:wordWrap/>
              <w:overflowPunct/>
              <w:topLinePunct w:val="0"/>
              <w:autoSpaceDE/>
              <w:autoSpaceDN/>
              <w:bidi w:val="0"/>
              <w:spacing w:line="360" w:lineRule="auto"/>
              <w:ind w:right="-216"/>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投标产品在授权服务期内，提供软件的更新和必要的技术支持服务，包括电话支持和现场支持，并且软件可进行内网统一更新，配套正版软件管理平台，</w:t>
            </w:r>
            <w:r>
              <w:rPr>
                <w:rFonts w:hint="default" w:ascii="Times New Roman" w:hAnsi="Times New Roman" w:eastAsia="宋体" w:cs="Times New Roman"/>
                <w:kern w:val="0"/>
                <w:szCs w:val="21"/>
              </w:rPr>
              <w:t>软件升级服务器、部署和运维、售后服务。</w:t>
            </w:r>
          </w:p>
        </w:tc>
      </w:tr>
      <w:tr w14:paraId="426E7A40">
        <w:tblPrEx>
          <w:tblCellMar>
            <w:top w:w="0" w:type="dxa"/>
            <w:left w:w="108" w:type="dxa"/>
            <w:bottom w:w="0" w:type="dxa"/>
            <w:right w:w="108" w:type="dxa"/>
          </w:tblCellMar>
        </w:tblPrEx>
        <w:tc>
          <w:tcPr>
            <w:tcW w:w="710" w:type="dxa"/>
            <w:vMerge w:val="restart"/>
            <w:tcBorders>
              <w:top w:val="nil"/>
              <w:left w:val="single" w:color="000000" w:sz="4" w:space="0"/>
              <w:bottom w:val="single" w:color="000000" w:sz="4" w:space="0"/>
              <w:right w:val="single" w:color="000000" w:sz="4" w:space="0"/>
            </w:tcBorders>
            <w:noWrap w:val="0"/>
            <w:vAlign w:val="center"/>
          </w:tcPr>
          <w:p w14:paraId="4D984D31">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扩</w:t>
            </w:r>
          </w:p>
          <w:p w14:paraId="3A25919A">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展</w:t>
            </w:r>
          </w:p>
          <w:p w14:paraId="1B8FDB40">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性</w:t>
            </w:r>
          </w:p>
        </w:tc>
        <w:tc>
          <w:tcPr>
            <w:tcW w:w="8506" w:type="dxa"/>
            <w:tcBorders>
              <w:top w:val="single" w:color="000000" w:sz="4" w:space="0"/>
              <w:left w:val="nil"/>
              <w:bottom w:val="single" w:color="000000" w:sz="4" w:space="0"/>
              <w:right w:val="single" w:color="000000" w:sz="4" w:space="0"/>
            </w:tcBorders>
            <w:noWrap w:val="0"/>
            <w:vAlign w:val="top"/>
          </w:tcPr>
          <w:p w14:paraId="7297BD60">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能嵌入NTKO、DSOFramer及金格控件，全面支持B/S、C/S应用</w:t>
            </w:r>
          </w:p>
        </w:tc>
      </w:tr>
      <w:tr w14:paraId="5D4C210F">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14F94DB">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006D5F91">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szCs w:val="21"/>
              </w:rPr>
              <w:t>体积小(安装包不超过350M)、绿色（除操作系统，不再需要第三方运行环境，如JRE等运行环境）。</w:t>
            </w:r>
          </w:p>
        </w:tc>
      </w:tr>
      <w:tr w14:paraId="283BAFF3">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0CC3E09C">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029BFABE">
            <w:pPr>
              <w:pStyle w:val="27"/>
              <w:keepNext w:val="0"/>
              <w:keepLines w:val="0"/>
              <w:pageBreakBefore w:val="0"/>
              <w:widowControl/>
              <w:kinsoku/>
              <w:wordWrap/>
              <w:overflowPunct/>
              <w:topLinePunct w:val="0"/>
              <w:autoSpaceDE/>
              <w:autoSpaceDN/>
              <w:bidi w:val="0"/>
              <w:adjustRightInd w:val="0"/>
              <w:snapToGrid w:val="0"/>
              <w:spacing w:line="360" w:lineRule="auto"/>
              <w:ind w:firstLine="0" w:firstLineChars="0"/>
              <w:rPr>
                <w:rFonts w:hint="default" w:ascii="Times New Roman" w:hAnsi="Times New Roman" w:eastAsia="宋体" w:cs="Times New Roman"/>
                <w:b/>
                <w:bCs/>
              </w:rPr>
            </w:pPr>
            <w:r>
              <w:rPr>
                <w:rFonts w:hint="default" w:ascii="Times New Roman" w:hAnsi="Times New Roman" w:eastAsia="宋体" w:cs="Times New Roman"/>
                <w:color w:val="000000"/>
                <w:kern w:val="0"/>
              </w:rPr>
              <w:t>易于升级，支持手工升级包、在线自动升级和局域网升级服务器三种方式,并且可以通过服务器提供每日用户使用情况。</w:t>
            </w:r>
          </w:p>
        </w:tc>
      </w:tr>
      <w:tr w14:paraId="4E0B0D51">
        <w:tblPrEx>
          <w:tblCellMar>
            <w:top w:w="0" w:type="dxa"/>
            <w:left w:w="108" w:type="dxa"/>
            <w:bottom w:w="0" w:type="dxa"/>
            <w:right w:w="108" w:type="dxa"/>
          </w:tblCellMar>
        </w:tblPrEx>
        <w:tc>
          <w:tcPr>
            <w:tcW w:w="710" w:type="dxa"/>
            <w:vMerge w:val="continue"/>
            <w:tcBorders>
              <w:top w:val="nil"/>
              <w:left w:val="single" w:color="000000" w:sz="4" w:space="0"/>
              <w:bottom w:val="single" w:color="000000" w:sz="4" w:space="0"/>
              <w:right w:val="single" w:color="000000" w:sz="4" w:space="0"/>
            </w:tcBorders>
            <w:noWrap w:val="0"/>
            <w:vAlign w:val="center"/>
          </w:tcPr>
          <w:p w14:paraId="506A2F45">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6A20688A">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rPr>
              <w:t>产品支持智能定时备份功能，防止突发性死机或断电时文档内容全部丢失功能</w:t>
            </w:r>
          </w:p>
        </w:tc>
      </w:tr>
      <w:tr w14:paraId="33481D77">
        <w:tblPrEx>
          <w:tblCellMar>
            <w:top w:w="0" w:type="dxa"/>
            <w:left w:w="108" w:type="dxa"/>
            <w:bottom w:w="0" w:type="dxa"/>
            <w:right w:w="108" w:type="dxa"/>
          </w:tblCellMar>
        </w:tblPrEx>
        <w:trPr>
          <w:trHeight w:val="410" w:hRule="atLeast"/>
        </w:trPr>
        <w:tc>
          <w:tcPr>
            <w:tcW w:w="710" w:type="dxa"/>
            <w:vMerge w:val="continue"/>
            <w:tcBorders>
              <w:top w:val="nil"/>
              <w:left w:val="single" w:color="000000" w:sz="4" w:space="0"/>
              <w:bottom w:val="single" w:color="000000" w:sz="4" w:space="0"/>
              <w:right w:val="single" w:color="000000" w:sz="4" w:space="0"/>
            </w:tcBorders>
            <w:noWrap w:val="0"/>
            <w:vAlign w:val="center"/>
          </w:tcPr>
          <w:p w14:paraId="0CADD4E4">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6485230E">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kern w:val="0"/>
                <w:szCs w:val="21"/>
              </w:rPr>
            </w:pPr>
            <w:bookmarkStart w:id="0" w:name="OLE_LINK2"/>
            <w:r>
              <w:rPr>
                <w:rFonts w:hint="default" w:ascii="Times New Roman" w:hAnsi="Times New Roman" w:eastAsia="宋体" w:cs="Times New Roman"/>
                <w:kern w:val="0"/>
                <w:szCs w:val="21"/>
              </w:rPr>
              <w:t>产品支持直接打开</w:t>
            </w:r>
            <w:bookmarkEnd w:id="0"/>
            <w:r>
              <w:rPr>
                <w:rFonts w:hint="default" w:ascii="Times New Roman" w:hAnsi="Times New Roman" w:eastAsia="宋体" w:cs="Times New Roman"/>
                <w:kern w:val="0"/>
                <w:szCs w:val="21"/>
              </w:rPr>
              <w:t>PDF格式文件，进行阅读查看。同时保障产品可将其他格式文档另存为PDF格式文件。</w:t>
            </w:r>
          </w:p>
        </w:tc>
      </w:tr>
      <w:tr w14:paraId="2ACF2DD1">
        <w:tblPrEx>
          <w:tblCellMar>
            <w:top w:w="0" w:type="dxa"/>
            <w:left w:w="108" w:type="dxa"/>
            <w:bottom w:w="0" w:type="dxa"/>
            <w:right w:w="108" w:type="dxa"/>
          </w:tblCellMar>
        </w:tblPrEx>
        <w:trPr>
          <w:trHeight w:val="410" w:hRule="atLeast"/>
        </w:trPr>
        <w:tc>
          <w:tcPr>
            <w:tcW w:w="710" w:type="dxa"/>
            <w:vMerge w:val="continue"/>
            <w:tcBorders>
              <w:top w:val="nil"/>
              <w:left w:val="single" w:color="000000" w:sz="4" w:space="0"/>
              <w:bottom w:val="single" w:color="000000" w:sz="4" w:space="0"/>
              <w:right w:val="single" w:color="000000" w:sz="4" w:space="0"/>
            </w:tcBorders>
            <w:noWrap w:val="0"/>
            <w:vAlign w:val="center"/>
          </w:tcPr>
          <w:p w14:paraId="1D7DB7C7">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09134E0E">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kern w:val="0"/>
                <w:szCs w:val="21"/>
              </w:rPr>
              <w:t>兼容微软基于COM技术的插件接口标准，能够加载已有的常用插件。</w:t>
            </w:r>
          </w:p>
        </w:tc>
      </w:tr>
      <w:tr w14:paraId="33C7F0D4">
        <w:tblPrEx>
          <w:tblCellMar>
            <w:top w:w="0" w:type="dxa"/>
            <w:left w:w="108" w:type="dxa"/>
            <w:bottom w:w="0" w:type="dxa"/>
            <w:right w:w="108" w:type="dxa"/>
          </w:tblCellMar>
        </w:tblPrEx>
        <w:trPr>
          <w:trHeight w:val="82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47842369">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易用及安全性</w:t>
            </w:r>
          </w:p>
        </w:tc>
        <w:tc>
          <w:tcPr>
            <w:tcW w:w="8506" w:type="dxa"/>
            <w:tcBorders>
              <w:top w:val="single" w:color="000000" w:sz="4" w:space="0"/>
              <w:left w:val="nil"/>
              <w:bottom w:val="single" w:color="000000" w:sz="4" w:space="0"/>
              <w:right w:val="single" w:color="000000" w:sz="4" w:space="0"/>
            </w:tcBorders>
            <w:noWrap w:val="0"/>
            <w:vAlign w:val="top"/>
          </w:tcPr>
          <w:p w14:paraId="6B77A664">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bCs/>
                <w:szCs w:val="21"/>
              </w:rPr>
            </w:pPr>
            <w:r>
              <w:rPr>
                <w:rFonts w:hint="default" w:ascii="Times New Roman" w:hAnsi="Times New Roman" w:eastAsia="宋体" w:cs="Times New Roman"/>
                <w:kern w:val="0"/>
                <w:szCs w:val="21"/>
              </w:rPr>
              <w:t>产品支持离线使用，可以不依赖互联网网络在线使用。</w:t>
            </w:r>
          </w:p>
        </w:tc>
      </w:tr>
      <w:tr w14:paraId="102BA3C3">
        <w:tblPrEx>
          <w:tblCellMar>
            <w:top w:w="0" w:type="dxa"/>
            <w:left w:w="108" w:type="dxa"/>
            <w:bottom w:w="0" w:type="dxa"/>
            <w:right w:w="108" w:type="dxa"/>
          </w:tblCellMar>
        </w:tblPrEx>
        <w:trPr>
          <w:trHeight w:val="825" w:hRule="atLeast"/>
        </w:trPr>
        <w:tc>
          <w:tcPr>
            <w:tcW w:w="710" w:type="dxa"/>
            <w:vMerge w:val="restart"/>
            <w:tcBorders>
              <w:top w:val="single" w:color="000000" w:sz="4" w:space="0"/>
              <w:left w:val="single" w:color="000000" w:sz="4" w:space="0"/>
              <w:right w:val="single" w:color="000000" w:sz="4" w:space="0"/>
            </w:tcBorders>
            <w:noWrap w:val="0"/>
            <w:vAlign w:val="center"/>
          </w:tcPr>
          <w:p w14:paraId="398F5D88">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协作版功能</w:t>
            </w:r>
          </w:p>
        </w:tc>
        <w:tc>
          <w:tcPr>
            <w:tcW w:w="8506" w:type="dxa"/>
            <w:tcBorders>
              <w:top w:val="single" w:color="000000" w:sz="4" w:space="0"/>
              <w:left w:val="nil"/>
              <w:bottom w:val="single" w:color="000000" w:sz="4" w:space="0"/>
              <w:right w:val="single" w:color="000000" w:sz="4" w:space="0"/>
            </w:tcBorders>
            <w:noWrap w:val="0"/>
            <w:vAlign w:val="top"/>
          </w:tcPr>
          <w:p w14:paraId="1E77D0D5">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支持</w:t>
            </w:r>
            <w:r>
              <w:rPr>
                <w:rFonts w:hint="default" w:ascii="Times New Roman" w:hAnsi="Times New Roman" w:eastAsia="宋体" w:cs="Times New Roman"/>
              </w:rPr>
              <w:t>文档协同（Web Office）、安全文档（加密）；云文档空间容量为100G/人，每人可建200个安全团队，安全文档操作权限设置有5个；云文档可全文检索，支持云文档查看历史版本，支持文档漫游；云文档附件大小为1G，云文档团队数量为200 个/人。</w:t>
            </w:r>
          </w:p>
        </w:tc>
      </w:tr>
      <w:tr w14:paraId="1845FE4D">
        <w:tblPrEx>
          <w:tblCellMar>
            <w:top w:w="0" w:type="dxa"/>
            <w:left w:w="108" w:type="dxa"/>
            <w:bottom w:w="0" w:type="dxa"/>
            <w:right w:w="108" w:type="dxa"/>
          </w:tblCellMar>
        </w:tblPrEx>
        <w:trPr>
          <w:trHeight w:val="825" w:hRule="atLeast"/>
        </w:trPr>
        <w:tc>
          <w:tcPr>
            <w:tcW w:w="710" w:type="dxa"/>
            <w:vMerge w:val="continue"/>
            <w:tcBorders>
              <w:left w:val="single" w:color="000000" w:sz="4" w:space="0"/>
              <w:right w:val="single" w:color="000000" w:sz="4" w:space="0"/>
            </w:tcBorders>
            <w:noWrap w:val="0"/>
            <w:vAlign w:val="center"/>
          </w:tcPr>
          <w:p w14:paraId="4E5C4F2D">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3E841BDE">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kern w:val="0"/>
                <w:szCs w:val="21"/>
              </w:rPr>
            </w:pPr>
            <w:r>
              <w:rPr>
                <w:rFonts w:hint="default" w:ascii="Times New Roman" w:hAnsi="Times New Roman" w:eastAsia="宋体" w:cs="Times New Roman"/>
              </w:rPr>
              <w:t>云文档网页批量下载最多10 层文件夹，云文档网页批量下载数量最大500 个，云文档网页批量下载大小为500M，在线解压（zip、7z）最大支持</w:t>
            </w:r>
            <w:r>
              <w:rPr>
                <w:rFonts w:hint="default" w:ascii="Times New Roman" w:hAnsi="Times New Roman" w:eastAsia="宋体" w:cs="Times New Roman"/>
                <w:spacing w:val="-54"/>
              </w:rPr>
              <w:t xml:space="preserve"> </w:t>
            </w:r>
            <w:r>
              <w:rPr>
                <w:rFonts w:hint="default" w:ascii="Times New Roman" w:hAnsi="Times New Roman" w:eastAsia="宋体" w:cs="Times New Roman"/>
              </w:rPr>
              <w:t>50M。</w:t>
            </w:r>
          </w:p>
        </w:tc>
      </w:tr>
      <w:tr w14:paraId="30C2B430">
        <w:tblPrEx>
          <w:tblCellMar>
            <w:top w:w="0" w:type="dxa"/>
            <w:left w:w="108" w:type="dxa"/>
            <w:bottom w:w="0" w:type="dxa"/>
            <w:right w:w="108" w:type="dxa"/>
          </w:tblCellMar>
        </w:tblPrEx>
        <w:trPr>
          <w:trHeight w:val="825" w:hRule="atLeast"/>
        </w:trPr>
        <w:tc>
          <w:tcPr>
            <w:tcW w:w="710" w:type="dxa"/>
            <w:vMerge w:val="continue"/>
            <w:tcBorders>
              <w:left w:val="single" w:color="000000" w:sz="4" w:space="0"/>
              <w:bottom w:val="single" w:color="000000" w:sz="4" w:space="0"/>
              <w:right w:val="single" w:color="000000" w:sz="4" w:space="0"/>
            </w:tcBorders>
            <w:noWrap w:val="0"/>
            <w:vAlign w:val="center"/>
          </w:tcPr>
          <w:p w14:paraId="3DB8E458">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p>
        </w:tc>
        <w:tc>
          <w:tcPr>
            <w:tcW w:w="8506" w:type="dxa"/>
            <w:tcBorders>
              <w:top w:val="single" w:color="000000" w:sz="4" w:space="0"/>
              <w:left w:val="nil"/>
              <w:bottom w:val="single" w:color="000000" w:sz="4" w:space="0"/>
              <w:right w:val="single" w:color="000000" w:sz="4" w:space="0"/>
            </w:tcBorders>
            <w:noWrap w:val="0"/>
            <w:vAlign w:val="top"/>
          </w:tcPr>
          <w:p w14:paraId="194E17DD">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rPr>
            </w:pPr>
            <w:r>
              <w:rPr>
                <w:rFonts w:hint="default" w:ascii="Times New Roman" w:hAnsi="Times New Roman" w:eastAsia="宋体" w:cs="Times New Roman"/>
              </w:rPr>
              <w:t>支持组织架构管理、企业空间分配管理、团队拥有者变更管理、团队恢复管理、文档分享范围管控；后台日志报表可显示3 个月，支持后台角色管理。服务支持为基础支持+客户服务。</w:t>
            </w:r>
          </w:p>
        </w:tc>
      </w:tr>
      <w:tr w14:paraId="1EA9AF33">
        <w:tblPrEx>
          <w:tblCellMar>
            <w:top w:w="0" w:type="dxa"/>
            <w:left w:w="108" w:type="dxa"/>
            <w:bottom w:w="0" w:type="dxa"/>
            <w:right w:w="108" w:type="dxa"/>
          </w:tblCellMar>
        </w:tblPrEx>
        <w:trPr>
          <w:trHeight w:val="825" w:hRule="atLeast"/>
        </w:trPr>
        <w:tc>
          <w:tcPr>
            <w:tcW w:w="710" w:type="dxa"/>
            <w:vMerge w:val="restart"/>
            <w:tcBorders>
              <w:top w:val="single" w:color="000000" w:sz="4" w:space="0"/>
              <w:left w:val="single" w:color="000000" w:sz="4" w:space="0"/>
              <w:right w:val="single" w:color="000000" w:sz="4" w:space="0"/>
            </w:tcBorders>
            <w:noWrap w:val="0"/>
            <w:vAlign w:val="center"/>
          </w:tcPr>
          <w:p w14:paraId="1135DD39">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移动端</w:t>
            </w:r>
          </w:p>
        </w:tc>
        <w:tc>
          <w:tcPr>
            <w:tcW w:w="8506" w:type="dxa"/>
            <w:tcBorders>
              <w:top w:val="single" w:color="000000" w:sz="4" w:space="0"/>
              <w:left w:val="single" w:color="000000" w:sz="4" w:space="0"/>
              <w:bottom w:val="single" w:color="000000" w:sz="4" w:space="0"/>
              <w:right w:val="single" w:color="000000" w:sz="4" w:space="0"/>
            </w:tcBorders>
            <w:noWrap w:val="0"/>
            <w:vAlign w:val="center"/>
          </w:tcPr>
          <w:p w14:paraId="79AA2915">
            <w:pPr>
              <w:keepNext w:val="0"/>
              <w:keepLines w:val="0"/>
              <w:pageBreakBefore w:val="0"/>
              <w:widowControl/>
              <w:kinsoku/>
              <w:wordWrap/>
              <w:overflowPunct/>
              <w:topLinePunct w:val="0"/>
              <w:autoSpaceDE/>
              <w:autoSpaceDN/>
              <w:bidi w:val="0"/>
              <w:spacing w:line="360" w:lineRule="auto"/>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rPr>
              <w:t>支持字号、字体加粗、倾斜、下划线、删除线、颜色字体、对齐方式、高亮显示、行距、字体样式、项目符号、编号、智能排版、上下标、小型大写字母、全部大写、查找、缩放、全屏等。支持拼写检查功能，能够检测文档中单词的错误拼写，同时给出红色的波浪线反馈，可快速定位到错误单词。友好的拼写建议全面展示，方便快速消除错误单词。支持文本或图片可以直接发送给好友、发送文件、输出长图片、逐页输出图片、PDF文档等方式分享。</w:t>
            </w:r>
          </w:p>
        </w:tc>
      </w:tr>
      <w:tr w14:paraId="2F392EA4">
        <w:tblPrEx>
          <w:tblCellMar>
            <w:top w:w="0" w:type="dxa"/>
            <w:left w:w="108" w:type="dxa"/>
            <w:bottom w:w="0" w:type="dxa"/>
            <w:right w:w="108" w:type="dxa"/>
          </w:tblCellMar>
        </w:tblPrEx>
        <w:trPr>
          <w:trHeight w:val="825" w:hRule="atLeast"/>
        </w:trPr>
        <w:tc>
          <w:tcPr>
            <w:tcW w:w="710" w:type="dxa"/>
            <w:vMerge w:val="continue"/>
            <w:tcBorders>
              <w:left w:val="single" w:color="000000" w:sz="4" w:space="0"/>
              <w:right w:val="single" w:color="000000" w:sz="4" w:space="0"/>
            </w:tcBorders>
            <w:noWrap w:val="0"/>
            <w:vAlign w:val="center"/>
          </w:tcPr>
          <w:p w14:paraId="433E6837">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p>
        </w:tc>
        <w:tc>
          <w:tcPr>
            <w:tcW w:w="8506" w:type="dxa"/>
            <w:tcBorders>
              <w:top w:val="single" w:color="000000" w:sz="4" w:space="0"/>
              <w:left w:val="single" w:color="000000" w:sz="4" w:space="0"/>
              <w:bottom w:val="single" w:color="000000" w:sz="4" w:space="0"/>
              <w:right w:val="single" w:color="000000" w:sz="4" w:space="0"/>
            </w:tcBorders>
            <w:noWrap w:val="0"/>
            <w:vAlign w:val="top"/>
          </w:tcPr>
          <w:p w14:paraId="10D8A2D6">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rPr>
            </w:pPr>
            <w:r>
              <w:rPr>
                <w:rFonts w:hint="default" w:ascii="Times New Roman" w:hAnsi="Times New Roman" w:eastAsia="宋体" w:cs="Times New Roman"/>
              </w:rPr>
              <w:t>支持单元格的复制、剪切以及粘贴功能；支持工作表新建、重命名以及删除功能。支持审阅功能，可进行批注、保护工作表、保护工作簿等操作。支持插入单元格、图片、图表、形状、文本框、批注、函数、数据透视表、超链接等功能。</w:t>
            </w:r>
          </w:p>
        </w:tc>
      </w:tr>
      <w:tr w14:paraId="780CFFEF">
        <w:tblPrEx>
          <w:tblCellMar>
            <w:top w:w="0" w:type="dxa"/>
            <w:left w:w="108" w:type="dxa"/>
            <w:bottom w:w="0" w:type="dxa"/>
            <w:right w:w="108" w:type="dxa"/>
          </w:tblCellMar>
        </w:tblPrEx>
        <w:trPr>
          <w:trHeight w:val="825" w:hRule="atLeast"/>
        </w:trPr>
        <w:tc>
          <w:tcPr>
            <w:tcW w:w="710" w:type="dxa"/>
            <w:vMerge w:val="continue"/>
            <w:tcBorders>
              <w:left w:val="single" w:color="000000" w:sz="4" w:space="0"/>
              <w:right w:val="single" w:color="000000" w:sz="4" w:space="0"/>
            </w:tcBorders>
            <w:noWrap w:val="0"/>
            <w:vAlign w:val="center"/>
          </w:tcPr>
          <w:p w14:paraId="4C6D935B">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p>
        </w:tc>
        <w:tc>
          <w:tcPr>
            <w:tcW w:w="8506" w:type="dxa"/>
            <w:tcBorders>
              <w:top w:val="single" w:color="000000" w:sz="4" w:space="0"/>
              <w:left w:val="single" w:color="000000" w:sz="4" w:space="0"/>
              <w:bottom w:val="single" w:color="000000" w:sz="4" w:space="0"/>
              <w:right w:val="single" w:color="000000" w:sz="4" w:space="0"/>
            </w:tcBorders>
            <w:noWrap w:val="0"/>
            <w:vAlign w:val="top"/>
          </w:tcPr>
          <w:p w14:paraId="4FDAD5D8">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rPr>
            </w:pPr>
            <w:r>
              <w:rPr>
                <w:rFonts w:hint="default" w:ascii="Times New Roman" w:hAnsi="Times New Roman" w:eastAsia="宋体" w:cs="Times New Roman"/>
              </w:rPr>
              <w:t>支持显示饼形图、柱形图、条形图以及折线图等类型图表。支持文本框以及图片的插入，并且可对其进行移动、缩放等操作，双击文本框即可进入编辑状态。支持段落布局功能，提供三种段落缩进效果、行距、文字方向设置。</w:t>
            </w:r>
          </w:p>
        </w:tc>
      </w:tr>
      <w:tr w14:paraId="21DD403D">
        <w:tblPrEx>
          <w:tblCellMar>
            <w:top w:w="0" w:type="dxa"/>
            <w:left w:w="108" w:type="dxa"/>
            <w:bottom w:w="0" w:type="dxa"/>
            <w:right w:w="108" w:type="dxa"/>
          </w:tblCellMar>
        </w:tblPrEx>
        <w:trPr>
          <w:trHeight w:val="825" w:hRule="atLeast"/>
        </w:trPr>
        <w:tc>
          <w:tcPr>
            <w:tcW w:w="710" w:type="dxa"/>
            <w:vMerge w:val="continue"/>
            <w:tcBorders>
              <w:left w:val="single" w:color="000000" w:sz="4" w:space="0"/>
              <w:bottom w:val="single" w:color="000000" w:sz="4" w:space="0"/>
              <w:right w:val="single" w:color="000000" w:sz="4" w:space="0"/>
            </w:tcBorders>
            <w:noWrap w:val="0"/>
            <w:vAlign w:val="center"/>
          </w:tcPr>
          <w:p w14:paraId="1E62DE8F">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Cs w:val="21"/>
              </w:rPr>
            </w:pPr>
          </w:p>
        </w:tc>
        <w:tc>
          <w:tcPr>
            <w:tcW w:w="8506" w:type="dxa"/>
            <w:tcBorders>
              <w:top w:val="single" w:color="000000" w:sz="4" w:space="0"/>
              <w:left w:val="single" w:color="000000" w:sz="4" w:space="0"/>
              <w:bottom w:val="single" w:color="000000" w:sz="4" w:space="0"/>
              <w:right w:val="single" w:color="000000" w:sz="4" w:space="0"/>
            </w:tcBorders>
            <w:noWrap w:val="0"/>
            <w:vAlign w:val="top"/>
          </w:tcPr>
          <w:p w14:paraId="46B83BC9">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rPr>
            </w:pPr>
            <w:r>
              <w:rPr>
                <w:rFonts w:hint="default" w:ascii="Times New Roman" w:hAnsi="Times New Roman" w:eastAsia="宋体" w:cs="Times New Roman"/>
              </w:rPr>
              <w:t>支持PDF阅读记忆功能，快速跳转至上次关闭文档前所阅读的位置。支持页面缩放功能除可通过多点缩放的方式实现对页面的放大与缩小外，还可通过工具栏中的缩放键实现。</w:t>
            </w:r>
          </w:p>
        </w:tc>
      </w:tr>
    </w:tbl>
    <w:p w14:paraId="109D67F2">
      <w:pPr>
        <w:keepNext w:val="0"/>
        <w:keepLines w:val="0"/>
        <w:pageBreakBefore w:val="0"/>
        <w:widowControl/>
        <w:shd w:val="clear" w:color="auto" w:fill="FFFFFF"/>
        <w:kinsoku/>
        <w:wordWrap/>
        <w:overflowPunct/>
        <w:topLinePunct w:val="0"/>
        <w:autoSpaceDE/>
        <w:autoSpaceDN/>
        <w:bidi w:val="0"/>
        <w:spacing w:before="100" w:after="100" w:line="360" w:lineRule="auto"/>
        <w:jc w:val="left"/>
        <w:outlineLvl w:val="0"/>
        <w:rPr>
          <w:rFonts w:hint="default" w:ascii="Times New Roman" w:hAnsi="Times New Roman" w:eastAsia="宋体" w:cs="Times New Roman"/>
          <w:kern w:val="0"/>
          <w:szCs w:val="21"/>
        </w:rPr>
      </w:pPr>
      <w:r>
        <w:rPr>
          <w:rFonts w:hint="default" w:ascii="Times New Roman" w:hAnsi="Times New Roman" w:eastAsia="宋体" w:cs="Times New Roman"/>
          <w:b/>
          <w:bCs/>
          <w:kern w:val="0"/>
          <w:szCs w:val="21"/>
        </w:rPr>
        <w:t>（二）、产品售后服务要求：</w:t>
      </w:r>
    </w:p>
    <w:p w14:paraId="6F1B2981">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default" w:ascii="Times New Roman" w:hAnsi="Times New Roman" w:eastAsia="宋体" w:cs="Times New Roman"/>
          <w:szCs w:val="21"/>
        </w:rPr>
        <w:tab/>
      </w:r>
      <w:r>
        <w:rPr>
          <w:rFonts w:hint="default" w:ascii="Times New Roman" w:hAnsi="Times New Roman" w:eastAsia="宋体" w:cs="Times New Roman"/>
          <w:szCs w:val="21"/>
        </w:rPr>
        <w:t>技术协助</w:t>
      </w:r>
    </w:p>
    <w:p w14:paraId="704B2FC9">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在交货后，根据客户软件需求，安排工程师进行远程协助及安装答疑。</w:t>
      </w:r>
    </w:p>
    <w:p w14:paraId="0504163F">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szCs w:val="21"/>
        </w:rPr>
        <w:tab/>
      </w:r>
      <w:r>
        <w:rPr>
          <w:rFonts w:hint="default" w:ascii="Times New Roman" w:hAnsi="Times New Roman" w:eastAsia="宋体" w:cs="Times New Roman"/>
          <w:szCs w:val="21"/>
        </w:rPr>
        <w:t>免费升级服务</w:t>
      </w:r>
    </w:p>
    <w:p w14:paraId="311632A9">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质保期为原厂质保三年，在厂商免费升级服务期内为用户免费提供软件合规版本升级程序和补丁更新。</w:t>
      </w:r>
    </w:p>
    <w:p w14:paraId="26D88083">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A、升级保障期限：（202</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年  月  日至202</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年  月   日）；</w:t>
      </w:r>
    </w:p>
    <w:p w14:paraId="24B44ABA">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B、仅限在升级保障期内，乙方有义务保证原厂商对本合同项下授权给获得授权主体的授权软件向获得授权主体提供升级保障，原厂商在升级保障期内应提供的升级保障仅包括为获得授权主体提供该办公软件版本的升级（如有），是否推出升级版本由原厂商依照市场情况自行确定。原厂商在升级保障期内每次推出该办公软件的升级版本（如有），则应在该升级版本正式公开销售后（30）日内将该次版本升级事宜通知获得授权主体，原厂商每次均有权自行决定以下列两种方式中的任何一种或全部方式向获得授权主体发布其已推出该产品的升级版本的通知（以下简称“升级通知”）：</w:t>
      </w:r>
    </w:p>
    <w:p w14:paraId="4472283B">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1）网站公告升级通知，同时在该网站上传本次购买办公软件产品的升级版本供获得授权主体自行下载使用，原厂商将本次购买的办公软件产品的升级版本（如有）上传至网站，即为原厂商履行完毕本次为获得授权主体提供升级保障的义务；</w:t>
      </w:r>
    </w:p>
    <w:p w14:paraId="6085B715">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2）邮件发送升级通知：向购置合同中提供的联系人邮箱发送升级通知，并提供本次授权软件升级版本的下载链接。原厂商邮件发送成功，即为原厂商履行完毕本次为获得授权主体提供升级保障的义务。</w:t>
      </w:r>
    </w:p>
    <w:p w14:paraId="064D2A71">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甲方认可其使用原厂商在升级保障期内每次以上述任一种或全部方式向获得授权主体提供的办公软件产品的升级版本（如有）均应受本合同各条款约束，获得授权主体仅能严格按本合同约定（包括但不限于备注中的约定）使用该等原厂商在升级保障期内向获得授权主体提供的办公软件产品的升级版本（如有）。</w:t>
      </w:r>
    </w:p>
    <w:p w14:paraId="0EC9458D">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rPr>
      </w:pPr>
      <w:r>
        <w:rPr>
          <w:rFonts w:hint="default" w:ascii="Times New Roman" w:hAnsi="Times New Roman" w:eastAsia="宋体" w:cs="Times New Roman"/>
          <w:szCs w:val="21"/>
        </w:rPr>
        <w:t>3、电话、邮件技术支持服务</w:t>
      </w:r>
    </w:p>
    <w:p w14:paraId="4FCC0C16">
      <w:pPr>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通过电话、邮件为用户提供技术支持，协助用户解决系统日常运行中的问题。</w:t>
      </w:r>
    </w:p>
    <w:p w14:paraId="10ABE793">
      <w:pPr>
        <w:keepNext w:val="0"/>
        <w:keepLines w:val="0"/>
        <w:pageBreakBefore w:val="0"/>
        <w:kinsoku/>
        <w:wordWrap/>
        <w:overflowPunct/>
        <w:topLinePunct w:val="0"/>
        <w:autoSpaceDE/>
        <w:autoSpaceDN/>
        <w:bidi w:val="0"/>
        <w:adjustRightInd w:val="0"/>
        <w:snapToGri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b/>
          <w:bCs/>
          <w:color w:val="333333"/>
          <w:kern w:val="0"/>
          <w:szCs w:val="21"/>
        </w:rPr>
        <w:t>（三）、验收标准及要求：</w:t>
      </w:r>
    </w:p>
    <w:p w14:paraId="32E2FB89">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1、验收标准：根据本询价通知书、成交供应商的询价响应文件、承诺及有关国家、行业规定、合同约定进行验收。</w:t>
      </w:r>
    </w:p>
    <w:p w14:paraId="1116FAC9">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2、提供授权书及相关材料。</w:t>
      </w:r>
    </w:p>
    <w:p w14:paraId="5232B60A">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3、软件正版化台账与制度协助建立：</w:t>
      </w:r>
    </w:p>
    <w:p w14:paraId="0A76C597">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按照国家推进使用正版软件工作部际联席会议办公室和国家版权局办公厅文件要求协助</w:t>
      </w:r>
      <w:r>
        <w:rPr>
          <w:rFonts w:hint="eastAsia" w:ascii="Times New Roman" w:hAnsi="Times New Roman" w:eastAsia="宋体" w:cs="Times New Roman"/>
          <w:color w:val="333333"/>
          <w:kern w:val="0"/>
          <w:szCs w:val="21"/>
          <w:lang w:eastAsia="zh-CN"/>
        </w:rPr>
        <w:t>南通轨道交通集团有限公司</w:t>
      </w:r>
      <w:r>
        <w:rPr>
          <w:rFonts w:hint="default" w:ascii="Times New Roman" w:hAnsi="Times New Roman" w:eastAsia="宋体" w:cs="Times New Roman"/>
          <w:color w:val="333333"/>
          <w:kern w:val="0"/>
          <w:szCs w:val="21"/>
        </w:rPr>
        <w:t>有限公司完成软件正版化台账和制度的建立，主要内容如下：</w:t>
      </w:r>
    </w:p>
    <w:p w14:paraId="41D96DF4">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(1) 协助整理单位正版软件和目前硬件资产台账的情况做好完整的梳理工作；</w:t>
      </w:r>
    </w:p>
    <w:p w14:paraId="5B1B019B">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(2) 协助健全完善软件正版化工作责任制度，进一步明确软件正版化工作职责，落实软件正版化工作主体责任。</w:t>
      </w:r>
    </w:p>
    <w:p w14:paraId="34F8588C">
      <w:pPr>
        <w:keepNext w:val="0"/>
        <w:keepLines w:val="0"/>
        <w:pageBreakBefore w:val="0"/>
        <w:widowControl/>
        <w:shd w:val="clear" w:color="auto" w:fill="FFFFFF"/>
        <w:kinsoku/>
        <w:wordWrap/>
        <w:overflowPunct/>
        <w:topLinePunct w:val="0"/>
        <w:autoSpaceDE/>
        <w:autoSpaceDN/>
        <w:bidi w:val="0"/>
        <w:spacing w:before="100" w:after="100" w:line="360" w:lineRule="auto"/>
        <w:ind w:firstLine="480"/>
        <w:jc w:val="left"/>
        <w:rPr>
          <w:rFonts w:hint="default" w:ascii="Times New Roman" w:hAnsi="Times New Roman" w:eastAsia="宋体" w:cs="Times New Roman"/>
          <w:color w:val="333333"/>
          <w:kern w:val="0"/>
          <w:szCs w:val="21"/>
        </w:rPr>
      </w:pPr>
      <w:r>
        <w:rPr>
          <w:rFonts w:hint="default" w:ascii="Times New Roman" w:hAnsi="Times New Roman" w:eastAsia="宋体" w:cs="Times New Roman"/>
          <w:color w:val="333333"/>
          <w:kern w:val="0"/>
          <w:szCs w:val="21"/>
        </w:rPr>
        <w:t>(3) 协助整理准备《软件正版化工作指南检查表》中相应检查项目的支撑材料，制度建设和责任落实情况，按照国家和省级软件正版化检查工作软件资产台账全套资料制定。</w:t>
      </w:r>
    </w:p>
    <w:p w14:paraId="275651C4">
      <w:pPr>
        <w:widowControl/>
        <w:jc w:val="left"/>
        <w:rPr>
          <w:rFonts w:ascii="方正仿宋_GBK" w:eastAsia="方正仿宋_GBK" w:cs="方正仿宋.·靱."/>
          <w:sz w:val="32"/>
          <w:szCs w:val="32"/>
        </w:rPr>
      </w:pPr>
      <w:r>
        <w:rPr>
          <w:rFonts w:hint="default" w:ascii="Times New Roman" w:hAnsi="Times New Roman" w:eastAsia="宋体" w:cs="Times New Roman"/>
          <w:b/>
          <w:bCs/>
          <w:color w:val="444444"/>
          <w:kern w:val="0"/>
          <w:szCs w:val="21"/>
        </w:rPr>
        <w:t>备注：供应商项目实施未满足上述“（三）”要求的，视为验收不合格。</w:t>
      </w:r>
      <w:r>
        <w:rPr>
          <w:rFonts w:ascii="方正仿宋_GBK" w:eastAsia="方正仿宋_GBK" w:cs="方正仿宋.·靱."/>
          <w:sz w:val="32"/>
          <w:szCs w:val="32"/>
        </w:rPr>
        <w:br w:type="page"/>
      </w:r>
    </w:p>
    <w:p w14:paraId="49442E5D">
      <w:pPr>
        <w:pStyle w:val="2"/>
        <w:widowControl/>
        <w:spacing w:before="0" w:after="0" w:line="360" w:lineRule="auto"/>
        <w:rPr>
          <w:rFonts w:ascii="黑体" w:hAnsi="黑体" w:eastAsia="黑体"/>
          <w:bCs w:val="0"/>
          <w:szCs w:val="24"/>
        </w:rPr>
      </w:pPr>
      <w:bookmarkStart w:id="1" w:name="_Toc4774"/>
      <w:bookmarkStart w:id="2" w:name="_Toc467764294"/>
      <w:bookmarkStart w:id="3" w:name="_Toc459729770"/>
      <w:bookmarkStart w:id="4" w:name="_Toc4287"/>
      <w:bookmarkStart w:id="5" w:name="_Toc388189057"/>
      <w:bookmarkStart w:id="6" w:name="_Toc455145948"/>
      <w:bookmarkStart w:id="7" w:name="_Toc3186"/>
      <w:bookmarkStart w:id="8" w:name="_Toc514430468"/>
      <w:bookmarkStart w:id="9" w:name="_Toc8487"/>
      <w:bookmarkStart w:id="10" w:name="_Toc52196410"/>
      <w:bookmarkStart w:id="11" w:name="_Toc20816"/>
      <w:bookmarkStart w:id="12" w:name="_Toc31787"/>
      <w:bookmarkStart w:id="13" w:name="_Toc21196"/>
      <w:bookmarkStart w:id="14" w:name="_Toc20216"/>
      <w:bookmarkStart w:id="15" w:name="_Toc49268611"/>
      <w:bookmarkStart w:id="16" w:name="_Toc25272"/>
      <w:bookmarkStart w:id="17" w:name="_Toc11213"/>
      <w:bookmarkStart w:id="18" w:name="_Toc11253"/>
      <w:r>
        <w:rPr>
          <w:rFonts w:hint="eastAsia" w:ascii="黑体" w:hAnsi="黑体" w:eastAsia="黑体"/>
          <w:bCs w:val="0"/>
          <w:szCs w:val="24"/>
        </w:rPr>
        <w:t>附件二：</w:t>
      </w:r>
    </w:p>
    <w:p w14:paraId="24F6BC23">
      <w:pPr>
        <w:pStyle w:val="12"/>
        <w:shd w:val="clear" w:color="auto" w:fill="FFFFFF"/>
        <w:adjustRightInd w:val="0"/>
        <w:snapToGrid w:val="0"/>
        <w:spacing w:before="0" w:beforeAutospacing="0" w:after="0" w:afterAutospacing="0" w:line="590" w:lineRule="exact"/>
        <w:jc w:val="center"/>
        <w:rPr>
          <w:rFonts w:ascii="黑体" w:hAnsi="黑体" w:eastAsia="黑体"/>
          <w:color w:val="000000"/>
          <w:sz w:val="32"/>
        </w:rPr>
      </w:pPr>
      <w:r>
        <w:rPr>
          <w:rFonts w:hint="eastAsia" w:ascii="黑体" w:hAnsi="黑体" w:eastAsia="黑体"/>
          <w:color w:val="000000"/>
          <w:sz w:val="32"/>
        </w:rPr>
        <w:t>法定代表人（单位负责人）身份证明</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2AA7CA4">
      <w:pPr>
        <w:pStyle w:val="8"/>
        <w:ind w:left="0" w:leftChars="0" w:firstLine="420" w:firstLineChars="200"/>
        <w:rPr>
          <w:rFonts w:hAnsi="宋体"/>
          <w:sz w:val="21"/>
          <w:u w:val="single"/>
        </w:rPr>
      </w:pPr>
      <w:r>
        <w:rPr>
          <w:rFonts w:hint="eastAsia" w:hAnsi="宋体"/>
          <w:sz w:val="21"/>
        </w:rPr>
        <w:t>供应商名称：</w:t>
      </w:r>
      <w:r>
        <w:rPr>
          <w:rFonts w:hAnsi="宋体"/>
          <w:sz w:val="21"/>
          <w:u w:val="single"/>
        </w:rPr>
        <w:t xml:space="preserve">                                  </w:t>
      </w:r>
    </w:p>
    <w:p w14:paraId="463B1079">
      <w:pPr>
        <w:pStyle w:val="8"/>
        <w:ind w:left="0" w:leftChars="0" w:firstLine="420" w:firstLineChars="200"/>
        <w:rPr>
          <w:rFonts w:hAnsi="宋体"/>
          <w:sz w:val="21"/>
          <w:u w:val="single"/>
        </w:rPr>
      </w:pPr>
      <w:r>
        <w:rPr>
          <w:rFonts w:hint="eastAsia" w:hAnsi="宋体"/>
          <w:sz w:val="21"/>
        </w:rPr>
        <w:t>单位性质：</w:t>
      </w:r>
      <w:r>
        <w:rPr>
          <w:rFonts w:hAnsi="宋体"/>
          <w:sz w:val="21"/>
          <w:u w:val="single"/>
        </w:rPr>
        <w:t xml:space="preserve">                                    </w:t>
      </w:r>
    </w:p>
    <w:p w14:paraId="4F048E59">
      <w:pPr>
        <w:pStyle w:val="8"/>
        <w:ind w:left="0" w:leftChars="0" w:firstLine="420" w:firstLineChars="200"/>
        <w:rPr>
          <w:rFonts w:hAnsi="宋体"/>
          <w:sz w:val="21"/>
          <w:u w:val="single"/>
        </w:rPr>
      </w:pPr>
      <w:r>
        <w:rPr>
          <w:rFonts w:hint="eastAsia" w:hAnsi="宋体"/>
          <w:sz w:val="21"/>
        </w:rPr>
        <w:t>地址：</w:t>
      </w:r>
      <w:r>
        <w:rPr>
          <w:rFonts w:hAnsi="宋体"/>
          <w:sz w:val="21"/>
          <w:u w:val="single"/>
        </w:rPr>
        <w:t xml:space="preserve">                                        </w:t>
      </w:r>
    </w:p>
    <w:p w14:paraId="4C08D452">
      <w:pPr>
        <w:pStyle w:val="8"/>
        <w:ind w:left="0" w:leftChars="0" w:firstLine="420" w:firstLineChars="200"/>
        <w:rPr>
          <w:rFonts w:hAnsi="宋体"/>
          <w:sz w:val="21"/>
        </w:rPr>
      </w:pPr>
      <w:r>
        <w:rPr>
          <w:rFonts w:hint="eastAsia" w:hAnsi="宋体"/>
          <w:sz w:val="21"/>
        </w:rPr>
        <w:t>成立时间：</w:t>
      </w:r>
      <w:r>
        <w:rPr>
          <w:rFonts w:hAnsi="宋体"/>
          <w:sz w:val="21"/>
          <w:u w:val="single"/>
        </w:rPr>
        <w:t xml:space="preserve">            </w:t>
      </w:r>
      <w:r>
        <w:rPr>
          <w:rFonts w:hint="eastAsia" w:hAnsi="宋体"/>
          <w:sz w:val="21"/>
        </w:rPr>
        <w:t>年</w:t>
      </w:r>
      <w:r>
        <w:rPr>
          <w:rFonts w:hAnsi="宋体"/>
          <w:sz w:val="21"/>
          <w:u w:val="single"/>
        </w:rPr>
        <w:t xml:space="preserve">         </w:t>
      </w:r>
      <w:r>
        <w:rPr>
          <w:rFonts w:hint="eastAsia" w:hAnsi="宋体"/>
          <w:sz w:val="21"/>
        </w:rPr>
        <w:t>月</w:t>
      </w:r>
      <w:r>
        <w:rPr>
          <w:rFonts w:hAnsi="宋体"/>
          <w:sz w:val="21"/>
          <w:u w:val="single"/>
        </w:rPr>
        <w:t xml:space="preserve">         </w:t>
      </w:r>
      <w:r>
        <w:rPr>
          <w:rFonts w:hint="eastAsia" w:hAnsi="宋体"/>
          <w:sz w:val="21"/>
        </w:rPr>
        <w:t>日</w:t>
      </w:r>
    </w:p>
    <w:p w14:paraId="267B45B6">
      <w:pPr>
        <w:pStyle w:val="8"/>
        <w:ind w:left="0" w:leftChars="0" w:firstLine="420" w:firstLineChars="200"/>
        <w:rPr>
          <w:rFonts w:hAnsi="宋体"/>
          <w:sz w:val="21"/>
          <w:u w:val="single"/>
        </w:rPr>
      </w:pPr>
      <w:r>
        <w:rPr>
          <w:rFonts w:hint="eastAsia" w:hAnsi="宋体"/>
          <w:sz w:val="21"/>
        </w:rPr>
        <w:t>经营期限：</w:t>
      </w:r>
      <w:r>
        <w:rPr>
          <w:rFonts w:hAnsi="宋体"/>
          <w:sz w:val="21"/>
          <w:u w:val="single"/>
        </w:rPr>
        <w:t xml:space="preserve">                                    </w:t>
      </w:r>
    </w:p>
    <w:p w14:paraId="18A288B5">
      <w:pPr>
        <w:pStyle w:val="8"/>
        <w:ind w:left="399" w:leftChars="190" w:firstLine="0" w:firstLineChars="0"/>
        <w:rPr>
          <w:rFonts w:hAnsi="宋体"/>
          <w:sz w:val="21"/>
          <w:u w:val="single"/>
        </w:rPr>
      </w:pPr>
      <w:r>
        <w:rPr>
          <w:rFonts w:hint="eastAsia" w:hAnsi="宋体"/>
          <w:sz w:val="21"/>
        </w:rPr>
        <w:t>姓名：</w:t>
      </w:r>
      <w:r>
        <w:rPr>
          <w:rFonts w:hAnsi="宋体"/>
          <w:sz w:val="21"/>
          <w:u w:val="single"/>
        </w:rPr>
        <w:t xml:space="preserve">            </w:t>
      </w:r>
      <w:r>
        <w:rPr>
          <w:rFonts w:hint="eastAsia" w:hAnsi="宋体"/>
          <w:sz w:val="21"/>
        </w:rPr>
        <w:t>性别：</w:t>
      </w:r>
      <w:r>
        <w:rPr>
          <w:rFonts w:hAnsi="宋体"/>
          <w:sz w:val="21"/>
          <w:u w:val="single"/>
        </w:rPr>
        <w:t xml:space="preserve">          </w:t>
      </w:r>
      <w:r>
        <w:rPr>
          <w:rFonts w:hint="eastAsia" w:hAnsi="宋体"/>
          <w:sz w:val="21"/>
        </w:rPr>
        <w:t>年龄：</w:t>
      </w:r>
      <w:r>
        <w:rPr>
          <w:rFonts w:hAnsi="宋体"/>
          <w:sz w:val="21"/>
          <w:u w:val="single"/>
        </w:rPr>
        <w:t xml:space="preserve">          </w:t>
      </w:r>
      <w:r>
        <w:rPr>
          <w:rFonts w:hint="eastAsia" w:hAnsi="宋体"/>
          <w:sz w:val="21"/>
        </w:rPr>
        <w:t>职务：</w:t>
      </w:r>
      <w:r>
        <w:rPr>
          <w:rFonts w:hAnsi="宋体"/>
          <w:sz w:val="21"/>
          <w:u w:val="single"/>
        </w:rPr>
        <w:t xml:space="preserve">              </w:t>
      </w:r>
    </w:p>
    <w:p w14:paraId="7B34FF74">
      <w:pPr>
        <w:pStyle w:val="8"/>
        <w:ind w:left="399" w:leftChars="190" w:firstLine="0" w:firstLineChars="0"/>
        <w:rPr>
          <w:rFonts w:hAnsi="宋体"/>
          <w:sz w:val="21"/>
        </w:rPr>
      </w:pPr>
      <w:r>
        <w:rPr>
          <w:rFonts w:hint="eastAsia" w:hAnsi="宋体"/>
          <w:sz w:val="21"/>
        </w:rPr>
        <w:t>系</w:t>
      </w:r>
      <w:r>
        <w:rPr>
          <w:rFonts w:hAnsi="宋体"/>
          <w:sz w:val="21"/>
          <w:u w:val="single"/>
        </w:rPr>
        <w:t xml:space="preserve">                    </w:t>
      </w:r>
      <w:r>
        <w:rPr>
          <w:rFonts w:hint="eastAsia" w:hAnsi="宋体"/>
          <w:sz w:val="21"/>
        </w:rPr>
        <w:t>（供应商名称）的法定代表人。特此证明。</w:t>
      </w:r>
    </w:p>
    <w:p w14:paraId="4DF9DE2D">
      <w:pPr>
        <w:spacing w:line="360" w:lineRule="auto"/>
        <w:ind w:firstLine="420" w:firstLineChars="200"/>
        <w:rPr>
          <w:rFonts w:ascii="宋体" w:hAnsi="宋体" w:eastAsia="宋体"/>
          <w:szCs w:val="21"/>
        </w:rPr>
      </w:pPr>
      <w:r>
        <w:rPr>
          <w:rFonts w:hint="eastAsia" w:ascii="宋体" w:hAnsi="宋体" w:eastAsia="宋体"/>
          <w:szCs w:val="21"/>
        </w:rPr>
        <w:t>附：法定代表人（单位负责人）身份证复印件。</w:t>
      </w:r>
    </w:p>
    <w:p w14:paraId="623DF812">
      <w:pPr>
        <w:spacing w:line="360" w:lineRule="auto"/>
        <w:ind w:firstLine="420" w:firstLineChars="200"/>
        <w:rPr>
          <w:rFonts w:ascii="宋体" w:hAnsi="宋体" w:eastAsia="宋体"/>
          <w:szCs w:val="21"/>
        </w:rPr>
      </w:pPr>
      <w:r>
        <w:rPr>
          <w:rFonts w:hint="eastAsia" w:ascii="宋体" w:hAnsi="宋体" w:eastAsia="宋体"/>
          <w:szCs w:val="21"/>
        </w:rPr>
        <w:t>注：本身份证明需由供应商加盖单位公章。</w:t>
      </w:r>
    </w:p>
    <w:tbl>
      <w:tblPr>
        <w:tblStyle w:val="14"/>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14:paraId="70921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9174" w:type="dxa"/>
            <w:tcBorders>
              <w:top w:val="single" w:color="000000" w:sz="4" w:space="0"/>
              <w:left w:val="single" w:color="000000" w:sz="4" w:space="0"/>
              <w:bottom w:val="single" w:color="000000" w:sz="4" w:space="0"/>
              <w:right w:val="single" w:color="000000" w:sz="4" w:space="0"/>
            </w:tcBorders>
            <w:vAlign w:val="center"/>
          </w:tcPr>
          <w:p w14:paraId="3FEED4CC">
            <w:pPr>
              <w:pStyle w:val="8"/>
              <w:adjustRightInd w:val="0"/>
              <w:snapToGrid w:val="0"/>
              <w:jc w:val="center"/>
              <w:rPr>
                <w:rFonts w:hAnsi="宋体" w:cs="宋体"/>
                <w:sz w:val="21"/>
              </w:rPr>
            </w:pPr>
            <w:r>
              <w:rPr>
                <w:rFonts w:hint="eastAsia" w:hAnsi="宋体" w:cs="宋体"/>
                <w:sz w:val="21"/>
              </w:rPr>
              <w:t>法定代表人身份证复印件</w:t>
            </w:r>
          </w:p>
        </w:tc>
      </w:tr>
    </w:tbl>
    <w:p w14:paraId="2D08B866">
      <w:pPr>
        <w:pStyle w:val="8"/>
        <w:adjustRightInd w:val="0"/>
        <w:snapToGrid w:val="0"/>
        <w:ind w:left="315" w:leftChars="0" w:firstLine="420" w:firstLineChars="200"/>
        <w:jc w:val="right"/>
        <w:rPr>
          <w:rFonts w:hAnsi="宋体" w:cs="宋体"/>
          <w:sz w:val="21"/>
        </w:rPr>
      </w:pPr>
    </w:p>
    <w:p w14:paraId="60297769">
      <w:pPr>
        <w:pStyle w:val="8"/>
        <w:adjustRightInd w:val="0"/>
        <w:snapToGrid w:val="0"/>
        <w:ind w:left="315" w:leftChars="0" w:firstLine="420" w:firstLineChars="200"/>
        <w:jc w:val="right"/>
        <w:rPr>
          <w:rFonts w:hAnsi="宋体" w:cs="宋体"/>
          <w:sz w:val="21"/>
          <w:u w:val="single"/>
        </w:rPr>
      </w:pPr>
      <w:r>
        <w:rPr>
          <w:rFonts w:hint="eastAsia" w:hAnsi="宋体" w:cs="宋体"/>
          <w:sz w:val="21"/>
        </w:rPr>
        <w:t>供应商：</w:t>
      </w:r>
      <w:r>
        <w:rPr>
          <w:rFonts w:hint="eastAsia" w:hAnsi="宋体" w:cs="宋体"/>
          <w:sz w:val="21"/>
          <w:u w:val="single"/>
        </w:rPr>
        <w:t xml:space="preserve">                       </w:t>
      </w:r>
      <w:r>
        <w:rPr>
          <w:rFonts w:hint="eastAsia" w:hAnsi="宋体" w:cs="宋体"/>
          <w:sz w:val="21"/>
        </w:rPr>
        <w:t>（盖单位公章）</w:t>
      </w:r>
    </w:p>
    <w:p w14:paraId="7A0CDC7D">
      <w:pPr>
        <w:pStyle w:val="8"/>
        <w:adjustRightInd w:val="0"/>
        <w:snapToGrid w:val="0"/>
        <w:ind w:left="315" w:leftChars="0" w:right="131" w:firstLine="420" w:firstLineChars="200"/>
        <w:jc w:val="right"/>
        <w:rPr>
          <w:rFonts w:hAnsi="宋体" w:cs="宋体"/>
          <w:sz w:val="21"/>
        </w:rPr>
      </w:pPr>
      <w:r>
        <w:rPr>
          <w:rFonts w:hint="eastAsia" w:hAnsi="宋体" w:cs="宋体"/>
          <w:sz w:val="21"/>
          <w:u w:val="single"/>
        </w:rPr>
        <w:t xml:space="preserve">      </w:t>
      </w:r>
      <w:r>
        <w:rPr>
          <w:rFonts w:hint="eastAsia" w:hAnsi="宋体" w:cs="宋体"/>
          <w:sz w:val="21"/>
        </w:rPr>
        <w:t>年</w:t>
      </w:r>
      <w:r>
        <w:rPr>
          <w:rFonts w:hint="eastAsia" w:hAnsi="宋体" w:cs="宋体"/>
          <w:sz w:val="21"/>
          <w:u w:val="single"/>
        </w:rPr>
        <w:t xml:space="preserve">      </w:t>
      </w:r>
      <w:r>
        <w:rPr>
          <w:rFonts w:hint="eastAsia" w:hAnsi="宋体" w:cs="宋体"/>
          <w:sz w:val="21"/>
        </w:rPr>
        <w:t>月</w:t>
      </w:r>
      <w:r>
        <w:rPr>
          <w:rFonts w:hint="eastAsia" w:hAnsi="宋体" w:cs="宋体"/>
          <w:sz w:val="21"/>
          <w:u w:val="single"/>
        </w:rPr>
        <w:t xml:space="preserve">      </w:t>
      </w:r>
      <w:r>
        <w:rPr>
          <w:rFonts w:hint="eastAsia" w:hAnsi="宋体" w:cs="宋体"/>
          <w:sz w:val="21"/>
        </w:rPr>
        <w:t>日</w:t>
      </w:r>
    </w:p>
    <w:p w14:paraId="5789B61E">
      <w:pPr>
        <w:pStyle w:val="8"/>
        <w:adjustRightInd w:val="0"/>
        <w:snapToGrid w:val="0"/>
        <w:ind w:left="315" w:leftChars="0" w:right="131" w:firstLine="400" w:firstLineChars="200"/>
        <w:jc w:val="center"/>
        <w:rPr>
          <w:rFonts w:hAnsi="宋体" w:cs="宋体"/>
        </w:rPr>
      </w:pPr>
      <w:r>
        <w:rPr>
          <w:rFonts w:hint="eastAsia" w:hAnsi="宋体" w:cs="宋体"/>
        </w:rPr>
        <w:br w:type="page"/>
      </w:r>
    </w:p>
    <w:p w14:paraId="533C65D9">
      <w:pPr>
        <w:pStyle w:val="12"/>
        <w:shd w:val="clear" w:color="auto" w:fill="FFFFFF"/>
        <w:adjustRightInd w:val="0"/>
        <w:snapToGrid w:val="0"/>
        <w:spacing w:before="0" w:beforeAutospacing="0" w:after="0" w:afterAutospacing="0" w:line="590" w:lineRule="exact"/>
        <w:jc w:val="center"/>
        <w:rPr>
          <w:rFonts w:ascii="黑体" w:hAnsi="黑体" w:eastAsia="黑体"/>
          <w:color w:val="000000"/>
          <w:sz w:val="32"/>
        </w:rPr>
      </w:pPr>
      <w:bookmarkStart w:id="19" w:name="_Toc7783"/>
      <w:bookmarkStart w:id="20" w:name="_Toc29790"/>
      <w:bookmarkStart w:id="21" w:name="_Toc388189058"/>
      <w:bookmarkStart w:id="22" w:name="_Toc467764295"/>
      <w:bookmarkStart w:id="23" w:name="_Toc5627"/>
      <w:bookmarkStart w:id="24" w:name="_Toc459729771"/>
      <w:bookmarkStart w:id="25" w:name="_Toc455145949"/>
      <w:bookmarkStart w:id="26" w:name="_Toc24345"/>
      <w:bookmarkStart w:id="27" w:name="_Toc25789"/>
      <w:bookmarkStart w:id="28" w:name="_Toc514430469"/>
      <w:bookmarkStart w:id="29" w:name="_Toc17963"/>
      <w:bookmarkStart w:id="30" w:name="_Toc49268612"/>
      <w:bookmarkStart w:id="31" w:name="_Toc23027"/>
      <w:bookmarkStart w:id="32" w:name="_Toc21014"/>
      <w:bookmarkStart w:id="33" w:name="_Toc12517"/>
      <w:bookmarkStart w:id="34" w:name="_Toc52196411"/>
      <w:bookmarkStart w:id="35" w:name="_Toc2797"/>
      <w:bookmarkStart w:id="36" w:name="_Toc21361"/>
      <w:r>
        <w:rPr>
          <w:rFonts w:hint="eastAsia" w:ascii="黑体" w:hAnsi="黑体" w:eastAsia="黑体"/>
          <w:color w:val="000000"/>
          <w:sz w:val="32"/>
        </w:rPr>
        <w:t>授权委托书</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35DD5CC">
      <w:pPr>
        <w:spacing w:line="360" w:lineRule="auto"/>
        <w:ind w:firstLine="420" w:firstLineChars="200"/>
        <w:rPr>
          <w:rFonts w:ascii="宋体" w:hAnsi="宋体" w:eastAsia="宋体"/>
          <w:szCs w:val="21"/>
        </w:rPr>
      </w:pPr>
      <w:bookmarkStart w:id="37" w:name="_Toc18209295"/>
      <w:r>
        <w:rPr>
          <w:rFonts w:hint="eastAsia" w:ascii="宋体" w:hAnsi="宋体" w:eastAsia="宋体"/>
          <w:szCs w:val="21"/>
        </w:rPr>
        <w:t>本人</w:t>
      </w:r>
      <w:r>
        <w:rPr>
          <w:rFonts w:ascii="宋体" w:hAnsi="宋体" w:eastAsia="宋体"/>
          <w:szCs w:val="21"/>
          <w:u w:val="single"/>
        </w:rPr>
        <w:t xml:space="preserve">           </w:t>
      </w:r>
      <w:r>
        <w:rPr>
          <w:rFonts w:hint="eastAsia" w:ascii="宋体" w:hAnsi="宋体" w:eastAsia="宋体"/>
          <w:szCs w:val="21"/>
        </w:rPr>
        <w:t>（姓名），系</w:t>
      </w:r>
      <w:r>
        <w:rPr>
          <w:rFonts w:ascii="宋体" w:hAnsi="宋体" w:eastAsia="宋体"/>
          <w:szCs w:val="21"/>
          <w:u w:val="single"/>
        </w:rPr>
        <w:t xml:space="preserve">                            </w:t>
      </w:r>
      <w:r>
        <w:rPr>
          <w:rFonts w:hint="eastAsia" w:ascii="宋体" w:hAnsi="宋体" w:eastAsia="宋体"/>
          <w:szCs w:val="21"/>
          <w:u w:val="single"/>
        </w:rPr>
        <w:t>（</w:t>
      </w:r>
      <w:r>
        <w:rPr>
          <w:rFonts w:hint="eastAsia" w:ascii="宋体" w:hAnsi="宋体" w:eastAsia="宋体"/>
          <w:szCs w:val="21"/>
        </w:rPr>
        <w:t>供应商名称）的法定代表人（单位负责人），现委托</w:t>
      </w:r>
      <w:r>
        <w:rPr>
          <w:rFonts w:ascii="宋体" w:hAnsi="宋体" w:eastAsia="宋体"/>
          <w:szCs w:val="21"/>
          <w:u w:val="single"/>
        </w:rPr>
        <w:t xml:space="preserve">                </w:t>
      </w:r>
      <w:r>
        <w:rPr>
          <w:rFonts w:hint="eastAsia" w:ascii="宋体" w:hAnsi="宋体" w:eastAsia="宋体"/>
          <w:szCs w:val="21"/>
        </w:rPr>
        <w:t>（姓名）为我方代理人，代理人有权签署、澄清确认、递交、撤回、修改</w:t>
      </w:r>
      <w:r>
        <w:rPr>
          <w:rFonts w:ascii="宋体" w:hAnsi="宋体" w:eastAsia="宋体"/>
          <w:szCs w:val="21"/>
          <w:u w:val="single"/>
        </w:rPr>
        <w:t xml:space="preserve">                       </w:t>
      </w:r>
      <w:r>
        <w:rPr>
          <w:rFonts w:hint="eastAsia" w:ascii="宋体" w:hAnsi="宋体" w:eastAsia="宋体"/>
          <w:szCs w:val="21"/>
        </w:rPr>
        <w:t>（项目名称）投标文件、签订合同和处理有关事宜，其法律后果由我方承担。</w:t>
      </w:r>
    </w:p>
    <w:p w14:paraId="3BC26153">
      <w:pPr>
        <w:spacing w:line="360" w:lineRule="auto"/>
        <w:ind w:firstLine="420" w:firstLineChars="200"/>
        <w:rPr>
          <w:rFonts w:ascii="宋体" w:hAnsi="宋体" w:eastAsia="宋体"/>
          <w:szCs w:val="21"/>
        </w:rPr>
      </w:pPr>
      <w:r>
        <w:rPr>
          <w:rFonts w:hint="eastAsia" w:ascii="宋体" w:hAnsi="宋体" w:eastAsia="宋体"/>
          <w:szCs w:val="21"/>
        </w:rPr>
        <w:t>代理人无转委托权。</w:t>
      </w:r>
    </w:p>
    <w:p w14:paraId="484DD397">
      <w:pPr>
        <w:spacing w:line="360" w:lineRule="auto"/>
        <w:ind w:firstLine="420" w:firstLineChars="200"/>
        <w:rPr>
          <w:rFonts w:ascii="宋体" w:hAnsi="宋体" w:eastAsia="宋体"/>
          <w:szCs w:val="21"/>
        </w:rPr>
      </w:pPr>
      <w:r>
        <w:rPr>
          <w:rFonts w:hint="eastAsia" w:ascii="宋体" w:hAnsi="宋体" w:eastAsia="宋体"/>
          <w:szCs w:val="21"/>
        </w:rPr>
        <w:t>附：法定代表人（单位负责人）身份证复印件及委托代理人身份证复印件</w:t>
      </w:r>
    </w:p>
    <w:p w14:paraId="2DBDAE45">
      <w:pPr>
        <w:spacing w:line="360" w:lineRule="auto"/>
        <w:ind w:firstLine="420" w:firstLineChars="200"/>
        <w:rPr>
          <w:rFonts w:ascii="宋体" w:hAnsi="宋体" w:eastAsia="宋体"/>
          <w:szCs w:val="21"/>
        </w:rPr>
      </w:pPr>
      <w:r>
        <w:rPr>
          <w:rFonts w:hint="eastAsia" w:ascii="宋体" w:hAnsi="宋体" w:eastAsia="宋体"/>
          <w:szCs w:val="21"/>
        </w:rPr>
        <w:t>注：本授权委托书需由供应商加盖单位公章并由其法定代表人（单位负责人）和委托代理人签字。</w:t>
      </w:r>
    </w:p>
    <w:tbl>
      <w:tblPr>
        <w:tblStyle w:val="14"/>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14:paraId="1D40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9174" w:type="dxa"/>
            <w:tcBorders>
              <w:top w:val="single" w:color="000000" w:sz="4" w:space="0"/>
              <w:left w:val="single" w:color="000000" w:sz="4" w:space="0"/>
              <w:bottom w:val="single" w:color="000000" w:sz="4" w:space="0"/>
              <w:right w:val="single" w:color="000000" w:sz="4" w:space="0"/>
            </w:tcBorders>
            <w:vAlign w:val="center"/>
          </w:tcPr>
          <w:p w14:paraId="17210D58">
            <w:pPr>
              <w:pStyle w:val="8"/>
              <w:adjustRightInd w:val="0"/>
              <w:snapToGrid w:val="0"/>
              <w:jc w:val="center"/>
              <w:rPr>
                <w:rFonts w:hAnsi="宋体" w:cs="宋体"/>
                <w:sz w:val="21"/>
              </w:rPr>
            </w:pPr>
            <w:r>
              <w:rPr>
                <w:rFonts w:hint="eastAsia"/>
                <w:sz w:val="21"/>
              </w:rPr>
              <w:t>法定代表人（单位负责人）身份证复印件及委托代理人身份证复印件</w:t>
            </w:r>
          </w:p>
        </w:tc>
      </w:tr>
    </w:tbl>
    <w:p w14:paraId="28C0D2AD">
      <w:pPr>
        <w:spacing w:line="360" w:lineRule="auto"/>
        <w:ind w:firstLine="420" w:firstLineChars="200"/>
        <w:rPr>
          <w:rFonts w:ascii="Times New Roman" w:hAnsi="Times New Roman" w:cs="Times New Roman"/>
          <w:szCs w:val="21"/>
        </w:rPr>
      </w:pPr>
    </w:p>
    <w:p w14:paraId="3DB21C45">
      <w:pPr>
        <w:spacing w:line="360" w:lineRule="auto"/>
        <w:ind w:firstLine="3045" w:firstLineChars="1450"/>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50998644">
      <w:pPr>
        <w:spacing w:line="360" w:lineRule="auto"/>
        <w:ind w:firstLine="3045" w:firstLineChars="1450"/>
        <w:rPr>
          <w:rFonts w:ascii="宋体" w:hAnsi="宋体" w:eastAsia="宋体" w:cs="宋体"/>
          <w:szCs w:val="21"/>
        </w:rPr>
      </w:pPr>
      <w:r>
        <w:rPr>
          <w:rFonts w:hint="eastAsia" w:ascii="宋体" w:hAnsi="宋体" w:eastAsia="宋体" w:cs="宋体"/>
          <w:szCs w:val="21"/>
        </w:rPr>
        <w:t>法定代表人（单位负责人）：</w:t>
      </w:r>
      <w:r>
        <w:rPr>
          <w:rFonts w:hint="eastAsia" w:ascii="宋体" w:hAnsi="宋体" w:eastAsia="宋体" w:cs="宋体"/>
          <w:szCs w:val="21"/>
          <w:u w:val="single"/>
        </w:rPr>
        <w:t xml:space="preserve">                </w:t>
      </w:r>
      <w:r>
        <w:rPr>
          <w:rFonts w:hint="eastAsia" w:ascii="宋体" w:hAnsi="宋体" w:eastAsia="宋体" w:cs="宋体"/>
          <w:szCs w:val="21"/>
        </w:rPr>
        <w:t>（签字）</w:t>
      </w:r>
    </w:p>
    <w:p w14:paraId="4AF0F58A">
      <w:pPr>
        <w:spacing w:line="360" w:lineRule="auto"/>
        <w:ind w:firstLine="3045" w:firstLineChars="1450"/>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3367EC13">
      <w:pPr>
        <w:spacing w:line="360" w:lineRule="auto"/>
        <w:ind w:firstLine="3045" w:firstLineChars="145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1562E5B3">
      <w:pPr>
        <w:spacing w:line="360" w:lineRule="auto"/>
        <w:ind w:firstLine="3045" w:firstLineChars="145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438C21D2">
      <w:pPr>
        <w:spacing w:line="360" w:lineRule="auto"/>
        <w:ind w:right="-88" w:rightChars="-42" w:firstLine="3738" w:firstLineChars="1780"/>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bookmarkEnd w:id="37"/>
    </w:p>
    <w:p w14:paraId="737ED3DD">
      <w:pPr>
        <w:widowControl/>
        <w:jc w:val="left"/>
        <w:rPr>
          <w:rFonts w:ascii="宋体" w:hAnsi="宋体" w:eastAsia="宋体" w:cs="宋体"/>
          <w:color w:val="000000"/>
          <w:kern w:val="0"/>
          <w:sz w:val="24"/>
          <w:szCs w:val="24"/>
        </w:rPr>
      </w:pPr>
      <w:r>
        <w:rPr>
          <w:color w:val="000000"/>
        </w:rPr>
        <w:br w:type="page"/>
      </w:r>
    </w:p>
    <w:p w14:paraId="2C2039FD">
      <w:pPr>
        <w:pStyle w:val="2"/>
        <w:widowControl/>
        <w:spacing w:before="0" w:after="0" w:line="360" w:lineRule="auto"/>
        <w:rPr>
          <w:rFonts w:ascii="黑体" w:hAnsi="黑体" w:eastAsia="黑体"/>
          <w:bCs w:val="0"/>
          <w:szCs w:val="24"/>
        </w:rPr>
      </w:pPr>
      <w:r>
        <w:rPr>
          <w:rFonts w:hint="eastAsia" w:ascii="黑体" w:hAnsi="黑体" w:eastAsia="黑体"/>
          <w:bCs w:val="0"/>
          <w:szCs w:val="24"/>
        </w:rPr>
        <w:t>附件三：</w:t>
      </w:r>
    </w:p>
    <w:p w14:paraId="604E5725">
      <w:pPr>
        <w:spacing w:line="360" w:lineRule="auto"/>
        <w:jc w:val="center"/>
        <w:rPr>
          <w:rFonts w:ascii="Times New Roman" w:hAnsi="宋体" w:eastAsia="宋体" w:cs="Times New Roman"/>
          <w:b/>
          <w:sz w:val="28"/>
          <w:szCs w:val="24"/>
        </w:rPr>
      </w:pPr>
      <w:r>
        <w:rPr>
          <w:rFonts w:hint="eastAsia" w:ascii="Times New Roman" w:hAnsi="宋体" w:eastAsia="宋体" w:cs="Times New Roman"/>
          <w:b/>
          <w:sz w:val="28"/>
          <w:szCs w:val="24"/>
        </w:rPr>
        <w:t>报价承诺书</w:t>
      </w:r>
    </w:p>
    <w:p w14:paraId="0B84DA76">
      <w:pPr>
        <w:pStyle w:val="12"/>
        <w:shd w:val="clear" w:color="auto" w:fill="FFFFFF"/>
        <w:spacing w:before="0" w:beforeAutospacing="0" w:after="0" w:afterAutospacing="0" w:line="500" w:lineRule="atLeast"/>
        <w:jc w:val="both"/>
        <w:rPr>
          <w:rFonts w:ascii="SourceHanSansCN-Regular" w:hAnsi="SourceHanSansCN-Regular" w:eastAsia="SourceHanSansCN-Regular" w:cs="SourceHanSansCN-Regular"/>
          <w:b/>
          <w:color w:val="000000"/>
          <w:sz w:val="21"/>
          <w:szCs w:val="21"/>
        </w:rPr>
      </w:pPr>
      <w:r>
        <w:rPr>
          <w:rFonts w:hint="eastAsia"/>
          <w:b/>
          <w:color w:val="000000"/>
          <w:u w:val="single"/>
          <w:shd w:val="clear" w:color="auto" w:fill="FFFFFF"/>
          <w:lang w:eastAsia="zh-CN"/>
        </w:rPr>
        <w:t>南通轨道交通集团有限公司</w:t>
      </w:r>
      <w:r>
        <w:rPr>
          <w:rFonts w:hint="eastAsia"/>
          <w:b/>
          <w:color w:val="000000"/>
          <w:u w:val="single"/>
          <w:shd w:val="clear" w:color="auto" w:fill="FFFFFF"/>
        </w:rPr>
        <w:t>：</w:t>
      </w:r>
    </w:p>
    <w:p w14:paraId="7DBFBEE4">
      <w:pPr>
        <w:pStyle w:val="12"/>
        <w:shd w:val="clear" w:color="auto" w:fill="FFFFFF"/>
        <w:spacing w:before="0" w:beforeAutospacing="0" w:after="0" w:afterAutospacing="0" w:line="500" w:lineRule="atLeast"/>
        <w:ind w:firstLine="440" w:firstLineChars="200"/>
        <w:jc w:val="both"/>
        <w:rPr>
          <w:rFonts w:ascii="SourceHanSansCN-Regular" w:hAnsi="SourceHanSansCN-Regular" w:eastAsia="SourceHanSansCN-Regular" w:cs="SourceHanSansCN-Regular"/>
          <w:color w:val="000000"/>
          <w:sz w:val="20"/>
          <w:szCs w:val="21"/>
        </w:rPr>
      </w:pPr>
      <w:r>
        <w:rPr>
          <w:rFonts w:hint="eastAsia"/>
          <w:color w:val="000000"/>
          <w:sz w:val="22"/>
          <w:u w:val="single"/>
          <w:shd w:val="clear" w:color="auto" w:fill="FFFFFF"/>
        </w:rPr>
        <w:t>（供应商）</w:t>
      </w:r>
      <w:r>
        <w:rPr>
          <w:rFonts w:hint="eastAsia"/>
          <w:color w:val="000000"/>
          <w:sz w:val="22"/>
          <w:shd w:val="clear" w:color="auto" w:fill="FFFFFF"/>
        </w:rPr>
        <w:t>授权</w:t>
      </w:r>
      <w:r>
        <w:rPr>
          <w:rFonts w:hint="eastAsia"/>
          <w:color w:val="000000"/>
          <w:sz w:val="22"/>
          <w:u w:val="single"/>
          <w:shd w:val="clear" w:color="auto" w:fill="FFFFFF"/>
        </w:rPr>
        <w:t>（姓名）（职务）</w:t>
      </w:r>
      <w:r>
        <w:rPr>
          <w:rFonts w:hint="eastAsia"/>
          <w:color w:val="000000"/>
          <w:sz w:val="22"/>
          <w:shd w:val="clear" w:color="auto" w:fill="FFFFFF"/>
        </w:rPr>
        <w:t>为全权代表，参加</w:t>
      </w:r>
      <w:r>
        <w:rPr>
          <w:rFonts w:hint="eastAsia"/>
          <w:color w:val="000000"/>
          <w:sz w:val="22"/>
          <w:u w:val="single"/>
          <w:shd w:val="clear" w:color="auto" w:fill="FFFFFF"/>
        </w:rPr>
        <w:t xml:space="preserve">     项目</w:t>
      </w:r>
      <w:r>
        <w:rPr>
          <w:rFonts w:hint="eastAsia"/>
          <w:color w:val="000000"/>
          <w:sz w:val="22"/>
          <w:shd w:val="clear" w:color="auto" w:fill="FFFFFF"/>
        </w:rPr>
        <w:t>询价的有关活动，并宣布同意如下：</w:t>
      </w:r>
    </w:p>
    <w:p w14:paraId="0A20FBD8">
      <w:pPr>
        <w:pStyle w:val="12"/>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0"/>
          <w:szCs w:val="21"/>
        </w:rPr>
      </w:pPr>
      <w:r>
        <w:rPr>
          <w:rFonts w:hint="eastAsia"/>
          <w:color w:val="000000"/>
          <w:sz w:val="22"/>
          <w:shd w:val="clear" w:color="auto" w:fill="FFFFFF"/>
        </w:rPr>
        <w:t>1．我方愿意按照报价文件的全部要求进行报价（报价内容及价格以报价文件为准）。</w:t>
      </w:r>
    </w:p>
    <w:p w14:paraId="7BF21597">
      <w:pPr>
        <w:pStyle w:val="12"/>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0"/>
          <w:szCs w:val="21"/>
        </w:rPr>
      </w:pPr>
      <w:r>
        <w:rPr>
          <w:rFonts w:hint="eastAsia"/>
          <w:color w:val="000000"/>
          <w:sz w:val="22"/>
          <w:shd w:val="clear" w:color="auto" w:fill="FFFFFF"/>
        </w:rPr>
        <w:t>2</w:t>
      </w:r>
      <w:r>
        <w:rPr>
          <w:rFonts w:hint="eastAsia"/>
          <w:color w:val="000000"/>
          <w:sz w:val="22"/>
          <w:shd w:val="clear" w:color="auto" w:fill="FFFFFF"/>
          <w:lang w:eastAsia="zh-CN"/>
        </w:rPr>
        <w:t>.</w:t>
      </w:r>
      <w:r>
        <w:rPr>
          <w:rFonts w:hint="eastAsia"/>
          <w:color w:val="000000"/>
          <w:sz w:val="22"/>
          <w:shd w:val="clear" w:color="auto" w:fill="FFFFFF"/>
        </w:rPr>
        <w:t>我方完全理解并同意放弃对询价文件有不明及误解的权利。</w:t>
      </w:r>
    </w:p>
    <w:p w14:paraId="0AE9EF97">
      <w:pPr>
        <w:pStyle w:val="12"/>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0"/>
          <w:szCs w:val="21"/>
        </w:rPr>
      </w:pPr>
      <w:r>
        <w:rPr>
          <w:rFonts w:hint="eastAsia"/>
          <w:color w:val="000000"/>
          <w:sz w:val="22"/>
          <w:shd w:val="clear" w:color="auto" w:fill="FFFFFF"/>
        </w:rPr>
        <w:t>3</w:t>
      </w:r>
      <w:r>
        <w:rPr>
          <w:rFonts w:hint="eastAsia"/>
          <w:color w:val="000000"/>
          <w:sz w:val="22"/>
          <w:shd w:val="clear" w:color="auto" w:fill="FFFFFF"/>
          <w:lang w:eastAsia="zh-CN"/>
        </w:rPr>
        <w:t>.</w:t>
      </w:r>
      <w:r>
        <w:rPr>
          <w:rFonts w:hint="eastAsia"/>
          <w:color w:val="000000"/>
          <w:sz w:val="22"/>
          <w:shd w:val="clear" w:color="auto" w:fill="FFFFFF"/>
        </w:rPr>
        <w:t>我方将按询价公告的规定履行合同责任和义务。</w:t>
      </w:r>
    </w:p>
    <w:p w14:paraId="6B70DE0A">
      <w:pPr>
        <w:pStyle w:val="12"/>
        <w:shd w:val="clear" w:color="auto" w:fill="FFFFFF"/>
        <w:spacing w:before="0" w:beforeAutospacing="0" w:after="0" w:afterAutospacing="0" w:line="500" w:lineRule="atLeast"/>
        <w:ind w:firstLine="480"/>
        <w:jc w:val="both"/>
        <w:rPr>
          <w:rFonts w:hint="eastAsia"/>
          <w:color w:val="000000"/>
          <w:sz w:val="22"/>
          <w:shd w:val="clear" w:color="auto" w:fill="FFFFFF"/>
        </w:rPr>
      </w:pPr>
      <w:r>
        <w:rPr>
          <w:rFonts w:hint="eastAsia"/>
          <w:color w:val="000000"/>
          <w:sz w:val="22"/>
          <w:shd w:val="clear" w:color="auto" w:fill="FFFFFF"/>
        </w:rPr>
        <w:t>4</w:t>
      </w:r>
      <w:r>
        <w:rPr>
          <w:rFonts w:hint="eastAsia"/>
          <w:color w:val="000000"/>
          <w:sz w:val="22"/>
          <w:shd w:val="clear" w:color="auto" w:fill="FFFFFF"/>
          <w:lang w:eastAsia="zh-CN"/>
        </w:rPr>
        <w:t>.</w:t>
      </w:r>
      <w:r>
        <w:rPr>
          <w:rFonts w:hint="eastAsia"/>
          <w:color w:val="000000"/>
          <w:sz w:val="22"/>
          <w:shd w:val="clear" w:color="auto" w:fill="FFFFFF"/>
        </w:rPr>
        <w:t>我方的报价文件自递交文件后60天内有效。</w:t>
      </w:r>
    </w:p>
    <w:p w14:paraId="0E730779">
      <w:pPr>
        <w:pStyle w:val="12"/>
        <w:shd w:val="clear" w:color="auto" w:fill="FFFFFF"/>
        <w:spacing w:before="0" w:beforeAutospacing="0" w:after="0" w:afterAutospacing="0" w:line="500" w:lineRule="atLeast"/>
        <w:ind w:firstLine="480"/>
        <w:jc w:val="both"/>
        <w:rPr>
          <w:rFonts w:hint="default" w:eastAsia="宋体"/>
          <w:color w:val="000000"/>
          <w:sz w:val="22"/>
          <w:shd w:val="clear" w:color="auto" w:fill="FFFFFF"/>
          <w:lang w:val="en-US" w:eastAsia="zh-CN"/>
        </w:rPr>
      </w:pPr>
      <w:r>
        <w:rPr>
          <w:rFonts w:hint="eastAsia"/>
          <w:color w:val="000000"/>
          <w:sz w:val="22"/>
          <w:shd w:val="clear" w:color="auto" w:fill="FFFFFF"/>
          <w:lang w:val="en-US" w:eastAsia="zh-CN"/>
        </w:rPr>
        <w:t>5.我方一旦中选将无条件按照本项目询价文件中合同条款与你方签订合同，</w:t>
      </w:r>
    </w:p>
    <w:p w14:paraId="53FFEFC9">
      <w:pPr>
        <w:tabs>
          <w:tab w:val="left" w:pos="1200"/>
        </w:tabs>
        <w:spacing w:line="360" w:lineRule="auto"/>
        <w:jc w:val="right"/>
        <w:rPr>
          <w:rFonts w:hint="eastAsia" w:ascii="宋体" w:hAnsi="宋体" w:eastAsia="宋体" w:cs="宋体"/>
          <w:szCs w:val="21"/>
        </w:rPr>
      </w:pPr>
    </w:p>
    <w:p w14:paraId="09398D5C">
      <w:pPr>
        <w:tabs>
          <w:tab w:val="left" w:pos="1200"/>
        </w:tabs>
        <w:spacing w:line="360" w:lineRule="auto"/>
        <w:jc w:val="right"/>
        <w:rPr>
          <w:rFonts w:hint="eastAsia" w:ascii="宋体" w:hAnsi="宋体" w:eastAsia="宋体" w:cs="宋体"/>
          <w:szCs w:val="21"/>
        </w:rPr>
      </w:pPr>
    </w:p>
    <w:p w14:paraId="7706EAEF">
      <w:pPr>
        <w:tabs>
          <w:tab w:val="left" w:pos="1200"/>
        </w:tabs>
        <w:spacing w:line="360" w:lineRule="auto"/>
        <w:jc w:val="right"/>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4C8D7336">
      <w:pPr>
        <w:tabs>
          <w:tab w:val="left" w:pos="1200"/>
        </w:tabs>
        <w:spacing w:line="360" w:lineRule="auto"/>
        <w:jc w:val="righ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7101C03F">
      <w:pPr>
        <w:pStyle w:val="3"/>
        <w:spacing w:line="360" w:lineRule="auto"/>
        <w:ind w:firstLine="0" w:firstLineChars="0"/>
        <w:jc w:val="right"/>
        <w:rPr>
          <w:rFonts w:ascii="宋体" w:hAnsi="宋体" w:eastAsia="宋体" w:cs="Times New Roman"/>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590E5C18">
      <w:pPr>
        <w:widowControl/>
        <w:jc w:val="left"/>
        <w:rPr>
          <w:rFonts w:ascii="黑体" w:hAnsi="黑体" w:eastAsia="黑体" w:cstheme="majorBidi"/>
          <w:b/>
          <w:sz w:val="32"/>
          <w:szCs w:val="24"/>
        </w:rPr>
      </w:pPr>
      <w:r>
        <w:rPr>
          <w:rFonts w:ascii="黑体" w:hAnsi="黑体" w:eastAsia="黑体"/>
          <w:bCs/>
          <w:szCs w:val="24"/>
        </w:rPr>
        <w:br w:type="page"/>
      </w:r>
    </w:p>
    <w:p w14:paraId="4174C384">
      <w:pPr>
        <w:pStyle w:val="2"/>
        <w:widowControl/>
        <w:spacing w:before="0" w:after="0" w:line="360" w:lineRule="auto"/>
        <w:rPr>
          <w:rFonts w:ascii="黑体" w:hAnsi="黑体" w:eastAsia="黑体"/>
          <w:bCs w:val="0"/>
          <w:szCs w:val="24"/>
        </w:rPr>
      </w:pPr>
      <w:r>
        <w:rPr>
          <w:rFonts w:hint="eastAsia" w:ascii="黑体" w:hAnsi="黑体" w:eastAsia="黑体"/>
          <w:bCs w:val="0"/>
          <w:szCs w:val="24"/>
        </w:rPr>
        <w:t>附件四：</w:t>
      </w:r>
    </w:p>
    <w:p w14:paraId="3BF83389">
      <w:pPr>
        <w:spacing w:line="360" w:lineRule="auto"/>
        <w:jc w:val="center"/>
        <w:rPr>
          <w:rFonts w:hint="eastAsia" w:ascii="Times New Roman" w:hAnsi="宋体" w:eastAsia="宋体" w:cs="Times New Roman"/>
          <w:b/>
          <w:sz w:val="28"/>
          <w:szCs w:val="24"/>
        </w:rPr>
      </w:pPr>
      <w:r>
        <w:rPr>
          <w:rFonts w:hint="eastAsia" w:ascii="Times New Roman" w:hAnsi="宋体" w:eastAsia="宋体" w:cs="Times New Roman"/>
          <w:b/>
          <w:sz w:val="28"/>
          <w:szCs w:val="24"/>
        </w:rPr>
        <w:t>报价表</w:t>
      </w:r>
    </w:p>
    <w:tbl>
      <w:tblPr>
        <w:tblStyle w:val="14"/>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7420E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vAlign w:val="center"/>
          </w:tcPr>
          <w:p w14:paraId="5148833C">
            <w:pPr>
              <w:pStyle w:val="5"/>
              <w:spacing w:line="400" w:lineRule="exact"/>
              <w:ind w:lef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投标报价(</w:t>
            </w:r>
            <w:r>
              <w:rPr>
                <w:rFonts w:hint="default" w:ascii="Times New Roman" w:hAnsi="Times New Roman" w:eastAsia="宋体" w:cs="Times New Roman"/>
                <w:szCs w:val="21"/>
              </w:rPr>
              <w:t>人民币</w:t>
            </w:r>
            <w:r>
              <w:rPr>
                <w:rFonts w:hint="default" w:ascii="Times New Roman" w:hAnsi="Times New Roman" w:eastAsia="宋体" w:cs="Times New Roman"/>
                <w:bCs/>
                <w:szCs w:val="21"/>
              </w:rPr>
              <w:t>小写，</w:t>
            </w:r>
            <w:r>
              <w:rPr>
                <w:rFonts w:hint="default" w:ascii="Times New Roman" w:hAnsi="Times New Roman" w:eastAsia="宋体" w:cs="Times New Roman"/>
                <w:szCs w:val="21"/>
              </w:rPr>
              <w:t>精确到</w:t>
            </w:r>
            <w:r>
              <w:rPr>
                <w:rFonts w:hint="default" w:ascii="Times New Roman" w:hAnsi="Times New Roman" w:eastAsia="宋体" w:cs="Times New Roman"/>
                <w:bCs/>
                <w:szCs w:val="21"/>
              </w:rPr>
              <w:t>元)</w:t>
            </w:r>
          </w:p>
        </w:tc>
        <w:tc>
          <w:tcPr>
            <w:tcW w:w="4895" w:type="dxa"/>
            <w:vAlign w:val="center"/>
          </w:tcPr>
          <w:p w14:paraId="1F1EE807">
            <w:pPr>
              <w:pStyle w:val="5"/>
              <w:spacing w:line="400" w:lineRule="exact"/>
              <w:ind w:left="0"/>
              <w:jc w:val="center"/>
              <w:rPr>
                <w:rFonts w:hint="default" w:ascii="Times New Roman" w:hAnsi="Times New Roman" w:eastAsia="宋体" w:cs="Times New Roman"/>
                <w:bCs/>
                <w:szCs w:val="21"/>
              </w:rPr>
            </w:pPr>
          </w:p>
        </w:tc>
      </w:tr>
      <w:tr w14:paraId="38F85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5A89A1D3">
            <w:pPr>
              <w:pStyle w:val="5"/>
              <w:spacing w:line="400" w:lineRule="exact"/>
              <w:ind w:lef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投标报价(</w:t>
            </w:r>
            <w:r>
              <w:rPr>
                <w:rFonts w:hint="default" w:ascii="Times New Roman" w:hAnsi="Times New Roman" w:eastAsia="宋体" w:cs="Times New Roman"/>
                <w:szCs w:val="21"/>
              </w:rPr>
              <w:t>人民币</w:t>
            </w:r>
            <w:r>
              <w:rPr>
                <w:rFonts w:hint="default" w:ascii="Times New Roman" w:hAnsi="Times New Roman" w:eastAsia="宋体" w:cs="Times New Roman"/>
                <w:bCs/>
                <w:szCs w:val="21"/>
              </w:rPr>
              <w:t>大写，</w:t>
            </w:r>
            <w:r>
              <w:rPr>
                <w:rFonts w:hint="default" w:ascii="Times New Roman" w:hAnsi="Times New Roman" w:eastAsia="宋体" w:cs="Times New Roman"/>
                <w:szCs w:val="21"/>
              </w:rPr>
              <w:t>精确到</w:t>
            </w:r>
            <w:r>
              <w:rPr>
                <w:rFonts w:hint="default" w:ascii="Times New Roman" w:hAnsi="Times New Roman" w:eastAsia="宋体" w:cs="Times New Roman"/>
                <w:bCs/>
                <w:szCs w:val="21"/>
              </w:rPr>
              <w:t>元)</w:t>
            </w:r>
          </w:p>
        </w:tc>
        <w:tc>
          <w:tcPr>
            <w:tcW w:w="4895" w:type="dxa"/>
            <w:vAlign w:val="center"/>
          </w:tcPr>
          <w:p w14:paraId="1A499232">
            <w:pPr>
              <w:pStyle w:val="5"/>
              <w:spacing w:line="400" w:lineRule="exact"/>
              <w:ind w:left="0"/>
              <w:jc w:val="center"/>
              <w:rPr>
                <w:rFonts w:hint="default" w:ascii="Times New Roman" w:hAnsi="Times New Roman" w:eastAsia="宋体" w:cs="Times New Roman"/>
                <w:bCs/>
                <w:szCs w:val="21"/>
              </w:rPr>
            </w:pPr>
          </w:p>
        </w:tc>
      </w:tr>
      <w:tr w14:paraId="16F62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1F807C63">
            <w:pPr>
              <w:pStyle w:val="5"/>
              <w:spacing w:line="400" w:lineRule="exact"/>
              <w:ind w:left="0"/>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税率（%）</w:t>
            </w:r>
          </w:p>
        </w:tc>
        <w:tc>
          <w:tcPr>
            <w:tcW w:w="4895" w:type="dxa"/>
            <w:vAlign w:val="center"/>
          </w:tcPr>
          <w:p w14:paraId="37BE4D3B">
            <w:pPr>
              <w:pStyle w:val="5"/>
              <w:spacing w:line="400" w:lineRule="exact"/>
              <w:ind w:left="0"/>
              <w:jc w:val="center"/>
              <w:rPr>
                <w:rFonts w:hint="default" w:ascii="Times New Roman" w:hAnsi="Times New Roman" w:eastAsia="宋体" w:cs="Times New Roman"/>
                <w:bCs/>
                <w:szCs w:val="21"/>
              </w:rPr>
            </w:pPr>
          </w:p>
        </w:tc>
      </w:tr>
      <w:tr w14:paraId="743E21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vAlign w:val="center"/>
          </w:tcPr>
          <w:p w14:paraId="10AFE485">
            <w:pPr>
              <w:widowControl/>
              <w:jc w:val="center"/>
              <w:textAlignment w:val="center"/>
              <w:rPr>
                <w:rFonts w:hint="default" w:ascii="Times New Roman" w:hAnsi="Times New Roman" w:eastAsia="宋体" w:cs="Times New Roman"/>
              </w:rPr>
            </w:pPr>
            <w:r>
              <w:rPr>
                <w:rFonts w:hint="default" w:ascii="Times New Roman" w:hAnsi="Times New Roman" w:eastAsia="宋体" w:cs="Times New Roman"/>
                <w:bCs/>
              </w:rPr>
              <w:t>备注</w:t>
            </w:r>
          </w:p>
        </w:tc>
        <w:tc>
          <w:tcPr>
            <w:tcW w:w="4895" w:type="dxa"/>
            <w:vAlign w:val="center"/>
          </w:tcPr>
          <w:p w14:paraId="00EF21A8">
            <w:pPr>
              <w:spacing w:line="360" w:lineRule="exact"/>
              <w:jc w:val="center"/>
              <w:rPr>
                <w:rFonts w:hint="default" w:ascii="Times New Roman" w:hAnsi="Times New Roman" w:eastAsia="宋体" w:cs="Times New Roman"/>
              </w:rPr>
            </w:pPr>
          </w:p>
        </w:tc>
      </w:tr>
    </w:tbl>
    <w:p w14:paraId="54843549">
      <w:pPr>
        <w:spacing w:line="360" w:lineRule="auto"/>
        <w:jc w:val="center"/>
        <w:rPr>
          <w:rFonts w:hint="eastAsia" w:ascii="Times New Roman" w:hAnsi="宋体" w:eastAsia="宋体" w:cs="Times New Roman"/>
          <w:b/>
          <w:sz w:val="28"/>
          <w:szCs w:val="24"/>
        </w:rPr>
      </w:pPr>
    </w:p>
    <w:p w14:paraId="353DC95C">
      <w:pPr>
        <w:tabs>
          <w:tab w:val="left" w:pos="1200"/>
        </w:tabs>
        <w:spacing w:line="360" w:lineRule="auto"/>
        <w:jc w:val="left"/>
        <w:rPr>
          <w:rFonts w:ascii="宋体" w:hAnsi="宋体" w:eastAsia="宋体" w:cs="宋体"/>
          <w:szCs w:val="21"/>
        </w:rPr>
      </w:pPr>
      <w:r>
        <w:rPr>
          <w:rFonts w:hint="eastAsia" w:ascii="宋体" w:hAnsi="宋体" w:eastAsia="宋体" w:cs="宋体"/>
          <w:szCs w:val="21"/>
        </w:rPr>
        <w:t>注：报价应包括本项目的全部费用</w:t>
      </w:r>
      <w:r>
        <w:rPr>
          <w:rFonts w:ascii="宋体" w:hAnsi="宋体" w:eastAsia="宋体" w:cs="宋体"/>
          <w:szCs w:val="21"/>
        </w:rPr>
        <w:t>及相关服务费等。</w:t>
      </w:r>
    </w:p>
    <w:p w14:paraId="0071D680">
      <w:pPr>
        <w:tabs>
          <w:tab w:val="left" w:pos="1200"/>
        </w:tabs>
        <w:spacing w:line="360" w:lineRule="auto"/>
        <w:jc w:val="center"/>
        <w:rPr>
          <w:rFonts w:ascii="宋体" w:hAnsi="宋体" w:eastAsia="宋体" w:cs="宋体"/>
          <w:szCs w:val="21"/>
        </w:rPr>
      </w:pPr>
    </w:p>
    <w:p w14:paraId="692DC3DE">
      <w:pPr>
        <w:tabs>
          <w:tab w:val="left" w:pos="1200"/>
        </w:tabs>
        <w:spacing w:line="360" w:lineRule="auto"/>
        <w:jc w:val="right"/>
        <w:rPr>
          <w:rFonts w:ascii="宋体" w:hAnsi="宋体" w:eastAsia="宋体" w:cs="宋体"/>
          <w:szCs w:val="21"/>
        </w:rPr>
      </w:pPr>
    </w:p>
    <w:p w14:paraId="6560713A">
      <w:pPr>
        <w:tabs>
          <w:tab w:val="left" w:pos="1200"/>
        </w:tabs>
        <w:spacing w:line="360" w:lineRule="auto"/>
        <w:jc w:val="right"/>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320B7B90">
      <w:pPr>
        <w:tabs>
          <w:tab w:val="left" w:pos="1200"/>
        </w:tabs>
        <w:spacing w:line="360" w:lineRule="auto"/>
        <w:jc w:val="right"/>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15F6C2F4">
      <w:pPr>
        <w:pStyle w:val="3"/>
        <w:spacing w:line="360" w:lineRule="auto"/>
        <w:ind w:firstLine="0" w:firstLineChars="0"/>
        <w:jc w:val="right"/>
        <w:rPr>
          <w:rFonts w:ascii="宋体" w:hAnsi="宋体" w:eastAsia="宋体" w:cs="Times New Roman"/>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0E48EC69">
      <w:pPr>
        <w:pStyle w:val="12"/>
        <w:shd w:val="clear" w:color="auto" w:fill="FFFFFF"/>
        <w:spacing w:before="0" w:beforeAutospacing="0" w:after="0" w:afterAutospacing="0" w:line="480" w:lineRule="auto"/>
        <w:rPr>
          <w:color w:val="000000"/>
        </w:rPr>
      </w:pPr>
    </w:p>
    <w:p w14:paraId="22319583">
      <w:pPr>
        <w:rPr>
          <w:rFonts w:ascii="方正仿宋_GBK" w:eastAsia="方正仿宋_GBK" w:cs="方正仿宋.·靱."/>
          <w:sz w:val="32"/>
          <w:szCs w:val="32"/>
        </w:rPr>
      </w:pPr>
      <w:r>
        <w:rPr>
          <w:rFonts w:ascii="方正仿宋_GBK" w:eastAsia="方正仿宋_GBK" w:cs="方正仿宋.·靱."/>
          <w:sz w:val="32"/>
          <w:szCs w:val="32"/>
        </w:rPr>
        <w:br w:type="page"/>
      </w:r>
    </w:p>
    <w:p w14:paraId="07613F4B">
      <w:pPr>
        <w:pStyle w:val="2"/>
        <w:widowControl/>
        <w:spacing w:before="0" w:after="0" w:line="360" w:lineRule="auto"/>
        <w:rPr>
          <w:rFonts w:ascii="黑体" w:hAnsi="黑体" w:eastAsia="黑体"/>
          <w:bCs w:val="0"/>
          <w:szCs w:val="24"/>
        </w:rPr>
      </w:pPr>
      <w:r>
        <w:rPr>
          <w:rFonts w:hint="eastAsia" w:ascii="黑体" w:hAnsi="黑体" w:eastAsia="黑体"/>
          <w:bCs w:val="0"/>
          <w:szCs w:val="24"/>
        </w:rPr>
        <w:t>附件</w:t>
      </w:r>
      <w:r>
        <w:rPr>
          <w:rFonts w:hint="eastAsia" w:ascii="黑体" w:hAnsi="黑体" w:eastAsia="黑体"/>
          <w:bCs w:val="0"/>
          <w:szCs w:val="24"/>
          <w:lang w:eastAsia="zh-CN"/>
        </w:rPr>
        <w:t>五</w:t>
      </w:r>
      <w:r>
        <w:rPr>
          <w:rFonts w:hint="eastAsia" w:ascii="黑体" w:hAnsi="黑体" w:eastAsia="黑体"/>
          <w:bCs w:val="0"/>
          <w:szCs w:val="24"/>
        </w:rPr>
        <w:t>：</w:t>
      </w:r>
    </w:p>
    <w:p w14:paraId="5D1A16A7">
      <w:pPr>
        <w:pStyle w:val="13"/>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lang w:eastAsia="zh-CN"/>
        </w:rPr>
      </w:pPr>
      <w:r>
        <w:rPr>
          <w:rFonts w:hint="eastAsia" w:ascii="宋体" w:hAnsi="宋体" w:eastAsia="宋体" w:cs="宋体"/>
          <w:lang w:eastAsia="zh-CN"/>
        </w:rPr>
        <w:t>合同格式</w:t>
      </w:r>
    </w:p>
    <w:p w14:paraId="4E5745CE">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 xml:space="preserve">甲方：____________________  </w:t>
      </w:r>
    </w:p>
    <w:p w14:paraId="1379A6C9">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乙方：____________________</w:t>
      </w:r>
    </w:p>
    <w:p w14:paraId="0AD9A612">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乙方是____________________（以下简称“软件制造商”）的合法授权分销商</w:t>
      </w:r>
      <w:r>
        <w:rPr>
          <w:rFonts w:hint="eastAsia" w:ascii="Times New Roman" w:hAnsi="Times New Roman" w:eastAsia="宋体" w:cs="Times New Roman"/>
          <w:lang w:eastAsia="zh-CN"/>
        </w:rPr>
        <w:t>（或</w:t>
      </w:r>
      <w:r>
        <w:rPr>
          <w:rFonts w:hint="default" w:ascii="Times New Roman" w:hAnsi="Times New Roman" w:eastAsia="宋体" w:cs="Times New Roman"/>
        </w:rPr>
        <w:t>软件制造商</w:t>
      </w:r>
      <w:r>
        <w:rPr>
          <w:rFonts w:hint="eastAsia" w:ascii="Times New Roman" w:hAnsi="Times New Roman" w:eastAsia="宋体" w:cs="Times New Roman"/>
          <w:lang w:eastAsia="zh-CN"/>
        </w:rPr>
        <w:t>）</w:t>
      </w:r>
      <w:r>
        <w:rPr>
          <w:rFonts w:hint="default" w:ascii="Times New Roman" w:hAnsi="Times New Roman" w:eastAsia="宋体" w:cs="Times New Roman"/>
        </w:rPr>
        <w:t>。甲乙双方就</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HYPERLINK "http://www.86exp.com/hetong/"</w:instrText>
      </w:r>
      <w:r>
        <w:rPr>
          <w:rFonts w:hint="default" w:ascii="Times New Roman" w:hAnsi="Times New Roman" w:eastAsia="宋体" w:cs="Times New Roman"/>
        </w:rPr>
        <w:fldChar w:fldCharType="separate"/>
      </w:r>
      <w:r>
        <w:rPr>
          <w:rFonts w:hint="default" w:ascii="Times New Roman" w:hAnsi="Times New Roman" w:eastAsia="宋体" w:cs="Times New Roman"/>
        </w:rPr>
        <w:t>甲方</w:t>
      </w:r>
      <w:r>
        <w:rPr>
          <w:rFonts w:hint="default" w:ascii="Times New Roman" w:hAnsi="Times New Roman" w:eastAsia="宋体" w:cs="Times New Roman"/>
        </w:rPr>
        <w:fldChar w:fldCharType="end"/>
      </w:r>
      <w:r>
        <w:rPr>
          <w:rFonts w:hint="default" w:ascii="Times New Roman" w:hAnsi="Times New Roman" w:eastAsia="宋体" w:cs="Times New Roman"/>
        </w:rPr>
        <w:t>向</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HYPERLINK "http://www.86exp.com/hetong/"</w:instrText>
      </w:r>
      <w:r>
        <w:rPr>
          <w:rFonts w:hint="default" w:ascii="Times New Roman" w:hAnsi="Times New Roman" w:eastAsia="宋体" w:cs="Times New Roman"/>
        </w:rPr>
        <w:fldChar w:fldCharType="separate"/>
      </w:r>
      <w:r>
        <w:rPr>
          <w:rFonts w:hint="default" w:ascii="Times New Roman" w:hAnsi="Times New Roman" w:eastAsia="宋体" w:cs="Times New Roman"/>
        </w:rPr>
        <w:t>乙方</w:t>
      </w:r>
      <w:r>
        <w:rPr>
          <w:rFonts w:hint="default" w:ascii="Times New Roman" w:hAnsi="Times New Roman" w:eastAsia="宋体" w:cs="Times New Roman"/>
        </w:rPr>
        <w:fldChar w:fldCharType="end"/>
      </w:r>
      <w:r>
        <w:rPr>
          <w:rFonts w:hint="default" w:ascii="Times New Roman" w:hAnsi="Times New Roman" w:eastAsia="宋体" w:cs="Times New Roman"/>
        </w:rPr>
        <w:t>购买乙方所分销</w:t>
      </w:r>
      <w:r>
        <w:rPr>
          <w:rFonts w:hint="eastAsia" w:ascii="Times New Roman" w:hAnsi="Times New Roman" w:eastAsia="宋体" w:cs="Times New Roman"/>
          <w:lang w:eastAsia="zh-CN"/>
        </w:rPr>
        <w:t>（或制造）</w:t>
      </w:r>
      <w:r>
        <w:rPr>
          <w:rFonts w:hint="default" w:ascii="Times New Roman" w:hAnsi="Times New Roman" w:eastAsia="宋体" w:cs="Times New Roman"/>
        </w:rPr>
        <w:t>的软件制造商软件产品（以下简称“产品”）达成如下合同：</w:t>
      </w:r>
    </w:p>
    <w:p w14:paraId="7CA8A3D5">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b/>
          <w:bCs/>
        </w:rPr>
      </w:pPr>
      <w:r>
        <w:rPr>
          <w:rFonts w:hint="default" w:ascii="Times New Roman" w:hAnsi="Times New Roman" w:eastAsia="宋体" w:cs="Times New Roman"/>
        </w:rPr>
        <w:t>一、</w:t>
      </w:r>
      <w:r>
        <w:rPr>
          <w:rFonts w:hint="default" w:ascii="Times New Roman" w:hAnsi="Times New Roman" w:eastAsia="宋体" w:cs="Times New Roman"/>
          <w:b/>
          <w:bCs/>
        </w:rPr>
        <w:t>产品及价格</w:t>
      </w:r>
    </w:p>
    <w:tbl>
      <w:tblPr>
        <w:tblStyle w:val="1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44"/>
        <w:gridCol w:w="1275"/>
        <w:gridCol w:w="2552"/>
      </w:tblGrid>
      <w:tr w14:paraId="56AA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4" w:type="dxa"/>
            <w:noWrap w:val="0"/>
            <w:vAlign w:val="top"/>
          </w:tcPr>
          <w:p w14:paraId="68577DBC">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名称</w:t>
            </w:r>
          </w:p>
        </w:tc>
        <w:tc>
          <w:tcPr>
            <w:tcW w:w="3544" w:type="dxa"/>
            <w:noWrap w:val="0"/>
            <w:vAlign w:val="top"/>
          </w:tcPr>
          <w:p w14:paraId="747E12DA">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主要参数</w:t>
            </w:r>
          </w:p>
        </w:tc>
        <w:tc>
          <w:tcPr>
            <w:tcW w:w="1275" w:type="dxa"/>
            <w:noWrap w:val="0"/>
            <w:vAlign w:val="top"/>
          </w:tcPr>
          <w:p w14:paraId="56D393AB">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数量（批）</w:t>
            </w:r>
          </w:p>
        </w:tc>
        <w:tc>
          <w:tcPr>
            <w:tcW w:w="2552" w:type="dxa"/>
            <w:noWrap w:val="0"/>
            <w:vAlign w:val="top"/>
          </w:tcPr>
          <w:p w14:paraId="7D0F715A">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备注</w:t>
            </w:r>
          </w:p>
        </w:tc>
      </w:tr>
      <w:tr w14:paraId="0733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44" w:type="dxa"/>
            <w:noWrap w:val="0"/>
            <w:vAlign w:val="center"/>
          </w:tcPr>
          <w:p w14:paraId="6A2A3DF6">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szCs w:val="21"/>
              </w:rPr>
            </w:pPr>
            <w:r>
              <w:rPr>
                <w:rFonts w:hint="eastAsia" w:ascii="宋体" w:hAnsi="宋体" w:eastAsia="宋体" w:cs="宋体"/>
                <w:szCs w:val="21"/>
              </w:rPr>
              <w:t>金山WPS+云套装</w:t>
            </w:r>
          </w:p>
          <w:p w14:paraId="20865922">
            <w:pPr>
              <w:pStyle w:val="26"/>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szCs w:val="21"/>
              </w:rPr>
            </w:pPr>
          </w:p>
        </w:tc>
        <w:tc>
          <w:tcPr>
            <w:tcW w:w="3544" w:type="dxa"/>
            <w:noWrap w:val="0"/>
            <w:vAlign w:val="center"/>
          </w:tcPr>
          <w:p w14:paraId="2C836FBA">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含金山WPS Office增强版+WPS移动端+WPS协作版服务（</w:t>
            </w:r>
            <w:r>
              <w:rPr>
                <w:rFonts w:hint="eastAsia" w:ascii="宋体" w:hAnsi="宋体" w:eastAsia="宋体" w:cs="宋体"/>
                <w:szCs w:val="21"/>
                <w:shd w:val="clear" w:color="auto" w:fill="FFFFFF"/>
              </w:rPr>
              <w:t>供应商须提供所投产品厂商的授权证明，即：办公软件</w:t>
            </w:r>
            <w:r>
              <w:rPr>
                <w:rFonts w:hint="eastAsia" w:ascii="宋体" w:hAnsi="宋体" w:eastAsia="宋体" w:cs="宋体"/>
                <w:bCs/>
                <w:szCs w:val="21"/>
              </w:rPr>
              <w:t>原厂项目授权证明。</w:t>
            </w:r>
            <w:r>
              <w:rPr>
                <w:rFonts w:hint="eastAsia" w:ascii="宋体" w:hAnsi="宋体" w:eastAsia="宋体" w:cs="宋体"/>
                <w:szCs w:val="21"/>
              </w:rPr>
              <w:t>）</w:t>
            </w:r>
          </w:p>
        </w:tc>
        <w:tc>
          <w:tcPr>
            <w:tcW w:w="1275" w:type="dxa"/>
            <w:noWrap w:val="0"/>
            <w:vAlign w:val="center"/>
          </w:tcPr>
          <w:p w14:paraId="7347190D">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Style w:val="17"/>
                <w:rFonts w:hint="eastAsia" w:ascii="宋体" w:hAnsi="宋体" w:eastAsia="宋体" w:cs="宋体"/>
              </w:rPr>
            </w:pPr>
            <w:r>
              <w:rPr>
                <w:rStyle w:val="17"/>
                <w:rFonts w:hint="eastAsia" w:ascii="宋体" w:hAnsi="宋体" w:eastAsia="宋体" w:cs="宋体"/>
              </w:rPr>
              <w:t>1</w:t>
            </w:r>
          </w:p>
          <w:p w14:paraId="7DB5C142">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p>
        </w:tc>
        <w:tc>
          <w:tcPr>
            <w:tcW w:w="2552" w:type="dxa"/>
            <w:noWrap w:val="0"/>
            <w:vAlign w:val="center"/>
          </w:tcPr>
          <w:p w14:paraId="2D014B17">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Cs w:val="21"/>
              </w:rPr>
            </w:pPr>
            <w:r>
              <w:rPr>
                <w:rStyle w:val="17"/>
                <w:rFonts w:hint="eastAsia" w:ascii="宋体" w:hAnsi="宋体" w:eastAsia="宋体" w:cs="宋体"/>
              </w:rPr>
              <w:t>基于500用户数的</w:t>
            </w:r>
            <w:r>
              <w:rPr>
                <w:rFonts w:hint="eastAsia" w:ascii="宋体" w:hAnsi="宋体" w:eastAsia="宋体" w:cs="宋体"/>
                <w:szCs w:val="21"/>
              </w:rPr>
              <w:t>三年场地授权使用权，授权范围为</w:t>
            </w:r>
            <w:r>
              <w:rPr>
                <w:rFonts w:hint="eastAsia" w:ascii="宋体" w:hAnsi="宋体" w:eastAsia="宋体" w:cs="宋体"/>
                <w:szCs w:val="21"/>
                <w:lang w:eastAsia="zh-CN"/>
              </w:rPr>
              <w:t>南通轨道交通集团有限公司</w:t>
            </w:r>
            <w:r>
              <w:rPr>
                <w:rFonts w:hint="eastAsia" w:ascii="宋体" w:hAnsi="宋体" w:eastAsia="宋体" w:cs="宋体"/>
                <w:szCs w:val="21"/>
              </w:rPr>
              <w:t>有限公司及控股50%以上的分子公司所有用户</w:t>
            </w:r>
          </w:p>
        </w:tc>
      </w:tr>
      <w:tr w14:paraId="02DD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844" w:type="dxa"/>
            <w:noWrap w:val="0"/>
            <w:vAlign w:val="center"/>
          </w:tcPr>
          <w:p w14:paraId="7CC01107">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软件正版化服务</w:t>
            </w:r>
          </w:p>
        </w:tc>
        <w:tc>
          <w:tcPr>
            <w:tcW w:w="3544" w:type="dxa"/>
            <w:noWrap w:val="0"/>
            <w:vAlign w:val="center"/>
          </w:tcPr>
          <w:p w14:paraId="078FAC5A">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Cs w:val="21"/>
              </w:rPr>
            </w:pPr>
            <w:r>
              <w:rPr>
                <w:rFonts w:hint="eastAsia" w:ascii="宋体" w:hAnsi="宋体" w:eastAsia="宋体" w:cs="宋体"/>
                <w:szCs w:val="21"/>
              </w:rPr>
              <w:t>协助采购人按照国家推进使用正版软件工作部际联席会议办公室和国家版权局办公厅文件要求完成相关制度建设、正版软件排查与梳理、软件资产管理台账建设、成立软件正版化专项服务小组定期开展软件正版化相关培训服务，做好迎检工作，协助采购人顺利通过软件正版化相关检查</w:t>
            </w:r>
          </w:p>
        </w:tc>
        <w:tc>
          <w:tcPr>
            <w:tcW w:w="1275" w:type="dxa"/>
            <w:noWrap w:val="0"/>
            <w:vAlign w:val="center"/>
          </w:tcPr>
          <w:p w14:paraId="17F997BA">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552" w:type="dxa"/>
            <w:noWrap w:val="0"/>
            <w:vAlign w:val="center"/>
          </w:tcPr>
          <w:p w14:paraId="0FA4F820">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rPr>
            </w:pPr>
          </w:p>
        </w:tc>
      </w:tr>
      <w:tr w14:paraId="22D3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844" w:type="dxa"/>
            <w:noWrap w:val="0"/>
            <w:vAlign w:val="center"/>
          </w:tcPr>
          <w:p w14:paraId="2ED99775">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价格</w:t>
            </w:r>
          </w:p>
          <w:p w14:paraId="61FC9D15">
            <w:pPr>
              <w:pStyle w:val="26"/>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szCs w:val="21"/>
                <w:lang w:eastAsia="zh-CN"/>
              </w:rPr>
            </w:pPr>
            <w:r>
              <w:rPr>
                <w:rFonts w:hint="eastAsia" w:ascii="宋体" w:hAnsi="宋体" w:eastAsia="宋体" w:cs="宋体"/>
                <w:szCs w:val="21"/>
                <w:lang w:eastAsia="zh-CN"/>
              </w:rPr>
              <w:t>（税率：</w:t>
            </w:r>
            <w:r>
              <w:rPr>
                <w:rFonts w:hint="eastAsia" w:ascii="宋体" w:hAnsi="宋体" w:eastAsia="宋体" w:cs="宋体"/>
                <w:szCs w:val="21"/>
                <w:u w:val="single"/>
                <w:lang w:val="en-US" w:eastAsia="zh-CN"/>
              </w:rPr>
              <w:t xml:space="preserve">    </w:t>
            </w:r>
            <w:r>
              <w:rPr>
                <w:rFonts w:hint="eastAsia" w:ascii="宋体" w:hAnsi="宋体" w:eastAsia="宋体" w:cs="宋体"/>
                <w:szCs w:val="21"/>
                <w:lang w:eastAsia="zh-CN"/>
              </w:rPr>
              <w:t>）</w:t>
            </w:r>
          </w:p>
        </w:tc>
        <w:tc>
          <w:tcPr>
            <w:tcW w:w="7371" w:type="dxa"/>
            <w:gridSpan w:val="3"/>
            <w:noWrap w:val="0"/>
            <w:vAlign w:val="center"/>
          </w:tcPr>
          <w:p w14:paraId="1688ADCA">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Cs w:val="21"/>
                <w:lang w:eastAsia="zh-CN"/>
              </w:rPr>
            </w:pPr>
            <w:r>
              <w:rPr>
                <w:rFonts w:hint="eastAsia" w:ascii="宋体" w:hAnsi="宋体" w:eastAsia="宋体" w:cs="宋体"/>
                <w:szCs w:val="21"/>
                <w:lang w:eastAsia="zh-CN"/>
              </w:rPr>
              <w:t>人民币含税价：</w:t>
            </w:r>
          </w:p>
          <w:p w14:paraId="04D6D661">
            <w:pPr>
              <w:pStyle w:val="26"/>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szCs w:val="21"/>
                <w:lang w:eastAsia="zh-CN"/>
              </w:rPr>
            </w:pPr>
            <w:r>
              <w:rPr>
                <w:rFonts w:hint="eastAsia" w:ascii="宋体" w:hAnsi="宋体" w:eastAsia="宋体" w:cs="宋体"/>
                <w:szCs w:val="21"/>
                <w:lang w:eastAsia="zh-CN"/>
              </w:rPr>
              <w:t>人民币不含税价：</w:t>
            </w:r>
          </w:p>
        </w:tc>
      </w:tr>
    </w:tbl>
    <w:p w14:paraId="49D5885F">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注：场地授权范围</w:t>
      </w:r>
    </w:p>
    <w:p w14:paraId="5B0D578C">
      <w:pPr>
        <w:keepNext w:val="0"/>
        <w:keepLines w:val="0"/>
        <w:pageBreakBefore w:val="0"/>
        <w:widowControl/>
        <w:kinsoku/>
        <w:wordWrap/>
        <w:overflowPunct/>
        <w:topLinePunct w:val="0"/>
        <w:autoSpaceDE/>
        <w:autoSpaceDN/>
        <w:bidi w:val="0"/>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1、本合同项下获得授权的主体仅限合同的甲方（称为“获得授权主体”）</w:t>
      </w:r>
      <w:r>
        <w:rPr>
          <w:rFonts w:hint="eastAsia" w:ascii="Times New Roman" w:hAnsi="Times New Roman" w:eastAsia="宋体" w:cs="Times New Roman"/>
          <w:color w:val="000000"/>
          <w:lang w:eastAsia="zh-CN"/>
        </w:rPr>
        <w:t>南通轨道交通集团有限公司</w:t>
      </w:r>
      <w:r>
        <w:rPr>
          <w:rFonts w:hint="default" w:ascii="Times New Roman" w:hAnsi="Times New Roman" w:eastAsia="宋体" w:cs="Times New Roman"/>
          <w:color w:val="000000"/>
        </w:rPr>
        <w:t>有限公司及控股50%以上的分子公司所有用户</w:t>
      </w:r>
      <w:r>
        <w:rPr>
          <w:rFonts w:hint="default" w:ascii="Times New Roman" w:hAnsi="Times New Roman" w:eastAsia="宋体" w:cs="Times New Roman"/>
          <w:szCs w:val="21"/>
        </w:rPr>
        <w:t>。</w:t>
      </w:r>
    </w:p>
    <w:p w14:paraId="774707C9">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2、场地授权期限及范围</w:t>
      </w:r>
    </w:p>
    <w:p w14:paraId="638E9E08">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2.1完整版本软件授权期限内（授权期限为：</w:t>
      </w:r>
      <w:r>
        <w:rPr>
          <w:rFonts w:hint="eastAsia" w:ascii="Times New Roman" w:hAnsi="Times New Roman" w:eastAsia="宋体" w:cs="Times New Roman"/>
          <w:szCs w:val="21"/>
          <w:lang w:eastAsia="zh-CN"/>
        </w:rPr>
        <w:t>暂定</w:t>
      </w:r>
      <w:r>
        <w:rPr>
          <w:rFonts w:hint="default" w:ascii="Times New Roman" w:hAnsi="Times New Roman" w:eastAsia="宋体" w:cs="Times New Roman"/>
          <w:szCs w:val="21"/>
        </w:rPr>
        <w:t>202</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10</w:t>
      </w:r>
      <w:r>
        <w:rPr>
          <w:rFonts w:hint="default" w:ascii="Times New Roman" w:hAnsi="Times New Roman" w:eastAsia="宋体" w:cs="Times New Roman"/>
          <w:szCs w:val="21"/>
        </w:rPr>
        <w:t>日至202</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年</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日</w:t>
      </w:r>
      <w:r>
        <w:rPr>
          <w:rFonts w:hint="eastAsia" w:ascii="Times New Roman" w:hAnsi="Times New Roman" w:eastAsia="宋体" w:cs="Times New Roman"/>
          <w:szCs w:val="21"/>
          <w:lang w:eastAsia="zh-CN"/>
        </w:rPr>
        <w:t>，以实际合同签订为准</w:t>
      </w:r>
      <w:r>
        <w:rPr>
          <w:rFonts w:hint="default" w:ascii="Times New Roman" w:hAnsi="Times New Roman" w:eastAsia="宋体" w:cs="Times New Roman"/>
          <w:szCs w:val="21"/>
        </w:rPr>
        <w:t>），获得授权主体能且仅能在乙方授权甲方获得授权主体享有所有权的计算机上在中华人民共和国范围内（以下简称“授权地域”）的办公场所内为办公目的使用授权软件。</w:t>
      </w:r>
    </w:p>
    <w:p w14:paraId="3DBBD9B0">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2.2为避免歧义，甲方认可且保证，如果获得授权主体对其在上述授权范围内的计算机丧失所有权，则针对该计算机无权再根据本场地授权使用授权软件。 </w:t>
      </w:r>
    </w:p>
    <w:p w14:paraId="1F63E120">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3、本合同项下获得授权主体获得的任何授权、售后服务及乙方交付给甲方的介质，甲方保证获得授权主体在任何时候均无权予以转让或以任何方式授权第三方使用。</w:t>
      </w:r>
    </w:p>
    <w:p w14:paraId="4D353A5A">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4、本合同约定与软件介质所附最终用户许可协议不一致的，以本合同约定内容为准。</w:t>
      </w:r>
    </w:p>
    <w:p w14:paraId="114E1AA5">
      <w:pPr>
        <w:keepNext w:val="0"/>
        <w:keepLines w:val="0"/>
        <w:pageBreakBefore w:val="0"/>
        <w:kinsoku/>
        <w:wordWrap/>
        <w:overflowPunct/>
        <w:topLinePunct w:val="0"/>
        <w:autoSpaceDE/>
        <w:autoSpaceDN/>
        <w:bidi w:val="0"/>
        <w:spacing w:before="312" w:beforeLines="100" w:line="360" w:lineRule="auto"/>
        <w:textAlignment w:val="auto"/>
        <w:rPr>
          <w:rFonts w:hint="default" w:ascii="Times New Roman" w:hAnsi="Times New Roman" w:eastAsia="宋体" w:cs="Times New Roman"/>
          <w:b/>
        </w:rPr>
      </w:pPr>
      <w:r>
        <w:rPr>
          <w:rFonts w:hint="default" w:ascii="Times New Roman" w:hAnsi="Times New Roman" w:eastAsia="宋体" w:cs="Times New Roman"/>
          <w:b/>
        </w:rPr>
        <w:t>二、付款方式</w:t>
      </w:r>
    </w:p>
    <w:p w14:paraId="0687A0DA">
      <w:pPr>
        <w:pStyle w:val="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本合同项下所有款项均由甲方直接支付给乙方，并用人民币以电汇方式通过甲方银行与乙方银行之间进行。乙方应直接向甲方提出本合同项下的支付请求。乙方向甲方提出支付申请并附相关证明材料（含发票），甲方在审核批准后30天内以电汇的形式向乙方进行支付。</w:t>
      </w:r>
    </w:p>
    <w:p w14:paraId="4069221D">
      <w:pPr>
        <w:pStyle w:val="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（1）第一次付款：验收合格后，支付合同总价的33%；</w:t>
      </w:r>
    </w:p>
    <w:p w14:paraId="2A56A889">
      <w:pPr>
        <w:pStyle w:val="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（2）第二次付款：按要求完成第一年升级服务期后，支付合同总价的33%；</w:t>
      </w:r>
    </w:p>
    <w:p w14:paraId="08042666">
      <w:pPr>
        <w:pStyle w:val="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（3）尾款：按要求完成第二年升级服务期后，支付合同剩余款项。</w:t>
      </w:r>
    </w:p>
    <w:p w14:paraId="0FB5CEFB">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三、产品交付及验收</w:t>
      </w:r>
    </w:p>
    <w:p w14:paraId="5BDA0B93">
      <w:pPr>
        <w:keepNext w:val="0"/>
        <w:keepLines w:val="0"/>
        <w:pageBreakBefore w:val="0"/>
        <w:tabs>
          <w:tab w:val="left" w:pos="420"/>
        </w:tabs>
        <w:kinsoku/>
        <w:wordWrap/>
        <w:overflowPunct/>
        <w:topLinePunct w:val="0"/>
        <w:autoSpaceDE/>
        <w:autoSpaceDN/>
        <w:bidi w:val="0"/>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1、乙方向甲方交付纸质授权书及密钥之日视为乙方向甲方交付本合同项下产品之日。</w:t>
      </w:r>
    </w:p>
    <w:p w14:paraId="49EFDEC7">
      <w:pPr>
        <w:keepNext w:val="0"/>
        <w:keepLines w:val="0"/>
        <w:pageBreakBefore w:val="0"/>
        <w:kinsoku/>
        <w:wordWrap/>
        <w:overflowPunct/>
        <w:topLinePunct w:val="0"/>
        <w:autoSpaceDE/>
        <w:autoSpaceDN/>
        <w:bidi w:val="0"/>
        <w:spacing w:before="50" w:after="50" w:line="360"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甲方指定地址为：</w:t>
      </w:r>
      <w:r>
        <w:rPr>
          <w:rFonts w:hint="default"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 xml:space="preserve">  。</w:t>
      </w:r>
    </w:p>
    <w:p w14:paraId="4D8B46E4">
      <w:pPr>
        <w:keepNext w:val="0"/>
        <w:keepLines w:val="0"/>
        <w:pageBreakBefore w:val="0"/>
        <w:tabs>
          <w:tab w:val="left" w:pos="420"/>
        </w:tabs>
        <w:kinsoku/>
        <w:wordWrap/>
        <w:overflowPunct/>
        <w:topLinePunct w:val="0"/>
        <w:autoSpaceDE/>
        <w:autoSpaceDN/>
        <w:bidi w:val="0"/>
        <w:spacing w:line="360" w:lineRule="auto"/>
        <w:textAlignment w:val="auto"/>
        <w:rPr>
          <w:rFonts w:hint="default" w:ascii="Times New Roman" w:hAnsi="Times New Roman" w:eastAsia="宋体" w:cs="Times New Roman"/>
          <w:color w:val="000000"/>
        </w:rPr>
      </w:pPr>
      <w:r>
        <w:rPr>
          <w:rFonts w:hint="default" w:ascii="Times New Roman" w:hAnsi="Times New Roman" w:eastAsia="宋体" w:cs="Times New Roman"/>
        </w:rPr>
        <w:t>2、乙方应于合同签订之日起</w:t>
      </w:r>
      <w:r>
        <w:rPr>
          <w:rFonts w:hint="default" w:ascii="Times New Roman" w:hAnsi="Times New Roman" w:eastAsia="宋体" w:cs="Times New Roman"/>
          <w:u w:val="single"/>
        </w:rPr>
        <w:t xml:space="preserve">  15天 </w:t>
      </w:r>
      <w:r>
        <w:rPr>
          <w:rFonts w:hint="default" w:ascii="Times New Roman" w:hAnsi="Times New Roman" w:eastAsia="宋体" w:cs="Times New Roman"/>
        </w:rPr>
        <w:t>内按照本条款约定向甲方完成交货义务。</w:t>
      </w:r>
    </w:p>
    <w:p w14:paraId="12A51F48">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3、交货方式：纸质授权书1份，电子邮箱交付软件。</w:t>
      </w:r>
    </w:p>
    <w:p w14:paraId="65D334EC">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4、甲方或甲方指定之最终用户应于收到上述厂商授权书后，按照该授权书之提示内容自行通过软件官方网站查询确认所提供的产品是否与本合同项下产品相符。如发现原厂商提供之产品与本合同项下产品不符的，应当在收到该授权书之日起10个工作日内向乙方或原厂商提出异议，逾期视为产品相符及均能正常使用、验收合格。</w:t>
      </w:r>
    </w:p>
    <w:p w14:paraId="70F8D9C3">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eastAsia="宋体" w:cs="Times New Roman"/>
          <w:b/>
          <w:szCs w:val="21"/>
        </w:rPr>
      </w:pPr>
      <w:r>
        <w:rPr>
          <w:rFonts w:hint="default" w:ascii="Times New Roman" w:hAnsi="Times New Roman" w:eastAsia="宋体" w:cs="Times New Roman"/>
          <w:b/>
          <w:szCs w:val="21"/>
        </w:rPr>
        <w:t>四、违约与赔偿责任</w:t>
      </w:r>
    </w:p>
    <w:p w14:paraId="7380072D">
      <w:pPr>
        <w:keepNext w:val="0"/>
        <w:keepLines w:val="0"/>
        <w:pageBreakBefore w:val="0"/>
        <w:kinsoku/>
        <w:wordWrap/>
        <w:overflowPunct/>
        <w:topLinePunct w:val="0"/>
        <w:autoSpaceDE/>
        <w:autoSpaceDN/>
        <w:bidi w:val="0"/>
        <w:spacing w:line="360" w:lineRule="auto"/>
        <w:ind w:firstLine="361"/>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如乙方未在本合同所规定的时间内交付及安装调试本合同所规定的</w:t>
      </w:r>
      <w:r>
        <w:rPr>
          <w:rFonts w:hint="eastAsia" w:ascii="Times New Roman" w:hAnsi="Times New Roman" w:eastAsia="宋体" w:cs="Times New Roman"/>
          <w:szCs w:val="21"/>
          <w:lang w:eastAsia="zh-CN"/>
        </w:rPr>
        <w:t>产品</w:t>
      </w:r>
      <w:r>
        <w:rPr>
          <w:rFonts w:hint="default" w:ascii="Times New Roman" w:hAnsi="Times New Roman" w:eastAsia="宋体" w:cs="Times New Roman"/>
          <w:szCs w:val="21"/>
        </w:rPr>
        <w:t>，甲方有权要求乙方采取补救和补偿措施，及继续履行本合同所规定的义务。同时，每延期5天（不足5天按5天计），乙方应向甲方支付合同金额的1%的损失赔偿金。如延期时间超过30天，甲方有权解除合同，并要求乙方按前款规定承担相应的损失赔偿金，如损失赔偿金不足以弥补甲方损失的还应赔偿甲方的实际损失。</w:t>
      </w:r>
    </w:p>
    <w:p w14:paraId="4E190935">
      <w:pPr>
        <w:keepNext w:val="0"/>
        <w:keepLines w:val="0"/>
        <w:pageBreakBefore w:val="0"/>
        <w:tabs>
          <w:tab w:val="left" w:pos="2550"/>
        </w:tabs>
        <w:kinsoku/>
        <w:wordWrap/>
        <w:overflowPunct/>
        <w:topLinePunct w:val="0"/>
        <w:autoSpaceDE/>
        <w:autoSpaceDN/>
        <w:bidi w:val="0"/>
        <w:spacing w:line="360" w:lineRule="auto"/>
        <w:textAlignment w:val="auto"/>
        <w:rPr>
          <w:rFonts w:hint="default" w:ascii="Times New Roman" w:hAnsi="Times New Roman" w:eastAsia="宋体" w:cs="Times New Roman"/>
          <w:b/>
          <w:szCs w:val="21"/>
        </w:rPr>
      </w:pPr>
      <w:r>
        <w:rPr>
          <w:rFonts w:hint="default" w:ascii="Times New Roman" w:hAnsi="Times New Roman" w:eastAsia="宋体" w:cs="Times New Roman"/>
          <w:b/>
          <w:bCs/>
          <w:szCs w:val="21"/>
        </w:rPr>
        <w:t>五、解决合同纠纷的方式</w:t>
      </w:r>
    </w:p>
    <w:p w14:paraId="76E56048">
      <w:pPr>
        <w:keepNext w:val="0"/>
        <w:keepLines w:val="0"/>
        <w:pageBreakBefore w:val="0"/>
        <w:kinsoku/>
        <w:wordWrap/>
        <w:overflowPunct/>
        <w:topLinePunct w:val="0"/>
        <w:autoSpaceDE/>
        <w:autoSpaceDN/>
        <w:bidi w:val="0"/>
        <w:spacing w:line="360" w:lineRule="auto"/>
        <w:ind w:firstLine="361"/>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如合同双方在履行本合同过程中发生争议，各方应先采取友好协商的方式解决该争议，友好协商解决期为争议发生后的30天；若协商不成，任何一方均可向南通仲裁委员会提起仲裁，并遵守南通仲裁委员会的仲裁规则，仲裁产生的费用（包括仲裁费、律师费等）由败诉方予以承担。</w:t>
      </w:r>
    </w:p>
    <w:p w14:paraId="11E5B60D">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 xml:space="preserve">六、产品售后服务及升级保障 </w:t>
      </w:r>
    </w:p>
    <w:p w14:paraId="0FAAE60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本合同凡提及售后服务及升级保障，仅指原厂商（本合同中凡提及“原厂商”均指北京金山办公软件股份有限公司）及乙方按下述约定对本合同项下授权给获得授权主体的授权软件向获得授权主体提供的如下所述的售后服务及升级保障：</w:t>
      </w:r>
    </w:p>
    <w:p w14:paraId="3B0980F3">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1、售后服务</w:t>
      </w:r>
    </w:p>
    <w:p w14:paraId="3AD3F39D">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 1 \* ALPHABETIC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A</w:t>
      </w:r>
      <w:r>
        <w:rPr>
          <w:rFonts w:hint="default" w:ascii="Times New Roman" w:hAnsi="Times New Roman" w:eastAsia="宋体" w:cs="Times New Roman"/>
          <w:szCs w:val="21"/>
        </w:rPr>
        <w:fldChar w:fldCharType="end"/>
      </w:r>
      <w:r>
        <w:rPr>
          <w:rFonts w:hint="default" w:ascii="Times New Roman" w:hAnsi="Times New Roman" w:eastAsia="宋体" w:cs="Times New Roman"/>
          <w:szCs w:val="21"/>
        </w:rPr>
        <w:t>、售后服务期限：同场地授权期限；</w:t>
      </w:r>
    </w:p>
    <w:p w14:paraId="287E333F">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 2 \* ALPHABETIC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B</w:t>
      </w:r>
      <w:r>
        <w:rPr>
          <w:rFonts w:hint="default" w:ascii="Times New Roman" w:hAnsi="Times New Roman" w:eastAsia="宋体" w:cs="Times New Roman"/>
          <w:szCs w:val="21"/>
        </w:rPr>
        <w:fldChar w:fldCharType="end"/>
      </w:r>
      <w:r>
        <w:rPr>
          <w:rFonts w:hint="default" w:ascii="Times New Roman" w:hAnsi="Times New Roman" w:eastAsia="宋体" w:cs="Times New Roman"/>
          <w:szCs w:val="21"/>
        </w:rPr>
        <w:t>、仅限在售后服务期内，原厂商有义务对本合同项下授权给获得授权主体的授权软件向获得授权主体提供售后服务。</w:t>
      </w:r>
    </w:p>
    <w:p w14:paraId="481D4971">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C、在线服务：</w:t>
      </w:r>
    </w:p>
    <w:p w14:paraId="52C84BA8">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产品主页：____________________</w:t>
      </w:r>
    </w:p>
    <w:p w14:paraId="4F020263">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产品论坛：______________________</w:t>
      </w:r>
    </w:p>
    <w:p w14:paraId="751BCB50">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在线客服：</w:t>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"http://help.wps.cn/"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____________________</w:t>
      </w:r>
      <w:r>
        <w:rPr>
          <w:rFonts w:hint="default" w:ascii="Times New Roman" w:hAnsi="Times New Roman" w:eastAsia="宋体" w:cs="Times New Roman"/>
          <w:szCs w:val="21"/>
        </w:rPr>
        <w:fldChar w:fldCharType="end"/>
      </w:r>
    </w:p>
    <w:p w14:paraId="60B7EC4A">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D、电话服务：</w:t>
      </w:r>
    </w:p>
    <w:p w14:paraId="4D344568">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客户服务中心电话：_________________</w:t>
      </w:r>
    </w:p>
    <w:p w14:paraId="47D447EE">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E、邮件服务：</w:t>
      </w:r>
    </w:p>
    <w:p w14:paraId="7AE8D668">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技术支持专用邮箱: _______________</w:t>
      </w:r>
    </w:p>
    <w:p w14:paraId="3EEF80D2">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2、升级保障</w:t>
      </w:r>
    </w:p>
    <w:p w14:paraId="08C35D8A">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 1 \* ALPHABETIC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A</w:t>
      </w:r>
      <w:r>
        <w:rPr>
          <w:rFonts w:hint="default" w:ascii="Times New Roman" w:hAnsi="Times New Roman" w:eastAsia="宋体" w:cs="Times New Roman"/>
          <w:szCs w:val="21"/>
        </w:rPr>
        <w:fldChar w:fldCharType="end"/>
      </w:r>
      <w:r>
        <w:rPr>
          <w:rFonts w:hint="default" w:ascii="Times New Roman" w:hAnsi="Times New Roman" w:eastAsia="宋体" w:cs="Times New Roman"/>
          <w:szCs w:val="21"/>
        </w:rPr>
        <w:t>、升级保障期限：（202</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年  月  日至202</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rPr>
        <w:t>年  月   日）；</w:t>
      </w:r>
    </w:p>
    <w:p w14:paraId="3A03C5CE">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 2 \* ALPHABETIC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B</w:t>
      </w:r>
      <w:r>
        <w:rPr>
          <w:rFonts w:hint="default" w:ascii="Times New Roman" w:hAnsi="Times New Roman" w:eastAsia="宋体" w:cs="Times New Roman"/>
          <w:szCs w:val="21"/>
        </w:rPr>
        <w:fldChar w:fldCharType="end"/>
      </w:r>
      <w:r>
        <w:rPr>
          <w:rFonts w:hint="default" w:ascii="Times New Roman" w:hAnsi="Times New Roman" w:eastAsia="宋体" w:cs="Times New Roman"/>
          <w:szCs w:val="21"/>
        </w:rPr>
        <w:t>、仅限在升级保障期内，乙方有义务保证原厂商对本合同项下授权给获得授权主体的授权软件向获得授权主体提供升级保障，原厂商在升级保障期内应提供的升级保障仅包括为获得授权主体提供该办公软件版本的升级（如有），是否推出升级版本由原厂商依照市场情况自行确定。原厂商在升级保障期内每次推出该办公软件的升级版本（如有），则应在该升级版本正式公开销售后（30）日内将该次版本升级事宜通知获得授权主体，原厂商每次均有权自行决定以下列两种方式中的任何一种或全部方式向获得授权主体发布其已推出该产品的升级版本的通知（以下简称“升级通知”）：</w:t>
      </w:r>
    </w:p>
    <w:p w14:paraId="6EE7C5A2">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1）网站公告升级通知，同时在该网站上传本次购买办公软件产品的升级版本供获得授权主体自行下载使用，原厂商将本次购买的办公软件产品的升级版本（如有）上传至网站，即为原厂商履行完毕本次为获得授权主体提供升级保障的义务；</w:t>
      </w:r>
    </w:p>
    <w:p w14:paraId="6FE60CEF">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2）邮件发送升级通知：向购置合同中提供的联系人邮箱发送升级通知，并提供本次授权软件升级版本的下载链接。原厂商邮件发送成功，即为原厂商履行完毕本次为获得授权主体提供升级保障的义务。</w:t>
      </w:r>
    </w:p>
    <w:p w14:paraId="0941D428">
      <w:pPr>
        <w:keepNext w:val="0"/>
        <w:keepLines w:val="0"/>
        <w:pageBreakBefore w:val="0"/>
        <w:tabs>
          <w:tab w:val="left" w:pos="540"/>
        </w:tabs>
        <w:kinsoku/>
        <w:wordWrap/>
        <w:overflowPunct/>
        <w:topLinePunct w:val="0"/>
        <w:autoSpaceDE/>
        <w:autoSpaceDN/>
        <w:bidi w:val="0"/>
        <w:spacing w:line="360" w:lineRule="auto"/>
        <w:ind w:firstLine="42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甲方认可其使用原厂商在升级保障期内每次以上述任一种或全部方式向获得授权主体提供的办公软件产品的升级版本（如有）均应受本合同各条款约束，获得授权主体仅能严格按本合同约定（包括但不限于备注中的约定）使用该等原厂商在升级保障期内向获得授权主体提供的办公软件产品的升级版本（如有）。</w:t>
      </w:r>
    </w:p>
    <w:p w14:paraId="14143FF7">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3、软件正版化台账与制度协助建立</w:t>
      </w:r>
    </w:p>
    <w:p w14:paraId="0D36946D">
      <w:pPr>
        <w:keepNext w:val="0"/>
        <w:keepLines w:val="0"/>
        <w:pageBreakBefore w:val="0"/>
        <w:kinsoku/>
        <w:wordWrap/>
        <w:overflowPunct/>
        <w:topLinePunct w:val="0"/>
        <w:autoSpaceDE/>
        <w:autoSpaceDN/>
        <w:bidi w:val="0"/>
        <w:spacing w:line="360" w:lineRule="auto"/>
        <w:ind w:firstLine="420"/>
        <w:jc w:val="left"/>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按照国家推进使用正版软件工作部际联席会议办公室和国家版权局办公厅文件要求协助</w:t>
      </w:r>
      <w:r>
        <w:rPr>
          <w:rFonts w:hint="eastAsia" w:ascii="Times New Roman" w:hAnsi="Times New Roman" w:eastAsia="宋体" w:cs="Times New Roman"/>
          <w:szCs w:val="21"/>
          <w:lang w:eastAsia="zh-CN"/>
        </w:rPr>
        <w:t>南通轨道交通集团有限公司</w:t>
      </w:r>
      <w:r>
        <w:rPr>
          <w:rFonts w:hint="default" w:ascii="Times New Roman" w:hAnsi="Times New Roman" w:eastAsia="宋体" w:cs="Times New Roman"/>
          <w:szCs w:val="21"/>
        </w:rPr>
        <w:t>完成软件正版化台账和制度的建立，主要内容如下：</w:t>
      </w:r>
    </w:p>
    <w:p w14:paraId="12AAC191">
      <w:pPr>
        <w:pStyle w:val="28"/>
        <w:keepNext w:val="0"/>
        <w:keepLines w:val="0"/>
        <w:pageBreakBefore w:val="0"/>
        <w:kinsoku/>
        <w:wordWrap/>
        <w:overflowPunct/>
        <w:topLinePunct w:val="0"/>
        <w:autoSpaceDE/>
        <w:autoSpaceDN/>
        <w:bidi w:val="0"/>
        <w:adjustRightInd w:val="0"/>
        <w:snapToGrid w:val="0"/>
        <w:spacing w:line="360" w:lineRule="auto"/>
        <w:ind w:left="420" w:firstLine="24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Cs w:val="21"/>
        </w:rPr>
        <w:t xml:space="preserve">(1) </w:t>
      </w:r>
      <w:r>
        <w:rPr>
          <w:rFonts w:hint="default" w:ascii="Times New Roman" w:hAnsi="Times New Roman" w:eastAsia="宋体" w:cs="Times New Roman"/>
          <w:sz w:val="21"/>
          <w:szCs w:val="21"/>
        </w:rPr>
        <w:t>协助整理单位正版软件和目前硬件资产台账的情况做好完整的梳理工作；</w:t>
      </w:r>
    </w:p>
    <w:p w14:paraId="6CDDD849">
      <w:pPr>
        <w:pStyle w:val="28"/>
        <w:keepNext w:val="0"/>
        <w:keepLines w:val="0"/>
        <w:pageBreakBefore w:val="0"/>
        <w:kinsoku/>
        <w:wordWrap/>
        <w:overflowPunct/>
        <w:topLinePunct w:val="0"/>
        <w:autoSpaceDE/>
        <w:autoSpaceDN/>
        <w:bidi w:val="0"/>
        <w:adjustRightInd w:val="0"/>
        <w:snapToGrid w:val="0"/>
        <w:spacing w:line="360" w:lineRule="auto"/>
        <w:ind w:left="420" w:firstLine="240" w:firstLineChars="100"/>
        <w:textAlignment w:val="auto"/>
        <w:rPr>
          <w:rFonts w:hint="default" w:ascii="Times New Roman" w:hAnsi="Times New Roman" w:eastAsia="宋体" w:cs="Times New Roman"/>
          <w:b/>
          <w:sz w:val="21"/>
          <w:szCs w:val="21"/>
        </w:rPr>
      </w:pPr>
      <w:r>
        <w:rPr>
          <w:rFonts w:hint="default" w:ascii="Times New Roman" w:hAnsi="Times New Roman" w:eastAsia="宋体" w:cs="Times New Roman"/>
          <w:szCs w:val="21"/>
        </w:rPr>
        <w:t xml:space="preserve">(2) </w:t>
      </w:r>
      <w:r>
        <w:rPr>
          <w:rFonts w:hint="default" w:ascii="Times New Roman" w:hAnsi="Times New Roman" w:eastAsia="宋体" w:cs="Times New Roman"/>
          <w:sz w:val="21"/>
          <w:szCs w:val="21"/>
        </w:rPr>
        <w:t>协助健全完善软件正版化工作责任制度，进一步明确软件正版化工作职责，落实软件正版化工作主体责任。</w:t>
      </w:r>
    </w:p>
    <w:p w14:paraId="6C71E77D">
      <w:pPr>
        <w:pStyle w:val="28"/>
        <w:keepNext w:val="0"/>
        <w:keepLines w:val="0"/>
        <w:pageBreakBefore w:val="0"/>
        <w:kinsoku/>
        <w:wordWrap/>
        <w:overflowPunct/>
        <w:topLinePunct w:val="0"/>
        <w:autoSpaceDE/>
        <w:autoSpaceDN/>
        <w:bidi w:val="0"/>
        <w:adjustRightInd w:val="0"/>
        <w:snapToGrid w:val="0"/>
        <w:spacing w:line="360" w:lineRule="auto"/>
        <w:ind w:left="420" w:firstLine="240" w:firstLineChars="100"/>
        <w:textAlignment w:val="auto"/>
        <w:rPr>
          <w:rFonts w:hint="default" w:ascii="Times New Roman" w:hAnsi="Times New Roman" w:eastAsia="宋体" w:cs="Times New Roman"/>
          <w:b/>
          <w:bCs/>
          <w:szCs w:val="21"/>
        </w:rPr>
      </w:pPr>
      <w:r>
        <w:rPr>
          <w:rFonts w:hint="default" w:ascii="Times New Roman" w:hAnsi="Times New Roman" w:eastAsia="宋体" w:cs="Times New Roman"/>
          <w:szCs w:val="21"/>
        </w:rPr>
        <w:t xml:space="preserve">(3) </w:t>
      </w:r>
      <w:r>
        <w:rPr>
          <w:rFonts w:hint="default" w:ascii="Times New Roman" w:hAnsi="Times New Roman" w:eastAsia="宋体" w:cs="Times New Roman"/>
          <w:sz w:val="21"/>
          <w:szCs w:val="21"/>
        </w:rPr>
        <w:t>协助整理准备《软件正版化工作指南检查表》中相应检查项目的支撑材料，制度建设和责任落实情况，按照国家和省级软件正版化检查工作软件资产台账全套资料制定</w:t>
      </w:r>
      <w:r>
        <w:rPr>
          <w:rFonts w:hint="default" w:ascii="Times New Roman" w:hAnsi="Times New Roman" w:eastAsia="宋体" w:cs="Times New Roman"/>
          <w:b/>
          <w:sz w:val="21"/>
          <w:szCs w:val="21"/>
        </w:rPr>
        <w:t>。</w:t>
      </w:r>
    </w:p>
    <w:p w14:paraId="5C663611">
      <w:pPr>
        <w:keepNext w:val="0"/>
        <w:keepLines w:val="0"/>
        <w:pageBreakBefore w:val="0"/>
        <w:tabs>
          <w:tab w:val="left" w:pos="540"/>
        </w:tabs>
        <w:kinsoku/>
        <w:wordWrap/>
        <w:overflowPunct/>
        <w:topLinePunct w:val="0"/>
        <w:autoSpaceDE/>
        <w:autoSpaceDN/>
        <w:bidi w:val="0"/>
        <w:spacing w:line="360" w:lineRule="auto"/>
        <w:textAlignment w:val="auto"/>
        <w:rPr>
          <w:rFonts w:hint="default" w:ascii="Times New Roman" w:hAnsi="Times New Roman" w:eastAsia="宋体" w:cs="Times New Roman"/>
          <w:b/>
          <w:bCs/>
          <w:szCs w:val="21"/>
        </w:rPr>
      </w:pPr>
      <w:r>
        <w:rPr>
          <w:rFonts w:hint="default" w:ascii="Times New Roman" w:hAnsi="Times New Roman" w:eastAsia="宋体" w:cs="Times New Roman"/>
          <w:b/>
          <w:bCs/>
          <w:szCs w:val="21"/>
        </w:rPr>
        <w:t>七、附则</w:t>
      </w:r>
    </w:p>
    <w:p w14:paraId="42E4F008">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 xml:space="preserve">1、本合同协议书正本 2 份，甲方、乙方各 1 份；副本 </w:t>
      </w:r>
      <w:r>
        <w:rPr>
          <w:rFonts w:hint="eastAsia" w:ascii="Times New Roman" w:hAnsi="Times New Roman" w:eastAsia="宋体" w:cs="Times New Roman"/>
          <w:szCs w:val="21"/>
          <w:lang w:val="en-US" w:eastAsia="zh-CN"/>
        </w:rPr>
        <w:t>6</w:t>
      </w:r>
      <w:r>
        <w:rPr>
          <w:rFonts w:hint="default" w:ascii="Times New Roman" w:hAnsi="Times New Roman" w:eastAsia="宋体" w:cs="Times New Roman"/>
          <w:szCs w:val="21"/>
        </w:rPr>
        <w:t xml:space="preserve"> 份，甲方 </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 xml:space="preserve"> 份，乙方 </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份，具有同等的效力。</w:t>
      </w:r>
    </w:p>
    <w:p w14:paraId="581CF074">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2、合同经双方代表签字并加盖公章或合同专用章即生效。</w:t>
      </w:r>
    </w:p>
    <w:p w14:paraId="31FB4562">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3、本合同签订后，甲乙双方如需提出修改时，经双方协商一致后，可以补充签订协议，作为本合同的补充合同。</w:t>
      </w:r>
    </w:p>
    <w:tbl>
      <w:tblPr>
        <w:tblStyle w:val="14"/>
        <w:tblW w:w="9690" w:type="dxa"/>
        <w:tblInd w:w="-306" w:type="dxa"/>
        <w:tblLayout w:type="fixed"/>
        <w:tblCellMar>
          <w:top w:w="0" w:type="dxa"/>
          <w:left w:w="108" w:type="dxa"/>
          <w:bottom w:w="0" w:type="dxa"/>
          <w:right w:w="108" w:type="dxa"/>
        </w:tblCellMar>
      </w:tblPr>
      <w:tblGrid>
        <w:gridCol w:w="4635"/>
        <w:gridCol w:w="5055"/>
      </w:tblGrid>
      <w:tr w14:paraId="7B0FE76E">
        <w:tblPrEx>
          <w:tblCellMar>
            <w:top w:w="0" w:type="dxa"/>
            <w:left w:w="108" w:type="dxa"/>
            <w:bottom w:w="0" w:type="dxa"/>
            <w:right w:w="108" w:type="dxa"/>
          </w:tblCellMar>
        </w:tblPrEx>
        <w:tc>
          <w:tcPr>
            <w:tcW w:w="4635" w:type="dxa"/>
          </w:tcPr>
          <w:p w14:paraId="61D6069D">
            <w:pPr>
              <w:pStyle w:val="29"/>
              <w:spacing w:line="440" w:lineRule="exact"/>
              <w:rPr>
                <w:rFonts w:ascii="宋体" w:hAnsi="宋体" w:cs="宋体"/>
                <w:szCs w:val="21"/>
              </w:rPr>
            </w:pPr>
            <w:r>
              <w:rPr>
                <w:rFonts w:hint="eastAsia" w:ascii="宋体" w:hAnsi="宋体" w:cs="宋体"/>
                <w:szCs w:val="21"/>
              </w:rPr>
              <w:t>甲方（盖章）：_________________________</w:t>
            </w:r>
          </w:p>
          <w:p w14:paraId="2F2FCDED">
            <w:pPr>
              <w:pStyle w:val="29"/>
              <w:spacing w:line="440" w:lineRule="exact"/>
              <w:rPr>
                <w:rFonts w:ascii="宋体" w:hAnsi="宋体" w:cs="宋体"/>
                <w:szCs w:val="21"/>
              </w:rPr>
            </w:pPr>
          </w:p>
          <w:p w14:paraId="3E9FB418">
            <w:pPr>
              <w:pStyle w:val="29"/>
              <w:spacing w:line="440" w:lineRule="exact"/>
              <w:rPr>
                <w:rFonts w:ascii="宋体" w:hAnsi="宋体" w:cs="宋体"/>
                <w:szCs w:val="21"/>
              </w:rPr>
            </w:pPr>
            <w:r>
              <w:rPr>
                <w:rFonts w:hint="eastAsia" w:ascii="宋体" w:hAnsi="宋体" w:cs="宋体"/>
                <w:szCs w:val="21"/>
              </w:rPr>
              <w:t>法定代表人或</w:t>
            </w:r>
          </w:p>
          <w:p w14:paraId="3524C421">
            <w:pPr>
              <w:pStyle w:val="29"/>
              <w:spacing w:line="440" w:lineRule="exact"/>
              <w:rPr>
                <w:rFonts w:ascii="宋体" w:hAnsi="宋体" w:cs="宋体"/>
                <w:szCs w:val="21"/>
              </w:rPr>
            </w:pPr>
            <w:r>
              <w:rPr>
                <w:rFonts w:hint="eastAsia" w:ascii="宋体" w:hAnsi="宋体" w:cs="宋体"/>
                <w:szCs w:val="21"/>
              </w:rPr>
              <w:t>其授权委托人（签名或盖章）：____________</w:t>
            </w:r>
          </w:p>
          <w:p w14:paraId="07BF6E4A">
            <w:pPr>
              <w:pStyle w:val="29"/>
              <w:spacing w:line="44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14:paraId="675514A8">
            <w:pPr>
              <w:pStyle w:val="29"/>
              <w:spacing w:line="44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南通市崇川区崇川路158号</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67CE3528">
            <w:pPr>
              <w:rPr>
                <w:rFonts w:hint="eastAsia" w:ascii="宋体" w:hAnsi="宋体" w:cs="宋体"/>
              </w:rPr>
            </w:pPr>
            <w:r>
              <w:rPr>
                <w:rFonts w:hint="eastAsia" w:ascii="宋体" w:hAnsi="宋体" w:cs="宋体"/>
              </w:rPr>
              <w:t>电话：</w:t>
            </w:r>
            <w:r>
              <w:rPr>
                <w:rFonts w:hint="eastAsia" w:ascii="宋体" w:hAnsi="宋体" w:cs="宋体"/>
                <w:u w:val="single"/>
              </w:rPr>
              <w:t xml:space="preserve">0513-69900269                     </w:t>
            </w:r>
          </w:p>
          <w:p w14:paraId="27EE7612">
            <w:pPr>
              <w:pStyle w:val="29"/>
              <w:spacing w:line="440" w:lineRule="exact"/>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0513-69900156                     </w:t>
            </w:r>
          </w:p>
        </w:tc>
        <w:tc>
          <w:tcPr>
            <w:tcW w:w="5055" w:type="dxa"/>
          </w:tcPr>
          <w:p w14:paraId="732ECF20">
            <w:pPr>
              <w:pStyle w:val="29"/>
              <w:spacing w:line="440" w:lineRule="exact"/>
              <w:rPr>
                <w:rFonts w:ascii="宋体" w:hAnsi="宋体" w:cs="宋体"/>
                <w:szCs w:val="21"/>
              </w:rPr>
            </w:pPr>
            <w:r>
              <w:rPr>
                <w:rFonts w:hint="eastAsia" w:ascii="宋体" w:hAnsi="宋体" w:cs="宋体"/>
                <w:szCs w:val="21"/>
              </w:rPr>
              <w:t xml:space="preserve">乙方（盖章）：_________________________  </w:t>
            </w:r>
          </w:p>
          <w:p w14:paraId="773EB06A">
            <w:pPr>
              <w:pStyle w:val="29"/>
              <w:spacing w:line="440" w:lineRule="exact"/>
              <w:rPr>
                <w:rFonts w:ascii="宋体" w:hAnsi="宋体" w:cs="宋体"/>
                <w:szCs w:val="21"/>
              </w:rPr>
            </w:pPr>
          </w:p>
          <w:p w14:paraId="4C6F3FD4">
            <w:pPr>
              <w:pStyle w:val="29"/>
              <w:spacing w:line="440" w:lineRule="exact"/>
              <w:rPr>
                <w:rFonts w:ascii="宋体" w:hAnsi="宋体" w:cs="宋体"/>
                <w:szCs w:val="21"/>
              </w:rPr>
            </w:pPr>
            <w:r>
              <w:rPr>
                <w:rFonts w:hint="eastAsia" w:ascii="宋体" w:hAnsi="宋体" w:cs="宋体"/>
                <w:szCs w:val="21"/>
              </w:rPr>
              <w:t>法定代表人或</w:t>
            </w:r>
          </w:p>
          <w:p w14:paraId="33D7CBA6">
            <w:pPr>
              <w:pStyle w:val="29"/>
              <w:spacing w:line="440" w:lineRule="exact"/>
              <w:rPr>
                <w:rFonts w:ascii="宋体" w:hAnsi="宋体" w:cs="宋体"/>
                <w:szCs w:val="21"/>
              </w:rPr>
            </w:pPr>
            <w:r>
              <w:rPr>
                <w:rFonts w:hint="eastAsia" w:ascii="宋体" w:hAnsi="宋体" w:cs="宋体"/>
                <w:szCs w:val="21"/>
              </w:rPr>
              <w:t>其授权委托人（签名或盖章）：____________</w:t>
            </w:r>
          </w:p>
          <w:p w14:paraId="0F33CC15">
            <w:pPr>
              <w:pStyle w:val="29"/>
              <w:spacing w:line="44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14:paraId="7A0B43A5">
            <w:pPr>
              <w:pStyle w:val="29"/>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404A96F">
            <w:pPr>
              <w:pStyle w:val="29"/>
              <w:spacing w:line="440" w:lineRule="exact"/>
              <w:rPr>
                <w:rFonts w:ascii="宋体" w:hAnsi="宋体" w:cs="宋体"/>
                <w:szCs w:val="21"/>
              </w:rPr>
            </w:pPr>
            <w:r>
              <w:rPr>
                <w:rFonts w:hint="eastAsia" w:ascii="宋体" w:hAnsi="宋体" w:cs="宋体"/>
                <w:szCs w:val="21"/>
              </w:rPr>
              <w:t>电话：</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11AD309A">
            <w:pPr>
              <w:pStyle w:val="29"/>
              <w:spacing w:line="440" w:lineRule="exact"/>
              <w:rPr>
                <w:rFonts w:ascii="宋体" w:hAnsi="宋体" w:cs="宋体"/>
                <w:szCs w:val="21"/>
              </w:rPr>
            </w:pPr>
            <w:r>
              <w:rPr>
                <w:rFonts w:hint="eastAsia" w:ascii="宋体" w:hAnsi="宋体" w:cs="宋体"/>
                <w:szCs w:val="21"/>
              </w:rPr>
              <w:t>传真：</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tc>
      </w:tr>
    </w:tbl>
    <w:p w14:paraId="5B5CA960">
      <w:pPr>
        <w:keepNext w:val="0"/>
        <w:keepLines w:val="0"/>
        <w:pageBreakBefore w:val="0"/>
        <w:kinsoku/>
        <w:wordWrap/>
        <w:overflowPunct/>
        <w:topLinePunct w:val="0"/>
        <w:autoSpaceDE/>
        <w:autoSpaceDN/>
        <w:bidi w:val="0"/>
        <w:spacing w:line="360" w:lineRule="auto"/>
        <w:ind w:firstLine="1470" w:firstLineChars="700"/>
        <w:textAlignment w:val="auto"/>
        <w:rPr>
          <w:rFonts w:hint="eastAsia" w:ascii="宋体" w:hAnsi="宋体" w:eastAsia="宋体" w:cs="宋体"/>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靱.">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黑体标宋·靱.">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靱.">
    <w:altName w:val="宋体"/>
    <w:panose1 w:val="00000000000000000000"/>
    <w:charset w:val="86"/>
    <w:family w:val="roman"/>
    <w:pitch w:val="default"/>
    <w:sig w:usb0="00000000" w:usb1="00000000" w:usb2="00000010" w:usb3="00000000" w:csb0="00040000" w:csb1="00000000"/>
  </w:font>
  <w:font w:name="黑体u蓞輀.靱.">
    <w:altName w:val="黑体"/>
    <w:panose1 w:val="00000000000000000000"/>
    <w:charset w:val="86"/>
    <w:family w:val="swiss"/>
    <w:pitch w:val="default"/>
    <w:sig w:usb0="00000000" w:usb1="00000000" w:usb2="0000001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209192"/>
      <w:docPartObj>
        <w:docPartGallery w:val="autotext"/>
      </w:docPartObj>
    </w:sdtPr>
    <w:sdtContent>
      <w:p w14:paraId="6CE32E21">
        <w:pPr>
          <w:pStyle w:val="10"/>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GQ4M2UwODQ5ZTZhYjc0YjkwOGNjZTJhOTAwMWIifQ=="/>
  </w:docVars>
  <w:rsids>
    <w:rsidRoot w:val="003B1FB4"/>
    <w:rsid w:val="000549BD"/>
    <w:rsid w:val="00061836"/>
    <w:rsid w:val="001577C8"/>
    <w:rsid w:val="00182FC8"/>
    <w:rsid w:val="001E1982"/>
    <w:rsid w:val="002A696C"/>
    <w:rsid w:val="002D61E1"/>
    <w:rsid w:val="002E1B4B"/>
    <w:rsid w:val="003B1FB4"/>
    <w:rsid w:val="00536DA7"/>
    <w:rsid w:val="00667F61"/>
    <w:rsid w:val="0071733A"/>
    <w:rsid w:val="007E65D3"/>
    <w:rsid w:val="007F20F3"/>
    <w:rsid w:val="00943827"/>
    <w:rsid w:val="009632EF"/>
    <w:rsid w:val="00AA413D"/>
    <w:rsid w:val="00AD4EE7"/>
    <w:rsid w:val="00B26ACD"/>
    <w:rsid w:val="00B32454"/>
    <w:rsid w:val="00D36043"/>
    <w:rsid w:val="00D74B29"/>
    <w:rsid w:val="00D75221"/>
    <w:rsid w:val="00E55F32"/>
    <w:rsid w:val="00E81B92"/>
    <w:rsid w:val="00F62F76"/>
    <w:rsid w:val="00F67520"/>
    <w:rsid w:val="0E406612"/>
    <w:rsid w:val="128901DA"/>
    <w:rsid w:val="163D7C44"/>
    <w:rsid w:val="1881066F"/>
    <w:rsid w:val="3A3D5757"/>
    <w:rsid w:val="510E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5"/>
    <w:semiHidden/>
    <w:unhideWhenUsed/>
    <w:qFormat/>
    <w:uiPriority w:val="0"/>
    <w:pPr>
      <w:widowControl/>
      <w:ind w:firstLine="420" w:firstLineChars="200"/>
      <w:jc w:val="left"/>
    </w:pPr>
  </w:style>
  <w:style w:type="paragraph" w:styleId="4">
    <w:name w:val="Body Text"/>
    <w:basedOn w:val="1"/>
    <w:unhideWhenUsed/>
    <w:qFormat/>
    <w:uiPriority w:val="0"/>
    <w:pPr>
      <w:widowControl/>
      <w:spacing w:after="120"/>
    </w:pPr>
    <w:rPr>
      <w:rFonts w:ascii="Times New Roman" w:hAnsi="Times New Roman"/>
      <w:szCs w:val="20"/>
    </w:rPr>
  </w:style>
  <w:style w:type="paragraph" w:styleId="5">
    <w:name w:val="Body Text Indent"/>
    <w:basedOn w:val="1"/>
    <w:next w:val="6"/>
    <w:qFormat/>
    <w:uiPriority w:val="0"/>
    <w:pPr>
      <w:spacing w:after="120"/>
      <w:ind w:left="420"/>
    </w:pPr>
    <w:rPr>
      <w:rFonts w:ascii="Times New Roman" w:hAnsi="Times New Roman" w:cs="Times New Roman"/>
      <w:szCs w:val="20"/>
    </w:rPr>
  </w:style>
  <w:style w:type="paragraph" w:styleId="6">
    <w:name w:val="envelope return"/>
    <w:basedOn w:val="1"/>
    <w:unhideWhenUsed/>
    <w:qFormat/>
    <w:uiPriority w:val="0"/>
    <w:pPr>
      <w:snapToGrid w:val="0"/>
    </w:pPr>
    <w:rPr>
      <w:rFonts w:ascii="Arial" w:hAnsi="Arial" w:cs="Arial"/>
    </w:rPr>
  </w:style>
  <w:style w:type="paragraph" w:styleId="7">
    <w:name w:val="List 2"/>
    <w:basedOn w:val="1"/>
    <w:qFormat/>
    <w:uiPriority w:val="0"/>
    <w:pPr>
      <w:ind w:left="100" w:leftChars="200" w:hanging="200" w:hangingChars="200"/>
      <w:contextualSpacing/>
    </w:pPr>
    <w:rPr>
      <w:rFonts w:ascii="Times New Roman" w:hAnsi="Times New Roman" w:eastAsia="楷体_GB2312"/>
      <w:sz w:val="26"/>
      <w:szCs w:val="20"/>
    </w:rPr>
  </w:style>
  <w:style w:type="paragraph" w:styleId="8">
    <w:name w:val="Plain Text"/>
    <w:basedOn w:val="1"/>
    <w:link w:val="24"/>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9">
    <w:name w:val="Balloon Text"/>
    <w:basedOn w:val="1"/>
    <w:link w:val="21"/>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qFormat/>
    <w:uiPriority w:val="0"/>
    <w:pPr>
      <w:widowControl w:val="0"/>
      <w:spacing w:line="240" w:lineRule="auto"/>
      <w:ind w:firstLine="420" w:firstLineChars="100"/>
      <w:jc w:val="both"/>
    </w:pPr>
    <w:rPr>
      <w:rFonts w:cs="Times New Roman"/>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unhideWhenUsed/>
    <w:qFormat/>
    <w:uiPriority w:val="99"/>
    <w:rPr>
      <w:sz w:val="21"/>
      <w:szCs w:val="21"/>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paragraph" w:customStyle="1" w:styleId="20">
    <w:name w:val="Default"/>
    <w:qFormat/>
    <w:uiPriority w:val="0"/>
    <w:pPr>
      <w:widowControl w:val="0"/>
      <w:autoSpaceDE w:val="0"/>
      <w:autoSpaceDN w:val="0"/>
      <w:adjustRightInd w:val="0"/>
    </w:pPr>
    <w:rPr>
      <w:rFonts w:ascii="方正小标宋·靱." w:eastAsia="方正小标宋·靱." w:cs="方正小标宋·靱." w:hAnsiTheme="minorHAnsi"/>
      <w:color w:val="000000"/>
      <w:kern w:val="0"/>
      <w:sz w:val="24"/>
      <w:szCs w:val="24"/>
      <w:lang w:val="en-US" w:eastAsia="zh-CN" w:bidi="ar-SA"/>
    </w:rPr>
  </w:style>
  <w:style w:type="character" w:customStyle="1" w:styleId="21">
    <w:name w:val="批注框文本 Char"/>
    <w:basedOn w:val="16"/>
    <w:link w:val="9"/>
    <w:semiHidden/>
    <w:qFormat/>
    <w:uiPriority w:val="99"/>
    <w:rPr>
      <w:sz w:val="18"/>
      <w:szCs w:val="18"/>
    </w:rPr>
  </w:style>
  <w:style w:type="character" w:customStyle="1" w:styleId="22">
    <w:name w:val="标题 2 Char"/>
    <w:basedOn w:val="16"/>
    <w:link w:val="2"/>
    <w:semiHidden/>
    <w:qFormat/>
    <w:uiPriority w:val="9"/>
    <w:rPr>
      <w:rFonts w:asciiTheme="majorHAnsi" w:hAnsiTheme="majorHAnsi" w:eastAsiaTheme="majorEastAsia" w:cstheme="majorBidi"/>
      <w:b/>
      <w:bCs/>
      <w:sz w:val="32"/>
      <w:szCs w:val="32"/>
    </w:rPr>
  </w:style>
  <w:style w:type="character" w:customStyle="1" w:styleId="23">
    <w:name w:val="纯文本 Char"/>
    <w:basedOn w:val="16"/>
    <w:semiHidden/>
    <w:qFormat/>
    <w:uiPriority w:val="99"/>
    <w:rPr>
      <w:rFonts w:ascii="宋体" w:hAnsi="Courier New" w:eastAsia="宋体" w:cs="Courier New"/>
      <w:szCs w:val="21"/>
    </w:rPr>
  </w:style>
  <w:style w:type="character" w:customStyle="1" w:styleId="24">
    <w:name w:val="纯文本 Char1"/>
    <w:link w:val="8"/>
    <w:qFormat/>
    <w:locked/>
    <w:uiPriority w:val="0"/>
    <w:rPr>
      <w:rFonts w:ascii="宋体" w:hAnsi="Courier New" w:eastAsia="宋体" w:cs="Times New Roman"/>
      <w:kern w:val="0"/>
      <w:sz w:val="20"/>
      <w:szCs w:val="21"/>
    </w:rPr>
  </w:style>
  <w:style w:type="character" w:customStyle="1" w:styleId="25">
    <w:name w:val="正文缩进 Char"/>
    <w:link w:val="3"/>
    <w:semiHidden/>
    <w:qFormat/>
    <w:locked/>
    <w:uiPriority w:val="0"/>
  </w:style>
  <w:style w:type="paragraph" w:styleId="26">
    <w:name w:val="List Paragraph"/>
    <w:basedOn w:val="1"/>
    <w:unhideWhenUsed/>
    <w:qFormat/>
    <w:uiPriority w:val="34"/>
    <w:pPr>
      <w:ind w:firstLine="420" w:firstLineChars="200"/>
    </w:pPr>
  </w:style>
  <w:style w:type="paragraph" w:customStyle="1" w:styleId="27">
    <w:name w:val="_Style 1"/>
    <w:basedOn w:val="1"/>
    <w:qFormat/>
    <w:uiPriority w:val="0"/>
    <w:pPr>
      <w:ind w:firstLine="420" w:firstLineChars="200"/>
    </w:pPr>
    <w:rPr>
      <w:rFonts w:cs="Calibri"/>
      <w:szCs w:val="21"/>
    </w:rPr>
  </w:style>
  <w:style w:type="paragraph" w:customStyle="1" w:styleId="28">
    <w:name w:val="列出段落1"/>
    <w:basedOn w:val="1"/>
    <w:qFormat/>
    <w:uiPriority w:val="0"/>
    <w:pPr>
      <w:ind w:firstLine="420" w:firstLineChars="200"/>
    </w:pPr>
    <w:rPr>
      <w:rFonts w:ascii="Times New Roman" w:hAnsi="Times New Roman" w:eastAsia="华文仿宋"/>
      <w:sz w:val="24"/>
      <w:szCs w:val="24"/>
    </w:rPr>
  </w:style>
  <w:style w:type="paragraph" w:customStyle="1" w:styleId="29">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4442</Words>
  <Characters>4751</Characters>
  <Lines>56</Lines>
  <Paragraphs>15</Paragraphs>
  <TotalTime>17</TotalTime>
  <ScaleCrop>false</ScaleCrop>
  <LinksUpToDate>false</LinksUpToDate>
  <CharactersWithSpaces>4795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2022-07-03T08:03:00Z</dcterms:created>
  <dc:creator>王杰</dc:creator>
  <cp:lastModifiedBy>不安</cp:lastModifiedBy>
  <cp:lastPrinted>2022-07-13T01:59:00Z</cp:lastPrinted>
  <dcterms:modified xsi:type="dcterms:W3CDTF">2025-07-28T02:59:53Z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AF21922B4FA042658463EC35D2AD043C</vt:lpwstr>
  </property>
  <property fmtid="{D5CDD505-2E9C-101B-9397-08002B2CF9AE}" pid="4" name="KSOTemplateDocerSaveRecord">
    <vt:lpwstr>eyJoZGlkIjoiZWNlMGQ4M2UwODQ5ZTZhYjc0YjkwOGNjZTJhOTAwMWIiLCJ1c2VySWQiOiIzOTMwODkyNzMifQ==</vt:lpwstr>
  </property>
</Properties>
</file>