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462FA">
      <w:pPr>
        <w:pStyle w:val="2"/>
        <w:spacing w:line="600" w:lineRule="auto"/>
        <w:ind w:firstLine="0" w:firstLineChars="0"/>
        <w:jc w:val="center"/>
        <w:rPr>
          <w:rFonts w:ascii="Times New Roman" w:hAnsi="Times New Roman" w:cs="Times New Roman"/>
          <w:b/>
          <w:sz w:val="44"/>
          <w:szCs w:val="44"/>
          <w:lang w:val="en-US"/>
        </w:rPr>
      </w:pPr>
    </w:p>
    <w:p w14:paraId="0B45D17D">
      <w:pPr>
        <w:pStyle w:val="2"/>
        <w:spacing w:line="600" w:lineRule="auto"/>
        <w:ind w:firstLine="0" w:firstLineChars="0"/>
        <w:jc w:val="center"/>
        <w:rPr>
          <w:rFonts w:ascii="Times New Roman" w:hAnsi="Times New Roman" w:cs="Times New Roman"/>
          <w:b/>
          <w:sz w:val="44"/>
          <w:szCs w:val="44"/>
          <w:lang w:val="en-US"/>
        </w:rPr>
      </w:pPr>
      <w:r>
        <w:rPr>
          <w:rFonts w:ascii="Times New Roman" w:hAnsi="Times New Roman" w:cs="Times New Roman"/>
          <w:b/>
          <w:sz w:val="44"/>
          <w:szCs w:val="44"/>
          <w:lang w:val="en-US"/>
        </w:rPr>
        <w:t>南通轨道交通集团有限公司</w:t>
      </w:r>
    </w:p>
    <w:p w14:paraId="10825286">
      <w:pPr>
        <w:pStyle w:val="2"/>
        <w:spacing w:line="600" w:lineRule="auto"/>
        <w:ind w:firstLine="0" w:firstLineChars="0"/>
        <w:jc w:val="center"/>
        <w:rPr>
          <w:rFonts w:ascii="Times New Roman" w:hAnsi="Times New Roman" w:cs="Times New Roman"/>
          <w:b/>
          <w:sz w:val="44"/>
          <w:szCs w:val="44"/>
          <w:lang w:val="en-US"/>
        </w:rPr>
      </w:pPr>
      <w:r>
        <w:rPr>
          <w:rFonts w:ascii="Times New Roman" w:hAnsi="Times New Roman" w:cs="Times New Roman"/>
          <w:b/>
          <w:sz w:val="44"/>
          <w:szCs w:val="44"/>
          <w:lang w:val="en-US"/>
        </w:rPr>
        <w:t>2025-2026年度灵活资金存放银行合作项目</w:t>
      </w:r>
    </w:p>
    <w:p w14:paraId="72A4954D"/>
    <w:p w14:paraId="2F0094C6"/>
    <w:p w14:paraId="445835B0"/>
    <w:p w14:paraId="07107EE7"/>
    <w:p w14:paraId="1EE10EDB"/>
    <w:p w14:paraId="3B039E1B"/>
    <w:p w14:paraId="14D554A4">
      <w:pPr>
        <w:spacing w:line="360" w:lineRule="auto"/>
        <w:ind w:right="-101" w:rightChars="-48"/>
        <w:jc w:val="center"/>
        <w:rPr>
          <w:b/>
          <w:sz w:val="100"/>
          <w:szCs w:val="100"/>
        </w:rPr>
      </w:pPr>
      <w:r>
        <w:rPr>
          <w:b/>
          <w:sz w:val="100"/>
          <w:szCs w:val="100"/>
        </w:rPr>
        <w:t>比</w:t>
      </w:r>
      <w:r>
        <w:rPr>
          <w:rFonts w:hint="eastAsia"/>
          <w:b/>
          <w:sz w:val="100"/>
          <w:szCs w:val="100"/>
        </w:rPr>
        <w:t xml:space="preserve"> </w:t>
      </w:r>
      <w:r>
        <w:rPr>
          <w:b/>
          <w:sz w:val="100"/>
          <w:szCs w:val="100"/>
        </w:rPr>
        <w:t>选</w:t>
      </w:r>
      <w:r>
        <w:rPr>
          <w:rFonts w:hint="eastAsia"/>
          <w:b/>
          <w:sz w:val="100"/>
          <w:szCs w:val="100"/>
        </w:rPr>
        <w:t xml:space="preserve"> </w:t>
      </w:r>
      <w:r>
        <w:rPr>
          <w:b/>
          <w:sz w:val="100"/>
          <w:szCs w:val="100"/>
        </w:rPr>
        <w:t>文</w:t>
      </w:r>
      <w:r>
        <w:rPr>
          <w:rFonts w:hint="eastAsia"/>
          <w:b/>
          <w:sz w:val="100"/>
          <w:szCs w:val="100"/>
        </w:rPr>
        <w:t xml:space="preserve"> </w:t>
      </w:r>
      <w:r>
        <w:rPr>
          <w:b/>
          <w:sz w:val="100"/>
          <w:szCs w:val="100"/>
        </w:rPr>
        <w:t>件</w:t>
      </w:r>
    </w:p>
    <w:p w14:paraId="571CE175">
      <w:pPr>
        <w:spacing w:line="360" w:lineRule="auto"/>
        <w:ind w:right="-101" w:rightChars="-48"/>
        <w:jc w:val="center"/>
        <w:rPr>
          <w:bCs/>
          <w:sz w:val="28"/>
          <w:szCs w:val="28"/>
        </w:rPr>
      </w:pPr>
    </w:p>
    <w:p w14:paraId="0A022318">
      <w:pPr>
        <w:spacing w:line="360" w:lineRule="auto"/>
        <w:ind w:right="-101" w:rightChars="-48"/>
        <w:jc w:val="center"/>
        <w:rPr>
          <w:b/>
          <w:sz w:val="100"/>
          <w:szCs w:val="100"/>
        </w:rPr>
      </w:pPr>
      <w:r>
        <w:rPr>
          <w:rFonts w:hint="eastAsia"/>
          <w:bCs/>
          <w:sz w:val="28"/>
          <w:szCs w:val="28"/>
        </w:rPr>
        <w:t>项目编号：WLDL202509110</w:t>
      </w:r>
    </w:p>
    <w:p w14:paraId="0F08FE2D">
      <w:pPr>
        <w:spacing w:line="360" w:lineRule="auto"/>
        <w:ind w:right="-941" w:rightChars="-448"/>
      </w:pPr>
    </w:p>
    <w:p w14:paraId="670BCF80">
      <w:pPr>
        <w:keepNext/>
        <w:spacing w:line="360" w:lineRule="auto"/>
        <w:ind w:right="-941" w:rightChars="-448"/>
        <w:jc w:val="center"/>
        <w:rPr>
          <w:sz w:val="36"/>
          <w:szCs w:val="36"/>
        </w:rPr>
      </w:pPr>
    </w:p>
    <w:p w14:paraId="4B244275">
      <w:pPr>
        <w:spacing w:line="440" w:lineRule="exact"/>
        <w:ind w:right="-941" w:rightChars="-448"/>
        <w:jc w:val="center"/>
        <w:rPr>
          <w:b/>
          <w:sz w:val="36"/>
        </w:rPr>
      </w:pPr>
    </w:p>
    <w:p w14:paraId="49165DFE">
      <w:pPr>
        <w:spacing w:line="440" w:lineRule="exact"/>
        <w:ind w:right="-941" w:rightChars="-448"/>
        <w:jc w:val="center"/>
        <w:rPr>
          <w:b/>
          <w:sz w:val="36"/>
        </w:rPr>
      </w:pPr>
    </w:p>
    <w:p w14:paraId="7A20AACB">
      <w:pPr>
        <w:spacing w:line="440" w:lineRule="exact"/>
        <w:ind w:right="-941" w:rightChars="-448"/>
        <w:jc w:val="center"/>
        <w:rPr>
          <w:b/>
          <w:sz w:val="36"/>
        </w:rPr>
      </w:pPr>
    </w:p>
    <w:p w14:paraId="52451F90">
      <w:pPr>
        <w:keepNext/>
        <w:keepLines/>
        <w:rPr>
          <w:b/>
          <w:sz w:val="36"/>
        </w:rPr>
      </w:pPr>
    </w:p>
    <w:p w14:paraId="40D8ADDB">
      <w:pPr>
        <w:spacing w:line="440" w:lineRule="exact"/>
        <w:ind w:right="-941" w:rightChars="-448"/>
      </w:pPr>
    </w:p>
    <w:p w14:paraId="53927C87">
      <w:pPr>
        <w:snapToGrid w:val="0"/>
        <w:spacing w:line="440" w:lineRule="exact"/>
        <w:ind w:right="-941" w:rightChars="-448"/>
        <w:rPr>
          <w:b/>
          <w:sz w:val="36"/>
        </w:rPr>
      </w:pPr>
    </w:p>
    <w:p w14:paraId="35C03C4F">
      <w:pPr>
        <w:spacing w:line="360" w:lineRule="auto"/>
        <w:ind w:right="-101" w:rightChars="-48"/>
        <w:jc w:val="center"/>
        <w:rPr>
          <w:b/>
          <w:sz w:val="30"/>
          <w:szCs w:val="30"/>
        </w:rPr>
      </w:pPr>
      <w:r>
        <w:rPr>
          <w:b/>
          <w:sz w:val="30"/>
          <w:szCs w:val="30"/>
        </w:rPr>
        <w:t>比   选   人：南通轨道交通集团有限公司</w:t>
      </w:r>
    </w:p>
    <w:p w14:paraId="2AD66071">
      <w:pPr>
        <w:spacing w:line="360" w:lineRule="auto"/>
        <w:ind w:right="-101" w:rightChars="-48"/>
        <w:jc w:val="center"/>
        <w:rPr>
          <w:b/>
          <w:sz w:val="30"/>
          <w:szCs w:val="30"/>
        </w:rPr>
      </w:pPr>
      <w:r>
        <w:rPr>
          <w:b/>
          <w:sz w:val="30"/>
          <w:szCs w:val="30"/>
        </w:rPr>
        <w:t>招标代理机构：</w:t>
      </w:r>
      <w:r>
        <w:rPr>
          <w:rFonts w:hint="eastAsia"/>
          <w:b/>
          <w:sz w:val="30"/>
          <w:szCs w:val="30"/>
        </w:rPr>
        <w:t>南通万隆工程管理有限公司</w:t>
      </w:r>
    </w:p>
    <w:p w14:paraId="7D3E9C4C">
      <w:pPr>
        <w:spacing w:line="360" w:lineRule="auto"/>
        <w:ind w:right="-101" w:rightChars="-48"/>
        <w:jc w:val="center"/>
        <w:rPr>
          <w:b/>
          <w:sz w:val="30"/>
          <w:szCs w:val="30"/>
        </w:rPr>
      </w:pPr>
      <w:r>
        <w:rPr>
          <w:b/>
          <w:sz w:val="30"/>
          <w:szCs w:val="30"/>
        </w:rPr>
        <w:t>2025年</w:t>
      </w:r>
      <w:r>
        <w:rPr>
          <w:rFonts w:hint="eastAsia"/>
          <w:b/>
          <w:sz w:val="30"/>
          <w:szCs w:val="30"/>
        </w:rPr>
        <w:t>9</w:t>
      </w:r>
      <w:r>
        <w:rPr>
          <w:b/>
          <w:sz w:val="30"/>
          <w:szCs w:val="30"/>
        </w:rPr>
        <w:t>月</w:t>
      </w:r>
    </w:p>
    <w:p w14:paraId="65FF1A3A">
      <w:pPr>
        <w:spacing w:line="440" w:lineRule="exact"/>
        <w:ind w:right="-101" w:rightChars="-48"/>
        <w:jc w:val="center"/>
        <w:rPr>
          <w:b/>
          <w:bCs/>
          <w:sz w:val="44"/>
          <w:szCs w:val="44"/>
        </w:rPr>
        <w:sectPr>
          <w:pgSz w:w="11905" w:h="16838"/>
          <w:pgMar w:top="1440" w:right="1482" w:bottom="1440" w:left="1803" w:header="850" w:footer="992" w:gutter="0"/>
          <w:cols w:space="0" w:num="1"/>
          <w:docGrid w:type="lines" w:linePitch="325" w:charSpace="0"/>
        </w:sectPr>
      </w:pPr>
    </w:p>
    <w:p w14:paraId="069DFE69">
      <w:pPr>
        <w:spacing w:line="440" w:lineRule="exact"/>
        <w:ind w:right="-941" w:rightChars="-448"/>
        <w:jc w:val="center"/>
        <w:rPr>
          <w:b/>
          <w:bCs/>
          <w:sz w:val="44"/>
          <w:szCs w:val="44"/>
        </w:rPr>
      </w:pPr>
      <w:r>
        <w:rPr>
          <w:b/>
          <w:bCs/>
          <w:sz w:val="44"/>
          <w:szCs w:val="44"/>
        </w:rPr>
        <w:t>目</w:t>
      </w:r>
      <w:r>
        <w:rPr>
          <w:rFonts w:hint="eastAsia"/>
          <w:b/>
          <w:bCs/>
          <w:sz w:val="44"/>
          <w:szCs w:val="44"/>
        </w:rPr>
        <w:t xml:space="preserve">   </w:t>
      </w:r>
      <w:r>
        <w:rPr>
          <w:b/>
          <w:bCs/>
          <w:sz w:val="44"/>
          <w:szCs w:val="44"/>
        </w:rPr>
        <w:t>录</w:t>
      </w:r>
    </w:p>
    <w:p w14:paraId="7635C5BA">
      <w:pPr>
        <w:spacing w:line="440" w:lineRule="exact"/>
        <w:ind w:right="-941" w:rightChars="-448"/>
        <w:jc w:val="center"/>
        <w:rPr>
          <w:b/>
          <w:bCs/>
          <w:sz w:val="44"/>
          <w:szCs w:val="44"/>
        </w:rPr>
      </w:pPr>
    </w:p>
    <w:p w14:paraId="07EF6AA2">
      <w:pPr>
        <w:pStyle w:val="11"/>
        <w:tabs>
          <w:tab w:val="right" w:leader="dot" w:pos="8299"/>
        </w:tabs>
        <w:spacing w:line="440" w:lineRule="exact"/>
      </w:pPr>
      <w:r>
        <w:rPr>
          <w:b/>
        </w:rPr>
        <w:fldChar w:fldCharType="begin"/>
      </w:r>
      <w:r>
        <w:rPr>
          <w:b/>
        </w:rPr>
        <w:instrText xml:space="preserve">TOC \o "1-3" \h \u </w:instrText>
      </w:r>
      <w:r>
        <w:rPr>
          <w:b/>
        </w:rPr>
        <w:fldChar w:fldCharType="separate"/>
      </w:r>
      <w:r>
        <w:fldChar w:fldCharType="begin"/>
      </w:r>
      <w:r>
        <w:instrText xml:space="preserve"> HYPERLINK \l "_Toc15149" </w:instrText>
      </w:r>
      <w:r>
        <w:fldChar w:fldCharType="separate"/>
      </w:r>
      <w:r>
        <w:rPr>
          <w:bCs/>
        </w:rPr>
        <w:t>第一章  比选公告</w:t>
      </w:r>
      <w:r>
        <w:tab/>
      </w:r>
      <w:r>
        <w:fldChar w:fldCharType="begin"/>
      </w:r>
      <w:r>
        <w:instrText xml:space="preserve"> PAGEREF _Toc15149 \h </w:instrText>
      </w:r>
      <w:r>
        <w:fldChar w:fldCharType="separate"/>
      </w:r>
      <w:r>
        <w:t>1</w:t>
      </w:r>
      <w:r>
        <w:fldChar w:fldCharType="end"/>
      </w:r>
      <w:r>
        <w:fldChar w:fldCharType="end"/>
      </w:r>
    </w:p>
    <w:p w14:paraId="06DA7849">
      <w:pPr>
        <w:pStyle w:val="12"/>
        <w:tabs>
          <w:tab w:val="right" w:leader="dot" w:pos="8299"/>
        </w:tabs>
        <w:spacing w:line="440" w:lineRule="exact"/>
        <w:rPr>
          <w:sz w:val="24"/>
        </w:rPr>
      </w:pPr>
      <w:r>
        <w:fldChar w:fldCharType="begin"/>
      </w:r>
      <w:r>
        <w:instrText xml:space="preserve"> HYPERLINK \l "_Toc893" </w:instrText>
      </w:r>
      <w:r>
        <w:fldChar w:fldCharType="separate"/>
      </w:r>
      <w:r>
        <w:rPr>
          <w:sz w:val="24"/>
        </w:rPr>
        <w:t>一、项目基本情况</w:t>
      </w:r>
      <w:r>
        <w:rPr>
          <w:sz w:val="24"/>
        </w:rPr>
        <w:tab/>
      </w:r>
      <w:r>
        <w:rPr>
          <w:sz w:val="24"/>
        </w:rPr>
        <w:fldChar w:fldCharType="begin"/>
      </w:r>
      <w:r>
        <w:rPr>
          <w:sz w:val="24"/>
        </w:rPr>
        <w:instrText xml:space="preserve"> PAGEREF _Toc893 \h </w:instrText>
      </w:r>
      <w:r>
        <w:rPr>
          <w:sz w:val="24"/>
        </w:rPr>
        <w:fldChar w:fldCharType="separate"/>
      </w:r>
      <w:r>
        <w:rPr>
          <w:sz w:val="24"/>
        </w:rPr>
        <w:t>1</w:t>
      </w:r>
      <w:r>
        <w:rPr>
          <w:sz w:val="24"/>
        </w:rPr>
        <w:fldChar w:fldCharType="end"/>
      </w:r>
      <w:r>
        <w:rPr>
          <w:sz w:val="24"/>
        </w:rPr>
        <w:fldChar w:fldCharType="end"/>
      </w:r>
    </w:p>
    <w:p w14:paraId="06453B2D">
      <w:pPr>
        <w:pStyle w:val="12"/>
        <w:tabs>
          <w:tab w:val="right" w:leader="dot" w:pos="8299"/>
        </w:tabs>
        <w:spacing w:line="440" w:lineRule="exact"/>
        <w:rPr>
          <w:sz w:val="24"/>
        </w:rPr>
      </w:pPr>
      <w:r>
        <w:fldChar w:fldCharType="begin"/>
      </w:r>
      <w:r>
        <w:instrText xml:space="preserve"> HYPERLINK \l "_Toc3344" </w:instrText>
      </w:r>
      <w:r>
        <w:fldChar w:fldCharType="separate"/>
      </w:r>
      <w:r>
        <w:rPr>
          <w:sz w:val="24"/>
        </w:rPr>
        <w:t>二、参选人的资格要求</w:t>
      </w:r>
      <w:r>
        <w:rPr>
          <w:sz w:val="24"/>
        </w:rPr>
        <w:tab/>
      </w:r>
      <w:r>
        <w:rPr>
          <w:sz w:val="24"/>
        </w:rPr>
        <w:fldChar w:fldCharType="begin"/>
      </w:r>
      <w:r>
        <w:rPr>
          <w:sz w:val="24"/>
        </w:rPr>
        <w:instrText xml:space="preserve"> PAGEREF _Toc3344 \h </w:instrText>
      </w:r>
      <w:r>
        <w:rPr>
          <w:sz w:val="24"/>
        </w:rPr>
        <w:fldChar w:fldCharType="separate"/>
      </w:r>
      <w:r>
        <w:rPr>
          <w:sz w:val="24"/>
        </w:rPr>
        <w:t>1</w:t>
      </w:r>
      <w:r>
        <w:rPr>
          <w:sz w:val="24"/>
        </w:rPr>
        <w:fldChar w:fldCharType="end"/>
      </w:r>
      <w:r>
        <w:rPr>
          <w:sz w:val="24"/>
        </w:rPr>
        <w:fldChar w:fldCharType="end"/>
      </w:r>
    </w:p>
    <w:p w14:paraId="28FBD8BC">
      <w:pPr>
        <w:pStyle w:val="12"/>
        <w:tabs>
          <w:tab w:val="right" w:leader="dot" w:pos="8299"/>
        </w:tabs>
        <w:spacing w:line="440" w:lineRule="exact"/>
        <w:rPr>
          <w:sz w:val="24"/>
        </w:rPr>
      </w:pPr>
      <w:r>
        <w:fldChar w:fldCharType="begin"/>
      </w:r>
      <w:r>
        <w:instrText xml:space="preserve"> HYPERLINK \l "_Toc5313" </w:instrText>
      </w:r>
      <w:r>
        <w:fldChar w:fldCharType="separate"/>
      </w:r>
      <w:r>
        <w:rPr>
          <w:sz w:val="24"/>
        </w:rPr>
        <w:t>三、比选文件的获取</w:t>
      </w:r>
      <w:r>
        <w:rPr>
          <w:sz w:val="24"/>
        </w:rPr>
        <w:tab/>
      </w:r>
      <w:r>
        <w:rPr>
          <w:sz w:val="24"/>
        </w:rPr>
        <w:fldChar w:fldCharType="begin"/>
      </w:r>
      <w:r>
        <w:rPr>
          <w:sz w:val="24"/>
        </w:rPr>
        <w:instrText xml:space="preserve"> PAGEREF _Toc5313 \h </w:instrText>
      </w:r>
      <w:r>
        <w:rPr>
          <w:sz w:val="24"/>
        </w:rPr>
        <w:fldChar w:fldCharType="separate"/>
      </w:r>
      <w:r>
        <w:rPr>
          <w:sz w:val="24"/>
        </w:rPr>
        <w:t>1</w:t>
      </w:r>
      <w:r>
        <w:rPr>
          <w:sz w:val="24"/>
        </w:rPr>
        <w:fldChar w:fldCharType="end"/>
      </w:r>
      <w:r>
        <w:rPr>
          <w:sz w:val="24"/>
        </w:rPr>
        <w:fldChar w:fldCharType="end"/>
      </w:r>
    </w:p>
    <w:p w14:paraId="60B65E4A">
      <w:pPr>
        <w:pStyle w:val="12"/>
        <w:tabs>
          <w:tab w:val="right" w:leader="dot" w:pos="8299"/>
        </w:tabs>
        <w:spacing w:line="440" w:lineRule="exact"/>
        <w:rPr>
          <w:sz w:val="24"/>
        </w:rPr>
      </w:pPr>
      <w:r>
        <w:fldChar w:fldCharType="begin"/>
      </w:r>
      <w:r>
        <w:instrText xml:space="preserve"> HYPERLINK \l "_Toc27809" </w:instrText>
      </w:r>
      <w:r>
        <w:fldChar w:fldCharType="separate"/>
      </w:r>
      <w:r>
        <w:rPr>
          <w:sz w:val="24"/>
        </w:rPr>
        <w:t>四、提交参选文件截止时间、比选时间和地点</w:t>
      </w:r>
      <w:r>
        <w:rPr>
          <w:sz w:val="24"/>
        </w:rPr>
        <w:tab/>
      </w:r>
      <w:r>
        <w:rPr>
          <w:sz w:val="24"/>
        </w:rPr>
        <w:fldChar w:fldCharType="begin"/>
      </w:r>
      <w:r>
        <w:rPr>
          <w:sz w:val="24"/>
        </w:rPr>
        <w:instrText xml:space="preserve"> PAGEREF _Toc27809 \h </w:instrText>
      </w:r>
      <w:r>
        <w:rPr>
          <w:sz w:val="24"/>
        </w:rPr>
        <w:fldChar w:fldCharType="separate"/>
      </w:r>
      <w:r>
        <w:rPr>
          <w:sz w:val="24"/>
        </w:rPr>
        <w:t>1</w:t>
      </w:r>
      <w:r>
        <w:rPr>
          <w:sz w:val="24"/>
        </w:rPr>
        <w:fldChar w:fldCharType="end"/>
      </w:r>
      <w:r>
        <w:rPr>
          <w:sz w:val="24"/>
        </w:rPr>
        <w:fldChar w:fldCharType="end"/>
      </w:r>
    </w:p>
    <w:p w14:paraId="4F4C2D59">
      <w:pPr>
        <w:pStyle w:val="12"/>
        <w:tabs>
          <w:tab w:val="right" w:leader="dot" w:pos="8299"/>
        </w:tabs>
        <w:spacing w:line="440" w:lineRule="exact"/>
        <w:rPr>
          <w:sz w:val="24"/>
        </w:rPr>
      </w:pPr>
      <w:r>
        <w:fldChar w:fldCharType="begin"/>
      </w:r>
      <w:r>
        <w:instrText xml:space="preserve"> HYPERLINK \l "_Toc17302" </w:instrText>
      </w:r>
      <w:r>
        <w:fldChar w:fldCharType="separate"/>
      </w:r>
      <w:r>
        <w:rPr>
          <w:sz w:val="24"/>
        </w:rPr>
        <w:t xml:space="preserve">五、联系方式 </w:t>
      </w:r>
      <w:r>
        <w:rPr>
          <w:sz w:val="24"/>
        </w:rPr>
        <w:tab/>
      </w:r>
      <w:r>
        <w:rPr>
          <w:sz w:val="24"/>
        </w:rPr>
        <w:fldChar w:fldCharType="begin"/>
      </w:r>
      <w:r>
        <w:rPr>
          <w:sz w:val="24"/>
        </w:rPr>
        <w:instrText xml:space="preserve"> PAGEREF _Toc17302 \h </w:instrText>
      </w:r>
      <w:r>
        <w:rPr>
          <w:sz w:val="24"/>
        </w:rPr>
        <w:fldChar w:fldCharType="separate"/>
      </w:r>
      <w:r>
        <w:rPr>
          <w:sz w:val="24"/>
        </w:rPr>
        <w:t>2</w:t>
      </w:r>
      <w:r>
        <w:rPr>
          <w:sz w:val="24"/>
        </w:rPr>
        <w:fldChar w:fldCharType="end"/>
      </w:r>
      <w:r>
        <w:rPr>
          <w:sz w:val="24"/>
        </w:rPr>
        <w:fldChar w:fldCharType="end"/>
      </w:r>
    </w:p>
    <w:p w14:paraId="3874A1D3">
      <w:pPr>
        <w:pStyle w:val="11"/>
        <w:tabs>
          <w:tab w:val="right" w:leader="dot" w:pos="8299"/>
        </w:tabs>
        <w:spacing w:line="440" w:lineRule="exact"/>
      </w:pPr>
      <w:r>
        <w:fldChar w:fldCharType="begin"/>
      </w:r>
      <w:r>
        <w:instrText xml:space="preserve"> HYPERLINK \l "_Toc24746" </w:instrText>
      </w:r>
      <w:r>
        <w:fldChar w:fldCharType="separate"/>
      </w:r>
      <w:r>
        <w:rPr>
          <w:bCs/>
        </w:rPr>
        <w:t>第二章  参选须知</w:t>
      </w:r>
      <w:r>
        <w:tab/>
      </w:r>
      <w:r>
        <w:fldChar w:fldCharType="begin"/>
      </w:r>
      <w:r>
        <w:instrText xml:space="preserve"> PAGEREF _Toc24746 \h </w:instrText>
      </w:r>
      <w:r>
        <w:fldChar w:fldCharType="separate"/>
      </w:r>
      <w:r>
        <w:t>3</w:t>
      </w:r>
      <w:r>
        <w:fldChar w:fldCharType="end"/>
      </w:r>
      <w:r>
        <w:fldChar w:fldCharType="end"/>
      </w:r>
    </w:p>
    <w:p w14:paraId="6D70E41B">
      <w:pPr>
        <w:pStyle w:val="12"/>
        <w:tabs>
          <w:tab w:val="right" w:leader="dot" w:pos="8299"/>
        </w:tabs>
        <w:spacing w:line="440" w:lineRule="exact"/>
        <w:rPr>
          <w:sz w:val="24"/>
        </w:rPr>
      </w:pPr>
      <w:r>
        <w:fldChar w:fldCharType="begin"/>
      </w:r>
      <w:r>
        <w:instrText xml:space="preserve"> HYPERLINK \l "_Toc10879" </w:instrText>
      </w:r>
      <w:r>
        <w:fldChar w:fldCharType="separate"/>
      </w:r>
      <w:r>
        <w:rPr>
          <w:sz w:val="24"/>
        </w:rPr>
        <w:t>一、总则</w:t>
      </w:r>
      <w:r>
        <w:rPr>
          <w:sz w:val="24"/>
        </w:rPr>
        <w:tab/>
      </w:r>
      <w:r>
        <w:rPr>
          <w:sz w:val="24"/>
        </w:rPr>
        <w:fldChar w:fldCharType="begin"/>
      </w:r>
      <w:r>
        <w:rPr>
          <w:sz w:val="24"/>
        </w:rPr>
        <w:instrText xml:space="preserve"> PAGEREF _Toc10879 \h </w:instrText>
      </w:r>
      <w:r>
        <w:rPr>
          <w:sz w:val="24"/>
        </w:rPr>
        <w:fldChar w:fldCharType="separate"/>
      </w:r>
      <w:r>
        <w:rPr>
          <w:sz w:val="24"/>
        </w:rPr>
        <w:t>3</w:t>
      </w:r>
      <w:r>
        <w:rPr>
          <w:sz w:val="24"/>
        </w:rPr>
        <w:fldChar w:fldCharType="end"/>
      </w:r>
      <w:r>
        <w:rPr>
          <w:sz w:val="24"/>
        </w:rPr>
        <w:fldChar w:fldCharType="end"/>
      </w:r>
    </w:p>
    <w:p w14:paraId="1EEBD274">
      <w:pPr>
        <w:pStyle w:val="12"/>
        <w:tabs>
          <w:tab w:val="right" w:leader="dot" w:pos="8299"/>
        </w:tabs>
        <w:spacing w:line="440" w:lineRule="exact"/>
        <w:rPr>
          <w:sz w:val="24"/>
        </w:rPr>
      </w:pPr>
      <w:r>
        <w:fldChar w:fldCharType="begin"/>
      </w:r>
      <w:r>
        <w:instrText xml:space="preserve"> HYPERLINK \l "_Toc5374" </w:instrText>
      </w:r>
      <w:r>
        <w:fldChar w:fldCharType="separate"/>
      </w:r>
      <w:r>
        <w:rPr>
          <w:sz w:val="24"/>
        </w:rPr>
        <w:t>二、比选文件构成</w:t>
      </w:r>
      <w:r>
        <w:rPr>
          <w:sz w:val="24"/>
        </w:rPr>
        <w:tab/>
      </w:r>
      <w:r>
        <w:rPr>
          <w:sz w:val="24"/>
        </w:rPr>
        <w:fldChar w:fldCharType="begin"/>
      </w:r>
      <w:r>
        <w:rPr>
          <w:sz w:val="24"/>
        </w:rPr>
        <w:instrText xml:space="preserve"> PAGEREF _Toc5374 \h </w:instrText>
      </w:r>
      <w:r>
        <w:rPr>
          <w:sz w:val="24"/>
        </w:rPr>
        <w:fldChar w:fldCharType="separate"/>
      </w:r>
      <w:r>
        <w:rPr>
          <w:sz w:val="24"/>
        </w:rPr>
        <w:t>3</w:t>
      </w:r>
      <w:r>
        <w:rPr>
          <w:sz w:val="24"/>
        </w:rPr>
        <w:fldChar w:fldCharType="end"/>
      </w:r>
      <w:r>
        <w:rPr>
          <w:sz w:val="24"/>
        </w:rPr>
        <w:fldChar w:fldCharType="end"/>
      </w:r>
    </w:p>
    <w:p w14:paraId="57F55C52">
      <w:pPr>
        <w:pStyle w:val="12"/>
        <w:tabs>
          <w:tab w:val="right" w:leader="dot" w:pos="8299"/>
        </w:tabs>
        <w:spacing w:line="440" w:lineRule="exact"/>
        <w:rPr>
          <w:sz w:val="24"/>
        </w:rPr>
      </w:pPr>
      <w:r>
        <w:fldChar w:fldCharType="begin"/>
      </w:r>
      <w:r>
        <w:instrText xml:space="preserve"> HYPERLINK \l "_Toc16779" </w:instrText>
      </w:r>
      <w:r>
        <w:fldChar w:fldCharType="separate"/>
      </w:r>
      <w:r>
        <w:rPr>
          <w:sz w:val="24"/>
        </w:rPr>
        <w:t>三、参选文件的组成、编制、密封</w:t>
      </w:r>
      <w:r>
        <w:rPr>
          <w:sz w:val="24"/>
        </w:rPr>
        <w:tab/>
      </w:r>
      <w:r>
        <w:rPr>
          <w:sz w:val="24"/>
        </w:rPr>
        <w:fldChar w:fldCharType="begin"/>
      </w:r>
      <w:r>
        <w:rPr>
          <w:sz w:val="24"/>
        </w:rPr>
        <w:instrText xml:space="preserve"> PAGEREF _Toc16779 \h </w:instrText>
      </w:r>
      <w:r>
        <w:rPr>
          <w:sz w:val="24"/>
        </w:rPr>
        <w:fldChar w:fldCharType="separate"/>
      </w:r>
      <w:r>
        <w:rPr>
          <w:sz w:val="24"/>
        </w:rPr>
        <w:t>3</w:t>
      </w:r>
      <w:r>
        <w:rPr>
          <w:sz w:val="24"/>
        </w:rPr>
        <w:fldChar w:fldCharType="end"/>
      </w:r>
      <w:r>
        <w:rPr>
          <w:sz w:val="24"/>
        </w:rPr>
        <w:fldChar w:fldCharType="end"/>
      </w:r>
    </w:p>
    <w:p w14:paraId="7AE387C2">
      <w:pPr>
        <w:pStyle w:val="12"/>
        <w:tabs>
          <w:tab w:val="right" w:leader="dot" w:pos="8299"/>
        </w:tabs>
        <w:spacing w:line="440" w:lineRule="exact"/>
        <w:rPr>
          <w:sz w:val="24"/>
        </w:rPr>
      </w:pPr>
      <w:r>
        <w:fldChar w:fldCharType="begin"/>
      </w:r>
      <w:r>
        <w:instrText xml:space="preserve"> HYPERLINK \l "_Toc13695" </w:instrText>
      </w:r>
      <w:r>
        <w:fldChar w:fldCharType="separate"/>
      </w:r>
      <w:r>
        <w:rPr>
          <w:sz w:val="24"/>
        </w:rPr>
        <w:t>四、参选报价</w:t>
      </w:r>
      <w:r>
        <w:rPr>
          <w:sz w:val="24"/>
        </w:rPr>
        <w:tab/>
      </w:r>
      <w:r>
        <w:rPr>
          <w:sz w:val="24"/>
        </w:rPr>
        <w:fldChar w:fldCharType="begin"/>
      </w:r>
      <w:r>
        <w:rPr>
          <w:sz w:val="24"/>
        </w:rPr>
        <w:instrText xml:space="preserve"> PAGEREF _Toc13695 \h </w:instrText>
      </w:r>
      <w:r>
        <w:rPr>
          <w:sz w:val="24"/>
        </w:rPr>
        <w:fldChar w:fldCharType="separate"/>
      </w:r>
      <w:r>
        <w:rPr>
          <w:sz w:val="24"/>
        </w:rPr>
        <w:t>4</w:t>
      </w:r>
      <w:r>
        <w:rPr>
          <w:sz w:val="24"/>
        </w:rPr>
        <w:fldChar w:fldCharType="end"/>
      </w:r>
      <w:r>
        <w:rPr>
          <w:sz w:val="24"/>
        </w:rPr>
        <w:fldChar w:fldCharType="end"/>
      </w:r>
    </w:p>
    <w:p w14:paraId="05DC12BE">
      <w:pPr>
        <w:pStyle w:val="12"/>
        <w:tabs>
          <w:tab w:val="right" w:leader="dot" w:pos="8299"/>
        </w:tabs>
        <w:spacing w:line="440" w:lineRule="exact"/>
        <w:rPr>
          <w:sz w:val="24"/>
        </w:rPr>
      </w:pPr>
      <w:r>
        <w:fldChar w:fldCharType="begin"/>
      </w:r>
      <w:r>
        <w:instrText xml:space="preserve"> HYPERLINK \l "_Toc19405" </w:instrText>
      </w:r>
      <w:r>
        <w:fldChar w:fldCharType="separate"/>
      </w:r>
      <w:r>
        <w:rPr>
          <w:sz w:val="24"/>
        </w:rPr>
        <w:t>五、参选有效期和参选保证金</w:t>
      </w:r>
      <w:r>
        <w:rPr>
          <w:sz w:val="24"/>
        </w:rPr>
        <w:tab/>
      </w:r>
      <w:r>
        <w:rPr>
          <w:sz w:val="24"/>
        </w:rPr>
        <w:fldChar w:fldCharType="begin"/>
      </w:r>
      <w:r>
        <w:rPr>
          <w:sz w:val="24"/>
        </w:rPr>
        <w:instrText xml:space="preserve"> PAGEREF _Toc19405 \h </w:instrText>
      </w:r>
      <w:r>
        <w:rPr>
          <w:sz w:val="24"/>
        </w:rPr>
        <w:fldChar w:fldCharType="separate"/>
      </w:r>
      <w:r>
        <w:rPr>
          <w:sz w:val="24"/>
        </w:rPr>
        <w:t>4</w:t>
      </w:r>
      <w:r>
        <w:rPr>
          <w:sz w:val="24"/>
        </w:rPr>
        <w:fldChar w:fldCharType="end"/>
      </w:r>
      <w:r>
        <w:rPr>
          <w:sz w:val="24"/>
        </w:rPr>
        <w:fldChar w:fldCharType="end"/>
      </w:r>
    </w:p>
    <w:p w14:paraId="66C7C0D6">
      <w:pPr>
        <w:pStyle w:val="12"/>
        <w:tabs>
          <w:tab w:val="right" w:leader="dot" w:pos="8299"/>
        </w:tabs>
        <w:spacing w:line="440" w:lineRule="exact"/>
        <w:rPr>
          <w:sz w:val="24"/>
        </w:rPr>
      </w:pPr>
      <w:r>
        <w:fldChar w:fldCharType="begin"/>
      </w:r>
      <w:r>
        <w:instrText xml:space="preserve"> HYPERLINK \l "_Toc25770" </w:instrText>
      </w:r>
      <w:r>
        <w:fldChar w:fldCharType="separate"/>
      </w:r>
      <w:r>
        <w:rPr>
          <w:sz w:val="24"/>
        </w:rPr>
        <w:t>六、开标与评标流程</w:t>
      </w:r>
      <w:r>
        <w:rPr>
          <w:sz w:val="24"/>
        </w:rPr>
        <w:tab/>
      </w:r>
      <w:r>
        <w:rPr>
          <w:sz w:val="24"/>
        </w:rPr>
        <w:fldChar w:fldCharType="begin"/>
      </w:r>
      <w:r>
        <w:rPr>
          <w:sz w:val="24"/>
        </w:rPr>
        <w:instrText xml:space="preserve"> PAGEREF _Toc25770 \h </w:instrText>
      </w:r>
      <w:r>
        <w:rPr>
          <w:sz w:val="24"/>
        </w:rPr>
        <w:fldChar w:fldCharType="separate"/>
      </w:r>
      <w:r>
        <w:rPr>
          <w:sz w:val="24"/>
        </w:rPr>
        <w:t>4</w:t>
      </w:r>
      <w:r>
        <w:rPr>
          <w:sz w:val="24"/>
        </w:rPr>
        <w:fldChar w:fldCharType="end"/>
      </w:r>
      <w:r>
        <w:rPr>
          <w:sz w:val="24"/>
        </w:rPr>
        <w:fldChar w:fldCharType="end"/>
      </w:r>
    </w:p>
    <w:p w14:paraId="183DCC54">
      <w:pPr>
        <w:pStyle w:val="11"/>
        <w:tabs>
          <w:tab w:val="right" w:leader="dot" w:pos="8299"/>
        </w:tabs>
        <w:spacing w:line="440" w:lineRule="exact"/>
      </w:pPr>
      <w:r>
        <w:fldChar w:fldCharType="begin"/>
      </w:r>
      <w:r>
        <w:instrText xml:space="preserve"> HYPERLINK \l "_Toc483" </w:instrText>
      </w:r>
      <w:r>
        <w:fldChar w:fldCharType="separate"/>
      </w:r>
      <w:r>
        <w:t>第三章  用户需求书</w:t>
      </w:r>
      <w:r>
        <w:tab/>
      </w:r>
      <w:r>
        <w:fldChar w:fldCharType="begin"/>
      </w:r>
      <w:r>
        <w:instrText xml:space="preserve"> PAGEREF _Toc483 \h </w:instrText>
      </w:r>
      <w:r>
        <w:fldChar w:fldCharType="separate"/>
      </w:r>
      <w:r>
        <w:t>6</w:t>
      </w:r>
      <w:r>
        <w:fldChar w:fldCharType="end"/>
      </w:r>
      <w:r>
        <w:fldChar w:fldCharType="end"/>
      </w:r>
    </w:p>
    <w:p w14:paraId="15D46C4A">
      <w:pPr>
        <w:pStyle w:val="11"/>
        <w:tabs>
          <w:tab w:val="right" w:leader="dot" w:pos="8299"/>
        </w:tabs>
        <w:spacing w:line="440" w:lineRule="exact"/>
      </w:pPr>
      <w:r>
        <w:fldChar w:fldCharType="begin"/>
      </w:r>
      <w:r>
        <w:instrText xml:space="preserve"> HYPERLINK \l "_Toc5535" </w:instrText>
      </w:r>
      <w:r>
        <w:fldChar w:fldCharType="separate"/>
      </w:r>
      <w:r>
        <w:t>第四章  评标办法与评标标准</w:t>
      </w:r>
      <w:r>
        <w:tab/>
      </w:r>
      <w:r>
        <w:fldChar w:fldCharType="begin"/>
      </w:r>
      <w:r>
        <w:instrText xml:space="preserve"> PAGEREF _Toc5535 \h </w:instrText>
      </w:r>
      <w:r>
        <w:fldChar w:fldCharType="separate"/>
      </w:r>
      <w:r>
        <w:t>7</w:t>
      </w:r>
      <w:r>
        <w:fldChar w:fldCharType="end"/>
      </w:r>
      <w:r>
        <w:fldChar w:fldCharType="end"/>
      </w:r>
    </w:p>
    <w:p w14:paraId="114B0816">
      <w:pPr>
        <w:pStyle w:val="11"/>
        <w:tabs>
          <w:tab w:val="right" w:leader="dot" w:pos="8299"/>
        </w:tabs>
        <w:spacing w:line="440" w:lineRule="exact"/>
      </w:pPr>
      <w:r>
        <w:fldChar w:fldCharType="begin"/>
      </w:r>
      <w:r>
        <w:instrText xml:space="preserve"> HYPERLINK \l "_Toc17814" </w:instrText>
      </w:r>
      <w:r>
        <w:fldChar w:fldCharType="separate"/>
      </w:r>
      <w:r>
        <w:rPr>
          <w:lang w:val="zh-CN"/>
        </w:rPr>
        <w:t>第</w:t>
      </w:r>
      <w:r>
        <w:t>五章</w:t>
      </w:r>
      <w:r>
        <w:rPr>
          <w:lang w:val="zh-CN"/>
        </w:rPr>
        <w:t xml:space="preserve">  参选文件组成</w:t>
      </w:r>
      <w:r>
        <w:tab/>
      </w:r>
      <w:r>
        <w:fldChar w:fldCharType="begin"/>
      </w:r>
      <w:r>
        <w:instrText xml:space="preserve"> PAGEREF _Toc17814 \h </w:instrText>
      </w:r>
      <w:r>
        <w:fldChar w:fldCharType="separate"/>
      </w:r>
      <w:r>
        <w:t>14</w:t>
      </w:r>
      <w:r>
        <w:fldChar w:fldCharType="end"/>
      </w:r>
      <w:r>
        <w:fldChar w:fldCharType="end"/>
      </w:r>
    </w:p>
    <w:p w14:paraId="0681E620">
      <w:pPr>
        <w:spacing w:line="440" w:lineRule="exact"/>
        <w:ind w:right="-941" w:rightChars="-448"/>
        <w:rPr>
          <w:sz w:val="24"/>
        </w:rPr>
        <w:sectPr>
          <w:footerReference r:id="rId3" w:type="default"/>
          <w:pgSz w:w="11905" w:h="16838"/>
          <w:pgMar w:top="1440" w:right="1803" w:bottom="1440" w:left="1803" w:header="850" w:footer="992" w:gutter="0"/>
          <w:pgNumType w:start="1"/>
          <w:cols w:space="0" w:num="1"/>
          <w:docGrid w:type="lines" w:linePitch="325" w:charSpace="0"/>
        </w:sectPr>
      </w:pPr>
      <w:r>
        <w:rPr>
          <w:sz w:val="24"/>
        </w:rPr>
        <w:fldChar w:fldCharType="end"/>
      </w:r>
    </w:p>
    <w:p w14:paraId="4065FA98">
      <w:pPr>
        <w:spacing w:line="360" w:lineRule="auto"/>
        <w:ind w:right="-260" w:rightChars="-124"/>
        <w:jc w:val="center"/>
        <w:outlineLvl w:val="0"/>
        <w:rPr>
          <w:b/>
          <w:bCs/>
          <w:sz w:val="32"/>
          <w:szCs w:val="32"/>
        </w:rPr>
      </w:pPr>
      <w:bookmarkStart w:id="0" w:name="_Toc8150"/>
      <w:bookmarkStart w:id="1" w:name="_Toc6432"/>
      <w:bookmarkStart w:id="2" w:name="_Toc25670"/>
      <w:bookmarkStart w:id="3" w:name="_Toc16151"/>
      <w:bookmarkStart w:id="4" w:name="_Toc15149"/>
      <w:r>
        <w:rPr>
          <w:b/>
          <w:bCs/>
          <w:sz w:val="32"/>
          <w:szCs w:val="32"/>
        </w:rPr>
        <w:t xml:space="preserve">第一章 </w:t>
      </w:r>
      <w:bookmarkStart w:id="5" w:name="OLE_LINK5"/>
      <w:bookmarkStart w:id="6" w:name="OLE_LINK7"/>
      <w:r>
        <w:rPr>
          <w:b/>
          <w:bCs/>
          <w:sz w:val="32"/>
          <w:szCs w:val="32"/>
        </w:rPr>
        <w:t xml:space="preserve"> </w:t>
      </w:r>
      <w:bookmarkEnd w:id="0"/>
      <w:bookmarkEnd w:id="1"/>
      <w:bookmarkEnd w:id="2"/>
      <w:bookmarkEnd w:id="3"/>
      <w:bookmarkEnd w:id="4"/>
      <w:r>
        <w:rPr>
          <w:b/>
          <w:bCs/>
          <w:sz w:val="32"/>
          <w:szCs w:val="32"/>
        </w:rPr>
        <w:t>比选公告</w:t>
      </w:r>
    </w:p>
    <w:p w14:paraId="234B7010">
      <w:pPr>
        <w:spacing w:line="360" w:lineRule="auto"/>
        <w:ind w:right="-260" w:rightChars="-124" w:firstLine="480" w:firstLineChars="200"/>
        <w:rPr>
          <w:kern w:val="58"/>
          <w:sz w:val="24"/>
          <w:u w:val="single"/>
        </w:rPr>
      </w:pPr>
      <w:bookmarkStart w:id="7" w:name="OLE_LINK6"/>
    </w:p>
    <w:p w14:paraId="2016DD4C">
      <w:pPr>
        <w:spacing w:line="360" w:lineRule="auto"/>
        <w:ind w:firstLine="480" w:firstLineChars="200"/>
        <w:rPr>
          <w:sz w:val="24"/>
        </w:rPr>
      </w:pPr>
      <w:bookmarkStart w:id="8" w:name="_Toc893"/>
      <w:bookmarkStart w:id="9" w:name="_Toc17556"/>
      <w:r>
        <w:rPr>
          <w:kern w:val="58"/>
          <w:sz w:val="24"/>
        </w:rPr>
        <w:t>依据相关规定，现对</w:t>
      </w:r>
      <w:r>
        <w:rPr>
          <w:kern w:val="58"/>
          <w:sz w:val="24"/>
          <w:u w:val="single"/>
        </w:rPr>
        <w:t>南通轨道交通集团有限公司2025-2026年度灵活资金存放银行合作项目</w:t>
      </w:r>
      <w:r>
        <w:rPr>
          <w:kern w:val="58"/>
          <w:sz w:val="24"/>
        </w:rPr>
        <w:t>进行公开比选。</w:t>
      </w:r>
    </w:p>
    <w:p w14:paraId="28346B07">
      <w:pPr>
        <w:spacing w:line="360" w:lineRule="auto"/>
        <w:ind w:right="-260" w:rightChars="-124" w:firstLine="482" w:firstLineChars="200"/>
        <w:outlineLvl w:val="1"/>
        <w:rPr>
          <w:b/>
          <w:sz w:val="24"/>
        </w:rPr>
      </w:pPr>
      <w:r>
        <w:rPr>
          <w:b/>
          <w:sz w:val="24"/>
        </w:rPr>
        <w:t>一、项目基本情况</w:t>
      </w:r>
      <w:bookmarkEnd w:id="8"/>
      <w:bookmarkEnd w:id="9"/>
    </w:p>
    <w:p w14:paraId="7DFAAAC7">
      <w:pPr>
        <w:spacing w:line="360" w:lineRule="auto"/>
        <w:ind w:right="-61" w:rightChars="-29" w:firstLine="480" w:firstLineChars="200"/>
        <w:rPr>
          <w:sz w:val="24"/>
        </w:rPr>
      </w:pPr>
      <w:r>
        <w:rPr>
          <w:sz w:val="24"/>
        </w:rPr>
        <w:t>1.</w:t>
      </w:r>
      <w:r>
        <w:rPr>
          <w:rFonts w:hint="eastAsia"/>
          <w:sz w:val="24"/>
        </w:rPr>
        <w:t xml:space="preserve"> </w:t>
      </w:r>
      <w:r>
        <w:rPr>
          <w:sz w:val="24"/>
        </w:rPr>
        <w:t>项目名称：南通轨道交通集团有限公司2025-2026年度灵活资金存放银行合作项目</w:t>
      </w:r>
    </w:p>
    <w:p w14:paraId="1476A030">
      <w:pPr>
        <w:spacing w:line="360" w:lineRule="auto"/>
        <w:ind w:firstLine="480" w:firstLineChars="200"/>
        <w:rPr>
          <w:sz w:val="24"/>
        </w:rPr>
      </w:pPr>
      <w:r>
        <w:rPr>
          <w:sz w:val="24"/>
        </w:rPr>
        <w:t>2.</w:t>
      </w:r>
      <w:r>
        <w:rPr>
          <w:rFonts w:hint="eastAsia"/>
          <w:sz w:val="24"/>
        </w:rPr>
        <w:t xml:space="preserve"> </w:t>
      </w:r>
      <w:r>
        <w:rPr>
          <w:sz w:val="24"/>
        </w:rPr>
        <w:t>本次比选选取合作银行4家，资金在中选银行原有的一般存款账户管理，原则上不再开设新的银行账户。</w:t>
      </w:r>
    </w:p>
    <w:p w14:paraId="25EC09B6">
      <w:pPr>
        <w:spacing w:line="360" w:lineRule="auto"/>
        <w:ind w:firstLine="480" w:firstLineChars="200"/>
        <w:rPr>
          <w:sz w:val="24"/>
        </w:rPr>
      </w:pPr>
      <w:r>
        <w:rPr>
          <w:sz w:val="24"/>
        </w:rPr>
        <w:t>3.</w:t>
      </w:r>
      <w:r>
        <w:rPr>
          <w:rFonts w:hint="eastAsia"/>
          <w:sz w:val="24"/>
        </w:rPr>
        <w:t xml:space="preserve"> </w:t>
      </w:r>
      <w:r>
        <w:rPr>
          <w:sz w:val="24"/>
        </w:rPr>
        <w:t>存放资金规模无法明确约定，具体金额视轨道集团资金情况动态变化。资金分布按照中选银行排名先后确定，比例大致为30%</w:t>
      </w:r>
      <w:r>
        <w:rPr>
          <w:rFonts w:hint="eastAsia"/>
          <w:sz w:val="24"/>
        </w:rPr>
        <w:t>、</w:t>
      </w:r>
      <w:r>
        <w:rPr>
          <w:sz w:val="24"/>
        </w:rPr>
        <w:t>25%</w:t>
      </w:r>
      <w:r>
        <w:rPr>
          <w:rFonts w:hint="eastAsia"/>
          <w:sz w:val="24"/>
        </w:rPr>
        <w:t>、</w:t>
      </w:r>
      <w:r>
        <w:rPr>
          <w:sz w:val="24"/>
        </w:rPr>
        <w:t>25%</w:t>
      </w:r>
      <w:r>
        <w:rPr>
          <w:rFonts w:hint="eastAsia"/>
          <w:sz w:val="24"/>
        </w:rPr>
        <w:t>、</w:t>
      </w:r>
      <w:r>
        <w:rPr>
          <w:sz w:val="24"/>
        </w:rPr>
        <w:t>20%。资金使用时，按照综合评分排名先后顺序，同等情况下优先使用排名靠后的银行账户资金。</w:t>
      </w:r>
    </w:p>
    <w:p w14:paraId="6B3D4E67">
      <w:pPr>
        <w:spacing w:line="360" w:lineRule="auto"/>
        <w:ind w:right="-260" w:rightChars="-124" w:firstLine="480" w:firstLineChars="200"/>
        <w:rPr>
          <w:sz w:val="24"/>
        </w:rPr>
      </w:pPr>
      <w:r>
        <w:rPr>
          <w:sz w:val="24"/>
        </w:rPr>
        <w:t>4.</w:t>
      </w:r>
      <w:r>
        <w:rPr>
          <w:rFonts w:hint="eastAsia"/>
          <w:sz w:val="24"/>
        </w:rPr>
        <w:t xml:space="preserve"> </w:t>
      </w:r>
      <w:r>
        <w:rPr>
          <w:sz w:val="24"/>
        </w:rPr>
        <w:t>合作期限：自比选结果公示结束后起一年。</w:t>
      </w:r>
    </w:p>
    <w:p w14:paraId="29F5A39B">
      <w:pPr>
        <w:spacing w:line="360" w:lineRule="auto"/>
        <w:ind w:right="-260" w:rightChars="-124" w:firstLine="482" w:firstLineChars="200"/>
        <w:outlineLvl w:val="1"/>
        <w:rPr>
          <w:b/>
          <w:sz w:val="24"/>
        </w:rPr>
      </w:pPr>
      <w:bookmarkStart w:id="10" w:name="_Toc27384"/>
      <w:bookmarkStart w:id="11" w:name="_Toc3344"/>
      <w:r>
        <w:rPr>
          <w:b/>
          <w:sz w:val="24"/>
        </w:rPr>
        <w:t>二、参选人的资格要求</w:t>
      </w:r>
      <w:bookmarkEnd w:id="10"/>
      <w:bookmarkEnd w:id="11"/>
    </w:p>
    <w:p w14:paraId="4F923139">
      <w:pPr>
        <w:spacing w:line="360" w:lineRule="auto"/>
        <w:ind w:right="-260" w:rightChars="-124" w:firstLine="482" w:firstLineChars="200"/>
        <w:rPr>
          <w:b/>
          <w:bCs/>
          <w:sz w:val="24"/>
        </w:rPr>
      </w:pPr>
      <w:r>
        <w:rPr>
          <w:b/>
          <w:bCs/>
          <w:sz w:val="24"/>
        </w:rPr>
        <w:t>1、参选人应具备的资质条件要求：</w:t>
      </w:r>
    </w:p>
    <w:p w14:paraId="36772F39">
      <w:pPr>
        <w:spacing w:line="360" w:lineRule="auto"/>
        <w:ind w:right="-260" w:rightChars="-124" w:firstLine="480" w:firstLineChars="200"/>
        <w:rPr>
          <w:sz w:val="24"/>
        </w:rPr>
      </w:pPr>
      <w:r>
        <w:rPr>
          <w:sz w:val="24"/>
        </w:rPr>
        <w:t>1.1</w:t>
      </w:r>
      <w:r>
        <w:rPr>
          <w:rFonts w:hint="eastAsia"/>
          <w:sz w:val="24"/>
        </w:rPr>
        <w:t xml:space="preserve"> </w:t>
      </w:r>
      <w:r>
        <w:rPr>
          <w:sz w:val="24"/>
        </w:rPr>
        <w:t>参选人为中华人民共和国境内依法设立的法人或其他组织</w:t>
      </w:r>
      <w:r>
        <w:rPr>
          <w:rFonts w:hint="eastAsia"/>
          <w:sz w:val="24"/>
        </w:rPr>
        <w:t>，或其</w:t>
      </w:r>
      <w:r>
        <w:rPr>
          <w:sz w:val="24"/>
        </w:rPr>
        <w:t>分支机构</w:t>
      </w:r>
      <w:r>
        <w:rPr>
          <w:rFonts w:hint="eastAsia"/>
          <w:sz w:val="24"/>
        </w:rPr>
        <w:t>；</w:t>
      </w:r>
    </w:p>
    <w:p w14:paraId="155B7D8B">
      <w:pPr>
        <w:spacing w:line="360" w:lineRule="auto"/>
        <w:ind w:right="-260" w:rightChars="-124" w:firstLine="480" w:firstLineChars="200"/>
        <w:rPr>
          <w:sz w:val="24"/>
        </w:rPr>
      </w:pPr>
      <w:r>
        <w:rPr>
          <w:sz w:val="24"/>
        </w:rPr>
        <w:t>1.2</w:t>
      </w:r>
      <w:r>
        <w:rPr>
          <w:rFonts w:hint="eastAsia"/>
          <w:sz w:val="24"/>
        </w:rPr>
        <w:t xml:space="preserve"> </w:t>
      </w:r>
      <w:r>
        <w:rPr>
          <w:sz w:val="24"/>
        </w:rPr>
        <w:t>参选人须具有合法有效的金融许可。</w:t>
      </w:r>
    </w:p>
    <w:p w14:paraId="71EBFD2F">
      <w:pPr>
        <w:spacing w:line="360" w:lineRule="auto"/>
        <w:ind w:firstLine="480" w:firstLineChars="200"/>
        <w:rPr>
          <w:sz w:val="24"/>
        </w:rPr>
      </w:pPr>
      <w:r>
        <w:rPr>
          <w:sz w:val="24"/>
        </w:rPr>
        <w:t>1.3</w:t>
      </w:r>
      <w:r>
        <w:rPr>
          <w:rFonts w:hint="eastAsia"/>
          <w:sz w:val="24"/>
        </w:rPr>
        <w:t xml:space="preserve"> </w:t>
      </w:r>
      <w:r>
        <w:rPr>
          <w:sz w:val="24"/>
        </w:rPr>
        <w:t>与比选人存在利害关系可能影响采购公正性的法人、其他组织或者个人，不得参加本项目比选；单位负责人为同一人或者存在控股、管理关系的不同单位，不得参加本项目比选。</w:t>
      </w:r>
    </w:p>
    <w:p w14:paraId="055CDD0D">
      <w:pPr>
        <w:spacing w:line="360" w:lineRule="auto"/>
        <w:ind w:firstLine="480" w:firstLineChars="200"/>
        <w:rPr>
          <w:sz w:val="24"/>
        </w:rPr>
      </w:pPr>
      <w:r>
        <w:rPr>
          <w:sz w:val="24"/>
        </w:rPr>
        <w:t>1.4参选人近3年内无重大金融、财经违法行为，具有良好的风险控制能力；具备先进的资金划汇清算系统，能够及时、全面、准确的反馈监管资金账户中收付款业务信息。</w:t>
      </w:r>
    </w:p>
    <w:p w14:paraId="569901A1">
      <w:pPr>
        <w:pStyle w:val="2"/>
        <w:spacing w:line="360" w:lineRule="auto"/>
        <w:ind w:firstLine="480"/>
        <w:rPr>
          <w:rFonts w:ascii="Times New Roman" w:hAnsi="Times New Roman" w:eastAsia="宋体" w:cs="Times New Roman"/>
          <w:sz w:val="24"/>
          <w:lang w:val="en-US"/>
        </w:rPr>
      </w:pPr>
      <w:r>
        <w:rPr>
          <w:rFonts w:ascii="Times New Roman" w:hAnsi="Times New Roman" w:eastAsia="宋体" w:cs="Times New Roman"/>
          <w:sz w:val="24"/>
          <w:lang w:val="en-US"/>
        </w:rPr>
        <w:t>1.5参选人与南通轨道集团业务合作良好，具有与南通轨道集团建立进一步业务合作期望。</w:t>
      </w:r>
    </w:p>
    <w:p w14:paraId="46E06963">
      <w:pPr>
        <w:spacing w:line="360" w:lineRule="auto"/>
        <w:ind w:right="-260" w:rightChars="-124" w:firstLine="482" w:firstLineChars="200"/>
        <w:rPr>
          <w:b/>
          <w:bCs/>
          <w:sz w:val="24"/>
        </w:rPr>
      </w:pPr>
      <w:r>
        <w:rPr>
          <w:b/>
          <w:bCs/>
          <w:sz w:val="24"/>
        </w:rPr>
        <w:t>2、本项目不接受联合体参选。</w:t>
      </w:r>
    </w:p>
    <w:p w14:paraId="2A37C406">
      <w:pPr>
        <w:spacing w:line="360" w:lineRule="auto"/>
        <w:ind w:right="-260" w:rightChars="-124" w:firstLine="482" w:firstLineChars="200"/>
        <w:outlineLvl w:val="1"/>
        <w:rPr>
          <w:b/>
          <w:sz w:val="24"/>
        </w:rPr>
      </w:pPr>
      <w:bookmarkStart w:id="12" w:name="_Toc21654"/>
      <w:bookmarkStart w:id="13" w:name="_Toc5313"/>
      <w:r>
        <w:rPr>
          <w:b/>
          <w:sz w:val="24"/>
        </w:rPr>
        <w:t>三、</w:t>
      </w:r>
      <w:bookmarkEnd w:id="12"/>
      <w:bookmarkEnd w:id="13"/>
      <w:bookmarkStart w:id="14" w:name="_Toc27809"/>
      <w:bookmarkStart w:id="15" w:name="_Toc10576"/>
      <w:r>
        <w:rPr>
          <w:b/>
          <w:sz w:val="24"/>
        </w:rPr>
        <w:t xml:space="preserve">比选文件的获取 </w:t>
      </w:r>
    </w:p>
    <w:p w14:paraId="3867D17A">
      <w:pPr>
        <w:autoSpaceDE w:val="0"/>
        <w:autoSpaceDN w:val="0"/>
        <w:adjustRightInd w:val="0"/>
        <w:spacing w:line="360" w:lineRule="auto"/>
        <w:ind w:firstLine="480" w:firstLineChars="200"/>
        <w:jc w:val="left"/>
        <w:rPr>
          <w:sz w:val="24"/>
        </w:rPr>
      </w:pPr>
      <w:r>
        <w:rPr>
          <w:sz w:val="24"/>
        </w:rPr>
        <w:t>时间：自公告发布之日起。</w:t>
      </w:r>
    </w:p>
    <w:p w14:paraId="01DC111D">
      <w:pPr>
        <w:autoSpaceDE w:val="0"/>
        <w:autoSpaceDN w:val="0"/>
        <w:adjustRightInd w:val="0"/>
        <w:spacing w:line="360" w:lineRule="auto"/>
        <w:ind w:firstLine="480" w:firstLineChars="200"/>
        <w:jc w:val="left"/>
        <w:rPr>
          <w:sz w:val="24"/>
        </w:rPr>
      </w:pPr>
      <w:r>
        <w:rPr>
          <w:sz w:val="24"/>
        </w:rPr>
        <w:t>网址：南通轨道集团官网（https://www.ntrailway.com/）</w:t>
      </w:r>
    </w:p>
    <w:p w14:paraId="72892633">
      <w:pPr>
        <w:autoSpaceDE w:val="0"/>
        <w:autoSpaceDN w:val="0"/>
        <w:adjustRightInd w:val="0"/>
        <w:spacing w:line="360" w:lineRule="auto"/>
        <w:ind w:firstLine="480" w:firstLineChars="200"/>
        <w:jc w:val="left"/>
        <w:rPr>
          <w:sz w:val="24"/>
        </w:rPr>
      </w:pPr>
      <w:r>
        <w:rPr>
          <w:sz w:val="24"/>
        </w:rPr>
        <w:t>方式：参选人登陆南通轨道集团官网，在网站首页点击进入“招标投标”，找到该项目点击进入即可进行下载。</w:t>
      </w:r>
    </w:p>
    <w:p w14:paraId="128B7A3A">
      <w:pPr>
        <w:spacing w:line="360" w:lineRule="auto"/>
        <w:ind w:right="-260" w:rightChars="-124" w:firstLine="482" w:firstLineChars="200"/>
        <w:outlineLvl w:val="1"/>
        <w:rPr>
          <w:b/>
          <w:sz w:val="24"/>
        </w:rPr>
      </w:pPr>
      <w:r>
        <w:rPr>
          <w:b/>
          <w:sz w:val="24"/>
        </w:rPr>
        <w:t>四、提交参选文件截止时间、比选时间和地点</w:t>
      </w:r>
      <w:bookmarkEnd w:id="14"/>
      <w:bookmarkEnd w:id="15"/>
    </w:p>
    <w:p w14:paraId="0BDCCBAE">
      <w:pPr>
        <w:spacing w:line="360" w:lineRule="auto"/>
        <w:ind w:right="-260" w:rightChars="-124" w:firstLine="480" w:firstLineChars="200"/>
        <w:rPr>
          <w:sz w:val="24"/>
        </w:rPr>
      </w:pPr>
      <w:r>
        <w:rPr>
          <w:sz w:val="24"/>
        </w:rPr>
        <w:t>参选截止时间为：2025年</w:t>
      </w:r>
      <w:r>
        <w:rPr>
          <w:rFonts w:hint="eastAsia"/>
          <w:sz w:val="24"/>
        </w:rPr>
        <w:t>9</w:t>
      </w:r>
      <w:r>
        <w:rPr>
          <w:sz w:val="24"/>
        </w:rPr>
        <w:t>月</w:t>
      </w:r>
      <w:r>
        <w:rPr>
          <w:rFonts w:hint="eastAsia"/>
          <w:sz w:val="24"/>
        </w:rPr>
        <w:t>22</w:t>
      </w:r>
      <w:r>
        <w:rPr>
          <w:sz w:val="24"/>
        </w:rPr>
        <w:t>日14时</w:t>
      </w:r>
      <w:r>
        <w:rPr>
          <w:rFonts w:hint="eastAsia"/>
          <w:sz w:val="24"/>
        </w:rPr>
        <w:t>3</w:t>
      </w:r>
      <w:r>
        <w:rPr>
          <w:sz w:val="24"/>
        </w:rPr>
        <w:t>0分。</w:t>
      </w:r>
    </w:p>
    <w:p w14:paraId="307E8610">
      <w:pPr>
        <w:spacing w:line="360" w:lineRule="auto"/>
        <w:ind w:right="-260" w:rightChars="-124" w:firstLine="480" w:firstLineChars="200"/>
        <w:rPr>
          <w:sz w:val="24"/>
        </w:rPr>
      </w:pPr>
      <w:r>
        <w:rPr>
          <w:sz w:val="24"/>
        </w:rPr>
        <w:t>比选时间：同参选截止时间</w:t>
      </w:r>
    </w:p>
    <w:p w14:paraId="56CAE44A">
      <w:pPr>
        <w:spacing w:line="360" w:lineRule="auto"/>
        <w:ind w:right="-260" w:rightChars="-124" w:firstLine="480" w:firstLineChars="200"/>
        <w:rPr>
          <w:sz w:val="24"/>
        </w:rPr>
      </w:pPr>
      <w:bookmarkStart w:id="16" w:name="_Toc17302"/>
      <w:bookmarkStart w:id="17" w:name="_Toc11233"/>
      <w:r>
        <w:rPr>
          <w:sz w:val="24"/>
        </w:rPr>
        <w:t>比选地点：南通市崇川区崇川路</w:t>
      </w:r>
      <w:r>
        <w:rPr>
          <w:rFonts w:hint="eastAsia"/>
          <w:sz w:val="24"/>
        </w:rPr>
        <w:t>158号</w:t>
      </w:r>
      <w:r>
        <w:rPr>
          <w:sz w:val="24"/>
        </w:rPr>
        <w:t>轨道大厦15楼开标室</w:t>
      </w:r>
    </w:p>
    <w:p w14:paraId="00E9E1F8">
      <w:pPr>
        <w:spacing w:line="360" w:lineRule="auto"/>
        <w:ind w:right="-260" w:rightChars="-124" w:firstLine="480" w:firstLineChars="200"/>
        <w:rPr>
          <w:rFonts w:hint="eastAsia" w:eastAsia="宋体"/>
          <w:sz w:val="24"/>
          <w:lang w:eastAsia="zh-CN"/>
        </w:rPr>
      </w:pPr>
      <w:r>
        <w:rPr>
          <w:rFonts w:hint="eastAsia"/>
          <w:sz w:val="24"/>
          <w:lang w:val="en-US" w:eastAsia="zh-CN"/>
        </w:rPr>
        <w:t>提交参选文件地点：同比选地点</w:t>
      </w:r>
      <w:bookmarkStart w:id="163" w:name="_GoBack"/>
      <w:bookmarkEnd w:id="163"/>
    </w:p>
    <w:p w14:paraId="278E8584">
      <w:pPr>
        <w:spacing w:line="360" w:lineRule="auto"/>
        <w:ind w:right="-260" w:rightChars="-124" w:firstLine="482" w:firstLineChars="200"/>
        <w:outlineLvl w:val="1"/>
        <w:rPr>
          <w:b/>
          <w:sz w:val="24"/>
        </w:rPr>
      </w:pPr>
      <w:r>
        <w:rPr>
          <w:b/>
          <w:sz w:val="24"/>
        </w:rPr>
        <w:t>五、</w:t>
      </w:r>
      <w:bookmarkEnd w:id="16"/>
      <w:bookmarkEnd w:id="17"/>
      <w:r>
        <w:rPr>
          <w:b/>
          <w:sz w:val="24"/>
        </w:rPr>
        <w:t xml:space="preserve">联系方式 </w:t>
      </w:r>
    </w:p>
    <w:p w14:paraId="21A4E90E">
      <w:pPr>
        <w:snapToGrid w:val="0"/>
        <w:spacing w:line="360" w:lineRule="auto"/>
        <w:ind w:firstLine="480" w:firstLineChars="200"/>
        <w:rPr>
          <w:sz w:val="24"/>
        </w:rPr>
      </w:pPr>
      <w:bookmarkStart w:id="18" w:name="_Toc11164"/>
      <w:r>
        <w:rPr>
          <w:sz w:val="24"/>
        </w:rPr>
        <w:t>1.</w:t>
      </w:r>
      <w:r>
        <w:rPr>
          <w:rFonts w:hint="eastAsia"/>
          <w:sz w:val="24"/>
        </w:rPr>
        <w:t xml:space="preserve"> </w:t>
      </w:r>
      <w:r>
        <w:rPr>
          <w:sz w:val="24"/>
        </w:rPr>
        <w:t>比选人信息</w:t>
      </w:r>
      <w:bookmarkEnd w:id="18"/>
    </w:p>
    <w:p w14:paraId="4E8D83BB">
      <w:pPr>
        <w:snapToGrid w:val="0"/>
        <w:spacing w:line="360" w:lineRule="auto"/>
        <w:ind w:firstLine="840" w:firstLineChars="350"/>
        <w:rPr>
          <w:sz w:val="24"/>
        </w:rPr>
      </w:pPr>
      <w:r>
        <w:rPr>
          <w:sz w:val="24"/>
        </w:rPr>
        <w:t xml:space="preserve">名    称：南通轨道交通集团有限公司                                </w:t>
      </w:r>
    </w:p>
    <w:p w14:paraId="260383A0">
      <w:pPr>
        <w:snapToGrid w:val="0"/>
        <w:spacing w:line="360" w:lineRule="auto"/>
        <w:ind w:firstLine="840" w:firstLineChars="350"/>
        <w:rPr>
          <w:sz w:val="24"/>
        </w:rPr>
      </w:pPr>
      <w:r>
        <w:rPr>
          <w:sz w:val="24"/>
        </w:rPr>
        <w:t xml:space="preserve">地    址：南通市崇川区崇川路158号20楼财务管理部  </w:t>
      </w:r>
    </w:p>
    <w:p w14:paraId="6FDD5575">
      <w:pPr>
        <w:snapToGrid w:val="0"/>
        <w:spacing w:line="360" w:lineRule="auto"/>
        <w:ind w:firstLine="840" w:firstLineChars="350"/>
        <w:rPr>
          <w:sz w:val="24"/>
        </w:rPr>
      </w:pPr>
      <w:r>
        <w:rPr>
          <w:sz w:val="24"/>
        </w:rPr>
        <w:t>联系方式：陆先生</w:t>
      </w:r>
    </w:p>
    <w:p w14:paraId="19245C86">
      <w:pPr>
        <w:snapToGrid w:val="0"/>
        <w:spacing w:line="360" w:lineRule="auto"/>
        <w:ind w:firstLine="840" w:firstLineChars="350"/>
        <w:rPr>
          <w:sz w:val="24"/>
        </w:rPr>
      </w:pPr>
      <w:r>
        <w:rPr>
          <w:sz w:val="24"/>
        </w:rPr>
        <w:t>联系电话：0513-</w:t>
      </w:r>
      <w:r>
        <w:rPr>
          <w:rFonts w:hint="eastAsia"/>
          <w:sz w:val="24"/>
        </w:rPr>
        <w:t>69900262</w:t>
      </w:r>
    </w:p>
    <w:p w14:paraId="22FE2D44">
      <w:pPr>
        <w:snapToGrid w:val="0"/>
        <w:spacing w:line="360" w:lineRule="auto"/>
        <w:ind w:firstLine="840" w:firstLineChars="350"/>
        <w:rPr>
          <w:sz w:val="24"/>
        </w:rPr>
      </w:pPr>
      <w:bookmarkStart w:id="19" w:name="_Toc24651"/>
      <w:r>
        <w:rPr>
          <w:sz w:val="24"/>
        </w:rPr>
        <w:t>监督部门联系地址：南通市崇川区崇川路158号21楼督查审计部</w:t>
      </w:r>
    </w:p>
    <w:p w14:paraId="0C1B401B">
      <w:pPr>
        <w:snapToGrid w:val="0"/>
        <w:spacing w:line="360" w:lineRule="auto"/>
        <w:ind w:firstLine="840" w:firstLineChars="350"/>
        <w:rPr>
          <w:sz w:val="24"/>
        </w:rPr>
      </w:pPr>
      <w:r>
        <w:rPr>
          <w:sz w:val="24"/>
        </w:rPr>
        <w:t>监督部门联系电话：0513-69900271</w:t>
      </w:r>
    </w:p>
    <w:p w14:paraId="0C76FA58">
      <w:pPr>
        <w:numPr>
          <w:ilvl w:val="0"/>
          <w:numId w:val="1"/>
        </w:numPr>
        <w:adjustRightInd w:val="0"/>
        <w:snapToGrid w:val="0"/>
        <w:spacing w:line="360" w:lineRule="auto"/>
        <w:ind w:firstLine="480" w:firstLineChars="200"/>
        <w:jc w:val="left"/>
        <w:rPr>
          <w:rFonts w:hint="eastAsia" w:ascii="宋体" w:hAnsi="宋体" w:cs="宋体"/>
          <w:color w:val="333333"/>
          <w:sz w:val="24"/>
        </w:rPr>
      </w:pPr>
      <w:r>
        <w:rPr>
          <w:rFonts w:ascii="宋体" w:hAnsi="宋体" w:cs="宋体"/>
          <w:color w:val="333333"/>
          <w:sz w:val="24"/>
        </w:rPr>
        <w:t>招标代理机构信息</w:t>
      </w:r>
    </w:p>
    <w:p w14:paraId="4B6EADBA">
      <w:pPr>
        <w:snapToGrid w:val="0"/>
        <w:spacing w:line="360" w:lineRule="auto"/>
        <w:ind w:firstLine="840" w:firstLineChars="350"/>
        <w:rPr>
          <w:sz w:val="24"/>
        </w:rPr>
      </w:pPr>
      <w:r>
        <w:rPr>
          <w:rFonts w:hint="eastAsia"/>
          <w:sz w:val="24"/>
        </w:rPr>
        <w:t>名    称：南通万隆工程管理有限公司</w:t>
      </w:r>
    </w:p>
    <w:p w14:paraId="700B9567">
      <w:pPr>
        <w:snapToGrid w:val="0"/>
        <w:spacing w:line="360" w:lineRule="auto"/>
        <w:ind w:firstLine="840" w:firstLineChars="350"/>
        <w:rPr>
          <w:sz w:val="24"/>
        </w:rPr>
      </w:pPr>
      <w:r>
        <w:rPr>
          <w:rFonts w:hint="eastAsia"/>
          <w:sz w:val="24"/>
        </w:rPr>
        <w:t>地    址：南通市崇川路58号南通产业技术研究院9号楼24层</w:t>
      </w:r>
    </w:p>
    <w:p w14:paraId="076F92A6">
      <w:pPr>
        <w:snapToGrid w:val="0"/>
        <w:spacing w:line="360" w:lineRule="auto"/>
        <w:ind w:firstLine="840" w:firstLineChars="350"/>
        <w:rPr>
          <w:sz w:val="24"/>
        </w:rPr>
      </w:pPr>
      <w:r>
        <w:rPr>
          <w:rFonts w:hint="eastAsia"/>
          <w:sz w:val="24"/>
        </w:rPr>
        <w:t>联系方式：陈娟-13962943497</w:t>
      </w:r>
    </w:p>
    <w:p w14:paraId="5E599217">
      <w:pPr>
        <w:snapToGrid w:val="0"/>
        <w:spacing w:line="360" w:lineRule="auto"/>
        <w:ind w:firstLine="840" w:firstLineChars="350"/>
        <w:rPr>
          <w:sz w:val="24"/>
        </w:rPr>
      </w:pPr>
      <w:r>
        <w:rPr>
          <w:rFonts w:hint="eastAsia"/>
          <w:sz w:val="24"/>
        </w:rPr>
        <w:t>邮    箱：77366378@qq.com</w:t>
      </w:r>
    </w:p>
    <w:p w14:paraId="2D466781">
      <w:pPr>
        <w:snapToGrid w:val="0"/>
        <w:spacing w:line="360" w:lineRule="auto"/>
        <w:ind w:firstLine="840" w:firstLineChars="350"/>
        <w:rPr>
          <w:sz w:val="24"/>
        </w:rPr>
      </w:pPr>
    </w:p>
    <w:bookmarkEnd w:id="19"/>
    <w:p w14:paraId="00FD8FF7">
      <w:pPr>
        <w:snapToGrid w:val="0"/>
        <w:spacing w:line="360" w:lineRule="auto"/>
        <w:ind w:firstLine="840" w:firstLineChars="350"/>
        <w:rPr>
          <w:sz w:val="24"/>
        </w:rPr>
      </w:pPr>
      <w:bookmarkStart w:id="20" w:name="_Toc24746"/>
      <w:bookmarkStart w:id="21" w:name="_Toc11734"/>
      <w:bookmarkStart w:id="22" w:name="_Toc27473"/>
      <w:bookmarkStart w:id="23" w:name="_Toc32507"/>
      <w:bookmarkStart w:id="24" w:name="_Toc26213"/>
      <w:r>
        <w:rPr>
          <w:sz w:val="24"/>
        </w:rPr>
        <w:br w:type="page"/>
      </w:r>
    </w:p>
    <w:p w14:paraId="1A88B0E1">
      <w:pPr>
        <w:spacing w:line="360" w:lineRule="auto"/>
        <w:ind w:right="-260" w:rightChars="-124"/>
        <w:jc w:val="center"/>
        <w:outlineLvl w:val="0"/>
        <w:rPr>
          <w:b/>
          <w:bCs/>
          <w:sz w:val="32"/>
          <w:szCs w:val="32"/>
        </w:rPr>
      </w:pPr>
      <w:r>
        <w:rPr>
          <w:b/>
          <w:bCs/>
          <w:sz w:val="32"/>
          <w:szCs w:val="32"/>
        </w:rPr>
        <w:t xml:space="preserve">第二章  </w:t>
      </w:r>
      <w:bookmarkEnd w:id="20"/>
      <w:bookmarkEnd w:id="21"/>
      <w:bookmarkEnd w:id="22"/>
      <w:bookmarkEnd w:id="23"/>
      <w:bookmarkEnd w:id="24"/>
      <w:r>
        <w:rPr>
          <w:b/>
          <w:bCs/>
          <w:sz w:val="32"/>
          <w:szCs w:val="32"/>
        </w:rPr>
        <w:t>参选须知</w:t>
      </w:r>
    </w:p>
    <w:p w14:paraId="08F6596C">
      <w:pPr>
        <w:spacing w:line="360" w:lineRule="auto"/>
        <w:ind w:right="-260" w:rightChars="-124" w:firstLine="482" w:firstLineChars="200"/>
        <w:outlineLvl w:val="1"/>
        <w:rPr>
          <w:b/>
          <w:sz w:val="24"/>
        </w:rPr>
      </w:pPr>
      <w:bookmarkStart w:id="25" w:name="_Toc21125"/>
      <w:bookmarkStart w:id="26" w:name="_Toc10879"/>
      <w:bookmarkStart w:id="27" w:name="_Toc27566"/>
      <w:r>
        <w:rPr>
          <w:b/>
          <w:sz w:val="24"/>
        </w:rPr>
        <w:t>一、总则</w:t>
      </w:r>
      <w:bookmarkEnd w:id="25"/>
      <w:bookmarkEnd w:id="26"/>
    </w:p>
    <w:p w14:paraId="6DD12D41">
      <w:pPr>
        <w:spacing w:line="360" w:lineRule="auto"/>
        <w:ind w:right="-260" w:rightChars="-124" w:firstLine="480" w:firstLineChars="200"/>
        <w:rPr>
          <w:sz w:val="24"/>
        </w:rPr>
      </w:pPr>
      <w:bookmarkStart w:id="28" w:name="_Hlt16619475"/>
      <w:bookmarkEnd w:id="28"/>
      <w:bookmarkStart w:id="29" w:name="_Toc458694821"/>
      <w:bookmarkStart w:id="30" w:name="_Toc29623"/>
      <w:bookmarkStart w:id="31" w:name="_Toc513029204"/>
      <w:bookmarkStart w:id="32" w:name="_Toc20823276"/>
      <w:bookmarkStart w:id="33" w:name="_Toc16938520"/>
      <w:r>
        <w:rPr>
          <w:sz w:val="24"/>
        </w:rPr>
        <w:t>1</w:t>
      </w:r>
      <w:bookmarkEnd w:id="29"/>
      <w:r>
        <w:rPr>
          <w:sz w:val="24"/>
        </w:rPr>
        <w:t>、比选方式</w:t>
      </w:r>
      <w:bookmarkEnd w:id="30"/>
      <w:bookmarkEnd w:id="31"/>
      <w:bookmarkEnd w:id="32"/>
      <w:bookmarkEnd w:id="33"/>
    </w:p>
    <w:p w14:paraId="0CC214D5">
      <w:pPr>
        <w:spacing w:line="360" w:lineRule="auto"/>
        <w:ind w:right="-260" w:rightChars="-124" w:firstLine="480" w:firstLineChars="200"/>
        <w:rPr>
          <w:sz w:val="24"/>
        </w:rPr>
      </w:pPr>
      <w:r>
        <w:rPr>
          <w:sz w:val="24"/>
        </w:rPr>
        <w:t>采取公开比选方式，本比选文件仅适用于比选公告中所述项目。</w:t>
      </w:r>
    </w:p>
    <w:p w14:paraId="0CA5F524">
      <w:pPr>
        <w:spacing w:line="360" w:lineRule="auto"/>
        <w:ind w:right="-260" w:rightChars="-124" w:firstLine="480" w:firstLineChars="200"/>
        <w:rPr>
          <w:sz w:val="24"/>
        </w:rPr>
      </w:pPr>
      <w:bookmarkStart w:id="34" w:name="_Toc16938521"/>
      <w:bookmarkStart w:id="35" w:name="_Toc20823277"/>
      <w:bookmarkStart w:id="36" w:name="_Toc513029205"/>
      <w:bookmarkStart w:id="37" w:name="_Toc30478"/>
      <w:r>
        <w:rPr>
          <w:sz w:val="24"/>
        </w:rPr>
        <w:t>2、</w:t>
      </w:r>
      <w:bookmarkEnd w:id="34"/>
      <w:bookmarkEnd w:id="35"/>
      <w:bookmarkEnd w:id="36"/>
      <w:bookmarkStart w:id="38" w:name="_Toc513029206"/>
      <w:bookmarkStart w:id="39" w:name="_Toc16938522"/>
      <w:bookmarkStart w:id="40" w:name="_Toc20823278"/>
      <w:r>
        <w:rPr>
          <w:sz w:val="24"/>
        </w:rPr>
        <w:t>适用法律</w:t>
      </w:r>
      <w:bookmarkEnd w:id="37"/>
      <w:bookmarkEnd w:id="38"/>
      <w:bookmarkEnd w:id="39"/>
      <w:bookmarkEnd w:id="40"/>
    </w:p>
    <w:p w14:paraId="55BA1DAD">
      <w:pPr>
        <w:spacing w:line="360" w:lineRule="auto"/>
        <w:ind w:right="-260" w:rightChars="-124" w:firstLine="480" w:firstLineChars="200"/>
        <w:rPr>
          <w:sz w:val="24"/>
        </w:rPr>
      </w:pPr>
      <w:r>
        <w:rPr>
          <w:sz w:val="24"/>
        </w:rPr>
        <w:t>本次比选及由此产生的合同受中华人民共和国有关的法律法规制约和保护。</w:t>
      </w:r>
    </w:p>
    <w:p w14:paraId="60114725">
      <w:pPr>
        <w:spacing w:line="360" w:lineRule="auto"/>
        <w:ind w:right="-260" w:rightChars="-124" w:firstLine="482" w:firstLineChars="200"/>
        <w:outlineLvl w:val="1"/>
        <w:rPr>
          <w:b/>
          <w:sz w:val="24"/>
        </w:rPr>
      </w:pPr>
      <w:bookmarkStart w:id="41" w:name="_Toc4689"/>
      <w:bookmarkStart w:id="42" w:name="_Toc5374"/>
      <w:r>
        <w:rPr>
          <w:b/>
          <w:sz w:val="24"/>
        </w:rPr>
        <w:t>二、比选文件构成</w:t>
      </w:r>
      <w:bookmarkEnd w:id="41"/>
      <w:bookmarkEnd w:id="42"/>
    </w:p>
    <w:p w14:paraId="11E3335B">
      <w:pPr>
        <w:spacing w:line="360" w:lineRule="auto"/>
        <w:ind w:right="-260" w:rightChars="-124" w:firstLine="480" w:firstLineChars="200"/>
        <w:rPr>
          <w:sz w:val="24"/>
        </w:rPr>
      </w:pPr>
      <w:r>
        <w:rPr>
          <w:sz w:val="24"/>
        </w:rPr>
        <w:t>比选文件由以下部分组成：</w:t>
      </w:r>
    </w:p>
    <w:p w14:paraId="5435E686">
      <w:pPr>
        <w:spacing w:line="360" w:lineRule="auto"/>
        <w:ind w:right="-260" w:rightChars="-124" w:firstLine="480" w:firstLineChars="200"/>
        <w:rPr>
          <w:sz w:val="24"/>
        </w:rPr>
      </w:pPr>
      <w:r>
        <w:rPr>
          <w:sz w:val="24"/>
        </w:rPr>
        <w:t>（1）比选公告</w:t>
      </w:r>
    </w:p>
    <w:p w14:paraId="32D992EC">
      <w:pPr>
        <w:spacing w:line="360" w:lineRule="auto"/>
        <w:ind w:right="-260" w:rightChars="-124" w:firstLine="480" w:firstLineChars="200"/>
        <w:rPr>
          <w:sz w:val="24"/>
        </w:rPr>
      </w:pPr>
      <w:r>
        <w:rPr>
          <w:sz w:val="24"/>
        </w:rPr>
        <w:t>（2）参选须知</w:t>
      </w:r>
    </w:p>
    <w:p w14:paraId="5FE64551">
      <w:pPr>
        <w:spacing w:line="360" w:lineRule="auto"/>
        <w:ind w:right="-260" w:rightChars="-124" w:firstLine="480" w:firstLineChars="200"/>
        <w:rPr>
          <w:sz w:val="24"/>
        </w:rPr>
      </w:pPr>
      <w:r>
        <w:rPr>
          <w:sz w:val="24"/>
        </w:rPr>
        <w:t>（3）用户需求书</w:t>
      </w:r>
    </w:p>
    <w:p w14:paraId="1FFE2F9C">
      <w:pPr>
        <w:spacing w:line="360" w:lineRule="auto"/>
        <w:ind w:right="-260" w:rightChars="-124" w:firstLine="480" w:firstLineChars="200"/>
        <w:rPr>
          <w:sz w:val="24"/>
        </w:rPr>
      </w:pPr>
      <w:r>
        <w:rPr>
          <w:sz w:val="24"/>
        </w:rPr>
        <w:t>（4）评标方法与评标标准</w:t>
      </w:r>
    </w:p>
    <w:p w14:paraId="75753ED2">
      <w:pPr>
        <w:spacing w:line="360" w:lineRule="auto"/>
        <w:ind w:right="-260" w:rightChars="-124" w:firstLine="480" w:firstLineChars="200"/>
        <w:rPr>
          <w:sz w:val="24"/>
        </w:rPr>
      </w:pPr>
      <w:r>
        <w:rPr>
          <w:sz w:val="24"/>
        </w:rPr>
        <w:t>（5）参选文件组成</w:t>
      </w:r>
    </w:p>
    <w:bookmarkEnd w:id="27"/>
    <w:p w14:paraId="2DF8059C">
      <w:pPr>
        <w:spacing w:line="360" w:lineRule="auto"/>
        <w:ind w:right="-260" w:rightChars="-124" w:firstLine="482" w:firstLineChars="200"/>
        <w:outlineLvl w:val="1"/>
        <w:rPr>
          <w:b/>
          <w:sz w:val="24"/>
        </w:rPr>
      </w:pPr>
      <w:bookmarkStart w:id="43" w:name="_Toc873"/>
      <w:bookmarkStart w:id="44" w:name="_Toc16779"/>
      <w:bookmarkStart w:id="45" w:name="_Toc10876"/>
      <w:r>
        <w:rPr>
          <w:b/>
          <w:sz w:val="24"/>
        </w:rPr>
        <w:t>三、参选文件的组成、</w:t>
      </w:r>
      <w:bookmarkEnd w:id="43"/>
      <w:r>
        <w:rPr>
          <w:b/>
          <w:sz w:val="24"/>
        </w:rPr>
        <w:t>编制、密封</w:t>
      </w:r>
      <w:bookmarkEnd w:id="44"/>
    </w:p>
    <w:bookmarkEnd w:id="45"/>
    <w:p w14:paraId="1EFC0D50">
      <w:pPr>
        <w:pStyle w:val="6"/>
        <w:spacing w:line="360" w:lineRule="auto"/>
        <w:ind w:left="0" w:right="-260" w:rightChars="-124" w:firstLine="482" w:firstLineChars="200"/>
        <w:contextualSpacing/>
        <w:rPr>
          <w:rFonts w:ascii="Times New Roman" w:eastAsia="宋体"/>
          <w:b/>
          <w:bCs/>
          <w:sz w:val="24"/>
          <w:szCs w:val="24"/>
        </w:rPr>
      </w:pPr>
      <w:r>
        <w:rPr>
          <w:rFonts w:ascii="Times New Roman" w:eastAsia="宋体"/>
          <w:b/>
          <w:bCs/>
          <w:sz w:val="24"/>
          <w:szCs w:val="24"/>
        </w:rPr>
        <w:t>1、参选文件的组成</w:t>
      </w:r>
    </w:p>
    <w:p w14:paraId="46976F28">
      <w:pPr>
        <w:pStyle w:val="6"/>
        <w:spacing w:line="360" w:lineRule="auto"/>
        <w:ind w:left="0" w:firstLine="480" w:firstLineChars="200"/>
        <w:contextualSpacing/>
        <w:rPr>
          <w:rFonts w:ascii="Times New Roman" w:eastAsia="宋体"/>
          <w:b/>
          <w:bCs/>
          <w:sz w:val="24"/>
          <w:szCs w:val="24"/>
        </w:rPr>
      </w:pPr>
      <w:r>
        <w:rPr>
          <w:rFonts w:ascii="Times New Roman" w:eastAsia="宋体"/>
          <w:sz w:val="24"/>
          <w:szCs w:val="24"/>
        </w:rPr>
        <w:t>参选文件由资格审查文件、</w:t>
      </w:r>
      <w:r>
        <w:rPr>
          <w:rFonts w:hint="eastAsia" w:ascii="Times New Roman" w:eastAsia="宋体"/>
          <w:sz w:val="24"/>
          <w:szCs w:val="24"/>
        </w:rPr>
        <w:t>商务技术</w:t>
      </w:r>
      <w:r>
        <w:rPr>
          <w:rFonts w:ascii="Times New Roman" w:eastAsia="宋体"/>
          <w:sz w:val="24"/>
          <w:szCs w:val="24"/>
        </w:rPr>
        <w:t>文件组成。</w:t>
      </w:r>
      <w:r>
        <w:rPr>
          <w:rFonts w:ascii="Times New Roman" w:eastAsia="宋体"/>
          <w:b/>
          <w:bCs/>
          <w:sz w:val="24"/>
          <w:szCs w:val="24"/>
        </w:rPr>
        <w:t>资格审查文件及</w:t>
      </w:r>
      <w:r>
        <w:rPr>
          <w:rFonts w:hint="eastAsia" w:ascii="Times New Roman" w:eastAsia="宋体"/>
          <w:b/>
          <w:bCs/>
          <w:sz w:val="24"/>
          <w:szCs w:val="24"/>
        </w:rPr>
        <w:t>商务技术</w:t>
      </w:r>
      <w:r>
        <w:rPr>
          <w:rFonts w:ascii="Times New Roman" w:eastAsia="宋体"/>
          <w:b/>
          <w:bCs/>
          <w:sz w:val="24"/>
          <w:szCs w:val="24"/>
        </w:rPr>
        <w:t>文件须单独编制</w:t>
      </w:r>
      <w:r>
        <w:rPr>
          <w:rFonts w:hint="eastAsia" w:ascii="Times New Roman" w:eastAsia="宋体"/>
          <w:b/>
          <w:bCs/>
          <w:sz w:val="24"/>
          <w:szCs w:val="24"/>
        </w:rPr>
        <w:t>并</w:t>
      </w:r>
      <w:r>
        <w:rPr>
          <w:rFonts w:ascii="Times New Roman" w:eastAsia="宋体"/>
          <w:b/>
          <w:bCs/>
          <w:sz w:val="24"/>
          <w:szCs w:val="24"/>
        </w:rPr>
        <w:t>单独密封。</w:t>
      </w:r>
    </w:p>
    <w:p w14:paraId="3A903B1B">
      <w:pPr>
        <w:pStyle w:val="6"/>
        <w:spacing w:line="360" w:lineRule="auto"/>
        <w:ind w:left="0" w:right="-260" w:rightChars="-124" w:firstLine="482" w:firstLineChars="200"/>
        <w:contextualSpacing/>
        <w:rPr>
          <w:rFonts w:ascii="Times New Roman" w:eastAsia="宋体"/>
          <w:b/>
          <w:bCs/>
          <w:sz w:val="24"/>
          <w:szCs w:val="24"/>
        </w:rPr>
      </w:pPr>
      <w:r>
        <w:rPr>
          <w:rFonts w:ascii="Times New Roman" w:eastAsia="宋体"/>
          <w:b/>
          <w:bCs/>
          <w:sz w:val="24"/>
          <w:szCs w:val="24"/>
        </w:rPr>
        <w:t>2、参选文件的编制</w:t>
      </w:r>
    </w:p>
    <w:p w14:paraId="4A385206">
      <w:pPr>
        <w:pStyle w:val="6"/>
        <w:spacing w:line="360" w:lineRule="auto"/>
        <w:ind w:left="0" w:firstLine="480" w:firstLineChars="200"/>
        <w:contextualSpacing/>
        <w:rPr>
          <w:rFonts w:ascii="Times New Roman" w:eastAsia="宋体"/>
          <w:sz w:val="24"/>
          <w:szCs w:val="24"/>
        </w:rPr>
      </w:pPr>
      <w:r>
        <w:rPr>
          <w:rFonts w:ascii="Times New Roman" w:eastAsia="宋体"/>
          <w:sz w:val="24"/>
          <w:szCs w:val="24"/>
        </w:rPr>
        <w:t>2.1 参选文件应按第五章“参选文件组成”进行编写，如有必要，可以增加附页，作为参选文件的组成部分。</w:t>
      </w:r>
    </w:p>
    <w:p w14:paraId="6DAF9A80">
      <w:pPr>
        <w:pStyle w:val="6"/>
        <w:spacing w:line="360" w:lineRule="auto"/>
        <w:ind w:left="0" w:firstLine="480" w:firstLineChars="200"/>
        <w:contextualSpacing/>
        <w:rPr>
          <w:rFonts w:ascii="Times New Roman" w:eastAsia="宋体"/>
          <w:sz w:val="24"/>
          <w:szCs w:val="24"/>
        </w:rPr>
      </w:pPr>
      <w:r>
        <w:rPr>
          <w:rFonts w:ascii="Times New Roman" w:eastAsia="宋体"/>
          <w:sz w:val="24"/>
          <w:szCs w:val="24"/>
        </w:rPr>
        <w:t>2.2</w:t>
      </w:r>
      <w:r>
        <w:rPr>
          <w:rFonts w:hint="eastAsia" w:ascii="Times New Roman" w:eastAsia="宋体"/>
          <w:sz w:val="24"/>
          <w:szCs w:val="24"/>
        </w:rPr>
        <w:t xml:space="preserve"> </w:t>
      </w:r>
      <w:r>
        <w:rPr>
          <w:rFonts w:ascii="Times New Roman" w:eastAsia="宋体"/>
          <w:sz w:val="24"/>
          <w:szCs w:val="24"/>
        </w:rPr>
        <w:t>纸质参选文件应用不褪色的材料书写或打印，并由参选人的法定代表人或其委托代理人签字或盖单位公章。委托代理人签字的，参选文件应附法定代表人签署的授权委托书。参选文件应尽量避免涂改、行间插字或删除。如果出现上述情况，改动之处应加盖单位章或由参选人的法定代表人或其授权的代理人签字确认。</w:t>
      </w:r>
    </w:p>
    <w:p w14:paraId="04C7170A">
      <w:pPr>
        <w:pStyle w:val="6"/>
        <w:spacing w:line="360" w:lineRule="auto"/>
        <w:ind w:left="0" w:firstLine="480" w:firstLineChars="200"/>
        <w:contextualSpacing/>
        <w:rPr>
          <w:rFonts w:ascii="Times New Roman" w:eastAsia="宋体"/>
          <w:sz w:val="24"/>
          <w:szCs w:val="24"/>
        </w:rPr>
      </w:pPr>
      <w:r>
        <w:rPr>
          <w:rFonts w:ascii="Times New Roman" w:eastAsia="宋体"/>
          <w:sz w:val="24"/>
          <w:szCs w:val="24"/>
        </w:rPr>
        <w:t>2.3</w:t>
      </w:r>
      <w:r>
        <w:rPr>
          <w:rFonts w:hint="eastAsia" w:ascii="Times New Roman" w:eastAsia="宋体"/>
          <w:sz w:val="24"/>
          <w:szCs w:val="24"/>
        </w:rPr>
        <w:t xml:space="preserve"> </w:t>
      </w:r>
      <w:r>
        <w:rPr>
          <w:rFonts w:ascii="Times New Roman" w:eastAsia="宋体"/>
          <w:sz w:val="24"/>
          <w:szCs w:val="24"/>
        </w:rPr>
        <w:t>参选文件纸质正本一份，纸质副本四份。正本和副本的封面上应清楚地标记“正本”或“副本”的字样。当副本和正本不一致时，以正本为准。</w:t>
      </w:r>
    </w:p>
    <w:p w14:paraId="64CB9BE5">
      <w:pPr>
        <w:pStyle w:val="6"/>
        <w:spacing w:line="360" w:lineRule="auto"/>
        <w:ind w:left="0" w:right="-260" w:rightChars="-124" w:firstLine="480" w:firstLineChars="200"/>
        <w:contextualSpacing/>
        <w:rPr>
          <w:rFonts w:ascii="Times New Roman" w:eastAsia="宋体"/>
          <w:sz w:val="24"/>
          <w:szCs w:val="24"/>
        </w:rPr>
      </w:pPr>
      <w:r>
        <w:rPr>
          <w:rFonts w:ascii="Times New Roman" w:eastAsia="宋体"/>
          <w:sz w:val="24"/>
          <w:szCs w:val="24"/>
        </w:rPr>
        <w:t>2.4</w:t>
      </w:r>
      <w:r>
        <w:rPr>
          <w:rFonts w:hint="eastAsia" w:ascii="Times New Roman" w:eastAsia="宋体"/>
          <w:sz w:val="24"/>
          <w:szCs w:val="24"/>
        </w:rPr>
        <w:t xml:space="preserve"> </w:t>
      </w:r>
      <w:r>
        <w:rPr>
          <w:rFonts w:ascii="Times New Roman" w:eastAsia="宋体"/>
          <w:sz w:val="24"/>
          <w:szCs w:val="24"/>
        </w:rPr>
        <w:t>参选文件的正本与副本应分别装订成册，并编制目录。</w:t>
      </w:r>
    </w:p>
    <w:p w14:paraId="7228820C">
      <w:pPr>
        <w:pStyle w:val="6"/>
        <w:spacing w:line="360" w:lineRule="auto"/>
        <w:ind w:left="0" w:firstLine="482" w:firstLineChars="200"/>
        <w:contextualSpacing/>
        <w:rPr>
          <w:rFonts w:ascii="Times New Roman" w:eastAsia="宋体"/>
          <w:b/>
          <w:bCs/>
          <w:sz w:val="24"/>
          <w:szCs w:val="24"/>
          <w:u w:val="single"/>
        </w:rPr>
      </w:pPr>
      <w:r>
        <w:rPr>
          <w:rFonts w:ascii="Times New Roman" w:eastAsia="宋体"/>
          <w:b/>
          <w:bCs/>
          <w:sz w:val="24"/>
          <w:szCs w:val="24"/>
          <w:u w:val="single"/>
        </w:rPr>
        <w:t>2.5</w:t>
      </w:r>
      <w:r>
        <w:rPr>
          <w:rFonts w:hint="eastAsia" w:ascii="Times New Roman" w:eastAsia="宋体"/>
          <w:b/>
          <w:bCs/>
          <w:sz w:val="24"/>
          <w:szCs w:val="24"/>
          <w:u w:val="single"/>
        </w:rPr>
        <w:t xml:space="preserve"> 服务方案页数</w:t>
      </w:r>
      <w:r>
        <w:rPr>
          <w:rFonts w:ascii="Times New Roman" w:eastAsia="宋体"/>
          <w:b/>
          <w:bCs/>
          <w:sz w:val="24"/>
          <w:szCs w:val="24"/>
          <w:u w:val="single"/>
        </w:rPr>
        <w:t>（不包括封面、封底、目录）须控制在50页（含）内，双面打印。</w:t>
      </w:r>
    </w:p>
    <w:p w14:paraId="1711E8BE">
      <w:pPr>
        <w:pStyle w:val="6"/>
        <w:spacing w:line="360" w:lineRule="auto"/>
        <w:ind w:left="0" w:right="-260" w:rightChars="-124" w:firstLine="482" w:firstLineChars="200"/>
        <w:contextualSpacing/>
        <w:rPr>
          <w:rFonts w:ascii="Times New Roman" w:eastAsia="宋体"/>
          <w:b/>
          <w:bCs/>
          <w:sz w:val="24"/>
          <w:szCs w:val="24"/>
        </w:rPr>
      </w:pPr>
      <w:r>
        <w:rPr>
          <w:rFonts w:ascii="Times New Roman" w:eastAsia="宋体"/>
          <w:b/>
          <w:bCs/>
          <w:sz w:val="24"/>
          <w:szCs w:val="24"/>
        </w:rPr>
        <w:t>3、参选文件的密封</w:t>
      </w:r>
    </w:p>
    <w:p w14:paraId="251A8788">
      <w:pPr>
        <w:pStyle w:val="6"/>
        <w:spacing w:line="360" w:lineRule="auto"/>
        <w:ind w:left="0" w:firstLine="480" w:firstLineChars="200"/>
        <w:contextualSpacing/>
        <w:rPr>
          <w:rFonts w:ascii="Times New Roman" w:eastAsia="宋体"/>
          <w:sz w:val="24"/>
          <w:szCs w:val="24"/>
        </w:rPr>
      </w:pPr>
      <w:r>
        <w:rPr>
          <w:rFonts w:ascii="Times New Roman" w:eastAsia="宋体"/>
          <w:sz w:val="24"/>
          <w:szCs w:val="24"/>
        </w:rPr>
        <w:t>3.1资格审查文件、</w:t>
      </w:r>
      <w:r>
        <w:rPr>
          <w:rFonts w:hint="eastAsia" w:ascii="Times New Roman" w:eastAsia="宋体"/>
          <w:sz w:val="24"/>
          <w:szCs w:val="24"/>
        </w:rPr>
        <w:t>商务技术</w:t>
      </w:r>
      <w:r>
        <w:rPr>
          <w:rFonts w:ascii="Times New Roman" w:eastAsia="宋体"/>
          <w:sz w:val="24"/>
          <w:szCs w:val="24"/>
        </w:rPr>
        <w:t>文件应分别密封。封袋上（最外面）都应写明参选单位名称，并于封袋上加盖参选单位公章。</w:t>
      </w:r>
    </w:p>
    <w:p w14:paraId="05CE4354">
      <w:pPr>
        <w:pStyle w:val="6"/>
        <w:spacing w:line="360" w:lineRule="auto"/>
        <w:ind w:left="0" w:right="-260" w:rightChars="-124" w:firstLine="480" w:firstLineChars="200"/>
        <w:contextualSpacing/>
        <w:rPr>
          <w:rFonts w:ascii="Times New Roman" w:eastAsia="宋体"/>
          <w:sz w:val="24"/>
          <w:szCs w:val="24"/>
        </w:rPr>
      </w:pPr>
      <w:r>
        <w:rPr>
          <w:rFonts w:ascii="Times New Roman" w:eastAsia="宋体"/>
          <w:sz w:val="24"/>
          <w:szCs w:val="24"/>
        </w:rPr>
        <w:t>3.2未按本章第3.1项要求密封和加写标记的参选文件，比选人不予受理。</w:t>
      </w:r>
    </w:p>
    <w:p w14:paraId="54F9959A">
      <w:pPr>
        <w:spacing w:line="360" w:lineRule="auto"/>
        <w:ind w:right="-260" w:rightChars="-124" w:firstLine="482" w:firstLineChars="200"/>
        <w:outlineLvl w:val="1"/>
        <w:rPr>
          <w:b/>
          <w:sz w:val="24"/>
        </w:rPr>
      </w:pPr>
      <w:bookmarkStart w:id="46" w:name="_Toc13695"/>
      <w:bookmarkStart w:id="47" w:name="_Toc22603"/>
      <w:bookmarkStart w:id="48" w:name="_Toc8201"/>
      <w:r>
        <w:rPr>
          <w:b/>
          <w:sz w:val="24"/>
        </w:rPr>
        <w:t>四、</w:t>
      </w:r>
      <w:bookmarkEnd w:id="46"/>
      <w:bookmarkEnd w:id="47"/>
      <w:r>
        <w:rPr>
          <w:b/>
          <w:sz w:val="24"/>
        </w:rPr>
        <w:t>参选报价</w:t>
      </w:r>
    </w:p>
    <w:bookmarkEnd w:id="48"/>
    <w:p w14:paraId="05ED159B">
      <w:pPr>
        <w:pStyle w:val="19"/>
        <w:spacing w:line="360" w:lineRule="auto"/>
        <w:ind w:firstLine="482" w:firstLineChars="200"/>
        <w:rPr>
          <w:sz w:val="24"/>
        </w:rPr>
      </w:pPr>
      <w:bookmarkStart w:id="49" w:name="_Toc7787"/>
      <w:r>
        <w:rPr>
          <w:sz w:val="24"/>
        </w:rPr>
        <w:t>参选人递交的各项参选报价不得违反人民银行或其他管理机构关于收益率上限的自律协定等要求，若参选报价违反相关要求，其参选将予以否决。报价表中的参选报价为参选人的最终报价，比选人不接受参选人递交的降价函、调价函及按比例优惠等任何其他形式的报价，只允许一个参选报价，参选币种为人民币。</w:t>
      </w:r>
    </w:p>
    <w:p w14:paraId="73629AEB">
      <w:pPr>
        <w:pStyle w:val="19"/>
        <w:spacing w:line="440" w:lineRule="exact"/>
        <w:ind w:firstLine="482" w:firstLineChars="200"/>
        <w:rPr>
          <w:sz w:val="24"/>
        </w:rPr>
      </w:pPr>
      <w:r>
        <w:rPr>
          <w:sz w:val="24"/>
        </w:rPr>
        <w:t>参选人应依据国家的有关费用标准和企业自身状况，并对报价的各项因素进行了充分了解和考虑后编制参选报价，并对此报价负责。</w:t>
      </w:r>
    </w:p>
    <w:p w14:paraId="28DE31BE">
      <w:pPr>
        <w:pStyle w:val="19"/>
        <w:spacing w:line="440" w:lineRule="exact"/>
        <w:ind w:firstLine="482" w:firstLineChars="200"/>
        <w:rPr>
          <w:sz w:val="24"/>
        </w:rPr>
      </w:pPr>
      <w:r>
        <w:rPr>
          <w:sz w:val="24"/>
        </w:rPr>
        <w:t>招标代理费</w:t>
      </w:r>
      <w:r>
        <w:rPr>
          <w:rFonts w:hint="eastAsia"/>
          <w:sz w:val="24"/>
        </w:rPr>
        <w:t>人民币3200.00</w:t>
      </w:r>
      <w:r>
        <w:rPr>
          <w:sz w:val="24"/>
        </w:rPr>
        <w:t>元，由中选人</w:t>
      </w:r>
      <w:r>
        <w:rPr>
          <w:rFonts w:hint="eastAsia"/>
          <w:sz w:val="24"/>
        </w:rPr>
        <w:t>按30：25：25：20分摊，</w:t>
      </w:r>
      <w:r>
        <w:rPr>
          <w:sz w:val="24"/>
        </w:rPr>
        <w:t>在签发中选通知书前向招标代理公司支付。此费用单独列支，不含在参选报价内。如中选人不支付招标代理费，中选无效。</w:t>
      </w:r>
    </w:p>
    <w:p w14:paraId="6F270FFA">
      <w:pPr>
        <w:spacing w:line="360" w:lineRule="auto"/>
        <w:ind w:right="-260" w:rightChars="-124" w:firstLine="482" w:firstLineChars="200"/>
        <w:outlineLvl w:val="1"/>
        <w:rPr>
          <w:b/>
          <w:sz w:val="24"/>
        </w:rPr>
      </w:pPr>
      <w:bookmarkStart w:id="50" w:name="_Toc19405"/>
      <w:bookmarkStart w:id="51" w:name="_Toc22324"/>
      <w:r>
        <w:rPr>
          <w:b/>
          <w:sz w:val="24"/>
        </w:rPr>
        <w:t>五、参选有效期和</w:t>
      </w:r>
      <w:bookmarkEnd w:id="50"/>
      <w:bookmarkEnd w:id="51"/>
      <w:r>
        <w:rPr>
          <w:b/>
          <w:sz w:val="24"/>
        </w:rPr>
        <w:t>参选保证金</w:t>
      </w:r>
    </w:p>
    <w:p w14:paraId="489CCE60">
      <w:pPr>
        <w:spacing w:line="360" w:lineRule="auto"/>
        <w:ind w:firstLine="480" w:firstLineChars="200"/>
        <w:rPr>
          <w:sz w:val="24"/>
        </w:rPr>
      </w:pPr>
      <w:r>
        <w:rPr>
          <w:sz w:val="24"/>
        </w:rPr>
        <w:t>1、参选有效期为本项目开标之日后九十天，在参选有效期内参选人不得要求撤销或修改其参选文件。</w:t>
      </w:r>
    </w:p>
    <w:p w14:paraId="42A609B9">
      <w:pPr>
        <w:spacing w:line="360" w:lineRule="auto"/>
        <w:ind w:firstLine="480" w:firstLineChars="200"/>
        <w:rPr>
          <w:sz w:val="24"/>
        </w:rPr>
      </w:pPr>
      <w:r>
        <w:rPr>
          <w:sz w:val="24"/>
        </w:rPr>
        <w:t>2、出现特殊情况需要延长参选有效期的，比选人以书面形式通知所有参选人延长参选有效期。参选人同意延长的，应相应延长其参选保证金的有效期，但不得要求或被允许修改或撤销其参选文件；参选人拒绝延长的，其参选失效，但参选人有权收回其参选保证金。</w:t>
      </w:r>
    </w:p>
    <w:p w14:paraId="76CFD7AB">
      <w:pPr>
        <w:spacing w:line="360" w:lineRule="auto"/>
        <w:ind w:right="-260" w:rightChars="-124" w:firstLine="480" w:firstLineChars="200"/>
        <w:rPr>
          <w:sz w:val="24"/>
        </w:rPr>
      </w:pPr>
      <w:r>
        <w:rPr>
          <w:sz w:val="24"/>
        </w:rPr>
        <w:t>3、参选保证金</w:t>
      </w:r>
    </w:p>
    <w:p w14:paraId="1E91B6AE">
      <w:pPr>
        <w:spacing w:line="360" w:lineRule="auto"/>
        <w:ind w:right="-260" w:rightChars="-124" w:firstLine="480" w:firstLineChars="200"/>
        <w:rPr>
          <w:sz w:val="24"/>
        </w:rPr>
      </w:pPr>
      <w:bookmarkStart w:id="52" w:name="_Toc10623"/>
      <w:r>
        <w:rPr>
          <w:sz w:val="24"/>
        </w:rPr>
        <w:t>免收。</w:t>
      </w:r>
    </w:p>
    <w:bookmarkEnd w:id="49"/>
    <w:bookmarkEnd w:id="52"/>
    <w:p w14:paraId="5719F8EB">
      <w:pPr>
        <w:spacing w:line="360" w:lineRule="auto"/>
        <w:ind w:firstLine="480" w:firstLineChars="200"/>
        <w:rPr>
          <w:sz w:val="24"/>
        </w:rPr>
      </w:pPr>
      <w:r>
        <w:rPr>
          <w:sz w:val="24"/>
        </w:rPr>
        <w:t>4、参选人承担参与比选可能发生的全部费用，比选人在任何情况下均无义务和责任承担这些费用。</w:t>
      </w:r>
    </w:p>
    <w:p w14:paraId="1A6F22B2">
      <w:pPr>
        <w:spacing w:line="360" w:lineRule="auto"/>
        <w:ind w:right="-260" w:rightChars="-124" w:firstLine="480" w:firstLineChars="200"/>
        <w:rPr>
          <w:sz w:val="24"/>
        </w:rPr>
      </w:pPr>
      <w:r>
        <w:rPr>
          <w:sz w:val="24"/>
        </w:rPr>
        <w:t>5、比选人不收取任何费用。</w:t>
      </w:r>
    </w:p>
    <w:p w14:paraId="3492B98B">
      <w:pPr>
        <w:spacing w:line="360" w:lineRule="auto"/>
        <w:ind w:right="-260" w:rightChars="-124" w:firstLine="482" w:firstLineChars="200"/>
        <w:outlineLvl w:val="1"/>
        <w:rPr>
          <w:b/>
          <w:sz w:val="24"/>
        </w:rPr>
      </w:pPr>
      <w:bookmarkStart w:id="53" w:name="_Toc11900"/>
      <w:bookmarkStart w:id="54" w:name="_Toc25770"/>
      <w:bookmarkStart w:id="55" w:name="_Toc14486"/>
      <w:r>
        <w:rPr>
          <w:b/>
          <w:sz w:val="24"/>
        </w:rPr>
        <w:t>六、开标与评标流程</w:t>
      </w:r>
      <w:bookmarkEnd w:id="53"/>
      <w:bookmarkEnd w:id="54"/>
    </w:p>
    <w:bookmarkEnd w:id="55"/>
    <w:p w14:paraId="7BE4C9C8">
      <w:pPr>
        <w:spacing w:line="360" w:lineRule="auto"/>
        <w:ind w:right="-260" w:rightChars="-124" w:firstLine="480" w:firstLineChars="200"/>
        <w:rPr>
          <w:sz w:val="24"/>
        </w:rPr>
      </w:pPr>
      <w:bookmarkStart w:id="56" w:name="_Toc17626"/>
      <w:r>
        <w:rPr>
          <w:sz w:val="24"/>
        </w:rPr>
        <w:t>1、</w:t>
      </w:r>
      <w:bookmarkEnd w:id="56"/>
      <w:bookmarkStart w:id="57" w:name="_Toc13869"/>
      <w:r>
        <w:rPr>
          <w:sz w:val="24"/>
        </w:rPr>
        <w:t>开标程序</w:t>
      </w:r>
      <w:bookmarkEnd w:id="57"/>
    </w:p>
    <w:p w14:paraId="131DF804">
      <w:pPr>
        <w:spacing w:line="360" w:lineRule="auto"/>
        <w:ind w:right="-260" w:rightChars="-124" w:firstLine="480" w:firstLineChars="200"/>
        <w:rPr>
          <w:sz w:val="24"/>
        </w:rPr>
      </w:pPr>
      <w:r>
        <w:rPr>
          <w:sz w:val="24"/>
        </w:rPr>
        <w:t>（1）评标委员会进行资格审查文件评审；</w:t>
      </w:r>
    </w:p>
    <w:p w14:paraId="7FC07CC1">
      <w:pPr>
        <w:spacing w:line="360" w:lineRule="auto"/>
        <w:ind w:right="-260" w:rightChars="-124" w:firstLine="480" w:firstLineChars="200"/>
        <w:rPr>
          <w:sz w:val="24"/>
        </w:rPr>
      </w:pPr>
      <w:r>
        <w:rPr>
          <w:sz w:val="24"/>
        </w:rPr>
        <w:t>（2）评标委员会进行评审；</w:t>
      </w:r>
    </w:p>
    <w:p w14:paraId="167EE703">
      <w:pPr>
        <w:spacing w:line="360" w:lineRule="auto"/>
        <w:ind w:right="-260" w:rightChars="-124" w:firstLine="480" w:firstLineChars="200"/>
        <w:rPr>
          <w:sz w:val="24"/>
        </w:rPr>
      </w:pPr>
      <w:r>
        <w:rPr>
          <w:sz w:val="24"/>
        </w:rPr>
        <w:t>（3）汇总分得分，形成评审结果；</w:t>
      </w:r>
    </w:p>
    <w:p w14:paraId="1D710AF9">
      <w:pPr>
        <w:spacing w:line="360" w:lineRule="auto"/>
        <w:ind w:right="-260" w:rightChars="-124" w:firstLine="480" w:firstLineChars="200"/>
        <w:rPr>
          <w:sz w:val="24"/>
        </w:rPr>
      </w:pPr>
      <w:r>
        <w:rPr>
          <w:sz w:val="24"/>
        </w:rPr>
        <w:t>（4）宣布中选候选人；</w:t>
      </w:r>
    </w:p>
    <w:p w14:paraId="14BEC4BB">
      <w:pPr>
        <w:spacing w:line="360" w:lineRule="auto"/>
        <w:ind w:right="-260" w:rightChars="-124" w:firstLine="480" w:firstLineChars="200"/>
        <w:rPr>
          <w:sz w:val="24"/>
        </w:rPr>
      </w:pPr>
      <w:r>
        <w:rPr>
          <w:sz w:val="24"/>
        </w:rPr>
        <w:t>（5）开标会议结束。</w:t>
      </w:r>
    </w:p>
    <w:p w14:paraId="758DFE57">
      <w:pPr>
        <w:spacing w:line="360" w:lineRule="auto"/>
        <w:ind w:right="-260" w:rightChars="-124" w:firstLine="480" w:firstLineChars="200"/>
        <w:rPr>
          <w:sz w:val="24"/>
        </w:rPr>
      </w:pPr>
      <w:bookmarkStart w:id="58" w:name="_Toc19329"/>
      <w:bookmarkStart w:id="59" w:name="_Toc21198"/>
      <w:r>
        <w:rPr>
          <w:sz w:val="24"/>
        </w:rPr>
        <w:t>2、评标委员会</w:t>
      </w:r>
      <w:bookmarkEnd w:id="58"/>
    </w:p>
    <w:p w14:paraId="63634996">
      <w:pPr>
        <w:spacing w:line="360" w:lineRule="auto"/>
        <w:ind w:firstLine="480" w:firstLineChars="200"/>
        <w:rPr>
          <w:sz w:val="24"/>
        </w:rPr>
      </w:pPr>
      <w:r>
        <w:rPr>
          <w:sz w:val="24"/>
        </w:rPr>
        <w:t>评标由比选人依法组建的评标委员会负责，评标委员会由比选人熟悉相关业务的代表，以及有关技术、经济等方面的专家组成，评委委员构成为5人及以上的单数。</w:t>
      </w:r>
    </w:p>
    <w:p w14:paraId="730AF49A">
      <w:pPr>
        <w:spacing w:line="360" w:lineRule="auto"/>
        <w:ind w:right="-260" w:rightChars="-124" w:firstLine="480" w:firstLineChars="200"/>
        <w:rPr>
          <w:sz w:val="24"/>
        </w:rPr>
      </w:pPr>
      <w:bookmarkStart w:id="60" w:name="_Toc1289"/>
      <w:r>
        <w:rPr>
          <w:sz w:val="24"/>
        </w:rPr>
        <w:t>3、评标</w:t>
      </w:r>
      <w:bookmarkEnd w:id="60"/>
    </w:p>
    <w:p w14:paraId="0656B47B">
      <w:pPr>
        <w:spacing w:line="360" w:lineRule="auto"/>
        <w:ind w:firstLine="480" w:firstLineChars="200"/>
        <w:rPr>
          <w:sz w:val="24"/>
        </w:rPr>
      </w:pPr>
      <w:r>
        <w:rPr>
          <w:sz w:val="24"/>
        </w:rPr>
        <w:t>评标活动遵循公平、公正、科学和择优的原则。评标委员会按照第四章“评标办法与评标标准”规定的方法、评审因素、标准和程序对参选文件进行评审。第四章“评标办法与评标标准”没有规定的方法、评审因素和标准，不作为评标依据。</w:t>
      </w:r>
    </w:p>
    <w:p w14:paraId="475681F7">
      <w:pPr>
        <w:spacing w:line="360" w:lineRule="auto"/>
        <w:ind w:firstLine="480" w:firstLineChars="200"/>
        <w:rPr>
          <w:sz w:val="24"/>
        </w:rPr>
      </w:pPr>
      <w:r>
        <w:rPr>
          <w:sz w:val="24"/>
        </w:rPr>
        <w:t>对参选文件中含义不明确、同类问题表述不一致或者有明显文字和计算错误的内容，评标委员会可以要求参选人做出必要的澄清、说明或者纠正。参选人的澄清、说明或者补正应当采用书面形式，由其授权的代表签字，并不得超出参选文件的范围或者改变参选文件的实质性内容。</w:t>
      </w:r>
    </w:p>
    <w:p w14:paraId="5CC4ABCF">
      <w:pPr>
        <w:spacing w:line="360" w:lineRule="auto"/>
        <w:ind w:firstLine="480" w:firstLineChars="200"/>
        <w:rPr>
          <w:sz w:val="24"/>
        </w:rPr>
      </w:pPr>
      <w:r>
        <w:rPr>
          <w:sz w:val="24"/>
        </w:rPr>
        <w:t>若某标段中选人放弃中选或者因被投诉且已查实的，不影响其他标段结果。评标委员会将按照评审结果推选中标候选人。</w:t>
      </w:r>
    </w:p>
    <w:bookmarkEnd w:id="59"/>
    <w:p w14:paraId="7FFFFE2F">
      <w:pPr>
        <w:snapToGrid w:val="0"/>
        <w:spacing w:line="360" w:lineRule="auto"/>
        <w:ind w:right="-260" w:rightChars="-124"/>
        <w:jc w:val="center"/>
        <w:outlineLvl w:val="0"/>
        <w:rPr>
          <w:b/>
          <w:sz w:val="32"/>
          <w:szCs w:val="32"/>
        </w:rPr>
      </w:pPr>
      <w:r>
        <w:rPr>
          <w:b/>
          <w:bCs/>
          <w:sz w:val="24"/>
          <w:lang w:val="zh-CN"/>
        </w:rPr>
        <w:br w:type="page"/>
      </w:r>
      <w:bookmarkStart w:id="61" w:name="_Toc483"/>
      <w:r>
        <w:rPr>
          <w:b/>
          <w:sz w:val="32"/>
          <w:szCs w:val="32"/>
        </w:rPr>
        <w:t>第三章  用户需求书</w:t>
      </w:r>
      <w:bookmarkEnd w:id="61"/>
    </w:p>
    <w:p w14:paraId="1AC7570C">
      <w:pPr>
        <w:spacing w:line="360" w:lineRule="auto"/>
        <w:ind w:right="-260" w:rightChars="-124" w:firstLine="480" w:firstLineChars="200"/>
        <w:rPr>
          <w:sz w:val="24"/>
        </w:rPr>
      </w:pPr>
    </w:p>
    <w:p w14:paraId="6C633881">
      <w:pPr>
        <w:spacing w:line="360" w:lineRule="auto"/>
        <w:ind w:firstLine="480" w:firstLineChars="200"/>
        <w:rPr>
          <w:sz w:val="24"/>
        </w:rPr>
      </w:pPr>
      <w:r>
        <w:rPr>
          <w:sz w:val="24"/>
        </w:rPr>
        <w:t>根据轨道集团资金管理相关要求，拟选定合作银行机构参与南通轨道交通集团有限公司灵活资金存放管理。</w:t>
      </w:r>
    </w:p>
    <w:p w14:paraId="357BA234">
      <w:pPr>
        <w:spacing w:line="360" w:lineRule="auto"/>
        <w:ind w:right="-260" w:rightChars="-124" w:firstLine="480" w:firstLineChars="200"/>
        <w:rPr>
          <w:sz w:val="24"/>
        </w:rPr>
      </w:pPr>
      <w:r>
        <w:rPr>
          <w:sz w:val="24"/>
        </w:rPr>
        <w:t>一、项目概况</w:t>
      </w:r>
    </w:p>
    <w:p w14:paraId="630A69BF">
      <w:pPr>
        <w:spacing w:line="360" w:lineRule="auto"/>
        <w:ind w:firstLine="480" w:firstLineChars="200"/>
        <w:rPr>
          <w:sz w:val="24"/>
        </w:rPr>
      </w:pPr>
      <w:r>
        <w:rPr>
          <w:sz w:val="24"/>
        </w:rPr>
        <w:t>1.</w:t>
      </w:r>
      <w:r>
        <w:rPr>
          <w:rFonts w:hint="eastAsia"/>
          <w:sz w:val="24"/>
        </w:rPr>
        <w:t xml:space="preserve"> </w:t>
      </w:r>
      <w:r>
        <w:rPr>
          <w:sz w:val="24"/>
        </w:rPr>
        <w:t>选取合作银行4家，资金在中选银行原有的一般存款账户管理，原则上不再开设新的银行账户。</w:t>
      </w:r>
    </w:p>
    <w:p w14:paraId="2187C1D2">
      <w:pPr>
        <w:spacing w:line="360" w:lineRule="auto"/>
        <w:ind w:firstLine="480" w:firstLineChars="200"/>
        <w:rPr>
          <w:sz w:val="24"/>
        </w:rPr>
      </w:pPr>
      <w:r>
        <w:rPr>
          <w:sz w:val="24"/>
        </w:rPr>
        <w:t>2.</w:t>
      </w:r>
      <w:r>
        <w:rPr>
          <w:rFonts w:hint="eastAsia"/>
          <w:sz w:val="24"/>
        </w:rPr>
        <w:t xml:space="preserve"> </w:t>
      </w:r>
      <w:r>
        <w:rPr>
          <w:sz w:val="24"/>
        </w:rPr>
        <w:t>存放资金规模无法明确约定，具体金额视轨道集团资金情况动态变化。资金分布按照中选银行排名先后确定，比例大致为30%</w:t>
      </w:r>
      <w:r>
        <w:rPr>
          <w:rFonts w:hint="eastAsia"/>
          <w:sz w:val="24"/>
        </w:rPr>
        <w:t>、</w:t>
      </w:r>
      <w:r>
        <w:rPr>
          <w:sz w:val="24"/>
        </w:rPr>
        <w:t>25%</w:t>
      </w:r>
      <w:r>
        <w:rPr>
          <w:rFonts w:hint="eastAsia"/>
          <w:sz w:val="24"/>
        </w:rPr>
        <w:t>、</w:t>
      </w:r>
      <w:r>
        <w:rPr>
          <w:sz w:val="24"/>
        </w:rPr>
        <w:t>25%</w:t>
      </w:r>
      <w:r>
        <w:rPr>
          <w:rFonts w:hint="eastAsia"/>
          <w:sz w:val="24"/>
        </w:rPr>
        <w:t>、</w:t>
      </w:r>
      <w:r>
        <w:rPr>
          <w:sz w:val="24"/>
        </w:rPr>
        <w:t>20%。资金使用时，按照综合评分排名先后顺序，同等情况下优先使用排名靠后的银行账户资金。</w:t>
      </w:r>
    </w:p>
    <w:p w14:paraId="70234B4F">
      <w:pPr>
        <w:spacing w:line="360" w:lineRule="auto"/>
        <w:ind w:right="-260" w:rightChars="-124" w:firstLine="480" w:firstLineChars="200"/>
        <w:rPr>
          <w:sz w:val="24"/>
        </w:rPr>
      </w:pPr>
      <w:r>
        <w:rPr>
          <w:sz w:val="24"/>
        </w:rPr>
        <w:t>3.</w:t>
      </w:r>
      <w:r>
        <w:rPr>
          <w:rFonts w:hint="eastAsia"/>
          <w:sz w:val="24"/>
        </w:rPr>
        <w:t xml:space="preserve"> </w:t>
      </w:r>
      <w:r>
        <w:rPr>
          <w:sz w:val="24"/>
        </w:rPr>
        <w:t>合作期限：自比选结果公示结束后起一年。</w:t>
      </w:r>
    </w:p>
    <w:p w14:paraId="150D147B">
      <w:pPr>
        <w:spacing w:line="360" w:lineRule="auto"/>
        <w:ind w:right="-260" w:rightChars="-124" w:firstLine="480" w:firstLineChars="200"/>
        <w:rPr>
          <w:sz w:val="24"/>
        </w:rPr>
      </w:pPr>
      <w:r>
        <w:rPr>
          <w:sz w:val="24"/>
        </w:rPr>
        <w:t>二、保密要求：</w:t>
      </w:r>
    </w:p>
    <w:p w14:paraId="31D7730C">
      <w:pPr>
        <w:spacing w:line="360" w:lineRule="auto"/>
        <w:ind w:firstLine="480" w:firstLineChars="200"/>
        <w:rPr>
          <w:sz w:val="24"/>
        </w:rPr>
      </w:pPr>
      <w:r>
        <w:rPr>
          <w:sz w:val="24"/>
        </w:rPr>
        <w:t>中选人应妥善做好比选人所提供的文件资料的保存、回收及保密工作。不得公开涉及比选人的专利、专有技术或其他需保密的资料，不得泄露与业务有关的技术、商务等秘密。</w:t>
      </w:r>
    </w:p>
    <w:p w14:paraId="31656E53">
      <w:pPr>
        <w:spacing w:line="360" w:lineRule="auto"/>
        <w:ind w:right="-260" w:rightChars="-124" w:firstLine="480" w:firstLineChars="200"/>
        <w:rPr>
          <w:sz w:val="24"/>
        </w:rPr>
        <w:sectPr>
          <w:footerReference r:id="rId4" w:type="default"/>
          <w:pgSz w:w="11905" w:h="16838"/>
          <w:pgMar w:top="1440" w:right="1202" w:bottom="1440" w:left="1463" w:header="850" w:footer="992" w:gutter="0"/>
          <w:pgNumType w:start="1"/>
          <w:cols w:space="0" w:num="1"/>
          <w:docGrid w:type="lines" w:linePitch="325" w:charSpace="0"/>
        </w:sectPr>
      </w:pPr>
    </w:p>
    <w:bookmarkEnd w:id="5"/>
    <w:bookmarkEnd w:id="6"/>
    <w:bookmarkEnd w:id="7"/>
    <w:p w14:paraId="1B462D43">
      <w:pPr>
        <w:snapToGrid w:val="0"/>
        <w:spacing w:line="360" w:lineRule="auto"/>
        <w:ind w:right="-260" w:rightChars="-124"/>
        <w:jc w:val="center"/>
        <w:outlineLvl w:val="0"/>
        <w:rPr>
          <w:b/>
          <w:sz w:val="32"/>
          <w:szCs w:val="32"/>
        </w:rPr>
      </w:pPr>
      <w:bookmarkStart w:id="62" w:name="_Toc15053"/>
      <w:bookmarkStart w:id="63" w:name="_Toc12936"/>
      <w:bookmarkStart w:id="64" w:name="_Toc5535"/>
      <w:bookmarkStart w:id="65" w:name="_Toc14593"/>
      <w:bookmarkStart w:id="66" w:name="_Toc1207"/>
      <w:r>
        <w:rPr>
          <w:b/>
          <w:sz w:val="32"/>
          <w:szCs w:val="32"/>
        </w:rPr>
        <w:t xml:space="preserve">第四章  </w:t>
      </w:r>
      <w:bookmarkEnd w:id="62"/>
      <w:r>
        <w:rPr>
          <w:b/>
          <w:sz w:val="32"/>
          <w:szCs w:val="32"/>
        </w:rPr>
        <w:t>评标办法与评标标准</w:t>
      </w:r>
      <w:bookmarkEnd w:id="63"/>
      <w:bookmarkEnd w:id="64"/>
      <w:bookmarkEnd w:id="65"/>
      <w:bookmarkEnd w:id="66"/>
    </w:p>
    <w:p w14:paraId="6E432546">
      <w:pPr>
        <w:spacing w:line="360" w:lineRule="auto"/>
        <w:ind w:right="-260" w:rightChars="-124" w:firstLine="570"/>
        <w:rPr>
          <w:b/>
          <w:bCs/>
          <w:sz w:val="24"/>
        </w:rPr>
      </w:pPr>
    </w:p>
    <w:p w14:paraId="20F9E8A4">
      <w:pPr>
        <w:spacing w:line="360" w:lineRule="auto"/>
        <w:ind w:right="-260" w:rightChars="-124" w:firstLine="570"/>
        <w:rPr>
          <w:b/>
          <w:bCs/>
          <w:sz w:val="24"/>
        </w:rPr>
      </w:pPr>
      <w:r>
        <w:rPr>
          <w:b/>
          <w:bCs/>
          <w:sz w:val="24"/>
        </w:rPr>
        <w:t>一、比选人组织开标。</w:t>
      </w:r>
    </w:p>
    <w:p w14:paraId="2E5E98F2">
      <w:pPr>
        <w:spacing w:line="360" w:lineRule="auto"/>
        <w:ind w:firstLine="570"/>
        <w:rPr>
          <w:b/>
          <w:bCs/>
          <w:sz w:val="24"/>
        </w:rPr>
      </w:pPr>
      <w:r>
        <w:rPr>
          <w:b/>
          <w:bCs/>
          <w:sz w:val="24"/>
        </w:rPr>
        <w:t>二、评委会由有关专家和</w:t>
      </w:r>
      <w:r>
        <w:rPr>
          <w:b/>
          <w:sz w:val="24"/>
        </w:rPr>
        <w:t>比选人代表</w:t>
      </w:r>
      <w:r>
        <w:rPr>
          <w:b/>
          <w:bCs/>
          <w:sz w:val="24"/>
        </w:rPr>
        <w:t>组成</w:t>
      </w:r>
      <w:r>
        <w:rPr>
          <w:b/>
          <w:sz w:val="24"/>
        </w:rPr>
        <w:t>，按照</w:t>
      </w:r>
      <w:r>
        <w:rPr>
          <w:b/>
          <w:bCs/>
          <w:sz w:val="24"/>
        </w:rPr>
        <w:t>公平、公正、择优的原则进行</w:t>
      </w:r>
      <w:r>
        <w:rPr>
          <w:b/>
          <w:sz w:val="24"/>
        </w:rPr>
        <w:t>独立</w:t>
      </w:r>
      <w:r>
        <w:rPr>
          <w:b/>
          <w:bCs/>
          <w:sz w:val="24"/>
        </w:rPr>
        <w:t>评标。</w:t>
      </w:r>
    </w:p>
    <w:p w14:paraId="7E1E4CAF">
      <w:pPr>
        <w:spacing w:line="360" w:lineRule="auto"/>
        <w:ind w:firstLine="570"/>
        <w:rPr>
          <w:bCs/>
          <w:sz w:val="24"/>
        </w:rPr>
      </w:pPr>
      <w:r>
        <w:rPr>
          <w:bCs/>
          <w:sz w:val="24"/>
        </w:rPr>
        <w:t>由评标委员会对参选人资格性、符合性审查，对未通过审查的参选人，现场告知原因。评标委员会对合格参选人的参选文件进行评审。</w:t>
      </w:r>
    </w:p>
    <w:p w14:paraId="6B70CE6E">
      <w:pPr>
        <w:spacing w:line="360" w:lineRule="auto"/>
        <w:ind w:firstLine="570"/>
        <w:rPr>
          <w:bCs/>
          <w:sz w:val="24"/>
        </w:rPr>
      </w:pPr>
      <w:r>
        <w:rPr>
          <w:bCs/>
          <w:sz w:val="24"/>
        </w:rPr>
        <w:t>（一）评审内容</w:t>
      </w:r>
    </w:p>
    <w:p w14:paraId="61AC51B6">
      <w:pPr>
        <w:spacing w:line="360" w:lineRule="auto"/>
        <w:ind w:firstLine="570"/>
        <w:rPr>
          <w:bCs/>
          <w:sz w:val="24"/>
        </w:rPr>
      </w:pPr>
      <w:r>
        <w:rPr>
          <w:bCs/>
          <w:sz w:val="24"/>
        </w:rPr>
        <w:t>1、参选资格是否符合；</w:t>
      </w:r>
    </w:p>
    <w:p w14:paraId="2AC7A7C8">
      <w:pPr>
        <w:spacing w:line="360" w:lineRule="auto"/>
        <w:ind w:firstLine="570"/>
        <w:rPr>
          <w:bCs/>
          <w:sz w:val="24"/>
        </w:rPr>
      </w:pPr>
      <w:r>
        <w:rPr>
          <w:bCs/>
          <w:sz w:val="24"/>
        </w:rPr>
        <w:t>2、参选文件是否完整；</w:t>
      </w:r>
    </w:p>
    <w:p w14:paraId="487C7660">
      <w:pPr>
        <w:spacing w:line="360" w:lineRule="auto"/>
        <w:ind w:firstLine="570"/>
        <w:rPr>
          <w:bCs/>
          <w:sz w:val="24"/>
        </w:rPr>
      </w:pPr>
      <w:r>
        <w:rPr>
          <w:bCs/>
          <w:sz w:val="24"/>
        </w:rPr>
        <w:t>3、参选文件是否恰当地签署；</w:t>
      </w:r>
    </w:p>
    <w:p w14:paraId="69D62F18">
      <w:pPr>
        <w:spacing w:line="360" w:lineRule="auto"/>
        <w:ind w:firstLine="570"/>
        <w:rPr>
          <w:bCs/>
          <w:sz w:val="24"/>
        </w:rPr>
      </w:pPr>
      <w:r>
        <w:rPr>
          <w:bCs/>
          <w:sz w:val="24"/>
        </w:rPr>
        <w:t>4、是否作出实质性响应（是否有实质性响应，只根据参选文件本身，而不寻求外部证据）；</w:t>
      </w:r>
    </w:p>
    <w:p w14:paraId="58D98CF9">
      <w:pPr>
        <w:spacing w:line="360" w:lineRule="auto"/>
        <w:ind w:firstLine="570"/>
        <w:rPr>
          <w:bCs/>
          <w:sz w:val="24"/>
        </w:rPr>
      </w:pPr>
      <w:r>
        <w:rPr>
          <w:bCs/>
          <w:sz w:val="24"/>
        </w:rPr>
        <w:t>5、是否有计算错误。</w:t>
      </w:r>
    </w:p>
    <w:p w14:paraId="2D0223D2">
      <w:pPr>
        <w:spacing w:line="360" w:lineRule="auto"/>
        <w:ind w:firstLine="570"/>
        <w:rPr>
          <w:bCs/>
          <w:sz w:val="24"/>
        </w:rPr>
      </w:pPr>
      <w:r>
        <w:rPr>
          <w:bCs/>
          <w:sz w:val="24"/>
        </w:rPr>
        <w:t>（二）相应的规定</w:t>
      </w:r>
    </w:p>
    <w:p w14:paraId="4624F054">
      <w:pPr>
        <w:spacing w:line="360" w:lineRule="auto"/>
        <w:ind w:firstLine="570"/>
        <w:rPr>
          <w:bCs/>
          <w:sz w:val="24"/>
        </w:rPr>
      </w:pPr>
      <w:r>
        <w:rPr>
          <w:bCs/>
          <w:sz w:val="24"/>
        </w:rPr>
        <w:t>1、如果单价汇总金额与总价金额有出入，以单价金额计算结果为准；</w:t>
      </w:r>
    </w:p>
    <w:p w14:paraId="12249378">
      <w:pPr>
        <w:spacing w:line="360" w:lineRule="auto"/>
        <w:ind w:firstLine="570"/>
        <w:rPr>
          <w:bCs/>
          <w:sz w:val="24"/>
        </w:rPr>
      </w:pPr>
      <w:r>
        <w:rPr>
          <w:bCs/>
          <w:sz w:val="24"/>
        </w:rPr>
        <w:t>2、单价金额小数点有明显错位的，应以总价为准；</w:t>
      </w:r>
    </w:p>
    <w:p w14:paraId="203A2AFA">
      <w:pPr>
        <w:spacing w:line="360" w:lineRule="auto"/>
        <w:ind w:firstLine="570"/>
        <w:rPr>
          <w:bCs/>
          <w:sz w:val="24"/>
        </w:rPr>
      </w:pPr>
      <w:r>
        <w:rPr>
          <w:bCs/>
          <w:sz w:val="24"/>
        </w:rPr>
        <w:t>3、若文件大写表示的数据与数字表示的有差别，以大写表示的数据为准；</w:t>
      </w:r>
    </w:p>
    <w:p w14:paraId="728F7E20">
      <w:pPr>
        <w:spacing w:line="360" w:lineRule="auto"/>
        <w:ind w:firstLine="570"/>
        <w:rPr>
          <w:bCs/>
          <w:sz w:val="24"/>
        </w:rPr>
      </w:pPr>
      <w:r>
        <w:rPr>
          <w:bCs/>
          <w:sz w:val="24"/>
        </w:rPr>
        <w:t>4、参选文件中参选报价表内容与参选文件中其他内容不一致的，以参选报价表为准。</w:t>
      </w:r>
    </w:p>
    <w:p w14:paraId="05E69281">
      <w:pPr>
        <w:spacing w:line="360" w:lineRule="auto"/>
        <w:ind w:right="-260" w:rightChars="-124" w:firstLine="570"/>
        <w:rPr>
          <w:b/>
          <w:bCs/>
          <w:sz w:val="24"/>
        </w:rPr>
      </w:pPr>
      <w:r>
        <w:rPr>
          <w:b/>
          <w:bCs/>
          <w:sz w:val="24"/>
        </w:rPr>
        <w:t>三、陈述、演示、答疑、澄清</w:t>
      </w:r>
    </w:p>
    <w:p w14:paraId="798F2285">
      <w:pPr>
        <w:spacing w:line="360" w:lineRule="auto"/>
        <w:ind w:firstLine="570"/>
        <w:rPr>
          <w:b/>
          <w:sz w:val="24"/>
        </w:rPr>
      </w:pPr>
      <w:r>
        <w:rPr>
          <w:sz w:val="24"/>
          <w:shd w:val="clear" w:color="auto" w:fill="FFFFFF"/>
        </w:rPr>
        <w:t>如评委会认为有必要，参选人按评委会的要求作陈述、演示、</w:t>
      </w:r>
      <w:r>
        <w:rPr>
          <w:sz w:val="24"/>
        </w:rPr>
        <w:t>答疑及澄清其参选内容。时间由评委会掌握。</w:t>
      </w:r>
    </w:p>
    <w:p w14:paraId="032C4959">
      <w:pPr>
        <w:spacing w:line="360" w:lineRule="auto"/>
        <w:ind w:right="-260" w:rightChars="-124" w:firstLine="570"/>
        <w:rPr>
          <w:sz w:val="24"/>
        </w:rPr>
      </w:pPr>
      <w:r>
        <w:rPr>
          <w:sz w:val="24"/>
        </w:rPr>
        <w:t>重要澄清答复应是书面的，但不得对参选内容进行实质性修改。</w:t>
      </w:r>
    </w:p>
    <w:p w14:paraId="550686B7">
      <w:pPr>
        <w:spacing w:line="360" w:lineRule="auto"/>
        <w:ind w:right="-260" w:rightChars="-124" w:firstLine="570"/>
        <w:rPr>
          <w:b/>
          <w:bCs/>
          <w:sz w:val="24"/>
        </w:rPr>
      </w:pPr>
      <w:r>
        <w:rPr>
          <w:b/>
          <w:bCs/>
          <w:sz w:val="24"/>
        </w:rPr>
        <w:t>四、参选人不得存在下列情形之一：</w:t>
      </w:r>
    </w:p>
    <w:p w14:paraId="766AFAD6">
      <w:pPr>
        <w:spacing w:line="360" w:lineRule="auto"/>
        <w:ind w:right="-260" w:rightChars="-124" w:firstLine="570"/>
        <w:rPr>
          <w:sz w:val="24"/>
        </w:rPr>
      </w:pPr>
      <w:r>
        <w:rPr>
          <w:sz w:val="24"/>
        </w:rPr>
        <w:t>1、与比选人存在利害关系且可能影响比选公正性；</w:t>
      </w:r>
    </w:p>
    <w:p w14:paraId="0125EB37">
      <w:pPr>
        <w:spacing w:line="360" w:lineRule="auto"/>
        <w:ind w:right="-260" w:rightChars="-124" w:firstLine="570"/>
        <w:rPr>
          <w:sz w:val="24"/>
        </w:rPr>
      </w:pPr>
      <w:r>
        <w:rPr>
          <w:sz w:val="24"/>
        </w:rPr>
        <w:t>2、与本比选项目的其他参选人为同一个单位负责人；</w:t>
      </w:r>
    </w:p>
    <w:p w14:paraId="26BD600B">
      <w:pPr>
        <w:spacing w:line="360" w:lineRule="auto"/>
        <w:ind w:right="-260" w:rightChars="-124" w:firstLine="570"/>
        <w:rPr>
          <w:sz w:val="24"/>
        </w:rPr>
      </w:pPr>
      <w:r>
        <w:rPr>
          <w:sz w:val="24"/>
        </w:rPr>
        <w:t>3、与本比选项目的其他参选人存在控股、管理关系；</w:t>
      </w:r>
    </w:p>
    <w:p w14:paraId="4A1A4F47">
      <w:pPr>
        <w:spacing w:line="360" w:lineRule="auto"/>
        <w:ind w:right="-260" w:rightChars="-124" w:firstLine="570"/>
        <w:rPr>
          <w:sz w:val="24"/>
        </w:rPr>
      </w:pPr>
      <w:r>
        <w:rPr>
          <w:sz w:val="24"/>
        </w:rPr>
        <w:t>4、被依法暂停或者取消参选资格；</w:t>
      </w:r>
    </w:p>
    <w:p w14:paraId="6E602E7E">
      <w:pPr>
        <w:spacing w:line="360" w:lineRule="auto"/>
        <w:ind w:right="-260" w:rightChars="-124" w:firstLine="570"/>
        <w:rPr>
          <w:sz w:val="24"/>
        </w:rPr>
      </w:pPr>
      <w:r>
        <w:rPr>
          <w:sz w:val="24"/>
        </w:rPr>
        <w:t>5、被责令停产停业、暂扣或者吊销许可证、暂扣或者吊销执照；</w:t>
      </w:r>
    </w:p>
    <w:p w14:paraId="7AE49C3E">
      <w:pPr>
        <w:spacing w:line="360" w:lineRule="auto"/>
        <w:ind w:right="-260" w:rightChars="-124" w:firstLine="570"/>
        <w:rPr>
          <w:sz w:val="24"/>
        </w:rPr>
      </w:pPr>
      <w:r>
        <w:rPr>
          <w:sz w:val="24"/>
        </w:rPr>
        <w:t>6、进入清算程序，或被宣告破产，或其他丧失履约能力的情形；</w:t>
      </w:r>
    </w:p>
    <w:p w14:paraId="2F4AFC1F">
      <w:pPr>
        <w:spacing w:line="360" w:lineRule="auto"/>
        <w:ind w:firstLine="570"/>
        <w:rPr>
          <w:sz w:val="24"/>
        </w:rPr>
      </w:pPr>
      <w:r>
        <w:rPr>
          <w:sz w:val="24"/>
        </w:rPr>
        <w:t>7、在最近三年内有骗取中选或严重违约或重大工程质量、环境、安全问题的；</w:t>
      </w:r>
    </w:p>
    <w:p w14:paraId="6AB70601">
      <w:pPr>
        <w:spacing w:line="360" w:lineRule="auto"/>
        <w:ind w:firstLine="570"/>
        <w:rPr>
          <w:sz w:val="24"/>
        </w:rPr>
      </w:pPr>
      <w:r>
        <w:rPr>
          <w:sz w:val="24"/>
        </w:rPr>
        <w:t>8、被最高人民法院在“信用中国”网站（www.creditchina.gov.cn）或各级信用信息共享平台中列入失信被执行人名单；</w:t>
      </w:r>
    </w:p>
    <w:p w14:paraId="0A6E3EEA">
      <w:pPr>
        <w:spacing w:line="360" w:lineRule="auto"/>
        <w:ind w:right="-260" w:rightChars="-124" w:firstLine="570"/>
        <w:rPr>
          <w:sz w:val="24"/>
        </w:rPr>
      </w:pPr>
      <w:r>
        <w:rPr>
          <w:sz w:val="24"/>
        </w:rPr>
        <w:t>9、法律法规或参选人须知前附表规定的其他情形。</w:t>
      </w:r>
    </w:p>
    <w:p w14:paraId="427055B9">
      <w:pPr>
        <w:spacing w:line="360" w:lineRule="auto"/>
        <w:ind w:right="-260" w:rightChars="-124" w:firstLine="570"/>
        <w:rPr>
          <w:b/>
          <w:bCs/>
          <w:sz w:val="24"/>
        </w:rPr>
      </w:pPr>
      <w:r>
        <w:rPr>
          <w:b/>
          <w:bCs/>
          <w:sz w:val="24"/>
        </w:rPr>
        <w:t>五、出现下列情形之一的，作无效参选处理：</w:t>
      </w:r>
    </w:p>
    <w:p w14:paraId="6A957551">
      <w:pPr>
        <w:spacing w:line="360" w:lineRule="auto"/>
        <w:ind w:right="-260" w:rightChars="-124" w:firstLine="570"/>
        <w:rPr>
          <w:sz w:val="24"/>
        </w:rPr>
      </w:pPr>
      <w:r>
        <w:rPr>
          <w:sz w:val="24"/>
        </w:rPr>
        <w:t>1、未按照比选文件规定要求签署、签章的；</w:t>
      </w:r>
    </w:p>
    <w:p w14:paraId="02C29FD6">
      <w:pPr>
        <w:spacing w:line="360" w:lineRule="auto"/>
        <w:ind w:right="-260" w:rightChars="-124" w:firstLine="570"/>
        <w:rPr>
          <w:sz w:val="24"/>
        </w:rPr>
      </w:pPr>
      <w:r>
        <w:rPr>
          <w:sz w:val="24"/>
        </w:rPr>
        <w:t>2、不具备比选文件中规定的资格要求的；</w:t>
      </w:r>
    </w:p>
    <w:p w14:paraId="7F7A8E6F">
      <w:pPr>
        <w:spacing w:line="360" w:lineRule="auto"/>
        <w:ind w:right="-260" w:rightChars="-124" w:firstLine="570"/>
        <w:rPr>
          <w:sz w:val="24"/>
        </w:rPr>
      </w:pPr>
      <w:r>
        <w:rPr>
          <w:sz w:val="24"/>
        </w:rPr>
        <w:t>3、报价超过比选文件中规定的预算金额或者最高限价的；</w:t>
      </w:r>
    </w:p>
    <w:p w14:paraId="1BB73349">
      <w:pPr>
        <w:spacing w:line="360" w:lineRule="auto"/>
        <w:ind w:right="-260" w:rightChars="-124" w:firstLine="570"/>
        <w:rPr>
          <w:sz w:val="24"/>
        </w:rPr>
      </w:pPr>
      <w:r>
        <w:rPr>
          <w:sz w:val="24"/>
        </w:rPr>
        <w:t>4、参选文件含有比选人不能接受的附加条件的；</w:t>
      </w:r>
    </w:p>
    <w:p w14:paraId="5E3744C5">
      <w:pPr>
        <w:spacing w:line="360" w:lineRule="auto"/>
        <w:ind w:right="-260" w:rightChars="-124" w:firstLine="570"/>
        <w:rPr>
          <w:sz w:val="24"/>
        </w:rPr>
      </w:pPr>
      <w:r>
        <w:rPr>
          <w:sz w:val="24"/>
        </w:rPr>
        <w:t>5、不符合法律、法规和比选文件中规定的其他实质性要求的；</w:t>
      </w:r>
    </w:p>
    <w:p w14:paraId="09561DD3">
      <w:pPr>
        <w:spacing w:line="360" w:lineRule="auto"/>
        <w:ind w:right="-260" w:rightChars="-124" w:firstLine="570"/>
        <w:rPr>
          <w:b/>
          <w:bCs/>
          <w:sz w:val="24"/>
        </w:rPr>
      </w:pPr>
      <w:r>
        <w:rPr>
          <w:b/>
          <w:bCs/>
          <w:sz w:val="24"/>
        </w:rPr>
        <w:t>六、出现下列情形之一的，作流标或废标处理：</w:t>
      </w:r>
    </w:p>
    <w:p w14:paraId="47C2DC7A">
      <w:pPr>
        <w:spacing w:line="360" w:lineRule="auto"/>
        <w:ind w:right="-260" w:rightChars="-124" w:firstLine="570"/>
        <w:rPr>
          <w:sz w:val="24"/>
        </w:rPr>
      </w:pPr>
      <w:r>
        <w:rPr>
          <w:sz w:val="24"/>
        </w:rPr>
        <w:t>1、符合专业条件的参选人或者对比选文件作实质响应的参选人不足</w:t>
      </w:r>
      <w:r>
        <w:rPr>
          <w:rFonts w:hint="eastAsia"/>
          <w:sz w:val="24"/>
        </w:rPr>
        <w:t>4</w:t>
      </w:r>
      <w:r>
        <w:rPr>
          <w:sz w:val="24"/>
        </w:rPr>
        <w:t>家的；</w:t>
      </w:r>
    </w:p>
    <w:p w14:paraId="19911056">
      <w:pPr>
        <w:spacing w:line="360" w:lineRule="auto"/>
        <w:ind w:right="-260" w:rightChars="-124" w:firstLine="555"/>
        <w:rPr>
          <w:sz w:val="24"/>
        </w:rPr>
      </w:pPr>
      <w:r>
        <w:rPr>
          <w:sz w:val="24"/>
        </w:rPr>
        <w:t>2、出现影响比选公正的违法违规行为的；</w:t>
      </w:r>
    </w:p>
    <w:p w14:paraId="6D2C68D0">
      <w:pPr>
        <w:spacing w:line="360" w:lineRule="auto"/>
        <w:ind w:right="-260" w:rightChars="-124" w:firstLine="555"/>
        <w:rPr>
          <w:sz w:val="24"/>
        </w:rPr>
      </w:pPr>
      <w:r>
        <w:rPr>
          <w:sz w:val="24"/>
        </w:rPr>
        <w:t>3、参选人的报价均超过了采购预算，比选人不能支付的；</w:t>
      </w:r>
    </w:p>
    <w:p w14:paraId="5BBDEEE5">
      <w:pPr>
        <w:spacing w:line="360" w:lineRule="auto"/>
        <w:ind w:right="-260" w:rightChars="-124" w:firstLine="555"/>
        <w:rPr>
          <w:sz w:val="24"/>
        </w:rPr>
      </w:pPr>
      <w:r>
        <w:rPr>
          <w:sz w:val="24"/>
        </w:rPr>
        <w:t>4、因重大变故，比选任务取消的。</w:t>
      </w:r>
    </w:p>
    <w:p w14:paraId="2082A06F">
      <w:pPr>
        <w:spacing w:line="360" w:lineRule="auto"/>
        <w:ind w:right="-260" w:rightChars="-124" w:firstLine="555"/>
        <w:rPr>
          <w:sz w:val="24"/>
        </w:rPr>
      </w:pPr>
      <w:r>
        <w:rPr>
          <w:sz w:val="24"/>
        </w:rPr>
        <w:t>上述均保留评委会认定可以确定为无效参选或废标的其他情况。</w:t>
      </w:r>
    </w:p>
    <w:p w14:paraId="4E51829D">
      <w:pPr>
        <w:spacing w:line="360" w:lineRule="auto"/>
        <w:ind w:right="-260" w:rightChars="-124" w:firstLine="570"/>
        <w:rPr>
          <w:b/>
          <w:bCs/>
          <w:strike/>
          <w:sz w:val="24"/>
        </w:rPr>
      </w:pPr>
      <w:r>
        <w:rPr>
          <w:b/>
          <w:bCs/>
          <w:sz w:val="24"/>
        </w:rPr>
        <w:t>七、不再比选</w:t>
      </w:r>
    </w:p>
    <w:p w14:paraId="280C9508">
      <w:pPr>
        <w:spacing w:line="360" w:lineRule="auto"/>
        <w:ind w:right="-260" w:rightChars="-124" w:firstLine="555"/>
        <w:rPr>
          <w:sz w:val="24"/>
        </w:rPr>
      </w:pPr>
      <w:r>
        <w:rPr>
          <w:sz w:val="24"/>
        </w:rPr>
        <w:t>1、参选人少于4个或者所有参选被否决的，不再进行比选。</w:t>
      </w:r>
    </w:p>
    <w:p w14:paraId="05BE1F23">
      <w:pPr>
        <w:spacing w:line="360" w:lineRule="auto"/>
        <w:ind w:right="-260" w:rightChars="-124" w:firstLine="570"/>
        <w:rPr>
          <w:b/>
          <w:bCs/>
          <w:sz w:val="24"/>
        </w:rPr>
      </w:pPr>
      <w:r>
        <w:rPr>
          <w:b/>
          <w:bCs/>
          <w:sz w:val="24"/>
        </w:rPr>
        <w:t>八、评标方法</w:t>
      </w:r>
    </w:p>
    <w:p w14:paraId="69BD4346">
      <w:pPr>
        <w:spacing w:line="360" w:lineRule="auto"/>
        <w:ind w:right="-260" w:rightChars="-124" w:firstLine="555"/>
        <w:rPr>
          <w:sz w:val="24"/>
        </w:rPr>
      </w:pPr>
      <w:r>
        <w:rPr>
          <w:sz w:val="24"/>
        </w:rPr>
        <w:t>采用综合评分法。分资格审查、</w:t>
      </w:r>
      <w:r>
        <w:rPr>
          <w:rFonts w:hint="eastAsia"/>
          <w:sz w:val="24"/>
        </w:rPr>
        <w:t>商务技术</w:t>
      </w:r>
      <w:r>
        <w:rPr>
          <w:sz w:val="24"/>
        </w:rPr>
        <w:t>两部分评审，总分值见评分标准。</w:t>
      </w:r>
    </w:p>
    <w:p w14:paraId="1CCAD229">
      <w:pPr>
        <w:spacing w:line="360" w:lineRule="auto"/>
        <w:ind w:firstLine="555"/>
        <w:rPr>
          <w:sz w:val="24"/>
        </w:rPr>
      </w:pPr>
      <w:r>
        <w:rPr>
          <w:sz w:val="24"/>
        </w:rPr>
        <w:t>首先由评标委员会评审参选人资格性、符合性，对合格的参选人由评委会评审商务技术标。</w:t>
      </w:r>
    </w:p>
    <w:p w14:paraId="2BED40CB">
      <w:pPr>
        <w:spacing w:line="360" w:lineRule="auto"/>
        <w:ind w:firstLine="555"/>
        <w:rPr>
          <w:sz w:val="24"/>
        </w:rPr>
      </w:pPr>
      <w:r>
        <w:rPr>
          <w:sz w:val="24"/>
        </w:rPr>
        <w:t>评委在认真审阅参选文件的基础上，根据各参选文件的商务、技术部分的响应情况，对各评分项目进行评分，不得统一打分。</w:t>
      </w:r>
    </w:p>
    <w:p w14:paraId="47DB73AD">
      <w:pPr>
        <w:spacing w:line="360" w:lineRule="auto"/>
        <w:ind w:right="-260" w:rightChars="-124" w:firstLine="482" w:firstLineChars="200"/>
        <w:jc w:val="left"/>
        <w:rPr>
          <w:b/>
          <w:sz w:val="24"/>
          <w:lang w:val="zh-CN"/>
        </w:rPr>
      </w:pPr>
      <w:r>
        <w:rPr>
          <w:b/>
          <w:sz w:val="24"/>
          <w:lang w:val="zh-CN"/>
        </w:rPr>
        <w:t>（一）评标委员会对参选人资格性、符合性审查。</w:t>
      </w:r>
    </w:p>
    <w:p w14:paraId="48F19C13">
      <w:pPr>
        <w:pStyle w:val="20"/>
        <w:spacing w:line="360" w:lineRule="auto"/>
        <w:ind w:firstLine="494"/>
        <w:contextualSpacing/>
        <w:rPr>
          <w:rFonts w:ascii="Times New Roman" w:hAnsi="Times New Roman" w:eastAsia="宋体"/>
          <w:sz w:val="24"/>
          <w:szCs w:val="24"/>
        </w:rPr>
      </w:pPr>
      <w:r>
        <w:rPr>
          <w:rFonts w:ascii="Times New Roman" w:hAnsi="Times New Roman" w:eastAsia="宋体"/>
          <w:sz w:val="24"/>
          <w:szCs w:val="24"/>
        </w:rPr>
        <w:t>参选人资格性、符合性不合格的，其参选文件判定为无效参选文件。合格的，评委对其参选文件继续评审。</w:t>
      </w:r>
    </w:p>
    <w:tbl>
      <w:tblPr>
        <w:tblStyle w:val="15"/>
        <w:tblW w:w="914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1370"/>
        <w:gridCol w:w="3736"/>
        <w:gridCol w:w="3430"/>
      </w:tblGrid>
      <w:tr w14:paraId="01A1F8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613" w:type="dxa"/>
            <w:tcBorders>
              <w:tl2br w:val="nil"/>
              <w:tr2bl w:val="nil"/>
            </w:tcBorders>
            <w:vAlign w:val="center"/>
          </w:tcPr>
          <w:p w14:paraId="77FD51C7">
            <w:pPr>
              <w:widowControl/>
              <w:spacing w:line="360" w:lineRule="auto"/>
              <w:ind w:left="-120" w:leftChars="-57"/>
              <w:jc w:val="center"/>
              <w:rPr>
                <w:kern w:val="0"/>
                <w:szCs w:val="21"/>
                <w:lang w:bidi="he-IL"/>
              </w:rPr>
            </w:pPr>
            <w:r>
              <w:rPr>
                <w:kern w:val="0"/>
                <w:szCs w:val="21"/>
                <w:lang w:bidi="he-IL"/>
              </w:rPr>
              <w:t>序号</w:t>
            </w:r>
          </w:p>
        </w:tc>
        <w:tc>
          <w:tcPr>
            <w:tcW w:w="1370" w:type="dxa"/>
            <w:tcBorders>
              <w:tl2br w:val="nil"/>
              <w:tr2bl w:val="nil"/>
            </w:tcBorders>
            <w:vAlign w:val="center"/>
          </w:tcPr>
          <w:p w14:paraId="4C372711">
            <w:pPr>
              <w:widowControl/>
              <w:spacing w:line="360" w:lineRule="auto"/>
              <w:jc w:val="center"/>
              <w:rPr>
                <w:kern w:val="0"/>
                <w:szCs w:val="21"/>
                <w:lang w:bidi="he-IL"/>
              </w:rPr>
            </w:pPr>
            <w:r>
              <w:rPr>
                <w:kern w:val="0"/>
                <w:szCs w:val="21"/>
                <w:lang w:bidi="he-IL"/>
              </w:rPr>
              <w:t>项目内容</w:t>
            </w:r>
          </w:p>
        </w:tc>
        <w:tc>
          <w:tcPr>
            <w:tcW w:w="3736" w:type="dxa"/>
            <w:tcBorders>
              <w:tl2br w:val="nil"/>
              <w:tr2bl w:val="nil"/>
            </w:tcBorders>
            <w:vAlign w:val="center"/>
          </w:tcPr>
          <w:p w14:paraId="7AE2A70A">
            <w:pPr>
              <w:widowControl/>
              <w:spacing w:line="360" w:lineRule="auto"/>
              <w:jc w:val="center"/>
              <w:rPr>
                <w:kern w:val="0"/>
                <w:szCs w:val="21"/>
                <w:lang w:bidi="he-IL"/>
              </w:rPr>
            </w:pPr>
            <w:r>
              <w:rPr>
                <w:kern w:val="0"/>
                <w:szCs w:val="21"/>
                <w:lang w:bidi="he-IL"/>
              </w:rPr>
              <w:t>合格条件</w:t>
            </w:r>
          </w:p>
        </w:tc>
        <w:tc>
          <w:tcPr>
            <w:tcW w:w="3430" w:type="dxa"/>
            <w:tcBorders>
              <w:tl2br w:val="nil"/>
              <w:tr2bl w:val="nil"/>
            </w:tcBorders>
            <w:vAlign w:val="center"/>
          </w:tcPr>
          <w:p w14:paraId="642F321A">
            <w:pPr>
              <w:widowControl/>
              <w:spacing w:line="360" w:lineRule="auto"/>
              <w:jc w:val="center"/>
              <w:rPr>
                <w:kern w:val="0"/>
                <w:szCs w:val="21"/>
                <w:lang w:bidi="he-IL"/>
              </w:rPr>
            </w:pPr>
            <w:r>
              <w:rPr>
                <w:kern w:val="0"/>
                <w:szCs w:val="21"/>
                <w:lang w:bidi="he-IL"/>
              </w:rPr>
              <w:t>需提供的证明材料</w:t>
            </w:r>
            <w:r>
              <w:rPr>
                <w:szCs w:val="21"/>
              </w:rPr>
              <w:t>复印件</w:t>
            </w:r>
          </w:p>
        </w:tc>
      </w:tr>
      <w:tr w14:paraId="1B5C2F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613" w:type="dxa"/>
            <w:tcBorders>
              <w:tl2br w:val="nil"/>
              <w:tr2bl w:val="nil"/>
            </w:tcBorders>
            <w:vAlign w:val="center"/>
          </w:tcPr>
          <w:p w14:paraId="3DD54C4B">
            <w:pPr>
              <w:widowControl/>
              <w:spacing w:line="360" w:lineRule="auto"/>
              <w:jc w:val="center"/>
              <w:rPr>
                <w:kern w:val="0"/>
                <w:szCs w:val="21"/>
                <w:lang w:bidi="he-IL"/>
              </w:rPr>
            </w:pPr>
            <w:r>
              <w:rPr>
                <w:kern w:val="0"/>
                <w:szCs w:val="21"/>
                <w:lang w:bidi="he-IL"/>
              </w:rPr>
              <w:t>1</w:t>
            </w:r>
          </w:p>
        </w:tc>
        <w:tc>
          <w:tcPr>
            <w:tcW w:w="1370" w:type="dxa"/>
            <w:vMerge w:val="restart"/>
            <w:tcBorders>
              <w:tl2br w:val="nil"/>
              <w:tr2bl w:val="nil"/>
            </w:tcBorders>
            <w:vAlign w:val="center"/>
          </w:tcPr>
          <w:p w14:paraId="3ADCA573">
            <w:pPr>
              <w:widowControl/>
              <w:spacing w:line="360" w:lineRule="auto"/>
              <w:jc w:val="center"/>
              <w:rPr>
                <w:kern w:val="0"/>
                <w:szCs w:val="21"/>
                <w:lang w:bidi="he-IL"/>
              </w:rPr>
            </w:pPr>
            <w:r>
              <w:rPr>
                <w:kern w:val="0"/>
                <w:szCs w:val="21"/>
                <w:lang w:bidi="he-IL"/>
              </w:rPr>
              <w:t>参选人应具备的资质条件要求</w:t>
            </w:r>
          </w:p>
        </w:tc>
        <w:tc>
          <w:tcPr>
            <w:tcW w:w="3736" w:type="dxa"/>
            <w:tcBorders>
              <w:tl2br w:val="nil"/>
              <w:tr2bl w:val="nil"/>
            </w:tcBorders>
            <w:vAlign w:val="center"/>
          </w:tcPr>
          <w:p w14:paraId="3DC407AA">
            <w:pPr>
              <w:widowControl/>
              <w:rPr>
                <w:kern w:val="0"/>
                <w:szCs w:val="21"/>
                <w:lang w:bidi="he-IL"/>
              </w:rPr>
            </w:pPr>
            <w:r>
              <w:rPr>
                <w:kern w:val="0"/>
                <w:szCs w:val="21"/>
                <w:lang w:bidi="he-IL"/>
              </w:rPr>
              <w:t>参选人为中华人民共和国境内依法设立的法人或其他组织</w:t>
            </w:r>
            <w:r>
              <w:rPr>
                <w:rFonts w:hint="eastAsia"/>
                <w:kern w:val="0"/>
                <w:szCs w:val="21"/>
                <w:lang w:bidi="he-IL"/>
              </w:rPr>
              <w:t>，或其分支机构</w:t>
            </w:r>
            <w:r>
              <w:rPr>
                <w:kern w:val="0"/>
                <w:szCs w:val="21"/>
                <w:lang w:bidi="he-IL"/>
              </w:rPr>
              <w:t>。</w:t>
            </w:r>
          </w:p>
        </w:tc>
        <w:tc>
          <w:tcPr>
            <w:tcW w:w="3430" w:type="dxa"/>
            <w:tcBorders>
              <w:tl2br w:val="nil"/>
              <w:tr2bl w:val="nil"/>
            </w:tcBorders>
            <w:vAlign w:val="center"/>
          </w:tcPr>
          <w:p w14:paraId="2466EB43">
            <w:pPr>
              <w:widowControl/>
              <w:rPr>
                <w:kern w:val="0"/>
                <w:szCs w:val="21"/>
                <w:lang w:bidi="he-IL"/>
              </w:rPr>
            </w:pPr>
            <w:r>
              <w:rPr>
                <w:szCs w:val="21"/>
              </w:rPr>
              <w:t>营业执照</w:t>
            </w:r>
            <w:r>
              <w:rPr>
                <w:rFonts w:hint="eastAsia"/>
                <w:szCs w:val="21"/>
              </w:rPr>
              <w:t>或其他组织证书</w:t>
            </w:r>
            <w:r>
              <w:rPr>
                <w:szCs w:val="21"/>
              </w:rPr>
              <w:t>；法定代表人（分支机构负责人）身份证明</w:t>
            </w:r>
            <w:r>
              <w:rPr>
                <w:rFonts w:hint="eastAsia"/>
                <w:szCs w:val="21"/>
              </w:rPr>
              <w:t>、</w:t>
            </w:r>
            <w:r>
              <w:rPr>
                <w:szCs w:val="21"/>
              </w:rPr>
              <w:t>授权委托书（</w:t>
            </w:r>
            <w:r>
              <w:rPr>
                <w:rFonts w:hint="eastAsia"/>
                <w:b/>
                <w:bCs/>
                <w:szCs w:val="21"/>
              </w:rPr>
              <w:t>格式参见附件</w:t>
            </w:r>
            <w:r>
              <w:rPr>
                <w:szCs w:val="21"/>
              </w:rPr>
              <w:t>）</w:t>
            </w:r>
          </w:p>
        </w:tc>
      </w:tr>
      <w:tr w14:paraId="20EAEF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613" w:type="dxa"/>
            <w:tcBorders>
              <w:tl2br w:val="nil"/>
              <w:tr2bl w:val="nil"/>
            </w:tcBorders>
            <w:vAlign w:val="center"/>
          </w:tcPr>
          <w:p w14:paraId="3A932F87">
            <w:pPr>
              <w:widowControl/>
              <w:spacing w:line="360" w:lineRule="auto"/>
              <w:ind w:leftChars="-57" w:hanging="119" w:hangingChars="57"/>
              <w:jc w:val="center"/>
              <w:rPr>
                <w:kern w:val="0"/>
                <w:szCs w:val="21"/>
                <w:lang w:bidi="he-IL"/>
              </w:rPr>
            </w:pPr>
            <w:r>
              <w:rPr>
                <w:kern w:val="0"/>
                <w:szCs w:val="21"/>
                <w:lang w:bidi="he-IL"/>
              </w:rPr>
              <w:t>2</w:t>
            </w:r>
          </w:p>
        </w:tc>
        <w:tc>
          <w:tcPr>
            <w:tcW w:w="1370" w:type="dxa"/>
            <w:vMerge w:val="continue"/>
            <w:tcBorders>
              <w:tl2br w:val="nil"/>
              <w:tr2bl w:val="nil"/>
            </w:tcBorders>
            <w:vAlign w:val="center"/>
          </w:tcPr>
          <w:p w14:paraId="3B930EDB">
            <w:pPr>
              <w:widowControl/>
              <w:spacing w:line="360" w:lineRule="auto"/>
              <w:jc w:val="center"/>
              <w:rPr>
                <w:kern w:val="0"/>
                <w:szCs w:val="21"/>
                <w:lang w:bidi="he-IL"/>
              </w:rPr>
            </w:pPr>
          </w:p>
        </w:tc>
        <w:tc>
          <w:tcPr>
            <w:tcW w:w="3736" w:type="dxa"/>
            <w:tcBorders>
              <w:tl2br w:val="nil"/>
              <w:tr2bl w:val="nil"/>
            </w:tcBorders>
            <w:vAlign w:val="center"/>
          </w:tcPr>
          <w:p w14:paraId="13ADC5F9">
            <w:pPr>
              <w:widowControl/>
              <w:rPr>
                <w:kern w:val="0"/>
                <w:szCs w:val="21"/>
                <w:lang w:bidi="he-IL"/>
              </w:rPr>
            </w:pPr>
            <w:r>
              <w:rPr>
                <w:kern w:val="0"/>
                <w:szCs w:val="21"/>
                <w:lang w:bidi="he-IL"/>
              </w:rPr>
              <w:t>参选人须具有合法有效的金融业务许可。</w:t>
            </w:r>
          </w:p>
        </w:tc>
        <w:tc>
          <w:tcPr>
            <w:tcW w:w="3430" w:type="dxa"/>
            <w:tcBorders>
              <w:tl2br w:val="nil"/>
              <w:tr2bl w:val="nil"/>
            </w:tcBorders>
            <w:vAlign w:val="center"/>
          </w:tcPr>
          <w:p w14:paraId="0C908FD7">
            <w:pPr>
              <w:widowControl/>
              <w:jc w:val="left"/>
              <w:rPr>
                <w:kern w:val="0"/>
                <w:szCs w:val="21"/>
                <w:lang w:bidi="he-IL"/>
              </w:rPr>
            </w:pPr>
            <w:r>
              <w:rPr>
                <w:kern w:val="0"/>
                <w:szCs w:val="21"/>
                <w:lang w:bidi="he-IL"/>
              </w:rPr>
              <w:t>《中华人民共和国金融许可证》</w:t>
            </w:r>
          </w:p>
        </w:tc>
      </w:tr>
      <w:tr w14:paraId="019BB9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13" w:type="dxa"/>
            <w:tcBorders>
              <w:tl2br w:val="nil"/>
              <w:tr2bl w:val="nil"/>
            </w:tcBorders>
            <w:vAlign w:val="center"/>
          </w:tcPr>
          <w:p w14:paraId="6FEACEF5">
            <w:pPr>
              <w:widowControl/>
              <w:spacing w:line="360" w:lineRule="auto"/>
              <w:ind w:leftChars="-57" w:hanging="119" w:hangingChars="57"/>
              <w:jc w:val="center"/>
              <w:rPr>
                <w:kern w:val="0"/>
                <w:szCs w:val="21"/>
                <w:lang w:bidi="he-IL"/>
              </w:rPr>
            </w:pPr>
            <w:r>
              <w:rPr>
                <w:kern w:val="0"/>
                <w:szCs w:val="21"/>
                <w:lang w:bidi="he-IL"/>
              </w:rPr>
              <w:t>3</w:t>
            </w:r>
          </w:p>
        </w:tc>
        <w:tc>
          <w:tcPr>
            <w:tcW w:w="1370" w:type="dxa"/>
            <w:vMerge w:val="continue"/>
            <w:tcBorders>
              <w:tl2br w:val="nil"/>
              <w:tr2bl w:val="nil"/>
            </w:tcBorders>
            <w:vAlign w:val="center"/>
          </w:tcPr>
          <w:p w14:paraId="1E128E7B">
            <w:pPr>
              <w:widowControl/>
              <w:spacing w:line="360" w:lineRule="auto"/>
              <w:jc w:val="center"/>
              <w:rPr>
                <w:kern w:val="0"/>
                <w:szCs w:val="21"/>
                <w:lang w:bidi="he-IL"/>
              </w:rPr>
            </w:pPr>
          </w:p>
        </w:tc>
        <w:tc>
          <w:tcPr>
            <w:tcW w:w="3736" w:type="dxa"/>
            <w:tcBorders>
              <w:tl2br w:val="nil"/>
              <w:tr2bl w:val="nil"/>
            </w:tcBorders>
            <w:vAlign w:val="center"/>
          </w:tcPr>
          <w:p w14:paraId="48F0D9BA">
            <w:pPr>
              <w:widowControl/>
              <w:rPr>
                <w:kern w:val="0"/>
                <w:szCs w:val="21"/>
                <w:lang w:bidi="he-IL"/>
              </w:rPr>
            </w:pPr>
            <w:r>
              <w:rPr>
                <w:kern w:val="0"/>
                <w:szCs w:val="21"/>
                <w:lang w:bidi="he-IL"/>
              </w:rPr>
              <w:t>经营状况良好 ，近3年内无重大金融、财政违法行为</w:t>
            </w:r>
          </w:p>
        </w:tc>
        <w:tc>
          <w:tcPr>
            <w:tcW w:w="3430" w:type="dxa"/>
            <w:tcBorders>
              <w:tl2br w:val="nil"/>
              <w:tr2bl w:val="nil"/>
            </w:tcBorders>
            <w:vAlign w:val="center"/>
          </w:tcPr>
          <w:p w14:paraId="5ADD94A1">
            <w:pPr>
              <w:widowControl/>
              <w:jc w:val="left"/>
              <w:textAlignment w:val="center"/>
              <w:rPr>
                <w:color w:val="000000"/>
                <w:sz w:val="22"/>
                <w:szCs w:val="22"/>
              </w:rPr>
            </w:pPr>
            <w:r>
              <w:rPr>
                <w:color w:val="000000"/>
                <w:kern w:val="0"/>
                <w:sz w:val="22"/>
                <w:szCs w:val="22"/>
                <w:lang w:bidi="ar"/>
              </w:rPr>
              <w:t>经营信誉承诺书（格式参见附件）</w:t>
            </w:r>
          </w:p>
        </w:tc>
      </w:tr>
      <w:tr w14:paraId="0787D6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13" w:type="dxa"/>
            <w:tcBorders>
              <w:tl2br w:val="nil"/>
              <w:tr2bl w:val="nil"/>
            </w:tcBorders>
            <w:vAlign w:val="center"/>
          </w:tcPr>
          <w:p w14:paraId="4E18373D">
            <w:pPr>
              <w:widowControl/>
              <w:spacing w:line="360" w:lineRule="auto"/>
              <w:jc w:val="center"/>
              <w:rPr>
                <w:kern w:val="0"/>
                <w:szCs w:val="21"/>
                <w:lang w:bidi="he-IL"/>
              </w:rPr>
            </w:pPr>
            <w:r>
              <w:rPr>
                <w:kern w:val="0"/>
                <w:szCs w:val="21"/>
                <w:lang w:bidi="he-IL"/>
              </w:rPr>
              <w:t>4</w:t>
            </w:r>
          </w:p>
        </w:tc>
        <w:tc>
          <w:tcPr>
            <w:tcW w:w="1370" w:type="dxa"/>
            <w:vMerge w:val="continue"/>
            <w:tcBorders>
              <w:tl2br w:val="nil"/>
              <w:tr2bl w:val="nil"/>
            </w:tcBorders>
            <w:vAlign w:val="center"/>
          </w:tcPr>
          <w:p w14:paraId="120C0C7C">
            <w:pPr>
              <w:widowControl/>
              <w:spacing w:line="360" w:lineRule="auto"/>
              <w:jc w:val="center"/>
              <w:rPr>
                <w:kern w:val="0"/>
                <w:szCs w:val="21"/>
                <w:lang w:bidi="he-IL"/>
              </w:rPr>
            </w:pPr>
          </w:p>
        </w:tc>
        <w:tc>
          <w:tcPr>
            <w:tcW w:w="3736" w:type="dxa"/>
            <w:tcBorders>
              <w:tl2br w:val="nil"/>
              <w:tr2bl w:val="nil"/>
            </w:tcBorders>
            <w:vAlign w:val="center"/>
          </w:tcPr>
          <w:p w14:paraId="7347B082">
            <w:pPr>
              <w:widowControl/>
              <w:rPr>
                <w:kern w:val="0"/>
                <w:szCs w:val="21"/>
                <w:lang w:bidi="he-IL"/>
              </w:rPr>
            </w:pPr>
            <w:r>
              <w:rPr>
                <w:kern w:val="0"/>
                <w:szCs w:val="21"/>
                <w:lang w:bidi="he-IL"/>
              </w:rPr>
              <w:t>参选人与南通轨道集团业务合作良好，已开设南通轨道交通集团有限公司银行结算账户</w:t>
            </w:r>
          </w:p>
        </w:tc>
        <w:tc>
          <w:tcPr>
            <w:tcW w:w="3430" w:type="dxa"/>
            <w:tcBorders>
              <w:tl2br w:val="nil"/>
              <w:tr2bl w:val="nil"/>
            </w:tcBorders>
            <w:vAlign w:val="center"/>
          </w:tcPr>
          <w:p w14:paraId="204B65A9">
            <w:pPr>
              <w:widowControl/>
              <w:jc w:val="left"/>
              <w:rPr>
                <w:kern w:val="0"/>
                <w:szCs w:val="21"/>
                <w:lang w:bidi="he-IL"/>
              </w:rPr>
            </w:pPr>
            <w:r>
              <w:rPr>
                <w:szCs w:val="21"/>
              </w:rPr>
              <w:t>无需提供，由比选人提供开户清单</w:t>
            </w:r>
          </w:p>
        </w:tc>
      </w:tr>
      <w:tr w14:paraId="1FE94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13" w:type="dxa"/>
            <w:tcBorders>
              <w:tl2br w:val="nil"/>
              <w:tr2bl w:val="nil"/>
            </w:tcBorders>
            <w:vAlign w:val="center"/>
          </w:tcPr>
          <w:p w14:paraId="01460268">
            <w:pPr>
              <w:widowControl/>
              <w:spacing w:line="360" w:lineRule="auto"/>
              <w:jc w:val="center"/>
              <w:rPr>
                <w:kern w:val="0"/>
                <w:szCs w:val="21"/>
                <w:lang w:bidi="he-IL"/>
              </w:rPr>
            </w:pPr>
            <w:r>
              <w:rPr>
                <w:kern w:val="0"/>
                <w:szCs w:val="21"/>
                <w:lang w:bidi="he-IL"/>
              </w:rPr>
              <w:t>5</w:t>
            </w:r>
          </w:p>
        </w:tc>
        <w:tc>
          <w:tcPr>
            <w:tcW w:w="1370" w:type="dxa"/>
            <w:tcBorders>
              <w:tl2br w:val="nil"/>
              <w:tr2bl w:val="nil"/>
            </w:tcBorders>
            <w:vAlign w:val="center"/>
          </w:tcPr>
          <w:p w14:paraId="75D6F8EA">
            <w:pPr>
              <w:widowControl/>
              <w:spacing w:line="360" w:lineRule="auto"/>
              <w:jc w:val="center"/>
              <w:rPr>
                <w:kern w:val="0"/>
                <w:szCs w:val="21"/>
                <w:lang w:bidi="he-IL"/>
              </w:rPr>
            </w:pPr>
            <w:r>
              <w:rPr>
                <w:kern w:val="0"/>
                <w:szCs w:val="21"/>
                <w:lang w:bidi="he-IL"/>
              </w:rPr>
              <w:t>其他</w:t>
            </w:r>
          </w:p>
        </w:tc>
        <w:tc>
          <w:tcPr>
            <w:tcW w:w="3736" w:type="dxa"/>
            <w:tcBorders>
              <w:tl2br w:val="nil"/>
              <w:tr2bl w:val="nil"/>
            </w:tcBorders>
            <w:vAlign w:val="center"/>
          </w:tcPr>
          <w:p w14:paraId="53181E7F">
            <w:pPr>
              <w:widowControl/>
              <w:rPr>
                <w:kern w:val="0"/>
                <w:szCs w:val="21"/>
                <w:lang w:bidi="he-IL"/>
              </w:rPr>
            </w:pPr>
            <w:r>
              <w:rPr>
                <w:szCs w:val="21"/>
              </w:rPr>
              <w:t>本项目不接受联合体参选。</w:t>
            </w:r>
          </w:p>
        </w:tc>
        <w:tc>
          <w:tcPr>
            <w:tcW w:w="3430" w:type="dxa"/>
            <w:tcBorders>
              <w:tl2br w:val="nil"/>
              <w:tr2bl w:val="nil"/>
            </w:tcBorders>
            <w:vAlign w:val="center"/>
          </w:tcPr>
          <w:p w14:paraId="5F56CC52">
            <w:pPr>
              <w:widowControl/>
              <w:jc w:val="left"/>
              <w:rPr>
                <w:kern w:val="0"/>
                <w:szCs w:val="21"/>
                <w:lang w:bidi="he-IL"/>
              </w:rPr>
            </w:pPr>
            <w:r>
              <w:rPr>
                <w:szCs w:val="21"/>
              </w:rPr>
              <w:t>/</w:t>
            </w:r>
          </w:p>
        </w:tc>
      </w:tr>
    </w:tbl>
    <w:p w14:paraId="54151FD2">
      <w:pPr>
        <w:numPr>
          <w:ilvl w:val="0"/>
          <w:numId w:val="2"/>
        </w:numPr>
        <w:spacing w:line="360" w:lineRule="auto"/>
        <w:jc w:val="left"/>
        <w:rPr>
          <w:b/>
          <w:szCs w:val="21"/>
          <w:lang w:val="zh-CN"/>
        </w:rPr>
      </w:pPr>
      <w:r>
        <w:rPr>
          <w:rFonts w:hint="eastAsia"/>
          <w:b/>
          <w:szCs w:val="21"/>
          <w:lang w:val="zh-CN"/>
        </w:rPr>
        <w:t>商务技术</w:t>
      </w:r>
      <w:r>
        <w:rPr>
          <w:b/>
          <w:szCs w:val="21"/>
          <w:lang w:val="zh-CN"/>
        </w:rPr>
        <w:t>评审因素和标准</w:t>
      </w:r>
    </w:p>
    <w:p w14:paraId="49729F3E">
      <w:pPr>
        <w:spacing w:line="590" w:lineRule="exact"/>
        <w:rPr>
          <w:rFonts w:eastAsia="方正仿宋_GBK"/>
          <w:b/>
          <w:bCs/>
          <w:sz w:val="28"/>
          <w:szCs w:val="28"/>
        </w:rPr>
      </w:pPr>
      <w:r>
        <w:rPr>
          <w:rFonts w:eastAsia="方正仿宋_GBK"/>
          <w:b/>
          <w:bCs/>
          <w:sz w:val="28"/>
          <w:szCs w:val="28"/>
        </w:rPr>
        <w:t>基础指标（60分）</w:t>
      </w:r>
    </w:p>
    <w:tbl>
      <w:tblPr>
        <w:tblStyle w:val="15"/>
        <w:tblW w:w="904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2207"/>
        <w:gridCol w:w="1654"/>
        <w:gridCol w:w="3989"/>
        <w:gridCol w:w="705"/>
      </w:tblGrid>
      <w:tr w14:paraId="1F4A7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6" w:type="dxa"/>
            <w:tcBorders>
              <w:top w:val="single" w:color="auto" w:sz="4" w:space="0"/>
              <w:left w:val="single" w:color="auto" w:sz="4" w:space="0"/>
              <w:bottom w:val="single" w:color="auto" w:sz="4" w:space="0"/>
              <w:right w:val="single" w:color="auto" w:sz="4" w:space="0"/>
            </w:tcBorders>
            <w:shd w:val="clear" w:color="auto" w:fill="FEFEFE"/>
            <w:noWrap/>
          </w:tcPr>
          <w:p w14:paraId="4D53F333">
            <w:pPr>
              <w:jc w:val="left"/>
              <w:rPr>
                <w:color w:val="000000"/>
                <w:szCs w:val="21"/>
              </w:rPr>
            </w:pPr>
            <w:r>
              <w:rPr>
                <w:color w:val="000000"/>
                <w:szCs w:val="21"/>
              </w:rPr>
              <w:t>序号</w:t>
            </w:r>
          </w:p>
        </w:tc>
        <w:tc>
          <w:tcPr>
            <w:tcW w:w="2207" w:type="dxa"/>
            <w:tcBorders>
              <w:top w:val="single" w:color="auto" w:sz="4" w:space="0"/>
              <w:left w:val="single" w:color="auto" w:sz="4" w:space="0"/>
              <w:bottom w:val="single" w:color="auto" w:sz="4" w:space="0"/>
              <w:right w:val="single" w:color="auto" w:sz="4" w:space="0"/>
            </w:tcBorders>
            <w:shd w:val="clear" w:color="auto" w:fill="FEFEFE"/>
            <w:noWrap/>
            <w:vAlign w:val="center"/>
          </w:tcPr>
          <w:p w14:paraId="28A5D806">
            <w:pPr>
              <w:jc w:val="center"/>
              <w:rPr>
                <w:color w:val="000000"/>
                <w:szCs w:val="21"/>
              </w:rPr>
            </w:pPr>
            <w:r>
              <w:rPr>
                <w:color w:val="000000"/>
                <w:szCs w:val="21"/>
              </w:rPr>
              <w:t>评分项目</w:t>
            </w:r>
          </w:p>
        </w:tc>
        <w:tc>
          <w:tcPr>
            <w:tcW w:w="1654" w:type="dxa"/>
            <w:tcBorders>
              <w:top w:val="single" w:color="auto" w:sz="4" w:space="0"/>
              <w:left w:val="single" w:color="auto" w:sz="4" w:space="0"/>
              <w:bottom w:val="single" w:color="auto" w:sz="4" w:space="0"/>
              <w:right w:val="single" w:color="auto" w:sz="4" w:space="0"/>
            </w:tcBorders>
            <w:shd w:val="clear" w:color="auto" w:fill="FEFEFE"/>
            <w:noWrap/>
            <w:vAlign w:val="center"/>
          </w:tcPr>
          <w:p w14:paraId="7D5D389D">
            <w:pPr>
              <w:jc w:val="center"/>
              <w:rPr>
                <w:color w:val="000000"/>
                <w:szCs w:val="21"/>
              </w:rPr>
            </w:pPr>
            <w:r>
              <w:rPr>
                <w:color w:val="000000"/>
                <w:szCs w:val="21"/>
              </w:rPr>
              <w:t>评分内容</w:t>
            </w:r>
          </w:p>
        </w:tc>
        <w:tc>
          <w:tcPr>
            <w:tcW w:w="3989" w:type="dxa"/>
            <w:tcBorders>
              <w:top w:val="single" w:color="auto" w:sz="4" w:space="0"/>
              <w:left w:val="single" w:color="auto" w:sz="4" w:space="0"/>
              <w:bottom w:val="single" w:color="auto" w:sz="4" w:space="0"/>
              <w:right w:val="single" w:color="auto" w:sz="4" w:space="0"/>
            </w:tcBorders>
            <w:shd w:val="clear" w:color="auto" w:fill="FEFEFE"/>
            <w:noWrap/>
            <w:vAlign w:val="center"/>
          </w:tcPr>
          <w:p w14:paraId="7C51E873">
            <w:pPr>
              <w:jc w:val="center"/>
              <w:rPr>
                <w:color w:val="000000"/>
                <w:szCs w:val="21"/>
              </w:rPr>
            </w:pPr>
            <w:r>
              <w:rPr>
                <w:color w:val="000000"/>
                <w:szCs w:val="21"/>
              </w:rPr>
              <w:t>评分标准</w:t>
            </w:r>
          </w:p>
        </w:tc>
        <w:tc>
          <w:tcPr>
            <w:tcW w:w="705" w:type="dxa"/>
            <w:tcBorders>
              <w:top w:val="single" w:color="auto" w:sz="4" w:space="0"/>
              <w:left w:val="single" w:color="auto" w:sz="4" w:space="0"/>
              <w:bottom w:val="single" w:color="auto" w:sz="4" w:space="0"/>
              <w:right w:val="single" w:color="auto" w:sz="4" w:space="0"/>
            </w:tcBorders>
            <w:shd w:val="clear" w:color="auto" w:fill="FEFEFE"/>
            <w:noWrap/>
            <w:vAlign w:val="center"/>
          </w:tcPr>
          <w:p w14:paraId="6D4F8913">
            <w:pPr>
              <w:jc w:val="center"/>
              <w:rPr>
                <w:color w:val="000000"/>
                <w:szCs w:val="21"/>
              </w:rPr>
            </w:pPr>
            <w:r>
              <w:rPr>
                <w:color w:val="000000"/>
                <w:szCs w:val="21"/>
              </w:rPr>
              <w:t>分值</w:t>
            </w:r>
          </w:p>
        </w:tc>
      </w:tr>
      <w:tr w14:paraId="4DC9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486" w:type="dxa"/>
            <w:vMerge w:val="restart"/>
            <w:tcBorders>
              <w:top w:val="single" w:color="auto" w:sz="4" w:space="0"/>
              <w:left w:val="single" w:color="auto" w:sz="4" w:space="0"/>
              <w:bottom w:val="single" w:color="auto" w:sz="4" w:space="0"/>
              <w:right w:val="single" w:color="auto" w:sz="4" w:space="0"/>
            </w:tcBorders>
            <w:shd w:val="clear" w:color="auto" w:fill="FEFEFE"/>
            <w:noWrap/>
            <w:vAlign w:val="center"/>
          </w:tcPr>
          <w:p w14:paraId="07AF7C76">
            <w:pPr>
              <w:jc w:val="center"/>
              <w:rPr>
                <w:szCs w:val="21"/>
              </w:rPr>
            </w:pPr>
            <w:r>
              <w:rPr>
                <w:szCs w:val="21"/>
              </w:rPr>
              <w:t>1</w:t>
            </w:r>
          </w:p>
        </w:tc>
        <w:tc>
          <w:tcPr>
            <w:tcW w:w="2207" w:type="dxa"/>
            <w:vMerge w:val="restart"/>
            <w:tcBorders>
              <w:top w:val="single" w:color="auto" w:sz="4" w:space="0"/>
              <w:left w:val="single" w:color="auto" w:sz="4" w:space="0"/>
              <w:bottom w:val="single" w:color="auto" w:sz="4" w:space="0"/>
              <w:right w:val="single" w:color="auto" w:sz="4" w:space="0"/>
            </w:tcBorders>
            <w:shd w:val="clear" w:color="auto" w:fill="FEFEFE"/>
            <w:noWrap/>
            <w:vAlign w:val="center"/>
          </w:tcPr>
          <w:p w14:paraId="72467F0D">
            <w:pPr>
              <w:jc w:val="center"/>
              <w:rPr>
                <w:szCs w:val="21"/>
              </w:rPr>
            </w:pPr>
            <w:r>
              <w:rPr>
                <w:szCs w:val="21"/>
              </w:rPr>
              <w:t>与南通轨道集团合作贡献度</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FEFEFE"/>
            <w:vAlign w:val="center"/>
          </w:tcPr>
          <w:p w14:paraId="1584FACE">
            <w:pPr>
              <w:jc w:val="center"/>
              <w:rPr>
                <w:szCs w:val="21"/>
              </w:rPr>
            </w:pPr>
            <w:r>
              <w:rPr>
                <w:szCs w:val="21"/>
              </w:rPr>
              <w:t>参选人与南通轨道集团贷款授信、贷款余额</w:t>
            </w:r>
          </w:p>
        </w:tc>
        <w:tc>
          <w:tcPr>
            <w:tcW w:w="3989" w:type="dxa"/>
            <w:tcBorders>
              <w:top w:val="single" w:color="auto" w:sz="4" w:space="0"/>
              <w:left w:val="single" w:color="auto" w:sz="4" w:space="0"/>
              <w:bottom w:val="single" w:color="auto" w:sz="4" w:space="0"/>
              <w:right w:val="single" w:color="auto" w:sz="4" w:space="0"/>
            </w:tcBorders>
            <w:shd w:val="clear" w:color="auto" w:fill="FEFEFE"/>
          </w:tcPr>
          <w:p w14:paraId="299665A9">
            <w:pPr>
              <w:rPr>
                <w:szCs w:val="21"/>
              </w:rPr>
            </w:pPr>
            <w:r>
              <w:rPr>
                <w:szCs w:val="21"/>
              </w:rPr>
              <w:t>截至2025</w:t>
            </w:r>
            <w:r>
              <w:rPr>
                <w:rFonts w:hint="eastAsia"/>
                <w:szCs w:val="21"/>
              </w:rPr>
              <w:t>年</w:t>
            </w:r>
            <w:r>
              <w:rPr>
                <w:szCs w:val="21"/>
              </w:rPr>
              <w:t>7</w:t>
            </w:r>
            <w:r>
              <w:rPr>
                <w:rFonts w:hint="eastAsia"/>
                <w:szCs w:val="21"/>
              </w:rPr>
              <w:t>月</w:t>
            </w:r>
            <w:r>
              <w:rPr>
                <w:szCs w:val="21"/>
              </w:rPr>
              <w:t>3</w:t>
            </w:r>
            <w:r>
              <w:rPr>
                <w:rFonts w:hint="eastAsia"/>
                <w:szCs w:val="21"/>
              </w:rPr>
              <w:t>1日</w:t>
            </w:r>
            <w:r>
              <w:rPr>
                <w:szCs w:val="21"/>
              </w:rPr>
              <w:t>，1号线项目贷款、2号线银团贷款、轨道集团经营性短期融资获批额度的。</w:t>
            </w:r>
          </w:p>
          <w:p w14:paraId="09C6E069">
            <w:pPr>
              <w:rPr>
                <w:szCs w:val="21"/>
              </w:rPr>
            </w:pPr>
            <w:r>
              <w:rPr>
                <w:szCs w:val="21"/>
              </w:rPr>
              <w:t>1</w:t>
            </w:r>
            <w:r>
              <w:rPr>
                <w:rFonts w:hint="eastAsia"/>
                <w:szCs w:val="21"/>
              </w:rPr>
              <w:t>5</w:t>
            </w:r>
            <w:r>
              <w:rPr>
                <w:szCs w:val="21"/>
              </w:rPr>
              <w:t>亿元（含）以上得10分，1</w:t>
            </w:r>
            <w:r>
              <w:rPr>
                <w:rFonts w:hint="eastAsia"/>
                <w:szCs w:val="21"/>
              </w:rPr>
              <w:t>0</w:t>
            </w:r>
            <w:r>
              <w:rPr>
                <w:szCs w:val="21"/>
              </w:rPr>
              <w:t>亿元（含）-1</w:t>
            </w:r>
            <w:r>
              <w:rPr>
                <w:rFonts w:hint="eastAsia"/>
                <w:szCs w:val="21"/>
              </w:rPr>
              <w:t>5</w:t>
            </w:r>
            <w:r>
              <w:rPr>
                <w:szCs w:val="21"/>
              </w:rPr>
              <w:t>亿元得8分，</w:t>
            </w:r>
            <w:r>
              <w:rPr>
                <w:rFonts w:hint="eastAsia"/>
                <w:szCs w:val="21"/>
              </w:rPr>
              <w:t>5</w:t>
            </w:r>
            <w:r>
              <w:rPr>
                <w:szCs w:val="21"/>
              </w:rPr>
              <w:t>亿元（含）-</w:t>
            </w:r>
            <w:r>
              <w:rPr>
                <w:rFonts w:hint="eastAsia"/>
                <w:szCs w:val="21"/>
              </w:rPr>
              <w:t>10</w:t>
            </w:r>
            <w:r>
              <w:rPr>
                <w:szCs w:val="21"/>
              </w:rPr>
              <w:t>亿元得6分，</w:t>
            </w:r>
            <w:r>
              <w:rPr>
                <w:rFonts w:hint="eastAsia"/>
                <w:szCs w:val="21"/>
              </w:rPr>
              <w:t>0</w:t>
            </w:r>
            <w:r>
              <w:rPr>
                <w:szCs w:val="21"/>
              </w:rPr>
              <w:t>亿元（含）-</w:t>
            </w:r>
            <w:r>
              <w:rPr>
                <w:rFonts w:hint="eastAsia"/>
                <w:szCs w:val="21"/>
              </w:rPr>
              <w:t>5</w:t>
            </w:r>
            <w:r>
              <w:rPr>
                <w:szCs w:val="21"/>
              </w:rPr>
              <w:t>亿元得4分，</w:t>
            </w:r>
            <w:r>
              <w:rPr>
                <w:color w:val="000000"/>
                <w:szCs w:val="21"/>
              </w:rPr>
              <w:t>其余不得分</w:t>
            </w:r>
            <w:r>
              <w:rPr>
                <w:szCs w:val="21"/>
              </w:rPr>
              <w:t>。以各行上述三项融资合计获批额度为准。</w:t>
            </w:r>
          </w:p>
        </w:tc>
        <w:tc>
          <w:tcPr>
            <w:tcW w:w="705" w:type="dxa"/>
            <w:tcBorders>
              <w:top w:val="single" w:color="auto" w:sz="4" w:space="0"/>
              <w:left w:val="single" w:color="auto" w:sz="4" w:space="0"/>
              <w:bottom w:val="single" w:color="auto" w:sz="4" w:space="0"/>
              <w:right w:val="single" w:color="auto" w:sz="4" w:space="0"/>
            </w:tcBorders>
            <w:shd w:val="clear" w:color="auto" w:fill="FEFEFE"/>
            <w:noWrap/>
            <w:vAlign w:val="center"/>
          </w:tcPr>
          <w:p w14:paraId="2D9BD1B8">
            <w:pPr>
              <w:jc w:val="center"/>
              <w:rPr>
                <w:szCs w:val="21"/>
              </w:rPr>
            </w:pPr>
            <w:r>
              <w:rPr>
                <w:szCs w:val="21"/>
              </w:rPr>
              <w:t>10</w:t>
            </w:r>
          </w:p>
        </w:tc>
      </w:tr>
      <w:tr w14:paraId="0A365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486"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3FC788A7">
            <w:pPr>
              <w:jc w:val="center"/>
              <w:rPr>
                <w:szCs w:val="21"/>
              </w:rPr>
            </w:pPr>
          </w:p>
        </w:tc>
        <w:tc>
          <w:tcPr>
            <w:tcW w:w="2207"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64D24762">
            <w:pPr>
              <w:jc w:val="center"/>
              <w:rPr>
                <w:szCs w:val="21"/>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720956D6">
            <w:pPr>
              <w:jc w:val="center"/>
              <w:rPr>
                <w:szCs w:val="21"/>
              </w:rPr>
            </w:pPr>
          </w:p>
        </w:tc>
        <w:tc>
          <w:tcPr>
            <w:tcW w:w="3989" w:type="dxa"/>
            <w:tcBorders>
              <w:top w:val="single" w:color="auto" w:sz="4" w:space="0"/>
              <w:left w:val="single" w:color="auto" w:sz="4" w:space="0"/>
              <w:bottom w:val="single" w:color="auto" w:sz="4" w:space="0"/>
              <w:right w:val="single" w:color="auto" w:sz="4" w:space="0"/>
            </w:tcBorders>
            <w:shd w:val="clear" w:color="auto" w:fill="FEFEFE"/>
          </w:tcPr>
          <w:p w14:paraId="6B554095">
            <w:pPr>
              <w:rPr>
                <w:szCs w:val="21"/>
              </w:rPr>
            </w:pPr>
            <w:r>
              <w:rPr>
                <w:szCs w:val="21"/>
              </w:rPr>
              <w:t>截至2025</w:t>
            </w:r>
            <w:r>
              <w:rPr>
                <w:rFonts w:hint="eastAsia"/>
                <w:szCs w:val="21"/>
              </w:rPr>
              <w:t>年</w:t>
            </w:r>
            <w:r>
              <w:rPr>
                <w:szCs w:val="21"/>
              </w:rPr>
              <w:t>7</w:t>
            </w:r>
            <w:r>
              <w:rPr>
                <w:rFonts w:hint="eastAsia"/>
                <w:szCs w:val="21"/>
              </w:rPr>
              <w:t>月</w:t>
            </w:r>
            <w:r>
              <w:rPr>
                <w:szCs w:val="21"/>
              </w:rPr>
              <w:t>3</w:t>
            </w:r>
            <w:r>
              <w:rPr>
                <w:rFonts w:hint="eastAsia"/>
                <w:szCs w:val="21"/>
              </w:rPr>
              <w:t>1日</w:t>
            </w:r>
            <w:r>
              <w:rPr>
                <w:szCs w:val="21"/>
              </w:rPr>
              <w:t>，1号线项目贷款、2号线银团贷款、轨道集团经营性短期融资余额。</w:t>
            </w:r>
          </w:p>
          <w:p w14:paraId="409B833F">
            <w:pPr>
              <w:rPr>
                <w:szCs w:val="21"/>
              </w:rPr>
            </w:pPr>
            <w:r>
              <w:rPr>
                <w:rFonts w:hint="eastAsia"/>
                <w:szCs w:val="21"/>
              </w:rPr>
              <w:t>9</w:t>
            </w:r>
            <w:r>
              <w:rPr>
                <w:szCs w:val="21"/>
              </w:rPr>
              <w:t>亿元（含）以上得10分，6亿元（含）-</w:t>
            </w:r>
            <w:r>
              <w:rPr>
                <w:rFonts w:hint="eastAsia"/>
                <w:szCs w:val="21"/>
              </w:rPr>
              <w:t>9</w:t>
            </w:r>
            <w:r>
              <w:rPr>
                <w:szCs w:val="21"/>
              </w:rPr>
              <w:t>亿元得8分，</w:t>
            </w:r>
            <w:r>
              <w:rPr>
                <w:rFonts w:hint="eastAsia"/>
                <w:szCs w:val="21"/>
              </w:rPr>
              <w:t>3</w:t>
            </w:r>
            <w:r>
              <w:rPr>
                <w:szCs w:val="21"/>
              </w:rPr>
              <w:t>亿元（含）-6亿元得6分，0亿元（不含）-</w:t>
            </w:r>
            <w:r>
              <w:rPr>
                <w:rFonts w:hint="eastAsia"/>
                <w:szCs w:val="21"/>
              </w:rPr>
              <w:t>3</w:t>
            </w:r>
            <w:r>
              <w:rPr>
                <w:szCs w:val="21"/>
              </w:rPr>
              <w:t>亿元得</w:t>
            </w:r>
            <w:r>
              <w:rPr>
                <w:rFonts w:hint="eastAsia"/>
                <w:szCs w:val="21"/>
              </w:rPr>
              <w:t>4</w:t>
            </w:r>
            <w:r>
              <w:rPr>
                <w:szCs w:val="21"/>
              </w:rPr>
              <w:t>分</w:t>
            </w:r>
            <w:r>
              <w:rPr>
                <w:rFonts w:hint="eastAsia"/>
                <w:szCs w:val="21"/>
              </w:rPr>
              <w:t>，</w:t>
            </w:r>
            <w:r>
              <w:rPr>
                <w:color w:val="000000"/>
                <w:szCs w:val="21"/>
              </w:rPr>
              <w:t>其余不得分。</w:t>
            </w:r>
            <w:r>
              <w:rPr>
                <w:szCs w:val="21"/>
              </w:rPr>
              <w:t>以各行上述三项融资合计余额为准。</w:t>
            </w:r>
          </w:p>
        </w:tc>
        <w:tc>
          <w:tcPr>
            <w:tcW w:w="705" w:type="dxa"/>
            <w:tcBorders>
              <w:top w:val="single" w:color="auto" w:sz="4" w:space="0"/>
              <w:left w:val="single" w:color="auto" w:sz="4" w:space="0"/>
              <w:bottom w:val="single" w:color="auto" w:sz="4" w:space="0"/>
              <w:right w:val="single" w:color="auto" w:sz="4" w:space="0"/>
            </w:tcBorders>
            <w:shd w:val="clear" w:color="auto" w:fill="FEFEFE"/>
            <w:noWrap/>
            <w:vAlign w:val="center"/>
          </w:tcPr>
          <w:p w14:paraId="2906F01D">
            <w:pPr>
              <w:jc w:val="center"/>
              <w:rPr>
                <w:szCs w:val="21"/>
              </w:rPr>
            </w:pPr>
            <w:r>
              <w:rPr>
                <w:szCs w:val="21"/>
              </w:rPr>
              <w:t>10</w:t>
            </w:r>
          </w:p>
        </w:tc>
      </w:tr>
      <w:tr w14:paraId="49EAC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5" w:hRule="atLeast"/>
        </w:trPr>
        <w:tc>
          <w:tcPr>
            <w:tcW w:w="486" w:type="dxa"/>
            <w:tcBorders>
              <w:top w:val="single" w:color="auto" w:sz="4" w:space="0"/>
              <w:left w:val="single" w:color="auto" w:sz="4" w:space="0"/>
              <w:right w:val="single" w:color="auto" w:sz="4" w:space="0"/>
            </w:tcBorders>
            <w:shd w:val="clear" w:color="auto" w:fill="FEFEFE"/>
            <w:noWrap/>
            <w:vAlign w:val="center"/>
          </w:tcPr>
          <w:p w14:paraId="617784EB">
            <w:pPr>
              <w:jc w:val="center"/>
              <w:rPr>
                <w:szCs w:val="21"/>
              </w:rPr>
            </w:pPr>
            <w:r>
              <w:rPr>
                <w:szCs w:val="21"/>
              </w:rPr>
              <w:t>2</w:t>
            </w:r>
          </w:p>
        </w:tc>
        <w:tc>
          <w:tcPr>
            <w:tcW w:w="2207" w:type="dxa"/>
            <w:tcBorders>
              <w:top w:val="single" w:color="auto" w:sz="4" w:space="0"/>
              <w:left w:val="single" w:color="auto" w:sz="4" w:space="0"/>
              <w:right w:val="single" w:color="auto" w:sz="4" w:space="0"/>
            </w:tcBorders>
            <w:shd w:val="clear" w:color="auto" w:fill="FEFEFE"/>
            <w:noWrap/>
            <w:vAlign w:val="center"/>
          </w:tcPr>
          <w:p w14:paraId="41331B2A">
            <w:pPr>
              <w:jc w:val="center"/>
              <w:rPr>
                <w:szCs w:val="21"/>
              </w:rPr>
            </w:pPr>
            <w:r>
              <w:rPr>
                <w:szCs w:val="21"/>
              </w:rPr>
              <w:t>与南通轨道集团基础增值贡献</w:t>
            </w:r>
          </w:p>
        </w:tc>
        <w:tc>
          <w:tcPr>
            <w:tcW w:w="1654" w:type="dxa"/>
            <w:tcBorders>
              <w:top w:val="single" w:color="auto" w:sz="4" w:space="0"/>
              <w:left w:val="single" w:color="auto" w:sz="4" w:space="0"/>
              <w:right w:val="single" w:color="auto" w:sz="4" w:space="0"/>
            </w:tcBorders>
            <w:shd w:val="clear" w:color="auto" w:fill="FEFEFE"/>
            <w:vAlign w:val="center"/>
          </w:tcPr>
          <w:p w14:paraId="60A5F465">
            <w:pPr>
              <w:jc w:val="center"/>
              <w:rPr>
                <w:szCs w:val="21"/>
              </w:rPr>
            </w:pPr>
            <w:r>
              <w:rPr>
                <w:szCs w:val="21"/>
              </w:rPr>
              <w:t>对南通轨道集团存量贷款让利</w:t>
            </w:r>
          </w:p>
        </w:tc>
        <w:tc>
          <w:tcPr>
            <w:tcW w:w="3989" w:type="dxa"/>
            <w:tcBorders>
              <w:top w:val="single" w:color="auto" w:sz="4" w:space="0"/>
              <w:left w:val="single" w:color="auto" w:sz="4" w:space="0"/>
              <w:bottom w:val="single" w:color="auto" w:sz="4" w:space="0"/>
              <w:right w:val="single" w:color="auto" w:sz="4" w:space="0"/>
            </w:tcBorders>
            <w:shd w:val="clear" w:color="auto" w:fill="FEFEFE"/>
          </w:tcPr>
          <w:p w14:paraId="599DB43C">
            <w:pPr>
              <w:jc w:val="left"/>
              <w:rPr>
                <w:szCs w:val="21"/>
              </w:rPr>
            </w:pPr>
            <w:r>
              <w:rPr>
                <w:szCs w:val="21"/>
              </w:rPr>
              <w:t>让利每10万元得2分，不满10万元的部分可按比例折算，得分保留小数点后两位。长期贷款让利额=∑（剩余期限内年贷款余额*年降低利率*折现率）/3，流动贷款让利额=∑（贷款余额*年降低利率*贷款期剩余天数/360)，长期贷款年降低利率是指参选银行已投放的轨道1号线长期贷款利率较现有利率相比的降低额，流动贷款年降低利率指参选银行已投放的轨道集团流动贷款（含电费证）利率较现有利率相比的降低额。实际金额按照比例折算。</w:t>
            </w:r>
          </w:p>
        </w:tc>
        <w:tc>
          <w:tcPr>
            <w:tcW w:w="705" w:type="dxa"/>
            <w:tcBorders>
              <w:top w:val="single" w:color="auto" w:sz="4" w:space="0"/>
              <w:left w:val="single" w:color="auto" w:sz="4" w:space="0"/>
              <w:bottom w:val="single" w:color="auto" w:sz="4" w:space="0"/>
              <w:right w:val="single" w:color="auto" w:sz="4" w:space="0"/>
            </w:tcBorders>
            <w:shd w:val="clear" w:color="auto" w:fill="FEFEFE"/>
            <w:noWrap/>
            <w:vAlign w:val="center"/>
          </w:tcPr>
          <w:p w14:paraId="12185112">
            <w:pPr>
              <w:jc w:val="center"/>
              <w:rPr>
                <w:szCs w:val="21"/>
              </w:rPr>
            </w:pPr>
            <w:r>
              <w:rPr>
                <w:szCs w:val="21"/>
              </w:rPr>
              <w:t>20</w:t>
            </w:r>
          </w:p>
        </w:tc>
      </w:tr>
      <w:tr w14:paraId="1857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486" w:type="dxa"/>
            <w:vMerge w:val="restart"/>
            <w:tcBorders>
              <w:top w:val="single" w:color="auto" w:sz="4" w:space="0"/>
              <w:left w:val="single" w:color="auto" w:sz="4" w:space="0"/>
              <w:right w:val="single" w:color="auto" w:sz="4" w:space="0"/>
            </w:tcBorders>
            <w:shd w:val="clear" w:color="auto" w:fill="FEFEFE"/>
            <w:noWrap/>
            <w:vAlign w:val="center"/>
          </w:tcPr>
          <w:p w14:paraId="4F2A0395">
            <w:pPr>
              <w:jc w:val="center"/>
              <w:rPr>
                <w:szCs w:val="21"/>
              </w:rPr>
            </w:pPr>
            <w:r>
              <w:rPr>
                <w:szCs w:val="21"/>
              </w:rPr>
              <w:t>3</w:t>
            </w:r>
          </w:p>
        </w:tc>
        <w:tc>
          <w:tcPr>
            <w:tcW w:w="2207" w:type="dxa"/>
            <w:vMerge w:val="restart"/>
            <w:tcBorders>
              <w:top w:val="single" w:color="auto" w:sz="4" w:space="0"/>
              <w:left w:val="single" w:color="auto" w:sz="4" w:space="0"/>
              <w:right w:val="single" w:color="auto" w:sz="4" w:space="0"/>
            </w:tcBorders>
            <w:shd w:val="clear" w:color="auto" w:fill="FEFEFE"/>
            <w:noWrap/>
            <w:vAlign w:val="center"/>
          </w:tcPr>
          <w:p w14:paraId="19D857C7">
            <w:pPr>
              <w:jc w:val="center"/>
              <w:rPr>
                <w:szCs w:val="21"/>
              </w:rPr>
            </w:pPr>
            <w:r>
              <w:rPr>
                <w:szCs w:val="21"/>
              </w:rPr>
              <w:t>存款收益情况</w:t>
            </w:r>
          </w:p>
        </w:tc>
        <w:tc>
          <w:tcPr>
            <w:tcW w:w="1654" w:type="dxa"/>
            <w:tcBorders>
              <w:top w:val="single" w:color="auto" w:sz="4" w:space="0"/>
              <w:left w:val="single" w:color="auto" w:sz="4" w:space="0"/>
              <w:right w:val="single" w:color="auto" w:sz="4" w:space="0"/>
            </w:tcBorders>
            <w:shd w:val="clear" w:color="auto" w:fill="FEFEFE"/>
            <w:vAlign w:val="center"/>
          </w:tcPr>
          <w:p w14:paraId="1BAC2F4F">
            <w:pPr>
              <w:jc w:val="center"/>
              <w:rPr>
                <w:szCs w:val="21"/>
              </w:rPr>
            </w:pPr>
            <w:r>
              <w:rPr>
                <w:szCs w:val="21"/>
              </w:rPr>
              <w:t>协定存款利率</w:t>
            </w:r>
          </w:p>
        </w:tc>
        <w:tc>
          <w:tcPr>
            <w:tcW w:w="3989" w:type="dxa"/>
            <w:tcBorders>
              <w:top w:val="single" w:color="auto" w:sz="4" w:space="0"/>
              <w:left w:val="single" w:color="auto" w:sz="4" w:space="0"/>
              <w:bottom w:val="single" w:color="auto" w:sz="4" w:space="0"/>
              <w:right w:val="single" w:color="auto" w:sz="4" w:space="0"/>
            </w:tcBorders>
            <w:shd w:val="clear" w:color="auto" w:fill="FEFEFE"/>
          </w:tcPr>
          <w:p w14:paraId="379F9E26">
            <w:pPr>
              <w:jc w:val="left"/>
              <w:rPr>
                <w:szCs w:val="21"/>
              </w:rPr>
            </w:pPr>
            <w:r>
              <w:rPr>
                <w:kern w:val="0"/>
                <w:szCs w:val="21"/>
                <w:lang w:bidi="ar"/>
              </w:rPr>
              <w:t>第一名得满分，每降低一个BP扣0.25分，最低得0分。</w:t>
            </w:r>
          </w:p>
        </w:tc>
        <w:tc>
          <w:tcPr>
            <w:tcW w:w="705" w:type="dxa"/>
            <w:tcBorders>
              <w:top w:val="single" w:color="auto" w:sz="4" w:space="0"/>
              <w:left w:val="single" w:color="auto" w:sz="4" w:space="0"/>
              <w:bottom w:val="single" w:color="auto" w:sz="4" w:space="0"/>
              <w:right w:val="single" w:color="auto" w:sz="4" w:space="0"/>
            </w:tcBorders>
            <w:shd w:val="clear" w:color="auto" w:fill="FEFEFE"/>
            <w:noWrap/>
            <w:vAlign w:val="center"/>
          </w:tcPr>
          <w:p w14:paraId="0182F758">
            <w:pPr>
              <w:jc w:val="center"/>
              <w:rPr>
                <w:szCs w:val="21"/>
              </w:rPr>
            </w:pPr>
            <w:r>
              <w:rPr>
                <w:szCs w:val="21"/>
              </w:rPr>
              <w:t>5</w:t>
            </w:r>
          </w:p>
        </w:tc>
      </w:tr>
      <w:tr w14:paraId="257E8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86" w:type="dxa"/>
            <w:vMerge w:val="continue"/>
            <w:tcBorders>
              <w:left w:val="single" w:color="auto" w:sz="4" w:space="0"/>
              <w:bottom w:val="single" w:color="auto" w:sz="4" w:space="0"/>
              <w:right w:val="single" w:color="auto" w:sz="4" w:space="0"/>
            </w:tcBorders>
            <w:shd w:val="clear" w:color="auto" w:fill="FEFEFE"/>
            <w:noWrap/>
            <w:vAlign w:val="center"/>
          </w:tcPr>
          <w:p w14:paraId="720D881D">
            <w:pPr>
              <w:jc w:val="center"/>
              <w:rPr>
                <w:szCs w:val="21"/>
              </w:rPr>
            </w:pPr>
          </w:p>
        </w:tc>
        <w:tc>
          <w:tcPr>
            <w:tcW w:w="2207" w:type="dxa"/>
            <w:vMerge w:val="continue"/>
            <w:tcBorders>
              <w:left w:val="single" w:color="auto" w:sz="4" w:space="0"/>
              <w:bottom w:val="single" w:color="auto" w:sz="4" w:space="0"/>
              <w:right w:val="single" w:color="auto" w:sz="4" w:space="0"/>
            </w:tcBorders>
            <w:shd w:val="clear" w:color="auto" w:fill="FEFEFE"/>
            <w:noWrap/>
            <w:vAlign w:val="center"/>
          </w:tcPr>
          <w:p w14:paraId="0C2BB6BD">
            <w:pPr>
              <w:jc w:val="center"/>
              <w:rPr>
                <w:szCs w:val="21"/>
              </w:rPr>
            </w:pPr>
          </w:p>
        </w:tc>
        <w:tc>
          <w:tcPr>
            <w:tcW w:w="1654" w:type="dxa"/>
            <w:tcBorders>
              <w:left w:val="single" w:color="auto" w:sz="4" w:space="0"/>
              <w:bottom w:val="single" w:color="auto" w:sz="4" w:space="0"/>
              <w:right w:val="single" w:color="auto" w:sz="4" w:space="0"/>
            </w:tcBorders>
            <w:shd w:val="clear" w:color="auto" w:fill="FEFEFE"/>
            <w:vAlign w:val="center"/>
          </w:tcPr>
          <w:p w14:paraId="040E25A3">
            <w:pPr>
              <w:jc w:val="center"/>
              <w:rPr>
                <w:szCs w:val="21"/>
              </w:rPr>
            </w:pPr>
            <w:r>
              <w:rPr>
                <w:szCs w:val="21"/>
              </w:rPr>
              <w:t>七天通知存款利率</w:t>
            </w:r>
          </w:p>
        </w:tc>
        <w:tc>
          <w:tcPr>
            <w:tcW w:w="3989" w:type="dxa"/>
            <w:tcBorders>
              <w:top w:val="single" w:color="auto" w:sz="4" w:space="0"/>
              <w:left w:val="single" w:color="auto" w:sz="4" w:space="0"/>
              <w:bottom w:val="single" w:color="auto" w:sz="4" w:space="0"/>
              <w:right w:val="single" w:color="auto" w:sz="4" w:space="0"/>
            </w:tcBorders>
            <w:shd w:val="clear" w:color="auto" w:fill="FEFEFE"/>
          </w:tcPr>
          <w:p w14:paraId="2DC6A1CD">
            <w:pPr>
              <w:jc w:val="left"/>
              <w:rPr>
                <w:szCs w:val="21"/>
              </w:rPr>
            </w:pPr>
            <w:r>
              <w:rPr>
                <w:kern w:val="0"/>
                <w:szCs w:val="21"/>
                <w:lang w:bidi="ar"/>
              </w:rPr>
              <w:t>第一名得满分，每降低一个BP扣0.25分，最低得0分。</w:t>
            </w:r>
          </w:p>
        </w:tc>
        <w:tc>
          <w:tcPr>
            <w:tcW w:w="705" w:type="dxa"/>
            <w:tcBorders>
              <w:top w:val="single" w:color="auto" w:sz="4" w:space="0"/>
              <w:left w:val="single" w:color="auto" w:sz="4" w:space="0"/>
              <w:bottom w:val="single" w:color="auto" w:sz="4" w:space="0"/>
              <w:right w:val="single" w:color="auto" w:sz="4" w:space="0"/>
            </w:tcBorders>
            <w:shd w:val="clear" w:color="auto" w:fill="FEFEFE"/>
            <w:noWrap/>
            <w:vAlign w:val="center"/>
          </w:tcPr>
          <w:p w14:paraId="383A092B">
            <w:pPr>
              <w:jc w:val="center"/>
              <w:rPr>
                <w:szCs w:val="21"/>
              </w:rPr>
            </w:pPr>
            <w:r>
              <w:rPr>
                <w:szCs w:val="21"/>
              </w:rPr>
              <w:t>5</w:t>
            </w:r>
          </w:p>
        </w:tc>
      </w:tr>
      <w:tr w14:paraId="0CD8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6" w:type="dxa"/>
            <w:vMerge w:val="restart"/>
            <w:tcBorders>
              <w:left w:val="single" w:color="auto" w:sz="4" w:space="0"/>
              <w:bottom w:val="single" w:color="auto" w:sz="4" w:space="0"/>
              <w:right w:val="single" w:color="auto" w:sz="4" w:space="0"/>
            </w:tcBorders>
            <w:shd w:val="clear" w:color="auto" w:fill="FEFEFE"/>
            <w:noWrap/>
            <w:vAlign w:val="center"/>
          </w:tcPr>
          <w:p w14:paraId="02DAB7A8">
            <w:pPr>
              <w:jc w:val="center"/>
              <w:rPr>
                <w:szCs w:val="21"/>
              </w:rPr>
            </w:pPr>
            <w:r>
              <w:rPr>
                <w:szCs w:val="21"/>
              </w:rPr>
              <w:t>4</w:t>
            </w:r>
          </w:p>
        </w:tc>
        <w:tc>
          <w:tcPr>
            <w:tcW w:w="2207" w:type="dxa"/>
            <w:vMerge w:val="restart"/>
            <w:tcBorders>
              <w:left w:val="single" w:color="auto" w:sz="4" w:space="0"/>
              <w:bottom w:val="single" w:color="auto" w:sz="4" w:space="0"/>
              <w:right w:val="single" w:color="auto" w:sz="4" w:space="0"/>
            </w:tcBorders>
            <w:shd w:val="clear" w:color="auto" w:fill="FEFEFE"/>
            <w:noWrap/>
            <w:vAlign w:val="center"/>
          </w:tcPr>
          <w:p w14:paraId="1BC4578A">
            <w:pPr>
              <w:jc w:val="center"/>
              <w:rPr>
                <w:szCs w:val="21"/>
              </w:rPr>
            </w:pPr>
            <w:r>
              <w:rPr>
                <w:szCs w:val="21"/>
              </w:rPr>
              <w:t>其他</w:t>
            </w:r>
          </w:p>
        </w:tc>
        <w:tc>
          <w:tcPr>
            <w:tcW w:w="1654" w:type="dxa"/>
            <w:tcBorders>
              <w:left w:val="single" w:color="auto" w:sz="4" w:space="0"/>
              <w:bottom w:val="single" w:color="auto" w:sz="4" w:space="0"/>
              <w:right w:val="single" w:color="auto" w:sz="4" w:space="0"/>
            </w:tcBorders>
            <w:shd w:val="clear" w:color="auto" w:fill="FEFEFE"/>
            <w:vAlign w:val="center"/>
          </w:tcPr>
          <w:p w14:paraId="565F02C1">
            <w:pPr>
              <w:widowControl/>
              <w:jc w:val="center"/>
              <w:rPr>
                <w:szCs w:val="21"/>
              </w:rPr>
            </w:pPr>
            <w:r>
              <w:rPr>
                <w:kern w:val="0"/>
                <w:szCs w:val="21"/>
                <w:lang w:bidi="ar"/>
              </w:rPr>
              <w:t>减费让利</w:t>
            </w:r>
          </w:p>
        </w:tc>
        <w:tc>
          <w:tcPr>
            <w:tcW w:w="3989" w:type="dxa"/>
            <w:tcBorders>
              <w:top w:val="single" w:color="auto" w:sz="4" w:space="0"/>
              <w:left w:val="single" w:color="auto" w:sz="4" w:space="0"/>
              <w:bottom w:val="single" w:color="auto" w:sz="4" w:space="0"/>
              <w:right w:val="single" w:color="auto" w:sz="4" w:space="0"/>
            </w:tcBorders>
            <w:shd w:val="clear" w:color="auto" w:fill="FEFEFE"/>
            <w:vAlign w:val="center"/>
          </w:tcPr>
          <w:p w14:paraId="15F98ABF">
            <w:pPr>
              <w:widowControl/>
              <w:rPr>
                <w:szCs w:val="21"/>
              </w:rPr>
            </w:pPr>
            <w:r>
              <w:rPr>
                <w:rStyle w:val="26"/>
                <w:rFonts w:hint="default" w:ascii="Times New Roman" w:hAnsi="Times New Roman" w:cs="Times New Roman"/>
                <w:color w:val="auto"/>
                <w:sz w:val="21"/>
                <w:szCs w:val="21"/>
                <w:lang w:bidi="ar"/>
              </w:rPr>
              <w:t>减免轨道集团在参选银行开设的全部账户在日常使用、管理中的相关费用情况。全部减免得5分，部分减免得3分，无实质性减免不得分。</w:t>
            </w:r>
          </w:p>
        </w:tc>
        <w:tc>
          <w:tcPr>
            <w:tcW w:w="705" w:type="dxa"/>
            <w:tcBorders>
              <w:top w:val="single" w:color="auto" w:sz="4" w:space="0"/>
              <w:left w:val="single" w:color="auto" w:sz="4" w:space="0"/>
              <w:bottom w:val="single" w:color="auto" w:sz="4" w:space="0"/>
              <w:right w:val="single" w:color="auto" w:sz="4" w:space="0"/>
            </w:tcBorders>
            <w:shd w:val="clear" w:color="auto" w:fill="FEFEFE"/>
            <w:noWrap/>
            <w:vAlign w:val="center"/>
          </w:tcPr>
          <w:p w14:paraId="214C72B1">
            <w:pPr>
              <w:jc w:val="center"/>
              <w:rPr>
                <w:szCs w:val="21"/>
              </w:rPr>
            </w:pPr>
            <w:r>
              <w:rPr>
                <w:szCs w:val="21"/>
              </w:rPr>
              <w:t>5</w:t>
            </w:r>
          </w:p>
        </w:tc>
      </w:tr>
      <w:tr w14:paraId="034B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486" w:type="dxa"/>
            <w:vMerge w:val="continue"/>
            <w:tcBorders>
              <w:left w:val="single" w:color="auto" w:sz="4" w:space="0"/>
              <w:bottom w:val="single" w:color="auto" w:sz="4" w:space="0"/>
              <w:right w:val="single" w:color="auto" w:sz="4" w:space="0"/>
            </w:tcBorders>
            <w:shd w:val="clear" w:color="auto" w:fill="FEFEFE"/>
            <w:noWrap/>
            <w:vAlign w:val="center"/>
          </w:tcPr>
          <w:p w14:paraId="710C7890">
            <w:pPr>
              <w:jc w:val="center"/>
              <w:rPr>
                <w:szCs w:val="21"/>
              </w:rPr>
            </w:pPr>
          </w:p>
        </w:tc>
        <w:tc>
          <w:tcPr>
            <w:tcW w:w="2207" w:type="dxa"/>
            <w:vMerge w:val="continue"/>
            <w:tcBorders>
              <w:left w:val="single" w:color="auto" w:sz="4" w:space="0"/>
              <w:bottom w:val="single" w:color="auto" w:sz="4" w:space="0"/>
              <w:right w:val="single" w:color="auto" w:sz="4" w:space="0"/>
            </w:tcBorders>
            <w:shd w:val="clear" w:color="auto" w:fill="FEFEFE"/>
            <w:noWrap/>
            <w:vAlign w:val="center"/>
          </w:tcPr>
          <w:p w14:paraId="067A160A">
            <w:pPr>
              <w:jc w:val="center"/>
              <w:rPr>
                <w:szCs w:val="21"/>
              </w:rPr>
            </w:pPr>
          </w:p>
        </w:tc>
        <w:tc>
          <w:tcPr>
            <w:tcW w:w="1654" w:type="dxa"/>
            <w:tcBorders>
              <w:left w:val="single" w:color="auto" w:sz="4" w:space="0"/>
              <w:bottom w:val="single" w:color="auto" w:sz="4" w:space="0"/>
              <w:right w:val="single" w:color="auto" w:sz="4" w:space="0"/>
            </w:tcBorders>
            <w:shd w:val="clear" w:color="auto" w:fill="FEFEFE"/>
            <w:vAlign w:val="center"/>
          </w:tcPr>
          <w:p w14:paraId="14AC3C80">
            <w:pPr>
              <w:widowControl/>
              <w:jc w:val="center"/>
              <w:rPr>
                <w:szCs w:val="21"/>
              </w:rPr>
            </w:pPr>
            <w:r>
              <w:rPr>
                <w:kern w:val="0"/>
                <w:szCs w:val="21"/>
                <w:lang w:bidi="ar"/>
              </w:rPr>
              <w:t>综合服务方案</w:t>
            </w:r>
          </w:p>
        </w:tc>
        <w:tc>
          <w:tcPr>
            <w:tcW w:w="3989" w:type="dxa"/>
            <w:tcBorders>
              <w:top w:val="single" w:color="auto" w:sz="4" w:space="0"/>
              <w:left w:val="single" w:color="auto" w:sz="4" w:space="0"/>
              <w:bottom w:val="single" w:color="auto" w:sz="4" w:space="0"/>
              <w:right w:val="single" w:color="auto" w:sz="4" w:space="0"/>
            </w:tcBorders>
            <w:shd w:val="clear" w:color="auto" w:fill="FEFEFE"/>
            <w:vAlign w:val="center"/>
          </w:tcPr>
          <w:p w14:paraId="2E99BD30">
            <w:pPr>
              <w:rPr>
                <w:szCs w:val="21"/>
              </w:rPr>
            </w:pPr>
            <w:r>
              <w:rPr>
                <w:szCs w:val="21"/>
              </w:rPr>
              <w:t>视结合参与银行业务优势，制定服务轨道交通建设发展及轨道集团员工的综合服务方案（要求方案可量化、可落地）裁量评分。</w:t>
            </w:r>
          </w:p>
        </w:tc>
        <w:tc>
          <w:tcPr>
            <w:tcW w:w="705" w:type="dxa"/>
            <w:tcBorders>
              <w:top w:val="single" w:color="auto" w:sz="4" w:space="0"/>
              <w:left w:val="single" w:color="auto" w:sz="4" w:space="0"/>
              <w:bottom w:val="single" w:color="auto" w:sz="4" w:space="0"/>
              <w:right w:val="single" w:color="auto" w:sz="4" w:space="0"/>
            </w:tcBorders>
            <w:shd w:val="clear" w:color="auto" w:fill="FEFEFE"/>
            <w:noWrap/>
            <w:vAlign w:val="center"/>
          </w:tcPr>
          <w:p w14:paraId="5AFBA73D">
            <w:pPr>
              <w:jc w:val="center"/>
              <w:rPr>
                <w:szCs w:val="21"/>
              </w:rPr>
            </w:pPr>
            <w:r>
              <w:rPr>
                <w:szCs w:val="21"/>
              </w:rPr>
              <w:t>5</w:t>
            </w:r>
          </w:p>
        </w:tc>
      </w:tr>
    </w:tbl>
    <w:p w14:paraId="09AA8AA6">
      <w:pPr>
        <w:spacing w:line="590" w:lineRule="exact"/>
        <w:rPr>
          <w:rFonts w:eastAsia="方正仿宋_GBK"/>
          <w:b/>
          <w:bCs/>
          <w:sz w:val="28"/>
          <w:szCs w:val="28"/>
        </w:rPr>
      </w:pPr>
      <w:r>
        <w:rPr>
          <w:rFonts w:eastAsia="方正仿宋_GBK"/>
          <w:b/>
          <w:bCs/>
          <w:sz w:val="28"/>
          <w:szCs w:val="28"/>
        </w:rPr>
        <w:t>附加指标（分值不设上限）</w:t>
      </w:r>
    </w:p>
    <w:tbl>
      <w:tblPr>
        <w:tblStyle w:val="15"/>
        <w:tblpPr w:leftFromText="180" w:rightFromText="180" w:vertAnchor="text" w:horzAnchor="page" w:tblpX="1954" w:tblpY="625"/>
        <w:tblOverlap w:val="never"/>
        <w:tblW w:w="9011" w:type="dxa"/>
        <w:tblInd w:w="0" w:type="dxa"/>
        <w:tblLayout w:type="fixed"/>
        <w:tblCellMar>
          <w:top w:w="0" w:type="dxa"/>
          <w:left w:w="108" w:type="dxa"/>
          <w:bottom w:w="0" w:type="dxa"/>
          <w:right w:w="108" w:type="dxa"/>
        </w:tblCellMar>
      </w:tblPr>
      <w:tblGrid>
        <w:gridCol w:w="499"/>
        <w:gridCol w:w="1012"/>
        <w:gridCol w:w="2445"/>
        <w:gridCol w:w="1793"/>
        <w:gridCol w:w="3262"/>
      </w:tblGrid>
      <w:tr w14:paraId="668FF11D">
        <w:tblPrEx>
          <w:tblCellMar>
            <w:top w:w="0" w:type="dxa"/>
            <w:left w:w="108" w:type="dxa"/>
            <w:bottom w:w="0" w:type="dxa"/>
            <w:right w:w="108" w:type="dxa"/>
          </w:tblCellMar>
        </w:tblPrEx>
        <w:trPr>
          <w:trHeight w:val="482" w:hRule="atLeast"/>
        </w:trPr>
        <w:tc>
          <w:tcPr>
            <w:tcW w:w="499" w:type="dxa"/>
            <w:tcBorders>
              <w:top w:val="single" w:color="000000" w:sz="4" w:space="0"/>
              <w:left w:val="single" w:color="000000" w:sz="4" w:space="0"/>
              <w:bottom w:val="single" w:color="000000" w:sz="4" w:space="0"/>
              <w:right w:val="single" w:color="000000" w:sz="4" w:space="0"/>
            </w:tcBorders>
            <w:noWrap/>
            <w:vAlign w:val="center"/>
          </w:tcPr>
          <w:p w14:paraId="6E95B5B5">
            <w:pPr>
              <w:widowControl/>
              <w:snapToGrid w:val="0"/>
              <w:jc w:val="center"/>
              <w:rPr>
                <w:szCs w:val="21"/>
              </w:rPr>
            </w:pPr>
            <w:r>
              <w:rPr>
                <w:rFonts w:hint="eastAsia"/>
                <w:szCs w:val="21"/>
              </w:rPr>
              <w:t>序号</w:t>
            </w:r>
          </w:p>
        </w:tc>
        <w:tc>
          <w:tcPr>
            <w:tcW w:w="1012" w:type="dxa"/>
            <w:tcBorders>
              <w:top w:val="single" w:color="000000" w:sz="4" w:space="0"/>
              <w:left w:val="single" w:color="000000" w:sz="4" w:space="0"/>
              <w:bottom w:val="single" w:color="000000" w:sz="4" w:space="0"/>
              <w:right w:val="single" w:color="000000" w:sz="4" w:space="0"/>
            </w:tcBorders>
            <w:noWrap/>
            <w:vAlign w:val="center"/>
          </w:tcPr>
          <w:p w14:paraId="0068C275">
            <w:pPr>
              <w:widowControl/>
              <w:snapToGrid w:val="0"/>
              <w:jc w:val="center"/>
              <w:rPr>
                <w:szCs w:val="21"/>
              </w:rPr>
            </w:pPr>
            <w:r>
              <w:rPr>
                <w:szCs w:val="21"/>
              </w:rPr>
              <w:t>项目</w:t>
            </w:r>
          </w:p>
        </w:tc>
        <w:tc>
          <w:tcPr>
            <w:tcW w:w="2445" w:type="dxa"/>
            <w:tcBorders>
              <w:top w:val="single" w:color="000000" w:sz="4" w:space="0"/>
              <w:left w:val="single" w:color="000000" w:sz="4" w:space="0"/>
              <w:bottom w:val="single" w:color="000000" w:sz="4" w:space="0"/>
              <w:right w:val="single" w:color="000000" w:sz="4" w:space="0"/>
            </w:tcBorders>
            <w:noWrap/>
            <w:vAlign w:val="center"/>
          </w:tcPr>
          <w:p w14:paraId="4DF8A173">
            <w:pPr>
              <w:widowControl/>
              <w:snapToGrid w:val="0"/>
              <w:jc w:val="center"/>
              <w:textAlignment w:val="center"/>
              <w:rPr>
                <w:szCs w:val="21"/>
              </w:rPr>
            </w:pPr>
            <w:r>
              <w:rPr>
                <w:kern w:val="0"/>
                <w:szCs w:val="21"/>
                <w:lang w:bidi="ar"/>
              </w:rPr>
              <w:t>附加指标</w:t>
            </w:r>
          </w:p>
        </w:tc>
        <w:tc>
          <w:tcPr>
            <w:tcW w:w="1793" w:type="dxa"/>
            <w:tcBorders>
              <w:top w:val="single" w:color="000000" w:sz="4" w:space="0"/>
              <w:left w:val="single" w:color="000000" w:sz="4" w:space="0"/>
              <w:bottom w:val="single" w:color="000000" w:sz="4" w:space="0"/>
              <w:right w:val="single" w:color="000000" w:sz="4" w:space="0"/>
            </w:tcBorders>
            <w:noWrap/>
            <w:vAlign w:val="center"/>
          </w:tcPr>
          <w:p w14:paraId="5656934B">
            <w:pPr>
              <w:widowControl/>
              <w:snapToGrid w:val="0"/>
              <w:jc w:val="center"/>
              <w:rPr>
                <w:szCs w:val="21"/>
              </w:rPr>
            </w:pPr>
            <w:r>
              <w:rPr>
                <w:szCs w:val="21"/>
              </w:rPr>
              <w:t>分值</w:t>
            </w:r>
          </w:p>
        </w:tc>
        <w:tc>
          <w:tcPr>
            <w:tcW w:w="3262" w:type="dxa"/>
            <w:tcBorders>
              <w:top w:val="single" w:color="000000" w:sz="4" w:space="0"/>
              <w:left w:val="single" w:color="000000" w:sz="4" w:space="0"/>
              <w:bottom w:val="single" w:color="000000" w:sz="4" w:space="0"/>
              <w:right w:val="single" w:color="000000" w:sz="4" w:space="0"/>
            </w:tcBorders>
            <w:noWrap/>
            <w:vAlign w:val="center"/>
          </w:tcPr>
          <w:p w14:paraId="525D764B">
            <w:pPr>
              <w:widowControl/>
              <w:snapToGrid w:val="0"/>
              <w:jc w:val="center"/>
              <w:textAlignment w:val="center"/>
              <w:rPr>
                <w:szCs w:val="21"/>
              </w:rPr>
            </w:pPr>
            <w:r>
              <w:rPr>
                <w:kern w:val="0"/>
                <w:szCs w:val="21"/>
                <w:lang w:bidi="ar"/>
              </w:rPr>
              <w:t>打分细则</w:t>
            </w:r>
          </w:p>
        </w:tc>
      </w:tr>
      <w:tr w14:paraId="08260F36">
        <w:tblPrEx>
          <w:tblCellMar>
            <w:top w:w="0" w:type="dxa"/>
            <w:left w:w="108" w:type="dxa"/>
            <w:bottom w:w="0" w:type="dxa"/>
            <w:right w:w="108" w:type="dxa"/>
          </w:tblCellMar>
        </w:tblPrEx>
        <w:trPr>
          <w:trHeight w:val="565" w:hRule="atLeast"/>
        </w:trPr>
        <w:tc>
          <w:tcPr>
            <w:tcW w:w="499" w:type="dxa"/>
            <w:vMerge w:val="restart"/>
            <w:tcBorders>
              <w:top w:val="single" w:color="000000" w:sz="4" w:space="0"/>
              <w:left w:val="single" w:color="000000" w:sz="4" w:space="0"/>
              <w:right w:val="single" w:color="000000" w:sz="4" w:space="0"/>
            </w:tcBorders>
            <w:vAlign w:val="center"/>
          </w:tcPr>
          <w:p w14:paraId="3B21C585">
            <w:pPr>
              <w:widowControl/>
              <w:snapToGrid w:val="0"/>
              <w:jc w:val="center"/>
              <w:textAlignment w:val="center"/>
              <w:rPr>
                <w:kern w:val="0"/>
                <w:szCs w:val="21"/>
                <w:lang w:bidi="ar"/>
              </w:rPr>
            </w:pPr>
            <w:r>
              <w:rPr>
                <w:rFonts w:hint="eastAsia"/>
                <w:kern w:val="0"/>
                <w:szCs w:val="21"/>
                <w:lang w:bidi="ar"/>
              </w:rPr>
              <w:t>5</w:t>
            </w:r>
          </w:p>
        </w:tc>
        <w:tc>
          <w:tcPr>
            <w:tcW w:w="1012" w:type="dxa"/>
            <w:vMerge w:val="restart"/>
            <w:tcBorders>
              <w:top w:val="single" w:color="000000" w:sz="4" w:space="0"/>
              <w:left w:val="single" w:color="000000" w:sz="4" w:space="0"/>
              <w:right w:val="single" w:color="000000" w:sz="4" w:space="0"/>
            </w:tcBorders>
            <w:vAlign w:val="center"/>
          </w:tcPr>
          <w:p w14:paraId="19A34CF2">
            <w:pPr>
              <w:widowControl/>
              <w:snapToGrid w:val="0"/>
              <w:jc w:val="center"/>
              <w:textAlignment w:val="center"/>
              <w:rPr>
                <w:szCs w:val="21"/>
              </w:rPr>
            </w:pPr>
            <w:r>
              <w:rPr>
                <w:kern w:val="0"/>
                <w:szCs w:val="21"/>
                <w:lang w:bidi="ar"/>
              </w:rPr>
              <w:t>附加增值贡献</w:t>
            </w:r>
          </w:p>
        </w:tc>
        <w:tc>
          <w:tcPr>
            <w:tcW w:w="2445" w:type="dxa"/>
            <w:tcBorders>
              <w:top w:val="single" w:color="000000" w:sz="4" w:space="0"/>
              <w:left w:val="single" w:color="000000" w:sz="4" w:space="0"/>
              <w:bottom w:val="single" w:color="000000" w:sz="4" w:space="0"/>
              <w:right w:val="single" w:color="000000" w:sz="4" w:space="0"/>
            </w:tcBorders>
            <w:vAlign w:val="center"/>
          </w:tcPr>
          <w:p w14:paraId="28CB9A49">
            <w:pPr>
              <w:widowControl/>
              <w:snapToGrid w:val="0"/>
              <w:jc w:val="left"/>
              <w:textAlignment w:val="center"/>
              <w:rPr>
                <w:szCs w:val="21"/>
              </w:rPr>
            </w:pPr>
            <w:r>
              <w:rPr>
                <w:kern w:val="0"/>
                <w:szCs w:val="21"/>
                <w:lang w:bidi="ar"/>
              </w:rPr>
              <w:t>购买地铁票卡、文创商品</w:t>
            </w:r>
          </w:p>
        </w:tc>
        <w:tc>
          <w:tcPr>
            <w:tcW w:w="1793" w:type="dxa"/>
            <w:tcBorders>
              <w:top w:val="single" w:color="000000" w:sz="4" w:space="0"/>
              <w:left w:val="single" w:color="000000" w:sz="4" w:space="0"/>
              <w:bottom w:val="single" w:color="000000" w:sz="4" w:space="0"/>
              <w:right w:val="single" w:color="000000" w:sz="4" w:space="0"/>
            </w:tcBorders>
            <w:vAlign w:val="center"/>
          </w:tcPr>
          <w:p w14:paraId="25EAA91B">
            <w:pPr>
              <w:widowControl/>
              <w:snapToGrid w:val="0"/>
              <w:jc w:val="left"/>
              <w:textAlignment w:val="center"/>
              <w:rPr>
                <w:szCs w:val="21"/>
              </w:rPr>
            </w:pPr>
            <w:r>
              <w:rPr>
                <w:kern w:val="0"/>
                <w:szCs w:val="21"/>
                <w:lang w:bidi="ar"/>
              </w:rPr>
              <w:t>根据实际贡献打分，不设上限</w:t>
            </w:r>
          </w:p>
        </w:tc>
        <w:tc>
          <w:tcPr>
            <w:tcW w:w="3262" w:type="dxa"/>
            <w:tcBorders>
              <w:top w:val="single" w:color="000000" w:sz="4" w:space="0"/>
              <w:left w:val="single" w:color="000000" w:sz="4" w:space="0"/>
              <w:bottom w:val="single" w:color="000000" w:sz="4" w:space="0"/>
              <w:right w:val="single" w:color="000000" w:sz="4" w:space="0"/>
            </w:tcBorders>
            <w:vAlign w:val="center"/>
          </w:tcPr>
          <w:p w14:paraId="36662855">
            <w:pPr>
              <w:widowControl/>
              <w:snapToGrid w:val="0"/>
              <w:jc w:val="left"/>
              <w:textAlignment w:val="center"/>
              <w:rPr>
                <w:szCs w:val="21"/>
              </w:rPr>
            </w:pPr>
            <w:r>
              <w:rPr>
                <w:kern w:val="0"/>
                <w:szCs w:val="21"/>
                <w:lang w:bidi="ar"/>
              </w:rPr>
              <w:t>每10万得1分，不满10万元的部分可按比例折算，得分保留小数点后两位。</w:t>
            </w:r>
          </w:p>
        </w:tc>
      </w:tr>
      <w:tr w14:paraId="0052283F">
        <w:tblPrEx>
          <w:tblCellMar>
            <w:top w:w="0" w:type="dxa"/>
            <w:left w:w="108" w:type="dxa"/>
            <w:bottom w:w="0" w:type="dxa"/>
            <w:right w:w="108" w:type="dxa"/>
          </w:tblCellMar>
        </w:tblPrEx>
        <w:trPr>
          <w:trHeight w:val="1247" w:hRule="atLeast"/>
        </w:trPr>
        <w:tc>
          <w:tcPr>
            <w:tcW w:w="499" w:type="dxa"/>
            <w:vMerge w:val="continue"/>
            <w:tcBorders>
              <w:left w:val="single" w:color="000000" w:sz="4" w:space="0"/>
              <w:right w:val="single" w:color="000000" w:sz="4" w:space="0"/>
            </w:tcBorders>
            <w:vAlign w:val="center"/>
          </w:tcPr>
          <w:p w14:paraId="37224549">
            <w:pPr>
              <w:widowControl/>
              <w:snapToGrid w:val="0"/>
              <w:jc w:val="center"/>
              <w:textAlignment w:val="center"/>
              <w:rPr>
                <w:kern w:val="0"/>
                <w:szCs w:val="21"/>
                <w:lang w:bidi="ar"/>
              </w:rPr>
            </w:pPr>
          </w:p>
        </w:tc>
        <w:tc>
          <w:tcPr>
            <w:tcW w:w="1012" w:type="dxa"/>
            <w:vMerge w:val="continue"/>
            <w:tcBorders>
              <w:left w:val="single" w:color="000000" w:sz="4" w:space="0"/>
              <w:right w:val="single" w:color="000000" w:sz="4" w:space="0"/>
            </w:tcBorders>
            <w:vAlign w:val="center"/>
          </w:tcPr>
          <w:p w14:paraId="38C8E3FA">
            <w:pPr>
              <w:widowControl/>
              <w:snapToGrid w:val="0"/>
              <w:jc w:val="center"/>
              <w:textAlignment w:val="center"/>
              <w:rPr>
                <w:kern w:val="0"/>
                <w:szCs w:val="21"/>
                <w:lang w:bidi="ar"/>
              </w:rPr>
            </w:pPr>
          </w:p>
        </w:tc>
        <w:tc>
          <w:tcPr>
            <w:tcW w:w="2445" w:type="dxa"/>
            <w:tcBorders>
              <w:top w:val="single" w:color="000000" w:sz="4" w:space="0"/>
              <w:left w:val="single" w:color="000000" w:sz="4" w:space="0"/>
              <w:bottom w:val="single" w:color="000000" w:sz="4" w:space="0"/>
              <w:right w:val="single" w:color="000000" w:sz="4" w:space="0"/>
            </w:tcBorders>
            <w:vAlign w:val="center"/>
          </w:tcPr>
          <w:p w14:paraId="0DDEBB3A">
            <w:pPr>
              <w:widowControl/>
              <w:snapToGrid w:val="0"/>
              <w:jc w:val="left"/>
              <w:textAlignment w:val="center"/>
              <w:rPr>
                <w:kern w:val="0"/>
                <w:szCs w:val="21"/>
                <w:lang w:bidi="ar"/>
              </w:rPr>
            </w:pPr>
            <w:r>
              <w:rPr>
                <w:rFonts w:hint="eastAsia"/>
                <w:kern w:val="0"/>
                <w:szCs w:val="21"/>
                <w:lang w:bidi="ar"/>
              </w:rPr>
              <w:t>租赁轨道自持商铺、办公用房</w:t>
            </w:r>
          </w:p>
        </w:tc>
        <w:tc>
          <w:tcPr>
            <w:tcW w:w="1793" w:type="dxa"/>
            <w:tcBorders>
              <w:top w:val="single" w:color="000000" w:sz="4" w:space="0"/>
              <w:left w:val="single" w:color="000000" w:sz="4" w:space="0"/>
              <w:bottom w:val="single" w:color="000000" w:sz="4" w:space="0"/>
              <w:right w:val="single" w:color="000000" w:sz="4" w:space="0"/>
            </w:tcBorders>
            <w:vAlign w:val="center"/>
          </w:tcPr>
          <w:p w14:paraId="34C14589">
            <w:pPr>
              <w:widowControl/>
              <w:snapToGrid w:val="0"/>
              <w:jc w:val="left"/>
              <w:textAlignment w:val="center"/>
              <w:rPr>
                <w:kern w:val="0"/>
                <w:szCs w:val="21"/>
                <w:lang w:bidi="ar"/>
              </w:rPr>
            </w:pPr>
            <w:r>
              <w:rPr>
                <w:kern w:val="0"/>
                <w:szCs w:val="21"/>
                <w:lang w:bidi="ar"/>
              </w:rPr>
              <w:t>根据实际贡献打分，不设上限</w:t>
            </w:r>
          </w:p>
        </w:tc>
        <w:tc>
          <w:tcPr>
            <w:tcW w:w="3262" w:type="dxa"/>
            <w:tcBorders>
              <w:top w:val="single" w:color="000000" w:sz="4" w:space="0"/>
              <w:left w:val="single" w:color="000000" w:sz="4" w:space="0"/>
              <w:bottom w:val="single" w:color="000000" w:sz="4" w:space="0"/>
              <w:right w:val="single" w:color="000000" w:sz="4" w:space="0"/>
            </w:tcBorders>
            <w:vAlign w:val="center"/>
          </w:tcPr>
          <w:p w14:paraId="75956BB6">
            <w:pPr>
              <w:widowControl/>
              <w:snapToGrid w:val="0"/>
              <w:jc w:val="left"/>
              <w:textAlignment w:val="center"/>
              <w:rPr>
                <w:kern w:val="0"/>
                <w:szCs w:val="21"/>
                <w:lang w:bidi="ar"/>
              </w:rPr>
            </w:pPr>
            <w:r>
              <w:rPr>
                <w:rFonts w:hint="eastAsia"/>
                <w:kern w:val="0"/>
                <w:szCs w:val="21"/>
                <w:lang w:bidi="ar"/>
              </w:rPr>
              <w:t>租赁期一年及以上的，按年租金计算；不足一年的，按实际租期折算贡献度。</w:t>
            </w:r>
            <w:r>
              <w:rPr>
                <w:kern w:val="0"/>
                <w:szCs w:val="21"/>
                <w:lang w:bidi="ar"/>
              </w:rPr>
              <w:t>每10万得1分，不满10万元的部分可按比例折算，得分保留小数点后两位。</w:t>
            </w:r>
          </w:p>
        </w:tc>
      </w:tr>
      <w:tr w14:paraId="664089DB">
        <w:tblPrEx>
          <w:tblCellMar>
            <w:top w:w="0" w:type="dxa"/>
            <w:left w:w="108" w:type="dxa"/>
            <w:bottom w:w="0" w:type="dxa"/>
            <w:right w:w="108" w:type="dxa"/>
          </w:tblCellMar>
        </w:tblPrEx>
        <w:trPr>
          <w:trHeight w:val="907" w:hRule="atLeast"/>
        </w:trPr>
        <w:tc>
          <w:tcPr>
            <w:tcW w:w="499" w:type="dxa"/>
            <w:vMerge w:val="continue"/>
            <w:tcBorders>
              <w:left w:val="single" w:color="000000" w:sz="4" w:space="0"/>
              <w:right w:val="single" w:color="000000" w:sz="4" w:space="0"/>
            </w:tcBorders>
            <w:vAlign w:val="center"/>
          </w:tcPr>
          <w:p w14:paraId="6ADEA791">
            <w:pPr>
              <w:widowControl/>
              <w:snapToGrid w:val="0"/>
              <w:jc w:val="center"/>
              <w:textAlignment w:val="center"/>
              <w:rPr>
                <w:kern w:val="0"/>
                <w:szCs w:val="21"/>
                <w:lang w:bidi="ar"/>
              </w:rPr>
            </w:pPr>
          </w:p>
        </w:tc>
        <w:tc>
          <w:tcPr>
            <w:tcW w:w="1012" w:type="dxa"/>
            <w:vMerge w:val="continue"/>
            <w:tcBorders>
              <w:left w:val="single" w:color="000000" w:sz="4" w:space="0"/>
              <w:right w:val="single" w:color="000000" w:sz="4" w:space="0"/>
            </w:tcBorders>
            <w:vAlign w:val="center"/>
          </w:tcPr>
          <w:p w14:paraId="7ACF45BB">
            <w:pPr>
              <w:widowControl/>
              <w:snapToGrid w:val="0"/>
              <w:jc w:val="center"/>
              <w:textAlignment w:val="center"/>
              <w:rPr>
                <w:kern w:val="0"/>
                <w:szCs w:val="21"/>
                <w:lang w:bidi="ar"/>
              </w:rPr>
            </w:pPr>
          </w:p>
        </w:tc>
        <w:tc>
          <w:tcPr>
            <w:tcW w:w="2445" w:type="dxa"/>
            <w:tcBorders>
              <w:top w:val="single" w:color="000000" w:sz="4" w:space="0"/>
              <w:left w:val="single" w:color="000000" w:sz="4" w:space="0"/>
              <w:bottom w:val="single" w:color="000000" w:sz="4" w:space="0"/>
              <w:right w:val="single" w:color="000000" w:sz="4" w:space="0"/>
            </w:tcBorders>
            <w:vAlign w:val="center"/>
          </w:tcPr>
          <w:p w14:paraId="7CB32046">
            <w:pPr>
              <w:widowControl/>
              <w:snapToGrid w:val="0"/>
              <w:jc w:val="left"/>
              <w:textAlignment w:val="center"/>
              <w:rPr>
                <w:kern w:val="0"/>
                <w:szCs w:val="21"/>
                <w:lang w:bidi="ar"/>
              </w:rPr>
            </w:pPr>
            <w:r>
              <w:rPr>
                <w:kern w:val="0"/>
                <w:szCs w:val="21"/>
                <w:lang w:bidi="ar"/>
              </w:rPr>
              <w:t>轨道站点便民设备、设施</w:t>
            </w:r>
            <w:r>
              <w:rPr>
                <w:rFonts w:hint="eastAsia"/>
                <w:kern w:val="0"/>
                <w:szCs w:val="21"/>
                <w:lang w:bidi="ar"/>
              </w:rPr>
              <w:t>支持</w:t>
            </w:r>
          </w:p>
        </w:tc>
        <w:tc>
          <w:tcPr>
            <w:tcW w:w="1793" w:type="dxa"/>
            <w:tcBorders>
              <w:top w:val="single" w:color="000000" w:sz="4" w:space="0"/>
              <w:left w:val="single" w:color="000000" w:sz="4" w:space="0"/>
              <w:bottom w:val="single" w:color="000000" w:sz="4" w:space="0"/>
              <w:right w:val="single" w:color="000000" w:sz="4" w:space="0"/>
            </w:tcBorders>
            <w:vAlign w:val="center"/>
          </w:tcPr>
          <w:p w14:paraId="7EEA1BAE">
            <w:pPr>
              <w:widowControl/>
              <w:snapToGrid w:val="0"/>
              <w:jc w:val="left"/>
              <w:textAlignment w:val="center"/>
              <w:rPr>
                <w:kern w:val="0"/>
                <w:szCs w:val="21"/>
                <w:lang w:bidi="ar"/>
              </w:rPr>
            </w:pPr>
            <w:r>
              <w:rPr>
                <w:kern w:val="0"/>
                <w:szCs w:val="21"/>
                <w:lang w:bidi="ar"/>
              </w:rPr>
              <w:t>根据实际贡献打分，不设上限</w:t>
            </w:r>
          </w:p>
        </w:tc>
        <w:tc>
          <w:tcPr>
            <w:tcW w:w="3262" w:type="dxa"/>
            <w:tcBorders>
              <w:top w:val="single" w:color="000000" w:sz="4" w:space="0"/>
              <w:left w:val="single" w:color="000000" w:sz="4" w:space="0"/>
              <w:bottom w:val="single" w:color="000000" w:sz="4" w:space="0"/>
              <w:right w:val="single" w:color="000000" w:sz="4" w:space="0"/>
            </w:tcBorders>
            <w:vAlign w:val="center"/>
          </w:tcPr>
          <w:p w14:paraId="7634E4F5">
            <w:pPr>
              <w:widowControl/>
              <w:snapToGrid w:val="0"/>
              <w:jc w:val="left"/>
              <w:textAlignment w:val="center"/>
              <w:rPr>
                <w:kern w:val="0"/>
                <w:szCs w:val="21"/>
                <w:lang w:bidi="ar"/>
              </w:rPr>
            </w:pPr>
            <w:r>
              <w:rPr>
                <w:kern w:val="0"/>
                <w:szCs w:val="21"/>
                <w:lang w:bidi="ar"/>
              </w:rPr>
              <w:t>每10万元得2分，不满10万元的部分可按比例折算，得分保留小数点后两位。</w:t>
            </w:r>
          </w:p>
        </w:tc>
      </w:tr>
      <w:tr w14:paraId="48B5708C">
        <w:tblPrEx>
          <w:tblCellMar>
            <w:top w:w="0" w:type="dxa"/>
            <w:left w:w="108" w:type="dxa"/>
            <w:bottom w:w="0" w:type="dxa"/>
            <w:right w:w="108" w:type="dxa"/>
          </w:tblCellMar>
        </w:tblPrEx>
        <w:trPr>
          <w:trHeight w:val="416" w:hRule="atLeast"/>
        </w:trPr>
        <w:tc>
          <w:tcPr>
            <w:tcW w:w="499" w:type="dxa"/>
            <w:vMerge w:val="continue"/>
            <w:tcBorders>
              <w:left w:val="single" w:color="000000" w:sz="4" w:space="0"/>
              <w:bottom w:val="single" w:color="000000" w:sz="4" w:space="0"/>
              <w:right w:val="single" w:color="000000" w:sz="4" w:space="0"/>
            </w:tcBorders>
            <w:vAlign w:val="center"/>
          </w:tcPr>
          <w:p w14:paraId="54F58454">
            <w:pPr>
              <w:widowControl/>
              <w:snapToGrid w:val="0"/>
              <w:jc w:val="center"/>
              <w:textAlignment w:val="center"/>
              <w:rPr>
                <w:kern w:val="0"/>
                <w:szCs w:val="21"/>
                <w:lang w:bidi="ar"/>
              </w:rPr>
            </w:pPr>
          </w:p>
        </w:tc>
        <w:tc>
          <w:tcPr>
            <w:tcW w:w="1012" w:type="dxa"/>
            <w:vMerge w:val="continue"/>
            <w:tcBorders>
              <w:left w:val="single" w:color="000000" w:sz="4" w:space="0"/>
              <w:bottom w:val="single" w:color="000000" w:sz="4" w:space="0"/>
              <w:right w:val="single" w:color="000000" w:sz="4" w:space="0"/>
            </w:tcBorders>
            <w:vAlign w:val="center"/>
          </w:tcPr>
          <w:p w14:paraId="69E26853">
            <w:pPr>
              <w:widowControl/>
              <w:snapToGrid w:val="0"/>
              <w:jc w:val="center"/>
              <w:textAlignment w:val="center"/>
              <w:rPr>
                <w:kern w:val="0"/>
                <w:szCs w:val="21"/>
                <w:lang w:bidi="ar"/>
              </w:rPr>
            </w:pPr>
          </w:p>
        </w:tc>
        <w:tc>
          <w:tcPr>
            <w:tcW w:w="2445" w:type="dxa"/>
            <w:tcBorders>
              <w:top w:val="single" w:color="000000" w:sz="4" w:space="0"/>
              <w:left w:val="single" w:color="000000" w:sz="4" w:space="0"/>
              <w:bottom w:val="single" w:color="000000" w:sz="4" w:space="0"/>
              <w:right w:val="single" w:color="000000" w:sz="4" w:space="0"/>
            </w:tcBorders>
            <w:vAlign w:val="center"/>
          </w:tcPr>
          <w:p w14:paraId="2DC921E1">
            <w:pPr>
              <w:widowControl/>
              <w:snapToGrid w:val="0"/>
              <w:jc w:val="left"/>
              <w:textAlignment w:val="center"/>
              <w:rPr>
                <w:kern w:val="0"/>
                <w:szCs w:val="21"/>
                <w:lang w:bidi="ar"/>
              </w:rPr>
            </w:pPr>
            <w:r>
              <w:rPr>
                <w:kern w:val="0"/>
                <w:szCs w:val="21"/>
                <w:lang w:bidi="ar"/>
              </w:rPr>
              <w:t>承办轨道集团会展、会务等活动</w:t>
            </w:r>
          </w:p>
        </w:tc>
        <w:tc>
          <w:tcPr>
            <w:tcW w:w="1793" w:type="dxa"/>
            <w:tcBorders>
              <w:top w:val="single" w:color="000000" w:sz="4" w:space="0"/>
              <w:left w:val="single" w:color="000000" w:sz="4" w:space="0"/>
              <w:bottom w:val="single" w:color="000000" w:sz="4" w:space="0"/>
              <w:right w:val="single" w:color="000000" w:sz="4" w:space="0"/>
            </w:tcBorders>
            <w:vAlign w:val="center"/>
          </w:tcPr>
          <w:p w14:paraId="18257388">
            <w:pPr>
              <w:widowControl/>
              <w:snapToGrid w:val="0"/>
              <w:jc w:val="center"/>
              <w:textAlignment w:val="center"/>
              <w:rPr>
                <w:kern w:val="0"/>
                <w:szCs w:val="21"/>
                <w:lang w:bidi="ar"/>
              </w:rPr>
            </w:pPr>
            <w:r>
              <w:rPr>
                <w:kern w:val="0"/>
                <w:szCs w:val="21"/>
                <w:lang w:bidi="ar"/>
              </w:rPr>
              <w:t>根据实际贡献打分，不设上限</w:t>
            </w:r>
          </w:p>
        </w:tc>
        <w:tc>
          <w:tcPr>
            <w:tcW w:w="3262" w:type="dxa"/>
            <w:tcBorders>
              <w:top w:val="single" w:color="000000" w:sz="4" w:space="0"/>
              <w:left w:val="single" w:color="000000" w:sz="4" w:space="0"/>
              <w:bottom w:val="single" w:color="000000" w:sz="4" w:space="0"/>
              <w:right w:val="single" w:color="000000" w:sz="4" w:space="0"/>
            </w:tcBorders>
            <w:vAlign w:val="center"/>
          </w:tcPr>
          <w:p w14:paraId="6FCDE41F">
            <w:pPr>
              <w:widowControl/>
              <w:snapToGrid w:val="0"/>
              <w:jc w:val="left"/>
              <w:textAlignment w:val="center"/>
              <w:rPr>
                <w:kern w:val="0"/>
                <w:szCs w:val="21"/>
                <w:lang w:bidi="ar"/>
              </w:rPr>
            </w:pPr>
            <w:r>
              <w:rPr>
                <w:kern w:val="0"/>
                <w:szCs w:val="21"/>
                <w:lang w:bidi="ar"/>
              </w:rPr>
              <w:t>每10万元得2分，不满10万元的部分可按比例折算，得分保留小数点后两位。</w:t>
            </w:r>
          </w:p>
        </w:tc>
      </w:tr>
    </w:tbl>
    <w:p w14:paraId="73AB8B4A">
      <w:pPr>
        <w:spacing w:line="360" w:lineRule="auto"/>
        <w:jc w:val="left"/>
        <w:rPr>
          <w:b/>
          <w:bCs/>
          <w:sz w:val="24"/>
        </w:rPr>
      </w:pPr>
      <w:r>
        <w:rPr>
          <w:rFonts w:hint="eastAsia"/>
          <w:b/>
          <w:bCs/>
          <w:sz w:val="24"/>
        </w:rPr>
        <w:t>其他指标</w:t>
      </w:r>
    </w:p>
    <w:tbl>
      <w:tblPr>
        <w:tblStyle w:val="16"/>
        <w:tblW w:w="9060"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2737"/>
        <w:gridCol w:w="1703"/>
        <w:gridCol w:w="2230"/>
        <w:gridCol w:w="1850"/>
      </w:tblGrid>
      <w:tr w14:paraId="44CA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540" w:type="dxa"/>
            <w:vAlign w:val="center"/>
          </w:tcPr>
          <w:p w14:paraId="170B8D52">
            <w:pPr>
              <w:pStyle w:val="2"/>
              <w:snapToGrid w:val="0"/>
              <w:spacing w:line="240" w:lineRule="auto"/>
              <w:ind w:firstLine="0" w:firstLineChars="0"/>
              <w:jc w:val="center"/>
              <w:rPr>
                <w:rFonts w:ascii="Times New Roman" w:hAnsi="Times New Roman" w:eastAsia="宋体" w:cs="Times New Roman"/>
                <w:kern w:val="0"/>
                <w:sz w:val="21"/>
                <w:szCs w:val="21"/>
                <w:lang w:val="en-US" w:bidi="ar"/>
              </w:rPr>
            </w:pPr>
            <w:r>
              <w:rPr>
                <w:rFonts w:hint="eastAsia" w:ascii="Times New Roman" w:hAnsi="Times New Roman" w:eastAsia="宋体" w:cs="Times New Roman"/>
                <w:kern w:val="0"/>
                <w:sz w:val="21"/>
                <w:szCs w:val="21"/>
                <w:lang w:val="en-US" w:bidi="ar"/>
              </w:rPr>
              <w:t>序号</w:t>
            </w:r>
          </w:p>
        </w:tc>
        <w:tc>
          <w:tcPr>
            <w:tcW w:w="2737" w:type="dxa"/>
            <w:vAlign w:val="center"/>
          </w:tcPr>
          <w:p w14:paraId="31394AF2">
            <w:pPr>
              <w:pStyle w:val="2"/>
              <w:snapToGrid w:val="0"/>
              <w:ind w:firstLine="0" w:firstLineChars="0"/>
              <w:jc w:val="center"/>
              <w:rPr>
                <w:rFonts w:ascii="Times New Roman" w:hAnsi="Times New Roman" w:eastAsia="宋体" w:cs="Times New Roman"/>
                <w:kern w:val="0"/>
                <w:sz w:val="21"/>
                <w:szCs w:val="21"/>
                <w:lang w:val="en-US" w:bidi="ar"/>
              </w:rPr>
            </w:pPr>
            <w:r>
              <w:rPr>
                <w:rFonts w:hint="eastAsia" w:ascii="Times New Roman" w:hAnsi="Times New Roman" w:eastAsia="宋体" w:cs="Times New Roman"/>
                <w:kern w:val="0"/>
                <w:sz w:val="21"/>
                <w:szCs w:val="21"/>
                <w:lang w:val="en-US" w:bidi="ar"/>
              </w:rPr>
              <w:t>项目</w:t>
            </w:r>
          </w:p>
        </w:tc>
        <w:tc>
          <w:tcPr>
            <w:tcW w:w="1703" w:type="dxa"/>
            <w:vAlign w:val="center"/>
          </w:tcPr>
          <w:p w14:paraId="7DFCFCAD">
            <w:pPr>
              <w:pStyle w:val="2"/>
              <w:snapToGrid w:val="0"/>
              <w:ind w:firstLine="0" w:firstLineChars="0"/>
              <w:jc w:val="center"/>
              <w:rPr>
                <w:rFonts w:ascii="Times New Roman" w:hAnsi="Times New Roman" w:eastAsia="宋体" w:cs="Times New Roman"/>
                <w:kern w:val="0"/>
                <w:sz w:val="21"/>
                <w:szCs w:val="21"/>
                <w:lang w:val="en-US" w:bidi="ar"/>
              </w:rPr>
            </w:pPr>
            <w:r>
              <w:rPr>
                <w:rFonts w:hint="eastAsia" w:ascii="Times New Roman" w:hAnsi="Times New Roman" w:eastAsia="宋体" w:cs="Times New Roman"/>
                <w:kern w:val="0"/>
                <w:sz w:val="21"/>
                <w:szCs w:val="21"/>
                <w:lang w:val="en-US" w:bidi="ar"/>
              </w:rPr>
              <w:t>指标</w:t>
            </w:r>
          </w:p>
        </w:tc>
        <w:tc>
          <w:tcPr>
            <w:tcW w:w="2230" w:type="dxa"/>
            <w:vAlign w:val="center"/>
          </w:tcPr>
          <w:p w14:paraId="6D768616">
            <w:pPr>
              <w:pStyle w:val="2"/>
              <w:snapToGrid w:val="0"/>
              <w:ind w:firstLine="0" w:firstLineChars="0"/>
              <w:jc w:val="center"/>
              <w:rPr>
                <w:rFonts w:ascii="Times New Roman" w:hAnsi="Times New Roman" w:eastAsia="宋体" w:cs="Times New Roman"/>
                <w:kern w:val="0"/>
                <w:sz w:val="21"/>
                <w:szCs w:val="21"/>
                <w:lang w:val="en-US" w:bidi="ar"/>
              </w:rPr>
            </w:pPr>
            <w:r>
              <w:rPr>
                <w:rFonts w:hint="eastAsia" w:ascii="Times New Roman" w:hAnsi="Times New Roman" w:eastAsia="宋体" w:cs="Times New Roman"/>
                <w:kern w:val="0"/>
                <w:sz w:val="21"/>
                <w:szCs w:val="21"/>
                <w:lang w:val="en-US" w:bidi="ar"/>
              </w:rPr>
              <w:t>扣分细则</w:t>
            </w:r>
          </w:p>
        </w:tc>
        <w:tc>
          <w:tcPr>
            <w:tcW w:w="1850" w:type="dxa"/>
            <w:vAlign w:val="center"/>
          </w:tcPr>
          <w:p w14:paraId="7702E2F7">
            <w:pPr>
              <w:pStyle w:val="2"/>
              <w:snapToGrid w:val="0"/>
              <w:ind w:firstLine="0" w:firstLineChars="0"/>
              <w:jc w:val="center"/>
              <w:rPr>
                <w:rFonts w:ascii="Times New Roman" w:hAnsi="Times New Roman" w:eastAsia="宋体" w:cs="Times New Roman"/>
                <w:kern w:val="0"/>
                <w:sz w:val="21"/>
                <w:szCs w:val="21"/>
                <w:lang w:val="en-US" w:bidi="ar"/>
              </w:rPr>
            </w:pPr>
            <w:r>
              <w:rPr>
                <w:rFonts w:hint="eastAsia" w:ascii="Times New Roman" w:hAnsi="Times New Roman" w:eastAsia="宋体" w:cs="Times New Roman"/>
                <w:kern w:val="0"/>
                <w:sz w:val="21"/>
                <w:szCs w:val="21"/>
                <w:lang w:val="en-US" w:bidi="ar"/>
              </w:rPr>
              <w:t>备注</w:t>
            </w:r>
          </w:p>
        </w:tc>
      </w:tr>
      <w:tr w14:paraId="702D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15EE8DF9">
            <w:pPr>
              <w:widowControl/>
              <w:snapToGrid w:val="0"/>
              <w:jc w:val="center"/>
              <w:textAlignment w:val="center"/>
              <w:rPr>
                <w:kern w:val="0"/>
                <w:szCs w:val="21"/>
                <w:lang w:bidi="ar"/>
              </w:rPr>
            </w:pPr>
            <w:r>
              <w:rPr>
                <w:rFonts w:hint="eastAsia"/>
                <w:kern w:val="0"/>
                <w:szCs w:val="21"/>
                <w:lang w:bidi="ar"/>
              </w:rPr>
              <w:t>6</w:t>
            </w:r>
          </w:p>
        </w:tc>
        <w:tc>
          <w:tcPr>
            <w:tcW w:w="2737" w:type="dxa"/>
            <w:vAlign w:val="center"/>
          </w:tcPr>
          <w:p w14:paraId="7BC9597A">
            <w:pPr>
              <w:widowControl/>
              <w:snapToGrid w:val="0"/>
              <w:jc w:val="center"/>
              <w:textAlignment w:val="center"/>
              <w:rPr>
                <w:kern w:val="0"/>
                <w:szCs w:val="21"/>
                <w:lang w:bidi="ar"/>
              </w:rPr>
            </w:pPr>
            <w:r>
              <w:rPr>
                <w:rFonts w:hint="eastAsia"/>
                <w:kern w:val="0"/>
                <w:szCs w:val="21"/>
                <w:lang w:bidi="ar"/>
              </w:rPr>
              <w:t>未履约情况</w:t>
            </w:r>
          </w:p>
        </w:tc>
        <w:tc>
          <w:tcPr>
            <w:tcW w:w="1703" w:type="dxa"/>
            <w:vAlign w:val="center"/>
          </w:tcPr>
          <w:p w14:paraId="767A9D38">
            <w:pPr>
              <w:widowControl/>
              <w:snapToGrid w:val="0"/>
              <w:jc w:val="center"/>
              <w:textAlignment w:val="center"/>
              <w:rPr>
                <w:kern w:val="0"/>
                <w:szCs w:val="21"/>
                <w:lang w:bidi="ar"/>
              </w:rPr>
            </w:pPr>
            <w:r>
              <w:rPr>
                <w:rFonts w:hint="eastAsia"/>
                <w:kern w:val="0"/>
                <w:szCs w:val="21"/>
                <w:lang w:bidi="ar"/>
              </w:rPr>
              <w:t>上期灵活资金中选单位未履约</w:t>
            </w:r>
          </w:p>
        </w:tc>
        <w:tc>
          <w:tcPr>
            <w:tcW w:w="2230" w:type="dxa"/>
            <w:vAlign w:val="center"/>
          </w:tcPr>
          <w:p w14:paraId="58EE6FF1">
            <w:pPr>
              <w:widowControl/>
              <w:snapToGrid w:val="0"/>
              <w:jc w:val="center"/>
              <w:textAlignment w:val="center"/>
              <w:rPr>
                <w:kern w:val="0"/>
                <w:szCs w:val="21"/>
                <w:lang w:bidi="ar"/>
              </w:rPr>
            </w:pPr>
            <w:r>
              <w:rPr>
                <w:rFonts w:hint="eastAsia"/>
                <w:kern w:val="0"/>
                <w:szCs w:val="21"/>
                <w:lang w:bidi="ar"/>
              </w:rPr>
              <w:t>根据上期灵活资金中选单位未履约报价对应分值进行扣分</w:t>
            </w:r>
          </w:p>
        </w:tc>
        <w:tc>
          <w:tcPr>
            <w:tcW w:w="1850" w:type="dxa"/>
            <w:vAlign w:val="center"/>
          </w:tcPr>
          <w:p w14:paraId="4E496178">
            <w:pPr>
              <w:widowControl/>
              <w:snapToGrid w:val="0"/>
              <w:jc w:val="center"/>
              <w:textAlignment w:val="center"/>
              <w:rPr>
                <w:kern w:val="0"/>
                <w:szCs w:val="21"/>
                <w:lang w:bidi="ar"/>
              </w:rPr>
            </w:pPr>
            <w:r>
              <w:rPr>
                <w:rFonts w:hint="eastAsia"/>
                <w:kern w:val="0"/>
                <w:szCs w:val="21"/>
                <w:lang w:bidi="ar"/>
              </w:rPr>
              <w:t>未履约情况及上期比选对应得分由比选人直接提供至评标委员会</w:t>
            </w:r>
          </w:p>
        </w:tc>
      </w:tr>
    </w:tbl>
    <w:p w14:paraId="0A9F2FB8">
      <w:pPr>
        <w:spacing w:line="360" w:lineRule="auto"/>
        <w:jc w:val="left"/>
        <w:rPr>
          <w:b/>
          <w:bCs/>
          <w:sz w:val="24"/>
        </w:rPr>
      </w:pPr>
      <w:r>
        <w:rPr>
          <w:b/>
          <w:bCs/>
          <w:sz w:val="24"/>
        </w:rPr>
        <w:t>说明：</w:t>
      </w:r>
    </w:p>
    <w:p w14:paraId="17F64E15">
      <w:pPr>
        <w:spacing w:line="360" w:lineRule="auto"/>
        <w:ind w:firstLine="480" w:firstLineChars="200"/>
        <w:jc w:val="left"/>
        <w:rPr>
          <w:b/>
          <w:bCs/>
          <w:sz w:val="24"/>
        </w:rPr>
      </w:pPr>
      <w:r>
        <w:rPr>
          <w:rFonts w:hint="eastAsia"/>
          <w:sz w:val="24"/>
        </w:rPr>
        <w:t>1、</w:t>
      </w:r>
      <w:r>
        <w:rPr>
          <w:sz w:val="24"/>
        </w:rPr>
        <w:t>第1项与南通轨道集团合作贡献度：（1）贷款授信，1号线项目贷以签订的授信协议为准，2号线银团以各参贷行银团份额为准，经营性短期融资以获批的正式授信额度为准（不含营销性额度）；（2）贷款余额，以三项融资余额合计金额为准。</w:t>
      </w:r>
    </w:p>
    <w:p w14:paraId="5F1E43DC">
      <w:pPr>
        <w:spacing w:line="360" w:lineRule="auto"/>
        <w:ind w:firstLine="480" w:firstLineChars="200"/>
        <w:jc w:val="left"/>
        <w:rPr>
          <w:b/>
          <w:bCs/>
          <w:sz w:val="24"/>
        </w:rPr>
      </w:pPr>
      <w:r>
        <w:rPr>
          <w:rFonts w:hint="eastAsia"/>
          <w:sz w:val="24"/>
        </w:rPr>
        <w:t>注：第</w:t>
      </w:r>
      <w:r>
        <w:rPr>
          <w:sz w:val="24"/>
        </w:rPr>
        <w:t>1项与南通轨道集团合作贡献度，以轨道集团统计数据为准，</w:t>
      </w:r>
      <w:r>
        <w:rPr>
          <w:b/>
          <w:bCs/>
          <w:color w:val="FF0000"/>
          <w:sz w:val="24"/>
        </w:rPr>
        <w:t>参选人可于2025年</w:t>
      </w:r>
      <w:r>
        <w:rPr>
          <w:rFonts w:hint="eastAsia"/>
          <w:b/>
          <w:bCs/>
          <w:color w:val="FF0000"/>
          <w:sz w:val="24"/>
        </w:rPr>
        <w:t>9</w:t>
      </w:r>
      <w:r>
        <w:rPr>
          <w:b/>
          <w:bCs/>
          <w:color w:val="FF0000"/>
          <w:sz w:val="24"/>
        </w:rPr>
        <w:t>月</w:t>
      </w:r>
      <w:r>
        <w:rPr>
          <w:rFonts w:hint="eastAsia"/>
          <w:b/>
          <w:bCs/>
          <w:color w:val="FF0000"/>
          <w:sz w:val="24"/>
        </w:rPr>
        <w:t>19</w:t>
      </w:r>
      <w:r>
        <w:rPr>
          <w:b/>
          <w:bCs/>
          <w:color w:val="FF0000"/>
          <w:sz w:val="24"/>
        </w:rPr>
        <w:t>日</w:t>
      </w:r>
      <w:r>
        <w:rPr>
          <w:b/>
          <w:bCs/>
          <w:sz w:val="24"/>
        </w:rPr>
        <w:t>11:30前与比选人就相关数据进行核对，逾期未核对的视为对比选人统计数据无异议，由此造成的任何损失由参选人自行承担。开标时将以比选人提供的最终核定数据作为评分依据。</w:t>
      </w:r>
    </w:p>
    <w:p w14:paraId="271E2CA9">
      <w:pPr>
        <w:spacing w:line="360" w:lineRule="auto"/>
        <w:ind w:firstLine="480" w:firstLineChars="200"/>
        <w:jc w:val="left"/>
        <w:rPr>
          <w:sz w:val="24"/>
        </w:rPr>
      </w:pPr>
      <w:r>
        <w:rPr>
          <w:rFonts w:hint="eastAsia"/>
          <w:sz w:val="24"/>
        </w:rPr>
        <w:t>2、</w:t>
      </w:r>
      <w:r>
        <w:rPr>
          <w:sz w:val="24"/>
        </w:rPr>
        <w:t>第2项与南通轨道集团基础增值贡献：</w:t>
      </w:r>
      <w:r>
        <w:rPr>
          <w:rFonts w:hint="eastAsia"/>
          <w:sz w:val="24"/>
        </w:rPr>
        <w:t>中选银行</w:t>
      </w:r>
      <w:r>
        <w:rPr>
          <w:sz w:val="24"/>
        </w:rPr>
        <w:t>对长期贷款减免利息部分折算数据在未来三年内有效，三年内的比选涉及相关指标的，可直接引用折算数据。</w:t>
      </w:r>
      <w:r>
        <w:rPr>
          <w:b/>
          <w:bCs/>
          <w:sz w:val="24"/>
        </w:rPr>
        <w:t>自2024年6月起参与轨道集团资金存放比选的中选银行，且已按投标报价实现的长期贷款利息减免自动纳入本次比选评分，无需提供证明材料</w:t>
      </w:r>
      <w:r>
        <w:rPr>
          <w:sz w:val="24"/>
        </w:rPr>
        <w:t>。</w:t>
      </w:r>
    </w:p>
    <w:p w14:paraId="4BA40BC9">
      <w:pPr>
        <w:spacing w:line="360" w:lineRule="auto"/>
        <w:ind w:firstLine="480" w:firstLineChars="200"/>
        <w:jc w:val="left"/>
        <w:rPr>
          <w:b/>
          <w:bCs/>
          <w:sz w:val="24"/>
        </w:rPr>
      </w:pPr>
      <w:r>
        <w:rPr>
          <w:rFonts w:hint="eastAsia"/>
          <w:sz w:val="24"/>
        </w:rPr>
        <w:t>3、</w:t>
      </w:r>
      <w:r>
        <w:rPr>
          <w:sz w:val="24"/>
        </w:rPr>
        <w:t>参选人在填报第3项存款收益情况时，报价应为</w:t>
      </w:r>
      <w:r>
        <w:rPr>
          <w:b/>
          <w:bCs/>
          <w:sz w:val="24"/>
        </w:rPr>
        <w:t>可实现的底线收益率</w:t>
      </w:r>
      <w:r>
        <w:rPr>
          <w:sz w:val="24"/>
        </w:rPr>
        <w:t>，</w:t>
      </w:r>
      <w:r>
        <w:rPr>
          <w:b/>
          <w:bCs/>
          <w:sz w:val="24"/>
        </w:rPr>
        <w:t>为不设条件的固定报价</w:t>
      </w:r>
      <w:r>
        <w:rPr>
          <w:rFonts w:hint="eastAsia"/>
          <w:b/>
          <w:bCs/>
          <w:sz w:val="24"/>
        </w:rPr>
        <w:t>。</w:t>
      </w:r>
    </w:p>
    <w:p w14:paraId="6F65074B">
      <w:pPr>
        <w:spacing w:line="360" w:lineRule="auto"/>
        <w:ind w:firstLine="480" w:firstLineChars="200"/>
        <w:jc w:val="left"/>
        <w:rPr>
          <w:sz w:val="24"/>
        </w:rPr>
      </w:pPr>
      <w:r>
        <w:rPr>
          <w:rFonts w:hint="eastAsia"/>
          <w:sz w:val="24"/>
        </w:rPr>
        <w:t>4、第5项附加增值贡献。中选银行租赁轨道自持商铺、办公用房的贡献度，在租赁期</w:t>
      </w:r>
      <w:r>
        <w:rPr>
          <w:sz w:val="24"/>
        </w:rPr>
        <w:t>内的比选涉及相关指标的，可直接</w:t>
      </w:r>
      <w:r>
        <w:rPr>
          <w:rFonts w:hint="eastAsia"/>
          <w:sz w:val="24"/>
        </w:rPr>
        <w:t>引用相应</w:t>
      </w:r>
      <w:r>
        <w:rPr>
          <w:sz w:val="24"/>
        </w:rPr>
        <w:t>数据</w:t>
      </w:r>
      <w:r>
        <w:rPr>
          <w:rFonts w:hint="eastAsia"/>
          <w:sz w:val="24"/>
        </w:rPr>
        <w:t>，但引用期限不得超过三年。</w:t>
      </w:r>
    </w:p>
    <w:p w14:paraId="11D5A9F5">
      <w:pPr>
        <w:spacing w:line="360" w:lineRule="auto"/>
        <w:ind w:firstLine="480" w:firstLineChars="200"/>
        <w:jc w:val="left"/>
        <w:rPr>
          <w:sz w:val="24"/>
        </w:rPr>
      </w:pPr>
      <w:r>
        <w:rPr>
          <w:rFonts w:hint="eastAsia"/>
          <w:sz w:val="24"/>
        </w:rPr>
        <w:t>5、</w:t>
      </w:r>
      <w:r>
        <w:rPr>
          <w:sz w:val="24"/>
        </w:rPr>
        <w:t>中选银行在资金存放合作期内应提供与报价相适应的产品，如无法实现或者因额度或系统限制无法购买，比选人有权采取包括重新调配资金等一切必要措施</w:t>
      </w:r>
      <w:r>
        <w:rPr>
          <w:rFonts w:hint="eastAsia"/>
          <w:sz w:val="24"/>
        </w:rPr>
        <w:t>。</w:t>
      </w:r>
    </w:p>
    <w:p w14:paraId="4CE5CA16">
      <w:pPr>
        <w:spacing w:line="360" w:lineRule="auto"/>
        <w:ind w:firstLine="480" w:firstLineChars="200"/>
        <w:jc w:val="left"/>
        <w:rPr>
          <w:sz w:val="24"/>
        </w:rPr>
      </w:pPr>
      <w:r>
        <w:rPr>
          <w:rFonts w:hint="eastAsia"/>
          <w:sz w:val="24"/>
        </w:rPr>
        <w:t>6、</w:t>
      </w:r>
      <w:r>
        <w:rPr>
          <w:sz w:val="24"/>
        </w:rPr>
        <w:t>所有收益率报价均需符合人民银行或其他管理机构关于收益率上限的自律协定等要求</w:t>
      </w:r>
      <w:r>
        <w:rPr>
          <w:rFonts w:hint="eastAsia"/>
          <w:sz w:val="24"/>
        </w:rPr>
        <w:t>。</w:t>
      </w:r>
    </w:p>
    <w:p w14:paraId="26867CAB">
      <w:pPr>
        <w:spacing w:line="360" w:lineRule="auto"/>
        <w:ind w:firstLine="480" w:firstLineChars="200"/>
        <w:jc w:val="left"/>
        <w:rPr>
          <w:sz w:val="24"/>
        </w:rPr>
      </w:pPr>
      <w:r>
        <w:rPr>
          <w:rFonts w:hint="eastAsia"/>
          <w:sz w:val="24"/>
        </w:rPr>
        <w:t>7、</w:t>
      </w:r>
      <w:r>
        <w:rPr>
          <w:sz w:val="24"/>
        </w:rPr>
        <w:t>对前期合作中出现严重不履约情况，且至本次比选时解决方案仍未落地的参选人，比选人可行使一票否决权</w:t>
      </w:r>
      <w:r>
        <w:rPr>
          <w:rFonts w:hint="eastAsia"/>
          <w:sz w:val="24"/>
        </w:rPr>
        <w:t>。</w:t>
      </w:r>
    </w:p>
    <w:p w14:paraId="10697B53">
      <w:pPr>
        <w:spacing w:line="360" w:lineRule="auto"/>
        <w:ind w:right="-260" w:rightChars="-124" w:firstLine="570"/>
        <w:rPr>
          <w:b/>
          <w:bCs/>
          <w:sz w:val="24"/>
        </w:rPr>
      </w:pPr>
      <w:r>
        <w:rPr>
          <w:b/>
          <w:bCs/>
          <w:sz w:val="24"/>
        </w:rPr>
        <w:t>九、中选候选人的确定</w:t>
      </w:r>
    </w:p>
    <w:p w14:paraId="39ACD267">
      <w:pPr>
        <w:spacing w:line="360" w:lineRule="auto"/>
        <w:ind w:right="-260" w:rightChars="-124" w:firstLine="570"/>
        <w:rPr>
          <w:bCs/>
          <w:sz w:val="24"/>
        </w:rPr>
      </w:pPr>
      <w:r>
        <w:rPr>
          <w:bCs/>
          <w:sz w:val="24"/>
        </w:rPr>
        <w:t>评委会认为参选人的报价明显异于其他通过符合性审查参选人的报价，有可能影响产品质量或者不能诚信履约的，应当要求其在合理的时间内提供书面说明，必要时提交相关证明材料；参选人不能证明其报价合理性的，评委会应当将其作为无效参选处理。</w:t>
      </w:r>
    </w:p>
    <w:p w14:paraId="36109C8D">
      <w:pPr>
        <w:spacing w:line="360" w:lineRule="auto"/>
        <w:ind w:right="-260" w:rightChars="-124" w:firstLine="570"/>
        <w:rPr>
          <w:sz w:val="24"/>
        </w:rPr>
      </w:pPr>
      <w:r>
        <w:rPr>
          <w:sz w:val="24"/>
        </w:rPr>
        <w:t>评委会汇总各评委评分后，按</w:t>
      </w:r>
      <w:r>
        <w:rPr>
          <w:rFonts w:hint="eastAsia"/>
          <w:sz w:val="24"/>
        </w:rPr>
        <w:t>总</w:t>
      </w:r>
      <w:r>
        <w:rPr>
          <w:sz w:val="24"/>
        </w:rPr>
        <w:t>得分</w:t>
      </w:r>
      <w:r>
        <w:rPr>
          <w:rFonts w:hint="eastAsia"/>
          <w:sz w:val="24"/>
        </w:rPr>
        <w:t>从</w:t>
      </w:r>
      <w:r>
        <w:rPr>
          <w:sz w:val="24"/>
        </w:rPr>
        <w:t>高</w:t>
      </w:r>
      <w:r>
        <w:rPr>
          <w:rFonts w:hint="eastAsia"/>
          <w:sz w:val="24"/>
        </w:rPr>
        <w:t>到</w:t>
      </w:r>
      <w:r>
        <w:rPr>
          <w:sz w:val="24"/>
        </w:rPr>
        <w:t>低对参选人进行排名，依据排名先后确定中标候选人。最终</w:t>
      </w:r>
      <w:r>
        <w:rPr>
          <w:rFonts w:hint="eastAsia"/>
          <w:sz w:val="24"/>
        </w:rPr>
        <w:t>总</w:t>
      </w:r>
      <w:r>
        <w:rPr>
          <w:sz w:val="24"/>
        </w:rPr>
        <w:t>得分相同的情况下，优先选择</w:t>
      </w:r>
      <w:r>
        <w:rPr>
          <w:rFonts w:hint="eastAsia"/>
          <w:sz w:val="24"/>
        </w:rPr>
        <w:t>“基础指标-</w:t>
      </w:r>
      <w:r>
        <w:rPr>
          <w:sz w:val="24"/>
        </w:rPr>
        <w:t>基础增值贡献</w:t>
      </w:r>
      <w:r>
        <w:rPr>
          <w:rFonts w:hint="eastAsia"/>
          <w:sz w:val="24"/>
        </w:rPr>
        <w:t>”得分</w:t>
      </w:r>
      <w:r>
        <w:rPr>
          <w:sz w:val="24"/>
        </w:rPr>
        <w:t>高的；最终</w:t>
      </w:r>
      <w:r>
        <w:rPr>
          <w:rFonts w:hint="eastAsia"/>
          <w:sz w:val="24"/>
        </w:rPr>
        <w:t>总</w:t>
      </w:r>
      <w:r>
        <w:rPr>
          <w:sz w:val="24"/>
        </w:rPr>
        <w:t>得分与基础增值贡献</w:t>
      </w:r>
      <w:r>
        <w:rPr>
          <w:rFonts w:hint="eastAsia"/>
          <w:sz w:val="24"/>
        </w:rPr>
        <w:t>得分</w:t>
      </w:r>
      <w:r>
        <w:rPr>
          <w:sz w:val="24"/>
        </w:rPr>
        <w:t>均相同的情况下，优先选择</w:t>
      </w:r>
      <w:r>
        <w:rPr>
          <w:rFonts w:hint="eastAsia"/>
          <w:sz w:val="24"/>
        </w:rPr>
        <w:t>“基础指标-</w:t>
      </w:r>
      <w:r>
        <w:rPr>
          <w:sz w:val="24"/>
        </w:rPr>
        <w:t>附加增值贡献</w:t>
      </w:r>
      <w:r>
        <w:rPr>
          <w:rFonts w:hint="eastAsia"/>
          <w:sz w:val="24"/>
        </w:rPr>
        <w:t>”得分</w:t>
      </w:r>
      <w:r>
        <w:rPr>
          <w:sz w:val="24"/>
        </w:rPr>
        <w:t>高的；最终</w:t>
      </w:r>
      <w:r>
        <w:rPr>
          <w:rFonts w:hint="eastAsia"/>
          <w:sz w:val="24"/>
        </w:rPr>
        <w:t>总</w:t>
      </w:r>
      <w:r>
        <w:rPr>
          <w:sz w:val="24"/>
        </w:rPr>
        <w:t>得分、基础增值贡献、附加增值贡献</w:t>
      </w:r>
      <w:r>
        <w:rPr>
          <w:rFonts w:hint="eastAsia"/>
          <w:sz w:val="24"/>
        </w:rPr>
        <w:t>得分</w:t>
      </w:r>
      <w:r>
        <w:rPr>
          <w:sz w:val="24"/>
        </w:rPr>
        <w:t>均相同的，优先选择</w:t>
      </w:r>
      <w:r>
        <w:rPr>
          <w:rFonts w:hint="eastAsia"/>
          <w:sz w:val="24"/>
        </w:rPr>
        <w:t>“基础指标-</w:t>
      </w:r>
      <w:r>
        <w:rPr>
          <w:sz w:val="24"/>
        </w:rPr>
        <w:t>存款收益</w:t>
      </w:r>
      <w:r>
        <w:rPr>
          <w:rFonts w:hint="eastAsia"/>
          <w:sz w:val="24"/>
        </w:rPr>
        <w:t>”得分</w:t>
      </w:r>
      <w:r>
        <w:rPr>
          <w:sz w:val="24"/>
        </w:rPr>
        <w:t>高的；最终</w:t>
      </w:r>
      <w:r>
        <w:rPr>
          <w:rFonts w:hint="eastAsia"/>
          <w:sz w:val="24"/>
        </w:rPr>
        <w:t>总</w:t>
      </w:r>
      <w:r>
        <w:rPr>
          <w:sz w:val="24"/>
        </w:rPr>
        <w:t>得分、基础增值贡献、附加增值贡献、存款收益</w:t>
      </w:r>
      <w:r>
        <w:rPr>
          <w:rFonts w:hint="eastAsia"/>
          <w:sz w:val="24"/>
        </w:rPr>
        <w:t>得分</w:t>
      </w:r>
      <w:r>
        <w:rPr>
          <w:sz w:val="24"/>
        </w:rPr>
        <w:t>均相同的，优先选择</w:t>
      </w:r>
      <w:r>
        <w:rPr>
          <w:rFonts w:hint="eastAsia"/>
          <w:sz w:val="24"/>
        </w:rPr>
        <w:t>“基础指标-</w:t>
      </w:r>
      <w:r>
        <w:rPr>
          <w:sz w:val="24"/>
        </w:rPr>
        <w:t>信贷合作贡献</w:t>
      </w:r>
      <w:r>
        <w:rPr>
          <w:rFonts w:hint="eastAsia"/>
          <w:sz w:val="24"/>
        </w:rPr>
        <w:t>”</w:t>
      </w:r>
      <w:r>
        <w:rPr>
          <w:sz w:val="24"/>
        </w:rPr>
        <w:t>高的；最终得分、基础增值贡献、附加增值贡献、存款收益与信贷合作贡献</w:t>
      </w:r>
      <w:r>
        <w:rPr>
          <w:rFonts w:hint="eastAsia"/>
          <w:sz w:val="24"/>
        </w:rPr>
        <w:t>得分</w:t>
      </w:r>
      <w:r>
        <w:rPr>
          <w:sz w:val="24"/>
        </w:rPr>
        <w:t>均相同的，优先选择</w:t>
      </w:r>
      <w:r>
        <w:rPr>
          <w:rFonts w:hint="eastAsia"/>
          <w:sz w:val="24"/>
        </w:rPr>
        <w:t>“基础指标-</w:t>
      </w:r>
      <w:r>
        <w:rPr>
          <w:sz w:val="24"/>
        </w:rPr>
        <w:t>其他</w:t>
      </w:r>
      <w:r>
        <w:rPr>
          <w:rFonts w:hint="eastAsia"/>
          <w:sz w:val="24"/>
        </w:rPr>
        <w:t>”</w:t>
      </w:r>
      <w:r>
        <w:rPr>
          <w:sz w:val="24"/>
        </w:rPr>
        <w:t>指标得分更高的；最终得分与各项目指标均相同的，组织抽签决定。</w:t>
      </w:r>
    </w:p>
    <w:p w14:paraId="36528C9D">
      <w:pPr>
        <w:spacing w:line="360" w:lineRule="auto"/>
        <w:ind w:right="-260" w:rightChars="-124" w:firstLine="570"/>
        <w:rPr>
          <w:b/>
          <w:bCs/>
          <w:sz w:val="24"/>
        </w:rPr>
      </w:pPr>
      <w:r>
        <w:rPr>
          <w:b/>
          <w:bCs/>
          <w:sz w:val="24"/>
        </w:rPr>
        <w:t>十、注意事项</w:t>
      </w:r>
    </w:p>
    <w:p w14:paraId="17E93024">
      <w:pPr>
        <w:spacing w:line="360" w:lineRule="auto"/>
        <w:ind w:right="-260" w:rightChars="-124" w:firstLine="570"/>
        <w:rPr>
          <w:sz w:val="24"/>
        </w:rPr>
      </w:pPr>
      <w:r>
        <w:rPr>
          <w:sz w:val="24"/>
        </w:rPr>
        <w:t>1、在参选、比选时间，参选人不得向评委询问情况，不得进行旨在影响评标结果的活动。</w:t>
      </w:r>
    </w:p>
    <w:p w14:paraId="67E88508">
      <w:pPr>
        <w:spacing w:line="360" w:lineRule="auto"/>
        <w:ind w:right="-260" w:rightChars="-124" w:firstLine="570"/>
        <w:rPr>
          <w:sz w:val="24"/>
        </w:rPr>
      </w:pPr>
      <w:r>
        <w:rPr>
          <w:sz w:val="24"/>
        </w:rPr>
        <w:t>2、评委会不得向参选人解释落标原因。</w:t>
      </w:r>
    </w:p>
    <w:p w14:paraId="5E446756">
      <w:pPr>
        <w:spacing w:line="360" w:lineRule="auto"/>
        <w:ind w:right="-260" w:rightChars="-124" w:firstLine="570"/>
        <w:rPr>
          <w:sz w:val="24"/>
        </w:rPr>
      </w:pPr>
      <w:r>
        <w:rPr>
          <w:sz w:val="24"/>
        </w:rPr>
        <w:t>3、在参选、评标过程中，如果参选人联合故意抬高报价或出现其他不正当行为，比选人有权中止参选或评标。</w:t>
      </w:r>
    </w:p>
    <w:p w14:paraId="013D2982">
      <w:pPr>
        <w:spacing w:line="360" w:lineRule="auto"/>
        <w:ind w:right="-260" w:rightChars="-124" w:firstLine="570"/>
        <w:rPr>
          <w:sz w:val="24"/>
        </w:rPr>
      </w:pPr>
      <w:r>
        <w:rPr>
          <w:sz w:val="24"/>
        </w:rPr>
        <w:t>4、凡在参选、开标过程中，比选人已提示是否异议的事项，参选人当时没有提出异议的，事后参选人不得针对上述事项提出质疑。比如：比选人在开标中提示评委是否回避，参选人现场未提出异议的，事后不得针对评委回避事项提出质疑。</w:t>
      </w:r>
    </w:p>
    <w:p w14:paraId="226E1CD8">
      <w:pPr>
        <w:spacing w:line="360" w:lineRule="auto"/>
        <w:ind w:right="-260" w:rightChars="-124" w:firstLine="570"/>
        <w:rPr>
          <w:b/>
          <w:bCs/>
          <w:sz w:val="24"/>
        </w:rPr>
      </w:pPr>
      <w:r>
        <w:rPr>
          <w:b/>
          <w:bCs/>
          <w:sz w:val="24"/>
        </w:rPr>
        <w:t>十一、中选公示</w:t>
      </w:r>
    </w:p>
    <w:p w14:paraId="75556248">
      <w:pPr>
        <w:spacing w:line="360" w:lineRule="auto"/>
        <w:ind w:right="-260" w:rightChars="-124" w:firstLine="570"/>
        <w:rPr>
          <w:sz w:val="24"/>
        </w:rPr>
      </w:pPr>
      <w:r>
        <w:rPr>
          <w:sz w:val="24"/>
        </w:rPr>
        <w:t>1、中选候选人公示</w:t>
      </w:r>
    </w:p>
    <w:p w14:paraId="67A86B5D">
      <w:pPr>
        <w:spacing w:line="360" w:lineRule="auto"/>
        <w:ind w:right="-260" w:rightChars="-124" w:firstLine="570"/>
        <w:rPr>
          <w:sz w:val="24"/>
        </w:rPr>
      </w:pPr>
      <w:r>
        <w:rPr>
          <w:sz w:val="24"/>
        </w:rPr>
        <w:t>比选人在收到评标报告之日起3日内，在南通轨道交通集团有限公司网站公示中选候选人，公示期不得少于3天。</w:t>
      </w:r>
    </w:p>
    <w:p w14:paraId="432BB31D">
      <w:pPr>
        <w:spacing w:line="360" w:lineRule="auto"/>
        <w:ind w:right="-260" w:rightChars="-124" w:firstLine="570"/>
        <w:rPr>
          <w:sz w:val="24"/>
        </w:rPr>
      </w:pPr>
      <w:r>
        <w:rPr>
          <w:sz w:val="24"/>
        </w:rPr>
        <w:t>2、评标结果异议</w:t>
      </w:r>
    </w:p>
    <w:p w14:paraId="7E8341B0">
      <w:pPr>
        <w:spacing w:line="360" w:lineRule="auto"/>
        <w:ind w:right="-260" w:rightChars="-124" w:firstLine="570"/>
        <w:rPr>
          <w:sz w:val="24"/>
        </w:rPr>
      </w:pPr>
      <w:r>
        <w:rPr>
          <w:sz w:val="24"/>
        </w:rPr>
        <w:t>参选人或者其他利害关系人对评标结果有异议的，应当在中选候选人公示期间提出。比选人将在收到异议之日起 3 日内作出答复；作出答复前，将暂停比选参选活动。</w:t>
      </w:r>
    </w:p>
    <w:p w14:paraId="0C7BFB32">
      <w:pPr>
        <w:spacing w:line="360" w:lineRule="auto"/>
        <w:ind w:right="-260" w:rightChars="-124" w:firstLine="570"/>
        <w:rPr>
          <w:sz w:val="24"/>
        </w:rPr>
      </w:pPr>
      <w:r>
        <w:rPr>
          <w:sz w:val="24"/>
        </w:rPr>
        <w:t>3、履约保证金</w:t>
      </w:r>
    </w:p>
    <w:p w14:paraId="0B606331">
      <w:pPr>
        <w:spacing w:line="360" w:lineRule="auto"/>
        <w:ind w:right="-260" w:rightChars="-124" w:firstLine="570"/>
        <w:rPr>
          <w:sz w:val="24"/>
        </w:rPr>
      </w:pPr>
      <w:r>
        <w:rPr>
          <w:sz w:val="24"/>
        </w:rPr>
        <w:t>本项目不设履约保证金。</w:t>
      </w:r>
    </w:p>
    <w:p w14:paraId="0BCA00DB">
      <w:pPr>
        <w:spacing w:line="360" w:lineRule="auto"/>
        <w:ind w:right="-521" w:rightChars="-248"/>
        <w:jc w:val="center"/>
        <w:outlineLvl w:val="0"/>
        <w:rPr>
          <w:b/>
          <w:sz w:val="32"/>
          <w:szCs w:val="32"/>
          <w:lang w:val="zh-CN"/>
        </w:rPr>
      </w:pPr>
      <w:bookmarkStart w:id="67" w:name="_Toc11580"/>
      <w:bookmarkStart w:id="68" w:name="_Toc23323"/>
      <w:bookmarkStart w:id="69" w:name="_Toc28124"/>
      <w:bookmarkStart w:id="70" w:name="_Toc11740"/>
      <w:r>
        <w:br w:type="page"/>
      </w:r>
      <w:bookmarkEnd w:id="67"/>
      <w:bookmarkEnd w:id="68"/>
      <w:bookmarkEnd w:id="69"/>
      <w:bookmarkEnd w:id="70"/>
      <w:bookmarkStart w:id="71" w:name="_Toc9891"/>
      <w:bookmarkStart w:id="72" w:name="_Toc5930"/>
      <w:bookmarkStart w:id="73" w:name="_Toc17814"/>
      <w:bookmarkStart w:id="74" w:name="_Toc12215"/>
    </w:p>
    <w:p w14:paraId="5F8F91EC">
      <w:pPr>
        <w:spacing w:line="360" w:lineRule="auto"/>
        <w:ind w:right="-521" w:rightChars="-248"/>
        <w:jc w:val="center"/>
        <w:outlineLvl w:val="0"/>
        <w:rPr>
          <w:b/>
          <w:sz w:val="32"/>
          <w:szCs w:val="32"/>
          <w:lang w:val="zh-CN"/>
        </w:rPr>
      </w:pPr>
    </w:p>
    <w:p w14:paraId="21DDE5B3">
      <w:pPr>
        <w:spacing w:line="360" w:lineRule="auto"/>
        <w:ind w:right="-521" w:rightChars="-248"/>
        <w:jc w:val="center"/>
        <w:outlineLvl w:val="0"/>
        <w:rPr>
          <w:b/>
          <w:sz w:val="32"/>
          <w:szCs w:val="32"/>
          <w:lang w:val="zh-CN"/>
        </w:rPr>
      </w:pPr>
      <w:r>
        <w:rPr>
          <w:b/>
          <w:sz w:val="32"/>
          <w:szCs w:val="32"/>
          <w:lang w:val="zh-CN"/>
        </w:rPr>
        <w:t>第</w:t>
      </w:r>
      <w:r>
        <w:rPr>
          <w:b/>
          <w:sz w:val="32"/>
          <w:szCs w:val="32"/>
        </w:rPr>
        <w:t>五章</w:t>
      </w:r>
      <w:r>
        <w:rPr>
          <w:b/>
          <w:sz w:val="32"/>
          <w:szCs w:val="32"/>
          <w:lang w:val="zh-CN"/>
        </w:rPr>
        <w:t xml:space="preserve">  参选文件组成</w:t>
      </w:r>
      <w:bookmarkEnd w:id="71"/>
      <w:bookmarkEnd w:id="72"/>
      <w:bookmarkEnd w:id="73"/>
      <w:bookmarkEnd w:id="74"/>
    </w:p>
    <w:p w14:paraId="58C1CB22">
      <w:pPr>
        <w:spacing w:line="360" w:lineRule="auto"/>
      </w:pPr>
      <w:bookmarkStart w:id="75" w:name="_Toc30967_WPSOffice_Level2"/>
      <w:bookmarkStart w:id="76" w:name="_Toc16566_WPSOffice_Level2"/>
      <w:bookmarkStart w:id="77" w:name="_Toc16976_WPSOffice_Level2"/>
    </w:p>
    <w:bookmarkEnd w:id="75"/>
    <w:bookmarkEnd w:id="76"/>
    <w:bookmarkEnd w:id="77"/>
    <w:p w14:paraId="1D9ABFA7">
      <w:pPr>
        <w:spacing w:line="360" w:lineRule="auto"/>
      </w:pPr>
    </w:p>
    <w:p w14:paraId="54B73D83">
      <w:pPr>
        <w:spacing w:line="360" w:lineRule="auto"/>
        <w:jc w:val="center"/>
        <w:rPr>
          <w:b/>
          <w:sz w:val="36"/>
          <w:szCs w:val="36"/>
        </w:rPr>
      </w:pPr>
    </w:p>
    <w:p w14:paraId="14BFAE3F">
      <w:pPr>
        <w:spacing w:line="360" w:lineRule="auto"/>
        <w:jc w:val="center"/>
        <w:outlineLvl w:val="0"/>
        <w:rPr>
          <w:b/>
          <w:bCs/>
          <w:sz w:val="36"/>
          <w:szCs w:val="36"/>
        </w:rPr>
      </w:pPr>
      <w:bookmarkStart w:id="78" w:name="_Toc20468"/>
      <w:bookmarkStart w:id="79" w:name="_Toc29099"/>
      <w:bookmarkStart w:id="80" w:name="_Toc20415"/>
      <w:bookmarkStart w:id="81" w:name="_Toc20680"/>
      <w:r>
        <w:rPr>
          <w:b/>
          <w:bCs/>
          <w:sz w:val="36"/>
          <w:szCs w:val="36"/>
        </w:rPr>
        <w:t>南通轨道交通集团有限公司</w:t>
      </w:r>
    </w:p>
    <w:p w14:paraId="188C70B2">
      <w:pPr>
        <w:spacing w:line="360" w:lineRule="auto"/>
        <w:jc w:val="center"/>
        <w:outlineLvl w:val="0"/>
        <w:rPr>
          <w:b/>
          <w:bCs/>
          <w:sz w:val="36"/>
          <w:szCs w:val="36"/>
        </w:rPr>
      </w:pPr>
      <w:r>
        <w:rPr>
          <w:b/>
          <w:bCs/>
          <w:sz w:val="36"/>
          <w:szCs w:val="36"/>
        </w:rPr>
        <w:t>2025-2026年度灵活资金存放银行合作项目</w:t>
      </w:r>
    </w:p>
    <w:p w14:paraId="5ECC0CEB">
      <w:pPr>
        <w:spacing w:line="360" w:lineRule="auto"/>
        <w:jc w:val="center"/>
        <w:outlineLvl w:val="0"/>
        <w:rPr>
          <w:b/>
          <w:bCs/>
          <w:sz w:val="36"/>
          <w:szCs w:val="36"/>
        </w:rPr>
      </w:pPr>
    </w:p>
    <w:p w14:paraId="55186C4F">
      <w:pPr>
        <w:spacing w:line="360" w:lineRule="auto"/>
        <w:jc w:val="center"/>
        <w:outlineLvl w:val="0"/>
        <w:rPr>
          <w:b/>
          <w:bCs/>
          <w:sz w:val="36"/>
          <w:szCs w:val="36"/>
        </w:rPr>
      </w:pPr>
    </w:p>
    <w:p w14:paraId="250003D8">
      <w:pPr>
        <w:spacing w:line="360" w:lineRule="auto"/>
        <w:jc w:val="center"/>
        <w:outlineLvl w:val="0"/>
        <w:rPr>
          <w:b/>
          <w:bCs/>
          <w:sz w:val="36"/>
          <w:szCs w:val="36"/>
        </w:rPr>
      </w:pPr>
    </w:p>
    <w:p w14:paraId="0CA03396">
      <w:pPr>
        <w:spacing w:line="360" w:lineRule="auto"/>
        <w:jc w:val="center"/>
        <w:outlineLvl w:val="0"/>
        <w:rPr>
          <w:b/>
          <w:bCs/>
          <w:sz w:val="36"/>
          <w:szCs w:val="36"/>
        </w:rPr>
      </w:pPr>
      <w:r>
        <w:rPr>
          <w:rFonts w:hint="eastAsia"/>
          <w:b/>
          <w:bCs/>
          <w:sz w:val="36"/>
          <w:szCs w:val="36"/>
        </w:rPr>
        <w:t>参选文件</w:t>
      </w:r>
      <w:r>
        <w:rPr>
          <w:b/>
          <w:bCs/>
          <w:sz w:val="36"/>
          <w:szCs w:val="36"/>
        </w:rPr>
        <w:t>（资格审查文件）</w:t>
      </w:r>
      <w:bookmarkEnd w:id="78"/>
      <w:bookmarkEnd w:id="79"/>
      <w:bookmarkEnd w:id="80"/>
      <w:bookmarkEnd w:id="81"/>
    </w:p>
    <w:p w14:paraId="78E7CB38">
      <w:pPr>
        <w:spacing w:line="360" w:lineRule="auto"/>
        <w:rPr>
          <w:sz w:val="32"/>
        </w:rPr>
      </w:pPr>
    </w:p>
    <w:p w14:paraId="6F6C195A">
      <w:pPr>
        <w:spacing w:line="360" w:lineRule="auto"/>
        <w:rPr>
          <w:sz w:val="32"/>
        </w:rPr>
      </w:pPr>
    </w:p>
    <w:p w14:paraId="21159532">
      <w:pPr>
        <w:spacing w:line="360" w:lineRule="auto"/>
        <w:rPr>
          <w:sz w:val="32"/>
        </w:rPr>
      </w:pPr>
    </w:p>
    <w:p w14:paraId="5409709C">
      <w:pPr>
        <w:spacing w:line="360" w:lineRule="auto"/>
        <w:rPr>
          <w:sz w:val="32"/>
        </w:rPr>
      </w:pPr>
    </w:p>
    <w:p w14:paraId="0931FB86">
      <w:pPr>
        <w:spacing w:line="360" w:lineRule="auto"/>
        <w:rPr>
          <w:sz w:val="32"/>
        </w:rPr>
      </w:pPr>
    </w:p>
    <w:p w14:paraId="5D8AF7E7">
      <w:pPr>
        <w:spacing w:line="360" w:lineRule="auto"/>
      </w:pPr>
    </w:p>
    <w:p w14:paraId="375549E9">
      <w:pPr>
        <w:spacing w:line="360" w:lineRule="auto"/>
        <w:rPr>
          <w:sz w:val="32"/>
        </w:rPr>
      </w:pPr>
    </w:p>
    <w:p w14:paraId="5E01462F">
      <w:pPr>
        <w:spacing w:line="360" w:lineRule="auto"/>
        <w:ind w:firstLine="562" w:firstLineChars="200"/>
        <w:rPr>
          <w:b/>
          <w:bCs/>
          <w:sz w:val="28"/>
          <w:szCs w:val="28"/>
        </w:rPr>
      </w:pPr>
      <w:bookmarkStart w:id="82" w:name="_Toc20169"/>
      <w:bookmarkStart w:id="83" w:name="_Toc12943"/>
      <w:bookmarkStart w:id="84" w:name="_Toc26305"/>
      <w:bookmarkStart w:id="85" w:name="_Toc15095"/>
      <w:bookmarkStart w:id="86" w:name="_Toc10713"/>
      <w:r>
        <w:rPr>
          <w:b/>
          <w:bCs/>
          <w:sz w:val="28"/>
          <w:szCs w:val="28"/>
        </w:rPr>
        <w:t>参  选  人：</w:t>
      </w:r>
      <w:r>
        <w:rPr>
          <w:b/>
          <w:bCs/>
          <w:sz w:val="28"/>
          <w:szCs w:val="28"/>
          <w:u w:val="single"/>
        </w:rPr>
        <w:t xml:space="preserve">         （全称）（盖章）</w:t>
      </w:r>
    </w:p>
    <w:p w14:paraId="71EE7168">
      <w:pPr>
        <w:spacing w:line="360" w:lineRule="auto"/>
        <w:jc w:val="center"/>
        <w:rPr>
          <w:b/>
          <w:bCs/>
          <w:sz w:val="28"/>
          <w:szCs w:val="28"/>
        </w:rPr>
      </w:pPr>
      <w:r>
        <w:rPr>
          <w:b/>
          <w:bCs/>
          <w:sz w:val="28"/>
          <w:szCs w:val="28"/>
        </w:rPr>
        <w:t>法定代表人（分支机构负责人）：</w:t>
      </w:r>
      <w:r>
        <w:rPr>
          <w:b/>
          <w:bCs/>
          <w:sz w:val="28"/>
          <w:szCs w:val="28"/>
          <w:u w:val="single"/>
        </w:rPr>
        <w:t xml:space="preserve">           （签字或盖章）</w:t>
      </w:r>
    </w:p>
    <w:p w14:paraId="6381980B">
      <w:pPr>
        <w:spacing w:line="360" w:lineRule="auto"/>
        <w:ind w:firstLine="562" w:firstLineChars="200"/>
        <w:rPr>
          <w:b/>
          <w:bCs/>
          <w:sz w:val="28"/>
          <w:szCs w:val="28"/>
        </w:rPr>
      </w:pPr>
      <w:r>
        <w:rPr>
          <w:b/>
          <w:bCs/>
          <w:sz w:val="28"/>
          <w:szCs w:val="28"/>
        </w:rPr>
        <w:t>时      间：</w:t>
      </w:r>
      <w:r>
        <w:rPr>
          <w:b/>
          <w:bCs/>
          <w:sz w:val="28"/>
          <w:szCs w:val="28"/>
          <w:u w:val="single"/>
        </w:rPr>
        <w:t xml:space="preserve">        </w:t>
      </w:r>
      <w:r>
        <w:rPr>
          <w:b/>
          <w:bCs/>
          <w:sz w:val="28"/>
          <w:szCs w:val="28"/>
        </w:rPr>
        <w:t>年</w:t>
      </w:r>
      <w:r>
        <w:rPr>
          <w:b/>
          <w:bCs/>
          <w:sz w:val="28"/>
          <w:szCs w:val="28"/>
          <w:u w:val="single"/>
        </w:rPr>
        <w:t xml:space="preserve">        </w:t>
      </w:r>
      <w:r>
        <w:rPr>
          <w:b/>
          <w:bCs/>
          <w:sz w:val="28"/>
          <w:szCs w:val="28"/>
        </w:rPr>
        <w:t>月</w:t>
      </w:r>
      <w:r>
        <w:rPr>
          <w:b/>
          <w:bCs/>
          <w:sz w:val="28"/>
          <w:szCs w:val="28"/>
          <w:u w:val="single"/>
        </w:rPr>
        <w:t xml:space="preserve">        </w:t>
      </w:r>
      <w:r>
        <w:rPr>
          <w:b/>
          <w:bCs/>
          <w:sz w:val="28"/>
          <w:szCs w:val="28"/>
        </w:rPr>
        <w:t>日</w:t>
      </w:r>
    </w:p>
    <w:p w14:paraId="7DB2C22C">
      <w:pPr>
        <w:spacing w:line="360" w:lineRule="auto"/>
        <w:ind w:firstLine="1928" w:firstLineChars="600"/>
        <w:jc w:val="center"/>
        <w:rPr>
          <w:b/>
          <w:bCs/>
          <w:sz w:val="32"/>
          <w:szCs w:val="32"/>
        </w:rPr>
        <w:sectPr>
          <w:headerReference r:id="rId5" w:type="default"/>
          <w:footerReference r:id="rId6" w:type="default"/>
          <w:pgSz w:w="11905" w:h="16838"/>
          <w:pgMar w:top="1440" w:right="1282" w:bottom="1440" w:left="1803" w:header="850" w:footer="992" w:gutter="0"/>
          <w:cols w:space="0" w:num="1"/>
          <w:docGrid w:type="lines" w:linePitch="325" w:charSpace="0"/>
        </w:sectPr>
      </w:pPr>
    </w:p>
    <w:p w14:paraId="4DD00C91">
      <w:pPr>
        <w:keepNext/>
        <w:keepLines/>
        <w:spacing w:before="260" w:after="260" w:line="360" w:lineRule="auto"/>
        <w:jc w:val="center"/>
        <w:outlineLvl w:val="1"/>
        <w:rPr>
          <w:b/>
          <w:bCs/>
          <w:kern w:val="0"/>
          <w:sz w:val="32"/>
          <w:szCs w:val="32"/>
        </w:rPr>
      </w:pPr>
      <w:bookmarkStart w:id="87" w:name="_Toc14884"/>
      <w:bookmarkStart w:id="88" w:name="_Toc23411"/>
    </w:p>
    <w:p w14:paraId="417EF6CF">
      <w:pPr>
        <w:keepNext/>
        <w:keepLines/>
        <w:spacing w:before="260" w:after="260" w:line="360" w:lineRule="auto"/>
        <w:jc w:val="center"/>
        <w:outlineLvl w:val="1"/>
        <w:rPr>
          <w:b/>
          <w:bCs/>
          <w:kern w:val="0"/>
          <w:sz w:val="32"/>
          <w:szCs w:val="32"/>
        </w:rPr>
      </w:pPr>
      <w:r>
        <w:rPr>
          <w:b/>
          <w:bCs/>
          <w:kern w:val="0"/>
          <w:sz w:val="32"/>
          <w:szCs w:val="32"/>
        </w:rPr>
        <w:t>目  录</w:t>
      </w:r>
      <w:bookmarkEnd w:id="82"/>
      <w:bookmarkEnd w:id="83"/>
      <w:bookmarkEnd w:id="84"/>
      <w:bookmarkEnd w:id="85"/>
      <w:bookmarkEnd w:id="86"/>
      <w:bookmarkEnd w:id="87"/>
      <w:bookmarkEnd w:id="88"/>
    </w:p>
    <w:p w14:paraId="3ECF3EC3">
      <w:pPr>
        <w:spacing w:line="360" w:lineRule="auto"/>
      </w:pPr>
      <w:bookmarkStart w:id="89" w:name="_Toc14117_WPSOffice_Level3"/>
      <w:bookmarkStart w:id="90" w:name="_Toc25880_WPSOffice_Level3"/>
    </w:p>
    <w:p w14:paraId="2FA79755">
      <w:pPr>
        <w:spacing w:line="360" w:lineRule="auto"/>
        <w:rPr>
          <w:sz w:val="24"/>
        </w:rPr>
      </w:pPr>
      <w:bookmarkStart w:id="91" w:name="_Toc9958"/>
      <w:bookmarkStart w:id="92" w:name="_Toc30041"/>
      <w:bookmarkStart w:id="93" w:name="_Toc30629"/>
      <w:r>
        <w:rPr>
          <w:rFonts w:hint="eastAsia"/>
          <w:sz w:val="24"/>
        </w:rPr>
        <w:t>一 营业执照</w:t>
      </w:r>
    </w:p>
    <w:p w14:paraId="4B655F36">
      <w:pPr>
        <w:spacing w:line="360" w:lineRule="auto"/>
        <w:rPr>
          <w:sz w:val="24"/>
        </w:rPr>
      </w:pPr>
      <w:r>
        <w:rPr>
          <w:rFonts w:hint="eastAsia"/>
          <w:sz w:val="24"/>
        </w:rPr>
        <w:t>二</w:t>
      </w:r>
      <w:r>
        <w:rPr>
          <w:sz w:val="24"/>
        </w:rPr>
        <w:t xml:space="preserve"> 法定代表人（分支机构负责人）身份证明或其授权委托书</w:t>
      </w:r>
      <w:bookmarkEnd w:id="89"/>
      <w:bookmarkEnd w:id="90"/>
      <w:bookmarkEnd w:id="91"/>
      <w:bookmarkEnd w:id="92"/>
      <w:bookmarkEnd w:id="93"/>
    </w:p>
    <w:p w14:paraId="0B027176">
      <w:pPr>
        <w:spacing w:line="360" w:lineRule="auto"/>
        <w:rPr>
          <w:sz w:val="24"/>
        </w:rPr>
      </w:pPr>
      <w:bookmarkStart w:id="94" w:name="_Toc27775"/>
      <w:bookmarkStart w:id="95" w:name="_Toc30089_WPSOffice_Level3"/>
      <w:bookmarkStart w:id="96" w:name="_Toc18864_WPSOffice_Level3"/>
      <w:bookmarkStart w:id="97" w:name="_Toc24867"/>
      <w:bookmarkStart w:id="98" w:name="_Toc28094"/>
      <w:r>
        <w:rPr>
          <w:rFonts w:hint="eastAsia"/>
          <w:sz w:val="24"/>
        </w:rPr>
        <w:t>三</w:t>
      </w:r>
      <w:r>
        <w:rPr>
          <w:sz w:val="24"/>
        </w:rPr>
        <w:t xml:space="preserve"> 参选人</w:t>
      </w:r>
      <w:bookmarkEnd w:id="94"/>
      <w:bookmarkEnd w:id="95"/>
      <w:bookmarkEnd w:id="96"/>
      <w:bookmarkEnd w:id="97"/>
      <w:bookmarkEnd w:id="98"/>
      <w:r>
        <w:rPr>
          <w:sz w:val="24"/>
        </w:rPr>
        <w:t>金融许可</w:t>
      </w:r>
    </w:p>
    <w:p w14:paraId="77C78358">
      <w:pPr>
        <w:spacing w:line="360" w:lineRule="auto"/>
        <w:rPr>
          <w:sz w:val="24"/>
        </w:rPr>
      </w:pPr>
      <w:r>
        <w:rPr>
          <w:rFonts w:hint="eastAsia"/>
          <w:sz w:val="24"/>
        </w:rPr>
        <w:t>四</w:t>
      </w:r>
      <w:r>
        <w:rPr>
          <w:sz w:val="24"/>
        </w:rPr>
        <w:t xml:space="preserve"> 参选承诺函</w:t>
      </w:r>
    </w:p>
    <w:p w14:paraId="3C06D21C">
      <w:pPr>
        <w:spacing w:line="360" w:lineRule="auto"/>
        <w:rPr>
          <w:sz w:val="24"/>
        </w:rPr>
        <w:sectPr>
          <w:pgSz w:w="11905" w:h="16838"/>
          <w:pgMar w:top="1440" w:right="1282" w:bottom="1440" w:left="1803" w:header="850" w:footer="992" w:gutter="0"/>
          <w:cols w:space="0" w:num="1"/>
          <w:docGrid w:type="lines" w:linePitch="325" w:charSpace="0"/>
        </w:sectPr>
      </w:pPr>
      <w:r>
        <w:rPr>
          <w:sz w:val="24"/>
        </w:rPr>
        <w:t>（参选人自行编制目录页码）</w:t>
      </w:r>
    </w:p>
    <w:p w14:paraId="6CB761D9">
      <w:pPr>
        <w:keepNext/>
        <w:keepLines/>
        <w:spacing w:line="360" w:lineRule="auto"/>
        <w:jc w:val="center"/>
        <w:outlineLvl w:val="1"/>
        <w:rPr>
          <w:b/>
          <w:bCs/>
          <w:kern w:val="0"/>
          <w:sz w:val="28"/>
          <w:szCs w:val="28"/>
        </w:rPr>
      </w:pPr>
      <w:bookmarkStart w:id="99" w:name="_Toc14693"/>
      <w:bookmarkStart w:id="100" w:name="_Toc23909"/>
      <w:bookmarkStart w:id="101" w:name="_Toc27050"/>
      <w:bookmarkStart w:id="102" w:name="_Toc9079"/>
      <w:bookmarkStart w:id="103" w:name="_Toc9174"/>
      <w:bookmarkStart w:id="104" w:name="_Toc26699"/>
      <w:bookmarkStart w:id="105" w:name="_Toc7825"/>
      <w:bookmarkStart w:id="106" w:name="_Toc23435"/>
      <w:bookmarkStart w:id="107" w:name="_Toc30555"/>
      <w:r>
        <w:rPr>
          <w:rFonts w:hint="eastAsia"/>
          <w:b/>
          <w:bCs/>
          <w:kern w:val="0"/>
          <w:sz w:val="28"/>
          <w:szCs w:val="28"/>
        </w:rPr>
        <w:t>一、 营业执照（其他组织证照）</w:t>
      </w:r>
    </w:p>
    <w:p w14:paraId="5231AE54">
      <w:pPr>
        <w:rPr>
          <w:b/>
          <w:bCs/>
          <w:kern w:val="0"/>
          <w:sz w:val="28"/>
          <w:szCs w:val="28"/>
        </w:rPr>
      </w:pPr>
      <w:r>
        <w:rPr>
          <w:rFonts w:hint="eastAsia"/>
          <w:b/>
          <w:bCs/>
          <w:kern w:val="0"/>
          <w:sz w:val="28"/>
          <w:szCs w:val="28"/>
        </w:rPr>
        <w:br w:type="page"/>
      </w:r>
    </w:p>
    <w:p w14:paraId="56F9A6F4">
      <w:pPr>
        <w:keepNext/>
        <w:keepLines/>
        <w:spacing w:line="360" w:lineRule="auto"/>
        <w:jc w:val="center"/>
        <w:outlineLvl w:val="1"/>
        <w:rPr>
          <w:b/>
          <w:bCs/>
          <w:kern w:val="0"/>
          <w:sz w:val="28"/>
          <w:szCs w:val="28"/>
        </w:rPr>
      </w:pPr>
      <w:r>
        <w:rPr>
          <w:rFonts w:hint="eastAsia"/>
          <w:b/>
          <w:bCs/>
          <w:kern w:val="0"/>
          <w:sz w:val="28"/>
          <w:szCs w:val="28"/>
        </w:rPr>
        <w:t>二、</w:t>
      </w:r>
      <w:r>
        <w:rPr>
          <w:b/>
          <w:bCs/>
          <w:kern w:val="0"/>
          <w:sz w:val="28"/>
          <w:szCs w:val="28"/>
        </w:rPr>
        <w:t>法定代表人（分支机构负责人）身份证明或其授权委托书</w:t>
      </w:r>
      <w:bookmarkEnd w:id="99"/>
      <w:bookmarkEnd w:id="100"/>
      <w:bookmarkEnd w:id="101"/>
      <w:bookmarkEnd w:id="102"/>
      <w:bookmarkEnd w:id="103"/>
      <w:bookmarkEnd w:id="104"/>
      <w:bookmarkEnd w:id="105"/>
      <w:bookmarkEnd w:id="106"/>
      <w:bookmarkEnd w:id="107"/>
    </w:p>
    <w:p w14:paraId="4286C1B2">
      <w:pPr>
        <w:spacing w:line="360" w:lineRule="auto"/>
        <w:jc w:val="center"/>
        <w:rPr>
          <w:b/>
          <w:bCs/>
          <w:sz w:val="24"/>
        </w:rPr>
      </w:pPr>
      <w:bookmarkStart w:id="108" w:name="_Toc16177"/>
      <w:bookmarkStart w:id="109" w:name="_Toc18350_WPSOffice_Level3"/>
      <w:bookmarkStart w:id="110" w:name="_Toc17327_WPSOffice_Level3"/>
      <w:r>
        <w:rPr>
          <w:b/>
          <w:bCs/>
          <w:sz w:val="24"/>
        </w:rPr>
        <w:t>（一）法定代表人（分支机构负责人）资格证明书</w:t>
      </w:r>
      <w:bookmarkEnd w:id="108"/>
      <w:bookmarkEnd w:id="109"/>
      <w:bookmarkEnd w:id="110"/>
    </w:p>
    <w:p w14:paraId="46C1A873">
      <w:pPr>
        <w:adjustRightInd w:val="0"/>
        <w:snapToGrid w:val="0"/>
        <w:spacing w:line="360" w:lineRule="auto"/>
        <w:ind w:firstLine="420" w:firstLineChars="200"/>
        <w:rPr>
          <w:szCs w:val="21"/>
        </w:rPr>
      </w:pPr>
    </w:p>
    <w:p w14:paraId="0E681501">
      <w:pPr>
        <w:adjustRightInd w:val="0"/>
        <w:snapToGrid w:val="0"/>
        <w:spacing w:line="360" w:lineRule="auto"/>
        <w:ind w:firstLine="480" w:firstLineChars="200"/>
        <w:rPr>
          <w:sz w:val="24"/>
        </w:rPr>
      </w:pPr>
      <w:r>
        <w:rPr>
          <w:sz w:val="24"/>
        </w:rPr>
        <w:t>参选人名称：</w:t>
      </w:r>
      <w:r>
        <w:rPr>
          <w:sz w:val="24"/>
          <w:u w:val="single"/>
        </w:rPr>
        <w:t xml:space="preserve">                                </w:t>
      </w:r>
    </w:p>
    <w:p w14:paraId="49FA76F1">
      <w:pPr>
        <w:adjustRightInd w:val="0"/>
        <w:snapToGrid w:val="0"/>
        <w:spacing w:line="360" w:lineRule="auto"/>
        <w:ind w:firstLine="480" w:firstLineChars="200"/>
        <w:rPr>
          <w:sz w:val="24"/>
        </w:rPr>
      </w:pPr>
    </w:p>
    <w:p w14:paraId="28B1E281">
      <w:pPr>
        <w:adjustRightInd w:val="0"/>
        <w:snapToGrid w:val="0"/>
        <w:spacing w:line="360" w:lineRule="auto"/>
        <w:ind w:firstLine="480" w:firstLineChars="200"/>
        <w:rPr>
          <w:sz w:val="24"/>
        </w:rPr>
      </w:pPr>
      <w:r>
        <w:rPr>
          <w:sz w:val="24"/>
        </w:rPr>
        <w:t>地址：</w:t>
      </w:r>
      <w:r>
        <w:rPr>
          <w:sz w:val="24"/>
          <w:u w:val="single"/>
        </w:rPr>
        <w:t xml:space="preserve">                                      </w:t>
      </w:r>
    </w:p>
    <w:p w14:paraId="4B4B385E">
      <w:pPr>
        <w:adjustRightInd w:val="0"/>
        <w:snapToGrid w:val="0"/>
        <w:spacing w:line="360" w:lineRule="auto"/>
        <w:ind w:firstLine="480" w:firstLineChars="200"/>
        <w:rPr>
          <w:sz w:val="24"/>
        </w:rPr>
      </w:pPr>
    </w:p>
    <w:p w14:paraId="1FBE4F42">
      <w:pPr>
        <w:adjustRightInd w:val="0"/>
        <w:snapToGrid w:val="0"/>
        <w:spacing w:line="360" w:lineRule="auto"/>
        <w:ind w:firstLine="480" w:firstLineChars="200"/>
        <w:rPr>
          <w:sz w:val="24"/>
        </w:rPr>
      </w:pPr>
      <w:r>
        <w:rPr>
          <w:sz w:val="24"/>
        </w:rPr>
        <w:t>姓名：</w:t>
      </w:r>
      <w:r>
        <w:rPr>
          <w:sz w:val="24"/>
          <w:u w:val="single"/>
        </w:rPr>
        <w:t xml:space="preserve">         </w:t>
      </w:r>
      <w:r>
        <w:rPr>
          <w:sz w:val="24"/>
        </w:rPr>
        <w:t>性别：</w:t>
      </w:r>
      <w:r>
        <w:rPr>
          <w:sz w:val="24"/>
          <w:u w:val="single"/>
        </w:rPr>
        <w:t xml:space="preserve">         </w:t>
      </w:r>
      <w:r>
        <w:rPr>
          <w:sz w:val="24"/>
        </w:rPr>
        <w:t>年龄：</w:t>
      </w:r>
      <w:r>
        <w:rPr>
          <w:sz w:val="24"/>
          <w:u w:val="single"/>
        </w:rPr>
        <w:t xml:space="preserve">         </w:t>
      </w:r>
      <w:r>
        <w:rPr>
          <w:sz w:val="24"/>
        </w:rPr>
        <w:t>职务：</w:t>
      </w:r>
      <w:r>
        <w:rPr>
          <w:sz w:val="24"/>
          <w:u w:val="single"/>
        </w:rPr>
        <w:t xml:space="preserve">           </w:t>
      </w:r>
    </w:p>
    <w:p w14:paraId="62F35A09">
      <w:pPr>
        <w:adjustRightInd w:val="0"/>
        <w:snapToGrid w:val="0"/>
        <w:spacing w:line="360" w:lineRule="auto"/>
        <w:ind w:firstLine="480" w:firstLineChars="200"/>
        <w:rPr>
          <w:sz w:val="24"/>
        </w:rPr>
      </w:pPr>
    </w:p>
    <w:p w14:paraId="2CD1FAEA">
      <w:pPr>
        <w:adjustRightInd w:val="0"/>
        <w:snapToGrid w:val="0"/>
        <w:spacing w:line="360" w:lineRule="auto"/>
        <w:ind w:firstLine="480" w:firstLineChars="200"/>
        <w:rPr>
          <w:sz w:val="24"/>
        </w:rPr>
      </w:pPr>
      <w:r>
        <w:rPr>
          <w:sz w:val="24"/>
        </w:rPr>
        <w:t>系</w:t>
      </w:r>
      <w:r>
        <w:rPr>
          <w:sz w:val="24"/>
          <w:u w:val="single"/>
        </w:rPr>
        <w:t xml:space="preserve">     （参选人名称）      </w:t>
      </w:r>
      <w:r>
        <w:rPr>
          <w:sz w:val="24"/>
        </w:rPr>
        <w:t>的法定代表人（分支机构负责人）。</w:t>
      </w:r>
    </w:p>
    <w:p w14:paraId="0E93AF37">
      <w:pPr>
        <w:adjustRightInd w:val="0"/>
        <w:snapToGrid w:val="0"/>
        <w:spacing w:line="360" w:lineRule="auto"/>
        <w:ind w:firstLine="480" w:firstLineChars="200"/>
        <w:rPr>
          <w:sz w:val="24"/>
        </w:rPr>
      </w:pPr>
    </w:p>
    <w:p w14:paraId="52B57A0A">
      <w:pPr>
        <w:adjustRightInd w:val="0"/>
        <w:snapToGrid w:val="0"/>
        <w:spacing w:line="360" w:lineRule="auto"/>
        <w:ind w:firstLine="480" w:firstLineChars="200"/>
        <w:rPr>
          <w:sz w:val="24"/>
        </w:rPr>
      </w:pPr>
      <w:r>
        <w:rPr>
          <w:sz w:val="24"/>
        </w:rPr>
        <w:t>特此证明。</w:t>
      </w:r>
    </w:p>
    <w:p w14:paraId="1717C028">
      <w:pPr>
        <w:adjustRightInd w:val="0"/>
        <w:snapToGrid w:val="0"/>
        <w:spacing w:line="360" w:lineRule="auto"/>
        <w:ind w:firstLine="480" w:firstLineChars="200"/>
        <w:rPr>
          <w:sz w:val="24"/>
        </w:rPr>
      </w:pPr>
    </w:p>
    <w:p w14:paraId="05336EF0">
      <w:pPr>
        <w:adjustRightInd w:val="0"/>
        <w:snapToGrid w:val="0"/>
        <w:spacing w:line="360" w:lineRule="auto"/>
        <w:ind w:firstLine="480" w:firstLineChars="200"/>
        <w:rPr>
          <w:sz w:val="24"/>
        </w:rPr>
      </w:pPr>
    </w:p>
    <w:p w14:paraId="2133ADB4">
      <w:pPr>
        <w:adjustRightInd w:val="0"/>
        <w:snapToGrid w:val="0"/>
        <w:spacing w:line="360" w:lineRule="auto"/>
        <w:ind w:firstLine="480" w:firstLineChars="200"/>
        <w:rPr>
          <w:sz w:val="24"/>
        </w:rPr>
      </w:pPr>
    </w:p>
    <w:p w14:paraId="569B94ED">
      <w:pPr>
        <w:adjustRightInd w:val="0"/>
        <w:snapToGrid w:val="0"/>
        <w:spacing w:line="360" w:lineRule="auto"/>
        <w:ind w:firstLine="480" w:firstLineChars="200"/>
        <w:rPr>
          <w:sz w:val="24"/>
        </w:rPr>
      </w:pPr>
    </w:p>
    <w:p w14:paraId="29AD2D54">
      <w:pPr>
        <w:adjustRightInd w:val="0"/>
        <w:snapToGrid w:val="0"/>
        <w:spacing w:line="360" w:lineRule="auto"/>
        <w:ind w:firstLine="480" w:firstLineChars="200"/>
        <w:rPr>
          <w:sz w:val="24"/>
        </w:rPr>
      </w:pPr>
      <w:r>
        <w:rPr>
          <w:sz w:val="24"/>
        </w:rPr>
        <w:t>参选人：（盖章）</w:t>
      </w:r>
    </w:p>
    <w:p w14:paraId="73B0B233">
      <w:pPr>
        <w:adjustRightInd w:val="0"/>
        <w:snapToGrid w:val="0"/>
        <w:spacing w:line="360" w:lineRule="auto"/>
        <w:ind w:firstLine="480" w:firstLineChars="200"/>
        <w:rPr>
          <w:sz w:val="24"/>
        </w:rPr>
      </w:pPr>
    </w:p>
    <w:p w14:paraId="5CB141B1">
      <w:pPr>
        <w:adjustRightInd w:val="0"/>
        <w:snapToGrid w:val="0"/>
        <w:spacing w:line="360" w:lineRule="auto"/>
        <w:ind w:firstLine="480" w:firstLineChars="200"/>
        <w:rPr>
          <w:sz w:val="24"/>
        </w:rPr>
      </w:pPr>
      <w:r>
        <w:rPr>
          <w:sz w:val="24"/>
        </w:rPr>
        <w:t xml:space="preserve">法定代表人（分支机构负责人）：（签字）                            </w:t>
      </w:r>
    </w:p>
    <w:p w14:paraId="17320430">
      <w:pPr>
        <w:adjustRightInd w:val="0"/>
        <w:snapToGrid w:val="0"/>
        <w:spacing w:line="360" w:lineRule="auto"/>
        <w:ind w:firstLine="480" w:firstLineChars="200"/>
        <w:rPr>
          <w:sz w:val="24"/>
        </w:rPr>
      </w:pPr>
    </w:p>
    <w:p w14:paraId="74D75397">
      <w:pPr>
        <w:adjustRightInd w:val="0"/>
        <w:snapToGrid w:val="0"/>
        <w:spacing w:line="360" w:lineRule="auto"/>
        <w:ind w:firstLine="480" w:firstLineChars="2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3AEC3DE">
      <w:pPr>
        <w:adjustRightInd w:val="0"/>
        <w:snapToGrid w:val="0"/>
        <w:spacing w:line="360" w:lineRule="auto"/>
        <w:ind w:firstLine="480" w:firstLineChars="200"/>
        <w:rPr>
          <w:sz w:val="24"/>
        </w:rPr>
      </w:pPr>
    </w:p>
    <w:tbl>
      <w:tblPr>
        <w:tblStyle w:val="16"/>
        <w:tblpPr w:leftFromText="180" w:rightFromText="180" w:vertAnchor="text" w:tblpX="540" w:tblpY="3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0"/>
      </w:tblGrid>
      <w:tr w14:paraId="7FB8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8570" w:type="dxa"/>
          </w:tcPr>
          <w:p w14:paraId="629CC070">
            <w:pPr>
              <w:topLinePunct/>
              <w:adjustRightInd w:val="0"/>
              <w:snapToGrid w:val="0"/>
              <w:spacing w:line="360" w:lineRule="auto"/>
              <w:ind w:firstLine="482" w:firstLineChars="200"/>
              <w:rPr>
                <w:b/>
                <w:bCs/>
                <w:sz w:val="24"/>
              </w:rPr>
            </w:pPr>
          </w:p>
          <w:p w14:paraId="328F69A5">
            <w:pPr>
              <w:topLinePunct/>
              <w:adjustRightInd w:val="0"/>
              <w:snapToGrid w:val="0"/>
              <w:spacing w:line="360" w:lineRule="auto"/>
              <w:ind w:firstLine="482" w:firstLineChars="200"/>
              <w:rPr>
                <w:b/>
                <w:bCs/>
                <w:sz w:val="24"/>
              </w:rPr>
            </w:pPr>
          </w:p>
          <w:p w14:paraId="42D4BA6E">
            <w:pPr>
              <w:topLinePunct/>
              <w:adjustRightInd w:val="0"/>
              <w:snapToGrid w:val="0"/>
              <w:spacing w:line="360" w:lineRule="auto"/>
              <w:ind w:firstLine="482" w:firstLineChars="200"/>
              <w:rPr>
                <w:b/>
                <w:bCs/>
                <w:sz w:val="24"/>
              </w:rPr>
            </w:pPr>
          </w:p>
          <w:p w14:paraId="7600DF7B">
            <w:pPr>
              <w:topLinePunct/>
              <w:adjustRightInd w:val="0"/>
              <w:snapToGrid w:val="0"/>
              <w:spacing w:line="360" w:lineRule="auto"/>
              <w:ind w:firstLine="482" w:firstLineChars="200"/>
              <w:rPr>
                <w:b/>
                <w:bCs/>
                <w:sz w:val="24"/>
              </w:rPr>
            </w:pPr>
            <w:r>
              <w:rPr>
                <w:b/>
                <w:bCs/>
                <w:sz w:val="24"/>
              </w:rPr>
              <w:t>法定代表人（分支机构负责人）身份证双面复印件</w:t>
            </w:r>
            <w:r>
              <w:rPr>
                <w:rFonts w:hint="eastAsia"/>
                <w:b/>
                <w:bCs/>
                <w:sz w:val="24"/>
              </w:rPr>
              <w:t>或扫描打印件</w:t>
            </w:r>
            <w:r>
              <w:rPr>
                <w:b/>
                <w:bCs/>
                <w:sz w:val="24"/>
              </w:rPr>
              <w:t>。</w:t>
            </w:r>
          </w:p>
          <w:p w14:paraId="1A8A6381">
            <w:pPr>
              <w:adjustRightInd w:val="0"/>
              <w:snapToGrid w:val="0"/>
              <w:spacing w:line="360" w:lineRule="auto"/>
              <w:rPr>
                <w:sz w:val="24"/>
              </w:rPr>
            </w:pPr>
          </w:p>
          <w:p w14:paraId="4A17FC0B">
            <w:pPr>
              <w:adjustRightInd w:val="0"/>
              <w:snapToGrid w:val="0"/>
              <w:spacing w:line="360" w:lineRule="auto"/>
              <w:rPr>
                <w:sz w:val="24"/>
              </w:rPr>
            </w:pPr>
          </w:p>
          <w:p w14:paraId="152D03F8">
            <w:pPr>
              <w:adjustRightInd w:val="0"/>
              <w:snapToGrid w:val="0"/>
              <w:spacing w:line="360" w:lineRule="auto"/>
              <w:rPr>
                <w:sz w:val="24"/>
              </w:rPr>
            </w:pPr>
          </w:p>
          <w:p w14:paraId="7AFE0FFD">
            <w:pPr>
              <w:adjustRightInd w:val="0"/>
              <w:snapToGrid w:val="0"/>
              <w:spacing w:line="360" w:lineRule="auto"/>
              <w:rPr>
                <w:sz w:val="24"/>
              </w:rPr>
            </w:pPr>
          </w:p>
        </w:tc>
      </w:tr>
    </w:tbl>
    <w:p w14:paraId="6062C17D">
      <w:pPr>
        <w:adjustRightInd w:val="0"/>
        <w:snapToGrid w:val="0"/>
        <w:spacing w:line="360" w:lineRule="auto"/>
        <w:ind w:firstLine="480" w:firstLineChars="200"/>
        <w:rPr>
          <w:sz w:val="24"/>
        </w:rPr>
      </w:pPr>
    </w:p>
    <w:p w14:paraId="47A5BCBD">
      <w:pPr>
        <w:spacing w:line="360" w:lineRule="auto"/>
        <w:jc w:val="center"/>
        <w:rPr>
          <w:b/>
          <w:sz w:val="24"/>
        </w:rPr>
      </w:pPr>
      <w:bookmarkStart w:id="111" w:name="_Toc2932_WPSOffice_Level3"/>
      <w:bookmarkStart w:id="112" w:name="_Toc21175_WPSOffice_Level3"/>
      <w:bookmarkStart w:id="113" w:name="_Toc6119"/>
      <w:r>
        <w:rPr>
          <w:b/>
          <w:sz w:val="24"/>
        </w:rPr>
        <w:t>（二）法定代表人（分支机构负责人）授权委托书</w:t>
      </w:r>
      <w:bookmarkEnd w:id="111"/>
      <w:bookmarkEnd w:id="112"/>
      <w:bookmarkEnd w:id="113"/>
    </w:p>
    <w:p w14:paraId="77C8A9D0">
      <w:pPr>
        <w:spacing w:line="360" w:lineRule="auto"/>
        <w:rPr>
          <w:b/>
          <w:sz w:val="24"/>
        </w:rPr>
      </w:pPr>
      <w:r>
        <w:rPr>
          <w:b/>
          <w:sz w:val="24"/>
        </w:rPr>
        <w:t>致：南通轨道交通集团有限公司</w:t>
      </w:r>
    </w:p>
    <w:p w14:paraId="6827933C">
      <w:pPr>
        <w:spacing w:line="360" w:lineRule="auto"/>
        <w:ind w:firstLine="480" w:firstLineChars="200"/>
        <w:rPr>
          <w:sz w:val="24"/>
        </w:rPr>
      </w:pPr>
      <w:r>
        <w:rPr>
          <w:sz w:val="24"/>
        </w:rPr>
        <w:t>本授权委托书声明：</w:t>
      </w:r>
    </w:p>
    <w:p w14:paraId="51485C9B">
      <w:pPr>
        <w:spacing w:line="360" w:lineRule="auto"/>
        <w:ind w:firstLine="480" w:firstLineChars="200"/>
        <w:rPr>
          <w:sz w:val="24"/>
        </w:rPr>
      </w:pPr>
      <w:r>
        <w:rPr>
          <w:sz w:val="24"/>
        </w:rPr>
        <w:t>我</w:t>
      </w:r>
      <w:r>
        <w:rPr>
          <w:sz w:val="24"/>
          <w:u w:val="single"/>
        </w:rPr>
        <w:t xml:space="preserve">        </w:t>
      </w:r>
      <w:r>
        <w:rPr>
          <w:sz w:val="24"/>
        </w:rPr>
        <w:t>（姓名），系</w:t>
      </w:r>
      <w:r>
        <w:rPr>
          <w:sz w:val="24"/>
          <w:u w:val="single"/>
        </w:rPr>
        <w:t xml:space="preserve">            </w:t>
      </w:r>
      <w:r>
        <w:rPr>
          <w:sz w:val="24"/>
        </w:rPr>
        <w:t>（参选人名称）的法定代表人（分支机构负责人），现授权委托</w:t>
      </w:r>
      <w:r>
        <w:rPr>
          <w:sz w:val="24"/>
          <w:u w:val="single"/>
        </w:rPr>
        <w:t xml:space="preserve">        </w:t>
      </w:r>
      <w:r>
        <w:rPr>
          <w:sz w:val="24"/>
        </w:rPr>
        <w:t>（姓名）为我公司授权的合法代理人，以本公司的名义参加南通轨道交通集团有限公司2025-2026年度灵活资金存放银行合作项目比选参选活动。</w:t>
      </w:r>
    </w:p>
    <w:p w14:paraId="60159128">
      <w:pPr>
        <w:spacing w:line="360" w:lineRule="auto"/>
        <w:ind w:firstLine="480" w:firstLineChars="200"/>
        <w:rPr>
          <w:sz w:val="24"/>
        </w:rPr>
      </w:pPr>
      <w:r>
        <w:rPr>
          <w:sz w:val="24"/>
        </w:rPr>
        <w:t>委托代理人在开标、评标、合同谈判和合同签署过程中所签署的一切文件和处理与之有关的一切事务，我均予以承认。</w:t>
      </w:r>
    </w:p>
    <w:p w14:paraId="366E861F">
      <w:pPr>
        <w:spacing w:line="360" w:lineRule="auto"/>
        <w:ind w:firstLine="480" w:firstLineChars="200"/>
        <w:rPr>
          <w:sz w:val="24"/>
        </w:rPr>
      </w:pPr>
      <w:r>
        <w:rPr>
          <w:sz w:val="24"/>
        </w:rPr>
        <w:t>本委托书的有效期限为</w:t>
      </w:r>
      <w:r>
        <w:rPr>
          <w:sz w:val="24"/>
          <w:u w:val="single"/>
        </w:rPr>
        <w:t>自即日起至       日止</w:t>
      </w:r>
      <w:r>
        <w:rPr>
          <w:sz w:val="24"/>
        </w:rPr>
        <w:t>。</w:t>
      </w:r>
    </w:p>
    <w:p w14:paraId="491C1DE4">
      <w:pPr>
        <w:spacing w:line="360" w:lineRule="auto"/>
        <w:ind w:firstLine="480" w:firstLineChars="200"/>
        <w:rPr>
          <w:sz w:val="24"/>
        </w:rPr>
      </w:pPr>
      <w:r>
        <w:rPr>
          <w:sz w:val="24"/>
        </w:rPr>
        <w:t>特此委托，此委托无转委托权。</w:t>
      </w:r>
    </w:p>
    <w:tbl>
      <w:tblPr>
        <w:tblStyle w:val="16"/>
        <w:tblpPr w:leftFromText="180" w:rightFromText="180" w:vertAnchor="text" w:tblpX="270" w:tblpY="3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0"/>
      </w:tblGrid>
      <w:tr w14:paraId="3CBC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8630" w:type="dxa"/>
          </w:tcPr>
          <w:p w14:paraId="56B38A5F">
            <w:pPr>
              <w:topLinePunct/>
              <w:adjustRightInd w:val="0"/>
              <w:snapToGrid w:val="0"/>
              <w:spacing w:line="360" w:lineRule="auto"/>
              <w:ind w:firstLine="482" w:firstLineChars="200"/>
              <w:rPr>
                <w:b/>
                <w:bCs/>
                <w:sz w:val="24"/>
              </w:rPr>
            </w:pPr>
          </w:p>
          <w:p w14:paraId="40D0307C">
            <w:pPr>
              <w:topLinePunct/>
              <w:adjustRightInd w:val="0"/>
              <w:snapToGrid w:val="0"/>
              <w:spacing w:line="360" w:lineRule="auto"/>
              <w:ind w:firstLine="482" w:firstLineChars="200"/>
              <w:rPr>
                <w:b/>
                <w:bCs/>
                <w:sz w:val="24"/>
              </w:rPr>
            </w:pPr>
          </w:p>
          <w:p w14:paraId="0DE0D3F3">
            <w:pPr>
              <w:topLinePunct/>
              <w:adjustRightInd w:val="0"/>
              <w:snapToGrid w:val="0"/>
              <w:spacing w:line="360" w:lineRule="auto"/>
              <w:ind w:firstLine="482" w:firstLineChars="200"/>
              <w:rPr>
                <w:b/>
                <w:bCs/>
                <w:sz w:val="24"/>
              </w:rPr>
            </w:pPr>
            <w:r>
              <w:rPr>
                <w:rFonts w:hint="eastAsia"/>
                <w:b/>
                <w:bCs/>
                <w:sz w:val="24"/>
              </w:rPr>
              <w:t>委托代理人</w:t>
            </w:r>
            <w:r>
              <w:rPr>
                <w:b/>
                <w:bCs/>
                <w:sz w:val="24"/>
              </w:rPr>
              <w:t>身份证双面复印件</w:t>
            </w:r>
            <w:r>
              <w:rPr>
                <w:rFonts w:hint="eastAsia"/>
                <w:b/>
                <w:bCs/>
                <w:sz w:val="24"/>
              </w:rPr>
              <w:t>或扫描打印件</w:t>
            </w:r>
            <w:r>
              <w:rPr>
                <w:b/>
                <w:bCs/>
                <w:sz w:val="24"/>
              </w:rPr>
              <w:t>。</w:t>
            </w:r>
          </w:p>
          <w:p w14:paraId="052FCF06">
            <w:pPr>
              <w:adjustRightInd w:val="0"/>
              <w:snapToGrid w:val="0"/>
              <w:spacing w:line="360" w:lineRule="auto"/>
              <w:rPr>
                <w:sz w:val="24"/>
              </w:rPr>
            </w:pPr>
          </w:p>
          <w:p w14:paraId="1625C012">
            <w:pPr>
              <w:adjustRightInd w:val="0"/>
              <w:snapToGrid w:val="0"/>
              <w:spacing w:line="360" w:lineRule="auto"/>
              <w:rPr>
                <w:sz w:val="24"/>
              </w:rPr>
            </w:pPr>
          </w:p>
          <w:p w14:paraId="4146306E">
            <w:pPr>
              <w:adjustRightInd w:val="0"/>
              <w:snapToGrid w:val="0"/>
              <w:spacing w:line="360" w:lineRule="auto"/>
              <w:rPr>
                <w:sz w:val="24"/>
              </w:rPr>
            </w:pPr>
          </w:p>
        </w:tc>
      </w:tr>
    </w:tbl>
    <w:p w14:paraId="3130D8D1">
      <w:pPr>
        <w:spacing w:line="360" w:lineRule="auto"/>
        <w:ind w:firstLine="480" w:firstLineChars="200"/>
        <w:rPr>
          <w:sz w:val="24"/>
        </w:rPr>
      </w:pPr>
    </w:p>
    <w:p w14:paraId="39FAA5DD">
      <w:pPr>
        <w:pStyle w:val="6"/>
        <w:spacing w:line="360" w:lineRule="auto"/>
        <w:ind w:left="0" w:firstLine="480" w:firstLineChars="200"/>
        <w:rPr>
          <w:rFonts w:ascii="Times New Roman" w:eastAsia="宋体"/>
          <w:sz w:val="24"/>
          <w:szCs w:val="24"/>
        </w:rPr>
      </w:pPr>
      <w:r>
        <w:rPr>
          <w:rFonts w:ascii="Times New Roman" w:eastAsia="宋体"/>
          <w:sz w:val="24"/>
          <w:szCs w:val="24"/>
        </w:rPr>
        <w:t>参选人：</w:t>
      </w:r>
      <w:r>
        <w:rPr>
          <w:rFonts w:ascii="Times New Roman" w:eastAsia="宋体"/>
          <w:sz w:val="24"/>
          <w:szCs w:val="24"/>
          <w:u w:val="single"/>
        </w:rPr>
        <w:t xml:space="preserve">                           （盖章）</w:t>
      </w:r>
    </w:p>
    <w:p w14:paraId="5FB9E441">
      <w:pPr>
        <w:pStyle w:val="6"/>
        <w:spacing w:line="360" w:lineRule="auto"/>
        <w:ind w:left="0" w:firstLine="480" w:firstLineChars="200"/>
        <w:rPr>
          <w:rFonts w:ascii="Times New Roman" w:eastAsia="宋体"/>
          <w:sz w:val="24"/>
          <w:szCs w:val="24"/>
          <w:u w:val="single"/>
        </w:rPr>
      </w:pPr>
      <w:r>
        <w:rPr>
          <w:rFonts w:ascii="Times New Roman" w:eastAsia="宋体"/>
          <w:sz w:val="24"/>
          <w:szCs w:val="24"/>
        </w:rPr>
        <w:t>法定代表人（分支机构负责人）：</w:t>
      </w:r>
      <w:r>
        <w:rPr>
          <w:rFonts w:ascii="Times New Roman" w:eastAsia="宋体"/>
          <w:sz w:val="24"/>
          <w:szCs w:val="24"/>
          <w:u w:val="single"/>
        </w:rPr>
        <w:t xml:space="preserve">                 （签字或盖章）</w:t>
      </w:r>
    </w:p>
    <w:p w14:paraId="79766AB3">
      <w:pPr>
        <w:pStyle w:val="6"/>
        <w:spacing w:line="360" w:lineRule="auto"/>
        <w:ind w:left="0" w:firstLine="480" w:firstLineChars="200"/>
        <w:rPr>
          <w:rFonts w:ascii="Times New Roman" w:eastAsia="宋体"/>
          <w:sz w:val="24"/>
          <w:szCs w:val="24"/>
        </w:rPr>
      </w:pPr>
      <w:r>
        <w:rPr>
          <w:rFonts w:ascii="Times New Roman" w:eastAsia="宋体"/>
          <w:sz w:val="24"/>
          <w:szCs w:val="24"/>
        </w:rPr>
        <w:t>身份证号码：</w:t>
      </w:r>
      <w:r>
        <w:rPr>
          <w:rFonts w:ascii="Times New Roman" w:eastAsia="宋体"/>
          <w:sz w:val="24"/>
          <w:szCs w:val="24"/>
          <w:u w:val="single"/>
        </w:rPr>
        <w:t xml:space="preserve">                               </w:t>
      </w:r>
    </w:p>
    <w:p w14:paraId="4EE8541B">
      <w:pPr>
        <w:pStyle w:val="6"/>
        <w:spacing w:line="360" w:lineRule="auto"/>
        <w:ind w:left="0" w:firstLine="480" w:firstLineChars="200"/>
        <w:rPr>
          <w:rFonts w:ascii="Times New Roman" w:eastAsia="宋体"/>
          <w:sz w:val="24"/>
          <w:szCs w:val="24"/>
        </w:rPr>
      </w:pPr>
      <w:r>
        <w:rPr>
          <w:rFonts w:ascii="Times New Roman" w:eastAsia="宋体"/>
          <w:sz w:val="24"/>
          <w:szCs w:val="24"/>
        </w:rPr>
        <w:t>委托代理人：</w:t>
      </w:r>
      <w:r>
        <w:rPr>
          <w:rFonts w:ascii="Times New Roman" w:eastAsia="宋体"/>
          <w:sz w:val="24"/>
          <w:szCs w:val="24"/>
          <w:u w:val="single"/>
        </w:rPr>
        <w:t xml:space="preserve">                 （签字或盖章）</w:t>
      </w:r>
    </w:p>
    <w:p w14:paraId="41EF6C0C">
      <w:pPr>
        <w:pStyle w:val="6"/>
        <w:spacing w:line="360" w:lineRule="auto"/>
        <w:ind w:left="0" w:firstLine="480" w:firstLineChars="200"/>
        <w:rPr>
          <w:rFonts w:ascii="Times New Roman" w:eastAsia="宋体"/>
          <w:sz w:val="24"/>
          <w:szCs w:val="24"/>
        </w:rPr>
      </w:pPr>
      <w:r>
        <w:rPr>
          <w:rFonts w:ascii="Times New Roman" w:eastAsia="宋体"/>
          <w:sz w:val="24"/>
          <w:szCs w:val="24"/>
        </w:rPr>
        <w:t>身份证号码：</w:t>
      </w:r>
      <w:r>
        <w:rPr>
          <w:rFonts w:ascii="Times New Roman" w:eastAsia="宋体"/>
          <w:sz w:val="24"/>
          <w:szCs w:val="24"/>
          <w:u w:val="single"/>
        </w:rPr>
        <w:t xml:space="preserve">                               </w:t>
      </w:r>
    </w:p>
    <w:p w14:paraId="1910D2D7">
      <w:pPr>
        <w:pStyle w:val="6"/>
        <w:spacing w:line="360" w:lineRule="auto"/>
        <w:ind w:left="0" w:firstLine="480" w:firstLineChars="200"/>
        <w:rPr>
          <w:rFonts w:ascii="Times New Roman" w:eastAsia="宋体"/>
          <w:sz w:val="24"/>
          <w:szCs w:val="24"/>
        </w:rPr>
      </w:pPr>
      <w:r>
        <w:rPr>
          <w:rFonts w:ascii="Times New Roman" w:eastAsia="宋体"/>
          <w:sz w:val="24"/>
          <w:szCs w:val="24"/>
        </w:rPr>
        <w:t>委托代理人联系方式：</w:t>
      </w:r>
      <w:r>
        <w:rPr>
          <w:rFonts w:ascii="Times New Roman" w:eastAsia="宋体"/>
          <w:sz w:val="24"/>
          <w:szCs w:val="24"/>
          <w:u w:val="single"/>
        </w:rPr>
        <w:t xml:space="preserve">                       </w:t>
      </w:r>
    </w:p>
    <w:p w14:paraId="35754AB6">
      <w:pPr>
        <w:pStyle w:val="6"/>
        <w:spacing w:line="360" w:lineRule="auto"/>
        <w:ind w:left="0" w:firstLine="480" w:firstLineChars="200"/>
        <w:rPr>
          <w:rFonts w:ascii="Times New Roman" w:eastAsia="宋体"/>
          <w:sz w:val="24"/>
          <w:szCs w:val="24"/>
        </w:rPr>
      </w:pPr>
      <w:r>
        <w:rPr>
          <w:rFonts w:ascii="Times New Roman" w:eastAsia="宋体"/>
          <w:sz w:val="24"/>
          <w:szCs w:val="24"/>
        </w:rPr>
        <w:t>日      期：</w:t>
      </w:r>
      <w:r>
        <w:rPr>
          <w:rFonts w:ascii="Times New Roman" w:eastAsia="宋体"/>
          <w:sz w:val="24"/>
          <w:szCs w:val="24"/>
          <w:u w:val="single"/>
        </w:rPr>
        <w:t xml:space="preserve">       </w:t>
      </w:r>
      <w:r>
        <w:rPr>
          <w:rFonts w:ascii="Times New Roman" w:eastAsia="宋体"/>
          <w:sz w:val="24"/>
          <w:szCs w:val="24"/>
        </w:rPr>
        <w:t>年</w:t>
      </w:r>
      <w:r>
        <w:rPr>
          <w:rFonts w:ascii="Times New Roman" w:eastAsia="宋体"/>
          <w:sz w:val="24"/>
          <w:szCs w:val="24"/>
          <w:u w:val="single"/>
        </w:rPr>
        <w:t xml:space="preserve">      </w:t>
      </w:r>
      <w:r>
        <w:rPr>
          <w:rFonts w:ascii="Times New Roman" w:eastAsia="宋体"/>
          <w:sz w:val="24"/>
          <w:szCs w:val="24"/>
        </w:rPr>
        <w:t>月</w:t>
      </w:r>
      <w:r>
        <w:rPr>
          <w:rFonts w:ascii="Times New Roman" w:eastAsia="宋体"/>
          <w:sz w:val="24"/>
          <w:szCs w:val="24"/>
          <w:u w:val="single"/>
        </w:rPr>
        <w:t xml:space="preserve">     </w:t>
      </w:r>
      <w:r>
        <w:rPr>
          <w:rFonts w:ascii="Times New Roman" w:eastAsia="宋体"/>
          <w:sz w:val="24"/>
          <w:szCs w:val="24"/>
        </w:rPr>
        <w:t>日</w:t>
      </w:r>
    </w:p>
    <w:p w14:paraId="6FC00254">
      <w:pPr>
        <w:adjustRightInd w:val="0"/>
        <w:spacing w:line="360" w:lineRule="auto"/>
        <w:ind w:firstLine="420" w:firstLineChars="200"/>
        <w:textAlignment w:val="baseline"/>
        <w:rPr>
          <w:szCs w:val="21"/>
        </w:rPr>
      </w:pPr>
    </w:p>
    <w:p w14:paraId="34264508">
      <w:pPr>
        <w:pStyle w:val="6"/>
        <w:adjustRightInd w:val="0"/>
        <w:snapToGrid w:val="0"/>
        <w:ind w:left="0" w:firstLine="422" w:firstLineChars="200"/>
        <w:rPr>
          <w:rFonts w:ascii="Times New Roman" w:eastAsia="宋体"/>
          <w:b/>
          <w:sz w:val="21"/>
          <w:szCs w:val="21"/>
        </w:rPr>
      </w:pPr>
      <w:r>
        <w:rPr>
          <w:rFonts w:ascii="Times New Roman" w:eastAsia="宋体"/>
          <w:b/>
          <w:sz w:val="21"/>
          <w:szCs w:val="21"/>
        </w:rPr>
        <w:t>说明：如参选人由法定代表人（分支机构负责人）亲自签署参选文件并参与相关活动，则不需办理授权。如由被授权的代理人签署上述文件，则必须按本格式规定办理授权书。</w:t>
      </w:r>
    </w:p>
    <w:p w14:paraId="3B3308C4">
      <w:pPr>
        <w:keepNext/>
        <w:keepLines/>
        <w:spacing w:line="360" w:lineRule="auto"/>
        <w:jc w:val="center"/>
        <w:outlineLvl w:val="1"/>
        <w:rPr>
          <w:b/>
          <w:bCs/>
          <w:kern w:val="0"/>
          <w:sz w:val="32"/>
          <w:szCs w:val="32"/>
        </w:rPr>
      </w:pPr>
      <w:r>
        <w:rPr>
          <w:b/>
          <w:bCs/>
          <w:kern w:val="0"/>
          <w:sz w:val="24"/>
          <w:szCs w:val="32"/>
        </w:rPr>
        <w:br w:type="page"/>
      </w:r>
      <w:bookmarkStart w:id="114" w:name="_Toc9468"/>
      <w:bookmarkStart w:id="115" w:name="_Toc13358"/>
      <w:bookmarkStart w:id="116" w:name="_Toc24057"/>
      <w:bookmarkStart w:id="117" w:name="_Toc31010_WPSOffice_Level2"/>
      <w:bookmarkStart w:id="118" w:name="_Toc25409"/>
      <w:bookmarkStart w:id="119" w:name="_Toc3758"/>
      <w:bookmarkStart w:id="120" w:name="_Toc21962"/>
      <w:bookmarkStart w:id="121" w:name="_Toc12537"/>
      <w:bookmarkStart w:id="122" w:name="_Toc29270"/>
      <w:bookmarkStart w:id="123" w:name="_Toc11305"/>
      <w:bookmarkStart w:id="124" w:name="_Toc26036"/>
      <w:bookmarkStart w:id="125" w:name="_Toc21531"/>
      <w:bookmarkStart w:id="126" w:name="_Toc12549"/>
      <w:bookmarkStart w:id="127" w:name="_Toc22478"/>
      <w:bookmarkStart w:id="128" w:name="_Toc25701"/>
      <w:bookmarkStart w:id="129" w:name="_Toc30751"/>
      <w:bookmarkStart w:id="130" w:name="_Toc2356"/>
      <w:r>
        <w:rPr>
          <w:rFonts w:hint="eastAsia"/>
          <w:b/>
          <w:bCs/>
          <w:kern w:val="0"/>
          <w:sz w:val="32"/>
          <w:szCs w:val="32"/>
        </w:rPr>
        <w:t>三、</w:t>
      </w:r>
      <w:r>
        <w:rPr>
          <w:b/>
          <w:bCs/>
          <w:kern w:val="0"/>
          <w:sz w:val="32"/>
          <w:szCs w:val="32"/>
        </w:rPr>
        <w:t>参选</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b/>
          <w:bCs/>
          <w:kern w:val="0"/>
          <w:sz w:val="32"/>
          <w:szCs w:val="32"/>
        </w:rPr>
        <w:t>人金融许可</w:t>
      </w:r>
    </w:p>
    <w:p w14:paraId="2FE41E45">
      <w:pPr>
        <w:spacing w:line="360" w:lineRule="auto"/>
        <w:rPr>
          <w:b/>
          <w:bCs/>
          <w:kern w:val="0"/>
          <w:sz w:val="32"/>
          <w:szCs w:val="32"/>
        </w:rPr>
      </w:pPr>
      <w:r>
        <w:rPr>
          <w:b/>
          <w:bCs/>
          <w:kern w:val="0"/>
          <w:sz w:val="32"/>
          <w:szCs w:val="32"/>
        </w:rPr>
        <w:br w:type="page"/>
      </w:r>
    </w:p>
    <w:p w14:paraId="5D6A1974">
      <w:pPr>
        <w:keepNext/>
        <w:keepLines/>
        <w:spacing w:line="360" w:lineRule="auto"/>
        <w:jc w:val="center"/>
        <w:outlineLvl w:val="1"/>
        <w:rPr>
          <w:b/>
          <w:bCs/>
          <w:kern w:val="0"/>
          <w:sz w:val="32"/>
          <w:szCs w:val="28"/>
        </w:rPr>
      </w:pPr>
      <w:r>
        <w:rPr>
          <w:rFonts w:hint="eastAsia"/>
          <w:b/>
          <w:bCs/>
          <w:kern w:val="0"/>
          <w:sz w:val="32"/>
          <w:szCs w:val="32"/>
        </w:rPr>
        <w:t>四、</w:t>
      </w:r>
      <w:r>
        <w:rPr>
          <w:b/>
          <w:bCs/>
          <w:kern w:val="0"/>
          <w:sz w:val="32"/>
          <w:szCs w:val="32"/>
        </w:rPr>
        <w:t>参选承诺书</w:t>
      </w:r>
    </w:p>
    <w:p w14:paraId="4A5F4F8E">
      <w:pPr>
        <w:pStyle w:val="25"/>
        <w:ind w:left="0" w:leftChars="0" w:firstLine="0" w:firstLineChars="0"/>
        <w:jc w:val="center"/>
        <w:rPr>
          <w:b/>
          <w:sz w:val="24"/>
          <w:szCs w:val="24"/>
        </w:rPr>
      </w:pPr>
    </w:p>
    <w:p w14:paraId="457BE150">
      <w:pPr>
        <w:spacing w:line="360" w:lineRule="auto"/>
        <w:rPr>
          <w:sz w:val="24"/>
        </w:rPr>
      </w:pPr>
      <w:r>
        <w:rPr>
          <w:sz w:val="24"/>
        </w:rPr>
        <w:t>致：</w:t>
      </w:r>
      <w:r>
        <w:rPr>
          <w:sz w:val="24"/>
          <w:u w:val="single"/>
        </w:rPr>
        <w:t>南通轨道交通集团有限公司</w:t>
      </w:r>
    </w:p>
    <w:p w14:paraId="3C7F9507">
      <w:pPr>
        <w:spacing w:line="360" w:lineRule="auto"/>
        <w:ind w:firstLine="480" w:firstLineChars="200"/>
        <w:rPr>
          <w:sz w:val="24"/>
        </w:rPr>
      </w:pPr>
      <w:r>
        <w:rPr>
          <w:sz w:val="24"/>
        </w:rPr>
        <w:t>我方在此郑重承诺：</w:t>
      </w:r>
    </w:p>
    <w:p w14:paraId="0584F4A7">
      <w:pPr>
        <w:spacing w:line="360" w:lineRule="auto"/>
        <w:ind w:firstLine="480" w:firstLineChars="200"/>
        <w:rPr>
          <w:sz w:val="24"/>
        </w:rPr>
      </w:pPr>
      <w:r>
        <w:rPr>
          <w:sz w:val="24"/>
        </w:rPr>
        <w:t>在参与本次比选参选活动中，如有下述行为，我方将自动放弃参选或中选资格，已签订合同的项目合同无效。</w:t>
      </w:r>
    </w:p>
    <w:p w14:paraId="58AA6C9B">
      <w:pPr>
        <w:spacing w:line="360" w:lineRule="auto"/>
        <w:ind w:firstLine="480" w:firstLineChars="200"/>
        <w:rPr>
          <w:bCs/>
          <w:sz w:val="24"/>
        </w:rPr>
      </w:pPr>
      <w:r>
        <w:rPr>
          <w:sz w:val="24"/>
        </w:rPr>
        <w:t>1.</w:t>
      </w:r>
      <w:r>
        <w:rPr>
          <w:bCs/>
          <w:sz w:val="24"/>
        </w:rPr>
        <w:t>处于财产被接管、冻结、破产状态；处于</w:t>
      </w:r>
      <w:r>
        <w:rPr>
          <w:sz w:val="24"/>
        </w:rPr>
        <w:t>与债权人进行债务重组或其他债务安排状况下；</w:t>
      </w:r>
    </w:p>
    <w:p w14:paraId="1D154A28">
      <w:pPr>
        <w:spacing w:line="360" w:lineRule="auto"/>
        <w:ind w:firstLine="480" w:firstLineChars="200"/>
        <w:rPr>
          <w:sz w:val="24"/>
        </w:rPr>
      </w:pPr>
      <w:r>
        <w:rPr>
          <w:sz w:val="24"/>
        </w:rPr>
        <w:t>2.存在骗取中选和严重违约引起的合同中止、纠纷、争议、仲裁和诉讼记录等情况；</w:t>
      </w:r>
    </w:p>
    <w:p w14:paraId="54CA9DD2">
      <w:pPr>
        <w:spacing w:line="360" w:lineRule="auto"/>
        <w:ind w:firstLine="480" w:firstLineChars="200"/>
        <w:rPr>
          <w:sz w:val="24"/>
        </w:rPr>
      </w:pPr>
      <w:r>
        <w:rPr>
          <w:sz w:val="24"/>
        </w:rPr>
        <w:t>3.以他人名义参选；与比选人、参选人串通参选；提供虚假材料或存在其他弄虚作假行为；</w:t>
      </w:r>
    </w:p>
    <w:p w14:paraId="7C157174">
      <w:pPr>
        <w:spacing w:line="360" w:lineRule="auto"/>
        <w:ind w:firstLine="480" w:firstLineChars="200"/>
        <w:rPr>
          <w:sz w:val="24"/>
        </w:rPr>
      </w:pPr>
      <w:r>
        <w:rPr>
          <w:sz w:val="24"/>
        </w:rPr>
        <w:t>4.与比选人存在利害关系且可能影响比选公正性；</w:t>
      </w:r>
    </w:p>
    <w:p w14:paraId="5DAE6C1F">
      <w:pPr>
        <w:spacing w:line="360" w:lineRule="auto"/>
        <w:ind w:firstLine="480" w:firstLineChars="200"/>
        <w:rPr>
          <w:sz w:val="24"/>
        </w:rPr>
      </w:pPr>
      <w:r>
        <w:rPr>
          <w:sz w:val="24"/>
        </w:rPr>
        <w:t>5.与本比选项目的其他参选人为同一个单位负责人；</w:t>
      </w:r>
    </w:p>
    <w:p w14:paraId="0776BA35">
      <w:pPr>
        <w:spacing w:line="360" w:lineRule="auto"/>
        <w:ind w:firstLine="480" w:firstLineChars="200"/>
        <w:rPr>
          <w:sz w:val="24"/>
        </w:rPr>
      </w:pPr>
      <w:r>
        <w:rPr>
          <w:sz w:val="24"/>
        </w:rPr>
        <w:t>6.与本比选项目的其他参选人存在控股、管理关系；</w:t>
      </w:r>
    </w:p>
    <w:p w14:paraId="70D227AB">
      <w:pPr>
        <w:spacing w:line="360" w:lineRule="auto"/>
        <w:ind w:firstLine="480" w:firstLineChars="200"/>
        <w:rPr>
          <w:sz w:val="24"/>
        </w:rPr>
      </w:pPr>
      <w:r>
        <w:rPr>
          <w:sz w:val="24"/>
        </w:rPr>
        <w:t>7.被依法暂停或者取消参选资格；</w:t>
      </w:r>
    </w:p>
    <w:p w14:paraId="4948AF9A">
      <w:pPr>
        <w:spacing w:line="360" w:lineRule="auto"/>
        <w:ind w:firstLine="480" w:firstLineChars="200"/>
        <w:rPr>
          <w:sz w:val="24"/>
        </w:rPr>
      </w:pPr>
      <w:r>
        <w:rPr>
          <w:sz w:val="24"/>
        </w:rPr>
        <w:t>8.被责令停产停业、暂扣或者吊销许可证、暂扣或者吊销执照；</w:t>
      </w:r>
    </w:p>
    <w:p w14:paraId="048570C1">
      <w:pPr>
        <w:spacing w:line="360" w:lineRule="auto"/>
        <w:ind w:firstLine="480" w:firstLineChars="200"/>
        <w:rPr>
          <w:sz w:val="24"/>
        </w:rPr>
      </w:pPr>
      <w:r>
        <w:rPr>
          <w:sz w:val="24"/>
        </w:rPr>
        <w:t>9.进入清算程序，或被宣告破产，或其他丧失履约能力的情形；</w:t>
      </w:r>
    </w:p>
    <w:p w14:paraId="0E434C5F">
      <w:pPr>
        <w:spacing w:line="360" w:lineRule="auto"/>
        <w:ind w:firstLine="480" w:firstLineChars="200"/>
        <w:rPr>
          <w:sz w:val="24"/>
        </w:rPr>
      </w:pPr>
      <w:r>
        <w:rPr>
          <w:sz w:val="24"/>
        </w:rPr>
        <w:t>10.在最近三年内有骗取中选或严重违约或重大工程质量、环境、安全问题的；</w:t>
      </w:r>
    </w:p>
    <w:p w14:paraId="46D58B17">
      <w:pPr>
        <w:spacing w:line="360" w:lineRule="auto"/>
        <w:ind w:firstLine="480" w:firstLineChars="200"/>
        <w:rPr>
          <w:sz w:val="24"/>
        </w:rPr>
      </w:pPr>
      <w:r>
        <w:rPr>
          <w:sz w:val="24"/>
        </w:rPr>
        <w:t>11.被最高人民法院在“信用中国”网站（www.creditchina.gov.cn）、“中国执行信息公开网（http://zxgk.court.gov.cn/）”中列入失信被执行人名单。</w:t>
      </w:r>
    </w:p>
    <w:p w14:paraId="0945BC23">
      <w:pPr>
        <w:spacing w:line="360" w:lineRule="auto"/>
        <w:rPr>
          <w:sz w:val="24"/>
        </w:rPr>
      </w:pPr>
    </w:p>
    <w:p w14:paraId="534F48D4">
      <w:pPr>
        <w:spacing w:line="360" w:lineRule="auto"/>
        <w:ind w:firstLine="460" w:firstLineChars="192"/>
        <w:jc w:val="right"/>
        <w:rPr>
          <w:sz w:val="24"/>
          <w:u w:val="single"/>
        </w:rPr>
      </w:pPr>
      <w:r>
        <w:rPr>
          <w:sz w:val="24"/>
        </w:rPr>
        <w:t>参选人：</w:t>
      </w:r>
      <w:r>
        <w:rPr>
          <w:sz w:val="24"/>
          <w:u w:val="single"/>
        </w:rPr>
        <w:t xml:space="preserve">                      （盖章） </w:t>
      </w:r>
    </w:p>
    <w:p w14:paraId="23A9DD1C">
      <w:pPr>
        <w:spacing w:line="360" w:lineRule="auto"/>
        <w:ind w:firstLine="460" w:firstLineChars="192"/>
        <w:jc w:val="right"/>
        <w:rPr>
          <w:sz w:val="24"/>
          <w:u w:val="single"/>
        </w:rPr>
      </w:pPr>
      <w:r>
        <w:rPr>
          <w:sz w:val="24"/>
        </w:rPr>
        <w:t>法定代表人（分支机构负责人）或委托代理人：</w:t>
      </w:r>
      <w:r>
        <w:rPr>
          <w:sz w:val="24"/>
          <w:u w:val="single"/>
        </w:rPr>
        <w:t xml:space="preserve">（签字或盖章） </w:t>
      </w:r>
    </w:p>
    <w:p w14:paraId="46944AD2">
      <w:pPr>
        <w:spacing w:line="360" w:lineRule="auto"/>
        <w:ind w:firstLine="460" w:firstLineChars="192"/>
        <w:jc w:val="right"/>
        <w:rPr>
          <w:sz w:val="24"/>
        </w:rPr>
      </w:pP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207375A">
      <w:pPr>
        <w:spacing w:line="360" w:lineRule="auto"/>
        <w:ind w:left="439" w:hanging="438" w:hangingChars="209"/>
        <w:jc w:val="right"/>
      </w:pPr>
      <w:r>
        <w:t xml:space="preserve">                              </w:t>
      </w:r>
    </w:p>
    <w:p w14:paraId="29E3421A">
      <w:pPr>
        <w:tabs>
          <w:tab w:val="left" w:pos="440"/>
        </w:tabs>
        <w:spacing w:line="360" w:lineRule="auto"/>
        <w:ind w:left="437" w:right="-168" w:rightChars="-80" w:hanging="436" w:hangingChars="208"/>
      </w:pPr>
    </w:p>
    <w:p w14:paraId="0E6BA116">
      <w:pPr>
        <w:spacing w:line="360" w:lineRule="auto"/>
        <w:jc w:val="right"/>
        <w:sectPr>
          <w:pgSz w:w="11905" w:h="16838"/>
          <w:pgMar w:top="1440" w:right="1282" w:bottom="1440" w:left="1803" w:header="850" w:footer="992" w:gutter="0"/>
          <w:cols w:space="0" w:num="1"/>
          <w:docGrid w:type="lines" w:linePitch="325" w:charSpace="0"/>
        </w:sectPr>
      </w:pPr>
      <w:r>
        <w:rPr>
          <w:b/>
          <w:bCs/>
          <w:kern w:val="0"/>
          <w:sz w:val="32"/>
          <w:szCs w:val="32"/>
        </w:rPr>
        <w:br w:type="page"/>
      </w:r>
      <w:bookmarkStart w:id="131" w:name="_Toc10695"/>
    </w:p>
    <w:p w14:paraId="520F80F6">
      <w:pPr>
        <w:spacing w:line="360" w:lineRule="auto"/>
        <w:rPr>
          <w:b/>
          <w:sz w:val="36"/>
          <w:szCs w:val="36"/>
        </w:rPr>
      </w:pPr>
      <w:r>
        <w:t xml:space="preserve">                                            </w:t>
      </w:r>
      <w:bookmarkEnd w:id="131"/>
      <w:bookmarkStart w:id="132" w:name="_Toc13481"/>
      <w:bookmarkStart w:id="133" w:name="_Toc9739"/>
      <w:bookmarkStart w:id="134" w:name="_Toc18478"/>
      <w:bookmarkStart w:id="135" w:name="_Toc12442"/>
      <w:bookmarkStart w:id="136" w:name="_Toc25882"/>
      <w:bookmarkStart w:id="137" w:name="_Toc28952"/>
      <w:bookmarkStart w:id="138" w:name="_Toc25135"/>
      <w:bookmarkStart w:id="139" w:name="_Toc2668"/>
    </w:p>
    <w:bookmarkEnd w:id="132"/>
    <w:bookmarkEnd w:id="133"/>
    <w:bookmarkEnd w:id="134"/>
    <w:p w14:paraId="37D35182">
      <w:pPr>
        <w:spacing w:line="360" w:lineRule="auto"/>
        <w:jc w:val="center"/>
        <w:outlineLvl w:val="0"/>
        <w:rPr>
          <w:b/>
          <w:bCs/>
          <w:sz w:val="36"/>
          <w:szCs w:val="36"/>
        </w:rPr>
      </w:pPr>
      <w:r>
        <w:rPr>
          <w:b/>
          <w:bCs/>
          <w:sz w:val="36"/>
          <w:szCs w:val="36"/>
        </w:rPr>
        <w:t>南通轨道交通集团有限公司</w:t>
      </w:r>
    </w:p>
    <w:p w14:paraId="40EAB088">
      <w:pPr>
        <w:spacing w:line="360" w:lineRule="auto"/>
        <w:jc w:val="center"/>
        <w:outlineLvl w:val="0"/>
        <w:rPr>
          <w:b/>
          <w:bCs/>
          <w:sz w:val="36"/>
          <w:szCs w:val="36"/>
        </w:rPr>
      </w:pPr>
      <w:r>
        <w:rPr>
          <w:b/>
          <w:bCs/>
          <w:sz w:val="36"/>
          <w:szCs w:val="36"/>
        </w:rPr>
        <w:t>2025-2026年度灵活资金存放银行合作项目</w:t>
      </w:r>
    </w:p>
    <w:p w14:paraId="0683361D">
      <w:pPr>
        <w:spacing w:line="360" w:lineRule="auto"/>
        <w:jc w:val="center"/>
        <w:outlineLvl w:val="0"/>
        <w:rPr>
          <w:b/>
          <w:bCs/>
          <w:sz w:val="36"/>
          <w:szCs w:val="36"/>
        </w:rPr>
      </w:pPr>
    </w:p>
    <w:p w14:paraId="72BFAECE">
      <w:pPr>
        <w:spacing w:line="360" w:lineRule="auto"/>
        <w:jc w:val="center"/>
        <w:outlineLvl w:val="0"/>
        <w:rPr>
          <w:b/>
          <w:bCs/>
          <w:sz w:val="36"/>
          <w:szCs w:val="36"/>
        </w:rPr>
      </w:pPr>
    </w:p>
    <w:p w14:paraId="3EA1FE7C">
      <w:pPr>
        <w:spacing w:line="360" w:lineRule="auto"/>
        <w:jc w:val="center"/>
        <w:outlineLvl w:val="0"/>
        <w:rPr>
          <w:b/>
          <w:bCs/>
          <w:sz w:val="36"/>
          <w:szCs w:val="36"/>
        </w:rPr>
      </w:pPr>
    </w:p>
    <w:p w14:paraId="67ACB961">
      <w:pPr>
        <w:spacing w:line="360" w:lineRule="auto"/>
        <w:jc w:val="center"/>
        <w:outlineLvl w:val="0"/>
        <w:rPr>
          <w:b/>
          <w:bCs/>
          <w:sz w:val="36"/>
          <w:szCs w:val="36"/>
        </w:rPr>
      </w:pPr>
    </w:p>
    <w:p w14:paraId="6850B260">
      <w:pPr>
        <w:spacing w:line="360" w:lineRule="auto"/>
        <w:jc w:val="center"/>
        <w:outlineLvl w:val="0"/>
        <w:rPr>
          <w:b/>
          <w:bCs/>
          <w:sz w:val="36"/>
          <w:szCs w:val="36"/>
        </w:rPr>
      </w:pPr>
      <w:r>
        <w:rPr>
          <w:rFonts w:hint="eastAsia"/>
          <w:b/>
          <w:bCs/>
          <w:sz w:val="36"/>
          <w:szCs w:val="36"/>
        </w:rPr>
        <w:t>参选文件</w:t>
      </w:r>
      <w:r>
        <w:rPr>
          <w:b/>
          <w:bCs/>
          <w:sz w:val="36"/>
          <w:szCs w:val="36"/>
        </w:rPr>
        <w:t>（</w:t>
      </w:r>
      <w:r>
        <w:rPr>
          <w:rFonts w:hint="eastAsia"/>
          <w:b/>
          <w:bCs/>
          <w:sz w:val="36"/>
          <w:szCs w:val="36"/>
        </w:rPr>
        <w:t>商务技术</w:t>
      </w:r>
      <w:r>
        <w:rPr>
          <w:b/>
          <w:bCs/>
          <w:sz w:val="36"/>
          <w:szCs w:val="36"/>
        </w:rPr>
        <w:t>文件）</w:t>
      </w:r>
    </w:p>
    <w:p w14:paraId="7AD7FB8A">
      <w:pPr>
        <w:spacing w:line="360" w:lineRule="auto"/>
        <w:rPr>
          <w:sz w:val="32"/>
        </w:rPr>
      </w:pPr>
    </w:p>
    <w:p w14:paraId="4AD9E833">
      <w:pPr>
        <w:spacing w:line="360" w:lineRule="auto"/>
        <w:jc w:val="center"/>
        <w:outlineLvl w:val="0"/>
        <w:rPr>
          <w:b/>
          <w:bCs/>
          <w:sz w:val="36"/>
          <w:szCs w:val="36"/>
        </w:rPr>
      </w:pPr>
    </w:p>
    <w:p w14:paraId="24ADCB2A">
      <w:pPr>
        <w:spacing w:line="360" w:lineRule="auto"/>
        <w:rPr>
          <w:sz w:val="32"/>
        </w:rPr>
      </w:pPr>
    </w:p>
    <w:p w14:paraId="3A57CD8B">
      <w:pPr>
        <w:spacing w:line="360" w:lineRule="auto"/>
        <w:rPr>
          <w:sz w:val="32"/>
        </w:rPr>
      </w:pPr>
    </w:p>
    <w:p w14:paraId="55752BAE">
      <w:pPr>
        <w:spacing w:line="360" w:lineRule="auto"/>
        <w:rPr>
          <w:sz w:val="32"/>
        </w:rPr>
      </w:pPr>
    </w:p>
    <w:p w14:paraId="0B19986B">
      <w:pPr>
        <w:spacing w:line="360" w:lineRule="auto"/>
      </w:pPr>
    </w:p>
    <w:p w14:paraId="6FF8EB0E">
      <w:pPr>
        <w:spacing w:line="360" w:lineRule="auto"/>
        <w:ind w:firstLine="1687" w:firstLineChars="600"/>
        <w:rPr>
          <w:b/>
          <w:bCs/>
          <w:sz w:val="28"/>
          <w:szCs w:val="28"/>
        </w:rPr>
      </w:pPr>
    </w:p>
    <w:p w14:paraId="3B5E5C0A">
      <w:pPr>
        <w:spacing w:line="360" w:lineRule="auto"/>
        <w:jc w:val="center"/>
        <w:rPr>
          <w:b/>
          <w:bCs/>
          <w:sz w:val="28"/>
          <w:szCs w:val="28"/>
        </w:rPr>
      </w:pPr>
      <w:bookmarkStart w:id="140" w:name="_Toc30439"/>
      <w:bookmarkStart w:id="141" w:name="_Toc11216"/>
    </w:p>
    <w:p w14:paraId="2DFDD176">
      <w:pPr>
        <w:spacing w:line="360" w:lineRule="auto"/>
        <w:jc w:val="center"/>
        <w:rPr>
          <w:b/>
          <w:bCs/>
          <w:sz w:val="28"/>
          <w:szCs w:val="28"/>
        </w:rPr>
      </w:pPr>
    </w:p>
    <w:p w14:paraId="7D596FEF">
      <w:pPr>
        <w:spacing w:line="360" w:lineRule="auto"/>
        <w:jc w:val="center"/>
        <w:rPr>
          <w:b/>
          <w:bCs/>
          <w:sz w:val="28"/>
          <w:szCs w:val="28"/>
        </w:rPr>
      </w:pPr>
    </w:p>
    <w:p w14:paraId="6B281C62">
      <w:pPr>
        <w:spacing w:line="360" w:lineRule="auto"/>
        <w:jc w:val="center"/>
        <w:rPr>
          <w:b/>
          <w:bCs/>
          <w:sz w:val="28"/>
          <w:szCs w:val="28"/>
        </w:rPr>
      </w:pPr>
      <w:r>
        <w:rPr>
          <w:b/>
          <w:bCs/>
          <w:sz w:val="28"/>
          <w:szCs w:val="28"/>
        </w:rPr>
        <w:t>参  选  人：</w:t>
      </w:r>
      <w:r>
        <w:rPr>
          <w:b/>
          <w:bCs/>
          <w:sz w:val="28"/>
          <w:szCs w:val="28"/>
          <w:u w:val="single"/>
        </w:rPr>
        <w:t xml:space="preserve">         （全称）（盖章）</w:t>
      </w:r>
    </w:p>
    <w:p w14:paraId="7CD5BF7A">
      <w:pPr>
        <w:spacing w:line="360" w:lineRule="auto"/>
        <w:jc w:val="center"/>
        <w:rPr>
          <w:b/>
          <w:bCs/>
          <w:sz w:val="28"/>
          <w:szCs w:val="28"/>
        </w:rPr>
      </w:pPr>
      <w:r>
        <w:rPr>
          <w:b/>
          <w:bCs/>
          <w:sz w:val="28"/>
          <w:szCs w:val="28"/>
        </w:rPr>
        <w:t>法定代表人（分支机构负责人）：</w:t>
      </w:r>
      <w:r>
        <w:rPr>
          <w:b/>
          <w:bCs/>
          <w:sz w:val="28"/>
          <w:szCs w:val="28"/>
          <w:u w:val="single"/>
        </w:rPr>
        <w:t xml:space="preserve">           （签字或盖章）</w:t>
      </w:r>
    </w:p>
    <w:p w14:paraId="2F1FB078">
      <w:pPr>
        <w:spacing w:line="360" w:lineRule="auto"/>
        <w:jc w:val="center"/>
        <w:rPr>
          <w:b/>
          <w:bCs/>
          <w:sz w:val="28"/>
          <w:szCs w:val="28"/>
        </w:rPr>
      </w:pPr>
      <w:r>
        <w:rPr>
          <w:b/>
          <w:bCs/>
          <w:sz w:val="28"/>
          <w:szCs w:val="28"/>
        </w:rPr>
        <w:t>时      间：       年      月      日</w:t>
      </w:r>
    </w:p>
    <w:p w14:paraId="6DC1BCE3">
      <w:pPr>
        <w:spacing w:line="360" w:lineRule="auto"/>
        <w:ind w:firstLine="1928" w:firstLineChars="600"/>
        <w:jc w:val="center"/>
        <w:rPr>
          <w:b/>
          <w:bCs/>
          <w:sz w:val="32"/>
          <w:szCs w:val="32"/>
        </w:rPr>
        <w:sectPr>
          <w:pgSz w:w="11905" w:h="16838"/>
          <w:pgMar w:top="1440" w:right="1282" w:bottom="1440" w:left="1803" w:header="850" w:footer="992" w:gutter="0"/>
          <w:cols w:space="0" w:num="1"/>
          <w:docGrid w:type="lines" w:linePitch="325" w:charSpace="0"/>
        </w:sectPr>
      </w:pPr>
    </w:p>
    <w:p w14:paraId="3C7853BD">
      <w:pPr>
        <w:keepNext/>
        <w:keepLines/>
        <w:spacing w:before="260" w:after="260" w:line="360" w:lineRule="auto"/>
        <w:jc w:val="center"/>
        <w:outlineLvl w:val="1"/>
        <w:rPr>
          <w:b/>
          <w:bCs/>
          <w:kern w:val="0"/>
          <w:sz w:val="32"/>
          <w:szCs w:val="28"/>
        </w:rPr>
      </w:pPr>
      <w:r>
        <w:rPr>
          <w:b/>
          <w:bCs/>
          <w:kern w:val="0"/>
          <w:sz w:val="32"/>
          <w:szCs w:val="28"/>
        </w:rPr>
        <w:t>目  录</w:t>
      </w:r>
      <w:bookmarkEnd w:id="135"/>
      <w:bookmarkEnd w:id="136"/>
      <w:bookmarkEnd w:id="137"/>
      <w:bookmarkEnd w:id="138"/>
      <w:bookmarkEnd w:id="139"/>
      <w:bookmarkEnd w:id="140"/>
      <w:bookmarkEnd w:id="141"/>
    </w:p>
    <w:p w14:paraId="6F315C7D">
      <w:pPr>
        <w:spacing w:line="360" w:lineRule="auto"/>
        <w:rPr>
          <w:sz w:val="24"/>
        </w:rPr>
      </w:pPr>
      <w:bookmarkStart w:id="142" w:name="_Toc3911_WPSOffice_Level2"/>
      <w:bookmarkStart w:id="143" w:name="_Toc7707"/>
      <w:bookmarkStart w:id="144" w:name="_Toc18696"/>
      <w:r>
        <w:rPr>
          <w:sz w:val="24"/>
        </w:rPr>
        <w:t>一 参选函</w:t>
      </w:r>
      <w:bookmarkEnd w:id="142"/>
      <w:bookmarkEnd w:id="143"/>
      <w:bookmarkEnd w:id="144"/>
    </w:p>
    <w:p w14:paraId="53B617A7">
      <w:pPr>
        <w:spacing w:line="360" w:lineRule="auto"/>
        <w:rPr>
          <w:sz w:val="24"/>
        </w:rPr>
      </w:pPr>
      <w:bookmarkStart w:id="145" w:name="_Toc25424"/>
      <w:bookmarkStart w:id="146" w:name="_Toc5976"/>
      <w:bookmarkStart w:id="147" w:name="_Toc25080_WPSOffice_Level2"/>
      <w:r>
        <w:rPr>
          <w:sz w:val="24"/>
        </w:rPr>
        <w:t xml:space="preserve">二 </w:t>
      </w:r>
      <w:bookmarkEnd w:id="145"/>
      <w:bookmarkEnd w:id="146"/>
      <w:bookmarkEnd w:id="147"/>
      <w:r>
        <w:rPr>
          <w:sz w:val="24"/>
        </w:rPr>
        <w:t>参选报价</w:t>
      </w:r>
    </w:p>
    <w:p w14:paraId="0BB63F68">
      <w:pPr>
        <w:spacing w:line="360" w:lineRule="auto"/>
        <w:rPr>
          <w:sz w:val="24"/>
        </w:rPr>
      </w:pPr>
      <w:r>
        <w:rPr>
          <w:sz w:val="24"/>
        </w:rPr>
        <w:t>三 综合服务方案</w:t>
      </w:r>
    </w:p>
    <w:p w14:paraId="69AB352C">
      <w:pPr>
        <w:spacing w:line="360" w:lineRule="auto"/>
        <w:rPr>
          <w:sz w:val="24"/>
        </w:rPr>
      </w:pPr>
      <w:r>
        <w:rPr>
          <w:sz w:val="24"/>
        </w:rPr>
        <w:t>（参选人自行编制目录页码）</w:t>
      </w:r>
    </w:p>
    <w:p w14:paraId="6823C242">
      <w:pPr>
        <w:spacing w:line="360" w:lineRule="auto"/>
        <w:rPr>
          <w:sz w:val="24"/>
        </w:rPr>
      </w:pPr>
    </w:p>
    <w:p w14:paraId="3EE03FAF">
      <w:pPr>
        <w:spacing w:line="360" w:lineRule="auto"/>
        <w:sectPr>
          <w:pgSz w:w="11905" w:h="16838"/>
          <w:pgMar w:top="1440" w:right="1282" w:bottom="1440" w:left="1803" w:header="850" w:footer="992" w:gutter="0"/>
          <w:cols w:space="0" w:num="1"/>
          <w:docGrid w:type="lines" w:linePitch="325" w:charSpace="0"/>
        </w:sectPr>
      </w:pPr>
    </w:p>
    <w:p w14:paraId="3BF7F105">
      <w:pPr>
        <w:keepNext/>
        <w:keepLines/>
        <w:spacing w:line="360" w:lineRule="auto"/>
        <w:jc w:val="center"/>
        <w:outlineLvl w:val="1"/>
        <w:rPr>
          <w:b/>
          <w:bCs/>
          <w:kern w:val="0"/>
          <w:sz w:val="32"/>
          <w:szCs w:val="32"/>
        </w:rPr>
      </w:pPr>
      <w:bookmarkStart w:id="148" w:name="_Toc26406"/>
      <w:bookmarkStart w:id="149" w:name="_Toc18552_WPSOffice_Level2"/>
      <w:bookmarkStart w:id="150" w:name="_Toc23546"/>
      <w:bookmarkStart w:id="151" w:name="_Toc10521"/>
      <w:bookmarkStart w:id="152" w:name="_Toc25748"/>
      <w:bookmarkStart w:id="153" w:name="_Toc13217"/>
      <w:bookmarkStart w:id="154" w:name="_Toc21842"/>
      <w:bookmarkStart w:id="155" w:name="_Toc25746"/>
      <w:bookmarkStart w:id="156" w:name="_Toc30573"/>
      <w:bookmarkStart w:id="157" w:name="_Toc25904"/>
      <w:bookmarkStart w:id="158" w:name="_Toc5042"/>
      <w:bookmarkStart w:id="159" w:name="_Toc2147"/>
      <w:bookmarkStart w:id="160" w:name="_Toc30425"/>
      <w:bookmarkStart w:id="161" w:name="_Toc22818"/>
      <w:bookmarkStart w:id="162" w:name="_Toc17874"/>
      <w:r>
        <w:rPr>
          <w:b/>
          <w:bCs/>
          <w:kern w:val="0"/>
          <w:sz w:val="32"/>
          <w:szCs w:val="32"/>
        </w:rPr>
        <w:t>一</w:t>
      </w:r>
      <w:r>
        <w:rPr>
          <w:rFonts w:hint="eastAsia"/>
          <w:b/>
          <w:bCs/>
          <w:kern w:val="0"/>
          <w:sz w:val="32"/>
          <w:szCs w:val="32"/>
        </w:rPr>
        <w:t>、</w:t>
      </w:r>
      <w:r>
        <w:rPr>
          <w:b/>
          <w:bCs/>
          <w:kern w:val="0"/>
          <w:sz w:val="32"/>
          <w:szCs w:val="32"/>
        </w:rPr>
        <w:t>参选函</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31E61B7E">
      <w:pPr>
        <w:spacing w:line="360" w:lineRule="auto"/>
      </w:pPr>
    </w:p>
    <w:p w14:paraId="63B97FF9">
      <w:pPr>
        <w:spacing w:line="360" w:lineRule="auto"/>
        <w:rPr>
          <w:b/>
          <w:sz w:val="24"/>
        </w:rPr>
      </w:pPr>
      <w:r>
        <w:rPr>
          <w:b/>
          <w:sz w:val="24"/>
        </w:rPr>
        <w:t>致：南通轨道交通集团有限公司</w:t>
      </w:r>
    </w:p>
    <w:p w14:paraId="5E6F4D12">
      <w:pPr>
        <w:spacing w:line="360" w:lineRule="auto"/>
        <w:ind w:firstLine="480" w:firstLineChars="200"/>
        <w:rPr>
          <w:sz w:val="24"/>
        </w:rPr>
      </w:pPr>
      <w:r>
        <w:rPr>
          <w:sz w:val="24"/>
        </w:rPr>
        <w:t>根据已收到的南通轨道交通集团有限公司2025-2026年度灵活资金存放银行合作项目比选文件，遵照规定，我方经考察现场和认真研究上述比选文件后，愿承认其内容。</w:t>
      </w:r>
    </w:p>
    <w:p w14:paraId="6EEC8EAB">
      <w:pPr>
        <w:spacing w:line="360" w:lineRule="auto"/>
        <w:ind w:firstLine="480" w:firstLineChars="200"/>
        <w:rPr>
          <w:sz w:val="24"/>
        </w:rPr>
      </w:pPr>
      <w:r>
        <w:rPr>
          <w:sz w:val="24"/>
        </w:rPr>
        <w:t>1、我方以</w:t>
      </w:r>
      <w:r>
        <w:rPr>
          <w:rFonts w:hint="eastAsia"/>
          <w:sz w:val="24"/>
        </w:rPr>
        <w:t>商务技术</w:t>
      </w:r>
      <w:r>
        <w:rPr>
          <w:sz w:val="24"/>
        </w:rPr>
        <w:t>文件中的</w:t>
      </w:r>
      <w:r>
        <w:rPr>
          <w:rFonts w:hint="eastAsia"/>
          <w:sz w:val="24"/>
        </w:rPr>
        <w:t>报价完成</w:t>
      </w:r>
      <w:r>
        <w:rPr>
          <w:sz w:val="24"/>
        </w:rPr>
        <w:t>南通轨道交通集团有限公司2025-2026年度灵活资金存放银行合作项目的工作内容。</w:t>
      </w:r>
    </w:p>
    <w:p w14:paraId="042A1BE1">
      <w:pPr>
        <w:spacing w:line="360" w:lineRule="auto"/>
        <w:ind w:firstLine="480" w:firstLineChars="200"/>
        <w:rPr>
          <w:sz w:val="24"/>
        </w:rPr>
      </w:pPr>
      <w:r>
        <w:rPr>
          <w:sz w:val="24"/>
        </w:rPr>
        <w:t>2、我方承诺服务周期及参选文件响应比选文件所规定的所有工作完成时间均满足需求。</w:t>
      </w:r>
    </w:p>
    <w:p w14:paraId="5E7C2DA0">
      <w:pPr>
        <w:spacing w:line="360" w:lineRule="auto"/>
        <w:ind w:firstLine="480" w:firstLineChars="200"/>
        <w:rPr>
          <w:sz w:val="24"/>
        </w:rPr>
      </w:pPr>
      <w:r>
        <w:rPr>
          <w:sz w:val="24"/>
        </w:rPr>
        <w:t>3、如果贵方接受我方参选，我方在接到中选通知书后将按中选通知书和比选文件的要求及时签订合同，提交履约担保。我方保证在参选人须知中规定的期限内按照要求提交成果。</w:t>
      </w:r>
    </w:p>
    <w:p w14:paraId="5CEF3761">
      <w:pPr>
        <w:spacing w:line="360" w:lineRule="auto"/>
        <w:ind w:firstLine="480" w:firstLineChars="200"/>
        <w:rPr>
          <w:sz w:val="24"/>
        </w:rPr>
      </w:pPr>
      <w:r>
        <w:rPr>
          <w:sz w:val="24"/>
        </w:rPr>
        <w:t>4、我方同意在贵方比选文件规定的参选有效期内遵守约定。在该期限期满之前，本参选书对我方始终具有约束力。</w:t>
      </w:r>
    </w:p>
    <w:p w14:paraId="602C5F6D">
      <w:pPr>
        <w:spacing w:line="360" w:lineRule="auto"/>
        <w:ind w:firstLine="480" w:firstLineChars="200"/>
        <w:rPr>
          <w:sz w:val="24"/>
        </w:rPr>
      </w:pPr>
      <w:r>
        <w:rPr>
          <w:sz w:val="24"/>
        </w:rPr>
        <w:t>5、我方充分理解贵方比选文件所提出的关于人员、设备、管理等提出的隐性要求，一旦中选，确保能按照贵方要求执行。</w:t>
      </w:r>
    </w:p>
    <w:p w14:paraId="2155B49D">
      <w:pPr>
        <w:spacing w:line="360" w:lineRule="auto"/>
        <w:ind w:firstLine="480" w:firstLineChars="200"/>
        <w:rPr>
          <w:sz w:val="24"/>
        </w:rPr>
      </w:pPr>
      <w:r>
        <w:rPr>
          <w:sz w:val="24"/>
        </w:rPr>
        <w:t>6、在正式服务之前，本参选书连同贵方的中选通知书应成为约束贵方、我方的合同文件。</w:t>
      </w:r>
    </w:p>
    <w:p w14:paraId="6FFEA09B">
      <w:pPr>
        <w:spacing w:line="360" w:lineRule="auto"/>
        <w:ind w:firstLine="480" w:firstLineChars="200"/>
        <w:rPr>
          <w:sz w:val="24"/>
        </w:rPr>
      </w:pPr>
      <w:r>
        <w:rPr>
          <w:sz w:val="24"/>
        </w:rPr>
        <w:t>7、我方理解，贵方不一定接受最低标价的参选或可能接受其他任何参选；同时也理解，贵方不负担我单位的任何参选费用。</w:t>
      </w:r>
    </w:p>
    <w:p w14:paraId="166455A5">
      <w:pPr>
        <w:spacing w:line="360" w:lineRule="auto"/>
        <w:ind w:firstLine="480" w:firstLineChars="200"/>
        <w:rPr>
          <w:sz w:val="24"/>
        </w:rPr>
      </w:pPr>
      <w:r>
        <w:rPr>
          <w:sz w:val="24"/>
        </w:rPr>
        <w:t>8、我方承诺：本参选文件提供的信息、数据、资料或证书均真实有效，否则贵方有权取消我方的参选或中选资格。</w:t>
      </w:r>
    </w:p>
    <w:p w14:paraId="22364DD2">
      <w:pPr>
        <w:spacing w:line="360" w:lineRule="auto"/>
        <w:ind w:firstLine="480" w:firstLineChars="200"/>
        <w:rPr>
          <w:sz w:val="24"/>
        </w:rPr>
      </w:pPr>
    </w:p>
    <w:p w14:paraId="18543195">
      <w:pPr>
        <w:spacing w:line="360" w:lineRule="auto"/>
        <w:ind w:firstLine="460" w:firstLineChars="192"/>
        <w:jc w:val="right"/>
        <w:rPr>
          <w:sz w:val="24"/>
        </w:rPr>
      </w:pPr>
    </w:p>
    <w:p w14:paraId="70FECEC2">
      <w:pPr>
        <w:spacing w:line="360" w:lineRule="auto"/>
        <w:ind w:firstLine="460" w:firstLineChars="192"/>
        <w:jc w:val="right"/>
        <w:rPr>
          <w:sz w:val="24"/>
          <w:u w:val="single"/>
        </w:rPr>
      </w:pPr>
      <w:r>
        <w:rPr>
          <w:sz w:val="24"/>
        </w:rPr>
        <w:t>参选人：</w:t>
      </w:r>
      <w:r>
        <w:rPr>
          <w:sz w:val="24"/>
          <w:u w:val="single"/>
        </w:rPr>
        <w:t xml:space="preserve">                       （盖章） </w:t>
      </w:r>
    </w:p>
    <w:p w14:paraId="7A4EDA11">
      <w:pPr>
        <w:spacing w:line="360" w:lineRule="auto"/>
        <w:ind w:firstLine="460" w:firstLineChars="192"/>
        <w:jc w:val="right"/>
        <w:rPr>
          <w:sz w:val="24"/>
        </w:rPr>
      </w:pPr>
      <w:r>
        <w:rPr>
          <w:sz w:val="24"/>
        </w:rPr>
        <w:t>法定代表人（分支机构负责人）或委托代理人：</w:t>
      </w:r>
      <w:r>
        <w:rPr>
          <w:sz w:val="24"/>
          <w:u w:val="single"/>
        </w:rPr>
        <w:t xml:space="preserve"> </w:t>
      </w:r>
      <w:r>
        <w:rPr>
          <w:rFonts w:hint="eastAsia"/>
          <w:sz w:val="24"/>
          <w:u w:val="single"/>
        </w:rPr>
        <w:t xml:space="preserve">     </w:t>
      </w:r>
      <w:r>
        <w:rPr>
          <w:sz w:val="24"/>
          <w:u w:val="single"/>
        </w:rPr>
        <w:t xml:space="preserve">（签字或盖章） </w:t>
      </w:r>
      <w:r>
        <w:rPr>
          <w:sz w:val="24"/>
        </w:rPr>
        <w:t xml:space="preserve"> </w:t>
      </w:r>
    </w:p>
    <w:p w14:paraId="3E10A61A">
      <w:pPr>
        <w:spacing w:line="360" w:lineRule="auto"/>
        <w:jc w:val="right"/>
        <w:rPr>
          <w:sz w:val="24"/>
        </w:rPr>
        <w:sectPr>
          <w:pgSz w:w="11905" w:h="16838"/>
          <w:pgMar w:top="1440" w:right="1282" w:bottom="1440" w:left="1803" w:header="850" w:footer="992" w:gutter="0"/>
          <w:cols w:space="0" w:num="1"/>
          <w:docGrid w:type="lines" w:linePitch="325" w:charSpace="0"/>
        </w:sectPr>
      </w:pPr>
      <w:r>
        <w:rPr>
          <w:sz w:val="24"/>
        </w:rPr>
        <w:t xml:space="preserve">    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FC10AE4">
      <w:pPr>
        <w:keepNext/>
        <w:keepLines/>
        <w:spacing w:line="360" w:lineRule="auto"/>
        <w:jc w:val="center"/>
        <w:outlineLvl w:val="1"/>
        <w:rPr>
          <w:rFonts w:eastAsiaTheme="minorEastAsia"/>
          <w:sz w:val="24"/>
        </w:rPr>
      </w:pPr>
      <w:r>
        <w:rPr>
          <w:rFonts w:hint="eastAsia"/>
          <w:b/>
          <w:bCs/>
          <w:kern w:val="0"/>
          <w:sz w:val="24"/>
        </w:rPr>
        <w:t>二、</w:t>
      </w:r>
      <w:r>
        <w:rPr>
          <w:b/>
          <w:bCs/>
          <w:kern w:val="0"/>
          <w:sz w:val="24"/>
        </w:rPr>
        <w:t>参选报价</w:t>
      </w:r>
      <w:r>
        <w:rPr>
          <w:rFonts w:eastAsiaTheme="minorEastAsia"/>
          <w:sz w:val="24"/>
        </w:rPr>
        <w:fldChar w:fldCharType="begin"/>
      </w:r>
      <w:r>
        <w:rPr>
          <w:rFonts w:eastAsiaTheme="minorEastAsia"/>
          <w:sz w:val="24"/>
        </w:rPr>
        <w:instrText xml:space="preserve"> HYPERLINK "mailto:电子报价单需加盖公章扫描为PDF格式，发送至邮箱877863891@qq.com。同步邮寄纸质报价单至南通市政务中心150号-1" </w:instrText>
      </w:r>
      <w:r>
        <w:rPr>
          <w:rFonts w:eastAsiaTheme="minorEastAsia"/>
          <w:sz w:val="24"/>
        </w:rPr>
        <w:fldChar w:fldCharType="separate"/>
      </w:r>
    </w:p>
    <w:p w14:paraId="4BCB7F54">
      <w:pPr>
        <w:pStyle w:val="3"/>
        <w:spacing w:line="360" w:lineRule="auto"/>
        <w:ind w:firstLine="480"/>
        <w:rPr>
          <w:rFonts w:eastAsiaTheme="minorEastAsia"/>
          <w:sz w:val="24"/>
        </w:rPr>
      </w:pPr>
    </w:p>
    <w:p w14:paraId="58E0A3B0">
      <w:pPr>
        <w:pStyle w:val="3"/>
        <w:spacing w:line="360" w:lineRule="auto"/>
        <w:ind w:firstLine="0" w:firstLineChars="0"/>
        <w:rPr>
          <w:rFonts w:eastAsiaTheme="minorEastAsia"/>
          <w:sz w:val="24"/>
        </w:rPr>
      </w:pPr>
      <w:r>
        <w:rPr>
          <w:rFonts w:eastAsiaTheme="minorEastAsia"/>
          <w:sz w:val="24"/>
        </w:rPr>
        <w:t>致南通轨道交通集团有限公司：</w:t>
      </w:r>
    </w:p>
    <w:p w14:paraId="3CF47F8A">
      <w:pPr>
        <w:pStyle w:val="3"/>
        <w:spacing w:line="360" w:lineRule="auto"/>
        <w:ind w:firstLine="480"/>
        <w:rPr>
          <w:rFonts w:eastAsiaTheme="minorEastAsia"/>
          <w:sz w:val="24"/>
        </w:rPr>
      </w:pPr>
      <w:r>
        <w:rPr>
          <w:rFonts w:eastAsiaTheme="minorEastAsia"/>
          <w:sz w:val="24"/>
        </w:rPr>
        <w:t>根据已收到的比选文件要求，我单位将遵照《中华人民共和国招标投标法》和中国人民银行存、贷款利率的有关规定，对比选文件做如下响应：</w:t>
      </w:r>
    </w:p>
    <w:p w14:paraId="0ACD9A7E">
      <w:pPr>
        <w:pStyle w:val="3"/>
        <w:spacing w:line="360" w:lineRule="auto"/>
        <w:ind w:firstLine="480"/>
        <w:rPr>
          <w:rFonts w:eastAsiaTheme="minorEastAsia"/>
          <w:sz w:val="24"/>
        </w:rPr>
      </w:pPr>
      <w:r>
        <w:rPr>
          <w:rFonts w:eastAsiaTheme="minorEastAsia"/>
          <w:sz w:val="24"/>
        </w:rPr>
        <w:t>1.</w:t>
      </w:r>
      <w:r>
        <w:rPr>
          <w:rFonts w:hint="eastAsia" w:eastAsiaTheme="minorEastAsia"/>
          <w:sz w:val="24"/>
        </w:rPr>
        <w:t xml:space="preserve"> </w:t>
      </w:r>
      <w:r>
        <w:rPr>
          <w:rFonts w:eastAsiaTheme="minorEastAsia"/>
          <w:sz w:val="24"/>
        </w:rPr>
        <w:t>协定存款利率</w:t>
      </w:r>
      <w:r>
        <w:rPr>
          <w:rFonts w:hint="eastAsia" w:eastAsiaTheme="minorEastAsia"/>
          <w:sz w:val="24"/>
          <w:u w:val="single"/>
        </w:rPr>
        <w:t xml:space="preserve">        </w:t>
      </w:r>
      <w:r>
        <w:rPr>
          <w:rFonts w:eastAsiaTheme="minorEastAsia"/>
          <w:sz w:val="24"/>
        </w:rPr>
        <w:t>（%）</w:t>
      </w:r>
      <w:r>
        <w:rPr>
          <w:rFonts w:hint="eastAsia" w:eastAsiaTheme="minorEastAsia"/>
          <w:sz w:val="24"/>
        </w:rPr>
        <w:t>；</w:t>
      </w:r>
      <w:r>
        <w:rPr>
          <w:rFonts w:eastAsiaTheme="minorEastAsia"/>
          <w:sz w:val="24"/>
        </w:rPr>
        <w:t>七天通知存款利率</w:t>
      </w:r>
      <w:r>
        <w:rPr>
          <w:rFonts w:hint="eastAsia" w:eastAsiaTheme="minorEastAsia"/>
          <w:sz w:val="24"/>
          <w:u w:val="single"/>
        </w:rPr>
        <w:t xml:space="preserve">        </w:t>
      </w:r>
      <w:r>
        <w:rPr>
          <w:rFonts w:eastAsiaTheme="minorEastAsia"/>
          <w:sz w:val="24"/>
        </w:rPr>
        <w:t>（%）;</w:t>
      </w:r>
    </w:p>
    <w:p w14:paraId="0CAC8096">
      <w:pPr>
        <w:pStyle w:val="3"/>
        <w:spacing w:line="360" w:lineRule="auto"/>
        <w:ind w:firstLine="480"/>
        <w:rPr>
          <w:rFonts w:eastAsiaTheme="minorEastAsia"/>
          <w:sz w:val="24"/>
        </w:rPr>
      </w:pPr>
      <w:r>
        <w:rPr>
          <w:rFonts w:eastAsiaTheme="minorEastAsia"/>
          <w:sz w:val="24"/>
        </w:rPr>
        <w:t>2.</w:t>
      </w:r>
      <w:r>
        <w:rPr>
          <w:rFonts w:hint="eastAsia" w:eastAsiaTheme="minorEastAsia"/>
          <w:sz w:val="24"/>
        </w:rPr>
        <w:t xml:space="preserve"> </w:t>
      </w:r>
      <w:r>
        <w:rPr>
          <w:rFonts w:eastAsiaTheme="minorEastAsia"/>
          <w:sz w:val="24"/>
        </w:rPr>
        <w:t>基础增值贡献。我行承诺降低对轨道集团</w:t>
      </w:r>
      <w:r>
        <w:rPr>
          <w:rFonts w:hint="eastAsia" w:eastAsiaTheme="minorEastAsia"/>
          <w:sz w:val="24"/>
          <w:u w:val="single"/>
        </w:rPr>
        <w:t xml:space="preserve"> </w:t>
      </w:r>
      <w:r>
        <w:rPr>
          <w:rFonts w:eastAsiaTheme="minorEastAsia"/>
          <w:sz w:val="24"/>
          <w:u w:val="single"/>
        </w:rPr>
        <w:sym w:font="Wingdings" w:char="00A8"/>
      </w:r>
      <w:r>
        <w:rPr>
          <w:rFonts w:hint="eastAsia" w:eastAsiaTheme="minorEastAsia"/>
          <w:sz w:val="24"/>
          <w:u w:val="single"/>
        </w:rPr>
        <w:t xml:space="preserve"> </w:t>
      </w:r>
      <w:r>
        <w:rPr>
          <w:rFonts w:eastAsiaTheme="minorEastAsia"/>
          <w:sz w:val="24"/>
          <w:u w:val="single"/>
        </w:rPr>
        <w:t>1号线项目贷款</w:t>
      </w:r>
      <w:r>
        <w:rPr>
          <w:rFonts w:hint="eastAsia" w:eastAsiaTheme="minorEastAsia"/>
          <w:sz w:val="24"/>
          <w:u w:val="single"/>
        </w:rPr>
        <w:t xml:space="preserve">  </w:t>
      </w:r>
      <w:r>
        <w:rPr>
          <w:rFonts w:eastAsiaTheme="minorEastAsia"/>
          <w:sz w:val="24"/>
          <w:u w:val="single"/>
        </w:rPr>
        <w:sym w:font="Wingdings" w:char="00A8"/>
      </w:r>
      <w:r>
        <w:rPr>
          <w:rFonts w:eastAsiaTheme="minorEastAsia"/>
          <w:sz w:val="24"/>
          <w:u w:val="single"/>
        </w:rPr>
        <w:t>经营性短期融资存量贷款</w:t>
      </w:r>
      <w:r>
        <w:rPr>
          <w:rFonts w:eastAsiaTheme="minorEastAsia"/>
          <w:sz w:val="24"/>
        </w:rPr>
        <w:t xml:space="preserve">利率。协议利率____%，本次在协议利率的基础上进一步降低____（BP），如果中选将在比选结果公布之后两个月内完成利率调整。 </w:t>
      </w:r>
    </w:p>
    <w:p w14:paraId="50CD9F6E">
      <w:pPr>
        <w:pStyle w:val="3"/>
        <w:spacing w:line="360" w:lineRule="auto"/>
        <w:ind w:firstLine="480"/>
        <w:rPr>
          <w:rFonts w:eastAsiaTheme="minorEastAsia"/>
          <w:sz w:val="24"/>
        </w:rPr>
      </w:pPr>
      <w:r>
        <w:rPr>
          <w:rFonts w:eastAsiaTheme="minorEastAsia"/>
          <w:sz w:val="24"/>
        </w:rPr>
        <w:t>3.</w:t>
      </w:r>
      <w:r>
        <w:rPr>
          <w:rFonts w:hint="eastAsia" w:eastAsiaTheme="minorEastAsia"/>
          <w:sz w:val="24"/>
        </w:rPr>
        <w:t xml:space="preserve"> </w:t>
      </w:r>
      <w:r>
        <w:rPr>
          <w:rFonts w:eastAsiaTheme="minorEastAsia"/>
          <w:sz w:val="24"/>
        </w:rPr>
        <w:t>减费让利，对于轨道集团在我行开设的全部账户在日常使用、管理中的相关费用，我行承诺</w:t>
      </w:r>
      <w:r>
        <w:rPr>
          <w:rFonts w:eastAsiaTheme="minorEastAsia"/>
          <w:sz w:val="24"/>
          <w:u w:val="single"/>
        </w:rPr>
        <w:sym w:font="Wingdings" w:char="00A8"/>
      </w:r>
      <w:r>
        <w:rPr>
          <w:rFonts w:eastAsiaTheme="minorEastAsia"/>
          <w:sz w:val="24"/>
          <w:u w:val="single"/>
        </w:rPr>
        <w:t>全部减免，</w:t>
      </w:r>
      <w:r>
        <w:rPr>
          <w:rFonts w:eastAsiaTheme="minorEastAsia"/>
          <w:sz w:val="24"/>
          <w:u w:val="single"/>
        </w:rPr>
        <w:sym w:font="Wingdings" w:char="00A8"/>
      </w:r>
      <w:r>
        <w:rPr>
          <w:rFonts w:eastAsiaTheme="minorEastAsia"/>
          <w:sz w:val="24"/>
          <w:u w:val="single"/>
        </w:rPr>
        <w:t>部分减免，</w:t>
      </w:r>
      <w:r>
        <w:rPr>
          <w:rFonts w:eastAsiaTheme="minorEastAsia"/>
          <w:sz w:val="24"/>
          <w:u w:val="single"/>
        </w:rPr>
        <w:sym w:font="Wingdings" w:char="00A8"/>
      </w:r>
      <w:r>
        <w:rPr>
          <w:rFonts w:eastAsiaTheme="minorEastAsia"/>
          <w:sz w:val="24"/>
          <w:u w:val="single"/>
        </w:rPr>
        <w:t>无实质性减免</w:t>
      </w:r>
      <w:r>
        <w:rPr>
          <w:rFonts w:eastAsiaTheme="minorEastAsia"/>
          <w:sz w:val="24"/>
        </w:rPr>
        <w:t>。</w:t>
      </w:r>
    </w:p>
    <w:p w14:paraId="7B6A2DDA">
      <w:pPr>
        <w:pStyle w:val="3"/>
        <w:spacing w:line="360" w:lineRule="auto"/>
        <w:ind w:firstLine="480"/>
        <w:rPr>
          <w:rFonts w:eastAsiaTheme="minorEastAsia"/>
          <w:sz w:val="24"/>
        </w:rPr>
      </w:pPr>
      <w:r>
        <w:rPr>
          <w:rFonts w:eastAsiaTheme="minorEastAsia"/>
          <w:sz w:val="24"/>
        </w:rPr>
        <w:t>4.</w:t>
      </w:r>
      <w:r>
        <w:rPr>
          <w:rFonts w:hint="eastAsia" w:eastAsiaTheme="minorEastAsia"/>
          <w:sz w:val="24"/>
        </w:rPr>
        <w:t xml:space="preserve"> </w:t>
      </w:r>
      <w:r>
        <w:rPr>
          <w:rFonts w:eastAsiaTheme="minorEastAsia"/>
          <w:sz w:val="24"/>
        </w:rPr>
        <w:t>附加贡献。</w:t>
      </w:r>
    </w:p>
    <w:p w14:paraId="336DFDCE">
      <w:pPr>
        <w:pStyle w:val="3"/>
        <w:spacing w:line="360" w:lineRule="auto"/>
        <w:ind w:firstLine="480"/>
        <w:rPr>
          <w:rFonts w:eastAsiaTheme="minorEastAsia"/>
          <w:sz w:val="24"/>
        </w:rPr>
      </w:pPr>
      <w:r>
        <w:rPr>
          <w:rFonts w:eastAsiaTheme="minorEastAsia"/>
          <w:sz w:val="24"/>
        </w:rPr>
        <w:t>（1）我行承诺采购轨道集团文创周边、地铁票卡________万元，如中选将在比选结果公布之后至少每半年采购一次，</w:t>
      </w:r>
      <w:r>
        <w:rPr>
          <w:rFonts w:hint="eastAsia" w:eastAsiaTheme="minorEastAsia"/>
          <w:sz w:val="24"/>
        </w:rPr>
        <w:t>半年累计</w:t>
      </w:r>
      <w:r>
        <w:rPr>
          <w:rFonts w:eastAsiaTheme="minorEastAsia"/>
          <w:sz w:val="24"/>
        </w:rPr>
        <w:t>采购额不低于报价的50%；</w:t>
      </w:r>
    </w:p>
    <w:p w14:paraId="1DAE9A2F">
      <w:pPr>
        <w:pStyle w:val="3"/>
        <w:spacing w:line="360" w:lineRule="auto"/>
        <w:ind w:firstLine="480"/>
        <w:rPr>
          <w:rFonts w:eastAsiaTheme="minorEastAsia"/>
          <w:sz w:val="24"/>
        </w:rPr>
      </w:pPr>
      <w:r>
        <w:rPr>
          <w:rFonts w:hint="eastAsia" w:eastAsiaTheme="minorEastAsia"/>
          <w:sz w:val="24"/>
        </w:rPr>
        <w:t>（2）</w:t>
      </w:r>
      <w:r>
        <w:rPr>
          <w:rFonts w:eastAsiaTheme="minorEastAsia"/>
          <w:sz w:val="24"/>
        </w:rPr>
        <w:t>我行承诺</w:t>
      </w:r>
      <w:r>
        <w:rPr>
          <w:rFonts w:hint="eastAsia" w:eastAsiaTheme="minorEastAsia"/>
          <w:sz w:val="24"/>
        </w:rPr>
        <w:t>租赁</w:t>
      </w:r>
      <w:r>
        <w:rPr>
          <w:rFonts w:eastAsiaTheme="minorEastAsia"/>
          <w:sz w:val="24"/>
        </w:rPr>
        <w:t>轨道</w:t>
      </w:r>
      <w:r>
        <w:rPr>
          <w:rFonts w:hint="eastAsia" w:eastAsiaTheme="minorEastAsia"/>
          <w:sz w:val="24"/>
        </w:rPr>
        <w:t xml:space="preserve">自持商铺、办公用房，租金 </w:t>
      </w:r>
      <w:r>
        <w:rPr>
          <w:rFonts w:eastAsiaTheme="minorEastAsia"/>
          <w:sz w:val="24"/>
        </w:rPr>
        <w:t>________万元</w:t>
      </w:r>
      <w:r>
        <w:rPr>
          <w:rFonts w:hint="eastAsia" w:eastAsiaTheme="minorEastAsia"/>
          <w:sz w:val="24"/>
        </w:rPr>
        <w:t>/年</w:t>
      </w:r>
      <w:r>
        <w:rPr>
          <w:rFonts w:eastAsiaTheme="minorEastAsia"/>
          <w:sz w:val="24"/>
        </w:rPr>
        <w:t>，</w:t>
      </w:r>
      <w:r>
        <w:rPr>
          <w:rFonts w:hint="eastAsia" w:eastAsiaTheme="minorEastAsia"/>
          <w:sz w:val="24"/>
        </w:rPr>
        <w:t>租赁期限</w:t>
      </w:r>
      <w:r>
        <w:rPr>
          <w:rFonts w:eastAsiaTheme="minorEastAsia"/>
          <w:sz w:val="24"/>
        </w:rPr>
        <w:t>________</w:t>
      </w:r>
      <w:r>
        <w:rPr>
          <w:rFonts w:hint="eastAsia" w:eastAsiaTheme="minorEastAsia"/>
          <w:sz w:val="24"/>
        </w:rPr>
        <w:t>年，</w:t>
      </w:r>
      <w:r>
        <w:rPr>
          <w:rFonts w:eastAsiaTheme="minorEastAsia"/>
          <w:sz w:val="24"/>
        </w:rPr>
        <w:t>如中选将在比选结果公布后</w:t>
      </w:r>
      <w:r>
        <w:rPr>
          <w:rFonts w:hint="eastAsia" w:eastAsiaTheme="minorEastAsia"/>
          <w:sz w:val="24"/>
        </w:rPr>
        <w:t>三个月内完成租赁协议签订</w:t>
      </w:r>
      <w:r>
        <w:rPr>
          <w:rFonts w:eastAsiaTheme="minorEastAsia"/>
          <w:sz w:val="24"/>
        </w:rPr>
        <w:t>；</w:t>
      </w:r>
    </w:p>
    <w:p w14:paraId="4E5DC874">
      <w:pPr>
        <w:pStyle w:val="3"/>
        <w:spacing w:line="360" w:lineRule="auto"/>
        <w:ind w:firstLine="480"/>
        <w:rPr>
          <w:rFonts w:eastAsiaTheme="minorEastAsia"/>
          <w:sz w:val="24"/>
        </w:rPr>
      </w:pPr>
      <w:r>
        <w:rPr>
          <w:rFonts w:eastAsiaTheme="minorEastAsia"/>
          <w:sz w:val="24"/>
        </w:rPr>
        <w:t>（</w:t>
      </w:r>
      <w:r>
        <w:rPr>
          <w:rFonts w:hint="eastAsia" w:eastAsiaTheme="minorEastAsia"/>
          <w:sz w:val="24"/>
        </w:rPr>
        <w:t>3</w:t>
      </w:r>
      <w:r>
        <w:rPr>
          <w:rFonts w:eastAsiaTheme="minorEastAsia"/>
          <w:sz w:val="24"/>
        </w:rPr>
        <w:t>）我行承诺支持轨道站点便民服务设备、设施_______万元，如中选将在比选结果公布之后至少每半年</w:t>
      </w:r>
      <w:r>
        <w:rPr>
          <w:rFonts w:hint="eastAsia" w:eastAsiaTheme="minorEastAsia"/>
          <w:sz w:val="24"/>
        </w:rPr>
        <w:t>支持</w:t>
      </w:r>
      <w:r>
        <w:rPr>
          <w:rFonts w:eastAsiaTheme="minorEastAsia"/>
          <w:sz w:val="24"/>
        </w:rPr>
        <w:t>一次，</w:t>
      </w:r>
      <w:r>
        <w:rPr>
          <w:rFonts w:hint="eastAsia" w:eastAsiaTheme="minorEastAsia"/>
          <w:sz w:val="24"/>
        </w:rPr>
        <w:t>半年累计支持</w:t>
      </w:r>
      <w:r>
        <w:rPr>
          <w:rFonts w:eastAsiaTheme="minorEastAsia"/>
          <w:sz w:val="24"/>
        </w:rPr>
        <w:t>额不低于报价的50%；</w:t>
      </w:r>
    </w:p>
    <w:p w14:paraId="7EDFD9A3">
      <w:pPr>
        <w:pStyle w:val="3"/>
        <w:spacing w:line="360" w:lineRule="auto"/>
        <w:ind w:firstLine="480"/>
        <w:rPr>
          <w:rFonts w:eastAsiaTheme="minorEastAsia"/>
          <w:sz w:val="24"/>
        </w:rPr>
      </w:pPr>
      <w:r>
        <w:rPr>
          <w:rFonts w:eastAsiaTheme="minorEastAsia"/>
          <w:sz w:val="24"/>
        </w:rPr>
        <w:t>（</w:t>
      </w:r>
      <w:r>
        <w:rPr>
          <w:rFonts w:hint="eastAsia" w:eastAsiaTheme="minorEastAsia"/>
          <w:sz w:val="24"/>
        </w:rPr>
        <w:t>4</w:t>
      </w:r>
      <w:r>
        <w:rPr>
          <w:rFonts w:eastAsiaTheme="minorEastAsia"/>
          <w:sz w:val="24"/>
        </w:rPr>
        <w:t>）我行承诺承办轨道集团会展</w:t>
      </w:r>
      <w:r>
        <w:rPr>
          <w:rFonts w:hint="eastAsia" w:eastAsiaTheme="minorEastAsia"/>
          <w:sz w:val="24"/>
        </w:rPr>
        <w:t>、</w:t>
      </w:r>
      <w:r>
        <w:rPr>
          <w:rFonts w:eastAsiaTheme="minorEastAsia"/>
          <w:sz w:val="24"/>
        </w:rPr>
        <w:t>会务</w:t>
      </w:r>
      <w:r>
        <w:rPr>
          <w:rFonts w:hint="eastAsia" w:eastAsiaTheme="minorEastAsia"/>
          <w:sz w:val="24"/>
        </w:rPr>
        <w:t>等</w:t>
      </w:r>
      <w:r>
        <w:rPr>
          <w:rFonts w:eastAsiaTheme="minorEastAsia"/>
          <w:sz w:val="24"/>
        </w:rPr>
        <w:t>活动支持_______万元</w:t>
      </w:r>
      <w:r>
        <w:rPr>
          <w:rFonts w:hint="eastAsia" w:eastAsiaTheme="minorEastAsia"/>
          <w:sz w:val="24"/>
        </w:rPr>
        <w:t>。</w:t>
      </w:r>
    </w:p>
    <w:p w14:paraId="6CAD37B3">
      <w:pPr>
        <w:pStyle w:val="3"/>
        <w:spacing w:line="360" w:lineRule="auto"/>
        <w:ind w:firstLine="480"/>
        <w:rPr>
          <w:rFonts w:eastAsiaTheme="minorEastAsia"/>
          <w:sz w:val="24"/>
        </w:rPr>
      </w:pPr>
      <w:r>
        <w:rPr>
          <w:rFonts w:eastAsiaTheme="minorEastAsia"/>
          <w:sz w:val="24"/>
        </w:rPr>
        <w:t>注意：本行认可轨道集团针对所有参选银行统一采用的测算方式和折算系数，对根据测算数据折算的指标得分充分理解并完全认可。</w:t>
      </w:r>
    </w:p>
    <w:p w14:paraId="4C3EC709">
      <w:pPr>
        <w:pStyle w:val="3"/>
        <w:spacing w:line="360" w:lineRule="auto"/>
        <w:ind w:firstLine="480"/>
        <w:rPr>
          <w:rFonts w:eastAsiaTheme="minorEastAsia"/>
          <w:sz w:val="24"/>
        </w:rPr>
      </w:pPr>
    </w:p>
    <w:p w14:paraId="1F668B99">
      <w:pPr>
        <w:pStyle w:val="3"/>
        <w:spacing w:line="360" w:lineRule="auto"/>
        <w:ind w:firstLine="480"/>
        <w:rPr>
          <w:rFonts w:eastAsiaTheme="minorEastAsia"/>
          <w:sz w:val="24"/>
        </w:rPr>
      </w:pPr>
    </w:p>
    <w:p w14:paraId="3C063291">
      <w:pPr>
        <w:pStyle w:val="3"/>
        <w:spacing w:line="360" w:lineRule="auto"/>
        <w:ind w:firstLine="480"/>
        <w:rPr>
          <w:rFonts w:eastAsiaTheme="minorEastAsia"/>
          <w:sz w:val="24"/>
        </w:rPr>
      </w:pPr>
      <w:r>
        <w:rPr>
          <w:rFonts w:eastAsiaTheme="minorEastAsia"/>
          <w:sz w:val="24"/>
        </w:rPr>
        <w:t>投标人名称 （盖章）：____________________________</w:t>
      </w:r>
    </w:p>
    <w:p w14:paraId="54CEB12D">
      <w:pPr>
        <w:pStyle w:val="3"/>
        <w:spacing w:line="360" w:lineRule="auto"/>
        <w:ind w:firstLine="480"/>
        <w:rPr>
          <w:rFonts w:eastAsiaTheme="minorEastAsia"/>
          <w:sz w:val="24"/>
        </w:rPr>
      </w:pPr>
      <w:r>
        <w:rPr>
          <w:rFonts w:eastAsiaTheme="minorEastAsia"/>
          <w:sz w:val="24"/>
        </w:rPr>
        <w:t>详细地址：____________________________</w:t>
      </w:r>
    </w:p>
    <w:p w14:paraId="186FF6A6">
      <w:pPr>
        <w:pStyle w:val="3"/>
        <w:spacing w:line="360" w:lineRule="auto"/>
        <w:ind w:firstLine="480"/>
        <w:rPr>
          <w:rFonts w:eastAsiaTheme="minorEastAsia"/>
          <w:sz w:val="24"/>
        </w:rPr>
      </w:pPr>
      <w:r>
        <w:rPr>
          <w:rFonts w:eastAsiaTheme="minorEastAsia"/>
          <w:sz w:val="24"/>
        </w:rPr>
        <w:t>法定代表人或其授权代表（签字）：_____________________</w:t>
      </w:r>
    </w:p>
    <w:p w14:paraId="1A55F5FB">
      <w:pPr>
        <w:pStyle w:val="3"/>
        <w:spacing w:line="360" w:lineRule="auto"/>
        <w:ind w:firstLine="480"/>
        <w:rPr>
          <w:rFonts w:eastAsiaTheme="minorEastAsia"/>
          <w:sz w:val="24"/>
        </w:rPr>
      </w:pPr>
      <w:r>
        <w:rPr>
          <w:rFonts w:eastAsiaTheme="minorEastAsia"/>
          <w:sz w:val="24"/>
        </w:rPr>
        <w:t>邮政编码：_______</w:t>
      </w:r>
      <w:r>
        <w:rPr>
          <w:rFonts w:hint="eastAsia" w:eastAsiaTheme="minorEastAsia"/>
          <w:sz w:val="24"/>
        </w:rPr>
        <w:t xml:space="preserve"> </w:t>
      </w:r>
      <w:r>
        <w:rPr>
          <w:rFonts w:eastAsiaTheme="minorEastAsia"/>
          <w:sz w:val="24"/>
        </w:rPr>
        <w:t xml:space="preserve">   联系电话：_____________________</w:t>
      </w:r>
    </w:p>
    <w:p w14:paraId="6ECA5015">
      <w:pPr>
        <w:pStyle w:val="3"/>
        <w:spacing w:line="360" w:lineRule="auto"/>
        <w:ind w:firstLine="480"/>
        <w:rPr>
          <w:rFonts w:eastAsiaTheme="minorEastAsia"/>
          <w:sz w:val="24"/>
        </w:rPr>
      </w:pPr>
      <w:r>
        <w:rPr>
          <w:rFonts w:eastAsiaTheme="minorEastAsia"/>
          <w:sz w:val="24"/>
        </w:rPr>
        <w:t>日    期：</w:t>
      </w:r>
      <w:r>
        <w:rPr>
          <w:rFonts w:eastAsiaTheme="minorEastAsia"/>
          <w:sz w:val="24"/>
        </w:rPr>
        <w:fldChar w:fldCharType="end"/>
      </w:r>
      <w:r>
        <w:rPr>
          <w:rFonts w:eastAsiaTheme="minorEastAsia"/>
          <w:sz w:val="24"/>
        </w:rPr>
        <w:t>_____________________________</w:t>
      </w:r>
    </w:p>
    <w:p w14:paraId="626F34C8">
      <w:pPr>
        <w:pStyle w:val="3"/>
        <w:rPr>
          <w:rFonts w:eastAsiaTheme="minorEastAsia"/>
          <w:szCs w:val="21"/>
        </w:rPr>
      </w:pPr>
    </w:p>
    <w:p w14:paraId="5F48BFEF">
      <w:pPr>
        <w:keepNext/>
        <w:keepLines/>
        <w:spacing w:line="360" w:lineRule="auto"/>
        <w:jc w:val="center"/>
        <w:outlineLvl w:val="1"/>
        <w:rPr>
          <w:b/>
          <w:bCs/>
          <w:kern w:val="0"/>
          <w:sz w:val="32"/>
          <w:szCs w:val="32"/>
        </w:rPr>
      </w:pPr>
      <w:r>
        <w:rPr>
          <w:b/>
          <w:bCs/>
          <w:kern w:val="0"/>
          <w:sz w:val="32"/>
          <w:szCs w:val="32"/>
        </w:rPr>
        <w:t>三</w:t>
      </w:r>
      <w:r>
        <w:rPr>
          <w:rFonts w:hint="eastAsia"/>
          <w:b/>
          <w:bCs/>
          <w:kern w:val="0"/>
          <w:sz w:val="32"/>
          <w:szCs w:val="32"/>
        </w:rPr>
        <w:t>、</w:t>
      </w:r>
      <w:r>
        <w:rPr>
          <w:b/>
          <w:bCs/>
          <w:kern w:val="0"/>
          <w:sz w:val="32"/>
          <w:szCs w:val="32"/>
        </w:rPr>
        <w:t>综合服务方案</w:t>
      </w:r>
    </w:p>
    <w:p w14:paraId="04F82784">
      <w:pPr>
        <w:pStyle w:val="3"/>
        <w:spacing w:line="360" w:lineRule="auto"/>
      </w:pPr>
      <w:r>
        <w:t>参选人自拟</w:t>
      </w:r>
    </w:p>
    <w:sectPr>
      <w:footerReference r:id="rId7" w:type="default"/>
      <w:pgSz w:w="11905" w:h="16838"/>
      <w:pgMar w:top="1440" w:right="1282" w:bottom="1440" w:left="1803" w:header="850" w:footer="992" w:gutter="0"/>
      <w:cols w:space="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A4E4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A62FA">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D53C9C">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9D53C9C">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19187">
    <w:pPr>
      <w:pStyle w:val="8"/>
      <w:jc w:val="center"/>
    </w:pPr>
    <w:r>
      <w:fldChar w:fldCharType="begin"/>
    </w:r>
    <w:r>
      <w:instrText xml:space="preserve"> PAGE   \* MERGEFORMAT </w:instrText>
    </w:r>
    <w:r>
      <w:fldChar w:fldCharType="separate"/>
    </w:r>
    <w:r>
      <w:rPr>
        <w:lang w:val="zh-CN"/>
      </w:rPr>
      <w:t>22</w:t>
    </w:r>
    <w:r>
      <w:fldChar w:fldCharType="end"/>
    </w:r>
  </w:p>
  <w:p w14:paraId="2F68BFC9">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30C61">
    <w:pPr>
      <w:pStyle w:val="8"/>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6D7180">
                          <w:pPr>
                            <w:pStyle w:val="8"/>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4D6D7180">
                    <w:pPr>
                      <w:pStyle w:val="8"/>
                    </w:pPr>
                    <w:r>
                      <w:fldChar w:fldCharType="begin"/>
                    </w:r>
                    <w:r>
                      <w:instrText xml:space="preserve"> PAGE  \* MERGEFORMAT </w:instrText>
                    </w:r>
                    <w:r>
                      <w:fldChar w:fldCharType="separate"/>
                    </w:r>
                    <w: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A5497">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4247C9"/>
    <w:multiLevelType w:val="singleLevel"/>
    <w:tmpl w:val="E54247C9"/>
    <w:lvl w:ilvl="0" w:tentative="0">
      <w:start w:val="2"/>
      <w:numFmt w:val="chineseCounting"/>
      <w:lvlText w:val="(%1)"/>
      <w:lvlJc w:val="left"/>
      <w:pPr>
        <w:tabs>
          <w:tab w:val="left" w:pos="312"/>
        </w:tabs>
        <w:ind w:left="525" w:firstLine="0"/>
      </w:pPr>
      <w:rPr>
        <w:rFonts w:hint="eastAsia"/>
      </w:rPr>
    </w:lvl>
  </w:abstractNum>
  <w:abstractNum w:abstractNumId="1">
    <w:nsid w:val="0EF68DA3"/>
    <w:multiLevelType w:val="singleLevel"/>
    <w:tmpl w:val="0EF68DA3"/>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wZjY1OTkxZTI3MzUxYjY2ZjVmNjUzYmZiMzQ4YTIifQ=="/>
  </w:docVars>
  <w:rsids>
    <w:rsidRoot w:val="3A703719"/>
    <w:rsid w:val="000C696B"/>
    <w:rsid w:val="000F29CB"/>
    <w:rsid w:val="00237220"/>
    <w:rsid w:val="003B7A9D"/>
    <w:rsid w:val="003E2217"/>
    <w:rsid w:val="004B6DBC"/>
    <w:rsid w:val="00605728"/>
    <w:rsid w:val="007C52F6"/>
    <w:rsid w:val="00A24CF4"/>
    <w:rsid w:val="00A701D6"/>
    <w:rsid w:val="00C050DE"/>
    <w:rsid w:val="00CF1E07"/>
    <w:rsid w:val="00D10B01"/>
    <w:rsid w:val="00D4451E"/>
    <w:rsid w:val="00DD2745"/>
    <w:rsid w:val="00DF4582"/>
    <w:rsid w:val="00F356DB"/>
    <w:rsid w:val="00F41023"/>
    <w:rsid w:val="047C0FD4"/>
    <w:rsid w:val="0580796E"/>
    <w:rsid w:val="08AD5590"/>
    <w:rsid w:val="09652EA6"/>
    <w:rsid w:val="0BB8039B"/>
    <w:rsid w:val="0C580AA0"/>
    <w:rsid w:val="0C66118C"/>
    <w:rsid w:val="0CC779D3"/>
    <w:rsid w:val="0CE82647"/>
    <w:rsid w:val="16F65E40"/>
    <w:rsid w:val="1BE82860"/>
    <w:rsid w:val="1EEC52AC"/>
    <w:rsid w:val="1F024D8B"/>
    <w:rsid w:val="23CF7D81"/>
    <w:rsid w:val="27615918"/>
    <w:rsid w:val="290C15E6"/>
    <w:rsid w:val="2BB15F4C"/>
    <w:rsid w:val="2BDE6407"/>
    <w:rsid w:val="3A703719"/>
    <w:rsid w:val="42BB07AE"/>
    <w:rsid w:val="46B52BF9"/>
    <w:rsid w:val="506D7C30"/>
    <w:rsid w:val="50DB40B6"/>
    <w:rsid w:val="57AF7567"/>
    <w:rsid w:val="593D4E93"/>
    <w:rsid w:val="5A3D2F9A"/>
    <w:rsid w:val="5E5E55EE"/>
    <w:rsid w:val="63DA25E0"/>
    <w:rsid w:val="676B07FC"/>
    <w:rsid w:val="68397D3A"/>
    <w:rsid w:val="68C629E5"/>
    <w:rsid w:val="68CD217D"/>
    <w:rsid w:val="6C4A3CCA"/>
    <w:rsid w:val="72BD46A1"/>
    <w:rsid w:val="739764D5"/>
    <w:rsid w:val="740D7529"/>
    <w:rsid w:val="742914C6"/>
    <w:rsid w:val="74D20F67"/>
    <w:rsid w:val="7775268E"/>
    <w:rsid w:val="7DA744D0"/>
    <w:rsid w:val="7DAC43AA"/>
    <w:rsid w:val="7DF64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90" w:lineRule="exact"/>
      <w:ind w:firstLine="400" w:firstLineChars="200"/>
      <w:outlineLvl w:val="1"/>
    </w:pPr>
    <w:rPr>
      <w:rFonts w:ascii="Arial" w:hAnsi="Arial" w:eastAsia="方正黑体_GBK" w:cs="方正仿宋_GBK"/>
      <w:sz w:val="32"/>
      <w:szCs w:val="22"/>
      <w:lang w:val="zh-CN" w:bidi="zh-CN"/>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Body Text"/>
    <w:basedOn w:val="1"/>
    <w:next w:val="1"/>
    <w:qFormat/>
    <w:uiPriority w:val="0"/>
    <w:pPr>
      <w:tabs>
        <w:tab w:val="left" w:pos="5250"/>
      </w:tabs>
    </w:pPr>
    <w:rPr>
      <w:szCs w:val="20"/>
    </w:rPr>
  </w:style>
  <w:style w:type="paragraph" w:styleId="6">
    <w:name w:val="Body Text Indent"/>
    <w:basedOn w:val="1"/>
    <w:qFormat/>
    <w:uiPriority w:val="0"/>
    <w:pPr>
      <w:ind w:left="765"/>
    </w:pPr>
    <w:rPr>
      <w:rFonts w:ascii="仿宋_GB2312" w:eastAsia="仿宋_GB2312"/>
      <w:kern w:val="0"/>
      <w:sz w:val="28"/>
      <w:szCs w:val="20"/>
    </w:rPr>
  </w:style>
  <w:style w:type="paragraph" w:styleId="7">
    <w:name w:val="Plain Text"/>
    <w:basedOn w:val="1"/>
    <w:unhideWhenUsed/>
    <w:qFormat/>
    <w:uiPriority w:val="0"/>
    <w:pPr>
      <w:spacing w:line="360" w:lineRule="auto"/>
      <w:ind w:left="708" w:leftChars="150" w:hanging="393" w:hangingChars="187"/>
    </w:pPr>
    <w:rPr>
      <w:rFonts w:ascii="宋体" w:hAnsi="Courier New"/>
      <w:kern w:val="0"/>
      <w:sz w:val="20"/>
      <w:szCs w:val="21"/>
    </w:rPr>
  </w:style>
  <w:style w:type="paragraph" w:styleId="8">
    <w:name w:val="footer"/>
    <w:basedOn w:val="1"/>
    <w:qFormat/>
    <w:uiPriority w:val="99"/>
    <w:pPr>
      <w:tabs>
        <w:tab w:val="center" w:pos="4153"/>
        <w:tab w:val="right" w:pos="8306"/>
      </w:tabs>
      <w:snapToGrid w:val="0"/>
      <w:jc w:val="left"/>
    </w:pPr>
    <w:rPr>
      <w:kern w:val="0"/>
      <w:sz w:val="18"/>
      <w:szCs w:val="20"/>
    </w:rPr>
  </w:style>
  <w:style w:type="paragraph" w:styleId="9">
    <w:name w:val="envelope return"/>
    <w:basedOn w:val="1"/>
    <w:unhideWhenUsed/>
    <w:qFormat/>
    <w:uiPriority w:val="99"/>
    <w:pPr>
      <w:snapToGrid w:val="0"/>
    </w:pPr>
    <w:rPr>
      <w:rFonts w:ascii="Arial" w:hAnsi="Arial"/>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rPr>
      <w:sz w:val="24"/>
    </w:rPr>
  </w:style>
  <w:style w:type="paragraph" w:styleId="12">
    <w:name w:val="toc 2"/>
    <w:next w:val="1"/>
    <w:qFormat/>
    <w:uiPriority w:val="3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13">
    <w:name w:val="Normal (Web)"/>
    <w:basedOn w:val="1"/>
    <w:qFormat/>
    <w:uiPriority w:val="0"/>
    <w:pPr>
      <w:spacing w:before="100" w:beforeAutospacing="1" w:after="100" w:afterAutospacing="1"/>
      <w:jc w:val="left"/>
    </w:pPr>
    <w:rPr>
      <w:color w:val="000000"/>
      <w:kern w:val="0"/>
      <w:sz w:val="24"/>
    </w:rPr>
  </w:style>
  <w:style w:type="paragraph" w:styleId="14">
    <w:name w:val="Body Text First Indent 2"/>
    <w:basedOn w:val="6"/>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正文缩进11"/>
    <w:qFormat/>
    <w:uiPriority w:val="0"/>
    <w:pPr>
      <w:widowControl w:val="0"/>
      <w:ind w:firstLine="420"/>
      <w:jc w:val="both"/>
    </w:pPr>
    <w:rPr>
      <w:rFonts w:ascii="Times New Roman" w:hAnsi="Times New Roman" w:eastAsia="宋体" w:cs="Times New Roman"/>
      <w:b/>
      <w:kern w:val="2"/>
      <w:sz w:val="21"/>
      <w:lang w:val="en-US" w:eastAsia="zh-CN" w:bidi="ar-SA"/>
    </w:rPr>
  </w:style>
  <w:style w:type="paragraph" w:customStyle="1" w:styleId="20">
    <w:name w:val="正文缩进2格"/>
    <w:qFormat/>
    <w:uiPriority w:val="0"/>
    <w:pPr>
      <w:widowControl w:val="0"/>
      <w:spacing w:line="600" w:lineRule="exact"/>
      <w:ind w:firstLine="639" w:firstLineChars="206"/>
      <w:jc w:val="both"/>
    </w:pPr>
    <w:rPr>
      <w:rFonts w:ascii="仿宋_GB2312" w:hAnsi="宋体" w:eastAsia="仿宋_GB2312" w:cs="Times New Roman"/>
      <w:sz w:val="31"/>
      <w:szCs w:val="28"/>
      <w:lang w:val="en-US" w:eastAsia="zh-CN" w:bidi="ar-SA"/>
    </w:rPr>
  </w:style>
  <w:style w:type="paragraph" w:customStyle="1" w:styleId="21">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
    <w:name w:val="样式 标题 2标题 1.1编号标题2Reset numberingh2MVA2ERMH2 + 宋体 四号 行距:..."/>
    <w:basedOn w:val="2"/>
    <w:autoRedefine/>
    <w:qFormat/>
    <w:uiPriority w:val="0"/>
    <w:pPr>
      <w:overflowPunct w:val="0"/>
      <w:adjustRightInd w:val="0"/>
      <w:spacing w:line="320" w:lineRule="exact"/>
      <w:jc w:val="center"/>
    </w:pPr>
    <w:rPr>
      <w:rFonts w:ascii="宋体" w:hAnsi="宋体" w:eastAsia="楷体_GB2312" w:cs="宋体"/>
      <w:kern w:val="0"/>
      <w:szCs w:val="20"/>
    </w:rPr>
  </w:style>
  <w:style w:type="paragraph" w:styleId="23">
    <w:name w:val="List Paragraph"/>
    <w:basedOn w:val="1"/>
    <w:autoRedefine/>
    <w:unhideWhenUsed/>
    <w:qFormat/>
    <w:uiPriority w:val="99"/>
    <w:pPr>
      <w:ind w:firstLine="420" w:firstLineChars="200"/>
    </w:pPr>
  </w:style>
  <w:style w:type="paragraph" w:customStyle="1" w:styleId="24">
    <w:name w:val="Default"/>
    <w:next w:val="1"/>
    <w:qFormat/>
    <w:uiPriority w:val="0"/>
    <w:pPr>
      <w:widowControl w:val="0"/>
      <w:autoSpaceDE w:val="0"/>
      <w:autoSpaceDN w:val="0"/>
      <w:adjustRightInd w:val="0"/>
      <w:spacing w:line="360" w:lineRule="auto"/>
      <w:ind w:firstLine="147" w:firstLineChars="147"/>
      <w:jc w:val="both"/>
    </w:pPr>
    <w:rPr>
      <w:rFonts w:ascii="宋体" w:hAnsi="Arial" w:eastAsia="宋体" w:cs="Times New Roman"/>
      <w:color w:val="000000"/>
      <w:kern w:val="2"/>
      <w:sz w:val="24"/>
      <w:szCs w:val="24"/>
      <w:lang w:val="en-US" w:eastAsia="zh-CN" w:bidi="ar-SA"/>
    </w:rPr>
  </w:style>
  <w:style w:type="paragraph" w:customStyle="1" w:styleId="25">
    <w:name w:val="列出段落2"/>
    <w:qFormat/>
    <w:uiPriority w:val="34"/>
    <w:pPr>
      <w:spacing w:line="360" w:lineRule="auto"/>
      <w:ind w:left="708" w:leftChars="150" w:firstLine="420" w:firstLineChars="200"/>
    </w:pPr>
    <w:rPr>
      <w:rFonts w:ascii="Times New Roman" w:hAnsi="Times New Roman" w:eastAsia="宋体" w:cs="Times New Roman"/>
      <w:kern w:val="2"/>
      <w:sz w:val="21"/>
      <w:szCs w:val="21"/>
      <w:lang w:val="en-US" w:eastAsia="zh-CN" w:bidi="ar-SA"/>
    </w:rPr>
  </w:style>
  <w:style w:type="character" w:customStyle="1" w:styleId="26">
    <w:name w:val="font1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26</Pages>
  <Words>9483</Words>
  <Characters>10031</Characters>
  <Lines>453</Lines>
  <Paragraphs>459</Paragraphs>
  <TotalTime>152</TotalTime>
  <ScaleCrop>false</ScaleCrop>
  <LinksUpToDate>false</LinksUpToDate>
  <CharactersWithSpaces>10862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2024-10-14T05:46:00Z</dcterms:created>
  <dc:creator>陆俊</dc:creator>
  <cp:lastModifiedBy>wyj</cp:lastModifiedBy>
  <cp:lastPrinted>2025-08-14T01:24:00Z</cp:lastPrinted>
  <dcterms:modified xsi:type="dcterms:W3CDTF">2025-09-11T07:53:21Z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12FC2251778E4BC985751FC366B03F97_13</vt:lpwstr>
  </property>
  <property fmtid="{D5CDD505-2E9C-101B-9397-08002B2CF9AE}" pid="4" name="KSOTemplateDocerSaveRecord">
    <vt:lpwstr>eyJoZGlkIjoiZmI2YWE0OTNmYzdiYzA4NjQxNGI2YWExOTJkMzUzN2QiLCJ1c2VySWQiOiI2NjczNDI1ODcifQ==</vt:lpwstr>
  </property>
</Properties>
</file>