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0415A">
      <w:pPr>
        <w:tabs>
          <w:tab w:val="left" w:pos="6300"/>
        </w:tabs>
        <w:snapToGrid w:val="0"/>
        <w:spacing w:line="440" w:lineRule="exact"/>
        <w:ind w:right="-941" w:rightChars="-448"/>
        <w:jc w:val="center"/>
        <w:rPr>
          <w:rFonts w:hint="eastAsia" w:ascii="宋体" w:hAnsi="宋体" w:eastAsia="宋体" w:cs="宋体"/>
          <w:b/>
          <w:sz w:val="52"/>
          <w:szCs w:val="52"/>
          <w:highlight w:val="none"/>
        </w:rPr>
      </w:pPr>
    </w:p>
    <w:p w14:paraId="20D6E8A3">
      <w:pPr>
        <w:tabs>
          <w:tab w:val="left" w:pos="6300"/>
        </w:tabs>
        <w:snapToGrid w:val="0"/>
        <w:spacing w:line="360" w:lineRule="auto"/>
        <w:ind w:right="-941" w:rightChars="-448"/>
        <w:rPr>
          <w:rFonts w:hint="eastAsia" w:ascii="宋体" w:hAnsi="宋体" w:eastAsia="宋体" w:cs="宋体"/>
          <w:b/>
          <w:sz w:val="52"/>
          <w:szCs w:val="52"/>
          <w:highlight w:val="none"/>
        </w:rPr>
      </w:pPr>
    </w:p>
    <w:p w14:paraId="5FC88F98">
      <w:pPr>
        <w:spacing w:before="300" w:after="300" w:line="360" w:lineRule="auto"/>
        <w:ind w:right="-101" w:rightChars="-48"/>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南通轨道交通城市消防远程监控中心设施设备采购项目</w:t>
      </w:r>
      <w:bookmarkStart w:id="348" w:name="_GoBack"/>
      <w:bookmarkEnd w:id="348"/>
    </w:p>
    <w:p w14:paraId="532B5EF0">
      <w:pPr>
        <w:spacing w:line="360" w:lineRule="auto"/>
        <w:ind w:right="-941" w:rightChars="-448"/>
        <w:jc w:val="center"/>
        <w:rPr>
          <w:rFonts w:hint="eastAsia" w:ascii="宋体" w:hAnsi="宋体" w:eastAsia="宋体" w:cs="宋体"/>
          <w:b/>
          <w:sz w:val="100"/>
          <w:szCs w:val="100"/>
          <w:highlight w:val="none"/>
        </w:rPr>
      </w:pPr>
    </w:p>
    <w:p w14:paraId="5AA62E2E">
      <w:pPr>
        <w:spacing w:line="360" w:lineRule="auto"/>
        <w:ind w:right="-101" w:rightChars="-48"/>
        <w:jc w:val="center"/>
        <w:rPr>
          <w:rFonts w:hint="eastAsia" w:ascii="宋体" w:hAnsi="宋体" w:eastAsia="宋体" w:cs="宋体"/>
          <w:b/>
          <w:sz w:val="100"/>
          <w:szCs w:val="100"/>
          <w:highlight w:val="none"/>
        </w:rPr>
      </w:pPr>
      <w:r>
        <w:rPr>
          <w:rFonts w:hint="eastAsia" w:ascii="宋体" w:hAnsi="宋体" w:eastAsia="宋体" w:cs="宋体"/>
          <w:b/>
          <w:sz w:val="100"/>
          <w:szCs w:val="100"/>
          <w:highlight w:val="none"/>
        </w:rPr>
        <w:t>比选文件</w:t>
      </w:r>
    </w:p>
    <w:p w14:paraId="2B9D8C29">
      <w:pPr>
        <w:spacing w:line="360" w:lineRule="auto"/>
        <w:ind w:right="-941" w:rightChars="-448"/>
        <w:rPr>
          <w:rFonts w:hint="eastAsia" w:ascii="宋体" w:hAnsi="宋体" w:eastAsia="宋体" w:cs="宋体"/>
          <w:highlight w:val="none"/>
        </w:rPr>
      </w:pPr>
    </w:p>
    <w:p w14:paraId="302F352F">
      <w:pPr>
        <w:keepNext/>
        <w:spacing w:line="360" w:lineRule="auto"/>
        <w:ind w:right="-941" w:rightChars="-448"/>
        <w:jc w:val="center"/>
        <w:rPr>
          <w:rFonts w:hint="eastAsia" w:ascii="宋体" w:hAnsi="宋体" w:eastAsia="宋体" w:cs="宋体"/>
          <w:sz w:val="36"/>
          <w:szCs w:val="36"/>
          <w:highlight w:val="none"/>
        </w:rPr>
      </w:pPr>
    </w:p>
    <w:p w14:paraId="305A4F52">
      <w:pPr>
        <w:spacing w:line="440" w:lineRule="exact"/>
        <w:ind w:right="-941" w:rightChars="-448"/>
        <w:jc w:val="center"/>
        <w:rPr>
          <w:rFonts w:hint="eastAsia" w:ascii="宋体" w:hAnsi="宋体" w:eastAsia="宋体" w:cs="宋体"/>
          <w:b/>
          <w:sz w:val="36"/>
          <w:highlight w:val="none"/>
        </w:rPr>
      </w:pPr>
    </w:p>
    <w:p w14:paraId="0A412EFA">
      <w:pPr>
        <w:spacing w:line="440" w:lineRule="exact"/>
        <w:ind w:right="-941" w:rightChars="-448"/>
        <w:jc w:val="center"/>
        <w:rPr>
          <w:rFonts w:hint="eastAsia" w:ascii="宋体" w:hAnsi="宋体" w:eastAsia="宋体" w:cs="宋体"/>
          <w:b/>
          <w:sz w:val="36"/>
          <w:highlight w:val="none"/>
        </w:rPr>
      </w:pPr>
    </w:p>
    <w:p w14:paraId="325FF59C">
      <w:pPr>
        <w:spacing w:line="440" w:lineRule="exact"/>
        <w:ind w:right="-941" w:rightChars="-448"/>
        <w:jc w:val="center"/>
        <w:rPr>
          <w:rFonts w:hint="eastAsia" w:ascii="宋体" w:hAnsi="宋体" w:eastAsia="宋体" w:cs="宋体"/>
          <w:b/>
          <w:sz w:val="36"/>
          <w:highlight w:val="none"/>
        </w:rPr>
      </w:pPr>
    </w:p>
    <w:p w14:paraId="4A956618">
      <w:pPr>
        <w:spacing w:line="440" w:lineRule="exact"/>
        <w:ind w:right="-941" w:rightChars="-448"/>
        <w:rPr>
          <w:rFonts w:hint="eastAsia" w:ascii="宋体" w:hAnsi="宋体" w:eastAsia="宋体" w:cs="宋体"/>
          <w:highlight w:val="none"/>
        </w:rPr>
      </w:pPr>
    </w:p>
    <w:p w14:paraId="5B5CF79F">
      <w:pPr>
        <w:spacing w:line="440" w:lineRule="exact"/>
        <w:ind w:right="-941" w:rightChars="-448"/>
        <w:jc w:val="center"/>
        <w:rPr>
          <w:rFonts w:hint="eastAsia" w:ascii="宋体" w:hAnsi="宋体" w:eastAsia="宋体" w:cs="宋体"/>
          <w:sz w:val="32"/>
          <w:highlight w:val="none"/>
        </w:rPr>
      </w:pPr>
    </w:p>
    <w:p w14:paraId="6F845C47">
      <w:pPr>
        <w:spacing w:line="440" w:lineRule="exact"/>
        <w:ind w:right="-941" w:rightChars="-448"/>
        <w:jc w:val="center"/>
        <w:rPr>
          <w:rFonts w:hint="eastAsia" w:ascii="宋体" w:hAnsi="宋体" w:eastAsia="宋体" w:cs="宋体"/>
          <w:sz w:val="32"/>
          <w:highlight w:val="none"/>
        </w:rPr>
      </w:pPr>
    </w:p>
    <w:p w14:paraId="6C4B2277">
      <w:pPr>
        <w:snapToGrid w:val="0"/>
        <w:spacing w:line="440" w:lineRule="exact"/>
        <w:ind w:right="-941" w:rightChars="-448"/>
        <w:rPr>
          <w:rFonts w:hint="eastAsia" w:ascii="宋体" w:hAnsi="宋体" w:eastAsia="宋体" w:cs="宋体"/>
          <w:b/>
          <w:sz w:val="36"/>
          <w:highlight w:val="none"/>
        </w:rPr>
      </w:pPr>
    </w:p>
    <w:p w14:paraId="5FFE990D">
      <w:pPr>
        <w:spacing w:line="360" w:lineRule="auto"/>
        <w:ind w:right="-101" w:rightChars="-48"/>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比选人：南通轨道资源开发有限公司</w:t>
      </w:r>
    </w:p>
    <w:p w14:paraId="0D79B8B9">
      <w:pPr>
        <w:spacing w:line="360" w:lineRule="auto"/>
        <w:ind w:right="-101" w:rightChars="-48"/>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招标代理机构：中达工程管理咨询有限公司</w:t>
      </w:r>
    </w:p>
    <w:p w14:paraId="71C51AC8">
      <w:pPr>
        <w:spacing w:line="360" w:lineRule="auto"/>
        <w:ind w:right="-101" w:rightChars="-48"/>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2025年</w:t>
      </w:r>
      <w:r>
        <w:rPr>
          <w:rFonts w:hint="eastAsia" w:ascii="宋体" w:hAnsi="宋体" w:eastAsia="宋体" w:cs="宋体"/>
          <w:b/>
          <w:sz w:val="30"/>
          <w:szCs w:val="30"/>
          <w:highlight w:val="none"/>
          <w:lang w:val="en-US" w:eastAsia="zh-CN"/>
        </w:rPr>
        <w:t>10</w:t>
      </w:r>
      <w:r>
        <w:rPr>
          <w:rFonts w:hint="eastAsia" w:ascii="宋体" w:hAnsi="宋体" w:eastAsia="宋体" w:cs="宋体"/>
          <w:b/>
          <w:sz w:val="30"/>
          <w:szCs w:val="30"/>
          <w:highlight w:val="none"/>
        </w:rPr>
        <w:t>月</w:t>
      </w:r>
    </w:p>
    <w:p w14:paraId="45C48BA9">
      <w:pPr>
        <w:spacing w:line="440" w:lineRule="exact"/>
        <w:ind w:right="-101" w:rightChars="-48"/>
        <w:jc w:val="center"/>
        <w:rPr>
          <w:rFonts w:hint="eastAsia" w:ascii="宋体" w:hAnsi="宋体" w:eastAsia="宋体" w:cs="宋体"/>
          <w:b/>
          <w:bCs/>
          <w:sz w:val="44"/>
          <w:szCs w:val="44"/>
          <w:highlight w:val="none"/>
        </w:rPr>
        <w:sectPr>
          <w:pgSz w:w="11905" w:h="16838"/>
          <w:pgMar w:top="1440" w:right="1803" w:bottom="1440" w:left="1803" w:header="850" w:footer="992" w:gutter="0"/>
          <w:pgBorders>
            <w:top w:val="none" w:sz="0" w:space="0"/>
            <w:left w:val="none" w:sz="0" w:space="0"/>
            <w:bottom w:val="none" w:sz="0" w:space="0"/>
            <w:right w:val="none" w:sz="0" w:space="0"/>
          </w:pgBorders>
          <w:cols w:space="720" w:num="1"/>
          <w:docGrid w:type="lines" w:linePitch="325" w:charSpace="0"/>
        </w:sectPr>
      </w:pPr>
    </w:p>
    <w:p w14:paraId="402F7436">
      <w:pPr>
        <w:spacing w:line="360" w:lineRule="auto"/>
        <w:ind w:right="-101" w:rightChars="-48"/>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目录</w:t>
      </w:r>
    </w:p>
    <w:p w14:paraId="76FCB6CD">
      <w:pPr>
        <w:pStyle w:val="27"/>
        <w:tabs>
          <w:tab w:val="right" w:leader="dot" w:pos="8299"/>
        </w:tabs>
        <w:spacing w:line="440" w:lineRule="exact"/>
        <w:rPr>
          <w:rFonts w:hint="eastAsia" w:ascii="宋体" w:hAnsi="宋体" w:eastAsia="宋体" w:cs="宋体"/>
          <w:highlight w:val="none"/>
        </w:rPr>
      </w:pPr>
      <w:r>
        <w:rPr>
          <w:rFonts w:hint="eastAsia" w:ascii="宋体" w:hAnsi="宋体" w:eastAsia="宋体" w:cs="宋体"/>
          <w:b/>
          <w:highlight w:val="none"/>
        </w:rPr>
        <w:fldChar w:fldCharType="begin"/>
      </w:r>
      <w:r>
        <w:rPr>
          <w:rFonts w:hint="eastAsia" w:ascii="宋体" w:hAnsi="宋体" w:eastAsia="宋体" w:cs="宋体"/>
          <w:b/>
          <w:highlight w:val="none"/>
        </w:rPr>
        <w:instrText xml:space="preserve">TOC \o "1-3" \h \u </w:instrText>
      </w:r>
      <w:r>
        <w:rPr>
          <w:rFonts w:hint="eastAsia" w:ascii="宋体" w:hAnsi="宋体" w:eastAsia="宋体" w:cs="宋体"/>
          <w:b/>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"_Toc19164" </w:instrText>
      </w:r>
      <w:r>
        <w:rPr>
          <w:rFonts w:hint="eastAsia" w:ascii="宋体" w:hAnsi="宋体" w:eastAsia="宋体" w:cs="宋体"/>
          <w:highlight w:val="none"/>
        </w:rPr>
        <w:fldChar w:fldCharType="separate"/>
      </w:r>
      <w:r>
        <w:rPr>
          <w:rFonts w:hint="eastAsia" w:ascii="宋体" w:hAnsi="宋体" w:eastAsia="宋体" w:cs="宋体"/>
          <w:bCs/>
          <w:highlight w:val="none"/>
        </w:rPr>
        <w:t>第一章  比选公告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_Toc19164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84BCF54">
      <w:pPr>
        <w:pStyle w:val="30"/>
        <w:tabs>
          <w:tab w:val="right" w:leader="dot" w:pos="8299"/>
        </w:tabs>
        <w:spacing w:line="440" w:lineRule="exact"/>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"_Toc22873" </w:instrText>
      </w:r>
      <w:r>
        <w:rPr>
          <w:rFonts w:hint="eastAsia" w:ascii="宋体" w:hAnsi="宋体" w:eastAsia="宋体" w:cs="宋体"/>
          <w:highlight w:val="none"/>
        </w:rPr>
        <w:fldChar w:fldCharType="separate"/>
      </w:r>
      <w:r>
        <w:rPr>
          <w:rFonts w:hint="eastAsia" w:ascii="宋体" w:hAnsi="宋体" w:eastAsia="宋体" w:cs="宋体"/>
          <w:sz w:val="24"/>
          <w:highlight w:val="none"/>
        </w:rPr>
        <w:t>一、项目基本情况</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_Toc22873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1</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6C5DB138">
      <w:pPr>
        <w:pStyle w:val="30"/>
        <w:tabs>
          <w:tab w:val="right" w:leader="dot" w:pos="8299"/>
        </w:tabs>
        <w:spacing w:line="440" w:lineRule="exact"/>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"_Toc1349" </w:instrText>
      </w:r>
      <w:r>
        <w:rPr>
          <w:rFonts w:hint="eastAsia" w:ascii="宋体" w:hAnsi="宋体" w:eastAsia="宋体" w:cs="宋体"/>
          <w:highlight w:val="none"/>
        </w:rPr>
        <w:fldChar w:fldCharType="separate"/>
      </w:r>
      <w:r>
        <w:rPr>
          <w:rFonts w:hint="eastAsia" w:ascii="宋体" w:hAnsi="宋体" w:eastAsia="宋体" w:cs="宋体"/>
          <w:sz w:val="24"/>
          <w:highlight w:val="none"/>
        </w:rPr>
        <w:t>二、参选人的资格要求</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_Toc1349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1</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2605DAFB">
      <w:pPr>
        <w:pStyle w:val="30"/>
        <w:tabs>
          <w:tab w:val="right" w:leader="dot" w:pos="8299"/>
        </w:tabs>
        <w:spacing w:line="440" w:lineRule="exact"/>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"_Toc9548" </w:instrText>
      </w:r>
      <w:r>
        <w:rPr>
          <w:rFonts w:hint="eastAsia" w:ascii="宋体" w:hAnsi="宋体" w:eastAsia="宋体" w:cs="宋体"/>
          <w:highlight w:val="none"/>
        </w:rPr>
        <w:fldChar w:fldCharType="separate"/>
      </w:r>
      <w:r>
        <w:rPr>
          <w:rFonts w:hint="eastAsia" w:ascii="宋体" w:hAnsi="宋体" w:eastAsia="宋体" w:cs="宋体"/>
          <w:sz w:val="24"/>
          <w:highlight w:val="none"/>
        </w:rPr>
        <w:t>三、获取比选文件</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_Toc9548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1</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3DCFA8E0">
      <w:pPr>
        <w:pStyle w:val="30"/>
        <w:tabs>
          <w:tab w:val="right" w:leader="dot" w:pos="8299"/>
        </w:tabs>
        <w:spacing w:line="440" w:lineRule="exact"/>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"_Toc7175" </w:instrText>
      </w:r>
      <w:r>
        <w:rPr>
          <w:rFonts w:hint="eastAsia" w:ascii="宋体" w:hAnsi="宋体" w:eastAsia="宋体" w:cs="宋体"/>
          <w:highlight w:val="none"/>
        </w:rPr>
        <w:fldChar w:fldCharType="separate"/>
      </w:r>
      <w:r>
        <w:rPr>
          <w:rFonts w:hint="eastAsia" w:ascii="宋体" w:hAnsi="宋体" w:eastAsia="宋体" w:cs="宋体"/>
          <w:sz w:val="24"/>
          <w:highlight w:val="none"/>
        </w:rPr>
        <w:t>四、提交参选文件截止时间、比选时间和地点</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_Toc7175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2</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4A1141EA">
      <w:pPr>
        <w:pStyle w:val="30"/>
        <w:tabs>
          <w:tab w:val="right" w:leader="dot" w:pos="8299"/>
        </w:tabs>
        <w:spacing w:line="440" w:lineRule="exact"/>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"_Toc11479" </w:instrText>
      </w:r>
      <w:r>
        <w:rPr>
          <w:rFonts w:hint="eastAsia" w:ascii="宋体" w:hAnsi="宋体" w:eastAsia="宋体" w:cs="宋体"/>
          <w:highlight w:val="none"/>
        </w:rPr>
        <w:fldChar w:fldCharType="separate"/>
      </w:r>
      <w:r>
        <w:rPr>
          <w:rFonts w:hint="eastAsia" w:ascii="宋体" w:hAnsi="宋体" w:eastAsia="宋体" w:cs="宋体"/>
          <w:sz w:val="24"/>
          <w:highlight w:val="none"/>
        </w:rPr>
        <w:t>五、对本次比选提出询问，请按以下方式联系</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_Toc11479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2</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3942D8EC">
      <w:pPr>
        <w:pStyle w:val="30"/>
        <w:tabs>
          <w:tab w:val="right" w:leader="dot" w:pos="8299"/>
        </w:tabs>
        <w:spacing w:line="440" w:lineRule="exact"/>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"_Toc28435" </w:instrText>
      </w:r>
      <w:r>
        <w:rPr>
          <w:rFonts w:hint="eastAsia" w:ascii="宋体" w:hAnsi="宋体" w:eastAsia="宋体" w:cs="宋体"/>
          <w:highlight w:val="none"/>
        </w:rPr>
        <w:fldChar w:fldCharType="separate"/>
      </w:r>
      <w:r>
        <w:rPr>
          <w:rFonts w:hint="eastAsia" w:ascii="宋体" w:hAnsi="宋体" w:eastAsia="宋体" w:cs="宋体"/>
          <w:sz w:val="24"/>
          <w:highlight w:val="none"/>
        </w:rPr>
        <w:t>六、异议处理方式</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_Toc28435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2</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0DFE366B">
      <w:pPr>
        <w:pStyle w:val="27"/>
        <w:tabs>
          <w:tab w:val="right" w:leader="dot" w:pos="8299"/>
        </w:tabs>
        <w:spacing w:line="44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"_Toc3912" </w:instrText>
      </w:r>
      <w:r>
        <w:rPr>
          <w:rFonts w:hint="eastAsia" w:ascii="宋体" w:hAnsi="宋体" w:eastAsia="宋体" w:cs="宋体"/>
          <w:highlight w:val="none"/>
        </w:rPr>
        <w:fldChar w:fldCharType="separate"/>
      </w:r>
      <w:r>
        <w:rPr>
          <w:rFonts w:hint="eastAsia" w:ascii="宋体" w:hAnsi="宋体" w:eastAsia="宋体" w:cs="宋体"/>
          <w:bCs/>
          <w:highlight w:val="none"/>
        </w:rPr>
        <w:t>第二章  参选须知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_Toc3912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0FBB698">
      <w:pPr>
        <w:pStyle w:val="30"/>
        <w:tabs>
          <w:tab w:val="right" w:leader="dot" w:pos="8299"/>
        </w:tabs>
        <w:spacing w:line="440" w:lineRule="exact"/>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"_Toc27419" </w:instrText>
      </w:r>
      <w:r>
        <w:rPr>
          <w:rFonts w:hint="eastAsia" w:ascii="宋体" w:hAnsi="宋体" w:eastAsia="宋体" w:cs="宋体"/>
          <w:highlight w:val="none"/>
        </w:rPr>
        <w:fldChar w:fldCharType="separate"/>
      </w:r>
      <w:r>
        <w:rPr>
          <w:rFonts w:hint="eastAsia" w:ascii="宋体" w:hAnsi="宋体" w:eastAsia="宋体" w:cs="宋体"/>
          <w:sz w:val="24"/>
          <w:highlight w:val="none"/>
        </w:rPr>
        <w:t>一、总则</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_Toc27419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3</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08137363">
      <w:pPr>
        <w:pStyle w:val="30"/>
        <w:tabs>
          <w:tab w:val="right" w:leader="dot" w:pos="8299"/>
        </w:tabs>
        <w:spacing w:line="440" w:lineRule="exact"/>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"_Toc3776" </w:instrText>
      </w:r>
      <w:r>
        <w:rPr>
          <w:rFonts w:hint="eastAsia" w:ascii="宋体" w:hAnsi="宋体" w:eastAsia="宋体" w:cs="宋体"/>
          <w:highlight w:val="none"/>
        </w:rPr>
        <w:fldChar w:fldCharType="separate"/>
      </w:r>
      <w:r>
        <w:rPr>
          <w:rFonts w:hint="eastAsia" w:ascii="宋体" w:hAnsi="宋体" w:eastAsia="宋体" w:cs="宋体"/>
          <w:sz w:val="24"/>
          <w:highlight w:val="none"/>
        </w:rPr>
        <w:t>二、比选文件构成</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_Toc3776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3</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6BDE719A">
      <w:pPr>
        <w:pStyle w:val="30"/>
        <w:tabs>
          <w:tab w:val="right" w:leader="dot" w:pos="8299"/>
        </w:tabs>
        <w:spacing w:line="440" w:lineRule="exact"/>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"_Toc31014" </w:instrText>
      </w:r>
      <w:r>
        <w:rPr>
          <w:rFonts w:hint="eastAsia" w:ascii="宋体" w:hAnsi="宋体" w:eastAsia="宋体" w:cs="宋体"/>
          <w:highlight w:val="none"/>
        </w:rPr>
        <w:fldChar w:fldCharType="separate"/>
      </w:r>
      <w:r>
        <w:rPr>
          <w:rFonts w:hint="eastAsia" w:ascii="宋体" w:hAnsi="宋体" w:eastAsia="宋体" w:cs="宋体"/>
          <w:sz w:val="24"/>
          <w:highlight w:val="none"/>
        </w:rPr>
        <w:t>三、比选文件由比选人解释</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_Toc31014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3</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11AEB46D">
      <w:pPr>
        <w:pStyle w:val="30"/>
        <w:tabs>
          <w:tab w:val="right" w:leader="dot" w:pos="8299"/>
        </w:tabs>
        <w:spacing w:line="440" w:lineRule="exact"/>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"_Toc2538" </w:instrText>
      </w:r>
      <w:r>
        <w:rPr>
          <w:rFonts w:hint="eastAsia" w:ascii="宋体" w:hAnsi="宋体" w:eastAsia="宋体" w:cs="宋体"/>
          <w:highlight w:val="none"/>
        </w:rPr>
        <w:fldChar w:fldCharType="separate"/>
      </w:r>
      <w:r>
        <w:rPr>
          <w:rFonts w:hint="eastAsia" w:ascii="宋体" w:hAnsi="宋体" w:eastAsia="宋体" w:cs="宋体"/>
          <w:sz w:val="24"/>
          <w:highlight w:val="none"/>
        </w:rPr>
        <w:t>四、比选文件的澄清、修改</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_Toc2538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3</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39E018F0">
      <w:pPr>
        <w:pStyle w:val="30"/>
        <w:tabs>
          <w:tab w:val="right" w:leader="dot" w:pos="8299"/>
        </w:tabs>
        <w:spacing w:line="440" w:lineRule="exact"/>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"_Toc14315" </w:instrText>
      </w:r>
      <w:r>
        <w:rPr>
          <w:rFonts w:hint="eastAsia" w:ascii="宋体" w:hAnsi="宋体" w:eastAsia="宋体" w:cs="宋体"/>
          <w:highlight w:val="none"/>
        </w:rPr>
        <w:fldChar w:fldCharType="separate"/>
      </w:r>
      <w:r>
        <w:rPr>
          <w:rFonts w:hint="eastAsia" w:ascii="宋体" w:hAnsi="宋体" w:eastAsia="宋体" w:cs="宋体"/>
          <w:sz w:val="24"/>
          <w:highlight w:val="none"/>
        </w:rPr>
        <w:t>五、参选文件的组成、编制、密封</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_Toc14315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4</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24F2586C">
      <w:pPr>
        <w:pStyle w:val="30"/>
        <w:tabs>
          <w:tab w:val="right" w:leader="dot" w:pos="8299"/>
        </w:tabs>
        <w:spacing w:line="440" w:lineRule="exact"/>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"_Toc23665" </w:instrText>
      </w:r>
      <w:r>
        <w:rPr>
          <w:rFonts w:hint="eastAsia" w:ascii="宋体" w:hAnsi="宋体" w:eastAsia="宋体" w:cs="宋体"/>
          <w:highlight w:val="none"/>
        </w:rPr>
        <w:fldChar w:fldCharType="separate"/>
      </w:r>
      <w:r>
        <w:rPr>
          <w:rFonts w:hint="eastAsia" w:ascii="宋体" w:hAnsi="宋体" w:eastAsia="宋体" w:cs="宋体"/>
          <w:sz w:val="24"/>
          <w:highlight w:val="none"/>
        </w:rPr>
        <w:t>六、参选报价</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_Toc23665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4</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16AB43E4">
      <w:pPr>
        <w:pStyle w:val="30"/>
        <w:tabs>
          <w:tab w:val="right" w:leader="dot" w:pos="8299"/>
        </w:tabs>
        <w:spacing w:line="440" w:lineRule="exact"/>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"_Toc13556" </w:instrText>
      </w:r>
      <w:r>
        <w:rPr>
          <w:rFonts w:hint="eastAsia" w:ascii="宋体" w:hAnsi="宋体" w:eastAsia="宋体" w:cs="宋体"/>
          <w:highlight w:val="none"/>
        </w:rPr>
        <w:fldChar w:fldCharType="separate"/>
      </w:r>
      <w:r>
        <w:rPr>
          <w:rFonts w:hint="eastAsia" w:ascii="宋体" w:hAnsi="宋体" w:eastAsia="宋体" w:cs="宋体"/>
          <w:sz w:val="24"/>
          <w:highlight w:val="none"/>
        </w:rPr>
        <w:t>七、参选有效期和参选保证金</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_Toc13556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5</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1998ADB6">
      <w:pPr>
        <w:pStyle w:val="30"/>
        <w:tabs>
          <w:tab w:val="right" w:leader="dot" w:pos="8299"/>
        </w:tabs>
        <w:spacing w:line="440" w:lineRule="exact"/>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"_Toc9240" </w:instrText>
      </w:r>
      <w:r>
        <w:rPr>
          <w:rFonts w:hint="eastAsia" w:ascii="宋体" w:hAnsi="宋体" w:eastAsia="宋体" w:cs="宋体"/>
          <w:highlight w:val="none"/>
        </w:rPr>
        <w:fldChar w:fldCharType="separate"/>
      </w:r>
      <w:r>
        <w:rPr>
          <w:rFonts w:hint="eastAsia" w:ascii="宋体" w:hAnsi="宋体" w:eastAsia="宋体" w:cs="宋体"/>
          <w:sz w:val="24"/>
          <w:highlight w:val="none"/>
        </w:rPr>
        <w:t>八、参选费用</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_Toc9240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5</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3D7BB1E5">
      <w:pPr>
        <w:pStyle w:val="30"/>
        <w:tabs>
          <w:tab w:val="right" w:leader="dot" w:pos="8299"/>
        </w:tabs>
        <w:spacing w:line="440" w:lineRule="exact"/>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"_Toc19410" </w:instrText>
      </w:r>
      <w:r>
        <w:rPr>
          <w:rFonts w:hint="eastAsia" w:ascii="宋体" w:hAnsi="宋体" w:eastAsia="宋体" w:cs="宋体"/>
          <w:highlight w:val="none"/>
        </w:rPr>
        <w:fldChar w:fldCharType="separate"/>
      </w:r>
      <w:r>
        <w:rPr>
          <w:rFonts w:hint="eastAsia" w:ascii="宋体" w:hAnsi="宋体" w:eastAsia="宋体" w:cs="宋体"/>
          <w:sz w:val="24"/>
          <w:highlight w:val="none"/>
        </w:rPr>
        <w:t>九、开标与评标流程</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_Toc19410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5</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5E3EAB76">
      <w:pPr>
        <w:pStyle w:val="30"/>
        <w:tabs>
          <w:tab w:val="right" w:leader="dot" w:pos="8299"/>
        </w:tabs>
        <w:spacing w:line="440" w:lineRule="exact"/>
        <w:rPr>
          <w:rFonts w:hint="eastAsia" w:ascii="宋体" w:hAnsi="宋体" w:eastAsia="宋体" w:cs="宋体"/>
          <w:sz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"_Toc6051" </w:instrText>
      </w:r>
      <w:r>
        <w:rPr>
          <w:rFonts w:hint="eastAsia" w:ascii="宋体" w:hAnsi="宋体" w:eastAsia="宋体" w:cs="宋体"/>
          <w:highlight w:val="none"/>
        </w:rPr>
        <w:fldChar w:fldCharType="separate"/>
      </w:r>
      <w:r>
        <w:rPr>
          <w:rFonts w:hint="eastAsia" w:ascii="宋体" w:hAnsi="宋体" w:eastAsia="宋体" w:cs="宋体"/>
          <w:sz w:val="24"/>
          <w:highlight w:val="none"/>
        </w:rPr>
        <w:t>十、项目涉及到的现场勘察</w:t>
      </w:r>
      <w:r>
        <w:rPr>
          <w:rFonts w:hint="eastAsia" w:ascii="宋体" w:hAnsi="宋体" w:eastAsia="宋体" w:cs="宋体"/>
          <w:sz w:val="24"/>
          <w:highlight w:val="none"/>
        </w:rPr>
        <w:tab/>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PAGEREF _Toc6051 \h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6</w:t>
      </w:r>
      <w:r>
        <w:rPr>
          <w:rFonts w:hint="eastAsia" w:ascii="宋体" w:hAnsi="宋体" w:eastAsia="宋体" w:cs="宋体"/>
          <w:sz w:val="24"/>
          <w:highlight w:val="none"/>
        </w:rPr>
        <w:fldChar w:fldCharType="end"/>
      </w:r>
      <w:r>
        <w:rPr>
          <w:rFonts w:hint="eastAsia" w:ascii="宋体" w:hAnsi="宋体" w:eastAsia="宋体" w:cs="宋体"/>
          <w:sz w:val="24"/>
          <w:highlight w:val="none"/>
        </w:rPr>
        <w:fldChar w:fldCharType="end"/>
      </w:r>
    </w:p>
    <w:p w14:paraId="5FF03A9A">
      <w:pPr>
        <w:pStyle w:val="27"/>
        <w:tabs>
          <w:tab w:val="right" w:leader="dot" w:pos="8299"/>
        </w:tabs>
        <w:spacing w:line="44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"_Toc17382" </w:instrText>
      </w:r>
      <w:r>
        <w:rPr>
          <w:rFonts w:hint="eastAsia" w:ascii="宋体" w:hAnsi="宋体" w:eastAsia="宋体" w:cs="宋体"/>
          <w:highlight w:val="none"/>
        </w:rPr>
        <w:fldChar w:fldCharType="separate"/>
      </w:r>
      <w:r>
        <w:rPr>
          <w:rFonts w:hint="eastAsia" w:ascii="宋体" w:hAnsi="宋体" w:eastAsia="宋体" w:cs="宋体"/>
          <w:highlight w:val="none"/>
        </w:rPr>
        <w:t>第三章  用户需求书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_Toc17382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EE243D3">
      <w:pPr>
        <w:pStyle w:val="27"/>
        <w:tabs>
          <w:tab w:val="right" w:leader="dot" w:pos="8299"/>
        </w:tabs>
        <w:spacing w:line="44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"_Toc17902" </w:instrText>
      </w:r>
      <w:r>
        <w:rPr>
          <w:rFonts w:hint="eastAsia" w:ascii="宋体" w:hAnsi="宋体" w:eastAsia="宋体" w:cs="宋体"/>
          <w:highlight w:val="none"/>
        </w:rPr>
        <w:fldChar w:fldCharType="separate"/>
      </w:r>
      <w:r>
        <w:rPr>
          <w:rFonts w:hint="eastAsia" w:ascii="宋体" w:hAnsi="宋体" w:eastAsia="宋体" w:cs="宋体"/>
          <w:highlight w:val="none"/>
        </w:rPr>
        <w:t>第四章  评标办法与评标标准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_Toc17902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674D025">
      <w:pPr>
        <w:pStyle w:val="27"/>
        <w:tabs>
          <w:tab w:val="right" w:leader="dot" w:pos="8299"/>
        </w:tabs>
        <w:spacing w:line="44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"_Toc18831" </w:instrText>
      </w:r>
      <w:r>
        <w:rPr>
          <w:rFonts w:hint="eastAsia" w:ascii="宋体" w:hAnsi="宋体" w:eastAsia="宋体" w:cs="宋体"/>
          <w:highlight w:val="none"/>
        </w:rPr>
        <w:fldChar w:fldCharType="separate"/>
      </w:r>
      <w:r>
        <w:rPr>
          <w:rFonts w:hint="eastAsia" w:ascii="宋体" w:hAnsi="宋体" w:eastAsia="宋体" w:cs="宋体"/>
          <w:highlight w:val="none"/>
        </w:rPr>
        <w:t>第五章  合同条款</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_Toc18831 \h </w:instrText>
      </w:r>
      <w:r>
        <w:rPr>
          <w:rFonts w:hint="eastAsia" w:ascii="宋体" w:hAnsi="宋体" w:eastAsia="宋体" w:cs="宋体"/>
          <w:highlight w:val="none"/>
        </w:rPr>
        <w:fldChar w:fldCharType="separate"/>
      </w:r>
      <w:r>
        <w:rPr>
          <w:rFonts w:hint="eastAsia" w:ascii="宋体" w:hAnsi="宋体" w:eastAsia="宋体" w:cs="宋体"/>
          <w:highlight w:val="none"/>
        </w:rPr>
        <w:t>24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32E1407">
      <w:pPr>
        <w:pStyle w:val="27"/>
        <w:tabs>
          <w:tab w:val="right" w:leader="dot" w:pos="8299"/>
        </w:tabs>
        <w:spacing w:line="44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"_Toc1773" </w:instrText>
      </w:r>
      <w:r>
        <w:rPr>
          <w:rFonts w:hint="eastAsia" w:ascii="宋体" w:hAnsi="宋体" w:eastAsia="宋体" w:cs="宋体"/>
          <w:highlight w:val="none"/>
        </w:rPr>
        <w:fldChar w:fldCharType="separate"/>
      </w:r>
      <w:r>
        <w:rPr>
          <w:rFonts w:hint="eastAsia" w:ascii="宋体" w:hAnsi="宋体" w:eastAsia="宋体" w:cs="宋体"/>
          <w:highlight w:val="none"/>
          <w:lang w:val="zh-CN"/>
        </w:rPr>
        <w:t>第</w:t>
      </w:r>
      <w:r>
        <w:rPr>
          <w:rFonts w:hint="eastAsia" w:ascii="宋体" w:hAnsi="宋体" w:eastAsia="宋体" w:cs="宋体"/>
          <w:highlight w:val="none"/>
        </w:rPr>
        <w:t>六章</w:t>
      </w:r>
      <w:r>
        <w:rPr>
          <w:rFonts w:hint="eastAsia" w:ascii="宋体" w:hAnsi="宋体" w:eastAsia="宋体" w:cs="宋体"/>
          <w:highlight w:val="none"/>
          <w:lang w:val="zh-CN"/>
        </w:rPr>
        <w:t xml:space="preserve">  质疑提出和处理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_Toc1773 \h </w:instrText>
      </w:r>
      <w:r>
        <w:rPr>
          <w:rFonts w:hint="eastAsia" w:ascii="宋体" w:hAnsi="宋体" w:eastAsia="宋体" w:cs="宋体"/>
          <w:highlight w:val="none"/>
        </w:rPr>
        <w:fldChar w:fldCharType="separate"/>
      </w:r>
      <w:r>
        <w:rPr>
          <w:rFonts w:hint="eastAsia" w:ascii="宋体" w:hAnsi="宋体" w:eastAsia="宋体" w:cs="宋体"/>
          <w:highlight w:val="none"/>
        </w:rPr>
        <w:t>45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2294F8C">
      <w:pPr>
        <w:pStyle w:val="27"/>
        <w:tabs>
          <w:tab w:val="right" w:leader="dot" w:pos="8299"/>
        </w:tabs>
        <w:spacing w:line="44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"_Toc1475" </w:instrText>
      </w:r>
      <w:r>
        <w:rPr>
          <w:rFonts w:hint="eastAsia" w:ascii="宋体" w:hAnsi="宋体" w:eastAsia="宋体" w:cs="宋体"/>
          <w:highlight w:val="none"/>
        </w:rPr>
        <w:fldChar w:fldCharType="separate"/>
      </w:r>
      <w:r>
        <w:rPr>
          <w:rFonts w:hint="eastAsia" w:ascii="宋体" w:hAnsi="宋体" w:eastAsia="宋体" w:cs="宋体"/>
          <w:highlight w:val="none"/>
          <w:lang w:val="zh-CN"/>
        </w:rPr>
        <w:t>第</w:t>
      </w:r>
      <w:r>
        <w:rPr>
          <w:rFonts w:hint="eastAsia" w:ascii="宋体" w:hAnsi="宋体" w:eastAsia="宋体" w:cs="宋体"/>
          <w:highlight w:val="none"/>
        </w:rPr>
        <w:t>七章</w:t>
      </w:r>
      <w:r>
        <w:rPr>
          <w:rFonts w:hint="eastAsia" w:ascii="宋体" w:hAnsi="宋体" w:eastAsia="宋体" w:cs="宋体"/>
          <w:highlight w:val="none"/>
          <w:lang w:val="zh-CN"/>
        </w:rPr>
        <w:t xml:space="preserve">  参选文件组成</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_Toc1475 \h </w:instrText>
      </w:r>
      <w:r>
        <w:rPr>
          <w:rFonts w:hint="eastAsia" w:ascii="宋体" w:hAnsi="宋体" w:eastAsia="宋体" w:cs="宋体"/>
          <w:highlight w:val="none"/>
        </w:rPr>
        <w:fldChar w:fldCharType="separate"/>
      </w:r>
      <w:r>
        <w:rPr>
          <w:rFonts w:hint="eastAsia" w:ascii="宋体" w:hAnsi="宋体" w:eastAsia="宋体" w:cs="宋体"/>
          <w:highlight w:val="none"/>
        </w:rPr>
        <w:t>47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5530144">
      <w:pPr>
        <w:spacing w:line="440" w:lineRule="exact"/>
        <w:ind w:right="-941" w:rightChars="-448"/>
        <w:rPr>
          <w:rFonts w:hint="eastAsia" w:ascii="宋体" w:hAnsi="宋体" w:eastAsia="宋体" w:cs="宋体"/>
          <w:sz w:val="24"/>
          <w:highlight w:val="none"/>
        </w:rPr>
        <w:sectPr>
          <w:footerReference r:id="rId3" w:type="default"/>
          <w:pgSz w:w="11905" w:h="16838"/>
          <w:pgMar w:top="1440" w:right="1803" w:bottom="1440" w:left="1803" w:header="850" w:footer="992" w:gutter="0"/>
          <w:pgBorders>
            <w:top w:val="none" w:sz="0" w:space="0"/>
            <w:left w:val="none" w:sz="0" w:space="0"/>
            <w:bottom w:val="none" w:sz="0" w:space="0"/>
            <w:right w:val="none" w:sz="0" w:space="0"/>
          </w:pgBorders>
          <w:pgNumType w:start="1"/>
          <w:cols w:space="720" w:num="1"/>
          <w:docGrid w:type="lines" w:linePitch="325" w:charSpace="0"/>
        </w:sectPr>
      </w:pPr>
      <w:r>
        <w:rPr>
          <w:rFonts w:hint="eastAsia" w:ascii="宋体" w:hAnsi="宋体" w:eastAsia="宋体" w:cs="宋体"/>
          <w:sz w:val="24"/>
          <w:highlight w:val="none"/>
        </w:rPr>
        <w:fldChar w:fldCharType="end"/>
      </w:r>
    </w:p>
    <w:p w14:paraId="3D3705B0">
      <w:pPr>
        <w:spacing w:line="440" w:lineRule="exact"/>
        <w:ind w:right="-260" w:rightChars="-124"/>
        <w:jc w:val="center"/>
        <w:outlineLvl w:val="0"/>
        <w:rPr>
          <w:rFonts w:hint="eastAsia" w:ascii="宋体" w:hAnsi="宋体" w:eastAsia="宋体" w:cs="宋体"/>
          <w:b/>
          <w:bCs/>
          <w:sz w:val="32"/>
          <w:szCs w:val="32"/>
          <w:highlight w:val="none"/>
        </w:rPr>
      </w:pPr>
      <w:bookmarkStart w:id="0" w:name="_Toc16151"/>
      <w:bookmarkStart w:id="1" w:name="_Toc6432"/>
      <w:bookmarkStart w:id="2" w:name="_Toc8150"/>
      <w:bookmarkStart w:id="3" w:name="_Toc25670"/>
      <w:bookmarkStart w:id="4" w:name="_Toc19164"/>
      <w:r>
        <w:rPr>
          <w:rFonts w:hint="eastAsia" w:ascii="宋体" w:hAnsi="宋体" w:eastAsia="宋体" w:cs="宋体"/>
          <w:b/>
          <w:bCs/>
          <w:sz w:val="32"/>
          <w:szCs w:val="32"/>
          <w:highlight w:val="none"/>
        </w:rPr>
        <w:t xml:space="preserve">第一章 </w:t>
      </w:r>
      <w:bookmarkStart w:id="5" w:name="OLE_LINK5"/>
      <w:bookmarkStart w:id="6" w:name="OLE_LINK7"/>
      <w:r>
        <w:rPr>
          <w:rFonts w:hint="eastAsia" w:ascii="宋体" w:hAnsi="宋体" w:eastAsia="宋体" w:cs="宋体"/>
          <w:b/>
          <w:bCs/>
          <w:sz w:val="32"/>
          <w:szCs w:val="32"/>
          <w:highlight w:val="none"/>
        </w:rPr>
        <w:t xml:space="preserve"> </w:t>
      </w:r>
      <w:bookmarkEnd w:id="0"/>
      <w:bookmarkEnd w:id="1"/>
      <w:bookmarkEnd w:id="2"/>
      <w:bookmarkEnd w:id="3"/>
      <w:r>
        <w:rPr>
          <w:rFonts w:hint="eastAsia" w:ascii="宋体" w:hAnsi="宋体" w:eastAsia="宋体" w:cs="宋体"/>
          <w:b/>
          <w:bCs/>
          <w:sz w:val="32"/>
          <w:szCs w:val="32"/>
          <w:highlight w:val="none"/>
        </w:rPr>
        <w:t>比选公告</w:t>
      </w:r>
      <w:bookmarkEnd w:id="4"/>
    </w:p>
    <w:p w14:paraId="30832CF4">
      <w:pPr>
        <w:spacing w:line="440" w:lineRule="exact"/>
        <w:ind w:right="-260" w:rightChars="-124" w:firstLine="480" w:firstLineChars="200"/>
        <w:rPr>
          <w:rFonts w:hint="eastAsia" w:ascii="宋体" w:hAnsi="宋体" w:eastAsia="宋体" w:cs="宋体"/>
          <w:kern w:val="58"/>
          <w:sz w:val="24"/>
          <w:highlight w:val="none"/>
          <w:u w:val="single"/>
        </w:rPr>
      </w:pPr>
      <w:bookmarkStart w:id="7" w:name="OLE_LINK6"/>
    </w:p>
    <w:p w14:paraId="0A435A22">
      <w:pPr>
        <w:spacing w:line="440" w:lineRule="exact"/>
        <w:ind w:right="-260" w:rightChars="-124" w:firstLine="480" w:firstLineChars="200"/>
        <w:rPr>
          <w:rFonts w:hint="eastAsia" w:ascii="宋体" w:hAnsi="宋体" w:eastAsia="宋体" w:cs="宋体"/>
          <w:sz w:val="24"/>
          <w:highlight w:val="none"/>
        </w:rPr>
      </w:pPr>
      <w:bookmarkStart w:id="8" w:name="_Toc17556"/>
      <w:r>
        <w:rPr>
          <w:rFonts w:hint="eastAsia" w:ascii="宋体" w:hAnsi="宋体" w:eastAsia="宋体" w:cs="宋体"/>
          <w:kern w:val="58"/>
          <w:sz w:val="24"/>
          <w:highlight w:val="none"/>
          <w:u w:val="single"/>
        </w:rPr>
        <w:t>中达工程管理咨询有限公司</w:t>
      </w:r>
      <w:r>
        <w:rPr>
          <w:rFonts w:hint="eastAsia" w:ascii="宋体" w:hAnsi="宋体" w:eastAsia="宋体" w:cs="宋体"/>
          <w:kern w:val="58"/>
          <w:sz w:val="24"/>
          <w:highlight w:val="none"/>
        </w:rPr>
        <w:t>受</w:t>
      </w:r>
      <w:r>
        <w:rPr>
          <w:rFonts w:hint="eastAsia" w:ascii="宋体" w:hAnsi="宋体" w:eastAsia="宋体" w:cs="宋体"/>
          <w:kern w:val="58"/>
          <w:sz w:val="24"/>
          <w:highlight w:val="none"/>
          <w:u w:val="single"/>
        </w:rPr>
        <w:t>南通轨道资源开发有限公司</w:t>
      </w:r>
      <w:r>
        <w:rPr>
          <w:rFonts w:hint="eastAsia" w:ascii="宋体" w:hAnsi="宋体" w:eastAsia="宋体" w:cs="宋体"/>
          <w:kern w:val="58"/>
          <w:sz w:val="24"/>
          <w:highlight w:val="none"/>
        </w:rPr>
        <w:t>委托，依据相关法律、法规及规章的规定，现对</w:t>
      </w:r>
      <w:r>
        <w:rPr>
          <w:rFonts w:hint="eastAsia" w:ascii="宋体" w:hAnsi="宋体" w:eastAsia="宋体" w:cs="宋体"/>
          <w:kern w:val="58"/>
          <w:sz w:val="24"/>
          <w:highlight w:val="none"/>
          <w:u w:val="single"/>
          <w:lang w:eastAsia="zh-CN"/>
        </w:rPr>
        <w:t>南通轨道交通城市消防远程监控中心设施设备采购项目</w:t>
      </w:r>
      <w:r>
        <w:rPr>
          <w:rFonts w:hint="eastAsia" w:ascii="宋体" w:hAnsi="宋体" w:eastAsia="宋体" w:cs="宋体"/>
          <w:kern w:val="58"/>
          <w:sz w:val="24"/>
          <w:highlight w:val="none"/>
        </w:rPr>
        <w:t>进行公开比选。</w:t>
      </w:r>
    </w:p>
    <w:p w14:paraId="7801EB1D">
      <w:pPr>
        <w:spacing w:line="440" w:lineRule="exact"/>
        <w:ind w:right="-260" w:rightChars="-124" w:firstLine="482" w:firstLineChars="200"/>
        <w:outlineLvl w:val="1"/>
        <w:rPr>
          <w:rFonts w:hint="eastAsia" w:ascii="宋体" w:hAnsi="宋体" w:eastAsia="宋体" w:cs="宋体"/>
          <w:b/>
          <w:sz w:val="24"/>
          <w:highlight w:val="none"/>
        </w:rPr>
      </w:pPr>
      <w:bookmarkStart w:id="9" w:name="_Toc22873"/>
      <w:r>
        <w:rPr>
          <w:rFonts w:hint="eastAsia" w:ascii="宋体" w:hAnsi="宋体" w:eastAsia="宋体" w:cs="宋体"/>
          <w:b/>
          <w:sz w:val="24"/>
          <w:highlight w:val="none"/>
        </w:rPr>
        <w:t>一、项目基本情况</w:t>
      </w:r>
      <w:bookmarkEnd w:id="8"/>
      <w:bookmarkEnd w:id="9"/>
    </w:p>
    <w:p w14:paraId="4FD3EDA6">
      <w:pPr>
        <w:spacing w:line="440" w:lineRule="exact"/>
        <w:ind w:right="-260" w:rightChars="-124"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项目名称：</w:t>
      </w:r>
      <w:r>
        <w:rPr>
          <w:rFonts w:hint="eastAsia" w:ascii="宋体" w:hAnsi="宋体" w:eastAsia="宋体" w:cs="宋体"/>
          <w:sz w:val="24"/>
          <w:highlight w:val="none"/>
          <w:lang w:eastAsia="zh-CN"/>
        </w:rPr>
        <w:t>南通轨道交通城市消防远程监控中心设施设备采购项目</w:t>
      </w:r>
    </w:p>
    <w:p w14:paraId="1FA5A6A2">
      <w:pPr>
        <w:spacing w:line="440" w:lineRule="exact"/>
        <w:ind w:right="-260" w:rightChars="-124" w:firstLine="480" w:firstLineChars="200"/>
        <w:rPr>
          <w:rFonts w:hint="eastAsia" w:ascii="宋体" w:hAnsi="宋体" w:eastAsia="宋体" w:cs="宋体"/>
          <w:highlight w:val="none"/>
        </w:rPr>
      </w:pPr>
      <w:r>
        <w:rPr>
          <w:rFonts w:hint="eastAsia" w:ascii="宋体" w:hAnsi="宋体" w:eastAsia="宋体" w:cs="宋体"/>
          <w:sz w:val="24"/>
          <w:highlight w:val="none"/>
        </w:rPr>
        <w:t>标段划分：不划分标段</w:t>
      </w:r>
    </w:p>
    <w:p w14:paraId="5EF0DA75">
      <w:pPr>
        <w:spacing w:line="440" w:lineRule="exact"/>
        <w:ind w:right="-260" w:rightChars="-124"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比选限价</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含税</w:t>
      </w:r>
      <w:r>
        <w:rPr>
          <w:rFonts w:hint="eastAsia" w:ascii="宋体" w:hAnsi="宋体" w:eastAsia="宋体" w:cs="宋体"/>
          <w:sz w:val="24"/>
          <w:highlight w:val="none"/>
          <w:lang w:eastAsia="zh-CN"/>
        </w:rPr>
        <w:t>）</w:t>
      </w:r>
      <w:r>
        <w:rPr>
          <w:rFonts w:hint="eastAsia" w:ascii="宋体" w:hAnsi="宋体" w:eastAsia="宋体" w:cs="宋体"/>
          <w:sz w:val="24"/>
          <w:highlight w:val="none"/>
        </w:rPr>
        <w:t>：</w:t>
      </w:r>
      <w:r>
        <w:rPr>
          <w:rFonts w:hint="eastAsia" w:ascii="宋体" w:hAnsi="宋体" w:cs="宋体"/>
          <w:sz w:val="24"/>
          <w:highlight w:val="none"/>
          <w:lang w:val="en-US" w:eastAsia="zh-CN"/>
        </w:rPr>
        <w:t>48.9万</w:t>
      </w:r>
      <w:r>
        <w:rPr>
          <w:rFonts w:hint="eastAsia" w:ascii="宋体" w:hAnsi="宋体" w:eastAsia="宋体" w:cs="宋体"/>
          <w:sz w:val="24"/>
          <w:highlight w:val="none"/>
          <w:lang w:val="en-US" w:eastAsia="zh-CN"/>
        </w:rPr>
        <w:t>元</w:t>
      </w:r>
    </w:p>
    <w:p w14:paraId="3E015EE6">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服务有效期：</w:t>
      </w:r>
      <w:r>
        <w:rPr>
          <w:rFonts w:hint="eastAsia" w:ascii="宋体" w:hAnsi="宋体" w:eastAsia="宋体" w:cs="宋体"/>
          <w:sz w:val="24"/>
          <w:highlight w:val="none"/>
          <w:lang w:val="en-US" w:eastAsia="zh-CN"/>
        </w:rPr>
        <w:t>自合同签订之日起2年，包括建设期与后续运维服务期。</w:t>
      </w:r>
    </w:p>
    <w:p w14:paraId="56D6056F">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比选范围：</w:t>
      </w:r>
      <w:r>
        <w:rPr>
          <w:rFonts w:hint="eastAsia" w:ascii="宋体" w:hAnsi="宋体" w:eastAsia="宋体" w:cs="宋体"/>
          <w:sz w:val="24"/>
          <w:highlight w:val="none"/>
          <w:lang w:val="en-US" w:eastAsia="zh-CN"/>
        </w:rPr>
        <w:t>包括远程监控中心建设所需的全部硬件设备、网络及配套设施（含室内装修），同时承担从设计、施工、调试、验收的全部建设与管理工作。</w:t>
      </w:r>
    </w:p>
    <w:p w14:paraId="29F8330F">
      <w:pPr>
        <w:spacing w:line="440" w:lineRule="exact"/>
        <w:ind w:right="-260" w:rightChars="-124" w:firstLine="482" w:firstLineChars="200"/>
        <w:outlineLvl w:val="1"/>
        <w:rPr>
          <w:rFonts w:hint="eastAsia" w:ascii="宋体" w:hAnsi="宋体" w:eastAsia="宋体" w:cs="宋体"/>
          <w:b/>
          <w:sz w:val="24"/>
          <w:highlight w:val="none"/>
        </w:rPr>
      </w:pPr>
      <w:bookmarkStart w:id="10" w:name="_Toc27384"/>
      <w:bookmarkStart w:id="11" w:name="_Toc1349"/>
      <w:r>
        <w:rPr>
          <w:rFonts w:hint="eastAsia" w:ascii="宋体" w:hAnsi="宋体" w:eastAsia="宋体" w:cs="宋体"/>
          <w:b/>
          <w:sz w:val="24"/>
          <w:highlight w:val="none"/>
        </w:rPr>
        <w:t>二、参选人的资格要求</w:t>
      </w:r>
      <w:bookmarkEnd w:id="10"/>
      <w:bookmarkEnd w:id="11"/>
    </w:p>
    <w:p w14:paraId="3BA45392">
      <w:pPr>
        <w:spacing w:line="440" w:lineRule="exact"/>
        <w:ind w:right="-260" w:rightChars="-124"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1、参选人应具备的资质条件要求：</w:t>
      </w:r>
    </w:p>
    <w:p w14:paraId="5D0D6A83">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1.1</w:t>
      </w:r>
      <w:r>
        <w:rPr>
          <w:rFonts w:hint="eastAsia" w:ascii="宋体" w:hAnsi="宋体" w:eastAsia="宋体" w:cs="宋体"/>
          <w:sz w:val="24"/>
          <w:highlight w:val="none"/>
          <w:lang w:eastAsia="zh-CN"/>
        </w:rPr>
        <w:t>参选人</w:t>
      </w:r>
      <w:r>
        <w:rPr>
          <w:rFonts w:hint="eastAsia" w:ascii="宋体" w:hAnsi="宋体" w:eastAsia="宋体" w:cs="宋体"/>
          <w:sz w:val="24"/>
          <w:highlight w:val="none"/>
        </w:rPr>
        <w:t>须是在中华人民共和国境内注册的、具有独立承担民事责任能力的法人或其他组织。</w:t>
      </w:r>
    </w:p>
    <w:p w14:paraId="74B2A01A">
      <w:pPr>
        <w:spacing w:line="440" w:lineRule="exact"/>
        <w:ind w:right="-260" w:rightChars="-124"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1.2</w:t>
      </w:r>
      <w:r>
        <w:rPr>
          <w:rFonts w:hint="eastAsia" w:ascii="宋体" w:hAnsi="宋体" w:cs="宋体"/>
          <w:sz w:val="24"/>
          <w:highlight w:val="none"/>
          <w:lang w:val="en-US" w:eastAsia="zh-CN"/>
        </w:rPr>
        <w:t>参选</w:t>
      </w:r>
      <w:r>
        <w:rPr>
          <w:rFonts w:hint="eastAsia" w:ascii="宋体" w:hAnsi="宋体" w:eastAsia="宋体" w:cs="宋体"/>
          <w:sz w:val="24"/>
          <w:highlight w:val="none"/>
        </w:rPr>
        <w:t>人应为LED屏生产厂家或LED屏生产厂家的授权经销商（代理商）</w:t>
      </w:r>
      <w:r>
        <w:rPr>
          <w:rFonts w:hint="eastAsia" w:ascii="宋体" w:hAnsi="宋体" w:cs="宋体"/>
          <w:sz w:val="24"/>
          <w:highlight w:val="none"/>
          <w:lang w:eastAsia="zh-CN"/>
        </w:rPr>
        <w:t>。</w:t>
      </w:r>
    </w:p>
    <w:p w14:paraId="2D1E442E">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1.3项目经验要求：自2022年1月1日以来，</w:t>
      </w:r>
      <w:r>
        <w:rPr>
          <w:rFonts w:hint="eastAsia" w:ascii="宋体" w:hAnsi="宋体" w:eastAsia="宋体" w:cs="宋体"/>
          <w:sz w:val="24"/>
          <w:highlight w:val="none"/>
          <w:lang w:eastAsia="zh-CN"/>
        </w:rPr>
        <w:t>参选人</w:t>
      </w:r>
      <w:r>
        <w:rPr>
          <w:rFonts w:hint="eastAsia" w:ascii="宋体" w:hAnsi="宋体" w:eastAsia="宋体" w:cs="宋体"/>
          <w:sz w:val="24"/>
          <w:highlight w:val="none"/>
        </w:rPr>
        <w:t>至少</w:t>
      </w:r>
      <w:r>
        <w:rPr>
          <w:rFonts w:hint="eastAsia" w:ascii="宋体" w:hAnsi="宋体" w:eastAsia="宋体" w:cs="宋体"/>
          <w:sz w:val="24"/>
          <w:highlight w:val="none"/>
          <w:lang w:val="en-US" w:eastAsia="zh-CN"/>
        </w:rPr>
        <w:t>具有</w:t>
      </w:r>
      <w:r>
        <w:rPr>
          <w:rFonts w:hint="eastAsia" w:ascii="宋体" w:hAnsi="宋体" w:eastAsia="宋体" w:cs="宋体"/>
          <w:sz w:val="24"/>
          <w:highlight w:val="none"/>
        </w:rPr>
        <w:t>1项</w:t>
      </w:r>
      <w:r>
        <w:rPr>
          <w:rFonts w:hint="eastAsia" w:ascii="宋体" w:hAnsi="宋体" w:eastAsia="宋体" w:cs="宋体"/>
          <w:sz w:val="24"/>
          <w:highlight w:val="none"/>
          <w:lang w:val="en-US" w:eastAsia="zh-CN"/>
        </w:rPr>
        <w:t>消防控制室（或监控中心）供货及安装业绩（须包括总尺寸不小于17平的大屏）</w:t>
      </w:r>
      <w:r>
        <w:rPr>
          <w:rFonts w:hint="eastAsia" w:ascii="宋体" w:hAnsi="宋体" w:eastAsia="宋体" w:cs="宋体"/>
          <w:sz w:val="24"/>
          <w:highlight w:val="none"/>
        </w:rPr>
        <w:t>。</w:t>
      </w:r>
    </w:p>
    <w:p w14:paraId="7DDAF7F1">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4</w:t>
      </w:r>
      <w:r>
        <w:rPr>
          <w:rFonts w:hint="eastAsia" w:ascii="宋体" w:hAnsi="宋体" w:eastAsia="宋体" w:cs="宋体"/>
          <w:sz w:val="24"/>
          <w:highlight w:val="none"/>
        </w:rPr>
        <w:t>专业技术能力要求：</w:t>
      </w:r>
      <w:r>
        <w:rPr>
          <w:rFonts w:hint="eastAsia" w:ascii="宋体" w:hAnsi="宋体" w:eastAsia="宋体" w:cs="宋体"/>
          <w:sz w:val="24"/>
          <w:highlight w:val="none"/>
          <w:lang w:eastAsia="zh-CN"/>
        </w:rPr>
        <w:t>参选人</w:t>
      </w:r>
      <w:r>
        <w:rPr>
          <w:rFonts w:hint="eastAsia" w:ascii="宋体" w:hAnsi="宋体" w:eastAsia="宋体" w:cs="宋体"/>
          <w:sz w:val="24"/>
          <w:highlight w:val="none"/>
        </w:rPr>
        <w:t>须具备履行本合同所必需的设备和专业技术能力。</w:t>
      </w:r>
    </w:p>
    <w:p w14:paraId="7D97DF1A">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5</w:t>
      </w:r>
      <w:r>
        <w:rPr>
          <w:rFonts w:hint="eastAsia" w:ascii="宋体" w:hAnsi="宋体" w:eastAsia="宋体" w:cs="宋体"/>
          <w:sz w:val="24"/>
          <w:highlight w:val="none"/>
          <w:lang w:eastAsia="zh-CN"/>
        </w:rPr>
        <w:t>参选人</w:t>
      </w:r>
      <w:r>
        <w:rPr>
          <w:rFonts w:hint="eastAsia" w:ascii="宋体" w:hAnsi="宋体" w:eastAsia="宋体" w:cs="宋体"/>
          <w:sz w:val="24"/>
          <w:highlight w:val="none"/>
        </w:rPr>
        <w:t>须具有良好的商业信誉和健全的财务会计制度。</w:t>
      </w:r>
    </w:p>
    <w:p w14:paraId="135E4CDB">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6</w:t>
      </w:r>
      <w:r>
        <w:rPr>
          <w:rFonts w:hint="eastAsia" w:ascii="宋体" w:hAnsi="宋体" w:eastAsia="宋体" w:cs="宋体"/>
          <w:sz w:val="24"/>
          <w:highlight w:val="none"/>
          <w:lang w:eastAsia="zh-CN"/>
        </w:rPr>
        <w:t>参选人</w:t>
      </w:r>
      <w:r>
        <w:rPr>
          <w:rFonts w:hint="eastAsia" w:ascii="宋体" w:hAnsi="宋体" w:eastAsia="宋体" w:cs="宋体"/>
          <w:sz w:val="24"/>
          <w:highlight w:val="none"/>
        </w:rPr>
        <w:t>须具有依法缴纳税收和社会保障资金的良好记录。</w:t>
      </w:r>
    </w:p>
    <w:p w14:paraId="61EBF94A">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7</w:t>
      </w:r>
      <w:r>
        <w:rPr>
          <w:rFonts w:hint="eastAsia" w:ascii="宋体" w:hAnsi="宋体" w:eastAsia="宋体" w:cs="宋体"/>
          <w:sz w:val="24"/>
          <w:highlight w:val="none"/>
          <w:lang w:eastAsia="zh-CN"/>
        </w:rPr>
        <w:t>参选人</w:t>
      </w:r>
      <w:r>
        <w:rPr>
          <w:rFonts w:hint="eastAsia" w:ascii="宋体" w:hAnsi="宋体" w:eastAsia="宋体" w:cs="宋体"/>
          <w:sz w:val="24"/>
          <w:highlight w:val="none"/>
        </w:rPr>
        <w:t>参加采购活动前三年内，在经营活动中没有重大违法记录；未被列入“信用中国”网站(www.creditchina.gov.cn)失信被执行人、重大税收违法失信主体、政府采购严重违法失信行为记录名单。</w:t>
      </w:r>
    </w:p>
    <w:p w14:paraId="0276F91E">
      <w:pPr>
        <w:spacing w:line="440" w:lineRule="exact"/>
        <w:ind w:right="-260" w:rightChars="-124"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2、本项目不接受联合体参选。</w:t>
      </w:r>
    </w:p>
    <w:p w14:paraId="1A7CD4DA">
      <w:pPr>
        <w:spacing w:line="440" w:lineRule="exact"/>
        <w:ind w:right="-260" w:rightChars="-124" w:firstLine="482" w:firstLineChars="200"/>
        <w:outlineLvl w:val="1"/>
        <w:rPr>
          <w:rFonts w:hint="eastAsia" w:ascii="宋体" w:hAnsi="宋体" w:eastAsia="宋体" w:cs="宋体"/>
          <w:b/>
          <w:sz w:val="24"/>
          <w:highlight w:val="none"/>
        </w:rPr>
      </w:pPr>
      <w:bookmarkStart w:id="12" w:name="_Toc21654"/>
      <w:bookmarkStart w:id="13" w:name="_Toc9548"/>
      <w:r>
        <w:rPr>
          <w:rFonts w:hint="eastAsia" w:ascii="宋体" w:hAnsi="宋体" w:eastAsia="宋体" w:cs="宋体"/>
          <w:b/>
          <w:sz w:val="24"/>
          <w:highlight w:val="none"/>
        </w:rPr>
        <w:t>三、获取</w:t>
      </w:r>
      <w:bookmarkEnd w:id="12"/>
      <w:r>
        <w:rPr>
          <w:rFonts w:hint="eastAsia" w:ascii="宋体" w:hAnsi="宋体" w:eastAsia="宋体" w:cs="宋体"/>
          <w:b/>
          <w:sz w:val="24"/>
          <w:highlight w:val="none"/>
        </w:rPr>
        <w:t>比选文件</w:t>
      </w:r>
      <w:bookmarkEnd w:id="13"/>
    </w:p>
    <w:p w14:paraId="5C5D1C9C">
      <w:pPr>
        <w:spacing w:line="440" w:lineRule="exact"/>
        <w:ind w:right="-260" w:rightChars="-124" w:firstLine="480" w:firstLineChars="200"/>
        <w:rPr>
          <w:rFonts w:hint="eastAsia" w:ascii="宋体" w:hAnsi="宋体" w:eastAsia="宋体" w:cs="宋体"/>
          <w:sz w:val="24"/>
          <w:highlight w:val="none"/>
        </w:rPr>
      </w:pPr>
      <w:bookmarkStart w:id="14" w:name="_Toc10576"/>
      <w:r>
        <w:rPr>
          <w:rFonts w:hint="eastAsia" w:ascii="宋体" w:hAnsi="宋体" w:eastAsia="宋体" w:cs="宋体"/>
          <w:sz w:val="24"/>
          <w:highlight w:val="none"/>
        </w:rPr>
        <w:t>凡有意参加的参选人，请于2025年</w:t>
      </w:r>
      <w:r>
        <w:rPr>
          <w:rFonts w:hint="eastAsia" w:ascii="宋体" w:hAnsi="宋体" w:cs="宋体"/>
          <w:sz w:val="24"/>
          <w:highlight w:val="none"/>
          <w:lang w:val="en-US" w:eastAsia="zh-CN"/>
        </w:rPr>
        <w:t>10</w:t>
      </w:r>
      <w:r>
        <w:rPr>
          <w:rFonts w:hint="eastAsia" w:ascii="宋体" w:hAnsi="宋体" w:eastAsia="宋体" w:cs="宋体"/>
          <w:sz w:val="24"/>
          <w:highlight w:val="none"/>
        </w:rPr>
        <w:t>月</w:t>
      </w:r>
      <w:r>
        <w:rPr>
          <w:rFonts w:hint="eastAsia" w:ascii="宋体" w:hAnsi="宋体" w:cs="宋体"/>
          <w:sz w:val="24"/>
          <w:highlight w:val="none"/>
          <w:lang w:val="en-US" w:eastAsia="zh-CN"/>
        </w:rPr>
        <w:t>31</w:t>
      </w:r>
      <w:r>
        <w:rPr>
          <w:rFonts w:hint="eastAsia" w:ascii="宋体" w:hAnsi="宋体" w:eastAsia="宋体" w:cs="宋体"/>
          <w:sz w:val="24"/>
          <w:highlight w:val="none"/>
        </w:rPr>
        <w:t>日至2025年</w:t>
      </w:r>
      <w:r>
        <w:rPr>
          <w:rFonts w:hint="eastAsia" w:ascii="宋体" w:hAnsi="宋体" w:cs="宋体"/>
          <w:sz w:val="24"/>
          <w:highlight w:val="none"/>
          <w:lang w:val="en-US" w:eastAsia="zh-CN"/>
        </w:rPr>
        <w:t>11</w:t>
      </w:r>
      <w:r>
        <w:rPr>
          <w:rFonts w:hint="eastAsia" w:ascii="宋体" w:hAnsi="宋体" w:eastAsia="宋体" w:cs="宋体"/>
          <w:sz w:val="24"/>
          <w:highlight w:val="none"/>
        </w:rPr>
        <w:t>月</w:t>
      </w:r>
      <w:r>
        <w:rPr>
          <w:rFonts w:hint="eastAsia" w:ascii="宋体" w:hAnsi="宋体" w:cs="宋体"/>
          <w:sz w:val="24"/>
          <w:highlight w:val="none"/>
          <w:lang w:val="en-US" w:eastAsia="zh-CN"/>
        </w:rPr>
        <w:t>5</w:t>
      </w:r>
      <w:r>
        <w:rPr>
          <w:rFonts w:hint="eastAsia" w:ascii="宋体" w:hAnsi="宋体" w:eastAsia="宋体" w:cs="宋体"/>
          <w:sz w:val="24"/>
          <w:highlight w:val="none"/>
        </w:rPr>
        <w:t>日（北京时间，下同），每日上午9时至11时30分，下午13时30分至17时30分（北京时间，下同），将法人身份证明及法定代表人居民身份证，或其授权委托书及授权委托人居民身份证，发送至邮箱3257573920@qq.com（备注单位名称+联系人+联系方式），获取电子比选文件，具体事项请联系代理公司。</w:t>
      </w:r>
    </w:p>
    <w:p w14:paraId="4E5F7E1A">
      <w:pPr>
        <w:spacing w:line="440" w:lineRule="exact"/>
        <w:ind w:right="-260" w:rightChars="-124" w:firstLine="482" w:firstLineChars="200"/>
        <w:outlineLvl w:val="1"/>
        <w:rPr>
          <w:rFonts w:hint="eastAsia" w:ascii="宋体" w:hAnsi="宋体" w:eastAsia="宋体" w:cs="宋体"/>
          <w:b/>
          <w:sz w:val="24"/>
          <w:highlight w:val="none"/>
        </w:rPr>
      </w:pPr>
      <w:bookmarkStart w:id="15" w:name="_Toc7175"/>
      <w:r>
        <w:rPr>
          <w:rFonts w:hint="eastAsia" w:ascii="宋体" w:hAnsi="宋体" w:eastAsia="宋体" w:cs="宋体"/>
          <w:b/>
          <w:sz w:val="24"/>
          <w:highlight w:val="none"/>
        </w:rPr>
        <w:t>四、提交参选文件截止时间、比选时间和地点</w:t>
      </w:r>
      <w:bookmarkEnd w:id="14"/>
      <w:bookmarkEnd w:id="15"/>
    </w:p>
    <w:p w14:paraId="1115E970">
      <w:pPr>
        <w:spacing w:line="440" w:lineRule="exact"/>
        <w:ind w:right="-512" w:rightChars="-244" w:firstLine="480" w:firstLineChars="200"/>
        <w:rPr>
          <w:rFonts w:hint="eastAsia" w:ascii="宋体" w:hAnsi="宋体" w:eastAsia="宋体" w:cs="宋体"/>
          <w:sz w:val="24"/>
          <w:highlight w:val="none"/>
        </w:rPr>
      </w:pPr>
      <w:bookmarkStart w:id="16" w:name="_Toc11479"/>
      <w:bookmarkStart w:id="17" w:name="_Toc11233"/>
      <w:r>
        <w:rPr>
          <w:rFonts w:hint="eastAsia" w:ascii="宋体" w:hAnsi="宋体" w:eastAsia="宋体" w:cs="宋体"/>
          <w:sz w:val="24"/>
          <w:highlight w:val="none"/>
        </w:rPr>
        <w:t>参选文件递交起止时间：2025年</w:t>
      </w:r>
      <w:r>
        <w:rPr>
          <w:rFonts w:hint="eastAsia" w:ascii="宋体" w:hAnsi="宋体" w:cs="宋体"/>
          <w:sz w:val="24"/>
          <w:highlight w:val="none"/>
          <w:lang w:val="en-US" w:eastAsia="zh-CN"/>
        </w:rPr>
        <w:t>11</w:t>
      </w:r>
      <w:r>
        <w:rPr>
          <w:rFonts w:hint="eastAsia" w:ascii="宋体" w:hAnsi="宋体" w:eastAsia="宋体" w:cs="宋体"/>
          <w:sz w:val="24"/>
          <w:highlight w:val="none"/>
        </w:rPr>
        <w:t>月</w:t>
      </w:r>
      <w:r>
        <w:rPr>
          <w:rFonts w:hint="eastAsia" w:ascii="宋体" w:hAnsi="宋体" w:cs="宋体"/>
          <w:sz w:val="24"/>
          <w:highlight w:val="none"/>
          <w:lang w:val="en-US" w:eastAsia="zh-CN"/>
        </w:rPr>
        <w:t>12</w:t>
      </w:r>
      <w:r>
        <w:rPr>
          <w:rFonts w:hint="eastAsia" w:ascii="宋体" w:hAnsi="宋体" w:eastAsia="宋体" w:cs="宋体"/>
          <w:sz w:val="24"/>
          <w:highlight w:val="none"/>
        </w:rPr>
        <w:t>日13时30分-14时00分</w:t>
      </w:r>
    </w:p>
    <w:p w14:paraId="5C4A0A05">
      <w:pPr>
        <w:spacing w:line="440" w:lineRule="exact"/>
        <w:ind w:right="-512" w:rightChars="-244" w:firstLine="480" w:firstLineChars="200"/>
        <w:rPr>
          <w:rFonts w:hint="eastAsia" w:ascii="宋体" w:hAnsi="宋体" w:eastAsia="宋体" w:cs="宋体"/>
          <w:sz w:val="24"/>
          <w:highlight w:val="none"/>
        </w:rPr>
      </w:pPr>
      <w:r>
        <w:rPr>
          <w:rFonts w:hint="eastAsia" w:ascii="宋体" w:hAnsi="宋体" w:eastAsia="宋体" w:cs="宋体"/>
          <w:sz w:val="24"/>
          <w:highlight w:val="none"/>
        </w:rPr>
        <w:t>参选截止时间为：2025年</w:t>
      </w:r>
      <w:r>
        <w:rPr>
          <w:rFonts w:hint="eastAsia" w:ascii="宋体" w:hAnsi="宋体" w:cs="宋体"/>
          <w:sz w:val="24"/>
          <w:highlight w:val="none"/>
          <w:lang w:val="en-US" w:eastAsia="zh-CN"/>
        </w:rPr>
        <w:t>11</w:t>
      </w:r>
      <w:r>
        <w:rPr>
          <w:rFonts w:hint="eastAsia" w:ascii="宋体" w:hAnsi="宋体" w:eastAsia="宋体" w:cs="宋体"/>
          <w:sz w:val="24"/>
          <w:highlight w:val="none"/>
        </w:rPr>
        <w:t>月</w:t>
      </w:r>
      <w:r>
        <w:rPr>
          <w:rFonts w:hint="eastAsia" w:ascii="宋体" w:hAnsi="宋体" w:cs="宋体"/>
          <w:sz w:val="24"/>
          <w:highlight w:val="none"/>
          <w:lang w:val="en-US" w:eastAsia="zh-CN"/>
        </w:rPr>
        <w:t>12</w:t>
      </w:r>
      <w:r>
        <w:rPr>
          <w:rFonts w:hint="eastAsia" w:ascii="宋体" w:hAnsi="宋体" w:eastAsia="宋体" w:cs="宋体"/>
          <w:sz w:val="24"/>
          <w:highlight w:val="none"/>
        </w:rPr>
        <w:t>日14时00分</w:t>
      </w:r>
    </w:p>
    <w:p w14:paraId="00279FD4">
      <w:pPr>
        <w:spacing w:line="440" w:lineRule="exact"/>
        <w:ind w:right="-512" w:rightChars="-244" w:firstLine="480" w:firstLineChars="200"/>
        <w:rPr>
          <w:rFonts w:hint="eastAsia" w:ascii="宋体" w:hAnsi="宋体" w:eastAsia="宋体" w:cs="宋体"/>
          <w:sz w:val="24"/>
          <w:highlight w:val="none"/>
        </w:rPr>
      </w:pPr>
      <w:r>
        <w:rPr>
          <w:rFonts w:hint="eastAsia" w:ascii="宋体" w:hAnsi="宋体" w:eastAsia="宋体" w:cs="宋体"/>
          <w:sz w:val="24"/>
          <w:highlight w:val="none"/>
        </w:rPr>
        <w:t>比选时间：同参选截止时间</w:t>
      </w:r>
    </w:p>
    <w:p w14:paraId="009B4797">
      <w:pPr>
        <w:spacing w:line="440" w:lineRule="exact"/>
        <w:ind w:right="-512" w:rightChars="-244" w:firstLine="480" w:firstLineChars="200"/>
        <w:rPr>
          <w:rFonts w:hint="eastAsia" w:ascii="宋体" w:hAnsi="宋体" w:eastAsia="宋体" w:cs="宋体"/>
          <w:sz w:val="24"/>
          <w:highlight w:val="none"/>
        </w:rPr>
      </w:pPr>
      <w:r>
        <w:rPr>
          <w:rFonts w:hint="eastAsia" w:ascii="宋体" w:hAnsi="宋体" w:eastAsia="宋体" w:cs="宋体"/>
          <w:sz w:val="24"/>
          <w:highlight w:val="none"/>
        </w:rPr>
        <w:t>比选地点：南通市崇川区崇川路158号15楼1506开标室</w:t>
      </w:r>
    </w:p>
    <w:p w14:paraId="50EA53FB">
      <w:pPr>
        <w:spacing w:line="440" w:lineRule="exact"/>
        <w:ind w:right="-260" w:rightChars="-124" w:firstLine="482" w:firstLineChars="200"/>
        <w:outlineLvl w:val="1"/>
        <w:rPr>
          <w:rFonts w:hint="eastAsia" w:ascii="宋体" w:hAnsi="宋体" w:eastAsia="宋体" w:cs="宋体"/>
          <w:b/>
          <w:sz w:val="24"/>
          <w:highlight w:val="none"/>
        </w:rPr>
      </w:pPr>
      <w:r>
        <w:rPr>
          <w:rFonts w:hint="eastAsia" w:ascii="宋体" w:hAnsi="宋体" w:eastAsia="宋体" w:cs="宋体"/>
          <w:b/>
          <w:sz w:val="24"/>
          <w:highlight w:val="none"/>
        </w:rPr>
        <w:t>五、对本次比选提出询问，请按以下方式联系</w:t>
      </w:r>
      <w:bookmarkEnd w:id="16"/>
      <w:bookmarkEnd w:id="17"/>
    </w:p>
    <w:p w14:paraId="2E8FF37C">
      <w:pPr>
        <w:spacing w:line="440" w:lineRule="exact"/>
        <w:ind w:right="-260" w:rightChars="-124" w:firstLine="480" w:firstLineChars="200"/>
        <w:rPr>
          <w:rFonts w:hint="eastAsia" w:ascii="宋体" w:hAnsi="宋体" w:eastAsia="宋体" w:cs="宋体"/>
          <w:sz w:val="24"/>
          <w:highlight w:val="none"/>
        </w:rPr>
      </w:pPr>
      <w:bookmarkStart w:id="18" w:name="_Toc11164"/>
      <w:r>
        <w:rPr>
          <w:rFonts w:hint="eastAsia" w:ascii="宋体" w:hAnsi="宋体" w:eastAsia="宋体" w:cs="宋体"/>
          <w:sz w:val="24"/>
          <w:highlight w:val="none"/>
        </w:rPr>
        <w:t>比选人信息</w:t>
      </w:r>
      <w:bookmarkEnd w:id="18"/>
    </w:p>
    <w:p w14:paraId="669423AF">
      <w:pPr>
        <w:spacing w:line="440" w:lineRule="exact"/>
        <w:ind w:right="-512" w:rightChars="-244" w:firstLine="840" w:firstLineChars="350"/>
        <w:rPr>
          <w:rFonts w:hint="eastAsia" w:ascii="宋体" w:hAnsi="宋体" w:eastAsia="宋体" w:cs="宋体"/>
          <w:sz w:val="24"/>
          <w:highlight w:val="none"/>
        </w:rPr>
      </w:pPr>
      <w:bookmarkStart w:id="19" w:name="_Toc24651"/>
      <w:r>
        <w:rPr>
          <w:rFonts w:hint="eastAsia" w:ascii="宋体" w:hAnsi="宋体" w:eastAsia="宋体" w:cs="宋体"/>
          <w:sz w:val="24"/>
          <w:highlight w:val="none"/>
        </w:rPr>
        <w:t xml:space="preserve">名    称：南通轨道资源开发有限公司 </w:t>
      </w:r>
    </w:p>
    <w:p w14:paraId="0658322B">
      <w:pPr>
        <w:spacing w:line="440" w:lineRule="exact"/>
        <w:ind w:right="-512" w:rightChars="-244" w:firstLine="840" w:firstLineChars="350"/>
        <w:rPr>
          <w:rFonts w:hint="eastAsia" w:ascii="宋体" w:hAnsi="宋体" w:eastAsia="宋体" w:cs="宋体"/>
          <w:sz w:val="24"/>
          <w:highlight w:val="none"/>
        </w:rPr>
      </w:pPr>
      <w:r>
        <w:rPr>
          <w:rFonts w:hint="eastAsia" w:ascii="宋体" w:hAnsi="宋体" w:eastAsia="宋体" w:cs="宋体"/>
          <w:sz w:val="24"/>
          <w:highlight w:val="none"/>
        </w:rPr>
        <w:t>地    址：南通市崇川区崇川路158号轨道大厦1808室</w:t>
      </w:r>
    </w:p>
    <w:p w14:paraId="5E02CF3C">
      <w:pPr>
        <w:spacing w:line="440" w:lineRule="exact"/>
        <w:ind w:right="-512" w:rightChars="-244" w:firstLine="840" w:firstLineChars="350"/>
        <w:rPr>
          <w:rFonts w:hint="eastAsia" w:ascii="宋体" w:hAnsi="宋体" w:eastAsia="宋体" w:cs="宋体"/>
          <w:sz w:val="24"/>
          <w:highlight w:val="none"/>
        </w:rPr>
      </w:pPr>
      <w:r>
        <w:rPr>
          <w:rFonts w:hint="eastAsia" w:ascii="宋体" w:hAnsi="宋体" w:eastAsia="宋体" w:cs="宋体"/>
          <w:sz w:val="24"/>
          <w:highlight w:val="none"/>
        </w:rPr>
        <w:t>联系方式：</w:t>
      </w:r>
      <w:r>
        <w:rPr>
          <w:rFonts w:hint="eastAsia" w:ascii="宋体" w:hAnsi="宋体" w:eastAsia="宋体" w:cs="宋体"/>
          <w:sz w:val="24"/>
          <w:highlight w:val="none"/>
          <w:lang w:val="en-US" w:eastAsia="zh-CN"/>
        </w:rPr>
        <w:t>司</w:t>
      </w:r>
      <w:r>
        <w:rPr>
          <w:rFonts w:hint="eastAsia" w:ascii="宋体" w:hAnsi="宋体" w:eastAsia="宋体" w:cs="宋体"/>
          <w:sz w:val="24"/>
          <w:highlight w:val="none"/>
        </w:rPr>
        <w:t>先生，0513-80813994</w:t>
      </w:r>
    </w:p>
    <w:p w14:paraId="39BE2E1B">
      <w:pPr>
        <w:spacing w:line="440" w:lineRule="exact"/>
        <w:ind w:right="-941" w:rightChars="-448" w:firstLine="480" w:firstLineChars="200"/>
        <w:rPr>
          <w:rFonts w:hint="eastAsia" w:ascii="宋体" w:hAnsi="宋体" w:eastAsia="宋体" w:cs="宋体"/>
          <w:sz w:val="24"/>
          <w:highlight w:val="none"/>
        </w:rPr>
      </w:pPr>
      <w:r>
        <w:rPr>
          <w:rFonts w:hint="eastAsia" w:ascii="宋体" w:hAnsi="宋体" w:eastAsia="宋体" w:cs="宋体"/>
          <w:sz w:val="24"/>
          <w:highlight w:val="none"/>
        </w:rPr>
        <w:t>招标代理机构信息</w:t>
      </w:r>
      <w:bookmarkEnd w:id="19"/>
    </w:p>
    <w:p w14:paraId="23AF0155">
      <w:pPr>
        <w:spacing w:line="440" w:lineRule="exact"/>
        <w:ind w:right="-941" w:rightChars="-448" w:firstLine="840" w:firstLineChars="350"/>
        <w:rPr>
          <w:rFonts w:hint="eastAsia" w:ascii="宋体" w:hAnsi="宋体" w:eastAsia="宋体" w:cs="宋体"/>
          <w:sz w:val="24"/>
          <w:highlight w:val="none"/>
        </w:rPr>
      </w:pPr>
      <w:r>
        <w:rPr>
          <w:rFonts w:hint="eastAsia" w:ascii="宋体" w:hAnsi="宋体" w:eastAsia="宋体" w:cs="宋体"/>
          <w:sz w:val="24"/>
          <w:highlight w:val="none"/>
        </w:rPr>
        <w:t xml:space="preserve">名    称：中达工程管理咨询有限公司 </w:t>
      </w:r>
    </w:p>
    <w:p w14:paraId="492DD8A4">
      <w:pPr>
        <w:spacing w:line="440" w:lineRule="exact"/>
        <w:ind w:right="-512" w:rightChars="-244" w:firstLine="840" w:firstLineChars="350"/>
        <w:rPr>
          <w:rFonts w:hint="eastAsia" w:ascii="宋体" w:hAnsi="宋体" w:eastAsia="宋体" w:cs="宋体"/>
          <w:sz w:val="24"/>
          <w:highlight w:val="none"/>
        </w:rPr>
      </w:pPr>
      <w:bookmarkStart w:id="20" w:name="_Toc28435"/>
      <w:r>
        <w:rPr>
          <w:rFonts w:hint="eastAsia" w:ascii="宋体" w:hAnsi="宋体" w:eastAsia="宋体" w:cs="宋体"/>
          <w:sz w:val="24"/>
          <w:highlight w:val="none"/>
        </w:rPr>
        <w:t>联系方式：李先生，15151361032</w:t>
      </w:r>
    </w:p>
    <w:bookmarkEnd w:id="20"/>
    <w:p w14:paraId="308A3F30">
      <w:pPr>
        <w:spacing w:line="440" w:lineRule="exact"/>
        <w:ind w:right="-512" w:rightChars="-244" w:firstLine="482" w:firstLineChars="200"/>
        <w:outlineLvl w:val="1"/>
        <w:rPr>
          <w:rFonts w:hint="eastAsia" w:ascii="宋体" w:hAnsi="宋体" w:eastAsia="宋体" w:cs="宋体"/>
          <w:b/>
          <w:sz w:val="24"/>
          <w:highlight w:val="none"/>
        </w:rPr>
      </w:pPr>
      <w:bookmarkStart w:id="21" w:name="_Toc768"/>
      <w:r>
        <w:rPr>
          <w:rFonts w:hint="eastAsia" w:ascii="宋体" w:hAnsi="宋体" w:eastAsia="宋体" w:cs="宋体"/>
          <w:b/>
          <w:sz w:val="24"/>
          <w:highlight w:val="none"/>
        </w:rPr>
        <w:t>六、发布媒介</w:t>
      </w:r>
      <w:bookmarkEnd w:id="21"/>
    </w:p>
    <w:p w14:paraId="77DCC776">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本公告在南通轨道交通官网（https://www.ntrailway.com/）、中国招标投标公共服务平台（http://www.cebpubservice.com/?_t=1531450543）发布。</w:t>
      </w:r>
    </w:p>
    <w:p w14:paraId="1B7BB974">
      <w:pPr>
        <w:spacing w:line="440" w:lineRule="exact"/>
        <w:ind w:right="-260" w:rightChars="-124"/>
        <w:jc w:val="right"/>
        <w:rPr>
          <w:rFonts w:hint="eastAsia" w:ascii="宋体" w:hAnsi="宋体" w:eastAsia="宋体" w:cs="宋体"/>
          <w:bCs/>
          <w:sz w:val="24"/>
          <w:highlight w:val="none"/>
        </w:rPr>
      </w:pPr>
    </w:p>
    <w:p w14:paraId="4DF811C0">
      <w:pPr>
        <w:spacing w:line="440" w:lineRule="exact"/>
        <w:ind w:right="-260" w:rightChars="-124"/>
        <w:rPr>
          <w:rFonts w:hint="eastAsia" w:ascii="宋体" w:hAnsi="宋体" w:eastAsia="宋体" w:cs="宋体"/>
          <w:bCs/>
          <w:sz w:val="24"/>
          <w:highlight w:val="none"/>
        </w:rPr>
      </w:pPr>
    </w:p>
    <w:p w14:paraId="4BE1BDE2">
      <w:pPr>
        <w:spacing w:line="440" w:lineRule="exact"/>
        <w:ind w:right="-260" w:rightChars="-124"/>
        <w:jc w:val="right"/>
        <w:rPr>
          <w:rFonts w:hint="eastAsia" w:ascii="宋体" w:hAnsi="宋体" w:eastAsia="宋体" w:cs="宋体"/>
          <w:bCs/>
          <w:sz w:val="24"/>
          <w:highlight w:val="none"/>
        </w:rPr>
      </w:pPr>
    </w:p>
    <w:p w14:paraId="3F15B4E9">
      <w:pPr>
        <w:spacing w:line="440" w:lineRule="exact"/>
        <w:ind w:right="-260" w:rightChars="-124"/>
        <w:jc w:val="center"/>
        <w:outlineLvl w:val="0"/>
        <w:rPr>
          <w:rFonts w:hint="eastAsia" w:ascii="宋体" w:hAnsi="宋体" w:eastAsia="宋体" w:cs="宋体"/>
          <w:b/>
          <w:bCs/>
          <w:sz w:val="32"/>
          <w:szCs w:val="32"/>
          <w:highlight w:val="none"/>
        </w:rPr>
      </w:pPr>
      <w:bookmarkStart w:id="22" w:name="_Toc11734"/>
      <w:bookmarkStart w:id="23" w:name="_Toc27473"/>
      <w:bookmarkStart w:id="24" w:name="_Toc32507"/>
      <w:bookmarkStart w:id="25" w:name="_Toc26213"/>
      <w:r>
        <w:rPr>
          <w:rFonts w:hint="eastAsia" w:ascii="宋体" w:hAnsi="宋体" w:eastAsia="宋体" w:cs="宋体"/>
          <w:b/>
          <w:bCs/>
          <w:sz w:val="32"/>
          <w:szCs w:val="32"/>
          <w:highlight w:val="none"/>
        </w:rPr>
        <w:br w:type="page"/>
      </w:r>
      <w:bookmarkStart w:id="26" w:name="_Toc3912"/>
      <w:r>
        <w:rPr>
          <w:rFonts w:hint="eastAsia" w:ascii="宋体" w:hAnsi="宋体" w:eastAsia="宋体" w:cs="宋体"/>
          <w:b/>
          <w:bCs/>
          <w:sz w:val="32"/>
          <w:szCs w:val="32"/>
          <w:highlight w:val="none"/>
        </w:rPr>
        <w:t xml:space="preserve">第二章  </w:t>
      </w:r>
      <w:bookmarkEnd w:id="22"/>
      <w:bookmarkEnd w:id="23"/>
      <w:bookmarkEnd w:id="24"/>
      <w:bookmarkEnd w:id="25"/>
      <w:r>
        <w:rPr>
          <w:rFonts w:hint="eastAsia" w:ascii="宋体" w:hAnsi="宋体" w:eastAsia="宋体" w:cs="宋体"/>
          <w:b/>
          <w:bCs/>
          <w:sz w:val="32"/>
          <w:szCs w:val="32"/>
          <w:highlight w:val="none"/>
        </w:rPr>
        <w:t>参选须知</w:t>
      </w:r>
      <w:bookmarkEnd w:id="26"/>
    </w:p>
    <w:p w14:paraId="329B0CFF">
      <w:pPr>
        <w:rPr>
          <w:rFonts w:hint="eastAsia" w:ascii="宋体" w:hAnsi="宋体" w:eastAsia="宋体" w:cs="宋体"/>
          <w:highlight w:val="none"/>
        </w:rPr>
      </w:pPr>
      <w:bookmarkStart w:id="27" w:name="_Toc21125"/>
      <w:bookmarkStart w:id="28" w:name="_Toc27566"/>
    </w:p>
    <w:p w14:paraId="2EA52E5D">
      <w:pPr>
        <w:spacing w:line="440" w:lineRule="exact"/>
        <w:ind w:right="-260" w:rightChars="-124" w:firstLine="482" w:firstLineChars="200"/>
        <w:outlineLvl w:val="1"/>
        <w:rPr>
          <w:rFonts w:hint="eastAsia" w:ascii="宋体" w:hAnsi="宋体" w:eastAsia="宋体" w:cs="宋体"/>
          <w:b/>
          <w:sz w:val="24"/>
          <w:highlight w:val="none"/>
        </w:rPr>
      </w:pPr>
      <w:bookmarkStart w:id="29" w:name="_Toc27419"/>
      <w:r>
        <w:rPr>
          <w:rFonts w:hint="eastAsia" w:ascii="宋体" w:hAnsi="宋体" w:eastAsia="宋体" w:cs="宋体"/>
          <w:b/>
          <w:sz w:val="24"/>
          <w:highlight w:val="none"/>
        </w:rPr>
        <w:t>一、总则</w:t>
      </w:r>
      <w:bookmarkEnd w:id="27"/>
      <w:bookmarkEnd w:id="29"/>
    </w:p>
    <w:p w14:paraId="015AFABD">
      <w:pPr>
        <w:spacing w:line="440" w:lineRule="exact"/>
        <w:ind w:right="-260" w:rightChars="-124" w:firstLine="480" w:firstLineChars="200"/>
        <w:rPr>
          <w:rFonts w:hint="eastAsia" w:ascii="宋体" w:hAnsi="宋体" w:eastAsia="宋体" w:cs="宋体"/>
          <w:sz w:val="24"/>
          <w:highlight w:val="none"/>
        </w:rPr>
      </w:pPr>
      <w:bookmarkStart w:id="30" w:name="_Hlt16619475"/>
      <w:bookmarkEnd w:id="30"/>
      <w:bookmarkStart w:id="31" w:name="_Toc458694821"/>
      <w:bookmarkStart w:id="32" w:name="_Toc513029204"/>
      <w:bookmarkStart w:id="33" w:name="_Toc29623"/>
      <w:bookmarkStart w:id="34" w:name="_Toc16938520"/>
      <w:bookmarkStart w:id="35" w:name="_Toc20823276"/>
      <w:r>
        <w:rPr>
          <w:rFonts w:hint="eastAsia" w:ascii="宋体" w:hAnsi="宋体" w:eastAsia="宋体" w:cs="宋体"/>
          <w:sz w:val="24"/>
          <w:highlight w:val="none"/>
        </w:rPr>
        <w:t>1</w:t>
      </w:r>
      <w:bookmarkEnd w:id="31"/>
      <w:r>
        <w:rPr>
          <w:rFonts w:hint="eastAsia" w:ascii="宋体" w:hAnsi="宋体" w:eastAsia="宋体" w:cs="宋体"/>
          <w:sz w:val="24"/>
          <w:highlight w:val="none"/>
        </w:rPr>
        <w:t>、比选方式</w:t>
      </w:r>
      <w:bookmarkEnd w:id="32"/>
      <w:bookmarkEnd w:id="33"/>
      <w:bookmarkEnd w:id="34"/>
      <w:bookmarkEnd w:id="35"/>
    </w:p>
    <w:p w14:paraId="366B576C">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采取公开比选方式，本比选文件仅适用于比选公告中所述项目。</w:t>
      </w:r>
    </w:p>
    <w:p w14:paraId="0406D890">
      <w:pPr>
        <w:spacing w:line="440" w:lineRule="exact"/>
        <w:ind w:right="-260" w:rightChars="-124" w:firstLine="480" w:firstLineChars="200"/>
        <w:rPr>
          <w:rFonts w:hint="eastAsia" w:ascii="宋体" w:hAnsi="宋体" w:eastAsia="宋体" w:cs="宋体"/>
          <w:sz w:val="24"/>
          <w:highlight w:val="none"/>
        </w:rPr>
      </w:pPr>
      <w:bookmarkStart w:id="36" w:name="_Toc16938521"/>
      <w:bookmarkStart w:id="37" w:name="_Toc513029205"/>
      <w:bookmarkStart w:id="38" w:name="_Toc20823277"/>
      <w:bookmarkStart w:id="39" w:name="_Toc30478"/>
      <w:r>
        <w:rPr>
          <w:rFonts w:hint="eastAsia" w:ascii="宋体" w:hAnsi="宋体" w:eastAsia="宋体" w:cs="宋体"/>
          <w:sz w:val="24"/>
          <w:highlight w:val="none"/>
        </w:rPr>
        <w:t>2、</w:t>
      </w:r>
      <w:bookmarkEnd w:id="36"/>
      <w:bookmarkEnd w:id="37"/>
      <w:bookmarkEnd w:id="38"/>
      <w:bookmarkStart w:id="40" w:name="_Toc16938522"/>
      <w:bookmarkStart w:id="41" w:name="_Toc513029206"/>
      <w:bookmarkStart w:id="42" w:name="_Toc20823278"/>
      <w:r>
        <w:rPr>
          <w:rFonts w:hint="eastAsia" w:ascii="宋体" w:hAnsi="宋体" w:eastAsia="宋体" w:cs="宋体"/>
          <w:sz w:val="24"/>
          <w:highlight w:val="none"/>
        </w:rPr>
        <w:t>适用法律</w:t>
      </w:r>
      <w:bookmarkEnd w:id="39"/>
      <w:bookmarkEnd w:id="40"/>
      <w:bookmarkEnd w:id="41"/>
      <w:bookmarkEnd w:id="42"/>
    </w:p>
    <w:p w14:paraId="034B4799">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本次比选及由此产生的合同受中华人民共和国有关的法律法规制约和保护。</w:t>
      </w:r>
    </w:p>
    <w:p w14:paraId="5D61E7FA">
      <w:pPr>
        <w:spacing w:line="440" w:lineRule="exact"/>
        <w:ind w:right="-260" w:rightChars="-124" w:firstLine="482" w:firstLineChars="200"/>
        <w:outlineLvl w:val="1"/>
        <w:rPr>
          <w:rFonts w:hint="eastAsia" w:ascii="宋体" w:hAnsi="宋体" w:eastAsia="宋体" w:cs="宋体"/>
          <w:b/>
          <w:sz w:val="24"/>
          <w:highlight w:val="none"/>
        </w:rPr>
      </w:pPr>
      <w:bookmarkStart w:id="43" w:name="_Toc3776"/>
      <w:bookmarkStart w:id="44" w:name="_Toc4689"/>
      <w:r>
        <w:rPr>
          <w:rFonts w:hint="eastAsia" w:ascii="宋体" w:hAnsi="宋体" w:eastAsia="宋体" w:cs="宋体"/>
          <w:b/>
          <w:sz w:val="24"/>
          <w:highlight w:val="none"/>
        </w:rPr>
        <w:t>二、比选文件构成</w:t>
      </w:r>
      <w:bookmarkEnd w:id="43"/>
      <w:bookmarkEnd w:id="44"/>
    </w:p>
    <w:p w14:paraId="65067B15">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比选文件由以下部分组成：</w:t>
      </w:r>
    </w:p>
    <w:p w14:paraId="402DD3B3">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（1）比选公告</w:t>
      </w:r>
    </w:p>
    <w:p w14:paraId="03E085B0">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（2）参选须知</w:t>
      </w:r>
    </w:p>
    <w:p w14:paraId="5642971D">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（3）用户需求书</w:t>
      </w:r>
    </w:p>
    <w:p w14:paraId="5F64A3C2">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（4）评标方法与评标标准</w:t>
      </w:r>
    </w:p>
    <w:p w14:paraId="4F517139">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（5）合同条款</w:t>
      </w:r>
    </w:p>
    <w:p w14:paraId="5FFAF653">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（6）质疑提出和处理</w:t>
      </w:r>
    </w:p>
    <w:p w14:paraId="562FF115">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（7）参选文件组成</w:t>
      </w:r>
    </w:p>
    <w:p w14:paraId="0D563A0D">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对比选文件所作的澄清、修改，构成比选文件的组成部分。</w:t>
      </w:r>
    </w:p>
    <w:p w14:paraId="546F954B">
      <w:pPr>
        <w:spacing w:line="440" w:lineRule="exact"/>
        <w:ind w:right="-260" w:rightChars="-124" w:firstLine="482" w:firstLineChars="200"/>
        <w:outlineLvl w:val="1"/>
        <w:rPr>
          <w:rFonts w:hint="eastAsia" w:ascii="宋体" w:hAnsi="宋体" w:eastAsia="宋体" w:cs="宋体"/>
          <w:b/>
          <w:sz w:val="24"/>
          <w:highlight w:val="none"/>
        </w:rPr>
      </w:pPr>
      <w:bookmarkStart w:id="45" w:name="_Toc217"/>
      <w:bookmarkStart w:id="46" w:name="_Toc31014"/>
      <w:r>
        <w:rPr>
          <w:rFonts w:hint="eastAsia" w:ascii="宋体" w:hAnsi="宋体" w:eastAsia="宋体" w:cs="宋体"/>
          <w:b/>
          <w:sz w:val="24"/>
          <w:highlight w:val="none"/>
        </w:rPr>
        <w:t>三、比选文件由比选人解释</w:t>
      </w:r>
      <w:bookmarkEnd w:id="45"/>
      <w:bookmarkEnd w:id="46"/>
    </w:p>
    <w:p w14:paraId="2F4C1A7E">
      <w:pPr>
        <w:spacing w:line="440" w:lineRule="exact"/>
        <w:ind w:right="-260" w:rightChars="-124" w:firstLine="480" w:firstLineChars="200"/>
        <w:rPr>
          <w:rFonts w:hint="eastAsia" w:ascii="宋体" w:hAnsi="宋体" w:eastAsia="宋体" w:cs="宋体"/>
          <w:b/>
          <w:sz w:val="24"/>
          <w:highlight w:val="none"/>
        </w:rPr>
      </w:pPr>
      <w:r>
        <w:rPr>
          <w:rFonts w:hint="eastAsia" w:ascii="宋体" w:hAnsi="宋体" w:eastAsia="宋体" w:cs="宋体"/>
          <w:sz w:val="24"/>
          <w:highlight w:val="none"/>
        </w:rPr>
        <w:t>1、参选人下载比选文件后，应仔细检查比选文件的所有内容，如对采购活动事项有疑问的，应当在2025年</w:t>
      </w:r>
      <w:r>
        <w:rPr>
          <w:rFonts w:hint="eastAsia" w:ascii="宋体" w:hAnsi="宋体" w:cs="宋体"/>
          <w:sz w:val="24"/>
          <w:highlight w:val="none"/>
          <w:lang w:val="en-US" w:eastAsia="zh-CN"/>
        </w:rPr>
        <w:t>11</w:t>
      </w:r>
      <w:r>
        <w:rPr>
          <w:rFonts w:hint="eastAsia" w:ascii="宋体" w:hAnsi="宋体" w:eastAsia="宋体" w:cs="宋体"/>
          <w:sz w:val="24"/>
          <w:highlight w:val="none"/>
        </w:rPr>
        <w:t>月</w:t>
      </w:r>
      <w:r>
        <w:rPr>
          <w:rFonts w:hint="eastAsia" w:ascii="宋体" w:hAnsi="宋体" w:cs="宋体"/>
          <w:sz w:val="24"/>
          <w:highlight w:val="none"/>
          <w:lang w:val="en-US" w:eastAsia="zh-CN"/>
        </w:rPr>
        <w:t>6</w:t>
      </w:r>
      <w:r>
        <w:rPr>
          <w:rFonts w:hint="eastAsia" w:ascii="宋体" w:hAnsi="宋体" w:eastAsia="宋体" w:cs="宋体"/>
          <w:sz w:val="24"/>
          <w:highlight w:val="none"/>
        </w:rPr>
        <w:t>日9时30分前以电子邮件形式（Word版）提出询问或疑问（邮箱为</w:t>
      </w:r>
      <w:r>
        <w:rPr>
          <w:rFonts w:hint="eastAsia" w:ascii="宋体" w:hAnsi="宋体" w:eastAsia="宋体" w:cs="宋体"/>
          <w:b/>
          <w:bCs/>
          <w:sz w:val="24"/>
          <w:highlight w:val="none"/>
        </w:rPr>
        <w:t>3257573920@qq.com</w:t>
      </w:r>
      <w:r>
        <w:rPr>
          <w:rFonts w:hint="eastAsia" w:ascii="宋体" w:hAnsi="宋体" w:eastAsia="宋体" w:cs="宋体"/>
          <w:sz w:val="24"/>
          <w:highlight w:val="none"/>
        </w:rPr>
        <w:t>），未在规定时间内提出询问或疑问的，视同参选人理解并接受本比选文件所有内容，并由此引起的损失自负。</w:t>
      </w:r>
      <w:r>
        <w:rPr>
          <w:rFonts w:hint="eastAsia" w:ascii="宋体" w:hAnsi="宋体" w:eastAsia="宋体" w:cs="宋体"/>
          <w:b/>
          <w:bCs/>
          <w:sz w:val="24"/>
          <w:highlight w:val="none"/>
        </w:rPr>
        <w:t>答疑文件会通过邮件形式发布，参选人应及时查看，因参选人错看漏看引起的一切问题由参选人自行承担。</w:t>
      </w:r>
    </w:p>
    <w:p w14:paraId="20FBAD91">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2、参选人应认真审阅比选文件中所有的事项、格式、条款和规范要求等，如果参选人没有按照比选文件要求提交参选文件，或者参选文件没有对比选文件做出实质性响应，其参选将被拒绝，参选人自行承担责任。</w:t>
      </w:r>
    </w:p>
    <w:bookmarkEnd w:id="28"/>
    <w:p w14:paraId="1258D4D0">
      <w:pPr>
        <w:spacing w:line="440" w:lineRule="exact"/>
        <w:ind w:right="-260" w:rightChars="-124" w:firstLine="482" w:firstLineChars="200"/>
        <w:outlineLvl w:val="1"/>
        <w:rPr>
          <w:rFonts w:hint="eastAsia" w:ascii="宋体" w:hAnsi="宋体" w:eastAsia="宋体" w:cs="宋体"/>
          <w:b/>
          <w:sz w:val="24"/>
          <w:highlight w:val="none"/>
        </w:rPr>
      </w:pPr>
      <w:bookmarkStart w:id="47" w:name="_Toc15402"/>
      <w:bookmarkStart w:id="48" w:name="_Toc2538"/>
      <w:bookmarkStart w:id="49" w:name="_Toc25909"/>
      <w:r>
        <w:rPr>
          <w:rFonts w:hint="eastAsia" w:ascii="宋体" w:hAnsi="宋体" w:eastAsia="宋体" w:cs="宋体"/>
          <w:b/>
          <w:sz w:val="24"/>
          <w:highlight w:val="none"/>
        </w:rPr>
        <w:t>四、比选文件的澄清、修改</w:t>
      </w:r>
      <w:bookmarkEnd w:id="47"/>
      <w:bookmarkEnd w:id="48"/>
    </w:p>
    <w:bookmarkEnd w:id="49"/>
    <w:p w14:paraId="043F6955">
      <w:pPr>
        <w:spacing w:line="440" w:lineRule="exact"/>
        <w:ind w:right="-260" w:rightChars="-124" w:firstLine="480" w:firstLineChars="200"/>
        <w:rPr>
          <w:rFonts w:hint="eastAsia" w:ascii="宋体" w:hAnsi="宋体" w:eastAsia="宋体" w:cs="宋体"/>
          <w:b/>
          <w:sz w:val="24"/>
          <w:highlight w:val="none"/>
        </w:rPr>
      </w:pPr>
      <w:r>
        <w:rPr>
          <w:rFonts w:hint="eastAsia" w:ascii="宋体" w:hAnsi="宋体" w:eastAsia="宋体" w:cs="宋体"/>
          <w:sz w:val="24"/>
          <w:highlight w:val="none"/>
        </w:rPr>
        <w:t>1、比选人有权对发出的比选文件进行必要的澄清或修改。修改比选文件的时间距参选截止时间不足3日的，并且修改内容可能影响参选文件编制的，将相应延长参选截止时间。</w:t>
      </w:r>
      <w:r>
        <w:rPr>
          <w:rFonts w:hint="eastAsia" w:ascii="宋体" w:hAnsi="宋体" w:eastAsia="宋体" w:cs="宋体"/>
          <w:b/>
          <w:bCs/>
          <w:sz w:val="24"/>
          <w:highlight w:val="none"/>
        </w:rPr>
        <w:t>澄清文件会通过邮件形式发布，参选人应及时查看，因参选人错看漏看引起的一切问题由参选人自行承担。</w:t>
      </w:r>
    </w:p>
    <w:p w14:paraId="01E211F3">
      <w:pPr>
        <w:pStyle w:val="9"/>
        <w:spacing w:line="440" w:lineRule="exact"/>
        <w:ind w:left="0" w:right="-260" w:rightChars="-124"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2、比选人对比选文件的澄清、修改将构成比选文件的一部分，对参选人具有约束力。</w:t>
      </w:r>
    </w:p>
    <w:p w14:paraId="73BDC2B5">
      <w:pPr>
        <w:spacing w:line="440" w:lineRule="exact"/>
        <w:ind w:right="-260" w:rightChars="-124" w:firstLine="482" w:firstLineChars="200"/>
        <w:outlineLvl w:val="1"/>
        <w:rPr>
          <w:rFonts w:hint="eastAsia" w:ascii="宋体" w:hAnsi="宋体" w:eastAsia="宋体" w:cs="宋体"/>
          <w:b/>
          <w:sz w:val="24"/>
          <w:highlight w:val="none"/>
        </w:rPr>
      </w:pPr>
      <w:bookmarkStart w:id="50" w:name="_Toc873"/>
      <w:bookmarkStart w:id="51" w:name="_Toc14315"/>
      <w:bookmarkStart w:id="52" w:name="_Toc10876"/>
      <w:r>
        <w:rPr>
          <w:rFonts w:hint="eastAsia" w:ascii="宋体" w:hAnsi="宋体" w:eastAsia="宋体" w:cs="宋体"/>
          <w:b/>
          <w:sz w:val="24"/>
          <w:highlight w:val="none"/>
        </w:rPr>
        <w:t>五、参选文件的组成、</w:t>
      </w:r>
      <w:bookmarkEnd w:id="50"/>
      <w:r>
        <w:rPr>
          <w:rFonts w:hint="eastAsia" w:ascii="宋体" w:hAnsi="宋体" w:eastAsia="宋体" w:cs="宋体"/>
          <w:b/>
          <w:sz w:val="24"/>
          <w:highlight w:val="none"/>
        </w:rPr>
        <w:t>编制、密封</w:t>
      </w:r>
      <w:bookmarkEnd w:id="51"/>
    </w:p>
    <w:bookmarkEnd w:id="52"/>
    <w:p w14:paraId="45F7BC42">
      <w:pPr>
        <w:pStyle w:val="9"/>
        <w:spacing w:line="440" w:lineRule="exact"/>
        <w:ind w:left="0" w:right="-260" w:rightChars="-124" w:firstLine="482" w:firstLineChars="200"/>
        <w:contextualSpacing/>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1、参选文件的组成</w:t>
      </w:r>
    </w:p>
    <w:p w14:paraId="721ABD99">
      <w:pPr>
        <w:pStyle w:val="9"/>
        <w:spacing w:line="44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参选文件由资格审查文件、商务参选文件、技术参选文件、报价参选文件、电子参选文件（电子U盘）组成。资格审查文件、商务参选文件、技术参选文件、报价参选文件具体内容详见第七章，</w:t>
      </w:r>
      <w:r>
        <w:rPr>
          <w:rFonts w:hint="eastAsia" w:ascii="宋体" w:hAnsi="宋体" w:eastAsia="宋体" w:cs="宋体"/>
          <w:b/>
          <w:bCs/>
          <w:sz w:val="24"/>
          <w:szCs w:val="24"/>
          <w:highlight w:val="none"/>
        </w:rPr>
        <w:t>电子参选文件须含资格审查文件、商务参选文件、技术参选文件、报价参选文件的全部内容，格式为.doc</w:t>
      </w:r>
      <w:r>
        <w:rPr>
          <w:rFonts w:hint="eastAsia" w:ascii="宋体" w:hAnsi="宋体" w:eastAsia="宋体" w:cs="宋体"/>
          <w:sz w:val="24"/>
          <w:szCs w:val="24"/>
          <w:highlight w:val="none"/>
        </w:rPr>
        <w:t>。</w:t>
      </w:r>
    </w:p>
    <w:p w14:paraId="5D934E37">
      <w:pPr>
        <w:pStyle w:val="9"/>
        <w:spacing w:line="440" w:lineRule="exact"/>
        <w:ind w:left="0" w:right="-260" w:rightChars="-124" w:firstLine="482" w:firstLineChars="200"/>
        <w:contextualSpacing/>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2、参选文件的编制</w:t>
      </w:r>
    </w:p>
    <w:p w14:paraId="0E7913A8">
      <w:pPr>
        <w:pStyle w:val="9"/>
        <w:spacing w:line="44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2.1 参选文件应按第七章“参选文件组成”进行编写，如有必要，可以增加附页，作为参选文件的组成部分。</w:t>
      </w:r>
    </w:p>
    <w:p w14:paraId="339B4E8C">
      <w:pPr>
        <w:pStyle w:val="9"/>
        <w:spacing w:line="44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2.2纸质参选文件应用不褪色的材料书写或打印，并由参选人的法定代表人或其委托代理人签字或盖单位公章。委托代理人签字的，参选文件应附法定代表人签署的授权委托书。参选文件应尽量避免涂改、行间插字或删除。如果出现上述情况，改动之处应加盖单位章或由参选人的法定代表人或其授权的代理人签字确认。</w:t>
      </w:r>
    </w:p>
    <w:p w14:paraId="171155E3">
      <w:pPr>
        <w:pStyle w:val="9"/>
        <w:spacing w:line="44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2.3参选文件纸质正本一份，纸质副本四份，电子文本一份。正本和副本的封面上应清楚地标记“正本”或“副本”的字样。当副本和正本不一致时，以正本为准。</w:t>
      </w:r>
    </w:p>
    <w:p w14:paraId="4202E42B">
      <w:pPr>
        <w:pStyle w:val="9"/>
        <w:spacing w:line="44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2.4参选文件的正本与副本应分别装订成册，并编制目录。</w:t>
      </w:r>
    </w:p>
    <w:p w14:paraId="04BD3A39">
      <w:pPr>
        <w:pStyle w:val="9"/>
        <w:spacing w:line="440" w:lineRule="exact"/>
        <w:ind w:left="0" w:right="-260" w:rightChars="-124" w:firstLine="482" w:firstLineChars="200"/>
        <w:contextualSpacing/>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2.5技术参选文件总页码（不包括封面、封底、目录）须控制在100页（含）内，双面打印。若不按此要求编制，评标委员会可在技术部分酌情扣分。</w:t>
      </w:r>
    </w:p>
    <w:p w14:paraId="741BF873">
      <w:pPr>
        <w:pStyle w:val="9"/>
        <w:spacing w:line="440" w:lineRule="exact"/>
        <w:ind w:left="0" w:right="-260" w:rightChars="-124" w:firstLine="482" w:firstLineChars="200"/>
        <w:contextualSpacing/>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3、参选文件的密封</w:t>
      </w:r>
    </w:p>
    <w:p w14:paraId="7650ED8A">
      <w:pPr>
        <w:pStyle w:val="9"/>
        <w:spacing w:line="44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3.1资格审查文件、商务参选文件、技术参选文件、报价参选文件、电子参选文件（电子U盘）应分别密封。封袋上（最外面）都应写明参选单位名称、项目名称，并于封袋上加盖参选单位公章。</w:t>
      </w:r>
    </w:p>
    <w:p w14:paraId="3371621E">
      <w:pPr>
        <w:pStyle w:val="9"/>
        <w:spacing w:line="44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3.2未按本章第3.1项要求密封和加写标记的参选文件，比选人不予受理。</w:t>
      </w:r>
    </w:p>
    <w:p w14:paraId="1FFC6CED">
      <w:pPr>
        <w:spacing w:line="440" w:lineRule="exact"/>
        <w:ind w:right="-260" w:rightChars="-124" w:firstLine="482" w:firstLineChars="200"/>
        <w:outlineLvl w:val="1"/>
        <w:rPr>
          <w:rFonts w:hint="eastAsia" w:ascii="宋体" w:hAnsi="宋体" w:eastAsia="宋体" w:cs="宋体"/>
          <w:b/>
          <w:sz w:val="24"/>
          <w:highlight w:val="none"/>
        </w:rPr>
      </w:pPr>
      <w:bookmarkStart w:id="53" w:name="_Toc22603"/>
      <w:bookmarkStart w:id="54" w:name="_Toc23665"/>
      <w:bookmarkStart w:id="55" w:name="_Toc8201"/>
      <w:r>
        <w:rPr>
          <w:rFonts w:hint="eastAsia" w:ascii="宋体" w:hAnsi="宋体" w:eastAsia="宋体" w:cs="宋体"/>
          <w:b/>
          <w:sz w:val="24"/>
          <w:highlight w:val="none"/>
        </w:rPr>
        <w:t>六、</w:t>
      </w:r>
      <w:bookmarkEnd w:id="53"/>
      <w:r>
        <w:rPr>
          <w:rFonts w:hint="eastAsia" w:ascii="宋体" w:hAnsi="宋体" w:eastAsia="宋体" w:cs="宋体"/>
          <w:b/>
          <w:sz w:val="24"/>
          <w:highlight w:val="none"/>
        </w:rPr>
        <w:t>参选报价</w:t>
      </w:r>
      <w:bookmarkEnd w:id="54"/>
    </w:p>
    <w:bookmarkEnd w:id="55"/>
    <w:p w14:paraId="5232C603">
      <w:pPr>
        <w:spacing w:line="440" w:lineRule="exact"/>
        <w:ind w:right="-260" w:rightChars="-124" w:firstLine="482" w:firstLineChars="200"/>
        <w:rPr>
          <w:rFonts w:hint="eastAsia" w:ascii="宋体" w:hAnsi="宋体" w:eastAsia="宋体" w:cs="宋体"/>
          <w:b/>
          <w:bCs/>
          <w:sz w:val="24"/>
          <w:highlight w:val="none"/>
          <w:lang w:val="en-US" w:eastAsia="zh-CN"/>
        </w:rPr>
      </w:pPr>
      <w:bookmarkStart w:id="56" w:name="_Toc7787"/>
      <w:r>
        <w:rPr>
          <w:rFonts w:hint="eastAsia" w:ascii="宋体" w:hAnsi="宋体" w:eastAsia="宋体" w:cs="宋体"/>
          <w:b/>
          <w:bCs/>
          <w:sz w:val="24"/>
          <w:highlight w:val="none"/>
        </w:rPr>
        <w:t>1、比选控制价（含税限价）：</w:t>
      </w:r>
      <w:r>
        <w:rPr>
          <w:rFonts w:hint="eastAsia" w:ascii="宋体" w:hAnsi="宋体" w:cs="宋体"/>
          <w:b/>
          <w:bCs/>
          <w:sz w:val="24"/>
          <w:highlight w:val="none"/>
          <w:lang w:val="en-US" w:eastAsia="zh-CN"/>
        </w:rPr>
        <w:t>48.9万</w:t>
      </w:r>
      <w:r>
        <w:rPr>
          <w:rFonts w:hint="eastAsia" w:ascii="宋体" w:hAnsi="宋体" w:eastAsia="宋体" w:cs="宋体"/>
          <w:b/>
          <w:bCs/>
          <w:sz w:val="24"/>
          <w:highlight w:val="none"/>
          <w:lang w:val="en-US" w:eastAsia="zh-CN"/>
        </w:rPr>
        <w:t>元。</w:t>
      </w:r>
    </w:p>
    <w:p w14:paraId="4039D1B5">
      <w:pPr>
        <w:pStyle w:val="115"/>
        <w:spacing w:line="440" w:lineRule="exact"/>
        <w:ind w:right="-260" w:rightChars="-124" w:firstLine="482" w:firstLineChars="200"/>
        <w:rPr>
          <w:rFonts w:hint="eastAsia" w:ascii="宋体" w:hAnsi="宋体" w:eastAsia="宋体" w:cs="宋体"/>
          <w:sz w:val="24"/>
          <w:highlight w:val="none"/>
        </w:rPr>
      </w:pPr>
      <w:r>
        <w:rPr>
          <w:rFonts w:hint="eastAsia" w:ascii="宋体" w:hAnsi="宋体" w:eastAsia="宋体" w:cs="宋体"/>
          <w:sz w:val="24"/>
          <w:highlight w:val="none"/>
        </w:rPr>
        <w:t>2、参选报价由参选人在比选控制价范围内自行报价。参选报价不得超过比选控制价，若参选报价超过比选控制价，其参选将予以否决。报价表中的参选报价为参选人的最终报价，比选人不接受参选人递交的降价函、调价函及按比例优惠等任何其他形式的报价，只允许一个参选报价。</w:t>
      </w:r>
    </w:p>
    <w:p w14:paraId="12EA8D8D">
      <w:pPr>
        <w:pStyle w:val="115"/>
        <w:spacing w:line="440" w:lineRule="exact"/>
        <w:ind w:right="-260" w:rightChars="-124" w:firstLine="482" w:firstLineChars="200"/>
        <w:rPr>
          <w:rFonts w:hint="eastAsia" w:ascii="宋体" w:hAnsi="宋体" w:eastAsia="宋体" w:cs="宋体"/>
          <w:sz w:val="24"/>
          <w:highlight w:val="none"/>
        </w:rPr>
      </w:pPr>
      <w:r>
        <w:rPr>
          <w:rFonts w:hint="eastAsia" w:ascii="宋体" w:hAnsi="宋体" w:eastAsia="宋体" w:cs="宋体"/>
          <w:sz w:val="24"/>
          <w:highlight w:val="none"/>
        </w:rPr>
        <w:t>3、参选人应依据国家的有关费用标准和企业自身状况，并对报价的各项因素进行了充分了解和考虑后编制参选报价，并对此报价负责，参选人未报、漏报的内容比选人将认为已包含在参选报价内。在合同履行过程中，中选价不进行调整。</w:t>
      </w:r>
    </w:p>
    <w:p w14:paraId="03BE06EA">
      <w:pPr>
        <w:spacing w:line="440" w:lineRule="exact"/>
        <w:ind w:right="-260" w:rightChars="-124" w:firstLine="482" w:firstLineChars="200"/>
        <w:outlineLvl w:val="1"/>
        <w:rPr>
          <w:rFonts w:hint="eastAsia" w:ascii="宋体" w:hAnsi="宋体" w:eastAsia="宋体" w:cs="宋体"/>
          <w:b/>
          <w:sz w:val="24"/>
          <w:highlight w:val="none"/>
        </w:rPr>
      </w:pPr>
      <w:bookmarkStart w:id="57" w:name="_Toc22324"/>
      <w:bookmarkStart w:id="58" w:name="_Toc13556"/>
      <w:r>
        <w:rPr>
          <w:rFonts w:hint="eastAsia" w:ascii="宋体" w:hAnsi="宋体" w:eastAsia="宋体" w:cs="宋体"/>
          <w:b/>
          <w:sz w:val="24"/>
          <w:highlight w:val="none"/>
        </w:rPr>
        <w:t>七、参选有效期和</w:t>
      </w:r>
      <w:bookmarkEnd w:id="57"/>
      <w:r>
        <w:rPr>
          <w:rFonts w:hint="eastAsia" w:ascii="宋体" w:hAnsi="宋体" w:eastAsia="宋体" w:cs="宋体"/>
          <w:b/>
          <w:sz w:val="24"/>
          <w:highlight w:val="none"/>
        </w:rPr>
        <w:t>参选保证金</w:t>
      </w:r>
      <w:bookmarkEnd w:id="58"/>
    </w:p>
    <w:p w14:paraId="49855535">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1、参选有效期为本项目开标之日后九十天，在参选有效期内参选人不得要求撤销或修改其参选文件。</w:t>
      </w:r>
    </w:p>
    <w:p w14:paraId="30F97348">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2、出现特殊情况需要延长参选有效期的，比选人以书面形式通知所有参选人延长参选有效期。参选人同意延长的，应相应延长其参选保证金的有效期，但不得要求或被允许修改或撤销其参选文件；参选人拒绝延长的，其参选失效，但参选人有权收回其参选保证金。</w:t>
      </w:r>
    </w:p>
    <w:p w14:paraId="2D6D0025">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3、参选保证金</w:t>
      </w:r>
    </w:p>
    <w:p w14:paraId="6B117FEF">
      <w:pPr>
        <w:spacing w:line="440" w:lineRule="exact"/>
        <w:ind w:right="-260" w:rightChars="-124" w:firstLine="480" w:firstLineChars="200"/>
        <w:rPr>
          <w:rFonts w:hint="eastAsia" w:ascii="宋体" w:hAnsi="宋体" w:eastAsia="宋体" w:cs="宋体"/>
          <w:sz w:val="24"/>
          <w:highlight w:val="none"/>
        </w:rPr>
      </w:pPr>
      <w:bookmarkStart w:id="59" w:name="_Toc10623"/>
      <w:r>
        <w:rPr>
          <w:rFonts w:hint="eastAsia" w:ascii="宋体" w:hAnsi="宋体" w:eastAsia="宋体" w:cs="宋体"/>
          <w:sz w:val="24"/>
          <w:highlight w:val="none"/>
        </w:rPr>
        <w:t>免收。</w:t>
      </w:r>
    </w:p>
    <w:p w14:paraId="0BA69BBB">
      <w:pPr>
        <w:spacing w:line="440" w:lineRule="exact"/>
        <w:ind w:right="-260" w:rightChars="-124" w:firstLine="482" w:firstLineChars="200"/>
        <w:outlineLvl w:val="1"/>
        <w:rPr>
          <w:rFonts w:hint="eastAsia" w:ascii="宋体" w:hAnsi="宋体" w:eastAsia="宋体" w:cs="宋体"/>
          <w:b/>
          <w:sz w:val="24"/>
          <w:highlight w:val="none"/>
        </w:rPr>
      </w:pPr>
      <w:bookmarkStart w:id="60" w:name="_Toc9240"/>
      <w:r>
        <w:rPr>
          <w:rFonts w:hint="eastAsia" w:ascii="宋体" w:hAnsi="宋体" w:eastAsia="宋体" w:cs="宋体"/>
          <w:b/>
          <w:sz w:val="24"/>
          <w:highlight w:val="none"/>
        </w:rPr>
        <w:t>八、</w:t>
      </w:r>
      <w:bookmarkEnd w:id="59"/>
      <w:r>
        <w:rPr>
          <w:rFonts w:hint="eastAsia" w:ascii="宋体" w:hAnsi="宋体" w:eastAsia="宋体" w:cs="宋体"/>
          <w:b/>
          <w:sz w:val="24"/>
          <w:highlight w:val="none"/>
        </w:rPr>
        <w:t>参选费用</w:t>
      </w:r>
      <w:bookmarkEnd w:id="60"/>
    </w:p>
    <w:bookmarkEnd w:id="56"/>
    <w:p w14:paraId="56CB1CCB">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1、参选人承担参与比选可能发生的全部费用，比选人在任何情况下均无义务和责任承担这些费用。</w:t>
      </w:r>
    </w:p>
    <w:p w14:paraId="69C81426">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2、比选人不收取任何费用。</w:t>
      </w:r>
    </w:p>
    <w:p w14:paraId="3C0256FF">
      <w:pPr>
        <w:spacing w:line="440" w:lineRule="exact"/>
        <w:ind w:right="-260" w:rightChars="-124" w:firstLine="482" w:firstLineChars="200"/>
        <w:outlineLvl w:val="1"/>
        <w:rPr>
          <w:rFonts w:hint="eastAsia" w:ascii="宋体" w:hAnsi="宋体" w:eastAsia="宋体" w:cs="宋体"/>
          <w:b/>
          <w:sz w:val="24"/>
          <w:highlight w:val="none"/>
        </w:rPr>
      </w:pPr>
      <w:bookmarkStart w:id="61" w:name="_Toc19410"/>
      <w:bookmarkStart w:id="62" w:name="_Toc11900"/>
      <w:bookmarkStart w:id="63" w:name="_Toc14486"/>
      <w:r>
        <w:rPr>
          <w:rFonts w:hint="eastAsia" w:ascii="宋体" w:hAnsi="宋体" w:eastAsia="宋体" w:cs="宋体"/>
          <w:b/>
          <w:sz w:val="24"/>
          <w:highlight w:val="none"/>
        </w:rPr>
        <w:t>九、开标与评标流程</w:t>
      </w:r>
      <w:bookmarkEnd w:id="61"/>
      <w:bookmarkEnd w:id="62"/>
    </w:p>
    <w:bookmarkEnd w:id="63"/>
    <w:p w14:paraId="6E0C65C9">
      <w:pPr>
        <w:spacing w:line="440" w:lineRule="exact"/>
        <w:ind w:right="-260" w:rightChars="-124" w:firstLine="480" w:firstLineChars="200"/>
        <w:rPr>
          <w:rFonts w:hint="eastAsia" w:ascii="宋体" w:hAnsi="宋体" w:eastAsia="宋体" w:cs="宋体"/>
          <w:sz w:val="24"/>
          <w:highlight w:val="none"/>
        </w:rPr>
      </w:pPr>
      <w:bookmarkStart w:id="64" w:name="_Toc17626"/>
      <w:r>
        <w:rPr>
          <w:rFonts w:hint="eastAsia" w:ascii="宋体" w:hAnsi="宋体" w:eastAsia="宋体" w:cs="宋体"/>
          <w:sz w:val="24"/>
          <w:highlight w:val="none"/>
        </w:rPr>
        <w:t>1、</w:t>
      </w:r>
      <w:bookmarkEnd w:id="64"/>
      <w:bookmarkStart w:id="65" w:name="_Toc13869"/>
      <w:r>
        <w:rPr>
          <w:rFonts w:hint="eastAsia" w:ascii="宋体" w:hAnsi="宋体" w:eastAsia="宋体" w:cs="宋体"/>
          <w:sz w:val="24"/>
          <w:highlight w:val="none"/>
        </w:rPr>
        <w:t>开标程序</w:t>
      </w:r>
      <w:bookmarkEnd w:id="65"/>
    </w:p>
    <w:p w14:paraId="27A1D5CA">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（1）公布在参选截止时间前递交参选文件的参选人名称，点名确认是否按比选文件要求派人到场；</w:t>
      </w:r>
    </w:p>
    <w:p w14:paraId="17905322">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（2）由参选人代表相互检查参选文件密封情况，并由参选人确认是否回避；</w:t>
      </w:r>
    </w:p>
    <w:p w14:paraId="59406DA8">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（3）评标委员会进行资格审查文件评审；</w:t>
      </w:r>
    </w:p>
    <w:p w14:paraId="7D9FC861">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（4）评标委员会进行商务和技术标书评审；</w:t>
      </w:r>
    </w:p>
    <w:p w14:paraId="408B0640">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（5）对商务和技术标书详细评审结束后，进入下一阶段报价评审；</w:t>
      </w:r>
    </w:p>
    <w:p w14:paraId="08B5740A">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（6）当众开启报价文件，进行唱标，并记录在案； </w:t>
      </w:r>
    </w:p>
    <w:p w14:paraId="22B5F78B">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（7）汇总商务、技术、报价三部分得分，形成评审结果；</w:t>
      </w:r>
    </w:p>
    <w:p w14:paraId="50835EF2">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（8）宣布中选候选人；</w:t>
      </w:r>
    </w:p>
    <w:p w14:paraId="141CBA35">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（9）开标会议结束。</w:t>
      </w:r>
    </w:p>
    <w:p w14:paraId="0CCC840E">
      <w:pPr>
        <w:spacing w:line="440" w:lineRule="exact"/>
        <w:ind w:right="-260" w:rightChars="-124" w:firstLine="480" w:firstLineChars="200"/>
        <w:rPr>
          <w:rFonts w:hint="eastAsia" w:ascii="宋体" w:hAnsi="宋体" w:eastAsia="宋体" w:cs="宋体"/>
          <w:sz w:val="24"/>
          <w:highlight w:val="none"/>
        </w:rPr>
      </w:pPr>
      <w:bookmarkStart w:id="66" w:name="_Toc19329"/>
      <w:bookmarkStart w:id="67" w:name="_Toc21198"/>
      <w:r>
        <w:rPr>
          <w:rFonts w:hint="eastAsia" w:ascii="宋体" w:hAnsi="宋体" w:eastAsia="宋体" w:cs="宋体"/>
          <w:sz w:val="24"/>
          <w:highlight w:val="none"/>
        </w:rPr>
        <w:t>2、评标委员会</w:t>
      </w:r>
      <w:bookmarkEnd w:id="66"/>
    </w:p>
    <w:p w14:paraId="3D47AB84">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评标由比选人依法组建的评标委员会负责，评标委员会由比选人熟悉相关业务的代表，以及有关技术、经济等方面的专家组成，评委委员构成为5人及以上的单数。</w:t>
      </w:r>
    </w:p>
    <w:p w14:paraId="5E9737C4">
      <w:pPr>
        <w:spacing w:line="440" w:lineRule="exact"/>
        <w:ind w:right="-260" w:rightChars="-124" w:firstLine="480" w:firstLineChars="200"/>
        <w:rPr>
          <w:rFonts w:hint="eastAsia" w:ascii="宋体" w:hAnsi="宋体" w:eastAsia="宋体" w:cs="宋体"/>
          <w:sz w:val="24"/>
          <w:highlight w:val="none"/>
        </w:rPr>
      </w:pPr>
      <w:bookmarkStart w:id="68" w:name="_Toc1289"/>
      <w:r>
        <w:rPr>
          <w:rFonts w:hint="eastAsia" w:ascii="宋体" w:hAnsi="宋体" w:eastAsia="宋体" w:cs="宋体"/>
          <w:sz w:val="24"/>
          <w:highlight w:val="none"/>
        </w:rPr>
        <w:t>3、评标</w:t>
      </w:r>
      <w:bookmarkEnd w:id="68"/>
    </w:p>
    <w:p w14:paraId="4CE0E44A">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评标活动遵循公平、公正、科学和择优的原则。评标委员会按照第四章“评标办法与评标标准”规定的方法、评审因素、标准和程序对参选文件进行评审。第四章“评标办法与评标标准”没有规定的方法、评审因素和标准，不作为评标依据。</w:t>
      </w:r>
    </w:p>
    <w:p w14:paraId="338FBA4D">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对参选文件中含义不明确、同类问题表述不一致或者有明显文字和计算错误的内容，评标委员会可以要求参选人做出必要的澄清、说明或者纠正。参选人的澄清、说明或者补正应当采用书面形式，由其授权的代表签字，并不得超出参选文件的范围或者改变参选文件的实质性内容。</w:t>
      </w:r>
    </w:p>
    <w:p w14:paraId="7C8B0D28">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若某标段中选人放弃中选或者因被投诉且已查实的，不影响其他标段结果，比选人将组织该标段重新比选。</w:t>
      </w:r>
    </w:p>
    <w:bookmarkEnd w:id="67"/>
    <w:p w14:paraId="44638EBE">
      <w:pPr>
        <w:spacing w:line="440" w:lineRule="exact"/>
        <w:ind w:right="-260" w:rightChars="-124" w:firstLine="482" w:firstLineChars="200"/>
        <w:outlineLvl w:val="1"/>
        <w:rPr>
          <w:rFonts w:hint="eastAsia" w:ascii="宋体" w:hAnsi="宋体" w:eastAsia="宋体" w:cs="宋体"/>
          <w:b/>
          <w:sz w:val="24"/>
          <w:highlight w:val="none"/>
        </w:rPr>
      </w:pPr>
      <w:bookmarkStart w:id="69" w:name="_Toc6051"/>
      <w:r>
        <w:rPr>
          <w:rFonts w:hint="eastAsia" w:ascii="宋体" w:hAnsi="宋体" w:eastAsia="宋体" w:cs="宋体"/>
          <w:b/>
          <w:sz w:val="24"/>
          <w:highlight w:val="none"/>
        </w:rPr>
        <w:t>十、项目涉及到的现场勘察</w:t>
      </w:r>
      <w:bookmarkEnd w:id="69"/>
    </w:p>
    <w:p w14:paraId="1C709797">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参选人如需对现场和周围环境进行勘察可自行前往踏勘。勘察现场所发生的费用、责任和风险由参选人自己承担，参选人不得因此使比选人承担有关的责任和蒙受损失。</w:t>
      </w:r>
    </w:p>
    <w:p w14:paraId="018446AC">
      <w:pPr>
        <w:spacing w:line="440" w:lineRule="exact"/>
        <w:ind w:right="-260" w:rightChars="-124" w:firstLine="480" w:firstLineChars="200"/>
        <w:rPr>
          <w:rFonts w:hint="eastAsia" w:ascii="宋体" w:hAnsi="宋体" w:eastAsia="宋体" w:cs="宋体"/>
          <w:sz w:val="24"/>
          <w:highlight w:val="none"/>
        </w:rPr>
      </w:pPr>
      <w:r>
        <w:rPr>
          <w:rFonts w:hint="eastAsia" w:ascii="宋体" w:hAnsi="宋体" w:eastAsia="宋体" w:cs="宋体"/>
          <w:sz w:val="24"/>
          <w:highlight w:val="none"/>
        </w:rPr>
        <w:t>中选人确定后，不得以不完全了解现场情况为理由而向比选人提出任何索赔或增加服务费用的要求，对此比选人不承担任何责任并将不作任何答复与考虑。</w:t>
      </w:r>
    </w:p>
    <w:p w14:paraId="56E68329">
      <w:pPr>
        <w:snapToGrid w:val="0"/>
        <w:spacing w:line="440" w:lineRule="exact"/>
        <w:ind w:right="-260" w:rightChars="-124"/>
        <w:jc w:val="center"/>
        <w:outlineLvl w:val="0"/>
        <w:rPr>
          <w:rFonts w:hint="eastAsia" w:ascii="宋体" w:hAnsi="宋体" w:eastAsia="宋体" w:cs="宋体"/>
          <w:b/>
          <w:sz w:val="32"/>
          <w:szCs w:val="32"/>
          <w:highlight w:val="none"/>
        </w:rPr>
      </w:pPr>
      <w:r>
        <w:rPr>
          <w:rFonts w:hint="eastAsia" w:ascii="宋体" w:hAnsi="宋体" w:eastAsia="宋体" w:cs="宋体"/>
          <w:b/>
          <w:bCs/>
          <w:sz w:val="24"/>
          <w:highlight w:val="none"/>
          <w:lang w:val="zh-CN"/>
        </w:rPr>
        <w:br w:type="page"/>
      </w:r>
      <w:bookmarkStart w:id="70" w:name="_Toc17382"/>
      <w:r>
        <w:rPr>
          <w:rFonts w:hint="eastAsia" w:ascii="宋体" w:hAnsi="宋体" w:eastAsia="宋体" w:cs="宋体"/>
          <w:b/>
          <w:sz w:val="32"/>
          <w:szCs w:val="32"/>
          <w:highlight w:val="none"/>
        </w:rPr>
        <w:t>第三章  用户需求书</w:t>
      </w:r>
      <w:bookmarkEnd w:id="70"/>
    </w:p>
    <w:p w14:paraId="526771DF">
      <w:pPr>
        <w:rPr>
          <w:rFonts w:hint="eastAsia" w:ascii="宋体" w:hAnsi="宋体" w:eastAsia="宋体" w:cs="宋体"/>
          <w:highlight w:val="none"/>
        </w:rPr>
      </w:pPr>
    </w:p>
    <w:bookmarkEnd w:id="5"/>
    <w:bookmarkEnd w:id="6"/>
    <w:bookmarkEnd w:id="7"/>
    <w:p w14:paraId="4C5024BC">
      <w:pPr>
        <w:widowControl w:val="0"/>
        <w:numPr>
          <w:ilvl w:val="0"/>
          <w:numId w:val="2"/>
        </w:numPr>
        <w:tabs>
          <w:tab w:val="left" w:pos="420"/>
        </w:tabs>
        <w:wordWrap/>
        <w:adjustRightInd/>
        <w:snapToGrid/>
        <w:spacing w:line="440" w:lineRule="exact"/>
        <w:ind w:left="0" w:leftChars="0" w:right="-260" w:rightChars="-124" w:firstLine="482" w:firstLineChars="200"/>
        <w:textAlignment w:val="auto"/>
        <w:outlineLvl w:val="0"/>
        <w:rPr>
          <w:rFonts w:hint="eastAsia" w:ascii="宋体" w:hAnsi="宋体" w:eastAsia="宋体" w:cs="宋体"/>
          <w:b/>
          <w:bCs/>
          <w:color w:val="auto"/>
          <w:kern w:val="0"/>
          <w:sz w:val="24"/>
          <w:szCs w:val="24"/>
          <w:highlight w:val="none"/>
          <w:lang w:bidi="en-US"/>
        </w:rPr>
      </w:pPr>
      <w:bookmarkStart w:id="71" w:name="_Toc17965"/>
      <w:bookmarkStart w:id="72" w:name="_Toc15053"/>
      <w:bookmarkStart w:id="73" w:name="_Toc1207"/>
      <w:bookmarkStart w:id="74" w:name="_Toc17902"/>
      <w:bookmarkStart w:id="75" w:name="_Toc14593"/>
      <w:bookmarkStart w:id="76" w:name="_Toc12936"/>
      <w:r>
        <w:rPr>
          <w:rFonts w:hint="eastAsia" w:ascii="宋体" w:hAnsi="宋体" w:eastAsia="宋体" w:cs="宋体"/>
          <w:b/>
          <w:bCs/>
          <w:color w:val="auto"/>
          <w:kern w:val="0"/>
          <w:sz w:val="24"/>
          <w:szCs w:val="24"/>
          <w:highlight w:val="none"/>
          <w:lang w:bidi="en-US"/>
        </w:rPr>
        <w:t>项目概述</w:t>
      </w:r>
      <w:bookmarkEnd w:id="71"/>
    </w:p>
    <w:p w14:paraId="3C2F99BA">
      <w:pPr>
        <w:widowControl w:val="0"/>
        <w:numPr>
          <w:ilvl w:val="0"/>
          <w:numId w:val="3"/>
        </w:numPr>
        <w:wordWrap/>
        <w:adjustRightInd/>
        <w:snapToGrid/>
        <w:spacing w:line="440" w:lineRule="exact"/>
        <w:ind w:left="0" w:leftChars="0" w:right="-260" w:rightChars="-124" w:firstLine="482" w:firstLineChars="200"/>
        <w:textAlignment w:val="auto"/>
        <w:outlineLvl w:val="1"/>
        <w:rPr>
          <w:rFonts w:hint="eastAsia" w:ascii="宋体" w:hAnsi="宋体" w:eastAsia="宋体" w:cs="宋体"/>
          <w:b/>
          <w:bCs/>
          <w:sz w:val="24"/>
          <w:szCs w:val="24"/>
          <w:highlight w:val="none"/>
          <w:lang w:bidi="en-US"/>
        </w:rPr>
      </w:pPr>
      <w:bookmarkStart w:id="77" w:name="_Toc23708"/>
      <w:r>
        <w:rPr>
          <w:rFonts w:hint="eastAsia" w:ascii="宋体" w:hAnsi="宋体" w:eastAsia="宋体" w:cs="宋体"/>
          <w:b/>
          <w:bCs/>
          <w:sz w:val="24"/>
          <w:szCs w:val="24"/>
          <w:highlight w:val="none"/>
          <w:lang w:bidi="en-US"/>
        </w:rPr>
        <w:t>项目背景</w:t>
      </w:r>
      <w:bookmarkEnd w:id="77"/>
    </w:p>
    <w:p w14:paraId="125A80BA">
      <w:pPr>
        <w:widowControl w:val="0"/>
        <w:wordWrap/>
        <w:adjustRightInd/>
        <w:snapToGrid/>
        <w:spacing w:line="440" w:lineRule="exact"/>
        <w:ind w:left="0" w:leftChars="0" w:right="-260" w:rightChars="-124" w:firstLine="480" w:firstLineChars="200"/>
        <w:textAlignment w:val="auto"/>
        <w:rPr>
          <w:rFonts w:hint="eastAsia" w:ascii="宋体" w:hAnsi="宋体" w:eastAsia="宋体" w:cs="宋体"/>
          <w:color w:val="auto"/>
          <w:kern w:val="0"/>
          <w:sz w:val="24"/>
          <w:szCs w:val="24"/>
          <w:highlight w:val="none"/>
          <w:lang w:bidi="en-US"/>
        </w:rPr>
      </w:pPr>
      <w:r>
        <w:rPr>
          <w:rFonts w:hint="eastAsia" w:ascii="宋体" w:hAnsi="宋体" w:eastAsia="宋体" w:cs="宋体"/>
          <w:color w:val="auto"/>
          <w:kern w:val="0"/>
          <w:sz w:val="24"/>
          <w:szCs w:val="24"/>
          <w:highlight w:val="none"/>
          <w:lang w:val="en-US" w:eastAsia="zh-CN" w:bidi="en-US"/>
        </w:rPr>
        <w:t>随着城市化进程不断加速，社会公众及企事业单位对消防安全的需求日益提升。消防远程监控与智能值守服务已成为智慧城市建设的重要组成部分。招标方</w:t>
      </w:r>
      <w:r>
        <w:rPr>
          <w:rFonts w:hint="eastAsia" w:ascii="宋体" w:hAnsi="宋体" w:eastAsia="宋体" w:cs="宋体"/>
          <w:color w:val="auto"/>
          <w:kern w:val="0"/>
          <w:sz w:val="24"/>
          <w:szCs w:val="24"/>
          <w:highlight w:val="none"/>
          <w:lang w:bidi="en-US"/>
        </w:rPr>
        <w:t>拟开展城市消防远程监控</w:t>
      </w:r>
      <w:r>
        <w:rPr>
          <w:rFonts w:hint="eastAsia" w:ascii="宋体" w:hAnsi="宋体" w:cs="宋体"/>
          <w:color w:val="auto"/>
          <w:kern w:val="0"/>
          <w:sz w:val="24"/>
          <w:szCs w:val="24"/>
          <w:highlight w:val="none"/>
          <w:lang w:val="en-US" w:eastAsia="zh-CN" w:bidi="en-US"/>
        </w:rPr>
        <w:t>中心</w:t>
      </w:r>
      <w:r>
        <w:rPr>
          <w:rFonts w:hint="eastAsia" w:ascii="宋体" w:hAnsi="宋体" w:eastAsia="宋体" w:cs="宋体"/>
          <w:color w:val="auto"/>
          <w:kern w:val="0"/>
          <w:sz w:val="24"/>
          <w:szCs w:val="24"/>
          <w:highlight w:val="none"/>
          <w:lang w:bidi="en-US"/>
        </w:rPr>
        <w:t>建设。本项目旨在通过采购先进、可靠的设施设备，并与</w:t>
      </w:r>
      <w:r>
        <w:rPr>
          <w:rFonts w:hint="eastAsia" w:ascii="宋体" w:hAnsi="宋体" w:eastAsia="宋体" w:cs="宋体"/>
          <w:color w:val="auto"/>
          <w:kern w:val="0"/>
          <w:sz w:val="24"/>
          <w:szCs w:val="24"/>
          <w:highlight w:val="none"/>
          <w:lang w:eastAsia="zh-CN" w:bidi="en-US"/>
        </w:rPr>
        <w:t>比选人</w:t>
      </w:r>
      <w:r>
        <w:rPr>
          <w:rFonts w:hint="eastAsia" w:ascii="宋体" w:hAnsi="宋体" w:cs="宋体"/>
          <w:color w:val="auto"/>
          <w:kern w:val="0"/>
          <w:sz w:val="24"/>
          <w:szCs w:val="24"/>
          <w:highlight w:val="none"/>
          <w:lang w:val="en-US" w:eastAsia="zh-CN" w:bidi="en-US"/>
        </w:rPr>
        <w:t>自有的</w:t>
      </w:r>
      <w:r>
        <w:rPr>
          <w:rFonts w:hint="eastAsia" w:ascii="宋体" w:hAnsi="宋体" w:eastAsia="宋体" w:cs="宋体"/>
          <w:color w:val="auto"/>
          <w:kern w:val="0"/>
          <w:sz w:val="24"/>
          <w:szCs w:val="24"/>
          <w:highlight w:val="none"/>
          <w:lang w:bidi="en-US"/>
        </w:rPr>
        <w:t>软件平台进行深度融合与无缝对接，共同构建一个集实时监控、远程控制、智能分析、应急值守与指挥调度于一体的综合性消防远程监控中心</w:t>
      </w:r>
      <w:r>
        <w:rPr>
          <w:rFonts w:hint="eastAsia" w:ascii="宋体" w:hAnsi="宋体" w:cs="宋体"/>
          <w:color w:val="auto"/>
          <w:kern w:val="0"/>
          <w:sz w:val="24"/>
          <w:szCs w:val="24"/>
          <w:highlight w:val="none"/>
          <w:lang w:eastAsia="zh-CN" w:bidi="en-US"/>
        </w:rPr>
        <w:t>，</w:t>
      </w:r>
      <w:r>
        <w:rPr>
          <w:rFonts w:hint="eastAsia" w:ascii="宋体" w:hAnsi="宋体" w:eastAsia="宋体" w:cs="宋体"/>
          <w:color w:val="auto"/>
          <w:kern w:val="0"/>
          <w:sz w:val="24"/>
          <w:szCs w:val="24"/>
          <w:highlight w:val="none"/>
          <w:lang w:bidi="en-US"/>
        </w:rPr>
        <w:t>提升火灾预警能力、应急响应效率与风险管理水平，为保障城市公共安全提供坚实的技术支撑。</w:t>
      </w:r>
    </w:p>
    <w:p w14:paraId="107848FC">
      <w:pPr>
        <w:widowControl w:val="0"/>
        <w:numPr>
          <w:ilvl w:val="0"/>
          <w:numId w:val="3"/>
        </w:numPr>
        <w:wordWrap/>
        <w:adjustRightInd/>
        <w:snapToGrid/>
        <w:spacing w:line="440" w:lineRule="exact"/>
        <w:ind w:left="0" w:leftChars="0" w:right="-260" w:rightChars="-124" w:firstLine="482" w:firstLineChars="200"/>
        <w:textAlignment w:val="auto"/>
        <w:outlineLvl w:val="1"/>
        <w:rPr>
          <w:rFonts w:hint="default" w:ascii="宋体" w:hAnsi="宋体" w:eastAsia="宋体" w:cs="宋体"/>
          <w:b/>
          <w:bCs/>
          <w:kern w:val="2"/>
          <w:sz w:val="24"/>
          <w:szCs w:val="24"/>
          <w:highlight w:val="none"/>
          <w:lang w:bidi="en-US"/>
        </w:rPr>
      </w:pPr>
      <w:bookmarkStart w:id="78" w:name="_Toc13595"/>
      <w:r>
        <w:rPr>
          <w:rFonts w:hint="eastAsia" w:ascii="宋体" w:hAnsi="宋体" w:eastAsia="宋体" w:cs="宋体"/>
          <w:b/>
          <w:bCs/>
          <w:kern w:val="2"/>
          <w:sz w:val="24"/>
          <w:szCs w:val="24"/>
          <w:highlight w:val="none"/>
          <w:lang w:val="en-US" w:eastAsia="zh-CN" w:bidi="en-US"/>
        </w:rPr>
        <w:t>规范标准</w:t>
      </w:r>
      <w:bookmarkEnd w:id="78"/>
    </w:p>
    <w:p w14:paraId="3A559901">
      <w:pPr>
        <w:widowControl w:val="0"/>
        <w:wordWrap/>
        <w:adjustRightInd/>
        <w:snapToGrid/>
        <w:spacing w:line="440" w:lineRule="exact"/>
        <w:ind w:left="0" w:leftChars="0" w:right="-260" w:rightChars="-124" w:firstLine="480" w:firstLineChars="200"/>
        <w:textAlignment w:val="auto"/>
        <w:rPr>
          <w:rFonts w:hint="eastAsia" w:ascii="宋体" w:hAnsi="宋体" w:cs="宋体"/>
          <w:color w:val="auto"/>
          <w:kern w:val="0"/>
          <w:sz w:val="24"/>
          <w:szCs w:val="24"/>
          <w:highlight w:val="none"/>
          <w:lang w:val="en-US" w:eastAsia="zh-CN" w:bidi="en-US"/>
        </w:rPr>
      </w:pPr>
      <w:r>
        <w:rPr>
          <w:rFonts w:hint="eastAsia" w:ascii="宋体" w:hAnsi="宋体" w:cs="宋体"/>
          <w:color w:val="auto"/>
          <w:kern w:val="0"/>
          <w:sz w:val="24"/>
          <w:szCs w:val="24"/>
          <w:highlight w:val="none"/>
          <w:lang w:val="en-US" w:eastAsia="zh-CN" w:bidi="en-US"/>
        </w:rPr>
        <w:t>本项目设计、施工、验收须遵循但不限于以下国家、行业及地方最新版本的标准与规范：</w:t>
      </w:r>
    </w:p>
    <w:p w14:paraId="1DD77B1D">
      <w:pPr>
        <w:widowControl w:val="0"/>
        <w:wordWrap/>
        <w:adjustRightInd/>
        <w:snapToGrid/>
        <w:spacing w:line="440" w:lineRule="exact"/>
        <w:ind w:left="0" w:leftChars="0" w:right="-260" w:rightChars="-124" w:firstLine="480" w:firstLineChars="200"/>
        <w:textAlignment w:val="auto"/>
        <w:rPr>
          <w:rFonts w:hint="eastAsia" w:ascii="宋体" w:hAnsi="宋体" w:cs="宋体"/>
          <w:color w:val="auto"/>
          <w:kern w:val="0"/>
          <w:sz w:val="24"/>
          <w:szCs w:val="24"/>
          <w:highlight w:val="none"/>
          <w:lang w:val="en-US" w:eastAsia="zh-CN" w:bidi="en-US"/>
        </w:rPr>
      </w:pPr>
      <w:r>
        <w:rPr>
          <w:rFonts w:hint="eastAsia" w:ascii="宋体" w:hAnsi="宋体" w:cs="宋体"/>
          <w:color w:val="auto"/>
          <w:kern w:val="0"/>
          <w:sz w:val="24"/>
          <w:szCs w:val="24"/>
          <w:highlight w:val="none"/>
          <w:lang w:val="en-US" w:eastAsia="zh-CN" w:bidi="en-US"/>
        </w:rPr>
        <w:t>《建筑设计防火规范》（GB50016）</w:t>
      </w:r>
    </w:p>
    <w:p w14:paraId="2EC3B77A">
      <w:pPr>
        <w:widowControl w:val="0"/>
        <w:wordWrap/>
        <w:adjustRightInd/>
        <w:snapToGrid/>
        <w:spacing w:line="440" w:lineRule="exact"/>
        <w:ind w:left="0" w:leftChars="0" w:right="-260" w:rightChars="-124" w:firstLine="480" w:firstLineChars="200"/>
        <w:textAlignment w:val="auto"/>
        <w:rPr>
          <w:rFonts w:hint="eastAsia" w:ascii="宋体" w:hAnsi="宋体" w:cs="宋体"/>
          <w:color w:val="auto"/>
          <w:kern w:val="0"/>
          <w:sz w:val="24"/>
          <w:szCs w:val="24"/>
          <w:highlight w:val="none"/>
          <w:lang w:val="en-US" w:eastAsia="zh-CN" w:bidi="en-US"/>
        </w:rPr>
      </w:pPr>
      <w:r>
        <w:rPr>
          <w:rFonts w:hint="eastAsia" w:ascii="宋体" w:hAnsi="宋体" w:cs="宋体"/>
          <w:color w:val="auto"/>
          <w:kern w:val="0"/>
          <w:sz w:val="24"/>
          <w:szCs w:val="24"/>
          <w:highlight w:val="none"/>
          <w:lang w:val="en-US" w:eastAsia="zh-CN" w:bidi="en-US"/>
        </w:rPr>
        <w:t>《建筑内部装修设计防火规范》（GB50222）</w:t>
      </w:r>
    </w:p>
    <w:p w14:paraId="3CC2C218">
      <w:pPr>
        <w:widowControl w:val="0"/>
        <w:wordWrap/>
        <w:adjustRightInd/>
        <w:snapToGrid/>
        <w:spacing w:line="440" w:lineRule="exact"/>
        <w:ind w:left="0" w:leftChars="0" w:right="-260" w:rightChars="-124" w:firstLine="480" w:firstLineChars="200"/>
        <w:textAlignment w:val="auto"/>
        <w:rPr>
          <w:rFonts w:hint="eastAsia" w:ascii="宋体" w:hAnsi="宋体" w:cs="宋体"/>
          <w:color w:val="auto"/>
          <w:kern w:val="0"/>
          <w:sz w:val="24"/>
          <w:szCs w:val="24"/>
          <w:highlight w:val="none"/>
          <w:lang w:val="en-US" w:eastAsia="zh-CN" w:bidi="en-US"/>
        </w:rPr>
      </w:pPr>
      <w:r>
        <w:rPr>
          <w:rFonts w:hint="eastAsia" w:ascii="宋体" w:hAnsi="宋体" w:cs="宋体"/>
          <w:color w:val="auto"/>
          <w:kern w:val="0"/>
          <w:sz w:val="24"/>
          <w:szCs w:val="24"/>
          <w:highlight w:val="none"/>
          <w:lang w:val="en-US" w:eastAsia="zh-CN" w:bidi="en-US"/>
        </w:rPr>
        <w:t>《城市消防远程监控系统技术规范》（GB50440）</w:t>
      </w:r>
    </w:p>
    <w:p w14:paraId="19F47254">
      <w:pPr>
        <w:widowControl w:val="0"/>
        <w:wordWrap/>
        <w:adjustRightInd/>
        <w:snapToGrid/>
        <w:spacing w:line="440" w:lineRule="exact"/>
        <w:ind w:left="0" w:leftChars="0" w:right="-260" w:rightChars="-124" w:firstLine="480" w:firstLineChars="200"/>
        <w:textAlignment w:val="auto"/>
        <w:rPr>
          <w:rFonts w:hint="eastAsia" w:ascii="宋体" w:hAnsi="宋体" w:cs="宋体"/>
          <w:color w:val="auto"/>
          <w:kern w:val="0"/>
          <w:sz w:val="24"/>
          <w:szCs w:val="24"/>
          <w:highlight w:val="none"/>
          <w:lang w:val="en-US" w:eastAsia="zh-CN" w:bidi="en-US"/>
        </w:rPr>
      </w:pPr>
      <w:r>
        <w:rPr>
          <w:rFonts w:hint="eastAsia" w:ascii="宋体" w:hAnsi="宋体" w:cs="宋体"/>
          <w:color w:val="auto"/>
          <w:kern w:val="0"/>
          <w:sz w:val="24"/>
          <w:szCs w:val="24"/>
          <w:highlight w:val="none"/>
          <w:lang w:val="en-US" w:eastAsia="zh-CN" w:bidi="en-US"/>
        </w:rPr>
        <w:t>《火灾自动报警系统设计规范》（GB50116）</w:t>
      </w:r>
    </w:p>
    <w:p w14:paraId="11A11A7F">
      <w:pPr>
        <w:widowControl w:val="0"/>
        <w:wordWrap/>
        <w:adjustRightInd/>
        <w:snapToGrid/>
        <w:spacing w:line="440" w:lineRule="exact"/>
        <w:ind w:left="0" w:leftChars="0" w:right="-260" w:rightChars="-124" w:firstLine="480" w:firstLineChars="200"/>
        <w:textAlignment w:val="auto"/>
        <w:rPr>
          <w:rFonts w:hint="eastAsia" w:ascii="宋体" w:hAnsi="宋体" w:eastAsia="宋体" w:cs="宋体"/>
          <w:color w:val="auto"/>
          <w:kern w:val="0"/>
          <w:sz w:val="24"/>
          <w:szCs w:val="24"/>
          <w:highlight w:val="none"/>
          <w:lang w:bidi="en-US"/>
        </w:rPr>
      </w:pPr>
      <w:r>
        <w:rPr>
          <w:rFonts w:hint="eastAsia" w:ascii="宋体" w:hAnsi="宋体" w:cs="宋体"/>
          <w:color w:val="auto"/>
          <w:kern w:val="0"/>
          <w:sz w:val="24"/>
          <w:szCs w:val="24"/>
          <w:highlight w:val="none"/>
          <w:lang w:val="en-US" w:eastAsia="zh-CN" w:bidi="en-US"/>
        </w:rPr>
        <w:t>其他相关电气、网络、安全、环保等规范。</w:t>
      </w:r>
    </w:p>
    <w:p w14:paraId="6291754C">
      <w:pPr>
        <w:widowControl w:val="0"/>
        <w:numPr>
          <w:ilvl w:val="0"/>
          <w:numId w:val="3"/>
        </w:numPr>
        <w:wordWrap/>
        <w:adjustRightInd/>
        <w:snapToGrid/>
        <w:spacing w:line="440" w:lineRule="exact"/>
        <w:ind w:left="0" w:leftChars="0" w:right="-260" w:rightChars="-124" w:firstLine="482" w:firstLineChars="200"/>
        <w:textAlignment w:val="auto"/>
        <w:outlineLvl w:val="1"/>
        <w:rPr>
          <w:rFonts w:hint="eastAsia" w:ascii="宋体" w:hAnsi="宋体" w:eastAsia="宋体" w:cs="宋体"/>
          <w:b/>
          <w:bCs/>
          <w:sz w:val="24"/>
          <w:szCs w:val="24"/>
          <w:highlight w:val="none"/>
          <w:lang w:bidi="en-US"/>
        </w:rPr>
      </w:pPr>
      <w:bookmarkStart w:id="79" w:name="_Toc7465"/>
      <w:r>
        <w:rPr>
          <w:rFonts w:hint="eastAsia" w:ascii="宋体" w:hAnsi="宋体" w:eastAsia="宋体" w:cs="宋体"/>
          <w:b/>
          <w:bCs/>
          <w:sz w:val="24"/>
          <w:szCs w:val="24"/>
          <w:highlight w:val="none"/>
          <w:lang w:bidi="en-US"/>
        </w:rPr>
        <w:t>建设目标</w:t>
      </w:r>
      <w:bookmarkEnd w:id="79"/>
    </w:p>
    <w:p w14:paraId="41E53FAD">
      <w:pPr>
        <w:widowControl w:val="0"/>
        <w:wordWrap/>
        <w:adjustRightInd/>
        <w:snapToGrid/>
        <w:spacing w:line="440" w:lineRule="exact"/>
        <w:ind w:left="0" w:leftChars="0" w:right="-260" w:rightChars="-124" w:firstLine="480" w:firstLineChars="200"/>
        <w:textAlignment w:val="auto"/>
        <w:rPr>
          <w:rFonts w:hint="eastAsia" w:ascii="宋体" w:hAnsi="宋体" w:eastAsia="宋体" w:cs="宋体"/>
          <w:color w:val="auto"/>
          <w:kern w:val="0"/>
          <w:sz w:val="24"/>
          <w:szCs w:val="24"/>
          <w:highlight w:val="none"/>
          <w:lang w:val="en-US" w:eastAsia="zh-CN" w:bidi="en-US"/>
        </w:rPr>
      </w:pPr>
      <w:r>
        <w:rPr>
          <w:rFonts w:hint="eastAsia" w:ascii="宋体" w:hAnsi="宋体" w:eastAsia="宋体" w:cs="宋体"/>
          <w:color w:val="auto"/>
          <w:kern w:val="0"/>
          <w:sz w:val="24"/>
          <w:szCs w:val="24"/>
          <w:highlight w:val="none"/>
          <w:lang w:val="en-US" w:eastAsia="zh-CN" w:bidi="en-US"/>
        </w:rPr>
        <w:t>本项目旨在构建一个技术先进、稳定可靠的消防远程监控中心物理载体与环境，具体目标包括：</w:t>
      </w:r>
    </w:p>
    <w:p w14:paraId="5E1184DD">
      <w:pPr>
        <w:widowControl w:val="0"/>
        <w:wordWrap/>
        <w:adjustRightInd/>
        <w:snapToGrid/>
        <w:spacing w:line="440" w:lineRule="exact"/>
        <w:ind w:left="0" w:leftChars="0" w:right="-260" w:rightChars="-124" w:firstLine="480" w:firstLineChars="200"/>
        <w:textAlignment w:val="auto"/>
        <w:rPr>
          <w:rFonts w:hint="eastAsia" w:ascii="宋体" w:hAnsi="宋体" w:eastAsia="宋体" w:cs="宋体"/>
          <w:color w:val="auto"/>
          <w:kern w:val="0"/>
          <w:sz w:val="24"/>
          <w:szCs w:val="24"/>
          <w:highlight w:val="none"/>
          <w:lang w:val="en-US" w:eastAsia="zh-CN" w:bidi="en-US"/>
        </w:rPr>
      </w:pPr>
      <w:r>
        <w:rPr>
          <w:rFonts w:hint="eastAsia" w:ascii="宋体" w:hAnsi="宋体" w:eastAsia="宋体" w:cs="宋体"/>
          <w:color w:val="auto"/>
          <w:kern w:val="0"/>
          <w:sz w:val="24"/>
          <w:szCs w:val="24"/>
          <w:highlight w:val="none"/>
          <w:lang w:val="en-US" w:eastAsia="zh-CN" w:bidi="en-US"/>
        </w:rPr>
        <w:t>(1) 实现对联网消防设施的运行状态、报警信息进行7x24小时不间断实时监测与可视化展示；</w:t>
      </w:r>
    </w:p>
    <w:p w14:paraId="5574A1C4">
      <w:pPr>
        <w:widowControl w:val="0"/>
        <w:wordWrap/>
        <w:adjustRightInd/>
        <w:snapToGrid/>
        <w:spacing w:line="440" w:lineRule="exact"/>
        <w:ind w:left="0" w:leftChars="0" w:right="-260" w:rightChars="-124" w:firstLine="480" w:firstLineChars="200"/>
        <w:textAlignment w:val="auto"/>
        <w:rPr>
          <w:rFonts w:hint="eastAsia" w:ascii="宋体" w:hAnsi="宋体" w:eastAsia="宋体" w:cs="宋体"/>
          <w:color w:val="auto"/>
          <w:kern w:val="0"/>
          <w:sz w:val="24"/>
          <w:szCs w:val="24"/>
          <w:highlight w:val="none"/>
          <w:lang w:val="en-US" w:eastAsia="zh-CN" w:bidi="en-US"/>
        </w:rPr>
      </w:pPr>
      <w:r>
        <w:rPr>
          <w:rFonts w:hint="eastAsia" w:ascii="宋体" w:hAnsi="宋体" w:eastAsia="宋体" w:cs="宋体"/>
          <w:color w:val="auto"/>
          <w:kern w:val="0"/>
          <w:sz w:val="24"/>
          <w:szCs w:val="24"/>
          <w:highlight w:val="none"/>
          <w:lang w:val="en-US" w:eastAsia="zh-CN" w:bidi="en-US"/>
        </w:rPr>
        <w:t>(2) 建立高效、清晰的语音通信与应急指挥通道；</w:t>
      </w:r>
    </w:p>
    <w:p w14:paraId="249AC95A">
      <w:pPr>
        <w:widowControl w:val="0"/>
        <w:wordWrap/>
        <w:adjustRightInd/>
        <w:snapToGrid/>
        <w:spacing w:line="440" w:lineRule="exact"/>
        <w:ind w:left="0" w:leftChars="0" w:right="-260" w:rightChars="-124" w:firstLine="480" w:firstLineChars="200"/>
        <w:textAlignment w:val="auto"/>
        <w:rPr>
          <w:rFonts w:hint="eastAsia" w:ascii="宋体" w:hAnsi="宋体" w:eastAsia="宋体" w:cs="宋体"/>
          <w:color w:val="auto"/>
          <w:kern w:val="0"/>
          <w:sz w:val="24"/>
          <w:szCs w:val="24"/>
          <w:highlight w:val="none"/>
          <w:lang w:val="en-US" w:eastAsia="zh-CN" w:bidi="en-US"/>
        </w:rPr>
      </w:pPr>
      <w:r>
        <w:rPr>
          <w:rFonts w:hint="eastAsia" w:ascii="宋体" w:hAnsi="宋体" w:eastAsia="宋体" w:cs="宋体"/>
          <w:color w:val="auto"/>
          <w:kern w:val="0"/>
          <w:sz w:val="24"/>
          <w:szCs w:val="24"/>
          <w:highlight w:val="none"/>
          <w:lang w:val="en-US" w:eastAsia="zh-CN" w:bidi="en-US"/>
        </w:rPr>
        <w:t>(3) 打造一个符合人体工学、环境舒适、满足长期值守需求的标准化工作场所；</w:t>
      </w:r>
    </w:p>
    <w:p w14:paraId="41DDEC26">
      <w:pPr>
        <w:widowControl w:val="0"/>
        <w:wordWrap/>
        <w:adjustRightInd/>
        <w:snapToGrid/>
        <w:spacing w:line="440" w:lineRule="exact"/>
        <w:ind w:left="0" w:leftChars="0" w:right="-260" w:rightChars="-124" w:firstLine="480" w:firstLineChars="200"/>
        <w:textAlignment w:val="auto"/>
        <w:rPr>
          <w:rFonts w:hint="eastAsia" w:ascii="宋体" w:hAnsi="宋体" w:eastAsia="宋体" w:cs="宋体"/>
          <w:color w:val="auto"/>
          <w:kern w:val="0"/>
          <w:sz w:val="24"/>
          <w:szCs w:val="24"/>
          <w:highlight w:val="none"/>
          <w:lang w:val="en-US" w:eastAsia="zh-CN" w:bidi="en-US"/>
        </w:rPr>
      </w:pPr>
      <w:r>
        <w:rPr>
          <w:rFonts w:hint="eastAsia" w:ascii="宋体" w:hAnsi="宋体" w:eastAsia="宋体" w:cs="宋体"/>
          <w:color w:val="auto"/>
          <w:kern w:val="0"/>
          <w:sz w:val="24"/>
          <w:szCs w:val="24"/>
          <w:highlight w:val="none"/>
          <w:lang w:val="en-US" w:eastAsia="zh-CN" w:bidi="en-US"/>
        </w:rPr>
        <w:t>(4) 确保中心电力、网络等基础设施具备高可用性与冗余备份能力；</w:t>
      </w:r>
    </w:p>
    <w:p w14:paraId="1F449764">
      <w:pPr>
        <w:widowControl w:val="0"/>
        <w:wordWrap/>
        <w:adjustRightInd/>
        <w:snapToGrid/>
        <w:spacing w:line="440" w:lineRule="exact"/>
        <w:ind w:left="0" w:leftChars="0" w:right="-260" w:rightChars="-124" w:firstLine="480" w:firstLineChars="200"/>
        <w:textAlignment w:val="auto"/>
        <w:rPr>
          <w:rFonts w:hint="eastAsia" w:ascii="宋体" w:hAnsi="宋体" w:eastAsia="宋体" w:cs="宋体"/>
          <w:color w:val="auto"/>
          <w:kern w:val="0"/>
          <w:sz w:val="24"/>
          <w:szCs w:val="24"/>
          <w:highlight w:val="none"/>
          <w:lang w:val="en-US" w:eastAsia="zh-CN" w:bidi="en-US"/>
        </w:rPr>
      </w:pPr>
      <w:r>
        <w:rPr>
          <w:rFonts w:hint="eastAsia" w:ascii="宋体" w:hAnsi="宋体" w:eastAsia="宋体" w:cs="宋体"/>
          <w:color w:val="auto"/>
          <w:kern w:val="0"/>
          <w:sz w:val="24"/>
          <w:szCs w:val="24"/>
          <w:highlight w:val="none"/>
          <w:lang w:val="en-US" w:eastAsia="zh-CN" w:bidi="en-US"/>
        </w:rPr>
        <w:t>(5) 满足国家及地方关于消防控制室/监控中心的各项法规与标准要求，并一次性通过消防验收。</w:t>
      </w:r>
    </w:p>
    <w:p w14:paraId="2B969B87">
      <w:pPr>
        <w:widowControl w:val="0"/>
        <w:numPr>
          <w:ilvl w:val="0"/>
          <w:numId w:val="3"/>
        </w:numPr>
        <w:wordWrap/>
        <w:adjustRightInd/>
        <w:snapToGrid/>
        <w:spacing w:line="440" w:lineRule="exact"/>
        <w:ind w:left="0" w:leftChars="0" w:right="-260" w:rightChars="-124" w:firstLine="482" w:firstLineChars="200"/>
        <w:textAlignment w:val="auto"/>
        <w:outlineLvl w:val="1"/>
        <w:rPr>
          <w:rFonts w:hint="eastAsia" w:ascii="宋体" w:hAnsi="宋体" w:eastAsia="宋体" w:cs="宋体"/>
          <w:b/>
          <w:bCs/>
          <w:sz w:val="24"/>
          <w:szCs w:val="24"/>
          <w:highlight w:val="none"/>
          <w:lang w:bidi="en-US"/>
        </w:rPr>
      </w:pPr>
      <w:bookmarkStart w:id="80" w:name="_Toc400"/>
      <w:r>
        <w:rPr>
          <w:rFonts w:hint="eastAsia" w:ascii="宋体" w:hAnsi="宋体" w:eastAsia="宋体" w:cs="宋体"/>
          <w:b/>
          <w:bCs/>
          <w:sz w:val="24"/>
          <w:szCs w:val="24"/>
          <w:highlight w:val="none"/>
          <w:lang w:bidi="en-US"/>
        </w:rPr>
        <w:t>采购内容</w:t>
      </w:r>
      <w:bookmarkEnd w:id="80"/>
    </w:p>
    <w:p w14:paraId="3E7FB579">
      <w:pPr>
        <w:widowControl w:val="0"/>
        <w:wordWrap/>
        <w:adjustRightInd/>
        <w:snapToGrid/>
        <w:spacing w:line="440" w:lineRule="exact"/>
        <w:ind w:left="0" w:leftChars="0" w:right="-260" w:rightChars="-124" w:firstLine="480" w:firstLineChars="200"/>
        <w:textAlignment w:val="auto"/>
        <w:rPr>
          <w:rFonts w:hint="eastAsia" w:ascii="宋体" w:hAnsi="宋体" w:eastAsia="宋体" w:cs="宋体"/>
          <w:color w:val="auto"/>
          <w:kern w:val="0"/>
          <w:sz w:val="24"/>
          <w:szCs w:val="24"/>
          <w:highlight w:val="none"/>
          <w:lang w:val="en-US" w:eastAsia="zh-CN" w:bidi="en-US"/>
        </w:rPr>
      </w:pPr>
      <w:r>
        <w:rPr>
          <w:rFonts w:hint="eastAsia" w:ascii="宋体" w:hAnsi="宋体" w:eastAsia="宋体" w:cs="宋体"/>
          <w:color w:val="auto"/>
          <w:kern w:val="0"/>
          <w:sz w:val="24"/>
          <w:szCs w:val="24"/>
          <w:highlight w:val="none"/>
          <w:lang w:val="en-US" w:eastAsia="zh-CN" w:bidi="en-US"/>
        </w:rPr>
        <w:t>本项目采购内容包括远程监控中心建设所需的全部硬件设备、网络及配套设施（含室内装修），同时承担从设计、施工、调试、验收的全部建设与管理工作。</w:t>
      </w:r>
    </w:p>
    <w:p w14:paraId="141EB21F">
      <w:pPr>
        <w:widowControl w:val="0"/>
        <w:numPr>
          <w:ilvl w:val="0"/>
          <w:numId w:val="3"/>
        </w:numPr>
        <w:wordWrap/>
        <w:adjustRightInd/>
        <w:snapToGrid/>
        <w:spacing w:line="440" w:lineRule="exact"/>
        <w:ind w:left="0" w:leftChars="0" w:right="-260" w:rightChars="-124" w:firstLine="482" w:firstLineChars="200"/>
        <w:textAlignment w:val="auto"/>
        <w:outlineLvl w:val="1"/>
        <w:rPr>
          <w:rFonts w:hint="eastAsia" w:ascii="宋体" w:hAnsi="宋体" w:eastAsia="宋体" w:cs="宋体"/>
          <w:b/>
          <w:bCs/>
          <w:sz w:val="24"/>
          <w:szCs w:val="24"/>
          <w:highlight w:val="none"/>
          <w:lang w:bidi="en-US"/>
        </w:rPr>
      </w:pPr>
      <w:bookmarkStart w:id="81" w:name="_Toc27418"/>
      <w:r>
        <w:rPr>
          <w:rFonts w:hint="eastAsia" w:ascii="宋体" w:hAnsi="宋体" w:eastAsia="宋体" w:cs="宋体"/>
          <w:b/>
          <w:bCs/>
          <w:sz w:val="24"/>
          <w:szCs w:val="24"/>
          <w:highlight w:val="none"/>
          <w:lang w:bidi="en-US"/>
        </w:rPr>
        <w:t>服务期</w:t>
      </w:r>
      <w:bookmarkEnd w:id="81"/>
    </w:p>
    <w:p w14:paraId="62E8A358">
      <w:pPr>
        <w:widowControl w:val="0"/>
        <w:wordWrap/>
        <w:adjustRightInd/>
        <w:snapToGrid/>
        <w:spacing w:line="440" w:lineRule="exact"/>
        <w:ind w:left="0" w:leftChars="0" w:right="-260" w:rightChars="-124" w:firstLine="480" w:firstLineChars="200"/>
        <w:textAlignment w:val="auto"/>
        <w:rPr>
          <w:rFonts w:hint="eastAsia" w:ascii="宋体" w:hAnsi="宋体" w:eastAsia="宋体" w:cs="宋体"/>
          <w:color w:val="auto"/>
          <w:kern w:val="0"/>
          <w:sz w:val="24"/>
          <w:szCs w:val="24"/>
          <w:highlight w:val="none"/>
          <w:lang w:val="en-US" w:eastAsia="zh-CN" w:bidi="en-US"/>
        </w:rPr>
      </w:pPr>
      <w:r>
        <w:rPr>
          <w:rFonts w:hint="eastAsia" w:ascii="宋体" w:hAnsi="宋体" w:eastAsia="宋体" w:cs="宋体"/>
          <w:color w:val="auto"/>
          <w:kern w:val="0"/>
          <w:sz w:val="24"/>
          <w:szCs w:val="24"/>
          <w:highlight w:val="none"/>
          <w:lang w:val="en-US" w:eastAsia="zh-CN" w:bidi="en-US"/>
        </w:rPr>
        <w:t>服务期为自合同签订之日起</w:t>
      </w:r>
      <w:r>
        <w:rPr>
          <w:rFonts w:hint="eastAsia" w:ascii="宋体" w:hAnsi="宋体" w:cs="宋体"/>
          <w:color w:val="auto"/>
          <w:kern w:val="0"/>
          <w:sz w:val="24"/>
          <w:szCs w:val="24"/>
          <w:highlight w:val="none"/>
          <w:lang w:val="en-US" w:eastAsia="zh-CN" w:bidi="en-US"/>
        </w:rPr>
        <w:t>2</w:t>
      </w:r>
      <w:r>
        <w:rPr>
          <w:rFonts w:hint="eastAsia" w:ascii="宋体" w:hAnsi="宋体" w:eastAsia="宋体" w:cs="宋体"/>
          <w:color w:val="auto"/>
          <w:kern w:val="0"/>
          <w:sz w:val="24"/>
          <w:szCs w:val="24"/>
          <w:highlight w:val="none"/>
          <w:lang w:val="en-US" w:eastAsia="zh-CN" w:bidi="en-US"/>
        </w:rPr>
        <w:t>年，包括建设期与后续运维服务期。</w:t>
      </w:r>
    </w:p>
    <w:p w14:paraId="7779AB53">
      <w:pPr>
        <w:widowControl w:val="0"/>
        <w:wordWrap/>
        <w:adjustRightInd/>
        <w:snapToGrid/>
        <w:spacing w:line="440" w:lineRule="exact"/>
        <w:ind w:left="0" w:leftChars="0" w:right="-260" w:rightChars="-124" w:firstLine="480" w:firstLineChars="200"/>
        <w:textAlignment w:val="auto"/>
        <w:rPr>
          <w:rFonts w:hint="default" w:ascii="宋体" w:hAnsi="宋体" w:eastAsia="宋体" w:cs="宋体"/>
          <w:color w:val="auto"/>
          <w:kern w:val="0"/>
          <w:sz w:val="24"/>
          <w:szCs w:val="24"/>
          <w:highlight w:val="none"/>
          <w:lang w:val="en-US" w:eastAsia="zh-CN" w:bidi="en-US"/>
        </w:rPr>
      </w:pPr>
      <w:r>
        <w:rPr>
          <w:rFonts w:hint="default" w:ascii="宋体" w:hAnsi="宋体" w:eastAsia="宋体" w:cs="宋体"/>
          <w:color w:val="auto"/>
          <w:kern w:val="0"/>
          <w:sz w:val="24"/>
          <w:szCs w:val="24"/>
          <w:highlight w:val="none"/>
          <w:lang w:val="en-US" w:eastAsia="zh-CN" w:bidi="en-US"/>
        </w:rPr>
        <w:t>（1）建设期：自</w:t>
      </w:r>
      <w:r>
        <w:rPr>
          <w:rFonts w:hint="eastAsia" w:ascii="宋体" w:hAnsi="宋体" w:eastAsia="宋体" w:cs="宋体"/>
          <w:color w:val="auto"/>
          <w:kern w:val="0"/>
          <w:sz w:val="24"/>
          <w:szCs w:val="24"/>
          <w:highlight w:val="none"/>
          <w:lang w:val="en-US" w:eastAsia="zh-CN" w:bidi="en-US"/>
        </w:rPr>
        <w:t>比选人</w:t>
      </w:r>
      <w:r>
        <w:rPr>
          <w:rFonts w:hint="default" w:ascii="宋体" w:hAnsi="宋体" w:eastAsia="宋体" w:cs="宋体"/>
          <w:color w:val="auto"/>
          <w:kern w:val="0"/>
          <w:sz w:val="24"/>
          <w:szCs w:val="24"/>
          <w:highlight w:val="none"/>
          <w:lang w:val="en-US" w:eastAsia="zh-CN" w:bidi="en-US"/>
        </w:rPr>
        <w:t>发出书面开工通知或提供符合进场条件的施工现场之日起 ___ 个日历日内，完成本项目全部建设内容并通过最终验收。</w:t>
      </w:r>
    </w:p>
    <w:p w14:paraId="637C7A5D">
      <w:pPr>
        <w:widowControl w:val="0"/>
        <w:wordWrap/>
        <w:adjustRightInd/>
        <w:snapToGrid/>
        <w:spacing w:line="440" w:lineRule="exact"/>
        <w:ind w:left="0" w:leftChars="0" w:right="-260" w:rightChars="-124" w:firstLine="480" w:firstLineChars="200"/>
        <w:textAlignment w:val="auto"/>
        <w:rPr>
          <w:rFonts w:hint="default" w:ascii="宋体" w:hAnsi="宋体" w:eastAsia="宋体" w:cs="宋体"/>
          <w:color w:val="auto"/>
          <w:kern w:val="0"/>
          <w:sz w:val="24"/>
          <w:szCs w:val="24"/>
          <w:highlight w:val="none"/>
          <w:lang w:val="en-US" w:eastAsia="zh-CN" w:bidi="en-US"/>
        </w:rPr>
      </w:pPr>
      <w:r>
        <w:rPr>
          <w:rFonts w:hint="default" w:ascii="宋体" w:hAnsi="宋体" w:eastAsia="宋体" w:cs="宋体"/>
          <w:color w:val="auto"/>
          <w:kern w:val="0"/>
          <w:sz w:val="24"/>
          <w:szCs w:val="24"/>
          <w:highlight w:val="none"/>
          <w:lang w:val="en-US" w:eastAsia="zh-CN" w:bidi="en-US"/>
        </w:rPr>
        <w:t>（2）</w:t>
      </w:r>
      <w:r>
        <w:rPr>
          <w:rFonts w:hint="eastAsia" w:ascii="宋体" w:hAnsi="宋体" w:cs="宋体"/>
          <w:color w:val="auto"/>
          <w:kern w:val="0"/>
          <w:sz w:val="24"/>
          <w:szCs w:val="24"/>
          <w:highlight w:val="none"/>
          <w:lang w:val="en-US" w:eastAsia="zh-CN" w:bidi="en-US"/>
        </w:rPr>
        <w:t>质保期</w:t>
      </w:r>
      <w:r>
        <w:rPr>
          <w:rFonts w:hint="default" w:ascii="宋体" w:hAnsi="宋体" w:eastAsia="宋体" w:cs="宋体"/>
          <w:color w:val="auto"/>
          <w:kern w:val="0"/>
          <w:sz w:val="24"/>
          <w:szCs w:val="24"/>
          <w:highlight w:val="none"/>
          <w:lang w:val="en-US" w:eastAsia="zh-CN" w:bidi="en-US"/>
        </w:rPr>
        <w:t>：自项目最终验收合格之日起计算，为期</w:t>
      </w:r>
      <w:r>
        <w:rPr>
          <w:rFonts w:hint="eastAsia" w:ascii="宋体" w:hAnsi="宋体" w:cs="宋体"/>
          <w:color w:val="auto"/>
          <w:kern w:val="0"/>
          <w:sz w:val="24"/>
          <w:szCs w:val="24"/>
          <w:highlight w:val="none"/>
          <w:lang w:val="en-US" w:eastAsia="zh-CN" w:bidi="en-US"/>
        </w:rPr>
        <w:t>2</w:t>
      </w:r>
      <w:r>
        <w:rPr>
          <w:rFonts w:hint="default" w:ascii="宋体" w:hAnsi="宋体" w:eastAsia="宋体" w:cs="宋体"/>
          <w:color w:val="auto"/>
          <w:kern w:val="0"/>
          <w:sz w:val="24"/>
          <w:szCs w:val="24"/>
          <w:highlight w:val="none"/>
          <w:lang w:val="en-US" w:eastAsia="zh-CN" w:bidi="en-US"/>
        </w:rPr>
        <w:t>年。</w:t>
      </w:r>
    </w:p>
    <w:p w14:paraId="7FB87CC9">
      <w:pPr>
        <w:widowControl w:val="0"/>
        <w:wordWrap/>
        <w:adjustRightInd/>
        <w:snapToGrid/>
        <w:spacing w:line="440" w:lineRule="exact"/>
        <w:ind w:left="0" w:leftChars="0" w:right="-260" w:rightChars="-124" w:firstLine="480" w:firstLineChars="200"/>
        <w:textAlignment w:val="auto"/>
        <w:rPr>
          <w:rFonts w:hint="default" w:ascii="宋体" w:hAnsi="宋体" w:eastAsia="宋体" w:cs="宋体"/>
          <w:color w:val="auto"/>
          <w:kern w:val="0"/>
          <w:sz w:val="24"/>
          <w:szCs w:val="24"/>
          <w:highlight w:val="none"/>
          <w:lang w:val="en-US" w:eastAsia="zh-CN" w:bidi="en-US"/>
        </w:rPr>
      </w:pPr>
      <w:r>
        <w:rPr>
          <w:rFonts w:hint="default" w:ascii="宋体" w:hAnsi="宋体" w:eastAsia="宋体" w:cs="宋体"/>
          <w:color w:val="auto"/>
          <w:kern w:val="0"/>
          <w:sz w:val="24"/>
          <w:szCs w:val="24"/>
          <w:highlight w:val="none"/>
          <w:lang w:val="en-US" w:eastAsia="zh-CN" w:bidi="en-US"/>
        </w:rPr>
        <w:t>（3）项目建设的关键里程碑节点应在合同附件中明确，包括但不限于：主要设备到场日期、安装调试完成日期、</w:t>
      </w:r>
      <w:r>
        <w:rPr>
          <w:rFonts w:hint="eastAsia" w:ascii="宋体" w:hAnsi="宋体" w:cs="宋体"/>
          <w:color w:val="auto"/>
          <w:kern w:val="0"/>
          <w:sz w:val="24"/>
          <w:szCs w:val="24"/>
          <w:highlight w:val="none"/>
          <w:lang w:val="en-US" w:eastAsia="zh-CN" w:bidi="en-US"/>
        </w:rPr>
        <w:t>竣工</w:t>
      </w:r>
      <w:r>
        <w:rPr>
          <w:rFonts w:hint="default" w:ascii="宋体" w:hAnsi="宋体" w:eastAsia="宋体" w:cs="宋体"/>
          <w:color w:val="auto"/>
          <w:kern w:val="0"/>
          <w:sz w:val="24"/>
          <w:szCs w:val="24"/>
          <w:highlight w:val="none"/>
          <w:lang w:val="en-US" w:eastAsia="zh-CN" w:bidi="en-US"/>
        </w:rPr>
        <w:t>验收日期等。</w:t>
      </w:r>
    </w:p>
    <w:p w14:paraId="33DA2738">
      <w:pPr>
        <w:widowControl w:val="0"/>
        <w:numPr>
          <w:ilvl w:val="0"/>
          <w:numId w:val="2"/>
        </w:numPr>
        <w:tabs>
          <w:tab w:val="left" w:pos="420"/>
        </w:tabs>
        <w:wordWrap/>
        <w:adjustRightInd/>
        <w:snapToGrid/>
        <w:spacing w:line="440" w:lineRule="exact"/>
        <w:ind w:left="0" w:leftChars="0" w:right="-260" w:rightChars="-124" w:firstLine="482" w:firstLineChars="200"/>
        <w:textAlignment w:val="auto"/>
        <w:outlineLvl w:val="0"/>
        <w:rPr>
          <w:rFonts w:hint="eastAsia" w:ascii="宋体" w:hAnsi="宋体" w:eastAsia="宋体" w:cs="宋体"/>
          <w:b/>
          <w:bCs/>
          <w:color w:val="auto"/>
          <w:kern w:val="0"/>
          <w:sz w:val="24"/>
          <w:szCs w:val="24"/>
          <w:highlight w:val="none"/>
          <w:lang w:bidi="en-US"/>
        </w:rPr>
      </w:pPr>
      <w:bookmarkStart w:id="82" w:name="_Toc25839"/>
      <w:r>
        <w:rPr>
          <w:rFonts w:hint="eastAsia" w:ascii="宋体" w:hAnsi="宋体" w:eastAsia="宋体" w:cs="宋体"/>
          <w:b/>
          <w:bCs/>
          <w:color w:val="auto"/>
          <w:kern w:val="0"/>
          <w:sz w:val="24"/>
          <w:szCs w:val="24"/>
          <w:highlight w:val="none"/>
          <w:lang w:bidi="en-US"/>
        </w:rPr>
        <w:t>项目需求</w:t>
      </w:r>
      <w:bookmarkEnd w:id="82"/>
    </w:p>
    <w:p w14:paraId="1468F6EC">
      <w:pPr>
        <w:widowControl w:val="0"/>
        <w:numPr>
          <w:ilvl w:val="0"/>
          <w:numId w:val="4"/>
        </w:numPr>
        <w:wordWrap/>
        <w:adjustRightInd/>
        <w:snapToGrid/>
        <w:spacing w:line="440" w:lineRule="exact"/>
        <w:ind w:left="0" w:leftChars="0" w:right="-260" w:rightChars="-124" w:firstLine="482" w:firstLineChars="200"/>
        <w:textAlignment w:val="auto"/>
        <w:outlineLvl w:val="1"/>
        <w:rPr>
          <w:rFonts w:hint="eastAsia" w:ascii="宋体" w:hAnsi="宋体" w:eastAsia="宋体" w:cs="宋体"/>
          <w:b/>
          <w:bCs/>
          <w:sz w:val="24"/>
          <w:szCs w:val="24"/>
          <w:highlight w:val="none"/>
        </w:rPr>
      </w:pPr>
      <w:bookmarkStart w:id="83" w:name="_Toc12587"/>
      <w:r>
        <w:rPr>
          <w:rFonts w:hint="eastAsia" w:ascii="宋体" w:hAnsi="宋体" w:eastAsia="宋体" w:cs="宋体"/>
          <w:b/>
          <w:bCs/>
          <w:sz w:val="24"/>
          <w:szCs w:val="24"/>
          <w:highlight w:val="none"/>
        </w:rPr>
        <w:t>监控中心建设需求</w:t>
      </w:r>
      <w:bookmarkEnd w:id="83"/>
    </w:p>
    <w:p w14:paraId="4BD4CD95">
      <w:pPr>
        <w:widowControl w:val="0"/>
        <w:wordWrap/>
        <w:adjustRightInd/>
        <w:snapToGrid/>
        <w:spacing w:line="440" w:lineRule="exact"/>
        <w:ind w:left="0" w:leftChars="0" w:right="-260" w:rightChars="-124" w:firstLine="480" w:firstLineChars="200"/>
        <w:textAlignment w:val="auto"/>
        <w:rPr>
          <w:rFonts w:hint="eastAsia" w:ascii="宋体" w:hAnsi="宋体" w:eastAsia="宋体" w:cs="宋体"/>
          <w:color w:val="auto"/>
          <w:kern w:val="0"/>
          <w:sz w:val="24"/>
          <w:szCs w:val="24"/>
          <w:highlight w:val="none"/>
          <w:lang w:val="en-US" w:eastAsia="zh-CN" w:bidi="en-US"/>
        </w:rPr>
      </w:pPr>
      <w:r>
        <w:rPr>
          <w:rFonts w:hint="eastAsia" w:ascii="宋体" w:hAnsi="宋体" w:eastAsia="宋体" w:cs="宋体"/>
          <w:color w:val="auto"/>
          <w:kern w:val="0"/>
          <w:sz w:val="24"/>
          <w:szCs w:val="24"/>
          <w:highlight w:val="none"/>
          <w:lang w:val="en-US" w:eastAsia="zh-CN" w:bidi="en-US"/>
        </w:rPr>
        <w:t>参选人须在比选人指定地点，按照附件1（平面图）及本需求书要求，建设一个标准化的消防远程监控值守中心。参选人负责中心内所有硬件设备、网络、办公设施、房屋装修装饰等的采购（或开发）、安装、集成与调试，并确保整体环境的协调性与专业性。</w:t>
      </w:r>
    </w:p>
    <w:p w14:paraId="0BA6F8CF">
      <w:pPr>
        <w:widowControl w:val="0"/>
        <w:wordWrap/>
        <w:adjustRightInd/>
        <w:snapToGrid/>
        <w:spacing w:line="440" w:lineRule="exact"/>
        <w:ind w:left="0" w:leftChars="0" w:right="-260" w:rightChars="-124" w:firstLine="480" w:firstLineChars="200"/>
        <w:textAlignment w:val="auto"/>
        <w:rPr>
          <w:rFonts w:hint="eastAsia" w:ascii="宋体" w:hAnsi="宋体" w:eastAsia="宋体" w:cs="宋体"/>
          <w:color w:val="auto"/>
          <w:kern w:val="0"/>
          <w:sz w:val="24"/>
          <w:szCs w:val="24"/>
          <w:highlight w:val="none"/>
          <w:lang w:val="en-US" w:eastAsia="zh-CN" w:bidi="en-US"/>
        </w:rPr>
      </w:pPr>
      <w:r>
        <w:rPr>
          <w:rFonts w:hint="eastAsia" w:ascii="宋体" w:hAnsi="宋体" w:eastAsia="宋体" w:cs="宋体"/>
          <w:color w:val="auto"/>
          <w:kern w:val="0"/>
          <w:sz w:val="24"/>
          <w:szCs w:val="24"/>
          <w:highlight w:val="none"/>
          <w:lang w:val="en-US" w:eastAsia="zh-CN" w:bidi="en-US"/>
        </w:rPr>
        <w:t>参选人须负责其提供的所有硬件设备、系统软件与比选人指定的自有软件平台进行无缝对接与集成。比选人将提供必要的接口标准与协议文档，参选人须在投标阶段充分理解并承诺满足所有对接要求。对接工作包括但不限于数据通信、协议转换、状态上报、控制指令下发等，并确保集成后的系统功能完整、性能稳定。因参选人原因导致的对接失败或延迟，由参选人承担全部责任和相应损失。</w:t>
      </w:r>
    </w:p>
    <w:p w14:paraId="373010B3">
      <w:pPr>
        <w:widowControl w:val="0"/>
        <w:wordWrap/>
        <w:adjustRightInd/>
        <w:snapToGrid/>
        <w:spacing w:line="440" w:lineRule="exact"/>
        <w:ind w:left="0" w:leftChars="0" w:right="-260" w:rightChars="-124" w:firstLine="480" w:firstLineChars="200"/>
        <w:textAlignment w:val="auto"/>
        <w:rPr>
          <w:rFonts w:hint="eastAsia" w:ascii="宋体" w:hAnsi="宋体" w:eastAsia="宋体" w:cs="宋体"/>
          <w:color w:val="auto"/>
          <w:kern w:val="0"/>
          <w:sz w:val="24"/>
          <w:szCs w:val="24"/>
          <w:highlight w:val="none"/>
          <w:lang w:val="en-US" w:eastAsia="zh-CN" w:bidi="en-US"/>
        </w:rPr>
      </w:pPr>
      <w:r>
        <w:rPr>
          <w:rFonts w:hint="eastAsia" w:ascii="宋体" w:hAnsi="宋体" w:cs="宋体"/>
          <w:color w:val="auto"/>
          <w:kern w:val="0"/>
          <w:sz w:val="24"/>
          <w:szCs w:val="24"/>
          <w:highlight w:val="none"/>
          <w:lang w:val="en-US" w:eastAsia="zh-CN" w:bidi="en-US"/>
        </w:rPr>
        <w:t>参选</w:t>
      </w:r>
      <w:r>
        <w:rPr>
          <w:rFonts w:hint="eastAsia" w:ascii="宋体" w:hAnsi="宋体" w:eastAsia="宋体" w:cs="宋体"/>
          <w:color w:val="auto"/>
          <w:kern w:val="0"/>
          <w:sz w:val="24"/>
          <w:szCs w:val="24"/>
          <w:highlight w:val="none"/>
          <w:lang w:val="en-US" w:eastAsia="zh-CN" w:bidi="en-US"/>
        </w:rPr>
        <w:t>人需综合考虑</w:t>
      </w:r>
      <w:r>
        <w:rPr>
          <w:rFonts w:hint="eastAsia" w:ascii="宋体" w:hAnsi="宋体" w:cs="宋体"/>
          <w:color w:val="auto"/>
          <w:kern w:val="0"/>
          <w:sz w:val="24"/>
          <w:szCs w:val="24"/>
          <w:highlight w:val="none"/>
          <w:lang w:val="en-US" w:eastAsia="zh-CN" w:bidi="en-US"/>
        </w:rPr>
        <w:t>监控中心房间分隔后</w:t>
      </w:r>
      <w:r>
        <w:rPr>
          <w:rFonts w:hint="eastAsia" w:ascii="宋体" w:hAnsi="宋体" w:eastAsia="宋体" w:cs="宋体"/>
          <w:color w:val="auto"/>
          <w:kern w:val="0"/>
          <w:sz w:val="24"/>
          <w:szCs w:val="24"/>
          <w:highlight w:val="none"/>
          <w:lang w:val="en-US" w:eastAsia="zh-CN" w:bidi="en-US"/>
        </w:rPr>
        <w:t>喷淋头布局</w:t>
      </w:r>
      <w:r>
        <w:rPr>
          <w:rFonts w:hint="eastAsia" w:ascii="宋体" w:hAnsi="宋体" w:cs="宋体"/>
          <w:color w:val="auto"/>
          <w:kern w:val="0"/>
          <w:sz w:val="24"/>
          <w:szCs w:val="24"/>
          <w:highlight w:val="none"/>
          <w:lang w:val="en-US" w:eastAsia="zh-CN" w:bidi="en-US"/>
        </w:rPr>
        <w:t>可能</w:t>
      </w:r>
      <w:r>
        <w:rPr>
          <w:rFonts w:hint="eastAsia" w:ascii="宋体" w:hAnsi="宋体" w:eastAsia="宋体" w:cs="宋体"/>
          <w:color w:val="auto"/>
          <w:kern w:val="0"/>
          <w:sz w:val="24"/>
          <w:szCs w:val="24"/>
          <w:highlight w:val="none"/>
          <w:lang w:val="en-US" w:eastAsia="zh-CN" w:bidi="en-US"/>
        </w:rPr>
        <w:t>调整，</w:t>
      </w:r>
      <w:r>
        <w:rPr>
          <w:rFonts w:hint="eastAsia" w:ascii="宋体" w:hAnsi="宋体" w:cs="宋体"/>
          <w:color w:val="auto"/>
          <w:kern w:val="0"/>
          <w:sz w:val="24"/>
          <w:szCs w:val="24"/>
          <w:highlight w:val="none"/>
          <w:lang w:val="en-US" w:eastAsia="zh-CN" w:bidi="en-US"/>
        </w:rPr>
        <w:t>相关布置需</w:t>
      </w:r>
      <w:r>
        <w:rPr>
          <w:rFonts w:hint="eastAsia" w:ascii="宋体" w:hAnsi="宋体" w:eastAsia="宋体" w:cs="宋体"/>
          <w:color w:val="auto"/>
          <w:kern w:val="0"/>
          <w:sz w:val="24"/>
          <w:szCs w:val="24"/>
          <w:highlight w:val="none"/>
          <w:lang w:val="en-US" w:eastAsia="zh-CN" w:bidi="en-US"/>
        </w:rPr>
        <w:t>满足相关消防规范要求</w:t>
      </w:r>
      <w:r>
        <w:rPr>
          <w:rFonts w:hint="eastAsia" w:ascii="宋体" w:hAnsi="宋体" w:cs="宋体"/>
          <w:color w:val="auto"/>
          <w:kern w:val="0"/>
          <w:sz w:val="24"/>
          <w:szCs w:val="24"/>
          <w:highlight w:val="none"/>
          <w:lang w:val="en-US" w:eastAsia="zh-CN" w:bidi="en-US"/>
        </w:rPr>
        <w:t>，相关费用包含在报价费用中，不单独增加费用</w:t>
      </w:r>
      <w:r>
        <w:rPr>
          <w:rFonts w:hint="eastAsia" w:ascii="宋体" w:hAnsi="宋体" w:eastAsia="宋体" w:cs="宋体"/>
          <w:color w:val="auto"/>
          <w:kern w:val="0"/>
          <w:sz w:val="24"/>
          <w:szCs w:val="24"/>
          <w:highlight w:val="none"/>
          <w:lang w:val="en-US" w:eastAsia="zh-CN" w:bidi="en-US"/>
        </w:rPr>
        <w:t>。</w:t>
      </w:r>
    </w:p>
    <w:p w14:paraId="0F4A0524">
      <w:pPr>
        <w:widowControl w:val="0"/>
        <w:wordWrap/>
        <w:adjustRightInd/>
        <w:snapToGrid/>
        <w:spacing w:line="440" w:lineRule="exact"/>
        <w:ind w:left="0" w:leftChars="0" w:right="-260" w:rightChars="-124" w:firstLine="480" w:firstLineChars="200"/>
        <w:textAlignment w:val="auto"/>
        <w:rPr>
          <w:rFonts w:hint="eastAsia" w:ascii="宋体" w:hAnsi="宋体" w:eastAsia="宋体" w:cs="宋体"/>
          <w:color w:val="auto"/>
          <w:kern w:val="0"/>
          <w:sz w:val="24"/>
          <w:szCs w:val="24"/>
          <w:highlight w:val="none"/>
          <w:lang w:val="en-US" w:eastAsia="zh-CN" w:bidi="en-US"/>
        </w:rPr>
      </w:pPr>
      <w:r>
        <w:rPr>
          <w:rFonts w:hint="eastAsia" w:ascii="宋体" w:hAnsi="宋体" w:eastAsia="宋体" w:cs="宋体"/>
          <w:color w:val="auto"/>
          <w:kern w:val="0"/>
          <w:sz w:val="24"/>
          <w:szCs w:val="24"/>
          <w:highlight w:val="none"/>
          <w:lang w:val="en-US" w:eastAsia="zh-CN" w:bidi="en-US"/>
        </w:rPr>
        <w:t>监控中心设置独立设备机房，机房内配置灭火设置需满足消防要求。</w:t>
      </w:r>
    </w:p>
    <w:p w14:paraId="74E14B03">
      <w:pPr>
        <w:widowControl w:val="0"/>
        <w:wordWrap/>
        <w:adjustRightInd/>
        <w:snapToGrid/>
        <w:spacing w:line="440" w:lineRule="exact"/>
        <w:ind w:left="0" w:leftChars="0" w:right="-260" w:rightChars="-124" w:firstLine="480" w:firstLineChars="200"/>
        <w:textAlignment w:val="auto"/>
        <w:rPr>
          <w:rFonts w:hint="eastAsia" w:ascii="宋体" w:hAnsi="宋体" w:eastAsia="宋体" w:cs="宋体"/>
          <w:color w:val="auto"/>
          <w:kern w:val="0"/>
          <w:sz w:val="24"/>
          <w:szCs w:val="24"/>
          <w:highlight w:val="none"/>
          <w:lang w:val="en-US" w:eastAsia="zh-CN" w:bidi="en-US"/>
        </w:rPr>
      </w:pPr>
      <w:r>
        <w:rPr>
          <w:rFonts w:hint="eastAsia" w:ascii="宋体" w:hAnsi="宋体" w:eastAsia="宋体" w:cs="宋体"/>
          <w:color w:val="auto"/>
          <w:kern w:val="0"/>
          <w:sz w:val="24"/>
          <w:szCs w:val="24"/>
          <w:highlight w:val="none"/>
          <w:lang w:val="en-US" w:eastAsia="zh-CN" w:bidi="en-US"/>
        </w:rPr>
        <w:t>监控中心桌椅、电脑、墙插、地插、音箱、摄像头等设施设备的摆放位置需经比选人确认后方可施工。遮光布帘、地毯等涉及颜色外观需提供小样，且经比选人确认后方可施工，不得因此增加费用。项目交付验收时，投标人需出具详细完整的竣工图并盖章，原件、电子版交付给比选人。墙插、地插等辅材需满足监控中心所有设备使用需要，具体安装位置需满足</w:t>
      </w:r>
      <w:r>
        <w:rPr>
          <w:rFonts w:hint="eastAsia" w:ascii="宋体" w:hAnsi="宋体" w:cs="宋体"/>
          <w:color w:val="auto"/>
          <w:kern w:val="0"/>
          <w:sz w:val="24"/>
          <w:szCs w:val="24"/>
          <w:highlight w:val="none"/>
          <w:lang w:val="en-US" w:eastAsia="zh-CN" w:bidi="en-US"/>
        </w:rPr>
        <w:t>比选人</w:t>
      </w:r>
      <w:r>
        <w:rPr>
          <w:rFonts w:hint="eastAsia" w:ascii="宋体" w:hAnsi="宋体" w:eastAsia="宋体" w:cs="宋体"/>
          <w:color w:val="auto"/>
          <w:kern w:val="0"/>
          <w:sz w:val="24"/>
          <w:szCs w:val="24"/>
          <w:highlight w:val="none"/>
          <w:lang w:val="en-US" w:eastAsia="zh-CN" w:bidi="en-US"/>
        </w:rPr>
        <w:t>现场要求，费用包含在总价内。</w:t>
      </w:r>
    </w:p>
    <w:p w14:paraId="3437673C">
      <w:pPr>
        <w:rPr>
          <w:rFonts w:hint="eastAsia"/>
          <w:highlight w:val="none"/>
          <w:lang w:val="en-US" w:eastAsia="zh-CN"/>
        </w:rPr>
      </w:pPr>
    </w:p>
    <w:p w14:paraId="385A6B61">
      <w:pPr>
        <w:widowControl w:val="0"/>
        <w:numPr>
          <w:ilvl w:val="0"/>
          <w:numId w:val="4"/>
        </w:numPr>
        <w:wordWrap/>
        <w:adjustRightInd/>
        <w:snapToGrid/>
        <w:spacing w:line="440" w:lineRule="exact"/>
        <w:ind w:left="0" w:leftChars="0" w:right="-260" w:rightChars="-124" w:firstLine="482" w:firstLineChars="200"/>
        <w:textAlignment w:val="auto"/>
        <w:outlineLvl w:val="1"/>
        <w:rPr>
          <w:rFonts w:hint="eastAsia"/>
          <w:sz w:val="24"/>
          <w:szCs w:val="24"/>
          <w:highlight w:val="none"/>
        </w:rPr>
      </w:pPr>
      <w:r>
        <w:rPr>
          <w:rFonts w:hint="eastAsia" w:ascii="宋体" w:hAnsi="宋体" w:cs="宋体"/>
          <w:b/>
          <w:bCs/>
          <w:sz w:val="24"/>
          <w:szCs w:val="24"/>
          <w:highlight w:val="none"/>
          <w:lang w:val="en-US" w:eastAsia="zh-CN"/>
        </w:rPr>
        <w:t>配置清单</w:t>
      </w:r>
    </w:p>
    <w:tbl>
      <w:tblPr>
        <w:tblStyle w:val="37"/>
        <w:tblW w:w="9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723"/>
        <w:gridCol w:w="1544"/>
        <w:gridCol w:w="5506"/>
        <w:gridCol w:w="723"/>
        <w:gridCol w:w="723"/>
      </w:tblGrid>
      <w:tr w14:paraId="636C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07" w:hRule="atLeast"/>
          <w:tblHeader/>
          <w:jc w:val="center"/>
        </w:trPr>
        <w:tc>
          <w:tcPr>
            <w:tcW w:w="723" w:type="dxa"/>
            <w:tcBorders>
              <w:top w:val="single" w:color="auto" w:sz="4" w:space="0"/>
              <w:left w:val="single" w:color="auto" w:sz="4" w:space="0"/>
              <w:bottom w:val="single" w:color="auto" w:sz="4" w:space="0"/>
              <w:right w:val="single" w:color="auto" w:sz="4" w:space="0"/>
            </w:tcBorders>
            <w:vAlign w:val="center"/>
          </w:tcPr>
          <w:p w14:paraId="4EE67E4F">
            <w:pPr>
              <w:keepNext/>
              <w:widowControl/>
              <w:adjustRightInd/>
              <w:snapToGrid w:val="0"/>
              <w:ind w:leftChars="0" w:right="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cs="宋体"/>
                <w:b/>
                <w:bCs/>
                <w:i w:val="0"/>
                <w:iCs w:val="0"/>
                <w:color w:val="auto"/>
                <w:kern w:val="0"/>
                <w:sz w:val="21"/>
                <w:szCs w:val="21"/>
                <w:highlight w:val="none"/>
                <w:u w:val="none"/>
                <w:lang w:val="en-US" w:eastAsia="zh-CN"/>
              </w:rPr>
              <w:t>序号</w:t>
            </w:r>
          </w:p>
        </w:tc>
        <w:tc>
          <w:tcPr>
            <w:tcW w:w="1544" w:type="dxa"/>
            <w:tcBorders>
              <w:top w:val="single" w:color="auto" w:sz="4" w:space="0"/>
              <w:left w:val="single" w:color="auto" w:sz="4" w:space="0"/>
              <w:bottom w:val="single" w:color="auto" w:sz="4" w:space="0"/>
              <w:right w:val="single" w:color="auto" w:sz="4" w:space="0"/>
            </w:tcBorders>
            <w:vAlign w:val="center"/>
          </w:tcPr>
          <w:p w14:paraId="3995BC32">
            <w:pPr>
              <w:keepNext/>
              <w:widowControl/>
              <w:adjustRightInd/>
              <w:snapToGrid w:val="0"/>
              <w:ind w:leftChars="0" w:right="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cs="宋体"/>
                <w:b/>
                <w:bCs/>
                <w:i w:val="0"/>
                <w:iCs w:val="0"/>
                <w:color w:val="auto"/>
                <w:kern w:val="0"/>
                <w:sz w:val="21"/>
                <w:szCs w:val="21"/>
                <w:highlight w:val="none"/>
                <w:u w:val="none"/>
                <w:lang w:val="en-US" w:eastAsia="zh-CN"/>
              </w:rPr>
              <w:t>内容</w:t>
            </w:r>
          </w:p>
        </w:tc>
        <w:tc>
          <w:tcPr>
            <w:tcW w:w="5506" w:type="dxa"/>
            <w:tcBorders>
              <w:top w:val="single" w:color="auto" w:sz="4" w:space="0"/>
              <w:left w:val="single" w:color="auto" w:sz="4" w:space="0"/>
              <w:bottom w:val="single" w:color="auto" w:sz="4" w:space="0"/>
              <w:right w:val="single" w:color="auto" w:sz="4" w:space="0"/>
            </w:tcBorders>
            <w:vAlign w:val="center"/>
          </w:tcPr>
          <w:p w14:paraId="5C1DF7D6">
            <w:pPr>
              <w:keepNext/>
              <w:widowControl/>
              <w:adjustRightInd/>
              <w:snapToGrid w:val="0"/>
              <w:ind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rPr>
              <w:t>规格参数</w:t>
            </w:r>
          </w:p>
        </w:tc>
        <w:tc>
          <w:tcPr>
            <w:tcW w:w="723" w:type="dxa"/>
            <w:tcBorders>
              <w:top w:val="single" w:color="auto" w:sz="4" w:space="0"/>
              <w:left w:val="single" w:color="auto" w:sz="4" w:space="0"/>
              <w:bottom w:val="single" w:color="auto" w:sz="4" w:space="0"/>
              <w:right w:val="single" w:color="auto" w:sz="4" w:space="0"/>
            </w:tcBorders>
            <w:vAlign w:val="center"/>
          </w:tcPr>
          <w:p w14:paraId="1FF2F0EA">
            <w:pPr>
              <w:keepNext/>
              <w:widowControl/>
              <w:adjustRightInd/>
              <w:snapToGrid w:val="0"/>
              <w:ind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rPr>
              <w:t>数量</w:t>
            </w:r>
          </w:p>
        </w:tc>
        <w:tc>
          <w:tcPr>
            <w:tcW w:w="723" w:type="dxa"/>
            <w:tcBorders>
              <w:top w:val="single" w:color="auto" w:sz="4" w:space="0"/>
              <w:left w:val="single" w:color="auto" w:sz="4" w:space="0"/>
              <w:bottom w:val="single" w:color="auto" w:sz="4" w:space="0"/>
              <w:right w:val="single" w:color="auto" w:sz="4" w:space="0"/>
            </w:tcBorders>
            <w:vAlign w:val="center"/>
          </w:tcPr>
          <w:p w14:paraId="305A08E3">
            <w:pPr>
              <w:keepNext/>
              <w:widowControl/>
              <w:adjustRightInd/>
              <w:snapToGrid w:val="0"/>
              <w:ind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rPr>
              <w:t>单位</w:t>
            </w:r>
          </w:p>
        </w:tc>
      </w:tr>
      <w:tr w14:paraId="3460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1660" w:hRule="atLeast"/>
          <w:jc w:val="center"/>
        </w:trPr>
        <w:tc>
          <w:tcPr>
            <w:tcW w:w="723" w:type="dxa"/>
            <w:tcBorders>
              <w:top w:val="single" w:color="auto" w:sz="4" w:space="0"/>
              <w:left w:val="single" w:color="000000" w:sz="4" w:space="0"/>
              <w:bottom w:val="single" w:color="000000" w:sz="4" w:space="0"/>
              <w:right w:val="single" w:color="000000" w:sz="4" w:space="0"/>
            </w:tcBorders>
            <w:vAlign w:val="center"/>
          </w:tcPr>
          <w:p w14:paraId="6E060761">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1544" w:type="dxa"/>
            <w:tcBorders>
              <w:top w:val="single" w:color="auto" w:sz="4" w:space="0"/>
              <w:left w:val="single" w:color="000000" w:sz="4" w:space="0"/>
              <w:bottom w:val="single" w:color="000000" w:sz="4" w:space="0"/>
              <w:right w:val="single" w:color="000000" w:sz="4" w:space="0"/>
            </w:tcBorders>
            <w:vAlign w:val="center"/>
          </w:tcPr>
          <w:p w14:paraId="503E6CC3">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P1.8全彩显示屏体</w:t>
            </w:r>
          </w:p>
        </w:tc>
        <w:tc>
          <w:tcPr>
            <w:tcW w:w="5506" w:type="dxa"/>
            <w:tcBorders>
              <w:top w:val="single" w:color="auto" w:sz="4" w:space="0"/>
              <w:left w:val="single" w:color="000000" w:sz="4" w:space="0"/>
              <w:bottom w:val="single" w:color="000000" w:sz="4" w:space="0"/>
              <w:right w:val="single" w:color="000000" w:sz="4" w:space="0"/>
            </w:tcBorders>
            <w:vAlign w:val="center"/>
          </w:tcPr>
          <w:p w14:paraId="3276DA60">
            <w:pPr>
              <w:keepNext/>
              <w:widowControl/>
              <w:adjustRightInd/>
              <w:snapToGrid w:val="0"/>
              <w:ind w:leftChars="0" w:right="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显示净尺寸：宽8m*高2.24m</w:t>
            </w:r>
          </w:p>
          <w:p w14:paraId="7307699E">
            <w:pPr>
              <w:keepNext/>
              <w:widowControl/>
              <w:adjustRightInd/>
              <w:snapToGrid w:val="0"/>
              <w:ind w:leftChars="0" w:right="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显示分辨率：宽4300点*高1204点</w:t>
            </w:r>
          </w:p>
          <w:p w14:paraId="08B83639">
            <w:pPr>
              <w:keepNext/>
              <w:widowControl/>
              <w:adjustRightInd/>
              <w:snapToGrid w:val="0"/>
              <w:ind w:leftChars="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技术参数：</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1.像素点间距：1.86mm；像素密度：288906点/m²；</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2.维护方式：前维修；</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3.基色主波长误差：符合SJ/T11141-2017中要求的C级≤5nm；</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4.水平/垂直视角：≥170°；</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5.色温范围：800K－20000K可调；</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6.刷新率：≥3840Hz，换帧频率：50&amp;60Hz，支持120Hz等3D显示技术；</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7.白平衡光亮度：≥600cd/㎡，亮度均匀性：≥99%；</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8.模组平整度和拼接缝：≤0.02mm；</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9.峰值功耗：≤250W/m²，平均功耗：≤84W/m²；</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10.★模组厚度：模组采用3M胶沾固定基板，无内嵌螺钉，有效减少厚度，模组厚度≤10mm(含底壳)；</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11.★模组磁吸强度：单模块磁吸强度≥10kg，高强度磁吸能力能避免发生掉落事故；</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12.★灯面温升：正常播放视频状态下点亮5分钟后产品表面温度升幅≤1.5℃，点亮10分钟后其温度升幅≤5℃；在白平衡状态下点亮5分钟后产品表面温度升幅≤5℃，点亮10分钟后其温度升幅≤10℃；</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13.★灯珠抗拉：强度≥1kg，底壳弯曲:支辊距离75mm，测试最大弯曲力≥6.7Fm(kN)；</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14.防蓝光：蓝光危害加权辐亮度值≤0.5W/（m²•sr），并在8h内不造成对视网膜蓝光伤害，蓝光视网膜危害应属无危害类；</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15.视觉舒适度(VIC0指数)：测试值在0≤VIC0＜1，满足标准量化分级1级；</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16.★雾度：可见光投射比≥89%，因磨耗引起的度≤1.3%；</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17.★热成像：最大温度与平均温度相差在3℃以内，白屏老化50分钟转为普通视频老化状态；</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18.★云端配置调试功能：支持云端一键下载程序文件并自动配置调试，支持通过手机拍屏实现配置文件云端下发，自动完成连屏配置；</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19.★支持亮度、色度逐点校正，支持灰度校正，校正后亮度损失≤6%；</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20.抑制摩尔纹：支持抑制摩尔纹功能，减轻摩尔纹视觉主观效果 80%；</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21.噪音：工作时噪声满足NR-25(噪声标准曲线)要求屏前、屏后、屏左、屏右处，噪声声压≤1.4dB(A)；</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22.电气防护：LED显示屏通过过流、断路、短路、过压、欠压、超温、超负荷、断电等测试；</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23.工作温度：-10℃~50℃，工作湿度：10%RH~90%RH无结露；</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以上★参数需提供首页具有“CNAS”标识的第三方权威检测报告作为证明文件。</w:t>
            </w:r>
          </w:p>
        </w:tc>
        <w:tc>
          <w:tcPr>
            <w:tcW w:w="723" w:type="dxa"/>
            <w:tcBorders>
              <w:top w:val="single" w:color="auto" w:sz="4" w:space="0"/>
              <w:left w:val="single" w:color="000000" w:sz="4" w:space="0"/>
              <w:bottom w:val="single" w:color="000000" w:sz="4" w:space="0"/>
              <w:right w:val="single" w:color="000000" w:sz="4" w:space="0"/>
            </w:tcBorders>
            <w:vAlign w:val="center"/>
          </w:tcPr>
          <w:p w14:paraId="790FC9DC">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17.92</w:t>
            </w:r>
          </w:p>
        </w:tc>
        <w:tc>
          <w:tcPr>
            <w:tcW w:w="723" w:type="dxa"/>
            <w:tcBorders>
              <w:top w:val="single" w:color="auto" w:sz="4" w:space="0"/>
              <w:left w:val="single" w:color="000000" w:sz="4" w:space="0"/>
              <w:bottom w:val="single" w:color="000000" w:sz="4" w:space="0"/>
              <w:right w:val="single" w:color="000000" w:sz="4" w:space="0"/>
            </w:tcBorders>
            <w:vAlign w:val="center"/>
          </w:tcPr>
          <w:p w14:paraId="079B82DC">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平米</w:t>
            </w:r>
          </w:p>
        </w:tc>
      </w:tr>
      <w:tr w14:paraId="6D422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07"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75EB5E7A">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1544" w:type="dxa"/>
            <w:tcBorders>
              <w:top w:val="single" w:color="000000" w:sz="4" w:space="0"/>
              <w:left w:val="single" w:color="000000" w:sz="4" w:space="0"/>
              <w:bottom w:val="single" w:color="000000" w:sz="4" w:space="0"/>
              <w:right w:val="single" w:color="000000" w:sz="4" w:space="0"/>
            </w:tcBorders>
            <w:vAlign w:val="center"/>
          </w:tcPr>
          <w:p w14:paraId="01775C93">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视频控制器</w:t>
            </w:r>
          </w:p>
        </w:tc>
        <w:tc>
          <w:tcPr>
            <w:tcW w:w="5506" w:type="dxa"/>
            <w:tcBorders>
              <w:top w:val="single" w:color="000000" w:sz="4" w:space="0"/>
              <w:left w:val="single" w:color="000000" w:sz="4" w:space="0"/>
              <w:bottom w:val="single" w:color="000000" w:sz="4" w:space="0"/>
              <w:right w:val="single" w:color="000000" w:sz="4" w:space="0"/>
            </w:tcBorders>
            <w:vAlign w:val="center"/>
          </w:tcPr>
          <w:p w14:paraId="622665DE">
            <w:pPr>
              <w:keepNext/>
              <w:widowControl/>
              <w:adjustRightInd/>
              <w:snapToGrid w:val="0"/>
              <w:ind w:leftChars="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1.最大带载1040万像素；支持极限宽度16384，极限高度8192；</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2.视频输出接口：16个RJ45千兆输出网口；</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3.输入接口：2个HDMI2.0、2个DP1.2、1个VGA、1个DVI、1个USB接口输入；</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4.控制接口:1个RJ45接口；音频接口:2个，包含1个输入接口，1个输出接口；1个光探头接口；1个RS232接口；1个RS485接口；1个USB接口。</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5.支持多台设备同步显示；</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6.图层数量:5个，3个视频图层、1个字幕图层、1个底图图层；</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7.★场景功能:设备应支持保存20个预案，预案包含窗口及视频源信息、字幕信息、音频信息;设备应支持对预案进行编辑操作，包含新增、删除、保存、覆盖和加载；</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8.★接收卡适配：支持接入第三方接收卡，支持对接收卡配置、升级、状态显示；</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9.★接入规格：支持接入32MP及以下分辨率的网络信号，支持接入分辨率为32MP、16MP、12MP、8MP、5MP、3MP、1080p、UXGA、720p、D1、HD1、2CIF、CIF、QCIF网络信号，支持接入帧率不少于60帧/秒的信号；</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10.★接入方式：设备应支持前端设备直接接入平台进行解码上墙；支持通过流媒体转发的视频解码上墙，支持远程录像文件的解码上墙；</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11.无人熄屏功能：具备智能节能功能，自动检测当前环境是否有人，无人时自动调暗屏幕画面或黑屏:支持同时接入4个以上人体检测传感器，支持设置从无人到熄屏的时间，支持防动物误触发，支持无视频信号输入时，自动黑屏；</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以上★参数需提供首页具有“CNAS”标识的第三方权威检测报告作为证明文件。</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★所投视频控制器生产厂家具有软件过程能力及成熟度评估认证证书、智能制造能力成熟度认证证书、智能检测及修复校正技术，须提供有效期内的证书复印件做为证明文件。</w:t>
            </w:r>
          </w:p>
        </w:tc>
        <w:tc>
          <w:tcPr>
            <w:tcW w:w="723" w:type="dxa"/>
            <w:tcBorders>
              <w:top w:val="single" w:color="000000" w:sz="4" w:space="0"/>
              <w:left w:val="single" w:color="000000" w:sz="4" w:space="0"/>
              <w:bottom w:val="single" w:color="000000" w:sz="4" w:space="0"/>
              <w:right w:val="single" w:color="000000" w:sz="4" w:space="0"/>
            </w:tcBorders>
            <w:vAlign w:val="center"/>
          </w:tcPr>
          <w:p w14:paraId="2DD042F2">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723" w:type="dxa"/>
            <w:tcBorders>
              <w:top w:val="single" w:color="000000" w:sz="4" w:space="0"/>
              <w:left w:val="single" w:color="000000" w:sz="4" w:space="0"/>
              <w:bottom w:val="single" w:color="000000" w:sz="4" w:space="0"/>
              <w:right w:val="single" w:color="000000" w:sz="4" w:space="0"/>
            </w:tcBorders>
            <w:vAlign w:val="center"/>
          </w:tcPr>
          <w:p w14:paraId="4FC0544A">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r>
      <w:tr w14:paraId="5861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964"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5B66D671">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p>
        </w:tc>
        <w:tc>
          <w:tcPr>
            <w:tcW w:w="1544" w:type="dxa"/>
            <w:tcBorders>
              <w:top w:val="single" w:color="000000" w:sz="4" w:space="0"/>
              <w:left w:val="single" w:color="000000" w:sz="4" w:space="0"/>
              <w:bottom w:val="single" w:color="000000" w:sz="4" w:space="0"/>
              <w:right w:val="single" w:color="000000" w:sz="4" w:space="0"/>
            </w:tcBorders>
            <w:vAlign w:val="center"/>
          </w:tcPr>
          <w:p w14:paraId="157F15CC">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10寸全频扬声器</w:t>
            </w:r>
          </w:p>
        </w:tc>
        <w:tc>
          <w:tcPr>
            <w:tcW w:w="5506" w:type="dxa"/>
            <w:tcBorders>
              <w:top w:val="single" w:color="000000" w:sz="4" w:space="0"/>
              <w:left w:val="single" w:color="000000" w:sz="4" w:space="0"/>
              <w:bottom w:val="single" w:color="000000" w:sz="4" w:space="0"/>
              <w:right w:val="single" w:color="000000" w:sz="4" w:space="0"/>
            </w:tcBorders>
            <w:vAlign w:val="center"/>
          </w:tcPr>
          <w:p w14:paraId="2403049A">
            <w:pPr>
              <w:keepNext/>
              <w:widowControl/>
              <w:adjustRightInd/>
              <w:snapToGrid w:val="0"/>
              <w:ind w:leftChars="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1.系统类型：10英寸，2分频低频反射式</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2.额定功率：200W，最大功率：400W，峰值功率：800W；</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3.标称阻抗：8Ω；</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4.标称灵敏度（1W@1m）：94dB</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5.最大声压级（Pmax@1m）：117dB@200w(120dB@400w)</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6.频率范围(-10dB)：50Hz-20KHz</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7.频率响应(±3dB)：85Hz-20KH</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8.标称指向性（-6dB）：70°H×100°V</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9.换能器配置：低频驱动器10″×1，高频驱动器1.4″×1</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10.分频模式：被动式</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11.颜色：默认为黑色</w:t>
            </w:r>
          </w:p>
        </w:tc>
        <w:tc>
          <w:tcPr>
            <w:tcW w:w="723" w:type="dxa"/>
            <w:tcBorders>
              <w:top w:val="single" w:color="000000" w:sz="4" w:space="0"/>
              <w:left w:val="single" w:color="000000" w:sz="4" w:space="0"/>
              <w:bottom w:val="single" w:color="000000" w:sz="4" w:space="0"/>
              <w:right w:val="single" w:color="000000" w:sz="4" w:space="0"/>
            </w:tcBorders>
            <w:vAlign w:val="center"/>
          </w:tcPr>
          <w:p w14:paraId="55017DEF">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723" w:type="dxa"/>
            <w:tcBorders>
              <w:top w:val="single" w:color="000000" w:sz="4" w:space="0"/>
              <w:left w:val="single" w:color="000000" w:sz="4" w:space="0"/>
              <w:bottom w:val="single" w:color="000000" w:sz="4" w:space="0"/>
              <w:right w:val="single" w:color="000000" w:sz="4" w:space="0"/>
            </w:tcBorders>
            <w:vAlign w:val="center"/>
          </w:tcPr>
          <w:p w14:paraId="76CC8DAA">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只</w:t>
            </w:r>
          </w:p>
        </w:tc>
      </w:tr>
      <w:tr w14:paraId="6FD0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31"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5884FD9F">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1544" w:type="dxa"/>
            <w:tcBorders>
              <w:top w:val="single" w:color="000000" w:sz="4" w:space="0"/>
              <w:left w:val="single" w:color="000000" w:sz="4" w:space="0"/>
              <w:bottom w:val="single" w:color="000000" w:sz="4" w:space="0"/>
              <w:right w:val="single" w:color="000000" w:sz="4" w:space="0"/>
            </w:tcBorders>
            <w:vAlign w:val="center"/>
          </w:tcPr>
          <w:p w14:paraId="0D7D49C6">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功率放大器</w:t>
            </w:r>
          </w:p>
        </w:tc>
        <w:tc>
          <w:tcPr>
            <w:tcW w:w="5506" w:type="dxa"/>
            <w:tcBorders>
              <w:top w:val="single" w:color="000000" w:sz="4" w:space="0"/>
              <w:left w:val="single" w:color="000000" w:sz="4" w:space="0"/>
              <w:bottom w:val="single" w:color="000000" w:sz="4" w:space="0"/>
              <w:right w:val="single" w:color="000000" w:sz="4" w:space="0"/>
            </w:tcBorders>
            <w:vAlign w:val="center"/>
          </w:tcPr>
          <w:p w14:paraId="482C8FCB">
            <w:pPr>
              <w:keepNext/>
              <w:widowControl/>
              <w:adjustRightInd/>
              <w:snapToGrid w:val="0"/>
              <w:ind w:leftChars="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1、4通道功率放大器，额定功率：400W；</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2、采用进口先进磁性材料，具有很强抗磁饱和能力，输出效率高、功率大、工作稳定；</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3、整机内部采用科学空气流动的布局，高效率的铝制散热器和无极变速散热风扇保证放大器工作在较低温度；</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4、完善的保护电路保证设备的安全：包括直流输出保护、过载保护、短路保护、过热保护；</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5、采用低失真、宽频带、低噪声及削波失真限制电路设计</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采用先进的全桥开关电源系统，具有完善的保护电路；</w:t>
            </w:r>
          </w:p>
        </w:tc>
        <w:tc>
          <w:tcPr>
            <w:tcW w:w="723" w:type="dxa"/>
            <w:tcBorders>
              <w:top w:val="single" w:color="000000" w:sz="4" w:space="0"/>
              <w:left w:val="single" w:color="000000" w:sz="4" w:space="0"/>
              <w:bottom w:val="single" w:color="000000" w:sz="4" w:space="0"/>
              <w:right w:val="single" w:color="000000" w:sz="4" w:space="0"/>
            </w:tcBorders>
            <w:vAlign w:val="center"/>
          </w:tcPr>
          <w:p w14:paraId="0911E2A1">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723" w:type="dxa"/>
            <w:tcBorders>
              <w:top w:val="single" w:color="000000" w:sz="4" w:space="0"/>
              <w:left w:val="single" w:color="000000" w:sz="4" w:space="0"/>
              <w:bottom w:val="single" w:color="000000" w:sz="4" w:space="0"/>
              <w:right w:val="single" w:color="000000" w:sz="4" w:space="0"/>
            </w:tcBorders>
            <w:vAlign w:val="center"/>
          </w:tcPr>
          <w:p w14:paraId="7ADBDB35">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r>
      <w:tr w14:paraId="1790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73"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45546A52">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5</w:t>
            </w:r>
          </w:p>
        </w:tc>
        <w:tc>
          <w:tcPr>
            <w:tcW w:w="1544" w:type="dxa"/>
            <w:tcBorders>
              <w:top w:val="single" w:color="000000" w:sz="4" w:space="0"/>
              <w:left w:val="single" w:color="000000" w:sz="4" w:space="0"/>
              <w:bottom w:val="single" w:color="000000" w:sz="4" w:space="0"/>
              <w:right w:val="single" w:color="000000" w:sz="4" w:space="0"/>
            </w:tcBorders>
            <w:vAlign w:val="center"/>
          </w:tcPr>
          <w:p w14:paraId="5B55143E">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音箱壁挂架</w:t>
            </w:r>
          </w:p>
        </w:tc>
        <w:tc>
          <w:tcPr>
            <w:tcW w:w="5506" w:type="dxa"/>
            <w:tcBorders>
              <w:top w:val="single" w:color="000000" w:sz="4" w:space="0"/>
              <w:left w:val="single" w:color="000000" w:sz="4" w:space="0"/>
              <w:bottom w:val="single" w:color="000000" w:sz="4" w:space="0"/>
              <w:right w:val="single" w:color="000000" w:sz="4" w:space="0"/>
            </w:tcBorders>
            <w:vAlign w:val="center"/>
          </w:tcPr>
          <w:p w14:paraId="518A2E7D">
            <w:pPr>
              <w:keepNext/>
              <w:widowControl/>
              <w:adjustRightInd/>
              <w:snapToGrid w:val="0"/>
              <w:ind w:leftChars="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1.采用3.2mm加厚加硬钢板，用料扎实，承重力更强，单只可称重40KG；</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2.左右180度调节角度，向下60度调节角度，中间连接杆可伸缩调节；</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3.无极左右调节，始终保持音箱和视角垂直；</w:t>
            </w:r>
          </w:p>
        </w:tc>
        <w:tc>
          <w:tcPr>
            <w:tcW w:w="723" w:type="dxa"/>
            <w:tcBorders>
              <w:top w:val="single" w:color="000000" w:sz="4" w:space="0"/>
              <w:left w:val="single" w:color="000000" w:sz="4" w:space="0"/>
              <w:bottom w:val="single" w:color="000000" w:sz="4" w:space="0"/>
              <w:right w:val="single" w:color="000000" w:sz="4" w:space="0"/>
            </w:tcBorders>
            <w:vAlign w:val="center"/>
          </w:tcPr>
          <w:p w14:paraId="66558A60">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723" w:type="dxa"/>
            <w:tcBorders>
              <w:top w:val="single" w:color="000000" w:sz="4" w:space="0"/>
              <w:left w:val="single" w:color="000000" w:sz="4" w:space="0"/>
              <w:bottom w:val="single" w:color="000000" w:sz="4" w:space="0"/>
              <w:right w:val="single" w:color="000000" w:sz="4" w:space="0"/>
            </w:tcBorders>
            <w:vAlign w:val="center"/>
          </w:tcPr>
          <w:p w14:paraId="45A95DFE">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只</w:t>
            </w:r>
          </w:p>
        </w:tc>
      </w:tr>
      <w:tr w14:paraId="5418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49"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5B5CBDC8">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6</w:t>
            </w:r>
          </w:p>
        </w:tc>
        <w:tc>
          <w:tcPr>
            <w:tcW w:w="1544" w:type="dxa"/>
            <w:tcBorders>
              <w:top w:val="single" w:color="000000" w:sz="4" w:space="0"/>
              <w:left w:val="single" w:color="000000" w:sz="4" w:space="0"/>
              <w:bottom w:val="single" w:color="000000" w:sz="4" w:space="0"/>
              <w:right w:val="single" w:color="000000" w:sz="4" w:space="0"/>
            </w:tcBorders>
            <w:vAlign w:val="center"/>
          </w:tcPr>
          <w:p w14:paraId="108CB0C9">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结构框架</w:t>
            </w:r>
          </w:p>
        </w:tc>
        <w:tc>
          <w:tcPr>
            <w:tcW w:w="5506" w:type="dxa"/>
            <w:tcBorders>
              <w:top w:val="single" w:color="000000" w:sz="4" w:space="0"/>
              <w:left w:val="single" w:color="000000" w:sz="4" w:space="0"/>
              <w:bottom w:val="single" w:color="000000" w:sz="4" w:space="0"/>
              <w:right w:val="single" w:color="000000" w:sz="4" w:space="0"/>
            </w:tcBorders>
            <w:vAlign w:val="center"/>
          </w:tcPr>
          <w:p w14:paraId="77665CA3">
            <w:pPr>
              <w:keepNext/>
              <w:widowControl/>
              <w:adjustRightInd/>
              <w:snapToGrid w:val="0"/>
              <w:ind w:leftChars="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含边框尺寸：宽8.08m*高2.32m，国标方通骨架，4cm黑色包边装饰，根据现场环境定制</w:t>
            </w:r>
          </w:p>
        </w:tc>
        <w:tc>
          <w:tcPr>
            <w:tcW w:w="723" w:type="dxa"/>
            <w:tcBorders>
              <w:top w:val="single" w:color="000000" w:sz="4" w:space="0"/>
              <w:left w:val="single" w:color="000000" w:sz="4" w:space="0"/>
              <w:bottom w:val="single" w:color="000000" w:sz="4" w:space="0"/>
              <w:right w:val="single" w:color="000000" w:sz="4" w:space="0"/>
            </w:tcBorders>
            <w:vAlign w:val="center"/>
          </w:tcPr>
          <w:p w14:paraId="53375064">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723" w:type="dxa"/>
            <w:tcBorders>
              <w:top w:val="single" w:color="000000" w:sz="4" w:space="0"/>
              <w:left w:val="single" w:color="000000" w:sz="4" w:space="0"/>
              <w:bottom w:val="single" w:color="000000" w:sz="4" w:space="0"/>
              <w:right w:val="single" w:color="000000" w:sz="4" w:space="0"/>
            </w:tcBorders>
            <w:vAlign w:val="center"/>
          </w:tcPr>
          <w:p w14:paraId="391B42C8">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套</w:t>
            </w:r>
          </w:p>
        </w:tc>
      </w:tr>
      <w:tr w14:paraId="1008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91"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0BA2F1A6">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7</w:t>
            </w:r>
          </w:p>
        </w:tc>
        <w:tc>
          <w:tcPr>
            <w:tcW w:w="1544" w:type="dxa"/>
            <w:tcBorders>
              <w:top w:val="single" w:color="000000" w:sz="4" w:space="0"/>
              <w:left w:val="single" w:color="000000" w:sz="4" w:space="0"/>
              <w:bottom w:val="single" w:color="000000" w:sz="4" w:space="0"/>
              <w:right w:val="single" w:color="000000" w:sz="4" w:space="0"/>
            </w:tcBorders>
            <w:vAlign w:val="center"/>
          </w:tcPr>
          <w:p w14:paraId="5842149F">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摄像头</w:t>
            </w:r>
          </w:p>
        </w:tc>
        <w:tc>
          <w:tcPr>
            <w:tcW w:w="5506" w:type="dxa"/>
            <w:tcBorders>
              <w:top w:val="single" w:color="000000" w:sz="4" w:space="0"/>
              <w:left w:val="single" w:color="000000" w:sz="4" w:space="0"/>
              <w:bottom w:val="single" w:color="000000" w:sz="4" w:space="0"/>
              <w:right w:val="single" w:color="000000" w:sz="4" w:space="0"/>
            </w:tcBorders>
            <w:vAlign w:val="center"/>
          </w:tcPr>
          <w:p w14:paraId="6E6906FE">
            <w:pPr>
              <w:keepNext/>
              <w:widowControl/>
              <w:adjustRightInd/>
              <w:snapToGrid w:val="0"/>
              <w:ind w:leftChars="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配置2个摄像头，实现现场画面实时监控；配置1个摄像头，接入大屏系统，自动检测当前环境是否存在超温点，检测到超温点之后自动断电。</w:t>
            </w:r>
          </w:p>
        </w:tc>
        <w:tc>
          <w:tcPr>
            <w:tcW w:w="723" w:type="dxa"/>
            <w:tcBorders>
              <w:top w:val="single" w:color="000000" w:sz="4" w:space="0"/>
              <w:left w:val="single" w:color="000000" w:sz="4" w:space="0"/>
              <w:bottom w:val="single" w:color="000000" w:sz="4" w:space="0"/>
              <w:right w:val="single" w:color="000000" w:sz="4" w:space="0"/>
            </w:tcBorders>
            <w:vAlign w:val="center"/>
          </w:tcPr>
          <w:p w14:paraId="77996730">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p>
        </w:tc>
        <w:tc>
          <w:tcPr>
            <w:tcW w:w="723" w:type="dxa"/>
            <w:tcBorders>
              <w:top w:val="single" w:color="000000" w:sz="4" w:space="0"/>
              <w:left w:val="single" w:color="000000" w:sz="4" w:space="0"/>
              <w:bottom w:val="single" w:color="000000" w:sz="4" w:space="0"/>
              <w:right w:val="single" w:color="000000" w:sz="4" w:space="0"/>
            </w:tcBorders>
            <w:vAlign w:val="center"/>
          </w:tcPr>
          <w:p w14:paraId="74FFEA98">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只</w:t>
            </w:r>
          </w:p>
        </w:tc>
      </w:tr>
      <w:tr w14:paraId="1CE9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032"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6277BF4E">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8</w:t>
            </w:r>
          </w:p>
        </w:tc>
        <w:tc>
          <w:tcPr>
            <w:tcW w:w="1544" w:type="dxa"/>
            <w:tcBorders>
              <w:top w:val="single" w:color="000000" w:sz="4" w:space="0"/>
              <w:left w:val="single" w:color="000000" w:sz="4" w:space="0"/>
              <w:bottom w:val="single" w:color="000000" w:sz="4" w:space="0"/>
              <w:right w:val="single" w:color="000000" w:sz="4" w:space="0"/>
            </w:tcBorders>
            <w:vAlign w:val="center"/>
          </w:tcPr>
          <w:p w14:paraId="344BAE97">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配电箱</w:t>
            </w:r>
          </w:p>
        </w:tc>
        <w:tc>
          <w:tcPr>
            <w:tcW w:w="5506" w:type="dxa"/>
            <w:tcBorders>
              <w:top w:val="single" w:color="000000" w:sz="4" w:space="0"/>
              <w:left w:val="single" w:color="000000" w:sz="4" w:space="0"/>
              <w:bottom w:val="single" w:color="000000" w:sz="4" w:space="0"/>
              <w:right w:val="single" w:color="000000" w:sz="4" w:space="0"/>
            </w:tcBorders>
            <w:vAlign w:val="center"/>
          </w:tcPr>
          <w:p w14:paraId="32B591AA">
            <w:pPr>
              <w:keepNext/>
              <w:widowControl/>
              <w:adjustRightInd/>
              <w:snapToGrid w:val="0"/>
              <w:ind w:leftChars="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1、LED专用配电箱；2、额定功率：20千瓦，输入：三相五线制供电；3、具有PLC智能远程控制功能；4、具有高温断电、烟雾断电、故障警示功能,具有分步延时起动和分步延时断电的功能  </w:t>
            </w:r>
          </w:p>
        </w:tc>
        <w:tc>
          <w:tcPr>
            <w:tcW w:w="723" w:type="dxa"/>
            <w:tcBorders>
              <w:top w:val="single" w:color="000000" w:sz="4" w:space="0"/>
              <w:left w:val="single" w:color="000000" w:sz="4" w:space="0"/>
              <w:bottom w:val="single" w:color="000000" w:sz="4" w:space="0"/>
              <w:right w:val="single" w:color="000000" w:sz="4" w:space="0"/>
            </w:tcBorders>
            <w:vAlign w:val="center"/>
          </w:tcPr>
          <w:p w14:paraId="71688CC8">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723" w:type="dxa"/>
            <w:tcBorders>
              <w:top w:val="single" w:color="000000" w:sz="4" w:space="0"/>
              <w:left w:val="single" w:color="000000" w:sz="4" w:space="0"/>
              <w:bottom w:val="single" w:color="000000" w:sz="4" w:space="0"/>
              <w:right w:val="single" w:color="000000" w:sz="4" w:space="0"/>
            </w:tcBorders>
            <w:vAlign w:val="center"/>
          </w:tcPr>
          <w:p w14:paraId="689F8DD3">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套</w:t>
            </w:r>
          </w:p>
        </w:tc>
      </w:tr>
      <w:tr w14:paraId="6ADF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49"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0E678A3B">
            <w:pPr>
              <w:keepNext/>
              <w:widowControl/>
              <w:adjustRightInd/>
              <w:snapToGrid w:val="0"/>
              <w:ind w:leftChars="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9</w:t>
            </w:r>
          </w:p>
        </w:tc>
        <w:tc>
          <w:tcPr>
            <w:tcW w:w="1544" w:type="dxa"/>
            <w:tcBorders>
              <w:top w:val="single" w:color="000000" w:sz="4" w:space="0"/>
              <w:left w:val="single" w:color="000000" w:sz="4" w:space="0"/>
              <w:bottom w:val="single" w:color="000000" w:sz="4" w:space="0"/>
              <w:right w:val="single" w:color="000000" w:sz="4" w:space="0"/>
            </w:tcBorders>
            <w:vAlign w:val="center"/>
          </w:tcPr>
          <w:p w14:paraId="4DEB1A27">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机柜</w:t>
            </w:r>
          </w:p>
        </w:tc>
        <w:tc>
          <w:tcPr>
            <w:tcW w:w="5506" w:type="dxa"/>
            <w:tcBorders>
              <w:top w:val="single" w:color="000000" w:sz="4" w:space="0"/>
              <w:left w:val="single" w:color="000000" w:sz="4" w:space="0"/>
              <w:bottom w:val="single" w:color="000000" w:sz="4" w:space="0"/>
              <w:right w:val="single" w:color="000000" w:sz="4" w:space="0"/>
            </w:tcBorders>
            <w:vAlign w:val="center"/>
          </w:tcPr>
          <w:p w14:paraId="0181CC90">
            <w:pPr>
              <w:keepNext/>
              <w:widowControl/>
              <w:adjustRightInd/>
              <w:snapToGrid w:val="0"/>
              <w:ind w:leftChars="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600*600*1600机柜，带200V直排风扇*2个，8位10APDU排插</w:t>
            </w:r>
          </w:p>
        </w:tc>
        <w:tc>
          <w:tcPr>
            <w:tcW w:w="723" w:type="dxa"/>
            <w:tcBorders>
              <w:top w:val="single" w:color="000000" w:sz="4" w:space="0"/>
              <w:left w:val="single" w:color="000000" w:sz="4" w:space="0"/>
              <w:bottom w:val="single" w:color="000000" w:sz="4" w:space="0"/>
              <w:right w:val="single" w:color="000000" w:sz="4" w:space="0"/>
            </w:tcBorders>
            <w:vAlign w:val="center"/>
          </w:tcPr>
          <w:p w14:paraId="39C8D3D5">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723" w:type="dxa"/>
            <w:tcBorders>
              <w:top w:val="single" w:color="000000" w:sz="4" w:space="0"/>
              <w:left w:val="single" w:color="000000" w:sz="4" w:space="0"/>
              <w:bottom w:val="single" w:color="000000" w:sz="4" w:space="0"/>
              <w:right w:val="single" w:color="000000" w:sz="4" w:space="0"/>
            </w:tcBorders>
            <w:vAlign w:val="center"/>
          </w:tcPr>
          <w:p w14:paraId="05E7BB37">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套</w:t>
            </w:r>
          </w:p>
        </w:tc>
      </w:tr>
      <w:tr w14:paraId="28A5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96"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5535980D">
            <w:pPr>
              <w:keepNext/>
              <w:widowControl/>
              <w:adjustRightInd/>
              <w:snapToGrid w:val="0"/>
              <w:ind w:leftChars="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10</w:t>
            </w:r>
          </w:p>
        </w:tc>
        <w:tc>
          <w:tcPr>
            <w:tcW w:w="1544" w:type="dxa"/>
            <w:tcBorders>
              <w:top w:val="single" w:color="000000" w:sz="4" w:space="0"/>
              <w:left w:val="single" w:color="000000" w:sz="4" w:space="0"/>
              <w:bottom w:val="single" w:color="000000" w:sz="4" w:space="0"/>
              <w:right w:val="single" w:color="000000" w:sz="4" w:space="0"/>
            </w:tcBorders>
            <w:vAlign w:val="center"/>
          </w:tcPr>
          <w:p w14:paraId="3E035E89">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UPS主机</w:t>
            </w:r>
          </w:p>
        </w:tc>
        <w:tc>
          <w:tcPr>
            <w:tcW w:w="5506" w:type="dxa"/>
            <w:tcBorders>
              <w:top w:val="single" w:color="000000" w:sz="4" w:space="0"/>
              <w:left w:val="single" w:color="000000" w:sz="4" w:space="0"/>
              <w:bottom w:val="single" w:color="000000" w:sz="4" w:space="0"/>
              <w:right w:val="single" w:color="000000" w:sz="4" w:space="0"/>
            </w:tcBorders>
            <w:vAlign w:val="center"/>
          </w:tcPr>
          <w:p w14:paraId="607D9AE6">
            <w:pPr>
              <w:keepNext/>
              <w:widowControl/>
              <w:numPr>
                <w:ilvl w:val="0"/>
                <w:numId w:val="5"/>
              </w:numPr>
              <w:adjustRightInd/>
              <w:snapToGrid w:val="0"/>
              <w:ind w:leftChars="0" w:right="0"/>
              <w:jc w:val="left"/>
              <w:textAlignment w:val="center"/>
              <w:rPr>
                <w:rFonts w:hint="default" w:ascii="宋体" w:eastAsia="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rPr>
              <w:t>UPS主机容量为10kVA，单进单出在线式产品，输入电压范围：150~300V，输入频率范围46~54Hz</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2、★输入功率因数≧0.99,输出功率因数为1</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3、★输入电流谐波100%非线性负载≤3.9%</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4、★输出稳压精度：│S│≦0.7%；输出波形失真度：额定阻性负载≤0.55%，额定非线性负载≤1.44%</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在正常工作方式时，输出接阻性负载，使输出电流由零突加至额定值，再由额定值突减至零，动态电压瞬变范围应≤5%。在正常工作方式时，输出接阻性负载，使输出电流突加和突减时，输出电压有效值恢复到(220士4.4)V所经过时间应:突加≦10ms，突减≦10ms</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6、市电电池转换时间，旁路逆变转换时间为0ms</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7、UPS具备ECO功能，省电模式转换时间≤0.5ms</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8、★100%阻性负载时，UPS系统效率≧96%</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9、过载能力：输出功率为额定值的125%时，机器正常工作时间≧10min</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10.★UPS要通过有害物质的检测及达标，须提供相关认证</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★所投UPS产品具有CE认证、泰尔认证、抗震检测报告、节能认证，须提供有效期内的证书复印件做为证明文件。</w:t>
            </w:r>
          </w:p>
        </w:tc>
        <w:tc>
          <w:tcPr>
            <w:tcW w:w="723" w:type="dxa"/>
            <w:tcBorders>
              <w:top w:val="single" w:color="000000" w:sz="4" w:space="0"/>
              <w:left w:val="single" w:color="000000" w:sz="4" w:space="0"/>
              <w:bottom w:val="single" w:color="000000" w:sz="4" w:space="0"/>
              <w:right w:val="single" w:color="000000" w:sz="4" w:space="0"/>
            </w:tcBorders>
            <w:vAlign w:val="center"/>
          </w:tcPr>
          <w:p w14:paraId="6565039F">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723" w:type="dxa"/>
            <w:tcBorders>
              <w:top w:val="single" w:color="000000" w:sz="4" w:space="0"/>
              <w:left w:val="single" w:color="000000" w:sz="4" w:space="0"/>
              <w:bottom w:val="single" w:color="000000" w:sz="4" w:space="0"/>
              <w:right w:val="single" w:color="000000" w:sz="4" w:space="0"/>
            </w:tcBorders>
            <w:vAlign w:val="center"/>
          </w:tcPr>
          <w:p w14:paraId="5C7383BC">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r>
      <w:tr w14:paraId="1A6B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91"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5FFFAC45">
            <w:pPr>
              <w:keepNext/>
              <w:widowControl/>
              <w:adjustRightInd/>
              <w:snapToGrid w:val="0"/>
              <w:ind w:leftChars="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11</w:t>
            </w:r>
          </w:p>
        </w:tc>
        <w:tc>
          <w:tcPr>
            <w:tcW w:w="1544" w:type="dxa"/>
            <w:tcBorders>
              <w:top w:val="single" w:color="000000" w:sz="4" w:space="0"/>
              <w:left w:val="single" w:color="000000" w:sz="4" w:space="0"/>
              <w:bottom w:val="single" w:color="000000" w:sz="4" w:space="0"/>
              <w:right w:val="single" w:color="000000" w:sz="4" w:space="0"/>
            </w:tcBorders>
            <w:vAlign w:val="center"/>
          </w:tcPr>
          <w:p w14:paraId="2DB16CFA">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蓄电池</w:t>
            </w:r>
          </w:p>
        </w:tc>
        <w:tc>
          <w:tcPr>
            <w:tcW w:w="5506" w:type="dxa"/>
            <w:tcBorders>
              <w:top w:val="single" w:color="000000" w:sz="4" w:space="0"/>
              <w:left w:val="single" w:color="000000" w:sz="4" w:space="0"/>
              <w:bottom w:val="single" w:color="000000" w:sz="4" w:space="0"/>
              <w:right w:val="single" w:color="000000" w:sz="4" w:space="0"/>
            </w:tcBorders>
            <w:vAlign w:val="center"/>
          </w:tcPr>
          <w:p w14:paraId="71C97868">
            <w:pPr>
              <w:keepNext/>
              <w:widowControl/>
              <w:adjustRightInd/>
              <w:snapToGrid w:val="0"/>
              <w:ind w:leftChars="0" w:right="0"/>
              <w:jc w:val="left"/>
              <w:textAlignment w:val="center"/>
              <w:rPr>
                <w:rFonts w:hint="eastAsia"/>
                <w:color w:val="auto"/>
                <w:highlight w:val="none"/>
              </w:rPr>
            </w:pPr>
            <w:r>
              <w:rPr>
                <w:rFonts w:ascii="宋体" w:hAnsi="宋体" w:eastAsia="宋体" w:cs="宋体"/>
                <w:color w:val="auto"/>
                <w:sz w:val="24"/>
                <w:szCs w:val="24"/>
                <w:highlight w:val="none"/>
              </w:rPr>
              <w:t>1、12V200AH，蓄电池必须是阀控式密封铅酸蓄电池。</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2、蓄电池外观不应有裂纹、污迹及明显变形。</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3、蓄电池耐高电流能力测试，极柱及汇流排不应熔化或熔断，槽盖不应熔化或变形。</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4、容量保存率：静置28天后容量保存率应≥98.4%；密封反应效率应≥97%；</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5、安全阀要求应具有自动开启和自动关闭的功能，开阀压力和闭阀压力应满足以下要求：（1）开阀压力：10~35KPa（2）闭阀压力：3~30KPa；</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6、再充电性能：恒压充电24h的再充电能力因素Rbf24h≥94.7%。</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7、容量一致性：同组蓄电池10h率容量试验时，最大实际容量与最小实际容量差值≤4.5%。</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8、防爆性能：蓄电池在充电过程中遇有明火，内部不应引爆。</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t>9、★外壳防护等级：选用电气设备防护等级符合GB/T4208规定的IP56~IP57要求。</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10、端电压均衡性：电池间的开路电压最高与最低差值应≤22mV</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11、同组蓄电池内阻偏差应≤6.3%。</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12、封口剂性能：环境温度-30℃~+65℃之间，封口剂应无裂纹与溢流现象。</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13、★免维护蓄电池属于危化物品，在中转运输需取得符合国际及国内关于海运、公路、空运的安全运输标准.须提供相关报告证明。</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14、★蓄电池要通过有害物质的检测及达标，须提供相关认证</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★须具备内置或外接的电池监控模块，能够实时监测每节电池的电压、内阻、温度等参数，并提供集中监控接口。</w:t>
            </w:r>
          </w:p>
        </w:tc>
        <w:tc>
          <w:tcPr>
            <w:tcW w:w="723" w:type="dxa"/>
            <w:tcBorders>
              <w:top w:val="single" w:color="000000" w:sz="4" w:space="0"/>
              <w:left w:val="single" w:color="000000" w:sz="4" w:space="0"/>
              <w:bottom w:val="single" w:color="000000" w:sz="4" w:space="0"/>
              <w:right w:val="single" w:color="000000" w:sz="4" w:space="0"/>
            </w:tcBorders>
            <w:vAlign w:val="center"/>
          </w:tcPr>
          <w:p w14:paraId="0A1BD414">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rPr>
              <w:t>32</w:t>
            </w:r>
          </w:p>
        </w:tc>
        <w:tc>
          <w:tcPr>
            <w:tcW w:w="723" w:type="dxa"/>
            <w:tcBorders>
              <w:top w:val="single" w:color="000000" w:sz="4" w:space="0"/>
              <w:left w:val="single" w:color="000000" w:sz="4" w:space="0"/>
              <w:bottom w:val="single" w:color="000000" w:sz="4" w:space="0"/>
              <w:right w:val="single" w:color="000000" w:sz="4" w:space="0"/>
            </w:tcBorders>
            <w:vAlign w:val="center"/>
          </w:tcPr>
          <w:p w14:paraId="6D59752D">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节</w:t>
            </w:r>
          </w:p>
        </w:tc>
      </w:tr>
      <w:tr w14:paraId="17EA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07"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2CC6A35F">
            <w:pPr>
              <w:keepNext/>
              <w:widowControl/>
              <w:adjustRightInd/>
              <w:snapToGrid w:val="0"/>
              <w:ind w:leftChars="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12</w:t>
            </w:r>
          </w:p>
        </w:tc>
        <w:tc>
          <w:tcPr>
            <w:tcW w:w="1544" w:type="dxa"/>
            <w:tcBorders>
              <w:top w:val="single" w:color="000000" w:sz="4" w:space="0"/>
              <w:left w:val="single" w:color="000000" w:sz="4" w:space="0"/>
              <w:bottom w:val="single" w:color="000000" w:sz="4" w:space="0"/>
              <w:right w:val="single" w:color="000000" w:sz="4" w:space="0"/>
            </w:tcBorders>
            <w:vAlign w:val="center"/>
          </w:tcPr>
          <w:p w14:paraId="47E28C3B">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电池柜</w:t>
            </w:r>
          </w:p>
        </w:tc>
        <w:tc>
          <w:tcPr>
            <w:tcW w:w="5506" w:type="dxa"/>
            <w:tcBorders>
              <w:top w:val="single" w:color="000000" w:sz="4" w:space="0"/>
              <w:left w:val="single" w:color="000000" w:sz="4" w:space="0"/>
              <w:bottom w:val="single" w:color="000000" w:sz="4" w:space="0"/>
              <w:right w:val="single" w:color="000000" w:sz="4" w:space="0"/>
            </w:tcBorders>
            <w:vAlign w:val="center"/>
          </w:tcPr>
          <w:p w14:paraId="7545CBC8">
            <w:pPr>
              <w:keepNext/>
              <w:widowControl/>
              <w:adjustRightInd/>
              <w:snapToGrid w:val="0"/>
              <w:ind w:leftChars="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安装32节</w:t>
            </w:r>
            <w:r>
              <w:rPr>
                <w:rFonts w:hint="eastAsia" w:ascii="宋体" w:hAnsi="宋体" w:cs="宋体"/>
                <w:i w:val="0"/>
                <w:iCs w:val="0"/>
                <w:color w:val="auto"/>
                <w:kern w:val="0"/>
                <w:sz w:val="21"/>
                <w:szCs w:val="21"/>
                <w:highlight w:val="none"/>
                <w:u w:val="none"/>
                <w:lang w:val="en-US" w:eastAsia="zh-CN"/>
              </w:rPr>
              <w:t>12V-2</w:t>
            </w:r>
            <w:r>
              <w:rPr>
                <w:rFonts w:hint="eastAsia" w:ascii="宋体" w:hAnsi="宋体" w:eastAsia="宋体" w:cs="宋体"/>
                <w:i w:val="0"/>
                <w:iCs w:val="0"/>
                <w:color w:val="auto"/>
                <w:kern w:val="0"/>
                <w:sz w:val="21"/>
                <w:szCs w:val="21"/>
                <w:highlight w:val="none"/>
                <w:u w:val="none"/>
                <w:lang w:val="en-US" w:eastAsia="zh-CN"/>
              </w:rPr>
              <w:t>00AH铅酸电池组(含电池连接线，和空开）</w:t>
            </w:r>
          </w:p>
        </w:tc>
        <w:tc>
          <w:tcPr>
            <w:tcW w:w="723" w:type="dxa"/>
            <w:tcBorders>
              <w:top w:val="single" w:color="000000" w:sz="4" w:space="0"/>
              <w:left w:val="single" w:color="000000" w:sz="4" w:space="0"/>
              <w:bottom w:val="single" w:color="000000" w:sz="4" w:space="0"/>
              <w:right w:val="single" w:color="000000" w:sz="4" w:space="0"/>
            </w:tcBorders>
            <w:vAlign w:val="center"/>
          </w:tcPr>
          <w:p w14:paraId="7963ECE7">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723" w:type="dxa"/>
            <w:tcBorders>
              <w:top w:val="single" w:color="000000" w:sz="4" w:space="0"/>
              <w:left w:val="single" w:color="000000" w:sz="4" w:space="0"/>
              <w:bottom w:val="single" w:color="000000" w:sz="4" w:space="0"/>
              <w:right w:val="single" w:color="000000" w:sz="4" w:space="0"/>
            </w:tcBorders>
            <w:vAlign w:val="center"/>
          </w:tcPr>
          <w:p w14:paraId="4722CDBF">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套</w:t>
            </w:r>
          </w:p>
        </w:tc>
      </w:tr>
      <w:tr w14:paraId="49749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49"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24449D9D">
            <w:pPr>
              <w:keepNext/>
              <w:widowControl/>
              <w:adjustRightInd/>
              <w:snapToGrid w:val="0"/>
              <w:ind w:leftChars="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13</w:t>
            </w:r>
          </w:p>
        </w:tc>
        <w:tc>
          <w:tcPr>
            <w:tcW w:w="1544" w:type="dxa"/>
            <w:tcBorders>
              <w:top w:val="single" w:color="000000" w:sz="4" w:space="0"/>
              <w:left w:val="single" w:color="000000" w:sz="4" w:space="0"/>
              <w:bottom w:val="single" w:color="000000" w:sz="4" w:space="0"/>
              <w:right w:val="single" w:color="000000" w:sz="4" w:space="0"/>
            </w:tcBorders>
            <w:vAlign w:val="center"/>
          </w:tcPr>
          <w:p w14:paraId="30EE989B">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工控桌</w:t>
            </w:r>
          </w:p>
        </w:tc>
        <w:tc>
          <w:tcPr>
            <w:tcW w:w="5506" w:type="dxa"/>
            <w:tcBorders>
              <w:top w:val="single" w:color="000000" w:sz="4" w:space="0"/>
              <w:left w:val="single" w:color="000000" w:sz="4" w:space="0"/>
              <w:bottom w:val="single" w:color="000000" w:sz="4" w:space="0"/>
              <w:right w:val="single" w:color="000000" w:sz="4" w:space="0"/>
            </w:tcBorders>
            <w:vAlign w:val="center"/>
          </w:tcPr>
          <w:p w14:paraId="75690E9C">
            <w:pPr>
              <w:keepNext/>
              <w:widowControl/>
              <w:adjustRightInd/>
              <w:snapToGrid w:val="0"/>
              <w:ind w:leftChars="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标准工控六联桌长3600*高950*厚900mm，带柜体，板材厚度≥1.2mm，款式颜色须提供图片经比选人确定</w:t>
            </w:r>
          </w:p>
        </w:tc>
        <w:tc>
          <w:tcPr>
            <w:tcW w:w="723" w:type="dxa"/>
            <w:tcBorders>
              <w:top w:val="single" w:color="000000" w:sz="4" w:space="0"/>
              <w:left w:val="single" w:color="000000" w:sz="4" w:space="0"/>
              <w:bottom w:val="single" w:color="000000" w:sz="4" w:space="0"/>
              <w:right w:val="single" w:color="000000" w:sz="4" w:space="0"/>
            </w:tcBorders>
            <w:vAlign w:val="center"/>
          </w:tcPr>
          <w:p w14:paraId="513B9E53">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723" w:type="dxa"/>
            <w:tcBorders>
              <w:top w:val="single" w:color="000000" w:sz="4" w:space="0"/>
              <w:left w:val="single" w:color="000000" w:sz="4" w:space="0"/>
              <w:bottom w:val="single" w:color="000000" w:sz="4" w:space="0"/>
              <w:right w:val="single" w:color="000000" w:sz="4" w:space="0"/>
            </w:tcBorders>
            <w:vAlign w:val="center"/>
          </w:tcPr>
          <w:p w14:paraId="5B5BADFA">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套</w:t>
            </w:r>
          </w:p>
        </w:tc>
      </w:tr>
      <w:tr w14:paraId="26289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07"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178E1806">
            <w:pPr>
              <w:keepNext/>
              <w:widowControl/>
              <w:adjustRightInd/>
              <w:snapToGrid w:val="0"/>
              <w:ind w:leftChars="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14</w:t>
            </w:r>
          </w:p>
        </w:tc>
        <w:tc>
          <w:tcPr>
            <w:tcW w:w="1544" w:type="dxa"/>
            <w:tcBorders>
              <w:top w:val="single" w:color="000000" w:sz="4" w:space="0"/>
              <w:left w:val="single" w:color="000000" w:sz="4" w:space="0"/>
              <w:bottom w:val="single" w:color="000000" w:sz="4" w:space="0"/>
              <w:right w:val="single" w:color="000000" w:sz="4" w:space="0"/>
            </w:tcBorders>
            <w:vAlign w:val="center"/>
          </w:tcPr>
          <w:p w14:paraId="56ABA7B0">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办公椅</w:t>
            </w:r>
          </w:p>
        </w:tc>
        <w:tc>
          <w:tcPr>
            <w:tcW w:w="5506" w:type="dxa"/>
            <w:tcBorders>
              <w:top w:val="single" w:color="000000" w:sz="4" w:space="0"/>
              <w:left w:val="single" w:color="000000" w:sz="4" w:space="0"/>
              <w:bottom w:val="single" w:color="000000" w:sz="4" w:space="0"/>
              <w:right w:val="single" w:color="000000" w:sz="4" w:space="0"/>
            </w:tcBorders>
            <w:vAlign w:val="center"/>
          </w:tcPr>
          <w:p w14:paraId="64C7F255">
            <w:pPr>
              <w:keepNext/>
              <w:widowControl/>
              <w:adjustRightInd/>
              <w:snapToGrid w:val="0"/>
              <w:ind w:leftChars="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配套办公椅，加固横撑，钢制脚</w:t>
            </w:r>
          </w:p>
        </w:tc>
        <w:tc>
          <w:tcPr>
            <w:tcW w:w="723" w:type="dxa"/>
            <w:tcBorders>
              <w:top w:val="single" w:color="000000" w:sz="4" w:space="0"/>
              <w:left w:val="single" w:color="000000" w:sz="4" w:space="0"/>
              <w:bottom w:val="single" w:color="000000" w:sz="4" w:space="0"/>
              <w:right w:val="single" w:color="000000" w:sz="4" w:space="0"/>
            </w:tcBorders>
            <w:vAlign w:val="center"/>
          </w:tcPr>
          <w:p w14:paraId="380D38A6">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rPr>
              <w:t>6</w:t>
            </w:r>
          </w:p>
        </w:tc>
        <w:tc>
          <w:tcPr>
            <w:tcW w:w="723" w:type="dxa"/>
            <w:tcBorders>
              <w:top w:val="single" w:color="000000" w:sz="4" w:space="0"/>
              <w:left w:val="single" w:color="000000" w:sz="4" w:space="0"/>
              <w:bottom w:val="single" w:color="000000" w:sz="4" w:space="0"/>
              <w:right w:val="single" w:color="000000" w:sz="4" w:space="0"/>
            </w:tcBorders>
            <w:vAlign w:val="center"/>
          </w:tcPr>
          <w:p w14:paraId="0F92A97A">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张</w:t>
            </w:r>
          </w:p>
        </w:tc>
      </w:tr>
      <w:tr w14:paraId="23432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49"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618C3635">
            <w:pPr>
              <w:keepNext/>
              <w:widowControl/>
              <w:adjustRightInd/>
              <w:snapToGrid w:val="0"/>
              <w:ind w:leftChars="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15</w:t>
            </w:r>
          </w:p>
        </w:tc>
        <w:tc>
          <w:tcPr>
            <w:tcW w:w="1544" w:type="dxa"/>
            <w:tcBorders>
              <w:top w:val="single" w:color="000000" w:sz="4" w:space="0"/>
              <w:left w:val="single" w:color="000000" w:sz="4" w:space="0"/>
              <w:bottom w:val="single" w:color="000000" w:sz="4" w:space="0"/>
              <w:right w:val="single" w:color="000000" w:sz="4" w:space="0"/>
            </w:tcBorders>
            <w:vAlign w:val="center"/>
          </w:tcPr>
          <w:p w14:paraId="79D1B5AA">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坐席</w:t>
            </w:r>
          </w:p>
        </w:tc>
        <w:tc>
          <w:tcPr>
            <w:tcW w:w="5506" w:type="dxa"/>
            <w:tcBorders>
              <w:top w:val="single" w:color="000000" w:sz="4" w:space="0"/>
              <w:left w:val="single" w:color="000000" w:sz="4" w:space="0"/>
              <w:bottom w:val="single" w:color="000000" w:sz="4" w:space="0"/>
              <w:right w:val="single" w:color="000000" w:sz="4" w:space="0"/>
            </w:tcBorders>
            <w:vAlign w:val="center"/>
          </w:tcPr>
          <w:p w14:paraId="4AD96E06">
            <w:pPr>
              <w:keepNext/>
              <w:widowControl/>
              <w:adjustRightInd/>
              <w:snapToGrid w:val="0"/>
              <w:ind w:leftChars="0" w:right="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长4.8m 高0.75m*宽0.75m，不带柜体，烤漆制作工艺，款式颜色须提供图片经比选人确定</w:t>
            </w:r>
          </w:p>
        </w:tc>
        <w:tc>
          <w:tcPr>
            <w:tcW w:w="723" w:type="dxa"/>
            <w:tcBorders>
              <w:top w:val="single" w:color="000000" w:sz="4" w:space="0"/>
              <w:left w:val="single" w:color="000000" w:sz="4" w:space="0"/>
              <w:bottom w:val="single" w:color="000000" w:sz="4" w:space="0"/>
              <w:right w:val="single" w:color="000000" w:sz="4" w:space="0"/>
            </w:tcBorders>
            <w:vAlign w:val="center"/>
          </w:tcPr>
          <w:p w14:paraId="3124D179">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w:t>
            </w:r>
          </w:p>
        </w:tc>
        <w:tc>
          <w:tcPr>
            <w:tcW w:w="723" w:type="dxa"/>
            <w:tcBorders>
              <w:top w:val="single" w:color="000000" w:sz="4" w:space="0"/>
              <w:left w:val="single" w:color="000000" w:sz="4" w:space="0"/>
              <w:bottom w:val="single" w:color="000000" w:sz="4" w:space="0"/>
              <w:right w:val="single" w:color="000000" w:sz="4" w:space="0"/>
            </w:tcBorders>
            <w:vAlign w:val="center"/>
          </w:tcPr>
          <w:p w14:paraId="44C050F7">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套</w:t>
            </w:r>
          </w:p>
        </w:tc>
      </w:tr>
      <w:tr w14:paraId="6FC63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07"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55EAE93D">
            <w:pPr>
              <w:keepNext/>
              <w:widowControl/>
              <w:adjustRightInd/>
              <w:snapToGrid w:val="0"/>
              <w:ind w:leftChars="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16</w:t>
            </w:r>
          </w:p>
        </w:tc>
        <w:tc>
          <w:tcPr>
            <w:tcW w:w="1544" w:type="dxa"/>
            <w:tcBorders>
              <w:top w:val="single" w:color="000000" w:sz="4" w:space="0"/>
              <w:left w:val="single" w:color="000000" w:sz="4" w:space="0"/>
              <w:bottom w:val="single" w:color="000000" w:sz="4" w:space="0"/>
              <w:right w:val="single" w:color="000000" w:sz="4" w:space="0"/>
            </w:tcBorders>
            <w:vAlign w:val="center"/>
          </w:tcPr>
          <w:p w14:paraId="6B88866A">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椅子</w:t>
            </w:r>
          </w:p>
        </w:tc>
        <w:tc>
          <w:tcPr>
            <w:tcW w:w="5506" w:type="dxa"/>
            <w:tcBorders>
              <w:top w:val="single" w:color="000000" w:sz="4" w:space="0"/>
              <w:left w:val="single" w:color="000000" w:sz="4" w:space="0"/>
              <w:bottom w:val="single" w:color="000000" w:sz="4" w:space="0"/>
              <w:right w:val="single" w:color="000000" w:sz="4" w:space="0"/>
            </w:tcBorders>
            <w:vAlign w:val="center"/>
          </w:tcPr>
          <w:p w14:paraId="1C41C152">
            <w:pPr>
              <w:keepNext/>
              <w:widowControl/>
              <w:adjustRightInd/>
              <w:snapToGrid w:val="0"/>
              <w:ind w:leftChars="0" w:right="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高背皮椅加厚海绵款，尼龙腿，钢制脚</w:t>
            </w:r>
          </w:p>
        </w:tc>
        <w:tc>
          <w:tcPr>
            <w:tcW w:w="723" w:type="dxa"/>
            <w:tcBorders>
              <w:top w:val="single" w:color="000000" w:sz="4" w:space="0"/>
              <w:left w:val="single" w:color="000000" w:sz="4" w:space="0"/>
              <w:bottom w:val="single" w:color="000000" w:sz="4" w:space="0"/>
              <w:right w:val="single" w:color="000000" w:sz="4" w:space="0"/>
            </w:tcBorders>
            <w:vAlign w:val="center"/>
          </w:tcPr>
          <w:p w14:paraId="4ADA3A23">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10</w:t>
            </w:r>
          </w:p>
        </w:tc>
        <w:tc>
          <w:tcPr>
            <w:tcW w:w="723" w:type="dxa"/>
            <w:tcBorders>
              <w:top w:val="single" w:color="000000" w:sz="4" w:space="0"/>
              <w:left w:val="single" w:color="000000" w:sz="4" w:space="0"/>
              <w:bottom w:val="single" w:color="000000" w:sz="4" w:space="0"/>
              <w:right w:val="single" w:color="000000" w:sz="4" w:space="0"/>
            </w:tcBorders>
            <w:vAlign w:val="center"/>
          </w:tcPr>
          <w:p w14:paraId="7FD49737">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张</w:t>
            </w:r>
          </w:p>
        </w:tc>
      </w:tr>
      <w:tr w14:paraId="77AD8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515"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7527C2A2">
            <w:pPr>
              <w:keepNext/>
              <w:widowControl/>
              <w:adjustRightInd/>
              <w:snapToGrid w:val="0"/>
              <w:ind w:leftChars="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17</w:t>
            </w:r>
          </w:p>
        </w:tc>
        <w:tc>
          <w:tcPr>
            <w:tcW w:w="1544" w:type="dxa"/>
            <w:tcBorders>
              <w:top w:val="single" w:color="000000" w:sz="4" w:space="0"/>
              <w:left w:val="single" w:color="000000" w:sz="4" w:space="0"/>
              <w:bottom w:val="single" w:color="000000" w:sz="4" w:space="0"/>
              <w:right w:val="single" w:color="000000" w:sz="4" w:space="0"/>
            </w:tcBorders>
            <w:vAlign w:val="center"/>
          </w:tcPr>
          <w:p w14:paraId="34F48B05">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地毯</w:t>
            </w:r>
          </w:p>
        </w:tc>
        <w:tc>
          <w:tcPr>
            <w:tcW w:w="5506" w:type="dxa"/>
            <w:tcBorders>
              <w:top w:val="single" w:color="000000" w:sz="4" w:space="0"/>
              <w:left w:val="single" w:color="000000" w:sz="4" w:space="0"/>
              <w:bottom w:val="single" w:color="000000" w:sz="4" w:space="0"/>
              <w:right w:val="single" w:color="000000" w:sz="4" w:space="0"/>
            </w:tcBorders>
            <w:vAlign w:val="center"/>
          </w:tcPr>
          <w:p w14:paraId="6AAC504C">
            <w:pPr>
              <w:keepNext/>
              <w:widowControl/>
              <w:adjustRightInd/>
              <w:snapToGrid w:val="0"/>
              <w:ind w:left="0" w:leftChars="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1、结构类型：簇绒织造圈绒提花结构；</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2、绒面纤维：100%尼龙(含抗静电纤维，永久抗静电）；</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3、染色方法：原液染色；</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4、总厚度：6±0.5mm；绒高：4±0.5mm；</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5、规格：61cm*61cm；</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6、底背：环保PVC底；</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7、日晒色牢度：5-6级，符合QB/T2755-2005标准；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8、抗菌性能:抗菌、防螨，能有效抑制细菌、霉菌、真菌的生长；</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9、阻燃性:B1级，符合GB8624-2012标准；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10、抗静电性能指标：Ⅱ级，含抗静电纤维，永久抗静电，符合GB/T18044-2008标准；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11、环保认证：GB18587-2001A级、中国环保地毯认证、高级环保认证。</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▲供货前须提供产品第三方质量检测报告和相关认证做为合格产品证明文件；款式颜色须提供小样经比选人确定。</w:t>
            </w:r>
          </w:p>
        </w:tc>
        <w:tc>
          <w:tcPr>
            <w:tcW w:w="723" w:type="dxa"/>
            <w:tcBorders>
              <w:top w:val="single" w:color="000000" w:sz="4" w:space="0"/>
              <w:left w:val="single" w:color="000000" w:sz="4" w:space="0"/>
              <w:bottom w:val="single" w:color="000000" w:sz="4" w:space="0"/>
              <w:right w:val="single" w:color="000000" w:sz="4" w:space="0"/>
            </w:tcBorders>
            <w:vAlign w:val="center"/>
          </w:tcPr>
          <w:p w14:paraId="52861BA9">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150</w:t>
            </w:r>
          </w:p>
        </w:tc>
        <w:tc>
          <w:tcPr>
            <w:tcW w:w="723" w:type="dxa"/>
            <w:tcBorders>
              <w:top w:val="single" w:color="000000" w:sz="4" w:space="0"/>
              <w:left w:val="single" w:color="000000" w:sz="4" w:space="0"/>
              <w:bottom w:val="single" w:color="000000" w:sz="4" w:space="0"/>
              <w:right w:val="single" w:color="000000" w:sz="4" w:space="0"/>
            </w:tcBorders>
            <w:vAlign w:val="center"/>
          </w:tcPr>
          <w:p w14:paraId="222483D6">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平方</w:t>
            </w:r>
          </w:p>
        </w:tc>
      </w:tr>
      <w:tr w14:paraId="6C4BC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73"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3FF12A71">
            <w:pPr>
              <w:keepNext/>
              <w:widowControl/>
              <w:adjustRightInd/>
              <w:snapToGrid w:val="0"/>
              <w:ind w:leftChars="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18</w:t>
            </w:r>
          </w:p>
        </w:tc>
        <w:tc>
          <w:tcPr>
            <w:tcW w:w="1544" w:type="dxa"/>
            <w:tcBorders>
              <w:top w:val="single" w:color="000000" w:sz="4" w:space="0"/>
              <w:left w:val="single" w:color="000000" w:sz="4" w:space="0"/>
              <w:bottom w:val="single" w:color="000000" w:sz="4" w:space="0"/>
              <w:right w:val="single" w:color="000000" w:sz="4" w:space="0"/>
            </w:tcBorders>
            <w:vAlign w:val="center"/>
          </w:tcPr>
          <w:p w14:paraId="4729F618">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遮光布帘</w:t>
            </w:r>
          </w:p>
        </w:tc>
        <w:tc>
          <w:tcPr>
            <w:tcW w:w="5506" w:type="dxa"/>
            <w:tcBorders>
              <w:top w:val="single" w:color="000000" w:sz="4" w:space="0"/>
              <w:left w:val="single" w:color="000000" w:sz="4" w:space="0"/>
              <w:bottom w:val="single" w:color="000000" w:sz="4" w:space="0"/>
              <w:right w:val="single" w:color="000000" w:sz="4" w:space="0"/>
            </w:tcBorders>
            <w:vAlign w:val="center"/>
          </w:tcPr>
          <w:p w14:paraId="5F489F83">
            <w:pPr>
              <w:keepNext/>
              <w:widowControl/>
              <w:adjustRightInd/>
              <w:snapToGrid w:val="0"/>
              <w:ind w:left="0" w:leftChars="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1、窗帘的褶皱系数为1:2。</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2、高温记忆定型杀菌处理。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3、纤维含量:聚酯纤维≥96%;克重量≥380g/㎡</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4、甲醛含量:未检出，符合GB/T2912.1-2009标准；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5、异味:无异味;未检出可分解致癌芳香胺染料；</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6、勾丝性能:经向≤3级;纬向≤3级;</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7、汽蒸尺寸变化率:经向-1.5~+1.5:纬向:-1.5~+1.5;符合FZ/T20021-2012标准；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8、耐刷洗色牢度(刷洗50次):变色4-5级，符合GB/T420-2009标准；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9、产品燃烧性能符合公共场所阻燃织物要求，符合GB/ 20286-2006标准。</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▲供货前须提供产品第三方质量检测报告和相关认证做为合格产品证明文件；款式颜色须提供小样经比选人确定。</w:t>
            </w:r>
          </w:p>
        </w:tc>
        <w:tc>
          <w:tcPr>
            <w:tcW w:w="723" w:type="dxa"/>
            <w:tcBorders>
              <w:top w:val="single" w:color="000000" w:sz="4" w:space="0"/>
              <w:left w:val="single" w:color="000000" w:sz="4" w:space="0"/>
              <w:bottom w:val="single" w:color="000000" w:sz="4" w:space="0"/>
              <w:right w:val="single" w:color="000000" w:sz="4" w:space="0"/>
            </w:tcBorders>
            <w:vAlign w:val="center"/>
          </w:tcPr>
          <w:p w14:paraId="5176176F">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81</w:t>
            </w:r>
          </w:p>
        </w:tc>
        <w:tc>
          <w:tcPr>
            <w:tcW w:w="723" w:type="dxa"/>
            <w:tcBorders>
              <w:top w:val="single" w:color="000000" w:sz="4" w:space="0"/>
              <w:left w:val="single" w:color="000000" w:sz="4" w:space="0"/>
              <w:bottom w:val="single" w:color="000000" w:sz="4" w:space="0"/>
              <w:right w:val="single" w:color="000000" w:sz="4" w:space="0"/>
            </w:tcBorders>
            <w:vAlign w:val="center"/>
          </w:tcPr>
          <w:p w14:paraId="3DA11048">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平方</w:t>
            </w:r>
          </w:p>
        </w:tc>
      </w:tr>
      <w:tr w14:paraId="03549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91"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37D7CB71">
            <w:pPr>
              <w:keepNext/>
              <w:widowControl/>
              <w:adjustRightInd/>
              <w:snapToGrid w:val="0"/>
              <w:ind w:leftChars="0" w:right="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19</w:t>
            </w:r>
          </w:p>
        </w:tc>
        <w:tc>
          <w:tcPr>
            <w:tcW w:w="1544" w:type="dxa"/>
            <w:tcBorders>
              <w:top w:val="single" w:color="000000" w:sz="4" w:space="0"/>
              <w:left w:val="single" w:color="000000" w:sz="4" w:space="0"/>
              <w:bottom w:val="single" w:color="000000" w:sz="4" w:space="0"/>
              <w:right w:val="single" w:color="000000" w:sz="4" w:space="0"/>
            </w:tcBorders>
            <w:vAlign w:val="center"/>
          </w:tcPr>
          <w:p w14:paraId="382375D9">
            <w:pPr>
              <w:keepNext/>
              <w:widowControl/>
              <w:adjustRightInd/>
              <w:snapToGrid w:val="0"/>
              <w:ind w:left="0" w:leftChars="0" w:right="0" w:righ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通信线</w:t>
            </w:r>
          </w:p>
        </w:tc>
        <w:tc>
          <w:tcPr>
            <w:tcW w:w="5506" w:type="dxa"/>
            <w:tcBorders>
              <w:top w:val="single" w:color="000000" w:sz="4" w:space="0"/>
              <w:left w:val="single" w:color="000000" w:sz="4" w:space="0"/>
              <w:bottom w:val="single" w:color="000000" w:sz="4" w:space="0"/>
              <w:right w:val="single" w:color="000000" w:sz="4" w:space="0"/>
            </w:tcBorders>
            <w:vAlign w:val="center"/>
          </w:tcPr>
          <w:p w14:paraId="2C705EA8">
            <w:pPr>
              <w:keepNext/>
              <w:widowControl/>
              <w:adjustRightInd/>
              <w:snapToGrid w:val="0"/>
              <w:ind w:left="0" w:leftChars="0" w:right="0" w:righ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超</w:t>
            </w:r>
            <w:r>
              <w:rPr>
                <w:rFonts w:hint="eastAsia" w:ascii="宋体" w:hAnsi="宋体" w:cs="宋体"/>
                <w:i w:val="0"/>
                <w:iCs w:val="0"/>
                <w:color w:val="auto"/>
                <w:kern w:val="0"/>
                <w:sz w:val="21"/>
                <w:szCs w:val="21"/>
                <w:highlight w:val="none"/>
                <w:u w:val="none"/>
                <w:lang w:val="en-US" w:eastAsia="zh-CN"/>
              </w:rPr>
              <w:t>六</w:t>
            </w:r>
            <w:r>
              <w:rPr>
                <w:rFonts w:hint="eastAsia" w:ascii="宋体" w:hAnsi="宋体" w:eastAsia="宋体" w:cs="宋体"/>
                <w:i w:val="0"/>
                <w:iCs w:val="0"/>
                <w:color w:val="auto"/>
                <w:kern w:val="0"/>
                <w:sz w:val="21"/>
                <w:szCs w:val="21"/>
                <w:highlight w:val="none"/>
                <w:u w:val="none"/>
                <w:lang w:val="en-US" w:eastAsia="zh-CN"/>
              </w:rPr>
              <w:t>类网线，控制室</w:t>
            </w:r>
            <w:r>
              <w:rPr>
                <w:rFonts w:hint="eastAsia" w:ascii="宋体" w:hAnsi="宋体" w:cs="宋体"/>
                <w:i w:val="0"/>
                <w:iCs w:val="0"/>
                <w:color w:val="auto"/>
                <w:kern w:val="0"/>
                <w:sz w:val="21"/>
                <w:szCs w:val="21"/>
                <w:highlight w:val="none"/>
                <w:u w:val="none"/>
                <w:lang w:val="en-US" w:eastAsia="zh-CN"/>
              </w:rPr>
              <w:t>(机房)</w:t>
            </w:r>
            <w:r>
              <w:rPr>
                <w:rFonts w:hint="eastAsia" w:ascii="宋体" w:hAnsi="宋体" w:eastAsia="宋体" w:cs="宋体"/>
                <w:i w:val="0"/>
                <w:iCs w:val="0"/>
                <w:color w:val="auto"/>
                <w:kern w:val="0"/>
                <w:sz w:val="21"/>
                <w:szCs w:val="21"/>
                <w:highlight w:val="none"/>
                <w:u w:val="none"/>
                <w:lang w:val="en-US" w:eastAsia="zh-CN"/>
              </w:rPr>
              <w:t>至显示屏、工控桌等，满足所有设备所需，注意现场勘测</w:t>
            </w:r>
          </w:p>
        </w:tc>
        <w:tc>
          <w:tcPr>
            <w:tcW w:w="723" w:type="dxa"/>
            <w:tcBorders>
              <w:top w:val="single" w:color="000000" w:sz="4" w:space="0"/>
              <w:left w:val="single" w:color="000000" w:sz="4" w:space="0"/>
              <w:bottom w:val="single" w:color="000000" w:sz="4" w:space="0"/>
              <w:right w:val="single" w:color="000000" w:sz="4" w:space="0"/>
            </w:tcBorders>
            <w:vAlign w:val="center"/>
          </w:tcPr>
          <w:p w14:paraId="7B77D2F6">
            <w:pPr>
              <w:keepNext/>
              <w:widowControl/>
              <w:adjustRightInd/>
              <w:snapToGrid w:val="0"/>
              <w:ind w:left="0" w:leftChars="0" w:right="0" w:righ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723" w:type="dxa"/>
            <w:tcBorders>
              <w:top w:val="single" w:color="000000" w:sz="4" w:space="0"/>
              <w:left w:val="single" w:color="000000" w:sz="4" w:space="0"/>
              <w:bottom w:val="single" w:color="000000" w:sz="4" w:space="0"/>
              <w:right w:val="single" w:color="000000" w:sz="4" w:space="0"/>
            </w:tcBorders>
            <w:vAlign w:val="center"/>
          </w:tcPr>
          <w:p w14:paraId="530793D2">
            <w:pPr>
              <w:keepNext/>
              <w:widowControl/>
              <w:adjustRightInd/>
              <w:snapToGrid w:val="0"/>
              <w:ind w:left="0" w:leftChars="0" w:right="0" w:righ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项</w:t>
            </w:r>
          </w:p>
        </w:tc>
      </w:tr>
      <w:tr w14:paraId="0D5D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49"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E606">
            <w:pPr>
              <w:keepNext/>
              <w:widowControl/>
              <w:adjustRightInd/>
              <w:snapToGrid w:val="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20</w:t>
            </w:r>
          </w:p>
        </w:tc>
        <w:tc>
          <w:tcPr>
            <w:tcW w:w="1544" w:type="dxa"/>
            <w:tcBorders>
              <w:top w:val="single" w:color="000000" w:sz="4" w:space="0"/>
              <w:left w:val="single" w:color="000000" w:sz="4" w:space="0"/>
              <w:bottom w:val="single" w:color="000000" w:sz="4" w:space="0"/>
              <w:right w:val="single" w:color="000000" w:sz="4" w:space="0"/>
            </w:tcBorders>
            <w:vAlign w:val="center"/>
          </w:tcPr>
          <w:p w14:paraId="4EF8866A">
            <w:pPr>
              <w:keepNext/>
              <w:widowControl/>
              <w:adjustRightInd/>
              <w:snapToGrid w:val="0"/>
              <w:ind w:left="0" w:leftChars="0" w:right="0" w:righ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辅材</w:t>
            </w:r>
          </w:p>
        </w:tc>
        <w:tc>
          <w:tcPr>
            <w:tcW w:w="5506" w:type="dxa"/>
            <w:tcBorders>
              <w:top w:val="single" w:color="000000" w:sz="4" w:space="0"/>
              <w:left w:val="single" w:color="000000" w:sz="4" w:space="0"/>
              <w:bottom w:val="single" w:color="000000" w:sz="4" w:space="0"/>
              <w:right w:val="single" w:color="000000" w:sz="4" w:space="0"/>
            </w:tcBorders>
            <w:vAlign w:val="center"/>
          </w:tcPr>
          <w:p w14:paraId="4B458701">
            <w:pPr>
              <w:keepNext/>
              <w:widowControl/>
              <w:adjustRightInd/>
              <w:snapToGrid w:val="0"/>
              <w:ind w:left="0" w:leftChars="0" w:right="0" w:righ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高清线、音频线等，满足所有设备所需及现场美观性，注意现场勘测</w:t>
            </w:r>
          </w:p>
        </w:tc>
        <w:tc>
          <w:tcPr>
            <w:tcW w:w="723" w:type="dxa"/>
            <w:tcBorders>
              <w:top w:val="single" w:color="000000" w:sz="4" w:space="0"/>
              <w:left w:val="single" w:color="000000" w:sz="4" w:space="0"/>
              <w:bottom w:val="single" w:color="000000" w:sz="4" w:space="0"/>
              <w:right w:val="single" w:color="000000" w:sz="4" w:space="0"/>
            </w:tcBorders>
            <w:vAlign w:val="center"/>
          </w:tcPr>
          <w:p w14:paraId="56C565EF">
            <w:pPr>
              <w:keepNext/>
              <w:widowControl/>
              <w:adjustRightInd/>
              <w:snapToGrid w:val="0"/>
              <w:ind w:left="0" w:leftChars="0" w:right="0" w:righ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723" w:type="dxa"/>
            <w:tcBorders>
              <w:top w:val="single" w:color="000000" w:sz="4" w:space="0"/>
              <w:left w:val="single" w:color="000000" w:sz="4" w:space="0"/>
              <w:bottom w:val="single" w:color="000000" w:sz="4" w:space="0"/>
              <w:right w:val="single" w:color="000000" w:sz="4" w:space="0"/>
            </w:tcBorders>
            <w:vAlign w:val="center"/>
          </w:tcPr>
          <w:p w14:paraId="4A0A57FB">
            <w:pPr>
              <w:keepNext/>
              <w:widowControl/>
              <w:adjustRightInd/>
              <w:snapToGrid w:val="0"/>
              <w:ind w:left="0" w:leftChars="0" w:right="0" w:righ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项</w:t>
            </w:r>
          </w:p>
        </w:tc>
      </w:tr>
      <w:tr w14:paraId="6DE43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49"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C93E">
            <w:pPr>
              <w:keepNext/>
              <w:widowControl/>
              <w:adjustRightInd/>
              <w:snapToGrid w:val="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21</w:t>
            </w:r>
          </w:p>
        </w:tc>
        <w:tc>
          <w:tcPr>
            <w:tcW w:w="1544" w:type="dxa"/>
            <w:tcBorders>
              <w:top w:val="single" w:color="000000" w:sz="4" w:space="0"/>
              <w:left w:val="single" w:color="000000" w:sz="4" w:space="0"/>
              <w:bottom w:val="single" w:color="000000" w:sz="4" w:space="0"/>
              <w:right w:val="single" w:color="000000" w:sz="4" w:space="0"/>
            </w:tcBorders>
            <w:vAlign w:val="center"/>
          </w:tcPr>
          <w:p w14:paraId="48F20518">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值守电脑</w:t>
            </w:r>
          </w:p>
        </w:tc>
        <w:tc>
          <w:tcPr>
            <w:tcW w:w="5506" w:type="dxa"/>
            <w:tcBorders>
              <w:top w:val="single" w:color="000000" w:sz="4" w:space="0"/>
              <w:left w:val="single" w:color="000000" w:sz="4" w:space="0"/>
              <w:bottom w:val="single" w:color="000000" w:sz="4" w:space="0"/>
              <w:right w:val="single" w:color="000000" w:sz="4" w:space="0"/>
            </w:tcBorders>
            <w:vAlign w:val="center"/>
          </w:tcPr>
          <w:p w14:paraId="0400B5EE">
            <w:pPr>
              <w:keepNext/>
              <w:widowControl/>
              <w:adjustRightInd/>
              <w:snapToGrid w:val="0"/>
              <w:ind w:left="0" w:leftChars="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处理器：Intel酷睿i5-12400或同等性能以上</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内存：16G(DDR432008G*2)</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显卡：NVIDIAGTX20606G或同等性能以上</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硬盘：</w:t>
            </w:r>
            <w:r>
              <w:rPr>
                <w:rFonts w:hint="eastAsia" w:ascii="宋体" w:hAnsi="宋体" w:cs="宋体"/>
                <w:i w:val="0"/>
                <w:iCs w:val="0"/>
                <w:color w:val="auto"/>
                <w:kern w:val="0"/>
                <w:sz w:val="21"/>
                <w:szCs w:val="21"/>
                <w:highlight w:val="none"/>
                <w:u w:val="none"/>
                <w:lang w:val="en-US" w:eastAsia="zh-CN"/>
              </w:rPr>
              <w:t xml:space="preserve">1T </w:t>
            </w:r>
            <w:r>
              <w:rPr>
                <w:rFonts w:hint="eastAsia" w:ascii="宋体" w:hAnsi="宋体" w:eastAsia="宋体" w:cs="宋体"/>
                <w:i w:val="0"/>
                <w:iCs w:val="0"/>
                <w:color w:val="auto"/>
                <w:kern w:val="0"/>
                <w:sz w:val="21"/>
                <w:szCs w:val="21"/>
                <w:highlight w:val="none"/>
                <w:u w:val="none"/>
                <w:lang w:val="en-US" w:eastAsia="zh-CN"/>
              </w:rPr>
              <w:t>SSD</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显示器：23.8英寸，分辨率1920*1080</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音响：普通电脑音响</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操作系统：Windows10/11</w:t>
            </w:r>
            <w:r>
              <w:rPr>
                <w:rFonts w:hint="eastAsia" w:ascii="宋体" w:hAnsi="宋体" w:cs="宋体"/>
                <w:i w:val="0"/>
                <w:iCs w:val="0"/>
                <w:color w:val="auto"/>
                <w:kern w:val="0"/>
                <w:sz w:val="21"/>
                <w:szCs w:val="21"/>
                <w:highlight w:val="none"/>
                <w:u w:val="none"/>
                <w:lang w:val="en-US" w:eastAsia="zh-CN"/>
              </w:rPr>
              <w:t>，可支持国产操作系统</w:t>
            </w:r>
          </w:p>
        </w:tc>
        <w:tc>
          <w:tcPr>
            <w:tcW w:w="723" w:type="dxa"/>
            <w:tcBorders>
              <w:top w:val="single" w:color="000000" w:sz="4" w:space="0"/>
              <w:left w:val="single" w:color="000000" w:sz="4" w:space="0"/>
              <w:bottom w:val="single" w:color="000000" w:sz="4" w:space="0"/>
              <w:right w:val="single" w:color="000000" w:sz="4" w:space="0"/>
            </w:tcBorders>
            <w:vAlign w:val="center"/>
          </w:tcPr>
          <w:p w14:paraId="2BA2AFAA">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723" w:type="dxa"/>
            <w:tcBorders>
              <w:top w:val="single" w:color="000000" w:sz="4" w:space="0"/>
              <w:left w:val="single" w:color="000000" w:sz="4" w:space="0"/>
              <w:bottom w:val="single" w:color="000000" w:sz="4" w:space="0"/>
              <w:right w:val="single" w:color="000000" w:sz="4" w:space="0"/>
            </w:tcBorders>
            <w:vAlign w:val="center"/>
          </w:tcPr>
          <w:p w14:paraId="29A2C9C3">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r>
      <w:tr w14:paraId="74E22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26"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491E">
            <w:pPr>
              <w:keepNext/>
              <w:widowControl/>
              <w:adjustRightInd/>
              <w:snapToGrid w:val="0"/>
              <w:ind w:left="0" w:leftChars="0" w:right="0" w:right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22</w:t>
            </w:r>
          </w:p>
        </w:tc>
        <w:tc>
          <w:tcPr>
            <w:tcW w:w="1544" w:type="dxa"/>
            <w:tcBorders>
              <w:top w:val="single" w:color="000000" w:sz="4" w:space="0"/>
              <w:left w:val="single" w:color="000000" w:sz="4" w:space="0"/>
              <w:bottom w:val="single" w:color="000000" w:sz="4" w:space="0"/>
              <w:right w:val="single" w:color="000000" w:sz="4" w:space="0"/>
            </w:tcBorders>
            <w:vAlign w:val="center"/>
          </w:tcPr>
          <w:p w14:paraId="5AA5692F">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电话系统</w:t>
            </w:r>
          </w:p>
        </w:tc>
        <w:tc>
          <w:tcPr>
            <w:tcW w:w="5506" w:type="dxa"/>
            <w:tcBorders>
              <w:top w:val="single" w:color="000000" w:sz="4" w:space="0"/>
              <w:left w:val="single" w:color="000000" w:sz="4" w:space="0"/>
              <w:bottom w:val="single" w:color="000000" w:sz="4" w:space="0"/>
              <w:right w:val="single" w:color="000000" w:sz="4" w:space="0"/>
            </w:tcBorders>
            <w:vAlign w:val="center"/>
          </w:tcPr>
          <w:p w14:paraId="09357D8B">
            <w:pPr>
              <w:keepNext/>
              <w:widowControl/>
              <w:adjustRightInd/>
              <w:snapToGrid w:val="0"/>
              <w:ind w:left="0" w:leftChars="0" w:right="0"/>
              <w:jc w:val="lef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含一路座机电话线，配置一台程控交换机，可扩展支持多个座机分机。每个工作台配置一台电话机。</w:t>
            </w:r>
          </w:p>
        </w:tc>
        <w:tc>
          <w:tcPr>
            <w:tcW w:w="723" w:type="dxa"/>
            <w:tcBorders>
              <w:top w:val="single" w:color="000000" w:sz="4" w:space="0"/>
              <w:left w:val="single" w:color="000000" w:sz="4" w:space="0"/>
              <w:bottom w:val="single" w:color="000000" w:sz="4" w:space="0"/>
              <w:right w:val="single" w:color="000000" w:sz="4" w:space="0"/>
            </w:tcBorders>
            <w:vAlign w:val="center"/>
          </w:tcPr>
          <w:p w14:paraId="2054D128">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723" w:type="dxa"/>
            <w:tcBorders>
              <w:top w:val="single" w:color="000000" w:sz="4" w:space="0"/>
              <w:left w:val="single" w:color="000000" w:sz="4" w:space="0"/>
              <w:bottom w:val="single" w:color="000000" w:sz="4" w:space="0"/>
              <w:right w:val="single" w:color="000000" w:sz="4" w:space="0"/>
            </w:tcBorders>
            <w:vAlign w:val="center"/>
          </w:tcPr>
          <w:p w14:paraId="6581C785">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套</w:t>
            </w:r>
          </w:p>
        </w:tc>
      </w:tr>
      <w:tr w14:paraId="7797A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49"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5AF0">
            <w:pPr>
              <w:keepNext/>
              <w:widowControl/>
              <w:adjustRightInd/>
              <w:snapToGrid w:val="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23</w:t>
            </w:r>
          </w:p>
        </w:tc>
        <w:tc>
          <w:tcPr>
            <w:tcW w:w="1544" w:type="dxa"/>
            <w:tcBorders>
              <w:top w:val="single" w:color="000000" w:sz="4" w:space="0"/>
              <w:left w:val="single" w:color="000000" w:sz="4" w:space="0"/>
              <w:bottom w:val="single" w:color="000000" w:sz="4" w:space="0"/>
              <w:right w:val="single" w:color="000000" w:sz="4" w:space="0"/>
            </w:tcBorders>
            <w:vAlign w:val="center"/>
          </w:tcPr>
          <w:p w14:paraId="547C1B52">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智能语音呼叫台</w:t>
            </w:r>
          </w:p>
        </w:tc>
        <w:tc>
          <w:tcPr>
            <w:tcW w:w="5506" w:type="dxa"/>
            <w:tcBorders>
              <w:top w:val="single" w:color="000000" w:sz="4" w:space="0"/>
              <w:left w:val="single" w:color="000000" w:sz="4" w:space="0"/>
              <w:bottom w:val="single" w:color="000000" w:sz="4" w:space="0"/>
              <w:right w:val="single" w:color="000000" w:sz="4" w:space="0"/>
            </w:tcBorders>
            <w:vAlign w:val="center"/>
          </w:tcPr>
          <w:p w14:paraId="25314F16">
            <w:pPr>
              <w:keepNext/>
              <w:widowControl/>
              <w:adjustRightInd/>
              <w:snapToGrid w:val="0"/>
              <w:ind w:left="0" w:leftChars="0" w:right="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（1）具备通用数据接口，支持外设连接；</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（2）具备标准电话线路输入、输出接口；</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（3）具备标准音频接口，可连接耳麦进行通话；</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（4）具备一键快速拨号功能，支持通过软件界面快速呼叫预设号码；</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（5）具备通话录音功能，支持手动/自动录音模式，录音文件需完整清晰，支持回放与检索；</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（6）工作温度范围应满足-20℃至+60℃；</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（7）工作湿度范围应满足最高95%RH（无凝露）；</w:t>
            </w:r>
            <w:r>
              <w:rPr>
                <w:rFonts w:hint="eastAsia" w:ascii="宋体" w:hAnsi="宋体" w:eastAsia="宋体" w:cs="宋体"/>
                <w:i w:val="0"/>
                <w:iCs w:val="0"/>
                <w:color w:val="auto"/>
                <w:kern w:val="0"/>
                <w:sz w:val="21"/>
                <w:szCs w:val="21"/>
                <w:highlight w:val="none"/>
                <w:u w:val="none"/>
                <w:lang w:val="en-US" w:eastAsia="zh-CN"/>
              </w:rPr>
              <w:br w:type="textWrapping"/>
            </w:r>
            <w:r>
              <w:rPr>
                <w:rFonts w:hint="eastAsia" w:ascii="宋体" w:hAnsi="宋体" w:eastAsia="宋体" w:cs="宋体"/>
                <w:i w:val="0"/>
                <w:iCs w:val="0"/>
                <w:color w:val="auto"/>
                <w:kern w:val="0"/>
                <w:sz w:val="21"/>
                <w:szCs w:val="21"/>
                <w:highlight w:val="none"/>
                <w:u w:val="none"/>
                <w:lang w:val="en-US" w:eastAsia="zh-CN"/>
              </w:rPr>
              <w:t>（8）外壳应提供足够的物理防护与散热性能。</w:t>
            </w:r>
          </w:p>
        </w:tc>
        <w:tc>
          <w:tcPr>
            <w:tcW w:w="723" w:type="dxa"/>
            <w:tcBorders>
              <w:top w:val="single" w:color="000000" w:sz="4" w:space="0"/>
              <w:left w:val="single" w:color="000000" w:sz="4" w:space="0"/>
              <w:bottom w:val="single" w:color="000000" w:sz="4" w:space="0"/>
              <w:right w:val="single" w:color="000000" w:sz="4" w:space="0"/>
            </w:tcBorders>
            <w:vAlign w:val="center"/>
          </w:tcPr>
          <w:p w14:paraId="0A9F7AF8">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rPr>
              <w:t>1</w:t>
            </w:r>
          </w:p>
        </w:tc>
        <w:tc>
          <w:tcPr>
            <w:tcW w:w="723" w:type="dxa"/>
            <w:tcBorders>
              <w:top w:val="single" w:color="000000" w:sz="4" w:space="0"/>
              <w:left w:val="single" w:color="000000" w:sz="4" w:space="0"/>
              <w:bottom w:val="single" w:color="000000" w:sz="4" w:space="0"/>
              <w:right w:val="single" w:color="000000" w:sz="4" w:space="0"/>
            </w:tcBorders>
            <w:vAlign w:val="center"/>
          </w:tcPr>
          <w:p w14:paraId="357D60AB">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r>
      <w:tr w14:paraId="4DC60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032"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C323">
            <w:pPr>
              <w:keepNext/>
              <w:widowControl/>
              <w:adjustRightInd/>
              <w:snapToGrid w:val="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24</w:t>
            </w:r>
          </w:p>
        </w:tc>
        <w:tc>
          <w:tcPr>
            <w:tcW w:w="1544" w:type="dxa"/>
            <w:tcBorders>
              <w:top w:val="single" w:color="000000" w:sz="4" w:space="0"/>
              <w:left w:val="single" w:color="000000" w:sz="4" w:space="0"/>
              <w:bottom w:val="single" w:color="000000" w:sz="4" w:space="0"/>
              <w:right w:val="single" w:color="000000" w:sz="4" w:space="0"/>
            </w:tcBorders>
            <w:vAlign w:val="center"/>
          </w:tcPr>
          <w:p w14:paraId="0B5FECEE">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三网建设</w:t>
            </w:r>
          </w:p>
        </w:tc>
        <w:tc>
          <w:tcPr>
            <w:tcW w:w="5506" w:type="dxa"/>
            <w:tcBorders>
              <w:top w:val="single" w:color="000000" w:sz="4" w:space="0"/>
              <w:left w:val="single" w:color="000000" w:sz="4" w:space="0"/>
              <w:bottom w:val="single" w:color="000000" w:sz="4" w:space="0"/>
              <w:right w:val="single" w:color="000000" w:sz="4" w:space="0"/>
            </w:tcBorders>
            <w:vAlign w:val="center"/>
          </w:tcPr>
          <w:p w14:paraId="0EFBBB39">
            <w:pPr>
              <w:keepNext/>
              <w:widowControl/>
              <w:adjustRightInd/>
              <w:snapToGrid w:val="0"/>
              <w:ind w:leftChars="0" w:right="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千兆企业级宽带，采用多WAN口企业级路由器。需同时接入至少两路不同运营商（如中国电信、中国移动、中国联通等）宽带，并配置支持自动切换的交换机，确保网络高可用性。</w:t>
            </w:r>
          </w:p>
          <w:p w14:paraId="1DA92E0D">
            <w:pPr>
              <w:pStyle w:val="164"/>
              <w:adjustRightInd/>
              <w:snapToGrid w:val="0"/>
              <w:spacing w:after="0"/>
              <w:ind w:left="0" w:leftChars="0" w:right="0" w:firstLine="0" w:firstLineChars="0"/>
              <w:jc w:val="left"/>
              <w:rPr>
                <w:rFonts w:hint="eastAsia" w:ascii="宋体" w:hAnsi="宋体" w:eastAsia="宋体" w:cs="宋体"/>
                <w:i w:val="0"/>
                <w:iCs w:val="0"/>
                <w:color w:val="auto"/>
                <w:sz w:val="21"/>
                <w:szCs w:val="21"/>
                <w:highlight w:val="none"/>
                <w:u w:val="none"/>
              </w:rPr>
            </w:pPr>
            <w:r>
              <w:rPr>
                <w:rFonts w:hint="eastAsia" w:ascii="宋体" w:eastAsia="宋体"/>
                <w:color w:val="auto"/>
                <w:sz w:val="21"/>
                <w:szCs w:val="21"/>
                <w:highlight w:val="none"/>
                <w:lang w:val="en-US" w:eastAsia="zh-CN"/>
              </w:rPr>
              <w:t>需提供完整的网络拓扑图及安全策略。</w:t>
            </w:r>
          </w:p>
        </w:tc>
        <w:tc>
          <w:tcPr>
            <w:tcW w:w="723" w:type="dxa"/>
            <w:tcBorders>
              <w:top w:val="single" w:color="000000" w:sz="4" w:space="0"/>
              <w:left w:val="single" w:color="000000" w:sz="4" w:space="0"/>
              <w:bottom w:val="single" w:color="000000" w:sz="4" w:space="0"/>
              <w:right w:val="single" w:color="000000" w:sz="4" w:space="0"/>
            </w:tcBorders>
            <w:vAlign w:val="center"/>
          </w:tcPr>
          <w:p w14:paraId="003A97A4">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723" w:type="dxa"/>
            <w:tcBorders>
              <w:top w:val="single" w:color="000000" w:sz="4" w:space="0"/>
              <w:left w:val="single" w:color="000000" w:sz="4" w:space="0"/>
              <w:bottom w:val="single" w:color="000000" w:sz="4" w:space="0"/>
              <w:right w:val="single" w:color="000000" w:sz="4" w:space="0"/>
            </w:tcBorders>
            <w:vAlign w:val="center"/>
          </w:tcPr>
          <w:p w14:paraId="0A94BB91">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套</w:t>
            </w:r>
          </w:p>
        </w:tc>
      </w:tr>
      <w:tr w14:paraId="2DED1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73"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0B99">
            <w:pPr>
              <w:keepNext/>
              <w:widowControl/>
              <w:adjustRightInd/>
              <w:snapToGrid w:val="0"/>
              <w:ind w:left="0" w:leftChars="0" w:right="0" w:right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25</w:t>
            </w:r>
          </w:p>
        </w:tc>
        <w:tc>
          <w:tcPr>
            <w:tcW w:w="1544" w:type="dxa"/>
            <w:tcBorders>
              <w:top w:val="single" w:color="000000" w:sz="4" w:space="0"/>
              <w:left w:val="single" w:color="000000" w:sz="4" w:space="0"/>
              <w:bottom w:val="single" w:color="000000" w:sz="4" w:space="0"/>
              <w:right w:val="single" w:color="000000" w:sz="4" w:space="0"/>
            </w:tcBorders>
            <w:vAlign w:val="center"/>
          </w:tcPr>
          <w:p w14:paraId="48B8EA7B">
            <w:pPr>
              <w:keepNext/>
              <w:widowControl/>
              <w:adjustRightInd/>
              <w:snapToGrid w:val="0"/>
              <w:ind w:left="0"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云服务器租赁</w:t>
            </w:r>
          </w:p>
        </w:tc>
        <w:tc>
          <w:tcPr>
            <w:tcW w:w="5506" w:type="dxa"/>
            <w:tcBorders>
              <w:top w:val="single" w:color="000000" w:sz="4" w:space="0"/>
              <w:left w:val="single" w:color="000000" w:sz="4" w:space="0"/>
              <w:bottom w:val="single" w:color="000000" w:sz="4" w:space="0"/>
              <w:right w:val="single" w:color="000000" w:sz="4" w:space="0"/>
            </w:tcBorders>
            <w:vAlign w:val="center"/>
          </w:tcPr>
          <w:p w14:paraId="138B9860">
            <w:pPr>
              <w:keepNext/>
              <w:widowControl/>
              <w:adjustRightInd/>
              <w:snapToGrid w:val="0"/>
              <w:ind w:leftChars="0" w:right="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处理器：不小于8核</w:t>
            </w:r>
          </w:p>
          <w:p w14:paraId="704B569E">
            <w:pPr>
              <w:keepNext/>
              <w:widowControl/>
              <w:adjustRightInd/>
              <w:snapToGrid w:val="0"/>
              <w:ind w:leftChars="0" w:right="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内存：不小于16G</w:t>
            </w:r>
          </w:p>
          <w:p w14:paraId="3FA002D2">
            <w:pPr>
              <w:keepNext/>
              <w:widowControl/>
              <w:adjustRightInd/>
              <w:snapToGrid w:val="0"/>
              <w:ind w:leftChars="0" w:right="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硬盘：不小于1T</w:t>
            </w:r>
          </w:p>
          <w:p w14:paraId="2C381ACF">
            <w:pPr>
              <w:keepNext/>
              <w:widowControl/>
              <w:adjustRightInd/>
              <w:snapToGrid w:val="0"/>
              <w:ind w:leftChars="0" w:right="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网络：不小于10M带宽（可扩容）</w:t>
            </w:r>
          </w:p>
          <w:p w14:paraId="5F664709">
            <w:pPr>
              <w:keepNext/>
              <w:widowControl/>
              <w:adjustRightInd/>
              <w:snapToGrid w:val="0"/>
              <w:ind w:leftChars="0" w:right="0"/>
              <w:jc w:val="left"/>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操作系统：WindowsServer2012R2或更新版本</w:t>
            </w:r>
          </w:p>
          <w:p w14:paraId="3E693BBB">
            <w:pPr>
              <w:pStyle w:val="164"/>
              <w:adjustRightInd/>
              <w:snapToGrid w:val="0"/>
              <w:spacing w:after="0"/>
              <w:ind w:left="0" w:leftChars="0" w:right="0" w:firstLine="0" w:firstLineChars="0"/>
              <w:jc w:val="left"/>
              <w:rPr>
                <w:rFonts w:hint="eastAsia" w:ascii="宋体" w:eastAsia="宋体"/>
                <w:color w:val="auto"/>
                <w:sz w:val="21"/>
                <w:szCs w:val="21"/>
                <w:highlight w:val="none"/>
                <w:lang w:val="en-US" w:eastAsia="zh-CN"/>
              </w:rPr>
            </w:pPr>
            <w:r>
              <w:rPr>
                <w:rFonts w:hint="eastAsia" w:ascii="宋体" w:eastAsia="宋体"/>
                <w:color w:val="auto"/>
                <w:sz w:val="21"/>
                <w:szCs w:val="21"/>
                <w:highlight w:val="none"/>
                <w:lang w:val="en-US" w:eastAsia="zh-CN"/>
              </w:rPr>
              <w:t>此配置为初期支持约100家单位接入的最低要求。参选人需提供服务器配置扩容方案与报价。</w:t>
            </w:r>
          </w:p>
        </w:tc>
        <w:tc>
          <w:tcPr>
            <w:tcW w:w="723" w:type="dxa"/>
            <w:tcBorders>
              <w:top w:val="single" w:color="000000" w:sz="4" w:space="0"/>
              <w:left w:val="single" w:color="000000" w:sz="4" w:space="0"/>
              <w:bottom w:val="single" w:color="000000" w:sz="4" w:space="0"/>
              <w:right w:val="single" w:color="000000" w:sz="4" w:space="0"/>
            </w:tcBorders>
            <w:vAlign w:val="center"/>
          </w:tcPr>
          <w:p w14:paraId="41853653">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723" w:type="dxa"/>
            <w:tcBorders>
              <w:top w:val="single" w:color="000000" w:sz="4" w:space="0"/>
              <w:left w:val="single" w:color="000000" w:sz="4" w:space="0"/>
              <w:bottom w:val="single" w:color="000000" w:sz="4" w:space="0"/>
              <w:right w:val="single" w:color="000000" w:sz="4" w:space="0"/>
            </w:tcBorders>
            <w:vAlign w:val="center"/>
          </w:tcPr>
          <w:p w14:paraId="7E5A3346">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套</w:t>
            </w:r>
          </w:p>
        </w:tc>
      </w:tr>
      <w:tr w14:paraId="1F514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46"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A4B9">
            <w:pPr>
              <w:keepNext/>
              <w:widowControl/>
              <w:adjustRightInd/>
              <w:snapToGrid w:val="0"/>
              <w:ind w:left="0" w:leftChars="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26</w:t>
            </w:r>
          </w:p>
        </w:tc>
        <w:tc>
          <w:tcPr>
            <w:tcW w:w="1544" w:type="dxa"/>
            <w:tcBorders>
              <w:top w:val="single" w:color="000000" w:sz="4" w:space="0"/>
              <w:left w:val="single" w:color="000000" w:sz="4" w:space="0"/>
              <w:bottom w:val="single" w:color="000000" w:sz="4" w:space="0"/>
              <w:right w:val="single" w:color="000000" w:sz="4" w:space="0"/>
            </w:tcBorders>
            <w:vAlign w:val="center"/>
          </w:tcPr>
          <w:p w14:paraId="520E8B8F">
            <w:pPr>
              <w:keepNext/>
              <w:widowControl/>
              <w:adjustRightInd/>
              <w:snapToGrid w:val="0"/>
              <w:ind w:left="0"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综合集成</w:t>
            </w:r>
          </w:p>
        </w:tc>
        <w:tc>
          <w:tcPr>
            <w:tcW w:w="5506" w:type="dxa"/>
            <w:tcBorders>
              <w:top w:val="single" w:color="000000" w:sz="4" w:space="0"/>
              <w:left w:val="single" w:color="000000" w:sz="4" w:space="0"/>
              <w:bottom w:val="single" w:color="000000" w:sz="4" w:space="0"/>
              <w:right w:val="single" w:color="000000" w:sz="4" w:space="0"/>
            </w:tcBorders>
            <w:vAlign w:val="center"/>
          </w:tcPr>
          <w:p w14:paraId="78635BEC">
            <w:pPr>
              <w:keepNext/>
              <w:widowControl/>
              <w:adjustRightInd/>
              <w:snapToGrid w:val="0"/>
              <w:ind w:left="0" w:leftChars="0" w:right="0"/>
              <w:jc w:val="left"/>
              <w:textAlignment w:val="center"/>
              <w:rPr>
                <w:rFonts w:hint="eastAsia" w:ascii="宋体" w:eastAsia="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运输、搬运、线缆铺设、安装、调试、集成及售后服务</w:t>
            </w:r>
          </w:p>
        </w:tc>
        <w:tc>
          <w:tcPr>
            <w:tcW w:w="723" w:type="dxa"/>
            <w:tcBorders>
              <w:top w:val="single" w:color="000000" w:sz="4" w:space="0"/>
              <w:left w:val="single" w:color="000000" w:sz="4" w:space="0"/>
              <w:bottom w:val="single" w:color="000000" w:sz="4" w:space="0"/>
              <w:right w:val="single" w:color="000000" w:sz="4" w:space="0"/>
            </w:tcBorders>
            <w:vAlign w:val="center"/>
          </w:tcPr>
          <w:p w14:paraId="54D809DC">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723" w:type="dxa"/>
            <w:tcBorders>
              <w:top w:val="single" w:color="000000" w:sz="4" w:space="0"/>
              <w:left w:val="single" w:color="000000" w:sz="4" w:space="0"/>
              <w:bottom w:val="single" w:color="000000" w:sz="4" w:space="0"/>
              <w:right w:val="single" w:color="000000" w:sz="4" w:space="0"/>
            </w:tcBorders>
            <w:vAlign w:val="center"/>
          </w:tcPr>
          <w:p w14:paraId="50C1773C">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项</w:t>
            </w:r>
          </w:p>
        </w:tc>
      </w:tr>
      <w:tr w14:paraId="6680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6"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CD02">
            <w:pPr>
              <w:keepNext/>
              <w:widowControl/>
              <w:adjustRightInd/>
              <w:snapToGrid w:val="0"/>
              <w:ind w:left="0" w:leftChars="0" w:right="0" w:right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bookmarkStart w:id="84" w:name="_Toc27763"/>
            <w:bookmarkStart w:id="85" w:name="_Toc31206"/>
            <w:r>
              <w:rPr>
                <w:rFonts w:hint="eastAsia" w:ascii="宋体" w:hAnsi="宋体" w:eastAsia="宋体" w:cs="宋体"/>
                <w:i w:val="0"/>
                <w:iCs w:val="0"/>
                <w:color w:val="auto"/>
                <w:kern w:val="2"/>
                <w:sz w:val="21"/>
                <w:szCs w:val="21"/>
                <w:highlight w:val="none"/>
                <w:u w:val="none"/>
                <w:lang w:val="en-US" w:eastAsia="zh-CN" w:bidi="ar-SA"/>
              </w:rPr>
              <w:t>27</w:t>
            </w:r>
          </w:p>
        </w:tc>
        <w:tc>
          <w:tcPr>
            <w:tcW w:w="1544" w:type="dxa"/>
            <w:tcBorders>
              <w:top w:val="single" w:color="000000" w:sz="4" w:space="0"/>
              <w:left w:val="single" w:color="000000" w:sz="4" w:space="0"/>
              <w:bottom w:val="single" w:color="000000" w:sz="4" w:space="0"/>
              <w:right w:val="single" w:color="000000" w:sz="4" w:space="0"/>
            </w:tcBorders>
            <w:vAlign w:val="center"/>
          </w:tcPr>
          <w:p w14:paraId="7371BC95">
            <w:pPr>
              <w:keepNext/>
              <w:widowControl/>
              <w:adjustRightInd/>
              <w:snapToGrid w:val="0"/>
              <w:ind w:left="0" w:leftChars="0" w:right="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轻钢龙骨隔墙（2H耐火极限）</w:t>
            </w:r>
          </w:p>
        </w:tc>
        <w:tc>
          <w:tcPr>
            <w:tcW w:w="5506" w:type="dxa"/>
            <w:tcBorders>
              <w:top w:val="single" w:color="000000" w:sz="4" w:space="0"/>
              <w:left w:val="single" w:color="000000" w:sz="4" w:space="0"/>
              <w:bottom w:val="single" w:color="000000" w:sz="4" w:space="0"/>
              <w:right w:val="single" w:color="000000" w:sz="4" w:space="0"/>
            </w:tcBorders>
            <w:vAlign w:val="center"/>
          </w:tcPr>
          <w:p w14:paraId="0B189E4C">
            <w:pPr>
              <w:keepNext/>
              <w:widowControl/>
              <w:adjustRightInd/>
              <w:snapToGrid w:val="0"/>
              <w:ind w:left="0" w:leftChars="0" w:right="0" w:righ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160mm厚</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钢龙骨隔墙的龙骨规格、石膏板层数、填充岩棉要求具体详见《国家建筑标准设计图集 03J111-1 轻钢龙骨内隔墙》第15页 续表9 产品H3、H8的内容。</w:t>
            </w:r>
          </w:p>
        </w:tc>
        <w:tc>
          <w:tcPr>
            <w:tcW w:w="723" w:type="dxa"/>
            <w:tcBorders>
              <w:top w:val="single" w:color="000000" w:sz="4" w:space="0"/>
              <w:left w:val="single" w:color="000000" w:sz="4" w:space="0"/>
              <w:bottom w:val="single" w:color="000000" w:sz="4" w:space="0"/>
              <w:right w:val="single" w:color="000000" w:sz="4" w:space="0"/>
            </w:tcBorders>
            <w:vAlign w:val="center"/>
          </w:tcPr>
          <w:p w14:paraId="55C15C0C">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33.48</w:t>
            </w:r>
          </w:p>
        </w:tc>
        <w:tc>
          <w:tcPr>
            <w:tcW w:w="723" w:type="dxa"/>
            <w:tcBorders>
              <w:top w:val="single" w:color="000000" w:sz="4" w:space="0"/>
              <w:left w:val="single" w:color="000000" w:sz="4" w:space="0"/>
              <w:bottom w:val="single" w:color="000000" w:sz="4" w:space="0"/>
              <w:right w:val="single" w:color="000000" w:sz="4" w:space="0"/>
            </w:tcBorders>
            <w:vAlign w:val="center"/>
          </w:tcPr>
          <w:p w14:paraId="4018330C">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m²</w:t>
            </w:r>
          </w:p>
        </w:tc>
      </w:tr>
      <w:tr w14:paraId="04A35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6"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34F0">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28</w:t>
            </w:r>
          </w:p>
        </w:tc>
        <w:tc>
          <w:tcPr>
            <w:tcW w:w="1544" w:type="dxa"/>
            <w:tcBorders>
              <w:top w:val="single" w:color="000000" w:sz="4" w:space="0"/>
              <w:left w:val="single" w:color="000000" w:sz="4" w:space="0"/>
              <w:bottom w:val="single" w:color="000000" w:sz="4" w:space="0"/>
              <w:right w:val="single" w:color="000000" w:sz="4" w:space="0"/>
            </w:tcBorders>
            <w:vAlign w:val="center"/>
          </w:tcPr>
          <w:p w14:paraId="496F60B8">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轻钢龙骨隔墙（普通）</w:t>
            </w:r>
          </w:p>
        </w:tc>
        <w:tc>
          <w:tcPr>
            <w:tcW w:w="5506" w:type="dxa"/>
            <w:tcBorders>
              <w:top w:val="single" w:color="000000" w:sz="4" w:space="0"/>
              <w:left w:val="single" w:color="000000" w:sz="4" w:space="0"/>
              <w:bottom w:val="single" w:color="000000" w:sz="4" w:space="0"/>
              <w:right w:val="single" w:color="000000" w:sz="4" w:space="0"/>
            </w:tcBorders>
            <w:vAlign w:val="center"/>
          </w:tcPr>
          <w:p w14:paraId="735E772B">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100mm厚</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钢龙骨隔墙的龙骨规格、石膏板层数、填充岩棉要求具体详见《国家建筑标准设计图集 03J111-1 轻钢龙骨内隔墙》第15页 续表9 产品H3、H8的内容。</w:t>
            </w:r>
          </w:p>
        </w:tc>
        <w:tc>
          <w:tcPr>
            <w:tcW w:w="723" w:type="dxa"/>
            <w:tcBorders>
              <w:top w:val="single" w:color="000000" w:sz="4" w:space="0"/>
              <w:left w:val="single" w:color="000000" w:sz="4" w:space="0"/>
              <w:bottom w:val="single" w:color="000000" w:sz="4" w:space="0"/>
              <w:right w:val="single" w:color="000000" w:sz="4" w:space="0"/>
            </w:tcBorders>
            <w:vAlign w:val="center"/>
          </w:tcPr>
          <w:p w14:paraId="1B571466">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16.92</w:t>
            </w:r>
          </w:p>
        </w:tc>
        <w:tc>
          <w:tcPr>
            <w:tcW w:w="723" w:type="dxa"/>
            <w:tcBorders>
              <w:top w:val="single" w:color="000000" w:sz="4" w:space="0"/>
              <w:left w:val="single" w:color="000000" w:sz="4" w:space="0"/>
              <w:bottom w:val="single" w:color="000000" w:sz="4" w:space="0"/>
              <w:right w:val="single" w:color="000000" w:sz="4" w:space="0"/>
            </w:tcBorders>
            <w:vAlign w:val="center"/>
          </w:tcPr>
          <w:p w14:paraId="60C25754">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m²</w:t>
            </w:r>
          </w:p>
        </w:tc>
      </w:tr>
      <w:tr w14:paraId="6EDE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6"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7A88">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rPr>
              <w:t>29</w:t>
            </w:r>
          </w:p>
        </w:tc>
        <w:tc>
          <w:tcPr>
            <w:tcW w:w="1544" w:type="dxa"/>
            <w:tcBorders>
              <w:top w:val="single" w:color="000000" w:sz="4" w:space="0"/>
              <w:left w:val="single" w:color="000000" w:sz="4" w:space="0"/>
              <w:bottom w:val="single" w:color="000000" w:sz="4" w:space="0"/>
              <w:right w:val="single" w:color="000000" w:sz="4" w:space="0"/>
            </w:tcBorders>
            <w:vAlign w:val="center"/>
          </w:tcPr>
          <w:p w14:paraId="6855C29D">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防火门</w:t>
            </w:r>
          </w:p>
        </w:tc>
        <w:tc>
          <w:tcPr>
            <w:tcW w:w="5506" w:type="dxa"/>
            <w:tcBorders>
              <w:top w:val="single" w:color="000000" w:sz="4" w:space="0"/>
              <w:left w:val="single" w:color="000000" w:sz="4" w:space="0"/>
              <w:bottom w:val="single" w:color="000000" w:sz="4" w:space="0"/>
              <w:right w:val="single" w:color="000000" w:sz="4" w:space="0"/>
            </w:tcBorders>
            <w:vAlign w:val="center"/>
          </w:tcPr>
          <w:p w14:paraId="7DDA35BF">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FM乙1021</w:t>
            </w:r>
            <w:r>
              <w:rPr>
                <w:rFonts w:hint="eastAsia" w:ascii="宋体" w:hAnsi="宋体" w:cs="宋体"/>
                <w:i w:val="0"/>
                <w:iCs w:val="0"/>
                <w:color w:val="auto"/>
                <w:kern w:val="0"/>
                <w:sz w:val="21"/>
                <w:szCs w:val="21"/>
                <w:highlight w:val="none"/>
                <w:u w:val="none"/>
                <w:lang w:val="en-US" w:eastAsia="zh-CN"/>
              </w:rPr>
              <w:t>钢制防火门，白色</w:t>
            </w:r>
          </w:p>
        </w:tc>
        <w:tc>
          <w:tcPr>
            <w:tcW w:w="723" w:type="dxa"/>
            <w:tcBorders>
              <w:top w:val="single" w:color="000000" w:sz="4" w:space="0"/>
              <w:left w:val="single" w:color="000000" w:sz="4" w:space="0"/>
              <w:bottom w:val="single" w:color="000000" w:sz="4" w:space="0"/>
              <w:right w:val="single" w:color="000000" w:sz="4" w:space="0"/>
            </w:tcBorders>
            <w:vAlign w:val="center"/>
          </w:tcPr>
          <w:p w14:paraId="7AC72D6B">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723" w:type="dxa"/>
            <w:tcBorders>
              <w:top w:val="single" w:color="000000" w:sz="4" w:space="0"/>
              <w:left w:val="single" w:color="000000" w:sz="4" w:space="0"/>
              <w:bottom w:val="single" w:color="000000" w:sz="4" w:space="0"/>
              <w:right w:val="single" w:color="000000" w:sz="4" w:space="0"/>
            </w:tcBorders>
            <w:vAlign w:val="center"/>
          </w:tcPr>
          <w:p w14:paraId="14B68F68">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樘</w:t>
            </w:r>
          </w:p>
        </w:tc>
      </w:tr>
      <w:tr w14:paraId="5417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6"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8F9E">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rPr>
              <w:t>30</w:t>
            </w:r>
          </w:p>
        </w:tc>
        <w:tc>
          <w:tcPr>
            <w:tcW w:w="1544" w:type="dxa"/>
            <w:tcBorders>
              <w:top w:val="single" w:color="000000" w:sz="4" w:space="0"/>
              <w:left w:val="single" w:color="000000" w:sz="4" w:space="0"/>
              <w:bottom w:val="single" w:color="000000" w:sz="4" w:space="0"/>
              <w:right w:val="single" w:color="000000" w:sz="4" w:space="0"/>
            </w:tcBorders>
            <w:vAlign w:val="center"/>
          </w:tcPr>
          <w:p w14:paraId="0F488B03">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不锈钢踢脚</w:t>
            </w:r>
          </w:p>
        </w:tc>
        <w:tc>
          <w:tcPr>
            <w:tcW w:w="5506" w:type="dxa"/>
            <w:tcBorders>
              <w:top w:val="single" w:color="000000" w:sz="4" w:space="0"/>
              <w:left w:val="single" w:color="000000" w:sz="4" w:space="0"/>
              <w:bottom w:val="single" w:color="000000" w:sz="4" w:space="0"/>
              <w:right w:val="single" w:color="000000" w:sz="4" w:space="0"/>
            </w:tcBorders>
            <w:vAlign w:val="center"/>
          </w:tcPr>
          <w:p w14:paraId="60736FC6">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50mm高</w:t>
            </w:r>
          </w:p>
        </w:tc>
        <w:tc>
          <w:tcPr>
            <w:tcW w:w="723" w:type="dxa"/>
            <w:tcBorders>
              <w:top w:val="single" w:color="000000" w:sz="4" w:space="0"/>
              <w:left w:val="single" w:color="000000" w:sz="4" w:space="0"/>
              <w:bottom w:val="single" w:color="000000" w:sz="4" w:space="0"/>
              <w:right w:val="single" w:color="000000" w:sz="4" w:space="0"/>
            </w:tcBorders>
            <w:vAlign w:val="center"/>
          </w:tcPr>
          <w:p w14:paraId="656E5AAD">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42</w:t>
            </w:r>
          </w:p>
        </w:tc>
        <w:tc>
          <w:tcPr>
            <w:tcW w:w="723" w:type="dxa"/>
            <w:tcBorders>
              <w:top w:val="single" w:color="000000" w:sz="4" w:space="0"/>
              <w:left w:val="single" w:color="000000" w:sz="4" w:space="0"/>
              <w:bottom w:val="single" w:color="000000" w:sz="4" w:space="0"/>
              <w:right w:val="single" w:color="000000" w:sz="4" w:space="0"/>
            </w:tcBorders>
            <w:vAlign w:val="center"/>
          </w:tcPr>
          <w:p w14:paraId="75877F58">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m</w:t>
            </w:r>
          </w:p>
        </w:tc>
      </w:tr>
      <w:tr w14:paraId="20A0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6"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2B9FCC74">
            <w:pPr>
              <w:keepNext/>
              <w:widowControl/>
              <w:adjustRightInd/>
              <w:snapToGrid w:val="0"/>
              <w:ind w:leftChars="0" w:right="0"/>
              <w:jc w:val="center"/>
              <w:textAlignment w:val="center"/>
              <w:rPr>
                <w:rFonts w:hint="default" w:ascii="宋体" w:hAnsi="宋体" w:eastAsia="宋体" w:cs="宋体"/>
                <w:i w:val="0"/>
                <w:iCs w:val="0"/>
                <w:strike w:val="0"/>
                <w:dstrike w:val="0"/>
                <w:color w:val="auto"/>
                <w:kern w:val="0"/>
                <w:sz w:val="21"/>
                <w:szCs w:val="21"/>
                <w:highlight w:val="none"/>
                <w:u w:val="none"/>
                <w:lang w:val="en-US" w:eastAsia="zh-CN"/>
              </w:rPr>
            </w:pPr>
            <w:r>
              <w:rPr>
                <w:rFonts w:hint="eastAsia" w:ascii="宋体" w:hAnsi="宋体" w:cs="宋体"/>
                <w:i w:val="0"/>
                <w:iCs w:val="0"/>
                <w:strike w:val="0"/>
                <w:dstrike w:val="0"/>
                <w:color w:val="auto"/>
                <w:kern w:val="0"/>
                <w:sz w:val="21"/>
                <w:szCs w:val="21"/>
                <w:highlight w:val="none"/>
                <w:u w:val="none"/>
                <w:lang w:val="en-US" w:eastAsia="zh-CN"/>
              </w:rPr>
              <w:t>31</w:t>
            </w:r>
          </w:p>
        </w:tc>
        <w:tc>
          <w:tcPr>
            <w:tcW w:w="1544" w:type="dxa"/>
            <w:tcBorders>
              <w:top w:val="single" w:color="000000" w:sz="4" w:space="0"/>
              <w:left w:val="single" w:color="000000" w:sz="4" w:space="0"/>
              <w:bottom w:val="single" w:color="000000" w:sz="4" w:space="0"/>
              <w:right w:val="single" w:color="000000" w:sz="4" w:space="0"/>
            </w:tcBorders>
            <w:vAlign w:val="center"/>
          </w:tcPr>
          <w:p w14:paraId="697DC868">
            <w:pPr>
              <w:keepNext/>
              <w:widowControl/>
              <w:adjustRightInd/>
              <w:snapToGrid w:val="0"/>
              <w:ind w:leftChars="0" w:right="0"/>
              <w:jc w:val="center"/>
              <w:textAlignment w:val="center"/>
              <w:rPr>
                <w:rFonts w:hint="eastAsia" w:ascii="宋体" w:hAnsi="宋体" w:eastAsia="宋体" w:cs="宋体"/>
                <w:i w:val="0"/>
                <w:iCs w:val="0"/>
                <w:strike w:val="0"/>
                <w:dstrike w:val="0"/>
                <w:color w:val="auto"/>
                <w:kern w:val="0"/>
                <w:sz w:val="21"/>
                <w:szCs w:val="21"/>
                <w:highlight w:val="none"/>
                <w:u w:val="none"/>
                <w:lang w:val="en-US" w:eastAsia="zh-CN"/>
              </w:rPr>
            </w:pPr>
            <w:r>
              <w:rPr>
                <w:rFonts w:hint="eastAsia" w:ascii="宋体" w:hAnsi="宋体" w:eastAsia="宋体" w:cs="宋体"/>
                <w:i w:val="0"/>
                <w:iCs w:val="0"/>
                <w:strike w:val="0"/>
                <w:dstrike w:val="0"/>
                <w:color w:val="auto"/>
                <w:kern w:val="0"/>
                <w:sz w:val="21"/>
                <w:szCs w:val="21"/>
                <w:highlight w:val="none"/>
                <w:u w:val="none"/>
                <w:lang w:val="en-US" w:eastAsia="zh-CN"/>
              </w:rPr>
              <w:t>低压配电箱</w:t>
            </w:r>
          </w:p>
        </w:tc>
        <w:tc>
          <w:tcPr>
            <w:tcW w:w="5506" w:type="dxa"/>
            <w:tcBorders>
              <w:top w:val="single" w:color="000000" w:sz="4" w:space="0"/>
              <w:left w:val="single" w:color="000000" w:sz="4" w:space="0"/>
              <w:bottom w:val="single" w:color="000000" w:sz="4" w:space="0"/>
              <w:right w:val="single" w:color="000000" w:sz="4" w:space="0"/>
            </w:tcBorders>
            <w:vAlign w:val="center"/>
          </w:tcPr>
          <w:p w14:paraId="3015CAD4">
            <w:pPr>
              <w:keepNext/>
              <w:widowControl/>
              <w:adjustRightInd/>
              <w:snapToGrid w:val="0"/>
              <w:ind w:leftChars="0" w:right="0"/>
              <w:jc w:val="center"/>
              <w:textAlignment w:val="center"/>
              <w:rPr>
                <w:rFonts w:hint="eastAsia" w:ascii="宋体" w:hAnsi="宋体" w:eastAsia="宋体" w:cs="宋体"/>
                <w:i w:val="0"/>
                <w:iCs w:val="0"/>
                <w:strike w:val="0"/>
                <w:dstrike w:val="0"/>
                <w:color w:val="auto"/>
                <w:kern w:val="0"/>
                <w:sz w:val="21"/>
                <w:szCs w:val="21"/>
                <w:highlight w:val="none"/>
                <w:u w:val="none"/>
                <w:lang w:val="en-US" w:eastAsia="zh-CN"/>
              </w:rPr>
            </w:pPr>
            <w:r>
              <w:rPr>
                <w:rFonts w:hint="eastAsia" w:ascii="宋体" w:hAnsi="宋体" w:eastAsia="宋体" w:cs="宋体"/>
                <w:i w:val="0"/>
                <w:iCs w:val="0"/>
                <w:strike w:val="0"/>
                <w:dstrike w:val="0"/>
                <w:color w:val="auto"/>
                <w:kern w:val="0"/>
                <w:sz w:val="21"/>
                <w:szCs w:val="21"/>
                <w:highlight w:val="none"/>
                <w:u w:val="none"/>
                <w:lang w:val="en-US" w:eastAsia="zh-CN"/>
              </w:rPr>
              <w:t>1、220/380V交流配电箱；2、额定功率：50千瓦，输入：三相五线制供电，馈出8回路；3、具有PLC智能远程控制及计量功能；4、具有分步延时起动和分步延时断电的功能 。</w:t>
            </w:r>
          </w:p>
        </w:tc>
        <w:tc>
          <w:tcPr>
            <w:tcW w:w="723" w:type="dxa"/>
            <w:tcBorders>
              <w:top w:val="single" w:color="000000" w:sz="4" w:space="0"/>
              <w:left w:val="single" w:color="000000" w:sz="4" w:space="0"/>
              <w:bottom w:val="single" w:color="000000" w:sz="4" w:space="0"/>
              <w:right w:val="single" w:color="000000" w:sz="4" w:space="0"/>
            </w:tcBorders>
            <w:vAlign w:val="center"/>
          </w:tcPr>
          <w:p w14:paraId="24DF08B8">
            <w:pPr>
              <w:keepNext/>
              <w:widowControl/>
              <w:adjustRightInd/>
              <w:snapToGrid w:val="0"/>
              <w:ind w:leftChars="0" w:right="0"/>
              <w:jc w:val="center"/>
              <w:textAlignment w:val="center"/>
              <w:rPr>
                <w:rFonts w:hint="eastAsia" w:ascii="宋体" w:hAnsi="宋体" w:eastAsia="宋体" w:cs="宋体"/>
                <w:i w:val="0"/>
                <w:iCs w:val="0"/>
                <w:strike w:val="0"/>
                <w:dstrike w:val="0"/>
                <w:color w:val="auto"/>
                <w:kern w:val="0"/>
                <w:sz w:val="21"/>
                <w:szCs w:val="21"/>
                <w:highlight w:val="none"/>
                <w:u w:val="none"/>
                <w:lang w:val="en-US" w:eastAsia="zh-CN"/>
              </w:rPr>
            </w:pPr>
            <w:r>
              <w:rPr>
                <w:rFonts w:hint="eastAsia" w:ascii="宋体" w:hAnsi="宋体" w:eastAsia="宋体" w:cs="宋体"/>
                <w:i w:val="0"/>
                <w:iCs w:val="0"/>
                <w:strike w:val="0"/>
                <w:dstrike w:val="0"/>
                <w:color w:val="auto"/>
                <w:kern w:val="0"/>
                <w:sz w:val="21"/>
                <w:szCs w:val="21"/>
                <w:highlight w:val="none"/>
                <w:u w:val="none"/>
                <w:lang w:val="en-US" w:eastAsia="zh-CN"/>
              </w:rPr>
              <w:t>1</w:t>
            </w:r>
          </w:p>
        </w:tc>
        <w:tc>
          <w:tcPr>
            <w:tcW w:w="723" w:type="dxa"/>
            <w:tcBorders>
              <w:top w:val="single" w:color="000000" w:sz="4" w:space="0"/>
              <w:left w:val="single" w:color="000000" w:sz="4" w:space="0"/>
              <w:bottom w:val="single" w:color="000000" w:sz="4" w:space="0"/>
              <w:right w:val="single" w:color="000000" w:sz="4" w:space="0"/>
            </w:tcBorders>
            <w:vAlign w:val="center"/>
          </w:tcPr>
          <w:p w14:paraId="1F6822DC">
            <w:pPr>
              <w:keepNext/>
              <w:widowControl/>
              <w:adjustRightInd/>
              <w:snapToGrid w:val="0"/>
              <w:ind w:leftChars="0" w:right="0"/>
              <w:jc w:val="center"/>
              <w:textAlignment w:val="center"/>
              <w:rPr>
                <w:rFonts w:hint="eastAsia" w:ascii="宋体" w:hAnsi="宋体" w:eastAsia="宋体" w:cs="宋体"/>
                <w:i w:val="0"/>
                <w:iCs w:val="0"/>
                <w:strike w:val="0"/>
                <w:dstrike w:val="0"/>
                <w:color w:val="auto"/>
                <w:kern w:val="0"/>
                <w:sz w:val="21"/>
                <w:szCs w:val="21"/>
                <w:highlight w:val="none"/>
                <w:u w:val="none"/>
                <w:lang w:val="en-US" w:eastAsia="zh-CN"/>
              </w:rPr>
            </w:pPr>
            <w:r>
              <w:rPr>
                <w:rFonts w:hint="eastAsia" w:ascii="宋体" w:hAnsi="宋体" w:eastAsia="宋体" w:cs="宋体"/>
                <w:i w:val="0"/>
                <w:iCs w:val="0"/>
                <w:strike w:val="0"/>
                <w:dstrike w:val="0"/>
                <w:color w:val="auto"/>
                <w:kern w:val="0"/>
                <w:sz w:val="21"/>
                <w:szCs w:val="21"/>
                <w:highlight w:val="none"/>
                <w:u w:val="none"/>
                <w:lang w:val="en-US" w:eastAsia="zh-CN"/>
              </w:rPr>
              <w:t>套</w:t>
            </w:r>
          </w:p>
        </w:tc>
      </w:tr>
      <w:tr w14:paraId="61228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6"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44AE8CD0">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32</w:t>
            </w:r>
          </w:p>
        </w:tc>
        <w:tc>
          <w:tcPr>
            <w:tcW w:w="1544" w:type="dxa"/>
            <w:tcBorders>
              <w:top w:val="single" w:color="000000" w:sz="4" w:space="0"/>
              <w:left w:val="single" w:color="000000" w:sz="4" w:space="0"/>
              <w:bottom w:val="single" w:color="000000" w:sz="4" w:space="0"/>
              <w:right w:val="single" w:color="000000" w:sz="4" w:space="0"/>
            </w:tcBorders>
            <w:vAlign w:val="center"/>
          </w:tcPr>
          <w:p w14:paraId="5A09893C">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耐火电缆</w:t>
            </w:r>
          </w:p>
        </w:tc>
        <w:tc>
          <w:tcPr>
            <w:tcW w:w="5506" w:type="dxa"/>
            <w:tcBorders>
              <w:top w:val="single" w:color="000000" w:sz="4" w:space="0"/>
              <w:left w:val="single" w:color="000000" w:sz="4" w:space="0"/>
              <w:bottom w:val="single" w:color="000000" w:sz="4" w:space="0"/>
              <w:right w:val="single" w:color="000000" w:sz="4" w:space="0"/>
            </w:tcBorders>
            <w:vAlign w:val="center"/>
          </w:tcPr>
          <w:p w14:paraId="31CB0F7B">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强电间至机房UPS</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WDZAN-YJY-0.6/1.0-5*10</w:t>
            </w:r>
          </w:p>
        </w:tc>
        <w:tc>
          <w:tcPr>
            <w:tcW w:w="723" w:type="dxa"/>
            <w:tcBorders>
              <w:top w:val="single" w:color="000000" w:sz="4" w:space="0"/>
              <w:left w:val="single" w:color="000000" w:sz="4" w:space="0"/>
              <w:bottom w:val="single" w:color="000000" w:sz="4" w:space="0"/>
              <w:right w:val="single" w:color="000000" w:sz="4" w:space="0"/>
            </w:tcBorders>
            <w:vAlign w:val="center"/>
          </w:tcPr>
          <w:p w14:paraId="75635B56">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50</w:t>
            </w:r>
          </w:p>
        </w:tc>
        <w:tc>
          <w:tcPr>
            <w:tcW w:w="723" w:type="dxa"/>
            <w:tcBorders>
              <w:top w:val="single" w:color="000000" w:sz="4" w:space="0"/>
              <w:left w:val="single" w:color="000000" w:sz="4" w:space="0"/>
              <w:bottom w:val="single" w:color="000000" w:sz="4" w:space="0"/>
              <w:right w:val="single" w:color="000000" w:sz="4" w:space="0"/>
            </w:tcBorders>
            <w:vAlign w:val="center"/>
          </w:tcPr>
          <w:p w14:paraId="02E6BDF1">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米</w:t>
            </w:r>
          </w:p>
        </w:tc>
      </w:tr>
      <w:tr w14:paraId="1E8EB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6"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4043C021">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33</w:t>
            </w:r>
          </w:p>
        </w:tc>
        <w:tc>
          <w:tcPr>
            <w:tcW w:w="1544" w:type="dxa"/>
            <w:tcBorders>
              <w:top w:val="single" w:color="000000" w:sz="4" w:space="0"/>
              <w:left w:val="single" w:color="000000" w:sz="4" w:space="0"/>
              <w:bottom w:val="single" w:color="000000" w:sz="4" w:space="0"/>
              <w:right w:val="single" w:color="000000" w:sz="4" w:space="0"/>
            </w:tcBorders>
            <w:vAlign w:val="center"/>
          </w:tcPr>
          <w:p w14:paraId="4C69EDEF">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阻燃电缆</w:t>
            </w:r>
          </w:p>
        </w:tc>
        <w:tc>
          <w:tcPr>
            <w:tcW w:w="5506" w:type="dxa"/>
            <w:tcBorders>
              <w:top w:val="single" w:color="000000" w:sz="4" w:space="0"/>
              <w:left w:val="single" w:color="000000" w:sz="4" w:space="0"/>
              <w:bottom w:val="single" w:color="000000" w:sz="4" w:space="0"/>
              <w:right w:val="single" w:color="000000" w:sz="4" w:space="0"/>
            </w:tcBorders>
            <w:vAlign w:val="center"/>
          </w:tcPr>
          <w:p w14:paraId="5F8736E8">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变电所至机房总箱</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WDZA-YJY-0.6/1.0-4*25+1*16</w:t>
            </w:r>
          </w:p>
        </w:tc>
        <w:tc>
          <w:tcPr>
            <w:tcW w:w="723" w:type="dxa"/>
            <w:tcBorders>
              <w:top w:val="single" w:color="000000" w:sz="4" w:space="0"/>
              <w:left w:val="single" w:color="000000" w:sz="4" w:space="0"/>
              <w:bottom w:val="single" w:color="000000" w:sz="4" w:space="0"/>
              <w:right w:val="single" w:color="000000" w:sz="4" w:space="0"/>
            </w:tcBorders>
            <w:vAlign w:val="center"/>
          </w:tcPr>
          <w:p w14:paraId="1E0EB00E">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110</w:t>
            </w:r>
          </w:p>
        </w:tc>
        <w:tc>
          <w:tcPr>
            <w:tcW w:w="723" w:type="dxa"/>
            <w:tcBorders>
              <w:top w:val="single" w:color="000000" w:sz="4" w:space="0"/>
              <w:left w:val="single" w:color="000000" w:sz="4" w:space="0"/>
              <w:bottom w:val="single" w:color="000000" w:sz="4" w:space="0"/>
              <w:right w:val="single" w:color="000000" w:sz="4" w:space="0"/>
            </w:tcBorders>
            <w:vAlign w:val="center"/>
          </w:tcPr>
          <w:p w14:paraId="0A5AF163">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米</w:t>
            </w:r>
          </w:p>
        </w:tc>
      </w:tr>
      <w:tr w14:paraId="06D90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6"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6B4FBA48">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34</w:t>
            </w:r>
          </w:p>
        </w:tc>
        <w:tc>
          <w:tcPr>
            <w:tcW w:w="1544" w:type="dxa"/>
            <w:tcBorders>
              <w:top w:val="single" w:color="000000" w:sz="4" w:space="0"/>
              <w:left w:val="single" w:color="000000" w:sz="4" w:space="0"/>
              <w:bottom w:val="single" w:color="000000" w:sz="4" w:space="0"/>
              <w:right w:val="single" w:color="000000" w:sz="4" w:space="0"/>
            </w:tcBorders>
            <w:vAlign w:val="center"/>
          </w:tcPr>
          <w:p w14:paraId="196E54E4">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阻燃电缆</w:t>
            </w:r>
          </w:p>
        </w:tc>
        <w:tc>
          <w:tcPr>
            <w:tcW w:w="5506" w:type="dxa"/>
            <w:tcBorders>
              <w:top w:val="single" w:color="000000" w:sz="4" w:space="0"/>
              <w:left w:val="single" w:color="000000" w:sz="4" w:space="0"/>
              <w:bottom w:val="single" w:color="000000" w:sz="4" w:space="0"/>
              <w:right w:val="single" w:color="000000" w:sz="4" w:space="0"/>
            </w:tcBorders>
            <w:vAlign w:val="center"/>
          </w:tcPr>
          <w:p w14:paraId="70D9FC21">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机房至LED配电箱</w:t>
            </w:r>
            <w:r>
              <w:rPr>
                <w:rFonts w:hint="eastAsia" w:ascii="宋体" w:hAnsi="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1"/>
                <w:szCs w:val="21"/>
                <w:highlight w:val="none"/>
                <w:u w:val="none"/>
                <w:lang w:val="en-US" w:eastAsia="zh-CN"/>
              </w:rPr>
              <w:t>WDZA-YJY-0.6/1.0-5*16</w:t>
            </w:r>
          </w:p>
        </w:tc>
        <w:tc>
          <w:tcPr>
            <w:tcW w:w="723" w:type="dxa"/>
            <w:tcBorders>
              <w:top w:val="single" w:color="000000" w:sz="4" w:space="0"/>
              <w:left w:val="single" w:color="000000" w:sz="4" w:space="0"/>
              <w:bottom w:val="single" w:color="000000" w:sz="4" w:space="0"/>
              <w:right w:val="single" w:color="000000" w:sz="4" w:space="0"/>
            </w:tcBorders>
            <w:vAlign w:val="center"/>
          </w:tcPr>
          <w:p w14:paraId="05B823C4">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20</w:t>
            </w:r>
          </w:p>
        </w:tc>
        <w:tc>
          <w:tcPr>
            <w:tcW w:w="723" w:type="dxa"/>
            <w:tcBorders>
              <w:top w:val="single" w:color="000000" w:sz="4" w:space="0"/>
              <w:left w:val="single" w:color="000000" w:sz="4" w:space="0"/>
              <w:bottom w:val="single" w:color="000000" w:sz="4" w:space="0"/>
              <w:right w:val="single" w:color="000000" w:sz="4" w:space="0"/>
            </w:tcBorders>
            <w:vAlign w:val="center"/>
          </w:tcPr>
          <w:p w14:paraId="13C9F412">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米</w:t>
            </w:r>
          </w:p>
        </w:tc>
      </w:tr>
      <w:tr w14:paraId="0B01C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6"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5BF4EC8D">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35</w:t>
            </w:r>
          </w:p>
        </w:tc>
        <w:tc>
          <w:tcPr>
            <w:tcW w:w="1544" w:type="dxa"/>
            <w:tcBorders>
              <w:top w:val="single" w:color="000000" w:sz="4" w:space="0"/>
              <w:left w:val="single" w:color="000000" w:sz="4" w:space="0"/>
              <w:bottom w:val="single" w:color="000000" w:sz="4" w:space="0"/>
              <w:right w:val="single" w:color="000000" w:sz="4" w:space="0"/>
            </w:tcBorders>
            <w:vAlign w:val="center"/>
          </w:tcPr>
          <w:p w14:paraId="5821A33F">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至房间各设备（插座、室内机等）配电线缆</w:t>
            </w:r>
          </w:p>
        </w:tc>
        <w:tc>
          <w:tcPr>
            <w:tcW w:w="5506" w:type="dxa"/>
            <w:tcBorders>
              <w:top w:val="single" w:color="000000" w:sz="4" w:space="0"/>
              <w:left w:val="single" w:color="000000" w:sz="4" w:space="0"/>
              <w:bottom w:val="single" w:color="000000" w:sz="4" w:space="0"/>
              <w:right w:val="single" w:color="000000" w:sz="4" w:space="0"/>
            </w:tcBorders>
            <w:vAlign w:val="center"/>
          </w:tcPr>
          <w:p w14:paraId="54590823">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线缆阻燃等级不低于WDZB1（d0,t0）</w:t>
            </w:r>
            <w:r>
              <w:rPr>
                <w:rFonts w:hint="eastAsia" w:ascii="宋体" w:hAnsi="宋体" w:cs="宋体"/>
                <w:i w:val="0"/>
                <w:iCs w:val="0"/>
                <w:color w:val="auto"/>
                <w:kern w:val="0"/>
                <w:sz w:val="21"/>
                <w:szCs w:val="21"/>
                <w:highlight w:val="none"/>
                <w:u w:val="none"/>
                <w:lang w:val="en-US" w:eastAsia="zh-CN"/>
              </w:rPr>
              <w:t>，防火等级不低于B1级</w:t>
            </w:r>
            <w:r>
              <w:rPr>
                <w:rFonts w:hint="eastAsia" w:ascii="宋体" w:hAnsi="宋体" w:eastAsia="宋体" w:cs="宋体"/>
                <w:i w:val="0"/>
                <w:iCs w:val="0"/>
                <w:color w:val="auto"/>
                <w:kern w:val="0"/>
                <w:sz w:val="21"/>
                <w:szCs w:val="21"/>
                <w:highlight w:val="none"/>
                <w:u w:val="none"/>
                <w:lang w:val="en-US" w:eastAsia="zh-CN"/>
              </w:rPr>
              <w:t>。</w:t>
            </w:r>
          </w:p>
        </w:tc>
        <w:tc>
          <w:tcPr>
            <w:tcW w:w="723" w:type="dxa"/>
            <w:tcBorders>
              <w:top w:val="single" w:color="000000" w:sz="4" w:space="0"/>
              <w:left w:val="single" w:color="000000" w:sz="4" w:space="0"/>
              <w:bottom w:val="single" w:color="000000" w:sz="4" w:space="0"/>
              <w:right w:val="single" w:color="000000" w:sz="4" w:space="0"/>
            </w:tcBorders>
            <w:vAlign w:val="center"/>
          </w:tcPr>
          <w:p w14:paraId="7BA2CD44">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723" w:type="dxa"/>
            <w:tcBorders>
              <w:top w:val="single" w:color="000000" w:sz="4" w:space="0"/>
              <w:left w:val="single" w:color="000000" w:sz="4" w:space="0"/>
              <w:bottom w:val="single" w:color="000000" w:sz="4" w:space="0"/>
              <w:right w:val="single" w:color="000000" w:sz="4" w:space="0"/>
            </w:tcBorders>
            <w:vAlign w:val="center"/>
          </w:tcPr>
          <w:p w14:paraId="6DAE9FF5">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项</w:t>
            </w:r>
          </w:p>
        </w:tc>
      </w:tr>
      <w:tr w14:paraId="3305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6"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383E665C">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36</w:t>
            </w:r>
          </w:p>
        </w:tc>
        <w:tc>
          <w:tcPr>
            <w:tcW w:w="1544" w:type="dxa"/>
            <w:tcBorders>
              <w:top w:val="single" w:color="000000" w:sz="4" w:space="0"/>
              <w:left w:val="single" w:color="000000" w:sz="4" w:space="0"/>
              <w:bottom w:val="single" w:color="000000" w:sz="4" w:space="0"/>
              <w:right w:val="single" w:color="000000" w:sz="4" w:space="0"/>
            </w:tcBorders>
            <w:vAlign w:val="center"/>
          </w:tcPr>
          <w:p w14:paraId="6EBCC5AC">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智能感烟探测器</w:t>
            </w:r>
          </w:p>
        </w:tc>
        <w:tc>
          <w:tcPr>
            <w:tcW w:w="5506" w:type="dxa"/>
            <w:tcBorders>
              <w:top w:val="single" w:color="000000" w:sz="4" w:space="0"/>
              <w:left w:val="single" w:color="000000" w:sz="4" w:space="0"/>
              <w:bottom w:val="single" w:color="000000" w:sz="4" w:space="0"/>
              <w:right w:val="single" w:color="000000" w:sz="4" w:space="0"/>
            </w:tcBorders>
            <w:vAlign w:val="center"/>
          </w:tcPr>
          <w:p w14:paraId="47681C8D">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JTY-GD-2951JC</w:t>
            </w:r>
          </w:p>
        </w:tc>
        <w:tc>
          <w:tcPr>
            <w:tcW w:w="723" w:type="dxa"/>
            <w:tcBorders>
              <w:top w:val="single" w:color="000000" w:sz="4" w:space="0"/>
              <w:left w:val="single" w:color="000000" w:sz="4" w:space="0"/>
              <w:bottom w:val="single" w:color="000000" w:sz="4" w:space="0"/>
              <w:right w:val="single" w:color="000000" w:sz="4" w:space="0"/>
            </w:tcBorders>
            <w:vAlign w:val="center"/>
          </w:tcPr>
          <w:p w14:paraId="2544E08F">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723" w:type="dxa"/>
            <w:tcBorders>
              <w:top w:val="single" w:color="000000" w:sz="4" w:space="0"/>
              <w:left w:val="single" w:color="000000" w:sz="4" w:space="0"/>
              <w:bottom w:val="single" w:color="000000" w:sz="4" w:space="0"/>
              <w:right w:val="single" w:color="000000" w:sz="4" w:space="0"/>
            </w:tcBorders>
            <w:vAlign w:val="center"/>
          </w:tcPr>
          <w:p w14:paraId="64298FF6">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套</w:t>
            </w:r>
          </w:p>
        </w:tc>
      </w:tr>
      <w:tr w14:paraId="756F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6"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01783ED0">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37</w:t>
            </w:r>
          </w:p>
        </w:tc>
        <w:tc>
          <w:tcPr>
            <w:tcW w:w="1544" w:type="dxa"/>
            <w:tcBorders>
              <w:top w:val="single" w:color="000000" w:sz="4" w:space="0"/>
              <w:left w:val="single" w:color="000000" w:sz="4" w:space="0"/>
              <w:bottom w:val="single" w:color="000000" w:sz="4" w:space="0"/>
              <w:right w:val="single" w:color="000000" w:sz="4" w:space="0"/>
            </w:tcBorders>
            <w:vAlign w:val="center"/>
          </w:tcPr>
          <w:p w14:paraId="4088D229">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智能感温探测器</w:t>
            </w:r>
          </w:p>
        </w:tc>
        <w:tc>
          <w:tcPr>
            <w:tcW w:w="5506" w:type="dxa"/>
            <w:tcBorders>
              <w:top w:val="single" w:color="000000" w:sz="4" w:space="0"/>
              <w:left w:val="single" w:color="000000" w:sz="4" w:space="0"/>
              <w:bottom w:val="single" w:color="000000" w:sz="4" w:space="0"/>
              <w:right w:val="single" w:color="000000" w:sz="4" w:space="0"/>
            </w:tcBorders>
            <w:vAlign w:val="center"/>
          </w:tcPr>
          <w:p w14:paraId="1C75049D">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JTW-BD-5951JC</w:t>
            </w:r>
          </w:p>
        </w:tc>
        <w:tc>
          <w:tcPr>
            <w:tcW w:w="723" w:type="dxa"/>
            <w:tcBorders>
              <w:top w:val="single" w:color="000000" w:sz="4" w:space="0"/>
              <w:left w:val="single" w:color="000000" w:sz="4" w:space="0"/>
              <w:bottom w:val="single" w:color="000000" w:sz="4" w:space="0"/>
              <w:right w:val="single" w:color="000000" w:sz="4" w:space="0"/>
            </w:tcBorders>
            <w:vAlign w:val="center"/>
          </w:tcPr>
          <w:p w14:paraId="5EF8E706">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723" w:type="dxa"/>
            <w:tcBorders>
              <w:top w:val="single" w:color="000000" w:sz="4" w:space="0"/>
              <w:left w:val="single" w:color="000000" w:sz="4" w:space="0"/>
              <w:bottom w:val="single" w:color="000000" w:sz="4" w:space="0"/>
              <w:right w:val="single" w:color="000000" w:sz="4" w:space="0"/>
            </w:tcBorders>
            <w:vAlign w:val="center"/>
          </w:tcPr>
          <w:p w14:paraId="48FF33A1">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套</w:t>
            </w:r>
          </w:p>
        </w:tc>
      </w:tr>
      <w:tr w14:paraId="5C818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6"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7132397D">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38</w:t>
            </w:r>
          </w:p>
        </w:tc>
        <w:tc>
          <w:tcPr>
            <w:tcW w:w="1544" w:type="dxa"/>
            <w:tcBorders>
              <w:top w:val="single" w:color="000000" w:sz="4" w:space="0"/>
              <w:left w:val="single" w:color="000000" w:sz="4" w:space="0"/>
              <w:bottom w:val="single" w:color="000000" w:sz="4" w:space="0"/>
              <w:right w:val="single" w:color="000000" w:sz="4" w:space="0"/>
            </w:tcBorders>
            <w:vAlign w:val="center"/>
          </w:tcPr>
          <w:p w14:paraId="6F5600DA">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火灾自动报警系统信号线</w:t>
            </w:r>
          </w:p>
        </w:tc>
        <w:tc>
          <w:tcPr>
            <w:tcW w:w="5506" w:type="dxa"/>
            <w:tcBorders>
              <w:top w:val="single" w:color="000000" w:sz="4" w:space="0"/>
              <w:left w:val="single" w:color="000000" w:sz="4" w:space="0"/>
              <w:bottom w:val="single" w:color="000000" w:sz="4" w:space="0"/>
              <w:right w:val="single" w:color="000000" w:sz="4" w:space="0"/>
            </w:tcBorders>
            <w:vAlign w:val="center"/>
          </w:tcPr>
          <w:p w14:paraId="0F9DADFA">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WDZBN-RYJS-2/2.5</w:t>
            </w:r>
          </w:p>
        </w:tc>
        <w:tc>
          <w:tcPr>
            <w:tcW w:w="723" w:type="dxa"/>
            <w:tcBorders>
              <w:top w:val="single" w:color="000000" w:sz="4" w:space="0"/>
              <w:left w:val="single" w:color="000000" w:sz="4" w:space="0"/>
              <w:bottom w:val="single" w:color="000000" w:sz="4" w:space="0"/>
              <w:right w:val="single" w:color="000000" w:sz="4" w:space="0"/>
            </w:tcBorders>
            <w:vAlign w:val="center"/>
          </w:tcPr>
          <w:p w14:paraId="33161BE4">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20</w:t>
            </w:r>
          </w:p>
        </w:tc>
        <w:tc>
          <w:tcPr>
            <w:tcW w:w="723" w:type="dxa"/>
            <w:tcBorders>
              <w:top w:val="single" w:color="000000" w:sz="4" w:space="0"/>
              <w:left w:val="single" w:color="000000" w:sz="4" w:space="0"/>
              <w:bottom w:val="single" w:color="000000" w:sz="4" w:space="0"/>
              <w:right w:val="single" w:color="000000" w:sz="4" w:space="0"/>
            </w:tcBorders>
            <w:vAlign w:val="center"/>
          </w:tcPr>
          <w:p w14:paraId="74B1BB9D">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米</w:t>
            </w:r>
          </w:p>
        </w:tc>
      </w:tr>
      <w:tr w14:paraId="7D73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6" w:hRule="atLeast"/>
          <w:jc w:val="center"/>
        </w:trPr>
        <w:tc>
          <w:tcPr>
            <w:tcW w:w="723" w:type="dxa"/>
            <w:tcBorders>
              <w:top w:val="single" w:color="000000" w:sz="4" w:space="0"/>
              <w:left w:val="single" w:color="000000" w:sz="4" w:space="0"/>
              <w:bottom w:val="single" w:color="000000" w:sz="4" w:space="0"/>
              <w:right w:val="single" w:color="000000" w:sz="4" w:space="0"/>
            </w:tcBorders>
            <w:vAlign w:val="center"/>
          </w:tcPr>
          <w:p w14:paraId="30761D6F">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39</w:t>
            </w:r>
          </w:p>
        </w:tc>
        <w:tc>
          <w:tcPr>
            <w:tcW w:w="1544" w:type="dxa"/>
            <w:tcBorders>
              <w:top w:val="single" w:color="000000" w:sz="4" w:space="0"/>
              <w:left w:val="single" w:color="000000" w:sz="4" w:space="0"/>
              <w:bottom w:val="single" w:color="000000" w:sz="4" w:space="0"/>
              <w:right w:val="single" w:color="000000" w:sz="4" w:space="0"/>
            </w:tcBorders>
            <w:vAlign w:val="center"/>
          </w:tcPr>
          <w:p w14:paraId="018159CC">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FAS系统安装调试</w:t>
            </w:r>
          </w:p>
        </w:tc>
        <w:tc>
          <w:tcPr>
            <w:tcW w:w="5506" w:type="dxa"/>
            <w:tcBorders>
              <w:top w:val="single" w:color="000000" w:sz="4" w:space="0"/>
              <w:left w:val="single" w:color="000000" w:sz="4" w:space="0"/>
              <w:bottom w:val="single" w:color="000000" w:sz="4" w:space="0"/>
              <w:right w:val="single" w:color="000000" w:sz="4" w:space="0"/>
            </w:tcBorders>
            <w:vAlign w:val="center"/>
          </w:tcPr>
          <w:p w14:paraId="6BCCD75E">
            <w:pPr>
              <w:keepNext/>
              <w:widowControl/>
              <w:adjustRightInd/>
              <w:snapToGrid w:val="0"/>
              <w:ind w:left="0"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机房新增FAS系统</w:t>
            </w:r>
          </w:p>
        </w:tc>
        <w:tc>
          <w:tcPr>
            <w:tcW w:w="723" w:type="dxa"/>
            <w:tcBorders>
              <w:top w:val="single" w:color="000000" w:sz="4" w:space="0"/>
              <w:left w:val="single" w:color="000000" w:sz="4" w:space="0"/>
              <w:bottom w:val="single" w:color="000000" w:sz="4" w:space="0"/>
              <w:right w:val="single" w:color="000000" w:sz="4" w:space="0"/>
            </w:tcBorders>
            <w:vAlign w:val="center"/>
          </w:tcPr>
          <w:p w14:paraId="00C4C858">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723" w:type="dxa"/>
            <w:tcBorders>
              <w:top w:val="single" w:color="000000" w:sz="4" w:space="0"/>
              <w:left w:val="single" w:color="000000" w:sz="4" w:space="0"/>
              <w:bottom w:val="single" w:color="000000" w:sz="4" w:space="0"/>
              <w:right w:val="single" w:color="000000" w:sz="4" w:space="0"/>
            </w:tcBorders>
            <w:vAlign w:val="center"/>
          </w:tcPr>
          <w:p w14:paraId="1EED082C">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项</w:t>
            </w:r>
          </w:p>
        </w:tc>
      </w:tr>
      <w:bookmarkEnd w:id="84"/>
      <w:bookmarkEnd w:id="85"/>
    </w:tbl>
    <w:p w14:paraId="2B399BD1">
      <w:pPr>
        <w:widowControl w:val="0"/>
        <w:numPr>
          <w:ilvl w:val="0"/>
          <w:numId w:val="0"/>
        </w:numPr>
        <w:wordWrap/>
        <w:adjustRightInd/>
        <w:snapToGrid/>
        <w:spacing w:line="440" w:lineRule="exact"/>
        <w:ind w:leftChars="0" w:right="0"/>
        <w:textAlignment w:val="auto"/>
        <w:rPr>
          <w:rFonts w:hint="eastAsia" w:ascii="宋体" w:hAnsi="宋体" w:eastAsia="宋体" w:cs="宋体"/>
          <w:sz w:val="21"/>
          <w:szCs w:val="21"/>
          <w:highlight w:val="none"/>
        </w:rPr>
      </w:pPr>
    </w:p>
    <w:p w14:paraId="2CBFD713">
      <w:pPr>
        <w:widowControl w:val="0"/>
        <w:numPr>
          <w:ilvl w:val="0"/>
          <w:numId w:val="2"/>
        </w:numPr>
        <w:tabs>
          <w:tab w:val="left" w:pos="420"/>
        </w:tabs>
        <w:wordWrap/>
        <w:adjustRightInd/>
        <w:snapToGrid/>
        <w:spacing w:line="440" w:lineRule="exact"/>
        <w:ind w:left="0" w:leftChars="0" w:right="-260" w:rightChars="-124" w:firstLine="482" w:firstLineChars="200"/>
        <w:textAlignment w:val="auto"/>
        <w:outlineLvl w:val="0"/>
        <w:rPr>
          <w:rFonts w:hint="eastAsia" w:ascii="宋体" w:hAnsi="宋体" w:eastAsia="宋体" w:cs="宋体"/>
          <w:b/>
          <w:bCs/>
          <w:color w:val="auto"/>
          <w:kern w:val="0"/>
          <w:sz w:val="24"/>
          <w:szCs w:val="24"/>
          <w:highlight w:val="none"/>
          <w:lang w:bidi="en-US"/>
        </w:rPr>
      </w:pPr>
      <w:r>
        <w:rPr>
          <w:rFonts w:hint="eastAsia" w:ascii="宋体" w:hAnsi="宋体" w:eastAsia="宋体" w:cs="宋体"/>
          <w:b/>
          <w:bCs/>
          <w:color w:val="auto"/>
          <w:kern w:val="0"/>
          <w:sz w:val="24"/>
          <w:szCs w:val="24"/>
          <w:highlight w:val="none"/>
          <w:lang w:bidi="en-US"/>
        </w:rPr>
        <w:t>质保要求</w:t>
      </w:r>
    </w:p>
    <w:p w14:paraId="0C605614">
      <w:pPr>
        <w:widowControl w:val="0"/>
        <w:numPr>
          <w:ilvl w:val="0"/>
          <w:numId w:val="6"/>
        </w:numPr>
        <w:wordWrap/>
        <w:adjustRightInd/>
        <w:snapToGrid/>
        <w:spacing w:line="440" w:lineRule="exact"/>
        <w:ind w:left="0" w:leftChars="0" w:right="-260" w:rightChars="-124"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质保期：</w:t>
      </w:r>
    </w:p>
    <w:p w14:paraId="12D343F9">
      <w:pPr>
        <w:widowControl w:val="0"/>
        <w:numPr>
          <w:ilvl w:val="0"/>
          <w:numId w:val="0"/>
        </w:numPr>
        <w:wordWrap/>
        <w:adjustRightInd/>
        <w:snapToGrid/>
        <w:spacing w:line="440" w:lineRule="exact"/>
        <w:ind w:right="-260" w:rightChars="-124"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监控中心全部硬件设备、材料及装修工程：自项目最终验收合格之日起，质保期为2年。</w:t>
      </w:r>
    </w:p>
    <w:p w14:paraId="0972916F">
      <w:pPr>
        <w:widowControl w:val="0"/>
        <w:numPr>
          <w:ilvl w:val="0"/>
          <w:numId w:val="6"/>
        </w:numPr>
        <w:wordWrap/>
        <w:adjustRightInd/>
        <w:snapToGrid/>
        <w:spacing w:line="440" w:lineRule="exact"/>
        <w:ind w:left="0" w:leftChars="0" w:right="-260" w:rightChars="-124" w:firstLine="480" w:firstLineChars="200"/>
        <w:textAlignment w:val="auto"/>
        <w:outlineLvl w:val="3"/>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技术支持：</w:t>
      </w:r>
      <w:r>
        <w:rPr>
          <w:rFonts w:hint="eastAsia" w:ascii="宋体" w:hAnsi="宋体" w:eastAsia="宋体" w:cs="宋体"/>
          <w:sz w:val="24"/>
          <w:szCs w:val="24"/>
          <w:highlight w:val="none"/>
        </w:rPr>
        <w:t>提供7×24小时技术支持。收到故障通知后，15分钟内首次响应（如电话、邮件联系确认问题），并提供故障分级处理机制：</w:t>
      </w:r>
    </w:p>
    <w:p w14:paraId="597C4B80">
      <w:pPr>
        <w:widowControl w:val="0"/>
        <w:numPr>
          <w:ilvl w:val="0"/>
          <w:numId w:val="7"/>
        </w:numPr>
        <w:wordWrap/>
        <w:adjustRightInd/>
        <w:snapToGrid/>
        <w:spacing w:line="440" w:lineRule="exact"/>
        <w:ind w:left="0" w:leftChars="0" w:right="-260" w:rightChars="-124"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一级故障（系统全面瘫痪）：</w:t>
      </w:r>
      <w:r>
        <w:rPr>
          <w:rFonts w:hint="eastAsia" w:ascii="宋体" w:hAnsi="宋体" w:eastAsia="宋体" w:cs="宋体"/>
          <w:sz w:val="24"/>
          <w:szCs w:val="24"/>
          <w:highlight w:val="none"/>
          <w:lang w:val="en-US" w:eastAsia="zh-CN"/>
        </w:rPr>
        <w:t>10分钟</w:t>
      </w:r>
      <w:r>
        <w:rPr>
          <w:rFonts w:hint="eastAsia" w:ascii="宋体" w:hAnsi="宋体" w:eastAsia="宋体" w:cs="宋体"/>
          <w:sz w:val="24"/>
          <w:szCs w:val="24"/>
          <w:highlight w:val="none"/>
        </w:rPr>
        <w:t>内提供应急解决方案，</w:t>
      </w:r>
      <w:r>
        <w:rPr>
          <w:rFonts w:hint="eastAsia" w:ascii="宋体" w:hAnsi="宋体" w:eastAsia="宋体" w:cs="宋体"/>
          <w:sz w:val="24"/>
          <w:szCs w:val="24"/>
          <w:highlight w:val="none"/>
          <w:lang w:val="en-US" w:eastAsia="zh-CN"/>
        </w:rPr>
        <w:t>30分钟</w:t>
      </w:r>
      <w:r>
        <w:rPr>
          <w:rFonts w:hint="eastAsia" w:ascii="宋体" w:hAnsi="宋体" w:eastAsia="宋体" w:cs="宋体"/>
          <w:sz w:val="24"/>
          <w:szCs w:val="24"/>
          <w:highlight w:val="none"/>
        </w:rPr>
        <w:t>内修复；</w:t>
      </w:r>
    </w:p>
    <w:p w14:paraId="263F6A0E">
      <w:pPr>
        <w:widowControl w:val="0"/>
        <w:numPr>
          <w:ilvl w:val="0"/>
          <w:numId w:val="7"/>
        </w:numPr>
        <w:wordWrap/>
        <w:adjustRightInd/>
        <w:snapToGrid/>
        <w:spacing w:line="440" w:lineRule="exact"/>
        <w:ind w:left="0" w:leftChars="0" w:right="-260" w:rightChars="-124"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二级故障（主要功能失效）：</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小时内提供解决方案，</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小时内修复；</w:t>
      </w:r>
    </w:p>
    <w:p w14:paraId="7F9D11E3">
      <w:pPr>
        <w:widowControl w:val="0"/>
        <w:numPr>
          <w:ilvl w:val="0"/>
          <w:numId w:val="7"/>
        </w:numPr>
        <w:wordWrap/>
        <w:adjustRightInd/>
        <w:snapToGrid/>
        <w:spacing w:line="440" w:lineRule="exact"/>
        <w:ind w:left="0" w:leftChars="0" w:right="-260" w:rightChars="-124"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三级故障（一般性功能问题）：</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小时内提供解决方案，</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小时内修复。</w:t>
      </w:r>
    </w:p>
    <w:p w14:paraId="45C10495">
      <w:pPr>
        <w:widowControl w:val="0"/>
        <w:numPr>
          <w:ilvl w:val="0"/>
          <w:numId w:val="6"/>
        </w:numPr>
        <w:wordWrap/>
        <w:adjustRightInd/>
        <w:snapToGrid/>
        <w:spacing w:line="440" w:lineRule="exact"/>
        <w:ind w:left="0" w:leftChars="0" w:right="-260" w:rightChars="-124" w:firstLine="480" w:firstLineChars="200"/>
        <w:textAlignment w:val="auto"/>
        <w:outlineLvl w:val="3"/>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后续服务承诺：在运维服务期满后，参选人需承诺以不高于本次投标报价的优惠费率，向比选人提供长期有偿技术服务与续保支持。</w:t>
      </w:r>
    </w:p>
    <w:p w14:paraId="0C425FFB">
      <w:pPr>
        <w:widowControl w:val="0"/>
        <w:numPr>
          <w:ilvl w:val="0"/>
          <w:numId w:val="2"/>
        </w:numPr>
        <w:tabs>
          <w:tab w:val="left" w:pos="420"/>
        </w:tabs>
        <w:wordWrap/>
        <w:adjustRightInd/>
        <w:snapToGrid/>
        <w:spacing w:line="440" w:lineRule="exact"/>
        <w:ind w:left="0" w:leftChars="0" w:right="-260" w:rightChars="-124" w:firstLine="482" w:firstLineChars="200"/>
        <w:textAlignment w:val="auto"/>
        <w:outlineLvl w:val="0"/>
        <w:rPr>
          <w:rFonts w:hint="eastAsia" w:ascii="宋体" w:hAnsi="宋体" w:eastAsia="宋体" w:cs="宋体"/>
          <w:b/>
          <w:bCs/>
          <w:color w:val="auto"/>
          <w:kern w:val="0"/>
          <w:sz w:val="24"/>
          <w:szCs w:val="24"/>
          <w:highlight w:val="none"/>
          <w:lang w:bidi="en-US"/>
        </w:rPr>
      </w:pPr>
      <w:r>
        <w:rPr>
          <w:rFonts w:hint="eastAsia" w:ascii="宋体" w:hAnsi="宋体" w:eastAsia="宋体" w:cs="宋体"/>
          <w:b/>
          <w:bCs/>
          <w:color w:val="auto"/>
          <w:kern w:val="0"/>
          <w:sz w:val="24"/>
          <w:szCs w:val="24"/>
          <w:highlight w:val="none"/>
          <w:lang w:bidi="en-US"/>
        </w:rPr>
        <w:t>法律责任与保密</w:t>
      </w:r>
    </w:p>
    <w:p w14:paraId="3165321A">
      <w:pPr>
        <w:widowControl w:val="0"/>
        <w:numPr>
          <w:ilvl w:val="0"/>
          <w:numId w:val="8"/>
        </w:numPr>
        <w:wordWrap/>
        <w:adjustRightInd/>
        <w:snapToGrid/>
        <w:spacing w:line="440" w:lineRule="exact"/>
        <w:ind w:left="0" w:leftChars="0" w:right="-260" w:rightChars="-124"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在项目实施过程中（包括运输、安装、调试等）造成的一切设备、材料损坏，以及由此导致的工期延误，由</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承担全部赔偿责任。</w:t>
      </w:r>
    </w:p>
    <w:p w14:paraId="395539C8">
      <w:pPr>
        <w:widowControl w:val="0"/>
        <w:numPr>
          <w:ilvl w:val="0"/>
          <w:numId w:val="8"/>
        </w:numPr>
        <w:wordWrap/>
        <w:adjustRightInd/>
        <w:snapToGrid/>
        <w:spacing w:line="440" w:lineRule="exact"/>
        <w:ind w:left="0" w:leftChars="0" w:right="-260" w:rightChars="-124"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应确保其提供的产品和服务不侵犯任何第三方的知识产权。如发生相关纠纷，由</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负责处理并承担全部责任。</w:t>
      </w:r>
    </w:p>
    <w:p w14:paraId="370AFF06">
      <w:pPr>
        <w:widowControl w:val="0"/>
        <w:numPr>
          <w:ilvl w:val="0"/>
          <w:numId w:val="8"/>
        </w:numPr>
        <w:wordWrap/>
        <w:adjustRightInd/>
        <w:snapToGrid/>
        <w:spacing w:line="440" w:lineRule="exact"/>
        <w:ind w:left="0" w:leftChars="0" w:right="-260" w:rightChars="-124"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必须对项目实施过程中获知的</w:t>
      </w:r>
      <w:r>
        <w:rPr>
          <w:rFonts w:hint="eastAsia" w:ascii="宋体" w:hAnsi="宋体" w:eastAsia="宋体" w:cs="宋体"/>
          <w:sz w:val="24"/>
          <w:szCs w:val="24"/>
          <w:highlight w:val="none"/>
          <w:lang w:eastAsia="zh-CN"/>
        </w:rPr>
        <w:t>比选人</w:t>
      </w:r>
      <w:r>
        <w:rPr>
          <w:rFonts w:hint="eastAsia" w:ascii="宋体" w:hAnsi="宋体" w:eastAsia="宋体" w:cs="宋体"/>
          <w:sz w:val="24"/>
          <w:szCs w:val="24"/>
          <w:highlight w:val="none"/>
        </w:rPr>
        <w:t>及其关联单位的所有技术、商业、运营信息（包括但不限于图纸、数据、技术文档、客户信息等）承担保密义务，此义务不因合同终止而失效，保密期限自合同签订之日起算至少10年。</w:t>
      </w:r>
    </w:p>
    <w:p w14:paraId="25DF4ECB">
      <w:pPr>
        <w:widowControl w:val="0"/>
        <w:numPr>
          <w:ilvl w:val="0"/>
          <w:numId w:val="8"/>
        </w:numPr>
        <w:wordWrap/>
        <w:adjustRightInd/>
        <w:snapToGrid/>
        <w:spacing w:line="440" w:lineRule="exact"/>
        <w:ind w:left="0" w:leftChars="0" w:right="-260" w:rightChars="-124"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应确保所有硬件设备和软件系统不含有任何恶意代码、后门、木马等安全威胁，并承诺采取一切必要措施保障</w:t>
      </w:r>
      <w:r>
        <w:rPr>
          <w:rFonts w:hint="eastAsia" w:ascii="宋体" w:hAnsi="宋体" w:eastAsia="宋体" w:cs="宋体"/>
          <w:sz w:val="24"/>
          <w:szCs w:val="24"/>
          <w:highlight w:val="none"/>
          <w:lang w:eastAsia="zh-CN"/>
        </w:rPr>
        <w:t>比选人</w:t>
      </w:r>
      <w:r>
        <w:rPr>
          <w:rFonts w:hint="eastAsia" w:ascii="宋体" w:hAnsi="宋体" w:eastAsia="宋体" w:cs="宋体"/>
          <w:sz w:val="24"/>
          <w:szCs w:val="24"/>
          <w:highlight w:val="none"/>
        </w:rPr>
        <w:t>数据的机密性、完整性和可用性。软件系统需符合国家网络安全等级保护（等保）相关要求。</w:t>
      </w:r>
    </w:p>
    <w:p w14:paraId="68E77D0B">
      <w:pPr>
        <w:widowControl w:val="0"/>
        <w:numPr>
          <w:ilvl w:val="0"/>
          <w:numId w:val="8"/>
        </w:numPr>
        <w:wordWrap/>
        <w:adjustRightInd/>
        <w:snapToGrid/>
        <w:spacing w:line="440" w:lineRule="exact"/>
        <w:ind w:left="0" w:leftChars="0" w:right="-260" w:rightChars="-124"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因</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原因造成任何第三方人身伤亡或财产损失的，由</w:t>
      </w:r>
      <w:r>
        <w:rPr>
          <w:rFonts w:hint="eastAsia" w:ascii="宋体" w:hAnsi="宋体" w:eastAsia="宋体" w:cs="宋体"/>
          <w:sz w:val="24"/>
          <w:szCs w:val="24"/>
          <w:highlight w:val="none"/>
          <w:lang w:eastAsia="zh-CN"/>
        </w:rPr>
        <w:t>参选人</w:t>
      </w:r>
      <w:r>
        <w:rPr>
          <w:rFonts w:hint="eastAsia" w:ascii="宋体" w:hAnsi="宋体" w:eastAsia="宋体" w:cs="宋体"/>
          <w:sz w:val="24"/>
          <w:szCs w:val="24"/>
          <w:highlight w:val="none"/>
        </w:rPr>
        <w:t>承担全部法律责任。</w:t>
      </w:r>
    </w:p>
    <w:p w14:paraId="2B578654">
      <w:pPr>
        <w:widowControl w:val="0"/>
        <w:numPr>
          <w:ilvl w:val="0"/>
          <w:numId w:val="8"/>
        </w:numPr>
        <w:wordWrap/>
        <w:adjustRightInd/>
        <w:snapToGrid/>
        <w:spacing w:line="440" w:lineRule="exact"/>
        <w:ind w:left="0" w:leftChars="0" w:right="-260" w:rightChars="-124"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履行本合同过程中发生争议，双方应友好协商解决；协商不成的，任何一方均有权向项目所在地人民法院提起诉讼。</w:t>
      </w:r>
    </w:p>
    <w:p w14:paraId="3F81E8B2">
      <w:pPr>
        <w:widowControl w:val="0"/>
        <w:numPr>
          <w:ilvl w:val="0"/>
          <w:numId w:val="2"/>
        </w:numPr>
        <w:tabs>
          <w:tab w:val="left" w:pos="420"/>
        </w:tabs>
        <w:wordWrap/>
        <w:adjustRightInd/>
        <w:snapToGrid/>
        <w:spacing w:line="440" w:lineRule="exact"/>
        <w:ind w:left="0" w:leftChars="0" w:right="-260" w:rightChars="-124" w:firstLine="482" w:firstLineChars="200"/>
        <w:textAlignment w:val="auto"/>
        <w:outlineLvl w:val="0"/>
        <w:rPr>
          <w:rFonts w:hint="eastAsia" w:ascii="宋体" w:hAnsi="宋体" w:eastAsia="宋体" w:cs="宋体"/>
          <w:b/>
          <w:bCs/>
          <w:color w:val="auto"/>
          <w:kern w:val="0"/>
          <w:sz w:val="24"/>
          <w:szCs w:val="24"/>
          <w:highlight w:val="none"/>
          <w:lang w:bidi="en-US"/>
        </w:rPr>
      </w:pPr>
      <w:bookmarkStart w:id="86" w:name="_Toc29479"/>
      <w:r>
        <w:rPr>
          <w:rFonts w:hint="eastAsia" w:ascii="宋体" w:hAnsi="宋体" w:eastAsia="宋体" w:cs="宋体"/>
          <w:b/>
          <w:bCs/>
          <w:color w:val="auto"/>
          <w:kern w:val="0"/>
          <w:sz w:val="24"/>
          <w:szCs w:val="24"/>
          <w:highlight w:val="none"/>
          <w:lang w:bidi="en-US"/>
        </w:rPr>
        <w:t>验收</w:t>
      </w:r>
      <w:bookmarkEnd w:id="86"/>
    </w:p>
    <w:p w14:paraId="0094626C">
      <w:pPr>
        <w:widowControl w:val="0"/>
        <w:numPr>
          <w:ilvl w:val="0"/>
          <w:numId w:val="9"/>
        </w:numPr>
        <w:wordWrap/>
        <w:adjustRightInd/>
        <w:snapToGrid/>
        <w:spacing w:line="440" w:lineRule="exact"/>
        <w:ind w:left="0" w:leftChars="0" w:right="-260" w:rightChars="-124"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项目验收分为初步验收和最终验收。验收标准应严格依据本合同条款、用户需求书、双方确认的技术方案等执行。</w:t>
      </w:r>
    </w:p>
    <w:p w14:paraId="3E4EEFE6">
      <w:pPr>
        <w:widowControl w:val="0"/>
        <w:numPr>
          <w:ilvl w:val="0"/>
          <w:numId w:val="9"/>
        </w:numPr>
        <w:wordWrap/>
        <w:adjustRightInd/>
        <w:snapToGrid/>
        <w:spacing w:line="440" w:lineRule="exact"/>
        <w:ind w:left="0" w:leftChars="0" w:right="-260" w:rightChars="-124"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初步验收重点检验设备数量、型号、安装质量及基本功能实现。最终验收需在所有功能、性能、安全性、稳定性测试通过，且消防验收文件齐备后进行。</w:t>
      </w:r>
    </w:p>
    <w:p w14:paraId="46ABA24B">
      <w:pPr>
        <w:widowControl w:val="0"/>
        <w:numPr>
          <w:ilvl w:val="0"/>
          <w:numId w:val="9"/>
        </w:numPr>
        <w:wordWrap/>
        <w:adjustRightInd/>
        <w:snapToGrid/>
        <w:spacing w:line="440" w:lineRule="exact"/>
        <w:ind w:left="0" w:leftChars="0" w:right="-260" w:rightChars="-124"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验收合格后，双方共同签署《项目验收报告》，作为付款及质保期起算的依据。</w:t>
      </w:r>
    </w:p>
    <w:p w14:paraId="493389B0">
      <w:pPr>
        <w:widowControl w:val="0"/>
        <w:numPr>
          <w:ilvl w:val="0"/>
          <w:numId w:val="0"/>
        </w:numPr>
        <w:wordWrap/>
        <w:adjustRightInd/>
        <w:snapToGrid/>
        <w:spacing w:line="440" w:lineRule="exact"/>
        <w:ind w:left="0" w:leftChars="0" w:right="-260" w:rightChars="-124" w:firstLine="480" w:firstLineChars="200"/>
        <w:textAlignment w:val="auto"/>
        <w:rPr>
          <w:rFonts w:hint="eastAsia" w:ascii="宋体" w:hAnsi="宋体" w:eastAsia="宋体" w:cs="宋体"/>
          <w:sz w:val="24"/>
          <w:szCs w:val="24"/>
          <w:highlight w:val="none"/>
          <w:lang w:val="en-US" w:eastAsia="zh-CN"/>
        </w:rPr>
      </w:pPr>
    </w:p>
    <w:p w14:paraId="2C24CEAF">
      <w:pPr>
        <w:widowControl w:val="0"/>
        <w:numPr>
          <w:ilvl w:val="0"/>
          <w:numId w:val="0"/>
        </w:numPr>
        <w:wordWrap/>
        <w:adjustRightInd/>
        <w:snapToGrid/>
        <w:spacing w:line="440" w:lineRule="exact"/>
        <w:ind w:left="0" w:leftChars="0" w:right="-260" w:rightChars="-124" w:firstLine="480" w:firstLineChars="200"/>
        <w:textAlignment w:val="auto"/>
        <w:rPr>
          <w:rFonts w:hint="eastAsia" w:ascii="宋体" w:hAnsi="宋体" w:eastAsia="宋体" w:cs="宋体"/>
          <w:i w:val="0"/>
          <w:iCs w:val="0"/>
          <w:caps w:val="0"/>
          <w:color w:val="0F1115"/>
          <w:spacing w:val="0"/>
          <w:sz w:val="24"/>
          <w:szCs w:val="24"/>
          <w:highlight w:val="none"/>
          <w:shd w:val="clear" w:color="080000" w:fill="FFFFFF"/>
          <w:lang w:val="en-US" w:eastAsia="zh-CN"/>
        </w:rPr>
      </w:pPr>
      <w:r>
        <w:rPr>
          <w:rFonts w:hint="eastAsia" w:ascii="宋体" w:hAnsi="宋体" w:eastAsia="宋体" w:cs="宋体"/>
          <w:sz w:val="24"/>
          <w:szCs w:val="24"/>
          <w:highlight w:val="none"/>
          <w:lang w:val="en-US" w:eastAsia="zh-CN"/>
        </w:rPr>
        <w:t>附件：1.</w:t>
      </w:r>
      <w:r>
        <w:rPr>
          <w:rFonts w:hint="eastAsia" w:ascii="宋体" w:hAnsi="宋体" w:eastAsia="宋体" w:cs="宋体"/>
          <w:i w:val="0"/>
          <w:iCs w:val="0"/>
          <w:caps w:val="0"/>
          <w:color w:val="0F1115"/>
          <w:spacing w:val="0"/>
          <w:sz w:val="24"/>
          <w:szCs w:val="24"/>
          <w:highlight w:val="none"/>
          <w:shd w:val="clear" w:color="080000" w:fill="FFFFFF"/>
        </w:rPr>
        <w:t>远程值守中心</w:t>
      </w:r>
      <w:r>
        <w:rPr>
          <w:rFonts w:hint="eastAsia" w:ascii="宋体" w:hAnsi="宋体" w:eastAsia="宋体" w:cs="宋体"/>
          <w:i w:val="0"/>
          <w:iCs w:val="0"/>
          <w:caps w:val="0"/>
          <w:color w:val="0F1115"/>
          <w:spacing w:val="0"/>
          <w:sz w:val="24"/>
          <w:szCs w:val="24"/>
          <w:highlight w:val="none"/>
          <w:shd w:val="clear" w:color="080000" w:fill="FFFFFF"/>
          <w:lang w:val="en-US" w:eastAsia="zh-CN"/>
        </w:rPr>
        <w:t>平面图</w:t>
      </w:r>
    </w:p>
    <w:p w14:paraId="78B26097">
      <w:pPr>
        <w:rPr>
          <w:rFonts w:hint="eastAsia" w:ascii="宋体" w:hAnsi="宋体" w:eastAsia="宋体" w:cs="宋体"/>
          <w:b/>
          <w:sz w:val="32"/>
          <w:szCs w:val="32"/>
          <w:highlight w:val="none"/>
        </w:rPr>
      </w:pPr>
      <w:r>
        <w:rPr>
          <w:rFonts w:hint="eastAsia" w:ascii="宋体" w:hAnsi="宋体" w:eastAsia="宋体" w:cs="宋体"/>
          <w:kern w:val="2"/>
          <w:sz w:val="21"/>
          <w:szCs w:val="21"/>
          <w:highlight w:val="none"/>
          <w:lang w:val="en-US" w:eastAsia="zh-CN" w:bidi="ar-SA"/>
        </w:rPr>
        <w:drawing>
          <wp:anchor distT="0" distB="0" distL="114300" distR="114300" simplePos="0" relativeHeight="251659264" behindDoc="0" locked="0" layoutInCell="1" allowOverlap="1">
            <wp:simplePos x="0" y="0"/>
            <wp:positionH relativeFrom="column">
              <wp:posOffset>94615</wp:posOffset>
            </wp:positionH>
            <wp:positionV relativeFrom="paragraph">
              <wp:posOffset>34925</wp:posOffset>
            </wp:positionV>
            <wp:extent cx="5078095" cy="3978275"/>
            <wp:effectExtent l="0" t="0" r="8255" b="3175"/>
            <wp:wrapTopAndBottom/>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3"/>
                    <a:stretch>
                      <a:fillRect/>
                    </a:stretch>
                  </pic:blipFill>
                  <pic:spPr>
                    <a:xfrm>
                      <a:off x="0" y="0"/>
                      <a:ext cx="5078095" cy="3978275"/>
                    </a:xfrm>
                    <a:prstGeom prst="rect">
                      <a:avLst/>
                    </a:prstGeom>
                    <a:noFill/>
                    <a:ln>
                      <a:noFill/>
                    </a:ln>
                  </pic:spPr>
                </pic:pic>
              </a:graphicData>
            </a:graphic>
          </wp:anchor>
        </w:drawing>
      </w:r>
      <w:r>
        <w:rPr>
          <w:rFonts w:hint="eastAsia" w:ascii="宋体" w:hAnsi="宋体" w:eastAsia="宋体" w:cs="宋体"/>
          <w:b/>
          <w:sz w:val="32"/>
          <w:szCs w:val="32"/>
          <w:highlight w:val="none"/>
        </w:rPr>
        <w:br w:type="page"/>
      </w:r>
    </w:p>
    <w:p w14:paraId="353D3E01">
      <w:pPr>
        <w:snapToGrid w:val="0"/>
        <w:spacing w:line="440" w:lineRule="exact"/>
        <w:ind w:right="-21" w:rightChars="-10"/>
        <w:jc w:val="center"/>
        <w:outlineLvl w:val="0"/>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第四章  </w:t>
      </w:r>
      <w:bookmarkEnd w:id="72"/>
      <w:r>
        <w:rPr>
          <w:rFonts w:hint="eastAsia" w:ascii="宋体" w:hAnsi="宋体" w:eastAsia="宋体" w:cs="宋体"/>
          <w:b/>
          <w:sz w:val="32"/>
          <w:szCs w:val="32"/>
          <w:highlight w:val="none"/>
        </w:rPr>
        <w:t>评标办法与评标标准</w:t>
      </w:r>
      <w:bookmarkEnd w:id="73"/>
      <w:bookmarkEnd w:id="74"/>
      <w:bookmarkEnd w:id="75"/>
      <w:bookmarkEnd w:id="76"/>
    </w:p>
    <w:p w14:paraId="1825D7A3">
      <w:pPr>
        <w:spacing w:line="440" w:lineRule="exact"/>
        <w:ind w:right="-21" w:rightChars="-10" w:firstLine="570"/>
        <w:rPr>
          <w:rFonts w:hint="eastAsia" w:ascii="宋体" w:hAnsi="宋体" w:eastAsia="宋体" w:cs="宋体"/>
          <w:b/>
          <w:bCs/>
          <w:sz w:val="24"/>
          <w:highlight w:val="none"/>
        </w:rPr>
      </w:pPr>
    </w:p>
    <w:p w14:paraId="0E395436">
      <w:pPr>
        <w:spacing w:line="440" w:lineRule="exact"/>
        <w:ind w:left="420" w:leftChars="200" w:right="-21" w:rightChars="-10" w:firstLine="424" w:firstLineChars="176"/>
        <w:rPr>
          <w:rFonts w:hint="eastAsia" w:ascii="宋体" w:hAnsi="宋体" w:eastAsia="宋体" w:cs="宋体"/>
          <w:b/>
          <w:bCs/>
          <w:sz w:val="24"/>
          <w:highlight w:val="none"/>
        </w:rPr>
      </w:pPr>
      <w:r>
        <w:rPr>
          <w:rFonts w:hint="eastAsia" w:ascii="宋体" w:hAnsi="宋体" w:eastAsia="宋体" w:cs="宋体"/>
          <w:b/>
          <w:bCs/>
          <w:sz w:val="24"/>
          <w:highlight w:val="none"/>
        </w:rPr>
        <w:t>一、比选人组织开标。</w:t>
      </w:r>
    </w:p>
    <w:p w14:paraId="09602E52">
      <w:pPr>
        <w:spacing w:line="440" w:lineRule="exact"/>
        <w:ind w:left="420" w:leftChars="200" w:right="-21" w:rightChars="-10" w:firstLine="424" w:firstLineChars="176"/>
        <w:rPr>
          <w:rFonts w:hint="eastAsia" w:ascii="宋体" w:hAnsi="宋体" w:eastAsia="宋体" w:cs="宋体"/>
          <w:b/>
          <w:bCs/>
          <w:sz w:val="24"/>
          <w:highlight w:val="none"/>
        </w:rPr>
      </w:pPr>
      <w:r>
        <w:rPr>
          <w:rFonts w:hint="eastAsia" w:ascii="宋体" w:hAnsi="宋体" w:eastAsia="宋体" w:cs="宋体"/>
          <w:b/>
          <w:bCs/>
          <w:sz w:val="24"/>
          <w:highlight w:val="none"/>
        </w:rPr>
        <w:t>二、评委会由有关专家和</w:t>
      </w:r>
      <w:r>
        <w:rPr>
          <w:rFonts w:hint="eastAsia" w:ascii="宋体" w:hAnsi="宋体" w:eastAsia="宋体" w:cs="宋体"/>
          <w:b/>
          <w:sz w:val="24"/>
          <w:highlight w:val="none"/>
        </w:rPr>
        <w:t>比选人代表</w:t>
      </w:r>
      <w:r>
        <w:rPr>
          <w:rFonts w:hint="eastAsia" w:ascii="宋体" w:hAnsi="宋体" w:eastAsia="宋体" w:cs="宋体"/>
          <w:b/>
          <w:bCs/>
          <w:sz w:val="24"/>
          <w:highlight w:val="none"/>
        </w:rPr>
        <w:t>组成</w:t>
      </w:r>
      <w:r>
        <w:rPr>
          <w:rFonts w:hint="eastAsia" w:ascii="宋体" w:hAnsi="宋体" w:eastAsia="宋体" w:cs="宋体"/>
          <w:b/>
          <w:sz w:val="24"/>
          <w:highlight w:val="none"/>
        </w:rPr>
        <w:t>，按照</w:t>
      </w:r>
      <w:r>
        <w:rPr>
          <w:rFonts w:hint="eastAsia" w:ascii="宋体" w:hAnsi="宋体" w:eastAsia="宋体" w:cs="宋体"/>
          <w:b/>
          <w:bCs/>
          <w:sz w:val="24"/>
          <w:highlight w:val="none"/>
        </w:rPr>
        <w:t>公平、公正、择优的原则进行</w:t>
      </w:r>
      <w:r>
        <w:rPr>
          <w:rFonts w:hint="eastAsia" w:ascii="宋体" w:hAnsi="宋体" w:eastAsia="宋体" w:cs="宋体"/>
          <w:b/>
          <w:sz w:val="24"/>
          <w:highlight w:val="none"/>
        </w:rPr>
        <w:t>独立</w:t>
      </w:r>
      <w:r>
        <w:rPr>
          <w:rFonts w:hint="eastAsia" w:ascii="宋体" w:hAnsi="宋体" w:eastAsia="宋体" w:cs="宋体"/>
          <w:b/>
          <w:bCs/>
          <w:sz w:val="24"/>
          <w:highlight w:val="none"/>
        </w:rPr>
        <w:t>评标。</w:t>
      </w:r>
    </w:p>
    <w:p w14:paraId="0842E500">
      <w:pPr>
        <w:spacing w:line="440" w:lineRule="exact"/>
        <w:ind w:left="420" w:leftChars="200" w:right="-21" w:rightChars="-10" w:firstLine="422" w:firstLineChars="176"/>
        <w:rPr>
          <w:rFonts w:hint="eastAsia" w:ascii="宋体" w:hAnsi="宋体" w:eastAsia="宋体" w:cs="宋体"/>
          <w:bCs/>
          <w:sz w:val="24"/>
          <w:highlight w:val="none"/>
        </w:rPr>
      </w:pPr>
      <w:r>
        <w:rPr>
          <w:rFonts w:hint="eastAsia" w:ascii="宋体" w:hAnsi="宋体" w:eastAsia="宋体" w:cs="宋体"/>
          <w:bCs/>
          <w:sz w:val="24"/>
          <w:highlight w:val="none"/>
        </w:rPr>
        <w:t>由评标委员会对参选人资格性、符合性审查，对未通过审查的参选人，现场告知原因。评标委员会对合格参选人的参选文件进行评审。</w:t>
      </w:r>
    </w:p>
    <w:p w14:paraId="6174259B">
      <w:pPr>
        <w:spacing w:line="440" w:lineRule="exact"/>
        <w:ind w:left="420" w:leftChars="200" w:right="-21" w:rightChars="-10" w:firstLine="424" w:firstLineChars="176"/>
        <w:rPr>
          <w:rFonts w:hint="eastAsia" w:ascii="宋体" w:hAnsi="宋体" w:eastAsia="宋体" w:cs="宋体"/>
          <w:b/>
          <w:bCs/>
          <w:sz w:val="24"/>
          <w:highlight w:val="none"/>
        </w:rPr>
      </w:pPr>
      <w:r>
        <w:rPr>
          <w:rFonts w:hint="eastAsia" w:ascii="宋体" w:hAnsi="宋体" w:eastAsia="宋体" w:cs="宋体"/>
          <w:b/>
          <w:bCs/>
          <w:sz w:val="24"/>
          <w:highlight w:val="none"/>
        </w:rPr>
        <w:t>（一）评审内容</w:t>
      </w:r>
    </w:p>
    <w:p w14:paraId="23DAAE3A">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1、参选资格是否符合；</w:t>
      </w:r>
    </w:p>
    <w:p w14:paraId="06575679">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2、参选文件是否完整；</w:t>
      </w:r>
    </w:p>
    <w:p w14:paraId="3D544117">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3、参选文件是否恰当地签署；</w:t>
      </w:r>
    </w:p>
    <w:p w14:paraId="289A6AA0">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4、是否作出实质性响应（是否有实质性响应，只根据参选文件本身，而不寻求外部证据）；</w:t>
      </w:r>
    </w:p>
    <w:p w14:paraId="4B0610B2">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5、是否有计算错误。</w:t>
      </w:r>
    </w:p>
    <w:p w14:paraId="6D11F7CD">
      <w:pPr>
        <w:spacing w:line="440" w:lineRule="exact"/>
        <w:ind w:left="420" w:leftChars="200" w:right="-21" w:rightChars="-10" w:firstLine="424" w:firstLineChars="176"/>
        <w:rPr>
          <w:rFonts w:hint="eastAsia" w:ascii="宋体" w:hAnsi="宋体" w:eastAsia="宋体" w:cs="宋体"/>
          <w:b/>
          <w:bCs/>
          <w:sz w:val="24"/>
          <w:highlight w:val="none"/>
        </w:rPr>
      </w:pPr>
      <w:r>
        <w:rPr>
          <w:rFonts w:hint="eastAsia" w:ascii="宋体" w:hAnsi="宋体" w:eastAsia="宋体" w:cs="宋体"/>
          <w:b/>
          <w:bCs/>
          <w:sz w:val="24"/>
          <w:highlight w:val="none"/>
        </w:rPr>
        <w:t>（二）相应的规定</w:t>
      </w:r>
    </w:p>
    <w:p w14:paraId="2FAE1076">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1、如果单价汇总金额与总价金额有出入，以单价金额计算结果为准；</w:t>
      </w:r>
    </w:p>
    <w:p w14:paraId="0C68C4C0">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2、单价金额小数点有明显错位的，应以总价为准；</w:t>
      </w:r>
    </w:p>
    <w:p w14:paraId="139ED7D2">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3、若文件大写表示的数据与数字表示的有差别，以大写表示的数据为准；</w:t>
      </w:r>
    </w:p>
    <w:p w14:paraId="3426EE60">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4、参选文件中参选报价表内容与参选文件中其他内容不一致的，以参选报价表为准。</w:t>
      </w:r>
    </w:p>
    <w:p w14:paraId="281E9483">
      <w:pPr>
        <w:spacing w:line="440" w:lineRule="exact"/>
        <w:ind w:left="420" w:leftChars="200" w:right="-21" w:rightChars="-10" w:firstLine="424" w:firstLineChars="176"/>
        <w:rPr>
          <w:rFonts w:hint="eastAsia" w:ascii="宋体" w:hAnsi="宋体" w:eastAsia="宋体" w:cs="宋体"/>
          <w:b/>
          <w:bCs/>
          <w:sz w:val="24"/>
          <w:highlight w:val="none"/>
        </w:rPr>
      </w:pPr>
      <w:r>
        <w:rPr>
          <w:rFonts w:hint="eastAsia" w:ascii="宋体" w:hAnsi="宋体" w:eastAsia="宋体" w:cs="宋体"/>
          <w:b/>
          <w:bCs/>
          <w:sz w:val="24"/>
          <w:highlight w:val="none"/>
        </w:rPr>
        <w:t>三、陈述、演示、答疑、澄清</w:t>
      </w:r>
    </w:p>
    <w:p w14:paraId="193D21F6">
      <w:pPr>
        <w:spacing w:line="440" w:lineRule="exact"/>
        <w:ind w:left="420" w:leftChars="200" w:right="-21" w:rightChars="-10" w:firstLine="422" w:firstLineChars="176"/>
        <w:rPr>
          <w:rFonts w:hint="eastAsia" w:ascii="宋体" w:hAnsi="宋体" w:eastAsia="宋体" w:cs="宋体"/>
          <w:b/>
          <w:sz w:val="24"/>
          <w:highlight w:val="none"/>
        </w:rPr>
      </w:pPr>
      <w:r>
        <w:rPr>
          <w:rFonts w:hint="eastAsia" w:ascii="宋体" w:hAnsi="宋体" w:eastAsia="宋体" w:cs="宋体"/>
          <w:sz w:val="24"/>
          <w:highlight w:val="none"/>
          <w:shd w:val="clear" w:color="auto" w:fill="FFFFFF"/>
        </w:rPr>
        <w:t>如评委会认为有必要，参选人按评委会的要求作陈述、演示、</w:t>
      </w:r>
      <w:r>
        <w:rPr>
          <w:rFonts w:hint="eastAsia" w:ascii="宋体" w:hAnsi="宋体" w:eastAsia="宋体" w:cs="宋体"/>
          <w:sz w:val="24"/>
          <w:highlight w:val="none"/>
        </w:rPr>
        <w:t>答疑及澄清其参选内容。时间由评委会掌握。</w:t>
      </w:r>
    </w:p>
    <w:p w14:paraId="2B0966BB">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重要澄清答复应是书面的，但不得对参选内容进行实质性修改。</w:t>
      </w:r>
    </w:p>
    <w:p w14:paraId="13C00BA8">
      <w:pPr>
        <w:spacing w:line="440" w:lineRule="exact"/>
        <w:ind w:left="420" w:leftChars="200" w:right="-21" w:rightChars="-10" w:firstLine="424" w:firstLineChars="176"/>
        <w:rPr>
          <w:rFonts w:hint="eastAsia" w:ascii="宋体" w:hAnsi="宋体" w:eastAsia="宋体" w:cs="宋体"/>
          <w:b/>
          <w:bCs/>
          <w:sz w:val="24"/>
          <w:highlight w:val="none"/>
        </w:rPr>
      </w:pPr>
      <w:r>
        <w:rPr>
          <w:rFonts w:hint="eastAsia" w:ascii="宋体" w:hAnsi="宋体" w:eastAsia="宋体" w:cs="宋体"/>
          <w:b/>
          <w:bCs/>
          <w:sz w:val="24"/>
          <w:highlight w:val="none"/>
        </w:rPr>
        <w:t>四、参选人不得存在下列情形之一：</w:t>
      </w:r>
    </w:p>
    <w:p w14:paraId="06C3F649">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1、与比选人存在利害关系且可能影响比选公正性；</w:t>
      </w:r>
    </w:p>
    <w:p w14:paraId="62051031">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2、与本比选项目的其他参选人为同一个单位负责人；</w:t>
      </w:r>
    </w:p>
    <w:p w14:paraId="3DA9E86D">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3、与本比选项目的其他参选人存在控股、管理关系；</w:t>
      </w:r>
    </w:p>
    <w:p w14:paraId="3AFB8D79">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4、被依法暂停或者取消参选资格；</w:t>
      </w:r>
    </w:p>
    <w:p w14:paraId="254C20AC">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5、被责令停产停业、暂扣或者吊销许可证、暂扣或者吊销执照；</w:t>
      </w:r>
    </w:p>
    <w:p w14:paraId="5C899102">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6、进入清算程序，或被宣告破产，或其他丧失履约能力的情形；</w:t>
      </w:r>
    </w:p>
    <w:p w14:paraId="0A191FD5">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7、在最近三年内有骗取中选或严重违约或重大工程质量、环境、安全问题的；</w:t>
      </w:r>
    </w:p>
    <w:p w14:paraId="48248D21">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8、被最高人民法院在“信用中国”网站（www.creditchina.gov.cn）或各级信用信息共享平台中列入失信被执行人名单；</w:t>
      </w:r>
    </w:p>
    <w:p w14:paraId="3A63BA3B">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9、法律法规或参选人须知前附表规定的其他情形。</w:t>
      </w:r>
    </w:p>
    <w:p w14:paraId="25B143B4">
      <w:pPr>
        <w:spacing w:line="440" w:lineRule="exact"/>
        <w:ind w:left="420" w:leftChars="200" w:right="-21" w:rightChars="-10" w:firstLine="424" w:firstLineChars="176"/>
        <w:rPr>
          <w:rFonts w:hint="eastAsia" w:ascii="宋体" w:hAnsi="宋体" w:eastAsia="宋体" w:cs="宋体"/>
          <w:b/>
          <w:bCs/>
          <w:sz w:val="24"/>
          <w:highlight w:val="none"/>
        </w:rPr>
      </w:pPr>
      <w:r>
        <w:rPr>
          <w:rFonts w:hint="eastAsia" w:ascii="宋体" w:hAnsi="宋体" w:eastAsia="宋体" w:cs="宋体"/>
          <w:b/>
          <w:bCs/>
          <w:sz w:val="24"/>
          <w:highlight w:val="none"/>
        </w:rPr>
        <w:t>五、出现下列情形之一的，作无效参选处理：</w:t>
      </w:r>
    </w:p>
    <w:p w14:paraId="7D8DC68F">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1、未按照比选文件规定要求签署、签章的；</w:t>
      </w:r>
    </w:p>
    <w:p w14:paraId="279DDE8A">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2、不具备比选文件中规定的资格要求的；</w:t>
      </w:r>
    </w:p>
    <w:p w14:paraId="7A1925A0">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3、报价超过比选文件中规定的预算金额或者最高限价的；</w:t>
      </w:r>
    </w:p>
    <w:p w14:paraId="733ED32A">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4、参选文件含有比选人不能接受的附加条件的；</w:t>
      </w:r>
    </w:p>
    <w:p w14:paraId="651534F8">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5、不符合法律、法规和比选文件中规定的其他实质性要求的。</w:t>
      </w:r>
    </w:p>
    <w:p w14:paraId="701102BD">
      <w:pPr>
        <w:spacing w:line="440" w:lineRule="exact"/>
        <w:ind w:left="420" w:leftChars="200" w:right="-21" w:rightChars="-10" w:firstLine="424" w:firstLineChars="176"/>
        <w:rPr>
          <w:rFonts w:hint="eastAsia" w:ascii="宋体" w:hAnsi="宋体" w:eastAsia="宋体" w:cs="宋体"/>
          <w:b/>
          <w:bCs/>
          <w:sz w:val="24"/>
          <w:highlight w:val="none"/>
        </w:rPr>
      </w:pPr>
      <w:r>
        <w:rPr>
          <w:rFonts w:hint="eastAsia" w:ascii="宋体" w:hAnsi="宋体" w:eastAsia="宋体" w:cs="宋体"/>
          <w:b/>
          <w:bCs/>
          <w:sz w:val="24"/>
          <w:highlight w:val="none"/>
        </w:rPr>
        <w:t>六、出现下列情形之一的，作流标或废标处理：</w:t>
      </w:r>
    </w:p>
    <w:p w14:paraId="55FA8560">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1、符合专业条件的参选人或者对比选文件作实质响应的参选人不足3家的；</w:t>
      </w:r>
    </w:p>
    <w:p w14:paraId="39F94E10">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2、出现影响比选公正的违法违规行为的；</w:t>
      </w:r>
    </w:p>
    <w:p w14:paraId="7429B06A">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3、参选人的报价均超过了采购预算，比选人不能支付的；</w:t>
      </w:r>
    </w:p>
    <w:p w14:paraId="546E9635">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4、因重大变故，比选任务取消的。</w:t>
      </w:r>
    </w:p>
    <w:p w14:paraId="02FB0D6D">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上述均保留评委会认定可以确定为无效参选或废标的其他情况。</w:t>
      </w:r>
    </w:p>
    <w:p w14:paraId="1E1D63D7">
      <w:pPr>
        <w:spacing w:line="440" w:lineRule="exact"/>
        <w:ind w:left="420" w:leftChars="200" w:right="-21" w:rightChars="-10" w:firstLine="424" w:firstLineChars="176"/>
        <w:rPr>
          <w:rFonts w:hint="eastAsia" w:ascii="宋体" w:hAnsi="宋体" w:eastAsia="宋体" w:cs="宋体"/>
          <w:b/>
          <w:bCs/>
          <w:sz w:val="24"/>
          <w:highlight w:val="none"/>
        </w:rPr>
      </w:pPr>
      <w:r>
        <w:rPr>
          <w:rFonts w:hint="eastAsia" w:ascii="宋体" w:hAnsi="宋体" w:eastAsia="宋体" w:cs="宋体"/>
          <w:b/>
          <w:bCs/>
          <w:sz w:val="24"/>
          <w:highlight w:val="none"/>
        </w:rPr>
        <w:t>七、不再比选和重新比选</w:t>
      </w:r>
    </w:p>
    <w:p w14:paraId="0D34ACA2">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1、有下列情形之一的，比选人可重新组织某标段的比选：</w:t>
      </w:r>
    </w:p>
    <w:p w14:paraId="00703379">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（1）参选截止时间止，某标段的参选人少于3个的；</w:t>
      </w:r>
    </w:p>
    <w:p w14:paraId="2C81C9F5">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（2）经评标委员会评审后否决某标段所有参选的；</w:t>
      </w:r>
    </w:p>
    <w:p w14:paraId="05BFB4D1">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（3）中选人放弃中选或者因被投诉且已查实的，比选人决定重新比选的；</w:t>
      </w:r>
    </w:p>
    <w:p w14:paraId="2D462621">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（4）评标委员会或主管部门认定的其他原因。</w:t>
      </w:r>
    </w:p>
    <w:p w14:paraId="6ECBDEC0">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2、某标段重新比选后参选人仍少于3个或者所有参选被否决的，属于必须审批或核准的项目，经原审批或核准部门批准后可不再进行比选。</w:t>
      </w:r>
    </w:p>
    <w:p w14:paraId="4F3EC580">
      <w:pPr>
        <w:spacing w:line="440" w:lineRule="exact"/>
        <w:ind w:left="420" w:leftChars="200" w:right="-21" w:rightChars="-10" w:firstLine="424" w:firstLineChars="176"/>
        <w:rPr>
          <w:rFonts w:hint="eastAsia" w:ascii="宋体" w:hAnsi="宋体" w:eastAsia="宋体" w:cs="宋体"/>
          <w:b/>
          <w:bCs/>
          <w:sz w:val="24"/>
          <w:highlight w:val="none"/>
        </w:rPr>
      </w:pPr>
      <w:r>
        <w:rPr>
          <w:rFonts w:hint="eastAsia" w:ascii="宋体" w:hAnsi="宋体" w:eastAsia="宋体" w:cs="宋体"/>
          <w:b/>
          <w:bCs/>
          <w:sz w:val="24"/>
          <w:highlight w:val="none"/>
        </w:rPr>
        <w:t>八、评标方法</w:t>
      </w:r>
    </w:p>
    <w:p w14:paraId="199B5F4F">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采用综合评估法。分资格审查、商务技术标、价格标三部分评审，总分值为100分。</w:t>
      </w:r>
    </w:p>
    <w:p w14:paraId="3107BB0D">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首先由评标委员会评审参选人资格性、符合性，对合格的参选人由评委会评审商务技术标，待商务技术标评审结束后，再开启价格标。</w:t>
      </w:r>
    </w:p>
    <w:p w14:paraId="3F90BD49">
      <w:pPr>
        <w:spacing w:line="440" w:lineRule="exact"/>
        <w:ind w:left="420" w:leftChars="200" w:right="-21" w:rightChars="-10" w:firstLine="422" w:firstLineChars="176"/>
        <w:rPr>
          <w:rFonts w:hint="eastAsia" w:ascii="宋体" w:hAnsi="宋体" w:eastAsia="宋体" w:cs="宋体"/>
          <w:sz w:val="24"/>
          <w:highlight w:val="none"/>
        </w:rPr>
      </w:pPr>
      <w:r>
        <w:rPr>
          <w:rFonts w:hint="eastAsia" w:ascii="宋体" w:hAnsi="宋体" w:eastAsia="宋体" w:cs="宋体"/>
          <w:sz w:val="24"/>
          <w:highlight w:val="none"/>
        </w:rPr>
        <w:t>评委在认真审阅参选文件的基础上，根据各参选文件的商务、技术部分的响应情况，对各评分项目进行评分，不得统一打分。</w:t>
      </w:r>
    </w:p>
    <w:p w14:paraId="5A83EE88">
      <w:pPr>
        <w:spacing w:line="440" w:lineRule="exact"/>
        <w:ind w:left="420" w:leftChars="200" w:right="-21" w:rightChars="-10" w:firstLine="424" w:firstLineChars="176"/>
        <w:jc w:val="left"/>
        <w:rPr>
          <w:rFonts w:hint="eastAsia" w:ascii="宋体" w:hAnsi="宋体" w:eastAsia="宋体" w:cs="宋体"/>
          <w:b/>
          <w:sz w:val="24"/>
          <w:highlight w:val="none"/>
          <w:lang w:val="zh-CN"/>
        </w:rPr>
      </w:pPr>
      <w:r>
        <w:rPr>
          <w:rFonts w:hint="eastAsia" w:ascii="宋体" w:hAnsi="宋体" w:eastAsia="宋体" w:cs="宋体"/>
          <w:b/>
          <w:sz w:val="24"/>
          <w:highlight w:val="none"/>
          <w:lang w:val="zh-CN"/>
        </w:rPr>
        <w:t>（一）评标委员会对参选人资格性、符合性审查</w:t>
      </w:r>
    </w:p>
    <w:p w14:paraId="2988B2B6">
      <w:pPr>
        <w:pStyle w:val="85"/>
        <w:spacing w:line="440" w:lineRule="exact"/>
        <w:ind w:left="420" w:leftChars="200" w:right="-21" w:rightChars="-10" w:firstLine="422" w:firstLineChars="176"/>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参选人资格性、符合性不合格的，其参选文件判定为无效参选文件。合格的，评委对其参选文件继续评审。</w:t>
      </w:r>
    </w:p>
    <w:tbl>
      <w:tblPr>
        <w:tblStyle w:val="37"/>
        <w:tblW w:w="907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068"/>
        <w:gridCol w:w="4501"/>
        <w:gridCol w:w="2738"/>
      </w:tblGrid>
      <w:tr w14:paraId="481A1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67" w:type="dxa"/>
            <w:tcBorders>
              <w:tl2br w:val="nil"/>
              <w:tr2bl w:val="nil"/>
            </w:tcBorders>
            <w:vAlign w:val="center"/>
          </w:tcPr>
          <w:p w14:paraId="5BD85CB2">
            <w:pPr>
              <w:widowControl/>
              <w:spacing w:line="400" w:lineRule="exact"/>
              <w:jc w:val="center"/>
              <w:rPr>
                <w:rFonts w:hint="eastAsia" w:ascii="宋体" w:hAnsi="宋体" w:eastAsia="宋体" w:cs="宋体"/>
                <w:kern w:val="0"/>
                <w:szCs w:val="21"/>
                <w:highlight w:val="none"/>
                <w:lang w:bidi="he-IL"/>
              </w:rPr>
            </w:pPr>
            <w:r>
              <w:rPr>
                <w:rFonts w:hint="eastAsia" w:ascii="宋体" w:hAnsi="宋体" w:eastAsia="宋体" w:cs="宋体"/>
                <w:kern w:val="0"/>
                <w:szCs w:val="21"/>
                <w:highlight w:val="none"/>
                <w:lang w:bidi="he-IL"/>
              </w:rPr>
              <w:t>序号</w:t>
            </w:r>
          </w:p>
        </w:tc>
        <w:tc>
          <w:tcPr>
            <w:tcW w:w="1068" w:type="dxa"/>
            <w:tcBorders>
              <w:tl2br w:val="nil"/>
              <w:tr2bl w:val="nil"/>
            </w:tcBorders>
            <w:vAlign w:val="center"/>
          </w:tcPr>
          <w:p w14:paraId="4980E973">
            <w:pPr>
              <w:widowControl/>
              <w:spacing w:line="400" w:lineRule="exact"/>
              <w:jc w:val="center"/>
              <w:rPr>
                <w:rFonts w:hint="eastAsia" w:ascii="宋体" w:hAnsi="宋体" w:eastAsia="宋体" w:cs="宋体"/>
                <w:kern w:val="0"/>
                <w:szCs w:val="21"/>
                <w:highlight w:val="none"/>
                <w:lang w:bidi="he-IL"/>
              </w:rPr>
            </w:pPr>
            <w:r>
              <w:rPr>
                <w:rFonts w:hint="eastAsia" w:ascii="宋体" w:hAnsi="宋体" w:eastAsia="宋体" w:cs="宋体"/>
                <w:kern w:val="0"/>
                <w:szCs w:val="21"/>
                <w:highlight w:val="none"/>
                <w:lang w:bidi="he-IL"/>
              </w:rPr>
              <w:t>项目内容</w:t>
            </w:r>
          </w:p>
        </w:tc>
        <w:tc>
          <w:tcPr>
            <w:tcW w:w="4501" w:type="dxa"/>
            <w:tcBorders>
              <w:tl2br w:val="nil"/>
              <w:tr2bl w:val="nil"/>
            </w:tcBorders>
            <w:vAlign w:val="center"/>
          </w:tcPr>
          <w:p w14:paraId="74C65A62">
            <w:pPr>
              <w:widowControl/>
              <w:spacing w:line="400" w:lineRule="exact"/>
              <w:jc w:val="center"/>
              <w:rPr>
                <w:rFonts w:hint="eastAsia" w:ascii="宋体" w:hAnsi="宋体" w:eastAsia="宋体" w:cs="宋体"/>
                <w:kern w:val="0"/>
                <w:szCs w:val="21"/>
                <w:highlight w:val="none"/>
                <w:lang w:bidi="he-IL"/>
              </w:rPr>
            </w:pPr>
            <w:r>
              <w:rPr>
                <w:rFonts w:hint="eastAsia" w:ascii="宋体" w:hAnsi="宋体" w:eastAsia="宋体" w:cs="宋体"/>
                <w:kern w:val="0"/>
                <w:szCs w:val="21"/>
                <w:highlight w:val="none"/>
                <w:lang w:bidi="he-IL"/>
              </w:rPr>
              <w:t>合格条件</w:t>
            </w:r>
          </w:p>
        </w:tc>
        <w:tc>
          <w:tcPr>
            <w:tcW w:w="2738" w:type="dxa"/>
            <w:tcBorders>
              <w:tl2br w:val="nil"/>
              <w:tr2bl w:val="nil"/>
            </w:tcBorders>
            <w:vAlign w:val="center"/>
          </w:tcPr>
          <w:p w14:paraId="26C11F8A">
            <w:pPr>
              <w:widowControl/>
              <w:spacing w:line="400" w:lineRule="exact"/>
              <w:jc w:val="center"/>
              <w:rPr>
                <w:rFonts w:hint="eastAsia" w:ascii="宋体" w:hAnsi="宋体" w:eastAsia="宋体" w:cs="宋体"/>
                <w:kern w:val="0"/>
                <w:szCs w:val="21"/>
                <w:highlight w:val="none"/>
                <w:lang w:bidi="he-IL"/>
              </w:rPr>
            </w:pPr>
            <w:r>
              <w:rPr>
                <w:rFonts w:hint="eastAsia" w:ascii="宋体" w:hAnsi="宋体" w:eastAsia="宋体" w:cs="宋体"/>
                <w:kern w:val="0"/>
                <w:szCs w:val="21"/>
                <w:highlight w:val="none"/>
                <w:lang w:bidi="he-IL"/>
              </w:rPr>
              <w:t>需提供的证明材料</w:t>
            </w:r>
            <w:r>
              <w:rPr>
                <w:rFonts w:hint="eastAsia" w:ascii="宋体" w:hAnsi="宋体" w:eastAsia="宋体" w:cs="宋体"/>
                <w:szCs w:val="21"/>
                <w:highlight w:val="none"/>
              </w:rPr>
              <w:t>复印件（或扫描件）</w:t>
            </w:r>
          </w:p>
        </w:tc>
      </w:tr>
      <w:tr w14:paraId="507AE5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67" w:type="dxa"/>
            <w:tcBorders>
              <w:tl2br w:val="nil"/>
              <w:tr2bl w:val="nil"/>
            </w:tcBorders>
            <w:vAlign w:val="center"/>
          </w:tcPr>
          <w:p w14:paraId="7944B4B2">
            <w:pPr>
              <w:widowControl/>
              <w:spacing w:line="400" w:lineRule="exact"/>
              <w:jc w:val="center"/>
              <w:rPr>
                <w:rFonts w:hint="eastAsia" w:ascii="宋体" w:hAnsi="宋体" w:eastAsia="宋体" w:cs="宋体"/>
                <w:kern w:val="0"/>
                <w:szCs w:val="21"/>
                <w:highlight w:val="none"/>
                <w:lang w:bidi="he-IL"/>
              </w:rPr>
            </w:pPr>
            <w:r>
              <w:rPr>
                <w:rFonts w:hint="eastAsia" w:ascii="宋体" w:hAnsi="宋体" w:eastAsia="宋体" w:cs="宋体"/>
                <w:kern w:val="0"/>
                <w:szCs w:val="21"/>
                <w:highlight w:val="none"/>
                <w:lang w:bidi="he-IL"/>
              </w:rPr>
              <w:t>1</w:t>
            </w:r>
          </w:p>
        </w:tc>
        <w:tc>
          <w:tcPr>
            <w:tcW w:w="1068" w:type="dxa"/>
            <w:vMerge w:val="restart"/>
            <w:tcBorders>
              <w:tl2br w:val="nil"/>
              <w:tr2bl w:val="nil"/>
            </w:tcBorders>
            <w:vAlign w:val="center"/>
          </w:tcPr>
          <w:p w14:paraId="3BC5BBC9">
            <w:pPr>
              <w:widowControl/>
              <w:spacing w:line="400" w:lineRule="exact"/>
              <w:jc w:val="center"/>
              <w:rPr>
                <w:rFonts w:hint="eastAsia" w:ascii="宋体" w:hAnsi="宋体" w:eastAsia="宋体" w:cs="宋体"/>
                <w:kern w:val="0"/>
                <w:szCs w:val="21"/>
                <w:highlight w:val="none"/>
                <w:lang w:bidi="he-IL"/>
              </w:rPr>
            </w:pPr>
            <w:r>
              <w:rPr>
                <w:rFonts w:hint="eastAsia" w:ascii="宋体" w:hAnsi="宋体" w:eastAsia="宋体" w:cs="宋体"/>
                <w:kern w:val="0"/>
                <w:szCs w:val="21"/>
                <w:highlight w:val="none"/>
                <w:lang w:bidi="he-IL"/>
              </w:rPr>
              <w:t>参选人应具备的资质条件要求</w:t>
            </w:r>
          </w:p>
        </w:tc>
        <w:tc>
          <w:tcPr>
            <w:tcW w:w="4501" w:type="dxa"/>
            <w:tcBorders>
              <w:tl2br w:val="nil"/>
              <w:tr2bl w:val="nil"/>
            </w:tcBorders>
            <w:vAlign w:val="center"/>
          </w:tcPr>
          <w:p w14:paraId="76B0CA8F">
            <w:pPr>
              <w:widowControl/>
              <w:spacing w:line="400" w:lineRule="exact"/>
              <w:rPr>
                <w:rFonts w:hint="eastAsia" w:ascii="宋体" w:hAnsi="宋体" w:eastAsia="宋体" w:cs="宋体"/>
                <w:kern w:val="0"/>
                <w:szCs w:val="21"/>
                <w:highlight w:val="none"/>
                <w:lang w:bidi="he-IL"/>
              </w:rPr>
            </w:pPr>
            <w:r>
              <w:rPr>
                <w:rFonts w:hint="eastAsia" w:ascii="宋体" w:hAnsi="宋体" w:eastAsia="宋体" w:cs="宋体"/>
                <w:kern w:val="0"/>
                <w:szCs w:val="21"/>
                <w:highlight w:val="none"/>
                <w:lang w:eastAsia="zh-CN" w:bidi="he-IL"/>
              </w:rPr>
              <w:t>参选人</w:t>
            </w:r>
            <w:r>
              <w:rPr>
                <w:rFonts w:hint="eastAsia" w:ascii="宋体" w:hAnsi="宋体" w:eastAsia="宋体" w:cs="宋体"/>
                <w:kern w:val="0"/>
                <w:szCs w:val="21"/>
                <w:highlight w:val="none"/>
                <w:lang w:bidi="he-IL"/>
              </w:rPr>
              <w:t>须是在中华人民共和国境内注册的、具有独立承担民事责任能力的法人或其他组织。</w:t>
            </w:r>
          </w:p>
        </w:tc>
        <w:tc>
          <w:tcPr>
            <w:tcW w:w="2738" w:type="dxa"/>
            <w:tcBorders>
              <w:tl2br w:val="nil"/>
              <w:tr2bl w:val="nil"/>
            </w:tcBorders>
            <w:shd w:val="clear" w:color="auto" w:fill="auto"/>
            <w:vAlign w:val="center"/>
          </w:tcPr>
          <w:p w14:paraId="4DE3B2A8">
            <w:pPr>
              <w:pStyle w:val="85"/>
              <w:spacing w:line="400" w:lineRule="exact"/>
              <w:ind w:firstLine="0" w:firstLineChars="0"/>
              <w:rPr>
                <w:rFonts w:hint="eastAsia" w:ascii="宋体" w:hAnsi="宋体" w:eastAsia="宋体" w:cs="宋体"/>
                <w:kern w:val="0"/>
                <w:sz w:val="21"/>
                <w:szCs w:val="21"/>
                <w:lang w:val="en-US" w:eastAsia="zh-CN" w:bidi="ar-SA"/>
              </w:rPr>
            </w:pPr>
            <w:r>
              <w:rPr>
                <w:rFonts w:hint="eastAsia" w:ascii="宋体" w:eastAsia="宋体" w:cs="宋体"/>
                <w:sz w:val="21"/>
                <w:szCs w:val="21"/>
              </w:rPr>
              <w:t>营业执照；</w:t>
            </w:r>
            <w:r>
              <w:rPr>
                <w:rFonts w:hint="eastAsia" w:ascii="宋体" w:eastAsia="宋体" w:cs="宋体"/>
                <w:sz w:val="21"/>
                <w:szCs w:val="21"/>
                <w:lang w:eastAsia="zh-CN"/>
              </w:rPr>
              <w:t>参选人</w:t>
            </w:r>
            <w:r>
              <w:rPr>
                <w:rFonts w:hint="eastAsia" w:ascii="宋体" w:eastAsia="宋体" w:cs="宋体"/>
                <w:sz w:val="21"/>
                <w:szCs w:val="21"/>
              </w:rPr>
              <w:t>若为事业法人单位须提供事业单位法人证书</w:t>
            </w:r>
          </w:p>
        </w:tc>
      </w:tr>
      <w:tr w14:paraId="1789EA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67" w:type="dxa"/>
            <w:tcBorders>
              <w:tl2br w:val="nil"/>
              <w:tr2bl w:val="nil"/>
            </w:tcBorders>
            <w:shd w:val="clear" w:color="auto" w:fill="auto"/>
            <w:vAlign w:val="center"/>
          </w:tcPr>
          <w:p w14:paraId="19895108">
            <w:pPr>
              <w:widowControl/>
              <w:spacing w:line="400" w:lineRule="exact"/>
              <w:jc w:val="center"/>
              <w:rPr>
                <w:rFonts w:hint="eastAsia" w:ascii="宋体" w:hAnsi="宋体" w:eastAsia="宋体" w:cs="宋体"/>
                <w:kern w:val="0"/>
                <w:sz w:val="21"/>
                <w:szCs w:val="21"/>
                <w:highlight w:val="none"/>
                <w:lang w:val="en-US" w:eastAsia="zh-CN" w:bidi="he-IL"/>
              </w:rPr>
            </w:pPr>
            <w:r>
              <w:rPr>
                <w:rFonts w:hint="eastAsia" w:ascii="宋体" w:hAnsi="宋体" w:eastAsia="宋体" w:cs="宋体"/>
                <w:kern w:val="0"/>
                <w:szCs w:val="21"/>
                <w:highlight w:val="none"/>
                <w:lang w:bidi="he-IL"/>
              </w:rPr>
              <w:t>2</w:t>
            </w:r>
          </w:p>
        </w:tc>
        <w:tc>
          <w:tcPr>
            <w:tcW w:w="1068" w:type="dxa"/>
            <w:vMerge w:val="continue"/>
            <w:tcBorders>
              <w:tl2br w:val="nil"/>
              <w:tr2bl w:val="nil"/>
            </w:tcBorders>
            <w:vAlign w:val="center"/>
          </w:tcPr>
          <w:p w14:paraId="061CCB7F">
            <w:pPr>
              <w:widowControl/>
              <w:spacing w:line="400" w:lineRule="exact"/>
              <w:jc w:val="center"/>
              <w:rPr>
                <w:rFonts w:hint="eastAsia" w:ascii="宋体" w:hAnsi="宋体" w:eastAsia="宋体" w:cs="宋体"/>
                <w:kern w:val="0"/>
                <w:szCs w:val="21"/>
                <w:highlight w:val="none"/>
                <w:lang w:bidi="he-IL"/>
              </w:rPr>
            </w:pPr>
          </w:p>
        </w:tc>
        <w:tc>
          <w:tcPr>
            <w:tcW w:w="4501" w:type="dxa"/>
            <w:tcBorders>
              <w:tl2br w:val="nil"/>
              <w:tr2bl w:val="nil"/>
            </w:tcBorders>
            <w:vAlign w:val="center"/>
          </w:tcPr>
          <w:p w14:paraId="01BEE4CA">
            <w:pPr>
              <w:widowControl/>
              <w:spacing w:line="400" w:lineRule="exact"/>
              <w:rPr>
                <w:rFonts w:hint="eastAsia" w:ascii="宋体" w:hAnsi="宋体" w:eastAsia="宋体" w:cs="宋体"/>
                <w:kern w:val="0"/>
                <w:szCs w:val="21"/>
                <w:highlight w:val="none"/>
                <w:lang w:eastAsia="zh-CN" w:bidi="he-IL"/>
              </w:rPr>
            </w:pPr>
            <w:r>
              <w:rPr>
                <w:rFonts w:hint="eastAsia" w:ascii="宋体" w:hAnsi="宋体" w:eastAsia="宋体" w:cs="宋体"/>
                <w:kern w:val="0"/>
                <w:szCs w:val="21"/>
                <w:highlight w:val="none"/>
                <w:lang w:val="en-US" w:eastAsia="zh-CN" w:bidi="he-IL"/>
              </w:rPr>
              <w:t>参选</w:t>
            </w:r>
            <w:r>
              <w:rPr>
                <w:rFonts w:hint="eastAsia" w:ascii="宋体" w:hAnsi="宋体" w:eastAsia="宋体" w:cs="宋体"/>
                <w:kern w:val="0"/>
                <w:szCs w:val="21"/>
                <w:highlight w:val="none"/>
                <w:lang w:eastAsia="zh-CN" w:bidi="he-IL"/>
              </w:rPr>
              <w:t>人应为LED屏生产厂家或LED屏生产厂家的授权经销商（代理商）。</w:t>
            </w:r>
          </w:p>
        </w:tc>
        <w:tc>
          <w:tcPr>
            <w:tcW w:w="2738" w:type="dxa"/>
            <w:tcBorders>
              <w:tl2br w:val="nil"/>
              <w:tr2bl w:val="nil"/>
            </w:tcBorders>
            <w:shd w:val="clear" w:color="auto" w:fill="auto"/>
            <w:vAlign w:val="center"/>
          </w:tcPr>
          <w:p w14:paraId="3DDE4890">
            <w:pPr>
              <w:pStyle w:val="85"/>
              <w:spacing w:line="400" w:lineRule="exact"/>
              <w:ind w:firstLine="0" w:firstLineChars="0"/>
              <w:rPr>
                <w:rFonts w:hint="eastAsia" w:ascii="宋体" w:eastAsia="宋体" w:cs="宋体"/>
                <w:sz w:val="21"/>
                <w:szCs w:val="21"/>
              </w:rPr>
            </w:pPr>
            <w:r>
              <w:rPr>
                <w:rFonts w:hint="eastAsia" w:ascii="宋体" w:eastAsia="宋体" w:cs="宋体"/>
                <w:sz w:val="21"/>
                <w:szCs w:val="21"/>
                <w:lang w:val="en-US" w:eastAsia="zh-CN"/>
              </w:rPr>
              <w:t>厂家须提供生产企业资格声明（格式见第七章）；经销商（或代理商）须提供授权委托书（格式自拟）</w:t>
            </w:r>
          </w:p>
        </w:tc>
      </w:tr>
      <w:tr w14:paraId="264C5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767" w:type="dxa"/>
            <w:tcBorders>
              <w:tl2br w:val="nil"/>
              <w:tr2bl w:val="nil"/>
            </w:tcBorders>
            <w:shd w:val="clear" w:color="auto" w:fill="auto"/>
            <w:vAlign w:val="center"/>
          </w:tcPr>
          <w:p w14:paraId="316DA45C">
            <w:pPr>
              <w:widowControl/>
              <w:spacing w:line="400" w:lineRule="exact"/>
              <w:jc w:val="center"/>
              <w:rPr>
                <w:rFonts w:hint="eastAsia" w:ascii="宋体" w:hAnsi="宋体" w:eastAsia="宋体" w:cs="宋体"/>
                <w:kern w:val="0"/>
                <w:sz w:val="21"/>
                <w:szCs w:val="21"/>
                <w:highlight w:val="none"/>
                <w:lang w:val="en-US" w:eastAsia="zh-CN" w:bidi="he-IL"/>
              </w:rPr>
            </w:pPr>
            <w:r>
              <w:rPr>
                <w:rFonts w:hint="eastAsia" w:ascii="宋体" w:hAnsi="宋体" w:eastAsia="宋体" w:cs="宋体"/>
                <w:kern w:val="0"/>
                <w:szCs w:val="21"/>
                <w:highlight w:val="none"/>
                <w:lang w:bidi="he-IL"/>
              </w:rPr>
              <w:t>3</w:t>
            </w:r>
          </w:p>
        </w:tc>
        <w:tc>
          <w:tcPr>
            <w:tcW w:w="1068" w:type="dxa"/>
            <w:vMerge w:val="continue"/>
            <w:tcBorders>
              <w:tl2br w:val="nil"/>
              <w:tr2bl w:val="nil"/>
            </w:tcBorders>
            <w:vAlign w:val="center"/>
          </w:tcPr>
          <w:p w14:paraId="431C7E30">
            <w:pPr>
              <w:widowControl/>
              <w:spacing w:line="400" w:lineRule="exact"/>
              <w:jc w:val="center"/>
              <w:rPr>
                <w:rFonts w:hint="eastAsia" w:ascii="宋体" w:hAnsi="宋体" w:eastAsia="宋体" w:cs="宋体"/>
                <w:kern w:val="0"/>
                <w:szCs w:val="21"/>
                <w:highlight w:val="none"/>
                <w:lang w:bidi="he-IL"/>
              </w:rPr>
            </w:pPr>
          </w:p>
        </w:tc>
        <w:tc>
          <w:tcPr>
            <w:tcW w:w="4501" w:type="dxa"/>
            <w:tcBorders>
              <w:tl2br w:val="nil"/>
              <w:tr2bl w:val="nil"/>
            </w:tcBorders>
            <w:vAlign w:val="center"/>
          </w:tcPr>
          <w:p w14:paraId="001E4A88">
            <w:pPr>
              <w:widowControl/>
              <w:spacing w:line="400" w:lineRule="exact"/>
              <w:rPr>
                <w:rFonts w:hint="eastAsia" w:ascii="宋体" w:hAnsi="宋体" w:eastAsia="宋体" w:cs="宋体"/>
                <w:kern w:val="0"/>
                <w:szCs w:val="21"/>
                <w:highlight w:val="none"/>
                <w:lang w:bidi="he-IL"/>
              </w:rPr>
            </w:pPr>
            <w:r>
              <w:rPr>
                <w:rFonts w:hint="eastAsia" w:ascii="宋体" w:hAnsi="宋体" w:eastAsia="宋体" w:cs="宋体"/>
                <w:szCs w:val="21"/>
                <w:highlight w:val="none"/>
              </w:rPr>
              <w:t>项目经验要求：自2022年1月1日以来，</w:t>
            </w:r>
            <w:r>
              <w:rPr>
                <w:rFonts w:hint="eastAsia" w:ascii="宋体" w:hAnsi="宋体" w:eastAsia="宋体" w:cs="宋体"/>
                <w:szCs w:val="21"/>
                <w:highlight w:val="none"/>
                <w:lang w:eastAsia="zh-CN"/>
              </w:rPr>
              <w:t>参选人</w:t>
            </w:r>
            <w:r>
              <w:rPr>
                <w:rFonts w:hint="eastAsia" w:ascii="宋体" w:hAnsi="宋体" w:eastAsia="宋体" w:cs="宋体"/>
                <w:szCs w:val="21"/>
                <w:highlight w:val="none"/>
              </w:rPr>
              <w:t>至少</w:t>
            </w:r>
            <w:r>
              <w:rPr>
                <w:rFonts w:hint="eastAsia" w:ascii="宋体" w:hAnsi="宋体" w:eastAsia="宋体" w:cs="宋体"/>
                <w:szCs w:val="21"/>
                <w:highlight w:val="none"/>
                <w:lang w:val="en-US" w:eastAsia="zh-CN"/>
              </w:rPr>
              <w:t>具有</w:t>
            </w:r>
            <w:r>
              <w:rPr>
                <w:rFonts w:hint="eastAsia" w:ascii="宋体" w:hAnsi="宋体" w:eastAsia="宋体" w:cs="宋体"/>
                <w:szCs w:val="21"/>
                <w:highlight w:val="none"/>
              </w:rPr>
              <w:t>1项</w:t>
            </w:r>
            <w:r>
              <w:rPr>
                <w:rFonts w:hint="eastAsia" w:ascii="宋体" w:hAnsi="宋体" w:eastAsia="宋体" w:cs="宋体"/>
                <w:color w:val="auto"/>
                <w:kern w:val="0"/>
                <w:sz w:val="21"/>
                <w:szCs w:val="21"/>
                <w:highlight w:val="none"/>
                <w:lang w:val="en-US" w:eastAsia="zh-CN" w:bidi="en-US"/>
              </w:rPr>
              <w:t>消防控制室（或监控中心）供货及安装业绩（</w:t>
            </w:r>
            <w:r>
              <w:rPr>
                <w:rFonts w:hint="eastAsia" w:ascii="宋体" w:hAnsi="宋体" w:eastAsia="宋体" w:cs="宋体"/>
                <w:kern w:val="2"/>
                <w:sz w:val="21"/>
                <w:szCs w:val="21"/>
                <w:highlight w:val="none"/>
                <w:lang w:val="en-US" w:eastAsia="zh-CN"/>
              </w:rPr>
              <w:t>须包括总尺寸不小于17平的大屏</w:t>
            </w:r>
            <w:r>
              <w:rPr>
                <w:rFonts w:hint="eastAsia" w:ascii="宋体" w:hAnsi="宋体" w:eastAsia="宋体" w:cs="宋体"/>
                <w:color w:val="auto"/>
                <w:kern w:val="0"/>
                <w:sz w:val="21"/>
                <w:szCs w:val="21"/>
                <w:highlight w:val="none"/>
                <w:lang w:val="en-US" w:eastAsia="zh-CN" w:bidi="en-US"/>
              </w:rPr>
              <w:t>）</w:t>
            </w:r>
            <w:r>
              <w:rPr>
                <w:rFonts w:hint="eastAsia" w:ascii="宋体" w:hAnsi="宋体" w:eastAsia="宋体" w:cs="宋体"/>
                <w:szCs w:val="21"/>
                <w:highlight w:val="none"/>
              </w:rPr>
              <w:t>。</w:t>
            </w:r>
          </w:p>
        </w:tc>
        <w:tc>
          <w:tcPr>
            <w:tcW w:w="2738" w:type="dxa"/>
            <w:tcBorders>
              <w:tl2br w:val="nil"/>
              <w:tr2bl w:val="nil"/>
            </w:tcBorders>
            <w:shd w:val="clear" w:color="auto" w:fill="auto"/>
            <w:vAlign w:val="center"/>
          </w:tcPr>
          <w:p w14:paraId="4BE160CC">
            <w:pPr>
              <w:widowControl/>
              <w:spacing w:line="400" w:lineRule="exact"/>
              <w:jc w:val="left"/>
              <w:rPr>
                <w:rFonts w:hint="eastAsia" w:ascii="宋体" w:hAnsi="宋体" w:cs="宋体"/>
                <w:szCs w:val="21"/>
                <w:highlight w:val="none"/>
              </w:rPr>
            </w:pPr>
            <w:r>
              <w:rPr>
                <w:rFonts w:hint="eastAsia" w:ascii="宋体" w:hAnsi="宋体" w:cs="宋体"/>
                <w:szCs w:val="21"/>
                <w:highlight w:val="none"/>
              </w:rPr>
              <w:t>提供合同关键页。</w:t>
            </w:r>
          </w:p>
          <w:p w14:paraId="43778C41">
            <w:pPr>
              <w:widowControl/>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业绩时间以合同签订时间为准。若合同中无法体现项目内容，另须提供加盖业主单位公章的业主证明。</w:t>
            </w:r>
          </w:p>
        </w:tc>
      </w:tr>
      <w:tr w14:paraId="0563A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67" w:type="dxa"/>
            <w:tcBorders>
              <w:tl2br w:val="nil"/>
              <w:tr2bl w:val="nil"/>
            </w:tcBorders>
            <w:shd w:val="clear" w:color="auto" w:fill="auto"/>
            <w:vAlign w:val="center"/>
          </w:tcPr>
          <w:p w14:paraId="336AE043">
            <w:pPr>
              <w:widowControl/>
              <w:spacing w:line="400" w:lineRule="exact"/>
              <w:jc w:val="center"/>
              <w:rPr>
                <w:rFonts w:hint="eastAsia" w:ascii="宋体" w:hAnsi="宋体" w:eastAsia="宋体" w:cs="宋体"/>
                <w:kern w:val="0"/>
                <w:sz w:val="21"/>
                <w:szCs w:val="21"/>
                <w:highlight w:val="none"/>
                <w:lang w:val="en-US" w:eastAsia="zh-CN" w:bidi="he-IL"/>
              </w:rPr>
            </w:pPr>
            <w:r>
              <w:rPr>
                <w:rFonts w:hint="eastAsia" w:ascii="宋体" w:hAnsi="宋体" w:eastAsia="宋体" w:cs="宋体"/>
                <w:kern w:val="0"/>
                <w:szCs w:val="21"/>
                <w:highlight w:val="none"/>
                <w:lang w:bidi="he-IL"/>
              </w:rPr>
              <w:t>4</w:t>
            </w:r>
          </w:p>
        </w:tc>
        <w:tc>
          <w:tcPr>
            <w:tcW w:w="1068" w:type="dxa"/>
            <w:vMerge w:val="continue"/>
            <w:tcBorders>
              <w:tl2br w:val="nil"/>
              <w:tr2bl w:val="nil"/>
            </w:tcBorders>
            <w:vAlign w:val="center"/>
          </w:tcPr>
          <w:p w14:paraId="067A3350">
            <w:pPr>
              <w:widowControl/>
              <w:spacing w:line="400" w:lineRule="exact"/>
              <w:jc w:val="center"/>
              <w:rPr>
                <w:rFonts w:hint="eastAsia" w:ascii="宋体" w:hAnsi="宋体" w:eastAsia="宋体" w:cs="宋体"/>
                <w:kern w:val="0"/>
                <w:szCs w:val="21"/>
                <w:highlight w:val="none"/>
                <w:lang w:bidi="he-IL"/>
              </w:rPr>
            </w:pPr>
          </w:p>
        </w:tc>
        <w:tc>
          <w:tcPr>
            <w:tcW w:w="4501" w:type="dxa"/>
            <w:tcBorders>
              <w:tl2br w:val="nil"/>
              <w:tr2bl w:val="nil"/>
            </w:tcBorders>
            <w:shd w:val="clear" w:color="auto" w:fill="auto"/>
            <w:vAlign w:val="center"/>
          </w:tcPr>
          <w:p w14:paraId="6382A0AA">
            <w:pPr>
              <w:widowControl/>
              <w:spacing w:line="400" w:lineRule="exac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专业技术能力要求：</w:t>
            </w:r>
            <w:r>
              <w:rPr>
                <w:rFonts w:hint="eastAsia" w:ascii="宋体" w:hAnsi="宋体" w:cs="宋体"/>
                <w:szCs w:val="21"/>
                <w:highlight w:val="none"/>
                <w:lang w:eastAsia="zh-CN"/>
              </w:rPr>
              <w:t>参选人</w:t>
            </w:r>
            <w:r>
              <w:rPr>
                <w:rFonts w:hint="eastAsia" w:ascii="宋体" w:hAnsi="宋体" w:cs="宋体"/>
                <w:szCs w:val="21"/>
                <w:highlight w:val="none"/>
              </w:rPr>
              <w:t>须具备履行本合同所必需的设备和专业技术能力。</w:t>
            </w:r>
          </w:p>
        </w:tc>
        <w:tc>
          <w:tcPr>
            <w:tcW w:w="2738" w:type="dxa"/>
            <w:tcBorders>
              <w:tl2br w:val="nil"/>
              <w:tr2bl w:val="nil"/>
            </w:tcBorders>
            <w:shd w:val="clear" w:color="auto" w:fill="auto"/>
            <w:vAlign w:val="center"/>
          </w:tcPr>
          <w:p w14:paraId="06294A40">
            <w:pPr>
              <w:widowControl/>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相关技术说明或证明材料</w:t>
            </w:r>
          </w:p>
        </w:tc>
      </w:tr>
      <w:tr w14:paraId="159C5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9" w:hRule="atLeast"/>
        </w:trPr>
        <w:tc>
          <w:tcPr>
            <w:tcW w:w="767" w:type="dxa"/>
            <w:tcBorders>
              <w:tl2br w:val="nil"/>
              <w:tr2bl w:val="nil"/>
            </w:tcBorders>
            <w:shd w:val="clear" w:color="auto" w:fill="auto"/>
            <w:vAlign w:val="center"/>
          </w:tcPr>
          <w:p w14:paraId="33148ECD">
            <w:pPr>
              <w:widowControl/>
              <w:spacing w:line="400" w:lineRule="exact"/>
              <w:jc w:val="center"/>
              <w:rPr>
                <w:rFonts w:hint="eastAsia" w:ascii="宋体" w:hAnsi="宋体" w:eastAsia="宋体" w:cs="宋体"/>
                <w:kern w:val="0"/>
                <w:sz w:val="21"/>
                <w:szCs w:val="21"/>
                <w:highlight w:val="none"/>
                <w:lang w:val="en-US" w:eastAsia="zh-CN" w:bidi="he-IL"/>
              </w:rPr>
            </w:pPr>
            <w:r>
              <w:rPr>
                <w:rFonts w:hint="eastAsia" w:ascii="宋体" w:hAnsi="宋体" w:eastAsia="宋体" w:cs="宋体"/>
                <w:kern w:val="0"/>
                <w:szCs w:val="21"/>
                <w:highlight w:val="none"/>
                <w:lang w:val="en-US" w:eastAsia="zh-CN" w:bidi="he-IL"/>
              </w:rPr>
              <w:t>5</w:t>
            </w:r>
          </w:p>
        </w:tc>
        <w:tc>
          <w:tcPr>
            <w:tcW w:w="1068" w:type="dxa"/>
            <w:vMerge w:val="continue"/>
            <w:tcBorders>
              <w:tl2br w:val="nil"/>
              <w:tr2bl w:val="nil"/>
            </w:tcBorders>
            <w:vAlign w:val="center"/>
          </w:tcPr>
          <w:p w14:paraId="5D6E7685">
            <w:pPr>
              <w:widowControl/>
              <w:spacing w:line="400" w:lineRule="exact"/>
              <w:jc w:val="center"/>
              <w:rPr>
                <w:rFonts w:hint="eastAsia" w:ascii="宋体" w:hAnsi="宋体" w:eastAsia="宋体" w:cs="宋体"/>
                <w:kern w:val="0"/>
                <w:szCs w:val="21"/>
                <w:highlight w:val="none"/>
                <w:lang w:bidi="he-IL"/>
              </w:rPr>
            </w:pPr>
          </w:p>
        </w:tc>
        <w:tc>
          <w:tcPr>
            <w:tcW w:w="4501" w:type="dxa"/>
            <w:tcBorders>
              <w:tl2br w:val="nil"/>
              <w:tr2bl w:val="nil"/>
            </w:tcBorders>
            <w:shd w:val="clear" w:color="auto" w:fill="auto"/>
            <w:vAlign w:val="center"/>
          </w:tcPr>
          <w:p w14:paraId="6AEDAB62">
            <w:pPr>
              <w:widowControl/>
              <w:spacing w:line="400" w:lineRule="exact"/>
              <w:rPr>
                <w:rFonts w:hint="eastAsia" w:ascii="宋体" w:hAnsi="宋体" w:cs="宋体"/>
                <w:szCs w:val="21"/>
                <w:highlight w:val="none"/>
              </w:rPr>
            </w:pPr>
            <w:r>
              <w:rPr>
                <w:rFonts w:hint="eastAsia" w:ascii="宋体" w:hAnsi="宋体" w:cs="宋体"/>
                <w:szCs w:val="21"/>
                <w:highlight w:val="none"/>
                <w:lang w:eastAsia="zh-CN"/>
              </w:rPr>
              <w:t>参选人</w:t>
            </w:r>
            <w:r>
              <w:rPr>
                <w:rFonts w:hint="eastAsia" w:ascii="宋体" w:hAnsi="宋体" w:cs="宋体"/>
                <w:szCs w:val="21"/>
                <w:highlight w:val="none"/>
              </w:rPr>
              <w:t>须具有良好的商业信誉和健全的财务会计制度。</w:t>
            </w:r>
          </w:p>
          <w:p w14:paraId="39ECA583">
            <w:pPr>
              <w:widowControl/>
              <w:spacing w:line="400" w:lineRule="exact"/>
              <w:rPr>
                <w:rFonts w:hint="eastAsia" w:ascii="宋体" w:hAnsi="宋体" w:cs="宋体"/>
                <w:szCs w:val="21"/>
                <w:highlight w:val="none"/>
              </w:rPr>
            </w:pPr>
            <w:r>
              <w:rPr>
                <w:rFonts w:hint="eastAsia" w:ascii="宋体" w:hAnsi="宋体" w:cs="宋体"/>
                <w:szCs w:val="21"/>
                <w:highlight w:val="none"/>
                <w:lang w:eastAsia="zh-CN"/>
              </w:rPr>
              <w:t>参选人</w:t>
            </w:r>
            <w:r>
              <w:rPr>
                <w:rFonts w:hint="eastAsia" w:ascii="宋体" w:hAnsi="宋体" w:cs="宋体"/>
                <w:szCs w:val="21"/>
                <w:highlight w:val="none"/>
              </w:rPr>
              <w:t>须具有依法缴纳税收和社会保障资金的良好记录。</w:t>
            </w:r>
          </w:p>
          <w:p w14:paraId="35FCCAA5">
            <w:pPr>
              <w:widowControl/>
              <w:spacing w:line="400" w:lineRule="exac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eastAsia="zh-CN"/>
              </w:rPr>
              <w:t>参选人</w:t>
            </w:r>
            <w:r>
              <w:rPr>
                <w:rFonts w:hint="eastAsia" w:ascii="宋体" w:hAnsi="宋体" w:cs="宋体"/>
                <w:szCs w:val="21"/>
                <w:highlight w:val="none"/>
              </w:rPr>
              <w:t>参加采购活动前三年内，在经营活动中没有重大违法记录；未被列入“信用中国”网站(www.creditchina.gov.cn)失信被执行人、重大税收违法失信主体、政府采购严重违法失信行为记录名单。</w:t>
            </w:r>
          </w:p>
        </w:tc>
        <w:tc>
          <w:tcPr>
            <w:tcW w:w="2738" w:type="dxa"/>
            <w:tcBorders>
              <w:tl2br w:val="nil"/>
              <w:tr2bl w:val="nil"/>
            </w:tcBorders>
            <w:shd w:val="clear" w:color="auto" w:fill="auto"/>
            <w:vAlign w:val="center"/>
          </w:tcPr>
          <w:p w14:paraId="4B7AFF6C">
            <w:pPr>
              <w:widowControl/>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承诺书（格式见第七章）</w:t>
            </w:r>
          </w:p>
        </w:tc>
      </w:tr>
      <w:tr w14:paraId="276C41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67" w:type="dxa"/>
            <w:tcBorders>
              <w:tl2br w:val="nil"/>
              <w:tr2bl w:val="nil"/>
            </w:tcBorders>
            <w:vAlign w:val="center"/>
          </w:tcPr>
          <w:p w14:paraId="7476686E">
            <w:pPr>
              <w:widowControl/>
              <w:spacing w:line="400" w:lineRule="exact"/>
              <w:jc w:val="center"/>
              <w:rPr>
                <w:rFonts w:hint="default" w:ascii="宋体" w:hAnsi="宋体" w:eastAsia="宋体" w:cs="宋体"/>
                <w:kern w:val="0"/>
                <w:szCs w:val="21"/>
                <w:highlight w:val="none"/>
                <w:lang w:val="en-US" w:eastAsia="zh-CN" w:bidi="he-IL"/>
              </w:rPr>
            </w:pPr>
            <w:r>
              <w:rPr>
                <w:rFonts w:hint="eastAsia" w:ascii="宋体" w:hAnsi="宋体" w:cs="宋体"/>
                <w:kern w:val="0"/>
                <w:szCs w:val="21"/>
                <w:highlight w:val="none"/>
                <w:lang w:val="en-US" w:eastAsia="zh-CN" w:bidi="he-IL"/>
              </w:rPr>
              <w:t>6</w:t>
            </w:r>
          </w:p>
        </w:tc>
        <w:tc>
          <w:tcPr>
            <w:tcW w:w="1068" w:type="dxa"/>
            <w:tcBorders>
              <w:tl2br w:val="nil"/>
              <w:tr2bl w:val="nil"/>
            </w:tcBorders>
            <w:vAlign w:val="center"/>
          </w:tcPr>
          <w:p w14:paraId="1EE74CAB">
            <w:pPr>
              <w:widowControl/>
              <w:spacing w:line="400" w:lineRule="exact"/>
              <w:jc w:val="center"/>
              <w:rPr>
                <w:rFonts w:hint="eastAsia" w:ascii="宋体" w:hAnsi="宋体" w:eastAsia="宋体" w:cs="宋体"/>
                <w:kern w:val="0"/>
                <w:szCs w:val="21"/>
                <w:highlight w:val="none"/>
                <w:lang w:eastAsia="zh-CN" w:bidi="he-IL"/>
              </w:rPr>
            </w:pPr>
            <w:r>
              <w:rPr>
                <w:rFonts w:hint="eastAsia" w:ascii="宋体" w:hAnsi="宋体" w:eastAsia="宋体" w:cs="宋体"/>
                <w:kern w:val="0"/>
                <w:szCs w:val="21"/>
                <w:highlight w:val="none"/>
                <w:lang w:val="en-US" w:eastAsia="zh-CN" w:bidi="he-IL"/>
              </w:rPr>
              <w:t>其他</w:t>
            </w:r>
          </w:p>
        </w:tc>
        <w:tc>
          <w:tcPr>
            <w:tcW w:w="4501" w:type="dxa"/>
            <w:tcBorders>
              <w:tl2br w:val="nil"/>
              <w:tr2bl w:val="nil"/>
            </w:tcBorders>
            <w:shd w:val="clear" w:color="auto" w:fill="auto"/>
            <w:vAlign w:val="center"/>
          </w:tcPr>
          <w:p w14:paraId="2B0006C9">
            <w:pPr>
              <w:pStyle w:val="85"/>
              <w:spacing w:line="400" w:lineRule="exact"/>
              <w:ind w:firstLine="0" w:firstLineChars="0"/>
              <w:rPr>
                <w:rFonts w:hint="eastAsia" w:ascii="宋体" w:hAnsi="宋体" w:eastAsia="宋体" w:cs="宋体"/>
                <w:kern w:val="0"/>
                <w:sz w:val="21"/>
                <w:szCs w:val="21"/>
                <w:highlight w:val="none"/>
                <w:lang w:val="en-US" w:eastAsia="zh-CN" w:bidi="ar-SA"/>
              </w:rPr>
            </w:pPr>
            <w:r>
              <w:rPr>
                <w:rFonts w:hint="eastAsia" w:ascii="宋体" w:eastAsia="宋体" w:cs="宋体"/>
                <w:sz w:val="21"/>
                <w:szCs w:val="21"/>
                <w:highlight w:val="none"/>
              </w:rPr>
              <w:t>本项目不接受联合体投标。</w:t>
            </w:r>
          </w:p>
        </w:tc>
        <w:tc>
          <w:tcPr>
            <w:tcW w:w="2738" w:type="dxa"/>
            <w:tcBorders>
              <w:tl2br w:val="nil"/>
              <w:tr2bl w:val="nil"/>
            </w:tcBorders>
            <w:shd w:val="clear" w:color="auto" w:fill="auto"/>
            <w:vAlign w:val="center"/>
          </w:tcPr>
          <w:p w14:paraId="6C7E92E4">
            <w:pPr>
              <w:pStyle w:val="85"/>
              <w:spacing w:line="400" w:lineRule="exact"/>
              <w:ind w:firstLine="0" w:firstLineChars="0"/>
              <w:rPr>
                <w:rFonts w:hint="eastAsia" w:ascii="宋体" w:hAnsi="宋体" w:eastAsia="宋体" w:cs="宋体"/>
                <w:kern w:val="0"/>
                <w:sz w:val="21"/>
                <w:szCs w:val="21"/>
                <w:highlight w:val="none"/>
                <w:lang w:val="en-US" w:eastAsia="zh-CN" w:bidi="ar-SA"/>
              </w:rPr>
            </w:pPr>
            <w:r>
              <w:rPr>
                <w:rFonts w:hint="eastAsia" w:ascii="宋体" w:eastAsia="宋体" w:cs="宋体"/>
                <w:sz w:val="21"/>
                <w:szCs w:val="21"/>
                <w:highlight w:val="none"/>
              </w:rPr>
              <w:t>/</w:t>
            </w:r>
          </w:p>
        </w:tc>
      </w:tr>
    </w:tbl>
    <w:p w14:paraId="7B744152">
      <w:pPr>
        <w:spacing w:line="440" w:lineRule="exact"/>
        <w:ind w:firstLine="482" w:firstLineChars="200"/>
        <w:jc w:val="left"/>
        <w:rPr>
          <w:rFonts w:hint="eastAsia" w:ascii="宋体" w:hAnsi="宋体" w:eastAsia="宋体" w:cs="宋体"/>
          <w:szCs w:val="21"/>
          <w:highlight w:val="none"/>
          <w:lang w:val="zh-CN"/>
        </w:rPr>
      </w:pPr>
      <w:r>
        <w:rPr>
          <w:rFonts w:hint="eastAsia" w:ascii="宋体" w:hAnsi="宋体" w:eastAsia="宋体" w:cs="宋体"/>
          <w:b/>
          <w:sz w:val="24"/>
          <w:highlight w:val="none"/>
          <w:lang w:val="zh-CN"/>
        </w:rPr>
        <w:t>(二)评审因素和标准（总分100分）</w:t>
      </w:r>
    </w:p>
    <w:tbl>
      <w:tblPr>
        <w:tblStyle w:val="37"/>
        <w:tblW w:w="9070" w:type="dxa"/>
        <w:tblInd w:w="-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271"/>
        <w:gridCol w:w="6191"/>
        <w:gridCol w:w="715"/>
      </w:tblGrid>
      <w:tr w14:paraId="5789A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72" w:hRule="atLeast"/>
        </w:trPr>
        <w:tc>
          <w:tcPr>
            <w:tcW w:w="2164" w:type="dxa"/>
            <w:gridSpan w:val="2"/>
            <w:vAlign w:val="center"/>
          </w:tcPr>
          <w:p w14:paraId="3DBFDB0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Cs w:val="21"/>
                <w:highlight w:val="none"/>
              </w:rPr>
            </w:pPr>
            <w:r>
              <w:rPr>
                <w:rFonts w:hint="eastAsia" w:ascii="宋体" w:hAnsi="宋体" w:cs="宋体"/>
                <w:szCs w:val="21"/>
                <w:highlight w:val="none"/>
              </w:rPr>
              <w:t>分值构成</w:t>
            </w:r>
          </w:p>
          <w:p w14:paraId="0442964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Cs w:val="21"/>
                <w:highlight w:val="none"/>
              </w:rPr>
            </w:pPr>
            <w:r>
              <w:rPr>
                <w:rFonts w:hint="eastAsia" w:ascii="宋体" w:hAnsi="宋体" w:cs="宋体"/>
                <w:szCs w:val="21"/>
                <w:highlight w:val="none"/>
              </w:rPr>
              <w:t>(总分100分)</w:t>
            </w:r>
          </w:p>
        </w:tc>
        <w:tc>
          <w:tcPr>
            <w:tcW w:w="6906" w:type="dxa"/>
            <w:gridSpan w:val="2"/>
            <w:vAlign w:val="center"/>
          </w:tcPr>
          <w:p w14:paraId="098BE98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zCs w:val="21"/>
                <w:highlight w:val="none"/>
                <w:u w:val="single"/>
              </w:rPr>
            </w:pPr>
            <w:r>
              <w:rPr>
                <w:rFonts w:hint="eastAsia" w:ascii="宋体" w:hAnsi="宋体" w:cs="宋体"/>
                <w:szCs w:val="21"/>
                <w:highlight w:val="none"/>
              </w:rPr>
              <w:t>商务：</w:t>
            </w:r>
            <w:r>
              <w:rPr>
                <w:rFonts w:hint="eastAsia" w:ascii="宋体" w:hAnsi="宋体" w:cs="宋体"/>
                <w:szCs w:val="21"/>
                <w:highlight w:val="none"/>
                <w:u w:val="single"/>
                <w:lang w:val="en-US" w:eastAsia="zh-CN"/>
              </w:rPr>
              <w:t>10</w:t>
            </w:r>
            <w:r>
              <w:rPr>
                <w:rFonts w:hint="eastAsia" w:ascii="宋体" w:hAnsi="宋体" w:cs="宋体"/>
                <w:szCs w:val="21"/>
                <w:highlight w:val="none"/>
              </w:rPr>
              <w:t>分；</w:t>
            </w:r>
            <w:r>
              <w:rPr>
                <w:rFonts w:hint="eastAsia" w:ascii="宋体" w:hAnsi="宋体" w:cs="宋体"/>
                <w:szCs w:val="21"/>
                <w:highlight w:val="none"/>
                <w:lang w:val="en-US" w:eastAsia="zh-CN"/>
              </w:rPr>
              <w:t>技术：</w:t>
            </w:r>
            <w:r>
              <w:rPr>
                <w:rFonts w:hint="eastAsia" w:ascii="宋体" w:hAnsi="宋体" w:cs="宋体"/>
                <w:szCs w:val="21"/>
                <w:highlight w:val="none"/>
                <w:u w:val="single"/>
                <w:lang w:val="en-US" w:eastAsia="zh-CN"/>
              </w:rPr>
              <w:t>45</w:t>
            </w:r>
            <w:r>
              <w:rPr>
                <w:rFonts w:hint="eastAsia" w:ascii="宋体" w:hAnsi="宋体" w:cs="宋体"/>
                <w:szCs w:val="21"/>
                <w:highlight w:val="none"/>
              </w:rPr>
              <w:t>分；报价：</w:t>
            </w:r>
            <w:r>
              <w:rPr>
                <w:rFonts w:hint="eastAsia" w:ascii="宋体" w:hAnsi="宋体" w:cs="宋体"/>
                <w:szCs w:val="21"/>
                <w:highlight w:val="none"/>
                <w:u w:val="single"/>
                <w:lang w:val="en-US" w:eastAsia="zh-CN"/>
              </w:rPr>
              <w:t>45</w:t>
            </w:r>
            <w:r>
              <w:rPr>
                <w:rFonts w:hint="eastAsia" w:ascii="宋体" w:hAnsi="宋体" w:cs="宋体"/>
                <w:szCs w:val="21"/>
                <w:highlight w:val="none"/>
              </w:rPr>
              <w:t>分</w:t>
            </w:r>
          </w:p>
        </w:tc>
      </w:tr>
      <w:tr w14:paraId="507E9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93" w:type="dxa"/>
            <w:vAlign w:val="center"/>
          </w:tcPr>
          <w:p w14:paraId="56D19F8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szCs w:val="21"/>
                <w:highlight w:val="none"/>
              </w:rPr>
            </w:pPr>
            <w:r>
              <w:rPr>
                <w:rFonts w:hint="eastAsia" w:ascii="宋体" w:hAnsi="宋体" w:cs="宋体"/>
                <w:b/>
                <w:szCs w:val="21"/>
                <w:highlight w:val="none"/>
              </w:rPr>
              <w:t>条款号</w:t>
            </w:r>
          </w:p>
        </w:tc>
        <w:tc>
          <w:tcPr>
            <w:tcW w:w="1271" w:type="dxa"/>
            <w:vAlign w:val="center"/>
          </w:tcPr>
          <w:p w14:paraId="42E1E4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szCs w:val="21"/>
                <w:highlight w:val="none"/>
              </w:rPr>
            </w:pPr>
            <w:r>
              <w:rPr>
                <w:rFonts w:hint="eastAsia" w:ascii="宋体" w:hAnsi="宋体" w:cs="宋体"/>
                <w:b/>
                <w:szCs w:val="21"/>
                <w:highlight w:val="none"/>
              </w:rPr>
              <w:t>评分因素</w:t>
            </w:r>
          </w:p>
        </w:tc>
        <w:tc>
          <w:tcPr>
            <w:tcW w:w="6191" w:type="dxa"/>
            <w:vAlign w:val="center"/>
          </w:tcPr>
          <w:p w14:paraId="6F0F54A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szCs w:val="21"/>
                <w:highlight w:val="none"/>
              </w:rPr>
            </w:pPr>
            <w:r>
              <w:rPr>
                <w:rFonts w:hint="eastAsia" w:ascii="宋体" w:hAnsi="宋体" w:cs="宋体"/>
                <w:b/>
                <w:szCs w:val="21"/>
                <w:highlight w:val="none"/>
              </w:rPr>
              <w:t>评分标准</w:t>
            </w:r>
          </w:p>
        </w:tc>
        <w:tc>
          <w:tcPr>
            <w:tcW w:w="715" w:type="dxa"/>
            <w:vAlign w:val="center"/>
          </w:tcPr>
          <w:p w14:paraId="3A2FA2A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szCs w:val="21"/>
                <w:highlight w:val="none"/>
              </w:rPr>
            </w:pPr>
            <w:r>
              <w:rPr>
                <w:rFonts w:hint="eastAsia" w:ascii="宋体" w:hAnsi="宋体" w:cs="宋体"/>
                <w:b/>
                <w:bCs/>
                <w:szCs w:val="21"/>
                <w:highlight w:val="none"/>
              </w:rPr>
              <w:t>分值</w:t>
            </w:r>
          </w:p>
        </w:tc>
      </w:tr>
      <w:tr w14:paraId="7ECAB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93" w:type="dxa"/>
            <w:vMerge w:val="restart"/>
            <w:vAlign w:val="center"/>
          </w:tcPr>
          <w:p w14:paraId="2341584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Cs w:val="21"/>
                <w:highlight w:val="none"/>
              </w:rPr>
            </w:pPr>
            <w:r>
              <w:rPr>
                <w:rFonts w:hint="eastAsia" w:ascii="宋体" w:hAnsi="宋体" w:cs="宋体"/>
                <w:szCs w:val="21"/>
                <w:highlight w:val="none"/>
              </w:rPr>
              <w:t>商务</w:t>
            </w:r>
          </w:p>
          <w:p w14:paraId="1CE57A3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Cs w:val="21"/>
                <w:highlight w:val="none"/>
              </w:rPr>
            </w:pPr>
            <w:r>
              <w:rPr>
                <w:rFonts w:hint="eastAsia" w:ascii="宋体" w:hAnsi="宋体" w:cs="宋体"/>
                <w:szCs w:val="21"/>
                <w:highlight w:val="none"/>
              </w:rPr>
              <w:t>部分</w:t>
            </w:r>
          </w:p>
          <w:p w14:paraId="2A8F17B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Cs w:val="21"/>
                <w:highlight w:val="none"/>
              </w:rPr>
            </w:pPr>
            <w:r>
              <w:rPr>
                <w:rFonts w:hint="eastAsia" w:ascii="宋体" w:hAnsi="宋体" w:cs="宋体"/>
                <w:szCs w:val="21"/>
                <w:highlight w:val="none"/>
                <w:lang w:val="en-US" w:eastAsia="zh-CN"/>
              </w:rPr>
              <w:t>10</w:t>
            </w:r>
            <w:r>
              <w:rPr>
                <w:rFonts w:hint="eastAsia" w:ascii="宋体" w:hAnsi="宋体" w:cs="宋体"/>
                <w:szCs w:val="21"/>
                <w:highlight w:val="none"/>
              </w:rPr>
              <w:t>分</w:t>
            </w:r>
          </w:p>
        </w:tc>
        <w:tc>
          <w:tcPr>
            <w:tcW w:w="1271" w:type="dxa"/>
            <w:vAlign w:val="center"/>
          </w:tcPr>
          <w:p w14:paraId="4E8E22CC">
            <w:pPr>
              <w:pStyle w:val="32"/>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cs="宋体"/>
                <w:b/>
                <w:sz w:val="21"/>
                <w:szCs w:val="21"/>
                <w:highlight w:val="none"/>
              </w:rPr>
            </w:pPr>
            <w:r>
              <w:rPr>
                <w:rFonts w:hint="eastAsia" w:cs="宋体"/>
                <w:kern w:val="2"/>
                <w:sz w:val="21"/>
                <w:szCs w:val="21"/>
                <w:highlight w:val="none"/>
                <w:lang w:eastAsia="zh-CN"/>
              </w:rPr>
              <w:t>参选人</w:t>
            </w:r>
            <w:r>
              <w:rPr>
                <w:rFonts w:hint="eastAsia" w:cs="宋体"/>
                <w:kern w:val="2"/>
                <w:sz w:val="21"/>
                <w:szCs w:val="21"/>
                <w:highlight w:val="none"/>
              </w:rPr>
              <w:t>资质</w:t>
            </w:r>
          </w:p>
        </w:tc>
        <w:tc>
          <w:tcPr>
            <w:tcW w:w="6191" w:type="dxa"/>
            <w:vAlign w:val="center"/>
          </w:tcPr>
          <w:p w14:paraId="7E4B55B5">
            <w:pPr>
              <w:pStyle w:val="32"/>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eastAsia" w:cs="宋体"/>
                <w:sz w:val="21"/>
                <w:szCs w:val="21"/>
                <w:highlight w:val="none"/>
              </w:rPr>
            </w:pPr>
            <w:r>
              <w:rPr>
                <w:rFonts w:hint="eastAsia" w:cs="宋体"/>
                <w:sz w:val="21"/>
                <w:szCs w:val="21"/>
                <w:highlight w:val="none"/>
                <w:lang w:eastAsia="zh-CN"/>
              </w:rPr>
              <w:t>参选人</w:t>
            </w:r>
            <w:r>
              <w:rPr>
                <w:rFonts w:hint="eastAsia" w:cs="宋体"/>
                <w:sz w:val="21"/>
                <w:szCs w:val="21"/>
                <w:highlight w:val="none"/>
              </w:rPr>
              <w:t>具有有效的</w:t>
            </w:r>
            <w:r>
              <w:rPr>
                <w:rFonts w:hint="eastAsia" w:cs="宋体"/>
                <w:sz w:val="21"/>
                <w:szCs w:val="21"/>
                <w:highlight w:val="none"/>
                <w:lang w:val="en-US" w:eastAsia="zh-CN"/>
              </w:rPr>
              <w:t>建筑装修装饰</w:t>
            </w:r>
            <w:r>
              <w:rPr>
                <w:rFonts w:hint="eastAsia" w:cs="宋体"/>
                <w:sz w:val="21"/>
                <w:szCs w:val="21"/>
                <w:highlight w:val="none"/>
              </w:rPr>
              <w:t>工程专业承包二级及以上资质得</w:t>
            </w:r>
            <w:r>
              <w:rPr>
                <w:rFonts w:hint="eastAsia" w:cs="宋体"/>
                <w:sz w:val="21"/>
                <w:szCs w:val="21"/>
                <w:highlight w:val="none"/>
                <w:lang w:val="en-US" w:eastAsia="zh-CN"/>
              </w:rPr>
              <w:t>1</w:t>
            </w:r>
            <w:r>
              <w:rPr>
                <w:rFonts w:hint="eastAsia" w:cs="宋体"/>
                <w:sz w:val="21"/>
                <w:szCs w:val="21"/>
                <w:highlight w:val="none"/>
              </w:rPr>
              <w:t>分。</w:t>
            </w:r>
          </w:p>
          <w:p w14:paraId="649A8352">
            <w:pPr>
              <w:pStyle w:val="32"/>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eastAsia" w:cs="宋体"/>
                <w:sz w:val="21"/>
                <w:szCs w:val="21"/>
                <w:highlight w:val="none"/>
              </w:rPr>
            </w:pPr>
            <w:r>
              <w:rPr>
                <w:rFonts w:hint="eastAsia" w:cs="宋体"/>
                <w:sz w:val="21"/>
                <w:szCs w:val="21"/>
                <w:highlight w:val="none"/>
              </w:rPr>
              <w:t>须提供证书</w:t>
            </w:r>
            <w:r>
              <w:rPr>
                <w:rFonts w:hint="eastAsia" w:cs="宋体"/>
                <w:kern w:val="2"/>
                <w:sz w:val="21"/>
                <w:szCs w:val="21"/>
                <w:highlight w:val="none"/>
              </w:rPr>
              <w:t>复印件</w:t>
            </w:r>
            <w:r>
              <w:rPr>
                <w:rFonts w:hint="eastAsia" w:cs="宋体"/>
                <w:kern w:val="2"/>
                <w:sz w:val="21"/>
                <w:szCs w:val="21"/>
                <w:highlight w:val="none"/>
                <w:lang w:val="en-US" w:eastAsia="zh-CN"/>
              </w:rPr>
              <w:t>或扫描件</w:t>
            </w:r>
            <w:r>
              <w:rPr>
                <w:rFonts w:hint="eastAsia" w:cs="宋体"/>
                <w:sz w:val="21"/>
                <w:szCs w:val="21"/>
                <w:highlight w:val="none"/>
              </w:rPr>
              <w:t>。</w:t>
            </w:r>
          </w:p>
        </w:tc>
        <w:tc>
          <w:tcPr>
            <w:tcW w:w="715" w:type="dxa"/>
            <w:vAlign w:val="center"/>
          </w:tcPr>
          <w:p w14:paraId="16ACD096">
            <w:pPr>
              <w:pStyle w:val="32"/>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eastAsia="宋体" w:cs="宋体"/>
                <w:sz w:val="21"/>
                <w:szCs w:val="21"/>
                <w:highlight w:val="none"/>
                <w:lang w:eastAsia="zh-CN"/>
              </w:rPr>
            </w:pPr>
            <w:r>
              <w:rPr>
                <w:rFonts w:hint="eastAsia" w:cs="宋体"/>
                <w:sz w:val="21"/>
                <w:szCs w:val="21"/>
                <w:highlight w:val="none"/>
                <w:lang w:val="en-US" w:eastAsia="zh-CN"/>
              </w:rPr>
              <w:t>1</w:t>
            </w:r>
          </w:p>
        </w:tc>
      </w:tr>
      <w:tr w14:paraId="794B1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9" w:hRule="atLeast"/>
        </w:trPr>
        <w:tc>
          <w:tcPr>
            <w:tcW w:w="893" w:type="dxa"/>
            <w:vMerge w:val="continue"/>
            <w:vAlign w:val="center"/>
          </w:tcPr>
          <w:p w14:paraId="42F2244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Cs w:val="21"/>
                <w:highlight w:val="none"/>
              </w:rPr>
            </w:pPr>
          </w:p>
        </w:tc>
        <w:tc>
          <w:tcPr>
            <w:tcW w:w="1271" w:type="dxa"/>
            <w:vAlign w:val="center"/>
          </w:tcPr>
          <w:p w14:paraId="5E65744E">
            <w:pPr>
              <w:pStyle w:val="32"/>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cs="宋体"/>
                <w:kern w:val="2"/>
                <w:sz w:val="21"/>
                <w:szCs w:val="21"/>
                <w:highlight w:val="none"/>
              </w:rPr>
            </w:pPr>
            <w:r>
              <w:rPr>
                <w:rFonts w:hint="eastAsia" w:cs="宋体"/>
                <w:kern w:val="2"/>
                <w:sz w:val="21"/>
                <w:szCs w:val="21"/>
                <w:highlight w:val="none"/>
                <w:lang w:eastAsia="zh-CN"/>
              </w:rPr>
              <w:t>参选人</w:t>
            </w:r>
            <w:r>
              <w:rPr>
                <w:rFonts w:hint="eastAsia" w:cs="宋体"/>
                <w:kern w:val="2"/>
                <w:sz w:val="21"/>
                <w:szCs w:val="21"/>
                <w:highlight w:val="none"/>
              </w:rPr>
              <w:t>业绩</w:t>
            </w:r>
          </w:p>
        </w:tc>
        <w:tc>
          <w:tcPr>
            <w:tcW w:w="6191" w:type="dxa"/>
            <w:vAlign w:val="center"/>
          </w:tcPr>
          <w:p w14:paraId="02005D99">
            <w:pPr>
              <w:pStyle w:val="32"/>
              <w:keepNext w:val="0"/>
              <w:keepLines w:val="0"/>
              <w:pageBreakBefore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cs="宋体"/>
                <w:kern w:val="2"/>
                <w:sz w:val="21"/>
                <w:szCs w:val="21"/>
                <w:highlight w:val="none"/>
              </w:rPr>
            </w:pPr>
            <w:r>
              <w:rPr>
                <w:rFonts w:cs="宋体"/>
                <w:kern w:val="2"/>
                <w:sz w:val="21"/>
                <w:szCs w:val="21"/>
                <w:highlight w:val="none"/>
              </w:rPr>
              <w:t>除资格审查要求的业绩外，</w:t>
            </w:r>
          </w:p>
          <w:p w14:paraId="49B4E734">
            <w:pPr>
              <w:pStyle w:val="32"/>
              <w:keepNext w:val="0"/>
              <w:keepLines w:val="0"/>
              <w:pageBreakBefore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cs="宋体"/>
                <w:kern w:val="2"/>
                <w:sz w:val="21"/>
                <w:szCs w:val="21"/>
                <w:highlight w:val="none"/>
              </w:rPr>
            </w:pPr>
            <w:r>
              <w:rPr>
                <w:rFonts w:cs="宋体"/>
                <w:kern w:val="2"/>
                <w:sz w:val="21"/>
                <w:szCs w:val="21"/>
                <w:highlight w:val="none"/>
              </w:rPr>
              <w:t>①</w:t>
            </w:r>
            <w:r>
              <w:rPr>
                <w:rFonts w:hint="eastAsia" w:cs="宋体"/>
                <w:kern w:val="2"/>
                <w:sz w:val="21"/>
                <w:szCs w:val="21"/>
                <w:highlight w:val="none"/>
              </w:rPr>
              <w:t>自2022年1月1日以来，</w:t>
            </w:r>
            <w:r>
              <w:rPr>
                <w:rFonts w:hint="eastAsia" w:cs="宋体"/>
                <w:kern w:val="2"/>
                <w:sz w:val="21"/>
                <w:szCs w:val="21"/>
                <w:highlight w:val="none"/>
                <w:lang w:eastAsia="zh-CN"/>
              </w:rPr>
              <w:t>参选人</w:t>
            </w:r>
            <w:r>
              <w:rPr>
                <w:rFonts w:hint="eastAsia" w:cs="宋体"/>
                <w:kern w:val="2"/>
                <w:sz w:val="21"/>
                <w:szCs w:val="21"/>
                <w:highlight w:val="none"/>
                <w:lang w:val="en-US" w:eastAsia="zh-CN"/>
              </w:rPr>
              <w:t>具有</w:t>
            </w:r>
            <w:r>
              <w:rPr>
                <w:rFonts w:hint="eastAsia" w:cs="宋体"/>
                <w:kern w:val="2"/>
                <w:sz w:val="21"/>
                <w:szCs w:val="21"/>
                <w:highlight w:val="none"/>
              </w:rPr>
              <w:t>1项</w:t>
            </w:r>
            <w:r>
              <w:rPr>
                <w:rFonts w:hint="eastAsia" w:ascii="宋体" w:hAnsi="宋体" w:eastAsia="宋体" w:cs="宋体"/>
                <w:color w:val="auto"/>
                <w:kern w:val="0"/>
                <w:sz w:val="21"/>
                <w:szCs w:val="21"/>
                <w:highlight w:val="none"/>
                <w:lang w:val="en-US" w:eastAsia="zh-CN" w:bidi="en-US"/>
              </w:rPr>
              <w:t>消防控制室</w:t>
            </w:r>
            <w:r>
              <w:rPr>
                <w:rFonts w:hint="eastAsia" w:ascii="宋体" w:hAnsi="宋体" w:cs="宋体"/>
                <w:color w:val="auto"/>
                <w:kern w:val="0"/>
                <w:sz w:val="21"/>
                <w:szCs w:val="21"/>
                <w:highlight w:val="none"/>
                <w:lang w:val="en-US" w:eastAsia="zh-CN" w:bidi="en-US"/>
              </w:rPr>
              <w:t>（或</w:t>
            </w:r>
            <w:r>
              <w:rPr>
                <w:rFonts w:hint="eastAsia" w:ascii="宋体" w:hAnsi="宋体" w:eastAsia="宋体" w:cs="宋体"/>
                <w:color w:val="auto"/>
                <w:kern w:val="0"/>
                <w:sz w:val="21"/>
                <w:szCs w:val="21"/>
                <w:highlight w:val="none"/>
                <w:lang w:val="en-US" w:eastAsia="zh-CN" w:bidi="en-US"/>
              </w:rPr>
              <w:t>监控中心</w:t>
            </w:r>
            <w:r>
              <w:rPr>
                <w:rFonts w:hint="eastAsia" w:ascii="宋体" w:hAnsi="宋体" w:cs="宋体"/>
                <w:color w:val="auto"/>
                <w:kern w:val="0"/>
                <w:sz w:val="21"/>
                <w:szCs w:val="21"/>
                <w:highlight w:val="none"/>
                <w:lang w:val="en-US" w:eastAsia="zh-CN" w:bidi="en-US"/>
              </w:rPr>
              <w:t>）</w:t>
            </w:r>
            <w:r>
              <w:rPr>
                <w:rFonts w:hint="eastAsia" w:cs="宋体"/>
                <w:kern w:val="2"/>
                <w:sz w:val="21"/>
                <w:szCs w:val="21"/>
                <w:highlight w:val="none"/>
                <w:lang w:val="en-US" w:eastAsia="zh-CN"/>
              </w:rPr>
              <w:t>供货及安装业绩（须包括总尺寸不小于17平的大屏）</w:t>
            </w:r>
            <w:r>
              <w:rPr>
                <w:rFonts w:cs="宋体"/>
                <w:kern w:val="2"/>
                <w:sz w:val="21"/>
                <w:szCs w:val="21"/>
                <w:highlight w:val="none"/>
              </w:rPr>
              <w:t>得1分，最多得</w:t>
            </w:r>
            <w:r>
              <w:rPr>
                <w:rFonts w:hint="eastAsia" w:cs="宋体"/>
                <w:kern w:val="2"/>
                <w:sz w:val="21"/>
                <w:szCs w:val="21"/>
                <w:highlight w:val="none"/>
                <w:lang w:val="en-US" w:eastAsia="zh-CN"/>
              </w:rPr>
              <w:t>3</w:t>
            </w:r>
            <w:r>
              <w:rPr>
                <w:rFonts w:cs="宋体"/>
                <w:kern w:val="2"/>
                <w:sz w:val="21"/>
                <w:szCs w:val="21"/>
                <w:highlight w:val="none"/>
              </w:rPr>
              <w:t>分；</w:t>
            </w:r>
          </w:p>
          <w:p w14:paraId="59E7B282">
            <w:pPr>
              <w:pStyle w:val="32"/>
              <w:keepNext w:val="0"/>
              <w:keepLines w:val="0"/>
              <w:pageBreakBefore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cs="宋体"/>
                <w:kern w:val="2"/>
                <w:sz w:val="21"/>
                <w:szCs w:val="21"/>
                <w:highlight w:val="none"/>
              </w:rPr>
            </w:pPr>
            <w:r>
              <w:rPr>
                <w:rFonts w:cs="宋体"/>
                <w:kern w:val="2"/>
                <w:sz w:val="21"/>
                <w:szCs w:val="21"/>
                <w:highlight w:val="none"/>
              </w:rPr>
              <w:t>②</w:t>
            </w:r>
            <w:r>
              <w:rPr>
                <w:rFonts w:hint="eastAsia" w:cs="宋体"/>
                <w:kern w:val="2"/>
                <w:sz w:val="21"/>
                <w:szCs w:val="21"/>
                <w:highlight w:val="none"/>
              </w:rPr>
              <w:t>自2022年1月1日以来，</w:t>
            </w:r>
            <w:r>
              <w:rPr>
                <w:rFonts w:hint="eastAsia" w:cs="宋体"/>
                <w:kern w:val="2"/>
                <w:sz w:val="21"/>
                <w:szCs w:val="21"/>
                <w:highlight w:val="none"/>
                <w:lang w:eastAsia="zh-CN"/>
              </w:rPr>
              <w:t>参选人</w:t>
            </w:r>
            <w:r>
              <w:rPr>
                <w:rFonts w:hint="eastAsia" w:cs="宋体"/>
                <w:kern w:val="2"/>
                <w:sz w:val="21"/>
                <w:szCs w:val="21"/>
                <w:highlight w:val="none"/>
                <w:lang w:val="en-US" w:eastAsia="zh-CN"/>
              </w:rPr>
              <w:t>具有</w:t>
            </w:r>
            <w:r>
              <w:rPr>
                <w:rFonts w:hint="eastAsia" w:cs="宋体"/>
                <w:kern w:val="2"/>
                <w:sz w:val="21"/>
                <w:szCs w:val="21"/>
                <w:highlight w:val="none"/>
              </w:rPr>
              <w:t>1项</w:t>
            </w:r>
            <w:r>
              <w:rPr>
                <w:rFonts w:hint="eastAsia" w:cs="宋体"/>
                <w:kern w:val="2"/>
                <w:sz w:val="21"/>
                <w:szCs w:val="21"/>
                <w:highlight w:val="none"/>
                <w:lang w:val="en-US" w:eastAsia="zh-CN"/>
              </w:rPr>
              <w:t>城市轨道交通</w:t>
            </w:r>
            <w:r>
              <w:rPr>
                <w:rFonts w:hint="eastAsia" w:ascii="宋体" w:hAnsi="宋体" w:eastAsia="宋体" w:cs="宋体"/>
                <w:color w:val="auto"/>
                <w:kern w:val="0"/>
                <w:sz w:val="21"/>
                <w:szCs w:val="21"/>
                <w:highlight w:val="none"/>
                <w:lang w:val="en-US" w:eastAsia="zh-CN" w:bidi="en-US"/>
              </w:rPr>
              <w:t>消防控制室</w:t>
            </w:r>
            <w:r>
              <w:rPr>
                <w:rFonts w:hint="eastAsia" w:ascii="宋体" w:hAnsi="宋体" w:cs="宋体"/>
                <w:color w:val="auto"/>
                <w:kern w:val="0"/>
                <w:sz w:val="21"/>
                <w:szCs w:val="21"/>
                <w:highlight w:val="none"/>
                <w:lang w:val="en-US" w:eastAsia="zh-CN" w:bidi="en-US"/>
              </w:rPr>
              <w:t>（或</w:t>
            </w:r>
            <w:r>
              <w:rPr>
                <w:rFonts w:hint="eastAsia" w:ascii="宋体" w:hAnsi="宋体" w:eastAsia="宋体" w:cs="宋体"/>
                <w:color w:val="auto"/>
                <w:kern w:val="0"/>
                <w:sz w:val="21"/>
                <w:szCs w:val="21"/>
                <w:highlight w:val="none"/>
                <w:lang w:val="en-US" w:eastAsia="zh-CN" w:bidi="en-US"/>
              </w:rPr>
              <w:t>监控中心</w:t>
            </w:r>
            <w:r>
              <w:rPr>
                <w:rFonts w:hint="eastAsia" w:ascii="宋体" w:hAnsi="宋体" w:cs="宋体"/>
                <w:color w:val="auto"/>
                <w:kern w:val="0"/>
                <w:sz w:val="21"/>
                <w:szCs w:val="21"/>
                <w:highlight w:val="none"/>
                <w:lang w:val="en-US" w:eastAsia="zh-CN" w:bidi="en-US"/>
              </w:rPr>
              <w:t>）</w:t>
            </w:r>
            <w:r>
              <w:rPr>
                <w:rFonts w:hint="eastAsia" w:cs="宋体"/>
                <w:kern w:val="2"/>
                <w:sz w:val="21"/>
                <w:szCs w:val="21"/>
                <w:highlight w:val="none"/>
                <w:lang w:val="en-US" w:eastAsia="zh-CN"/>
              </w:rPr>
              <w:t>供货及安装业绩</w:t>
            </w:r>
            <w:r>
              <w:rPr>
                <w:rFonts w:cs="宋体"/>
                <w:kern w:val="2"/>
                <w:sz w:val="21"/>
                <w:szCs w:val="21"/>
                <w:highlight w:val="none"/>
              </w:rPr>
              <w:t>得</w:t>
            </w:r>
            <w:r>
              <w:rPr>
                <w:rFonts w:hint="eastAsia" w:cs="宋体"/>
                <w:kern w:val="2"/>
                <w:sz w:val="21"/>
                <w:szCs w:val="21"/>
                <w:highlight w:val="none"/>
                <w:lang w:val="en-US" w:eastAsia="zh-CN"/>
              </w:rPr>
              <w:t>3</w:t>
            </w:r>
            <w:r>
              <w:rPr>
                <w:rFonts w:cs="宋体"/>
                <w:kern w:val="2"/>
                <w:sz w:val="21"/>
                <w:szCs w:val="21"/>
                <w:highlight w:val="none"/>
              </w:rPr>
              <w:t>分；</w:t>
            </w:r>
          </w:p>
          <w:p w14:paraId="3082EE26">
            <w:pPr>
              <w:pStyle w:val="32"/>
              <w:keepNext w:val="0"/>
              <w:keepLines w:val="0"/>
              <w:pageBreakBefore w:val="0"/>
              <w:kinsoku/>
              <w:wordWrap/>
              <w:overflowPunct/>
              <w:topLinePunct w:val="0"/>
              <w:autoSpaceDE/>
              <w:autoSpaceDN/>
              <w:bidi w:val="0"/>
              <w:adjustRightInd/>
              <w:snapToGrid/>
              <w:spacing w:before="0" w:beforeAutospacing="0" w:after="0" w:afterAutospacing="0" w:line="400" w:lineRule="exact"/>
              <w:jc w:val="both"/>
              <w:textAlignment w:val="auto"/>
              <w:rPr>
                <w:rFonts w:hint="eastAsia" w:cs="宋体"/>
                <w:kern w:val="2"/>
                <w:sz w:val="21"/>
                <w:szCs w:val="21"/>
                <w:highlight w:val="none"/>
              </w:rPr>
            </w:pPr>
            <w:r>
              <w:rPr>
                <w:rFonts w:cs="宋体"/>
                <w:kern w:val="2"/>
                <w:sz w:val="21"/>
                <w:szCs w:val="21"/>
                <w:highlight w:val="none"/>
              </w:rPr>
              <w:t>本项满分</w:t>
            </w:r>
            <w:r>
              <w:rPr>
                <w:rFonts w:hint="eastAsia" w:cs="宋体"/>
                <w:kern w:val="2"/>
                <w:sz w:val="21"/>
                <w:szCs w:val="21"/>
                <w:highlight w:val="none"/>
                <w:lang w:val="en-US" w:eastAsia="zh-CN"/>
              </w:rPr>
              <w:t>6</w:t>
            </w:r>
            <w:r>
              <w:rPr>
                <w:rFonts w:cs="宋体"/>
                <w:kern w:val="2"/>
                <w:sz w:val="21"/>
                <w:szCs w:val="21"/>
                <w:highlight w:val="none"/>
              </w:rPr>
              <w:t>分。</w:t>
            </w:r>
          </w:p>
          <w:p w14:paraId="29F6E519">
            <w:pPr>
              <w:pStyle w:val="32"/>
              <w:keepNext w:val="0"/>
              <w:keepLines w:val="0"/>
              <w:pageBreakBefore w:val="0"/>
              <w:kinsoku/>
              <w:wordWrap/>
              <w:overflowPunct/>
              <w:topLinePunct w:val="0"/>
              <w:autoSpaceDE/>
              <w:autoSpaceDN/>
              <w:bidi w:val="0"/>
              <w:adjustRightInd/>
              <w:snapToGrid/>
              <w:spacing w:before="0" w:beforeAutospacing="0" w:after="0" w:afterAutospacing="0" w:line="400" w:lineRule="exact"/>
              <w:jc w:val="both"/>
              <w:textAlignment w:val="auto"/>
              <w:rPr>
                <w:rFonts w:hint="default" w:eastAsia="宋体" w:cs="宋体"/>
                <w:kern w:val="2"/>
                <w:sz w:val="21"/>
                <w:szCs w:val="21"/>
                <w:highlight w:val="none"/>
                <w:lang w:val="en-US" w:eastAsia="zh-CN"/>
              </w:rPr>
            </w:pPr>
            <w:r>
              <w:rPr>
                <w:rFonts w:cs="宋体"/>
                <w:kern w:val="2"/>
                <w:sz w:val="21"/>
                <w:szCs w:val="21"/>
                <w:highlight w:val="none"/>
              </w:rPr>
              <w:t>须提供合同</w:t>
            </w:r>
            <w:r>
              <w:rPr>
                <w:rFonts w:hint="eastAsia" w:cs="宋体"/>
                <w:kern w:val="2"/>
                <w:sz w:val="21"/>
                <w:szCs w:val="21"/>
                <w:highlight w:val="none"/>
              </w:rPr>
              <w:t>复印件</w:t>
            </w:r>
            <w:r>
              <w:rPr>
                <w:rFonts w:hint="eastAsia" w:cs="宋体"/>
                <w:kern w:val="2"/>
                <w:sz w:val="21"/>
                <w:szCs w:val="21"/>
                <w:highlight w:val="none"/>
                <w:lang w:val="en-US" w:eastAsia="zh-CN"/>
              </w:rPr>
              <w:t>或扫描件</w:t>
            </w:r>
            <w:r>
              <w:rPr>
                <w:rFonts w:cs="宋体"/>
                <w:kern w:val="2"/>
                <w:sz w:val="21"/>
                <w:szCs w:val="21"/>
                <w:highlight w:val="none"/>
              </w:rPr>
              <w:t>。业绩时间以合同签订时间为准。若合同中无法体现项目内容，另须提供加盖业主单位公章的业主证明。</w:t>
            </w:r>
            <w:r>
              <w:rPr>
                <w:rFonts w:hint="eastAsia" w:cs="宋体"/>
                <w:kern w:val="2"/>
                <w:sz w:val="21"/>
                <w:szCs w:val="21"/>
                <w:highlight w:val="none"/>
                <w:lang w:val="en-US" w:eastAsia="zh-CN"/>
              </w:rPr>
              <w:t>同一业绩不可重复计分。</w:t>
            </w:r>
          </w:p>
        </w:tc>
        <w:tc>
          <w:tcPr>
            <w:tcW w:w="715" w:type="dxa"/>
            <w:vAlign w:val="center"/>
          </w:tcPr>
          <w:p w14:paraId="7FBFB9E2">
            <w:pPr>
              <w:pStyle w:val="32"/>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eastAsia="宋体" w:cs="宋体"/>
                <w:sz w:val="21"/>
                <w:szCs w:val="21"/>
                <w:highlight w:val="none"/>
                <w:lang w:eastAsia="zh-CN"/>
              </w:rPr>
            </w:pPr>
            <w:r>
              <w:rPr>
                <w:rFonts w:hint="eastAsia" w:cs="宋体"/>
                <w:sz w:val="21"/>
                <w:szCs w:val="21"/>
                <w:highlight w:val="none"/>
                <w:lang w:val="en-US" w:eastAsia="zh-CN"/>
              </w:rPr>
              <w:t>6</w:t>
            </w:r>
          </w:p>
        </w:tc>
      </w:tr>
      <w:tr w14:paraId="7249F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3" w:hRule="atLeast"/>
        </w:trPr>
        <w:tc>
          <w:tcPr>
            <w:tcW w:w="893" w:type="dxa"/>
            <w:vMerge w:val="continue"/>
            <w:vAlign w:val="center"/>
          </w:tcPr>
          <w:p w14:paraId="5BE5F34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Cs w:val="21"/>
                <w:highlight w:val="none"/>
              </w:rPr>
            </w:pPr>
          </w:p>
        </w:tc>
        <w:tc>
          <w:tcPr>
            <w:tcW w:w="1271" w:type="dxa"/>
            <w:shd w:val="clear" w:color="auto" w:fill="auto"/>
            <w:vAlign w:val="center"/>
          </w:tcPr>
          <w:p w14:paraId="4A4775E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拟派人员资质</w:t>
            </w:r>
          </w:p>
        </w:tc>
        <w:tc>
          <w:tcPr>
            <w:tcW w:w="6191" w:type="dxa"/>
            <w:vAlign w:val="center"/>
          </w:tcPr>
          <w:p w14:paraId="3158A73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服务人员具有</w:t>
            </w:r>
            <w:r>
              <w:rPr>
                <w:rFonts w:hint="eastAsia" w:ascii="宋体" w:hAnsi="宋体" w:eastAsia="宋体" w:cs="宋体"/>
                <w:szCs w:val="21"/>
                <w:highlight w:val="none"/>
                <w:lang w:eastAsia="zh-CN"/>
              </w:rPr>
              <w:t>二级</w:t>
            </w:r>
            <w:r>
              <w:rPr>
                <w:rFonts w:hint="eastAsia" w:ascii="宋体" w:hAnsi="宋体" w:eastAsia="宋体" w:cs="宋体"/>
                <w:szCs w:val="21"/>
                <w:highlight w:val="none"/>
                <w:lang w:val="en-US" w:eastAsia="zh-CN"/>
              </w:rPr>
              <w:t>及以上</w:t>
            </w:r>
            <w:r>
              <w:rPr>
                <w:rFonts w:hint="eastAsia" w:ascii="宋体" w:hAnsi="宋体" w:eastAsia="宋体" w:cs="宋体"/>
                <w:szCs w:val="21"/>
                <w:highlight w:val="none"/>
                <w:lang w:eastAsia="zh-CN"/>
              </w:rPr>
              <w:t>建造师执业</w:t>
            </w:r>
            <w:r>
              <w:rPr>
                <w:rFonts w:hint="eastAsia" w:ascii="宋体" w:hAnsi="宋体" w:eastAsia="宋体" w:cs="宋体"/>
                <w:szCs w:val="21"/>
                <w:highlight w:val="none"/>
                <w:lang w:val="en-US" w:eastAsia="zh-CN"/>
              </w:rPr>
              <w:t>注册证</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专业</w:t>
            </w:r>
            <w:r>
              <w:rPr>
                <w:rFonts w:hint="eastAsia" w:ascii="宋体" w:hAnsi="宋体" w:eastAsia="宋体" w:cs="宋体"/>
                <w:szCs w:val="21"/>
                <w:highlight w:val="none"/>
                <w:lang w:eastAsia="zh-CN"/>
              </w:rPr>
              <w:t>机电类）</w:t>
            </w:r>
            <w:r>
              <w:rPr>
                <w:rFonts w:hint="eastAsia" w:ascii="宋体" w:hAnsi="宋体" w:eastAsia="宋体" w:cs="宋体"/>
                <w:szCs w:val="21"/>
                <w:highlight w:val="none"/>
                <w:lang w:val="en-US" w:eastAsia="zh-CN"/>
              </w:rPr>
              <w:t>的有一人得1分，最高</w:t>
            </w:r>
            <w:r>
              <w:rPr>
                <w:rFonts w:hint="eastAsia" w:ascii="宋体" w:hAnsi="宋体" w:cs="宋体"/>
                <w:szCs w:val="21"/>
                <w:highlight w:val="none"/>
                <w:lang w:val="en-US" w:eastAsia="zh-CN"/>
              </w:rPr>
              <w:t>得1</w:t>
            </w:r>
            <w:r>
              <w:rPr>
                <w:rFonts w:hint="eastAsia" w:ascii="宋体" w:hAnsi="宋体" w:eastAsia="宋体" w:cs="宋体"/>
                <w:szCs w:val="21"/>
                <w:highlight w:val="none"/>
              </w:rPr>
              <w:t>分。</w:t>
            </w:r>
          </w:p>
          <w:p w14:paraId="3FD5C39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服务人员具有特种作业操作证（操作项目：低压电工作业）的，有一人的0.5分，最高</w:t>
            </w:r>
            <w:r>
              <w:rPr>
                <w:rFonts w:hint="eastAsia" w:ascii="宋体" w:hAnsi="宋体" w:cs="宋体"/>
                <w:szCs w:val="21"/>
                <w:highlight w:val="none"/>
                <w:lang w:val="en-US" w:eastAsia="zh-CN"/>
              </w:rPr>
              <w:t>得1</w:t>
            </w:r>
            <w:r>
              <w:rPr>
                <w:rFonts w:hint="eastAsia" w:ascii="宋体" w:hAnsi="宋体" w:eastAsia="宋体" w:cs="宋体"/>
                <w:szCs w:val="21"/>
                <w:highlight w:val="none"/>
                <w:lang w:val="en-US" w:eastAsia="zh-CN"/>
              </w:rPr>
              <w:t>分。</w:t>
            </w:r>
          </w:p>
          <w:p w14:paraId="0B5765C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服务人员具有特种作业操作证（操作项目：高处安装、维护、拆除作业</w:t>
            </w:r>
            <w:r>
              <w:rPr>
                <w:rFonts w:hint="eastAsia" w:ascii="宋体" w:hAnsi="宋体" w:cs="宋体"/>
                <w:szCs w:val="21"/>
                <w:highlight w:val="none"/>
                <w:lang w:val="en-US" w:eastAsia="zh-CN"/>
              </w:rPr>
              <w:t>等）</w:t>
            </w:r>
            <w:r>
              <w:rPr>
                <w:rFonts w:hint="eastAsia" w:ascii="宋体" w:hAnsi="宋体" w:eastAsia="宋体" w:cs="宋体"/>
                <w:szCs w:val="21"/>
                <w:highlight w:val="none"/>
                <w:lang w:eastAsia="zh-CN"/>
              </w:rPr>
              <w:t>。每提供</w:t>
            </w:r>
            <w:r>
              <w:rPr>
                <w:rFonts w:hint="eastAsia" w:ascii="宋体" w:hAnsi="宋体" w:eastAsia="宋体" w:cs="宋体"/>
                <w:szCs w:val="21"/>
                <w:highlight w:val="none"/>
                <w:lang w:val="en-US" w:eastAsia="zh-CN"/>
              </w:rPr>
              <w:t>一人</w:t>
            </w:r>
            <w:r>
              <w:rPr>
                <w:rFonts w:hint="eastAsia" w:ascii="宋体" w:hAnsi="宋体" w:eastAsia="宋体" w:cs="宋体"/>
                <w:szCs w:val="21"/>
                <w:highlight w:val="none"/>
                <w:lang w:eastAsia="zh-CN"/>
              </w:rPr>
              <w:t>得</w:t>
            </w:r>
            <w:r>
              <w:rPr>
                <w:rFonts w:hint="eastAsia" w:ascii="宋体" w:hAnsi="宋体" w:eastAsia="宋体" w:cs="宋体"/>
                <w:szCs w:val="21"/>
                <w:highlight w:val="none"/>
                <w:lang w:val="en-US" w:eastAsia="zh-CN"/>
              </w:rPr>
              <w:t>0.5分，最高</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分。</w:t>
            </w:r>
          </w:p>
          <w:p w14:paraId="3CA5797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Cs w:val="21"/>
                <w:highlight w:val="none"/>
              </w:rPr>
            </w:pPr>
            <w:r>
              <w:rPr>
                <w:rFonts w:hint="eastAsia" w:ascii="宋体" w:hAnsi="宋体" w:eastAsia="宋体" w:cs="宋体"/>
                <w:szCs w:val="21"/>
                <w:highlight w:val="none"/>
              </w:rPr>
              <w:t>本项满分</w:t>
            </w:r>
            <w:r>
              <w:rPr>
                <w:rFonts w:hint="eastAsia" w:ascii="宋体" w:hAnsi="宋体" w:cs="宋体"/>
                <w:szCs w:val="21"/>
                <w:highlight w:val="none"/>
                <w:lang w:val="en-US" w:eastAsia="zh-CN"/>
              </w:rPr>
              <w:t>3</w:t>
            </w:r>
            <w:r>
              <w:rPr>
                <w:rFonts w:hint="eastAsia" w:ascii="宋体" w:hAnsi="宋体" w:eastAsia="宋体" w:cs="宋体"/>
                <w:szCs w:val="21"/>
                <w:highlight w:val="none"/>
              </w:rPr>
              <w:t>分。</w:t>
            </w:r>
          </w:p>
          <w:p w14:paraId="703CD2D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提供相关证书复印件</w:t>
            </w:r>
            <w:r>
              <w:rPr>
                <w:rFonts w:hint="eastAsia" w:ascii="宋体" w:hAnsi="宋体" w:cs="宋体"/>
                <w:szCs w:val="21"/>
                <w:highlight w:val="none"/>
                <w:lang w:val="en-US" w:eastAsia="zh-CN"/>
              </w:rPr>
              <w:t>或扫描件</w:t>
            </w:r>
            <w:r>
              <w:rPr>
                <w:rFonts w:hint="eastAsia" w:ascii="宋体" w:hAnsi="宋体" w:eastAsia="宋体" w:cs="宋体"/>
                <w:szCs w:val="21"/>
                <w:highlight w:val="none"/>
              </w:rPr>
              <w:t>及</w:t>
            </w:r>
            <w:r>
              <w:rPr>
                <w:rFonts w:hint="eastAsia" w:ascii="宋体" w:hAnsi="宋体" w:cs="宋体"/>
                <w:szCs w:val="21"/>
                <w:highlight w:val="none"/>
                <w:lang w:eastAsia="zh-CN"/>
              </w:rPr>
              <w:t>参选人</w:t>
            </w:r>
            <w:r>
              <w:rPr>
                <w:rFonts w:hint="eastAsia" w:ascii="宋体" w:hAnsi="宋体" w:eastAsia="宋体" w:cs="宋体"/>
                <w:szCs w:val="21"/>
                <w:highlight w:val="none"/>
              </w:rPr>
              <w:t>为其缴纳的近</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个月的社保证明材料并加盖公章</w:t>
            </w:r>
            <w:r>
              <w:rPr>
                <w:rFonts w:hint="eastAsia" w:ascii="宋体" w:hAnsi="宋体" w:cs="宋体"/>
                <w:szCs w:val="21"/>
                <w:highlight w:val="none"/>
                <w:lang w:eastAsia="zh-CN"/>
              </w:rPr>
              <w:t>。</w:t>
            </w:r>
          </w:p>
        </w:tc>
        <w:tc>
          <w:tcPr>
            <w:tcW w:w="715" w:type="dxa"/>
            <w:vAlign w:val="center"/>
          </w:tcPr>
          <w:p w14:paraId="212AF0A6">
            <w:pPr>
              <w:pStyle w:val="32"/>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cs="宋体"/>
                <w:sz w:val="21"/>
                <w:szCs w:val="21"/>
                <w:highlight w:val="none"/>
                <w:lang w:val="en-US" w:eastAsia="zh-CN"/>
              </w:rPr>
            </w:pPr>
            <w:r>
              <w:rPr>
                <w:rFonts w:hint="eastAsia" w:cs="宋体"/>
                <w:sz w:val="21"/>
                <w:szCs w:val="21"/>
                <w:highlight w:val="none"/>
                <w:lang w:val="en-US" w:eastAsia="zh-CN"/>
              </w:rPr>
              <w:t>3</w:t>
            </w:r>
          </w:p>
        </w:tc>
      </w:tr>
      <w:tr w14:paraId="1EE9EF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893" w:type="dxa"/>
            <w:vMerge w:val="restart"/>
            <w:vAlign w:val="center"/>
          </w:tcPr>
          <w:p w14:paraId="12A8390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技术</w:t>
            </w:r>
          </w:p>
          <w:p w14:paraId="654EB66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部分</w:t>
            </w:r>
          </w:p>
          <w:p w14:paraId="685F947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45分</w:t>
            </w:r>
          </w:p>
        </w:tc>
        <w:tc>
          <w:tcPr>
            <w:tcW w:w="1271" w:type="dxa"/>
            <w:vAlign w:val="center"/>
          </w:tcPr>
          <w:p w14:paraId="39B858B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设备安装服务方案</w:t>
            </w:r>
          </w:p>
        </w:tc>
        <w:tc>
          <w:tcPr>
            <w:tcW w:w="6191" w:type="dxa"/>
            <w:vAlign w:val="center"/>
          </w:tcPr>
          <w:p w14:paraId="0C78A2B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包括安全及文明施工措施、现场施工文明管理措施方案、安装计划及流程。方案需从保证安装质量、安全施工、文明施工、软硬件集成、施工进度等方面统筹安排，综合考虑，提供全面、合理的安装服务方案。方案合理性、可操作性强</w:t>
            </w:r>
            <w:r>
              <w:rPr>
                <w:rFonts w:hint="eastAsia" w:ascii="宋体" w:hAnsi="宋体" w:cs="宋体"/>
                <w:szCs w:val="21"/>
                <w:highlight w:val="none"/>
                <w:lang w:val="en-US" w:eastAsia="zh-CN"/>
              </w:rPr>
              <w:t>的</w:t>
            </w:r>
            <w:r>
              <w:rPr>
                <w:rFonts w:hint="eastAsia" w:ascii="宋体" w:hAnsi="宋体" w:eastAsia="宋体" w:cs="宋体"/>
                <w:sz w:val="21"/>
                <w:szCs w:val="21"/>
                <w:highlight w:val="none"/>
              </w:rPr>
              <w:t>在[</w:t>
            </w:r>
            <w:r>
              <w:rPr>
                <w:rFonts w:hint="eastAsia" w:ascii="宋体" w:hAnsi="宋体" w:eastAsia="宋体" w:cs="宋体"/>
                <w:sz w:val="21"/>
                <w:szCs w:val="21"/>
                <w:highlight w:val="none"/>
                <w:lang w:val="en-US" w:eastAsia="zh-CN"/>
              </w:rPr>
              <w:t>10.5</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w:t>
            </w:r>
            <w:r>
              <w:rPr>
                <w:rFonts w:hint="eastAsia" w:cs="宋体"/>
                <w:sz w:val="21"/>
                <w:szCs w:val="21"/>
                <w:highlight w:val="none"/>
              </w:rPr>
              <w:t>区间内打分，缺少相应内容的评审要点不得分。</w:t>
            </w:r>
          </w:p>
        </w:tc>
        <w:tc>
          <w:tcPr>
            <w:tcW w:w="715" w:type="dxa"/>
            <w:vAlign w:val="center"/>
          </w:tcPr>
          <w:p w14:paraId="6341749D">
            <w:pPr>
              <w:pStyle w:val="32"/>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cs="宋体"/>
                <w:sz w:val="21"/>
                <w:szCs w:val="21"/>
                <w:highlight w:val="none"/>
                <w:lang w:val="en-US" w:eastAsia="zh-CN"/>
              </w:rPr>
            </w:pPr>
            <w:r>
              <w:rPr>
                <w:rFonts w:hint="eastAsia" w:cs="宋体"/>
                <w:sz w:val="21"/>
                <w:szCs w:val="21"/>
                <w:highlight w:val="none"/>
                <w:lang w:val="en-US" w:eastAsia="zh-CN"/>
              </w:rPr>
              <w:t>15</w:t>
            </w:r>
          </w:p>
        </w:tc>
      </w:tr>
      <w:tr w14:paraId="7F0B0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893" w:type="dxa"/>
            <w:vMerge w:val="continue"/>
            <w:vAlign w:val="center"/>
          </w:tcPr>
          <w:p w14:paraId="77D7463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Cs w:val="21"/>
                <w:highlight w:val="none"/>
                <w:lang w:val="en-US" w:eastAsia="zh-CN"/>
              </w:rPr>
            </w:pPr>
          </w:p>
        </w:tc>
        <w:tc>
          <w:tcPr>
            <w:tcW w:w="1271" w:type="dxa"/>
            <w:shd w:val="clear" w:color="auto" w:fill="auto"/>
            <w:vAlign w:val="center"/>
          </w:tcPr>
          <w:p w14:paraId="27D37A2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项目维护及应急方案</w:t>
            </w:r>
          </w:p>
        </w:tc>
        <w:tc>
          <w:tcPr>
            <w:tcW w:w="6191" w:type="dxa"/>
            <w:shd w:val="clear" w:color="auto" w:fill="auto"/>
            <w:vAlign w:val="center"/>
          </w:tcPr>
          <w:p w14:paraId="0D754C7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响应单位针对本项目有详细项目维护及应急方案，包含故障处理、突发状况处理、紧急求助等事件的响应备案。方案合理性、可操作性强</w:t>
            </w:r>
            <w:r>
              <w:rPr>
                <w:rFonts w:hint="eastAsia" w:ascii="宋体" w:hAnsi="宋体" w:cs="宋体"/>
                <w:szCs w:val="21"/>
                <w:highlight w:val="none"/>
                <w:lang w:val="en-US" w:eastAsia="zh-CN"/>
              </w:rPr>
              <w:t>的</w:t>
            </w:r>
            <w:r>
              <w:rPr>
                <w:rFonts w:hint="eastAsia" w:ascii="宋体" w:hAnsi="宋体" w:eastAsia="宋体" w:cs="宋体"/>
                <w:sz w:val="21"/>
                <w:szCs w:val="21"/>
                <w:highlight w:val="none"/>
              </w:rPr>
              <w:t>在[</w:t>
            </w:r>
            <w:r>
              <w:rPr>
                <w:rFonts w:hint="eastAsia" w:ascii="宋体" w:hAnsi="宋体" w:eastAsia="宋体" w:cs="宋体"/>
                <w:sz w:val="21"/>
                <w:szCs w:val="21"/>
                <w:highlight w:val="none"/>
                <w:lang w:val="en-US" w:eastAsia="zh-CN"/>
              </w:rPr>
              <w:t>10.5</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w:t>
            </w:r>
            <w:r>
              <w:rPr>
                <w:rFonts w:hint="eastAsia" w:cs="宋体"/>
                <w:sz w:val="21"/>
                <w:szCs w:val="21"/>
                <w:highlight w:val="none"/>
              </w:rPr>
              <w:t>区间内打分，缺少相应内容的评审要点不得分。</w:t>
            </w:r>
          </w:p>
        </w:tc>
        <w:tc>
          <w:tcPr>
            <w:tcW w:w="715" w:type="dxa"/>
            <w:shd w:val="clear" w:color="auto" w:fill="auto"/>
            <w:vAlign w:val="center"/>
          </w:tcPr>
          <w:p w14:paraId="3A0B0F6E">
            <w:pPr>
              <w:pStyle w:val="32"/>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color w:val="000000"/>
                <w:kern w:val="0"/>
                <w:sz w:val="21"/>
                <w:szCs w:val="21"/>
                <w:highlight w:val="none"/>
                <w:lang w:val="en-US" w:eastAsia="zh-CN" w:bidi="ar-SA"/>
              </w:rPr>
            </w:pPr>
            <w:r>
              <w:rPr>
                <w:rFonts w:hint="eastAsia" w:cs="宋体"/>
                <w:sz w:val="21"/>
                <w:szCs w:val="21"/>
                <w:highlight w:val="none"/>
                <w:lang w:val="en-US" w:eastAsia="zh-CN"/>
              </w:rPr>
              <w:t>15</w:t>
            </w:r>
          </w:p>
        </w:tc>
      </w:tr>
      <w:tr w14:paraId="7E1288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93" w:type="dxa"/>
            <w:vMerge w:val="continue"/>
            <w:vAlign w:val="center"/>
          </w:tcPr>
          <w:p w14:paraId="75D0F3A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Cs w:val="21"/>
                <w:highlight w:val="none"/>
              </w:rPr>
            </w:pPr>
          </w:p>
        </w:tc>
        <w:tc>
          <w:tcPr>
            <w:tcW w:w="1271" w:type="dxa"/>
            <w:shd w:val="clear" w:color="auto" w:fill="auto"/>
            <w:vAlign w:val="center"/>
          </w:tcPr>
          <w:p w14:paraId="498389C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售后服务体系</w:t>
            </w:r>
          </w:p>
        </w:tc>
        <w:tc>
          <w:tcPr>
            <w:tcW w:w="6191" w:type="dxa"/>
            <w:shd w:val="clear" w:color="auto" w:fill="auto"/>
            <w:vAlign w:val="center"/>
          </w:tcPr>
          <w:p w14:paraId="1E57314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售后维修服务体系及方案、技术支持及培训计划比较，由评委评定：售后维修服务体系及方案、技术支持及培训计划考虑周全完善、可行性高</w:t>
            </w:r>
            <w:r>
              <w:rPr>
                <w:rFonts w:hint="eastAsia" w:ascii="宋体" w:hAnsi="宋体" w:cs="宋体"/>
                <w:szCs w:val="21"/>
                <w:highlight w:val="none"/>
                <w:lang w:val="en-US" w:eastAsia="zh-CN"/>
              </w:rPr>
              <w:t>的</w:t>
            </w:r>
            <w:r>
              <w:rPr>
                <w:rFonts w:hint="eastAsia" w:ascii="宋体" w:hAnsi="宋体" w:eastAsia="宋体" w:cs="宋体"/>
                <w:sz w:val="21"/>
                <w:szCs w:val="21"/>
                <w:highlight w:val="none"/>
              </w:rPr>
              <w:t>在[</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w:t>
            </w:r>
            <w:r>
              <w:rPr>
                <w:rFonts w:hint="eastAsia" w:cs="宋体"/>
                <w:sz w:val="21"/>
                <w:szCs w:val="21"/>
                <w:highlight w:val="none"/>
              </w:rPr>
              <w:t>区间内打分，缺少相应内容的评审要点不得分。</w:t>
            </w:r>
          </w:p>
        </w:tc>
        <w:tc>
          <w:tcPr>
            <w:tcW w:w="715" w:type="dxa"/>
            <w:shd w:val="clear" w:color="auto" w:fill="auto"/>
            <w:vAlign w:val="center"/>
          </w:tcPr>
          <w:p w14:paraId="3498059F">
            <w:pPr>
              <w:pStyle w:val="32"/>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宋体" w:hAnsi="宋体" w:eastAsia="宋体" w:cs="宋体"/>
                <w:color w:val="000000"/>
                <w:kern w:val="0"/>
                <w:sz w:val="21"/>
                <w:szCs w:val="21"/>
                <w:highlight w:val="none"/>
                <w:lang w:val="en-US" w:eastAsia="zh-CN" w:bidi="ar-SA"/>
              </w:rPr>
            </w:pPr>
            <w:r>
              <w:rPr>
                <w:rFonts w:hint="eastAsia" w:cs="宋体"/>
                <w:sz w:val="21"/>
                <w:szCs w:val="21"/>
                <w:highlight w:val="none"/>
                <w:lang w:val="en-US" w:eastAsia="zh-CN"/>
              </w:rPr>
              <w:t>10</w:t>
            </w:r>
          </w:p>
        </w:tc>
      </w:tr>
      <w:tr w14:paraId="39646D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3" w:type="dxa"/>
            <w:vMerge w:val="continue"/>
            <w:vAlign w:val="center"/>
          </w:tcPr>
          <w:p w14:paraId="354CB30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Cs w:val="21"/>
                <w:highlight w:val="none"/>
              </w:rPr>
            </w:pPr>
          </w:p>
        </w:tc>
        <w:tc>
          <w:tcPr>
            <w:tcW w:w="1271" w:type="dxa"/>
            <w:vAlign w:val="center"/>
          </w:tcPr>
          <w:p w14:paraId="5AA365F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设备品牌</w:t>
            </w:r>
          </w:p>
        </w:tc>
        <w:tc>
          <w:tcPr>
            <w:tcW w:w="6191" w:type="dxa"/>
            <w:vAlign w:val="center"/>
          </w:tcPr>
          <w:p w14:paraId="52ABC415">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评委根据参选人提供的全彩显示屏体和蓄电池品牌进行打分，品质高、功能性强、知名度高的在</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r>
              <w:rPr>
                <w:rFonts w:hint="eastAsia" w:cs="宋体"/>
                <w:sz w:val="21"/>
                <w:szCs w:val="21"/>
                <w:highlight w:val="none"/>
              </w:rPr>
              <w:t>区间内打分，缺少相应内容的评审要点不得分。</w:t>
            </w:r>
          </w:p>
        </w:tc>
        <w:tc>
          <w:tcPr>
            <w:tcW w:w="715" w:type="dxa"/>
            <w:vAlign w:val="center"/>
          </w:tcPr>
          <w:p w14:paraId="466AA129">
            <w:pPr>
              <w:pStyle w:val="32"/>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cs="宋体"/>
                <w:sz w:val="21"/>
                <w:szCs w:val="21"/>
                <w:highlight w:val="none"/>
                <w:lang w:val="en-US" w:eastAsia="zh-CN"/>
              </w:rPr>
            </w:pPr>
            <w:r>
              <w:rPr>
                <w:rFonts w:hint="eastAsia" w:cs="宋体"/>
                <w:sz w:val="21"/>
                <w:szCs w:val="21"/>
                <w:highlight w:val="none"/>
                <w:lang w:val="en-US" w:eastAsia="zh-CN"/>
              </w:rPr>
              <w:t>5</w:t>
            </w:r>
          </w:p>
        </w:tc>
      </w:tr>
      <w:tr w14:paraId="48049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1" w:hRule="atLeast"/>
        </w:trPr>
        <w:tc>
          <w:tcPr>
            <w:tcW w:w="893" w:type="dxa"/>
            <w:vMerge w:val="restart"/>
            <w:vAlign w:val="center"/>
          </w:tcPr>
          <w:p w14:paraId="5C9EADB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Cs w:val="21"/>
                <w:highlight w:val="none"/>
              </w:rPr>
            </w:pPr>
            <w:r>
              <w:rPr>
                <w:rFonts w:hint="eastAsia" w:ascii="宋体" w:hAnsi="宋体" w:cs="宋体"/>
                <w:szCs w:val="21"/>
                <w:highlight w:val="none"/>
              </w:rPr>
              <w:t>报价</w:t>
            </w:r>
          </w:p>
          <w:p w14:paraId="4E7A15C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Cs w:val="21"/>
                <w:highlight w:val="none"/>
              </w:rPr>
            </w:pPr>
            <w:r>
              <w:rPr>
                <w:rFonts w:hint="eastAsia" w:ascii="宋体" w:hAnsi="宋体" w:cs="宋体"/>
                <w:szCs w:val="21"/>
                <w:highlight w:val="none"/>
              </w:rPr>
              <w:t>部分</w:t>
            </w:r>
          </w:p>
          <w:p w14:paraId="3CA228C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Cs w:val="21"/>
                <w:highlight w:val="none"/>
              </w:rPr>
            </w:pPr>
            <w:r>
              <w:rPr>
                <w:rFonts w:hint="eastAsia" w:ascii="宋体" w:hAnsi="宋体" w:cs="宋体"/>
                <w:szCs w:val="21"/>
                <w:highlight w:val="none"/>
                <w:lang w:val="en-US" w:eastAsia="zh-CN"/>
              </w:rPr>
              <w:t>45</w:t>
            </w:r>
            <w:r>
              <w:rPr>
                <w:rFonts w:hint="eastAsia" w:ascii="宋体" w:hAnsi="宋体" w:cs="宋体"/>
                <w:szCs w:val="21"/>
                <w:highlight w:val="none"/>
              </w:rPr>
              <w:t>分</w:t>
            </w:r>
          </w:p>
        </w:tc>
        <w:tc>
          <w:tcPr>
            <w:tcW w:w="1271" w:type="dxa"/>
            <w:vAlign w:val="center"/>
          </w:tcPr>
          <w:p w14:paraId="3403C1B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color w:val="000000"/>
                <w:szCs w:val="21"/>
                <w:highlight w:val="none"/>
              </w:rPr>
            </w:pPr>
            <w:r>
              <w:rPr>
                <w:rFonts w:hint="eastAsia" w:ascii="宋体" w:hAnsi="宋体" w:cs="宋体"/>
                <w:szCs w:val="21"/>
                <w:highlight w:val="none"/>
              </w:rPr>
              <w:t>计算评标基准价</w:t>
            </w:r>
          </w:p>
        </w:tc>
        <w:tc>
          <w:tcPr>
            <w:tcW w:w="6906" w:type="dxa"/>
            <w:gridSpan w:val="2"/>
            <w:vAlign w:val="center"/>
          </w:tcPr>
          <w:p w14:paraId="0F2C999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zCs w:val="21"/>
                <w:highlight w:val="none"/>
              </w:rPr>
            </w:pPr>
            <w:r>
              <w:rPr>
                <w:rFonts w:hint="eastAsia" w:ascii="宋体" w:hAnsi="宋体" w:cs="宋体"/>
                <w:szCs w:val="21"/>
                <w:highlight w:val="none"/>
              </w:rPr>
              <w:t>1、有效报价为 9 家及以上的，去掉两个最高和两个最低的四个报价取平均值*K 值(K 值为97%、98%、99%)得出评标基准价，K 值在开标现场由</w:t>
            </w:r>
            <w:r>
              <w:rPr>
                <w:rFonts w:hint="eastAsia" w:ascii="宋体" w:hAnsi="宋体" w:cs="宋体"/>
                <w:szCs w:val="21"/>
                <w:highlight w:val="none"/>
                <w:lang w:val="en-US" w:eastAsia="zh-CN"/>
              </w:rPr>
              <w:t>参选人</w:t>
            </w:r>
            <w:r>
              <w:rPr>
                <w:rFonts w:hint="eastAsia" w:ascii="宋体" w:hAnsi="宋体" w:cs="宋体"/>
                <w:szCs w:val="21"/>
                <w:highlight w:val="none"/>
              </w:rPr>
              <w:t xml:space="preserve">抽取。 </w:t>
            </w:r>
          </w:p>
          <w:p w14:paraId="3D0D5AE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zCs w:val="21"/>
                <w:highlight w:val="none"/>
              </w:rPr>
            </w:pPr>
            <w:r>
              <w:rPr>
                <w:rFonts w:hint="eastAsia" w:ascii="宋体" w:hAnsi="宋体" w:cs="宋体"/>
                <w:szCs w:val="21"/>
                <w:highlight w:val="none"/>
              </w:rPr>
              <w:t>2、有效报价为 5 家及以上的，去掉一个最高和一个最低的两个报价取平均值*K 值(K 值为97%、98%、99%)得出评标基准价，K 值在开标现场由</w:t>
            </w:r>
            <w:r>
              <w:rPr>
                <w:rFonts w:hint="eastAsia" w:ascii="宋体" w:hAnsi="宋体" w:cs="宋体"/>
                <w:szCs w:val="21"/>
                <w:highlight w:val="none"/>
                <w:lang w:val="en-US" w:eastAsia="zh-CN"/>
              </w:rPr>
              <w:t>参选人</w:t>
            </w:r>
            <w:r>
              <w:rPr>
                <w:rFonts w:hint="eastAsia" w:ascii="宋体" w:hAnsi="宋体" w:cs="宋体"/>
                <w:szCs w:val="21"/>
                <w:highlight w:val="none"/>
              </w:rPr>
              <w:t xml:space="preserve">抽取。 </w:t>
            </w:r>
          </w:p>
          <w:p w14:paraId="4465EF7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zCs w:val="21"/>
                <w:highlight w:val="none"/>
              </w:rPr>
            </w:pPr>
            <w:r>
              <w:rPr>
                <w:rFonts w:hint="eastAsia" w:ascii="宋体" w:hAnsi="宋体" w:cs="宋体"/>
                <w:szCs w:val="21"/>
                <w:highlight w:val="none"/>
              </w:rPr>
              <w:t>3、有效报价为 5 家以下的，取平均价*K 值(K 值为97%、98%、99%)得出评标基准价，K 值在开标现场由</w:t>
            </w:r>
            <w:r>
              <w:rPr>
                <w:rFonts w:hint="eastAsia" w:ascii="宋体" w:hAnsi="宋体" w:cs="宋体"/>
                <w:szCs w:val="21"/>
                <w:highlight w:val="none"/>
                <w:lang w:val="en-US" w:eastAsia="zh-CN"/>
              </w:rPr>
              <w:t>参选人</w:t>
            </w:r>
            <w:r>
              <w:rPr>
                <w:rFonts w:hint="eastAsia" w:ascii="宋体" w:hAnsi="宋体" w:cs="宋体"/>
                <w:szCs w:val="21"/>
                <w:highlight w:val="none"/>
              </w:rPr>
              <w:t>抽取。</w:t>
            </w:r>
          </w:p>
          <w:p w14:paraId="15A193D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b/>
                <w:bCs/>
                <w:szCs w:val="21"/>
                <w:highlight w:val="none"/>
              </w:rPr>
            </w:pPr>
            <w:r>
              <w:rPr>
                <w:rFonts w:hint="eastAsia" w:ascii="宋体" w:hAnsi="宋体" w:cs="宋体"/>
                <w:b/>
                <w:bCs/>
                <w:szCs w:val="21"/>
                <w:highlight w:val="none"/>
              </w:rPr>
              <w:t>除确认存在计算错误外，评标基准价不因招投标当事人质疑、投诉、复议以及其它任何情形而改变。</w:t>
            </w:r>
          </w:p>
          <w:p w14:paraId="72B225A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b/>
                <w:bCs/>
                <w:szCs w:val="21"/>
                <w:highlight w:val="none"/>
              </w:rPr>
            </w:pPr>
            <w:r>
              <w:rPr>
                <w:rFonts w:hint="eastAsia" w:ascii="宋体" w:hAnsi="宋体" w:cs="宋体"/>
                <w:b/>
                <w:bCs/>
                <w:szCs w:val="21"/>
                <w:highlight w:val="none"/>
              </w:rPr>
              <w:t>如经评审的有效</w:t>
            </w:r>
            <w:r>
              <w:rPr>
                <w:rFonts w:hint="eastAsia" w:ascii="宋体" w:hAnsi="宋体" w:cs="宋体"/>
                <w:b/>
                <w:bCs/>
                <w:szCs w:val="21"/>
                <w:highlight w:val="none"/>
                <w:lang w:eastAsia="zh-CN"/>
              </w:rPr>
              <w:t>参选人</w:t>
            </w:r>
            <w:r>
              <w:rPr>
                <w:rFonts w:hint="eastAsia" w:ascii="宋体" w:hAnsi="宋体" w:cs="宋体"/>
                <w:b/>
                <w:bCs/>
                <w:szCs w:val="21"/>
                <w:highlight w:val="none"/>
              </w:rPr>
              <w:t>报价低于“评标基准价的80%（不含）”，评标委员会将可能要求该</w:t>
            </w:r>
            <w:r>
              <w:rPr>
                <w:rFonts w:hint="eastAsia" w:ascii="宋体" w:hAnsi="宋体" w:cs="宋体"/>
                <w:b/>
                <w:bCs/>
                <w:szCs w:val="21"/>
                <w:highlight w:val="none"/>
                <w:lang w:eastAsia="zh-CN"/>
              </w:rPr>
              <w:t>参选人</w:t>
            </w:r>
            <w:r>
              <w:rPr>
                <w:rFonts w:hint="eastAsia" w:ascii="宋体" w:hAnsi="宋体" w:cs="宋体"/>
                <w:b/>
                <w:bCs/>
                <w:szCs w:val="21"/>
                <w:highlight w:val="none"/>
              </w:rPr>
              <w:t>做出书面说明并提供相关证明材料，以证明该报价可以按照规定的工期和质量要求完成本工程，书面澄清将作为</w:t>
            </w:r>
            <w:r>
              <w:rPr>
                <w:rFonts w:hint="eastAsia" w:ascii="宋体" w:hAnsi="宋体" w:cs="宋体"/>
                <w:b/>
                <w:bCs/>
                <w:szCs w:val="21"/>
                <w:highlight w:val="none"/>
                <w:lang w:eastAsia="zh-CN"/>
              </w:rPr>
              <w:t>参选</w:t>
            </w:r>
            <w:r>
              <w:rPr>
                <w:rFonts w:hint="eastAsia" w:ascii="宋体" w:hAnsi="宋体" w:cs="宋体"/>
                <w:b/>
                <w:bCs/>
                <w:szCs w:val="21"/>
                <w:highlight w:val="none"/>
              </w:rPr>
              <w:t>文件的有效组成部分。若</w:t>
            </w:r>
            <w:r>
              <w:rPr>
                <w:rFonts w:hint="eastAsia" w:ascii="宋体" w:hAnsi="宋体" w:cs="宋体"/>
                <w:b/>
                <w:bCs/>
                <w:szCs w:val="21"/>
                <w:highlight w:val="none"/>
                <w:lang w:eastAsia="zh-CN"/>
              </w:rPr>
              <w:t>参选人</w:t>
            </w:r>
            <w:r>
              <w:rPr>
                <w:rFonts w:hint="eastAsia" w:ascii="宋体" w:hAnsi="宋体" w:cs="宋体"/>
                <w:b/>
                <w:bCs/>
                <w:szCs w:val="21"/>
                <w:highlight w:val="none"/>
              </w:rPr>
              <w:t>拒不澄清确认的或不能合理说明或不能提供相应证明材料的，评标委员会将否决其</w:t>
            </w:r>
            <w:r>
              <w:rPr>
                <w:rFonts w:hint="eastAsia" w:ascii="宋体" w:hAnsi="宋体" w:cs="宋体"/>
                <w:b/>
                <w:bCs/>
                <w:szCs w:val="21"/>
                <w:highlight w:val="none"/>
                <w:lang w:eastAsia="zh-CN"/>
              </w:rPr>
              <w:t>参选</w:t>
            </w:r>
            <w:r>
              <w:rPr>
                <w:rFonts w:hint="eastAsia" w:ascii="宋体" w:hAnsi="宋体" w:cs="宋体"/>
                <w:b/>
                <w:bCs/>
                <w:szCs w:val="21"/>
                <w:highlight w:val="none"/>
              </w:rPr>
              <w:t>。</w:t>
            </w:r>
          </w:p>
          <w:p w14:paraId="375B637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000000"/>
                <w:szCs w:val="21"/>
                <w:highlight w:val="none"/>
              </w:rPr>
            </w:pPr>
            <w:r>
              <w:rPr>
                <w:rFonts w:hint="eastAsia" w:ascii="宋体" w:hAnsi="宋体" w:cs="宋体"/>
                <w:b/>
                <w:bCs/>
                <w:szCs w:val="21"/>
                <w:highlight w:val="none"/>
              </w:rPr>
              <w:t>如</w:t>
            </w:r>
            <w:r>
              <w:rPr>
                <w:rFonts w:hint="eastAsia" w:ascii="宋体" w:hAnsi="宋体" w:cs="宋体"/>
                <w:b/>
                <w:bCs/>
                <w:szCs w:val="21"/>
                <w:highlight w:val="none"/>
                <w:lang w:eastAsia="zh-CN"/>
              </w:rPr>
              <w:t>参选人</w:t>
            </w:r>
            <w:r>
              <w:rPr>
                <w:rFonts w:hint="eastAsia" w:ascii="宋体" w:hAnsi="宋体" w:cs="宋体"/>
                <w:b/>
                <w:bCs/>
                <w:szCs w:val="21"/>
                <w:highlight w:val="none"/>
              </w:rPr>
              <w:t>因价格部分评审被废标/否决，视为未通过初步评审，将重新计算评标基准价（K值不再抽取）。</w:t>
            </w:r>
          </w:p>
        </w:tc>
      </w:tr>
      <w:tr w14:paraId="6F4995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7" w:hRule="atLeast"/>
        </w:trPr>
        <w:tc>
          <w:tcPr>
            <w:tcW w:w="893" w:type="dxa"/>
            <w:vMerge w:val="continue"/>
            <w:vAlign w:val="center"/>
          </w:tcPr>
          <w:p w14:paraId="73B8AB9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Cs w:val="21"/>
                <w:highlight w:val="none"/>
              </w:rPr>
            </w:pPr>
          </w:p>
        </w:tc>
        <w:tc>
          <w:tcPr>
            <w:tcW w:w="8177" w:type="dxa"/>
            <w:gridSpan w:val="3"/>
            <w:vAlign w:val="center"/>
          </w:tcPr>
          <w:p w14:paraId="6B0360AA">
            <w:pPr>
              <w:keepNext w:val="0"/>
              <w:keepLines w:val="0"/>
              <w:pageBreakBefore w:val="0"/>
              <w:tabs>
                <w:tab w:val="left" w:pos="284"/>
                <w:tab w:val="left" w:pos="540"/>
                <w:tab w:val="left" w:pos="1620"/>
              </w:tabs>
              <w:kinsoku/>
              <w:wordWrap/>
              <w:overflowPunct/>
              <w:topLinePunct w:val="0"/>
              <w:autoSpaceDE/>
              <w:autoSpaceDN/>
              <w:bidi w:val="0"/>
              <w:adjustRightInd/>
              <w:snapToGrid/>
              <w:spacing w:line="400" w:lineRule="exact"/>
              <w:textAlignment w:val="auto"/>
              <w:rPr>
                <w:rFonts w:hint="eastAsia" w:ascii="宋体" w:hAnsi="宋体" w:cs="宋体"/>
                <w:szCs w:val="21"/>
                <w:highlight w:val="none"/>
              </w:rPr>
            </w:pPr>
            <w:r>
              <w:rPr>
                <w:rFonts w:hint="eastAsia" w:ascii="宋体" w:hAnsi="宋体" w:cs="宋体"/>
                <w:szCs w:val="21"/>
                <w:highlight w:val="none"/>
              </w:rPr>
              <w:t>偏差率=100%×（</w:t>
            </w:r>
            <w:r>
              <w:rPr>
                <w:rFonts w:hint="eastAsia" w:ascii="宋体" w:hAnsi="宋体" w:cs="宋体"/>
                <w:szCs w:val="21"/>
                <w:highlight w:val="none"/>
                <w:lang w:eastAsia="zh-CN"/>
              </w:rPr>
              <w:t>参选人</w:t>
            </w:r>
            <w:r>
              <w:rPr>
                <w:rFonts w:hint="eastAsia" w:ascii="宋体" w:hAnsi="宋体" w:cs="宋体"/>
                <w:szCs w:val="21"/>
                <w:highlight w:val="none"/>
              </w:rPr>
              <w:t>报价－评标基准价）/评标基准价</w:t>
            </w:r>
          </w:p>
          <w:p w14:paraId="7BA05323">
            <w:pPr>
              <w:keepNext w:val="0"/>
              <w:keepLines w:val="0"/>
              <w:pageBreakBefore w:val="0"/>
              <w:tabs>
                <w:tab w:val="left" w:pos="284"/>
                <w:tab w:val="left" w:pos="540"/>
                <w:tab w:val="left" w:pos="1620"/>
              </w:tabs>
              <w:kinsoku/>
              <w:wordWrap/>
              <w:overflowPunct/>
              <w:topLinePunct w:val="0"/>
              <w:autoSpaceDE/>
              <w:autoSpaceDN/>
              <w:bidi w:val="0"/>
              <w:adjustRightInd/>
              <w:snapToGrid/>
              <w:spacing w:line="400" w:lineRule="exact"/>
              <w:textAlignment w:val="auto"/>
              <w:rPr>
                <w:rFonts w:hint="eastAsia" w:ascii="宋体" w:hAnsi="宋体" w:cs="宋体"/>
                <w:szCs w:val="21"/>
                <w:highlight w:val="none"/>
              </w:rPr>
            </w:pPr>
            <w:r>
              <w:rPr>
                <w:rFonts w:hint="eastAsia" w:ascii="宋体" w:hAnsi="宋体" w:cs="宋体"/>
                <w:szCs w:val="21"/>
                <w:highlight w:val="none"/>
              </w:rPr>
              <w:t>报价得分计算公式示例：</w:t>
            </w:r>
          </w:p>
          <w:p w14:paraId="50A26FCF">
            <w:pPr>
              <w:keepNext w:val="0"/>
              <w:keepLines w:val="0"/>
              <w:pageBreakBefore w:val="0"/>
              <w:tabs>
                <w:tab w:val="left" w:pos="284"/>
                <w:tab w:val="left" w:pos="540"/>
                <w:tab w:val="left" w:pos="1620"/>
              </w:tabs>
              <w:kinsoku/>
              <w:wordWrap/>
              <w:overflowPunct/>
              <w:topLinePunct w:val="0"/>
              <w:autoSpaceDE/>
              <w:autoSpaceDN/>
              <w:bidi w:val="0"/>
              <w:adjustRightInd/>
              <w:snapToGrid/>
              <w:spacing w:line="400" w:lineRule="exact"/>
              <w:textAlignment w:val="auto"/>
              <w:rPr>
                <w:rFonts w:hint="eastAsia" w:ascii="宋体" w:hAnsi="宋体" w:cs="宋体"/>
                <w:szCs w:val="21"/>
                <w:highlight w:val="none"/>
              </w:rPr>
            </w:pPr>
            <w:r>
              <w:rPr>
                <w:rFonts w:hint="eastAsia" w:ascii="宋体" w:hAnsi="宋体" w:cs="宋体"/>
                <w:szCs w:val="21"/>
                <w:highlight w:val="none"/>
              </w:rPr>
              <w:t>（1）如果</w:t>
            </w:r>
            <w:r>
              <w:rPr>
                <w:rFonts w:hint="eastAsia" w:ascii="宋体" w:hAnsi="宋体" w:cs="宋体"/>
                <w:szCs w:val="21"/>
                <w:highlight w:val="none"/>
                <w:lang w:eastAsia="zh-CN"/>
              </w:rPr>
              <w:t>参选人</w:t>
            </w:r>
            <w:r>
              <w:rPr>
                <w:rFonts w:hint="eastAsia" w:ascii="宋体" w:hAnsi="宋体" w:cs="宋体"/>
                <w:szCs w:val="21"/>
                <w:highlight w:val="none"/>
              </w:rPr>
              <w:t>的报价＞评标基准价，则报价得分=</w:t>
            </w:r>
            <w:r>
              <w:rPr>
                <w:rFonts w:hint="eastAsia" w:ascii="宋体" w:hAnsi="宋体" w:cs="宋体"/>
                <w:szCs w:val="21"/>
                <w:highlight w:val="none"/>
                <w:lang w:val="en-US" w:eastAsia="zh-CN"/>
              </w:rPr>
              <w:t>45</w:t>
            </w:r>
            <w:r>
              <w:rPr>
                <w:rFonts w:hint="eastAsia" w:ascii="宋体" w:hAnsi="宋体" w:cs="宋体"/>
                <w:szCs w:val="21"/>
                <w:highlight w:val="none"/>
              </w:rPr>
              <w:t>-偏差率×100×E1；</w:t>
            </w:r>
          </w:p>
          <w:p w14:paraId="02A8290D">
            <w:pPr>
              <w:keepNext w:val="0"/>
              <w:keepLines w:val="0"/>
              <w:pageBreakBefore w:val="0"/>
              <w:tabs>
                <w:tab w:val="left" w:pos="284"/>
                <w:tab w:val="left" w:pos="540"/>
                <w:tab w:val="left" w:pos="1620"/>
              </w:tabs>
              <w:kinsoku/>
              <w:wordWrap/>
              <w:overflowPunct/>
              <w:topLinePunct w:val="0"/>
              <w:autoSpaceDE/>
              <w:autoSpaceDN/>
              <w:bidi w:val="0"/>
              <w:adjustRightInd/>
              <w:snapToGrid/>
              <w:spacing w:line="400" w:lineRule="exact"/>
              <w:textAlignment w:val="auto"/>
              <w:rPr>
                <w:rFonts w:hint="eastAsia" w:ascii="宋体" w:hAnsi="宋体" w:cs="宋体"/>
                <w:szCs w:val="21"/>
                <w:highlight w:val="none"/>
              </w:rPr>
            </w:pPr>
            <w:r>
              <w:rPr>
                <w:rFonts w:hint="eastAsia" w:ascii="宋体" w:hAnsi="宋体" w:cs="宋体"/>
                <w:szCs w:val="21"/>
                <w:highlight w:val="none"/>
              </w:rPr>
              <w:t>（2）如果</w:t>
            </w:r>
            <w:r>
              <w:rPr>
                <w:rFonts w:hint="eastAsia" w:ascii="宋体" w:hAnsi="宋体" w:cs="宋体"/>
                <w:szCs w:val="21"/>
                <w:highlight w:val="none"/>
                <w:lang w:eastAsia="zh-CN"/>
              </w:rPr>
              <w:t>参选人</w:t>
            </w:r>
            <w:r>
              <w:rPr>
                <w:rFonts w:hint="eastAsia" w:ascii="宋体" w:hAnsi="宋体" w:cs="宋体"/>
                <w:szCs w:val="21"/>
                <w:highlight w:val="none"/>
              </w:rPr>
              <w:t>的报价≤评标基准价，则报价得分=</w:t>
            </w:r>
            <w:r>
              <w:rPr>
                <w:rFonts w:hint="eastAsia" w:ascii="宋体" w:hAnsi="宋体" w:cs="宋体"/>
                <w:szCs w:val="21"/>
                <w:highlight w:val="none"/>
                <w:lang w:val="en-US" w:eastAsia="zh-CN"/>
              </w:rPr>
              <w:t>45</w:t>
            </w:r>
            <w:r>
              <w:rPr>
                <w:rFonts w:hint="eastAsia" w:ascii="宋体" w:hAnsi="宋体" w:cs="宋体"/>
                <w:szCs w:val="21"/>
                <w:highlight w:val="none"/>
              </w:rPr>
              <w:t>+偏差率×100×E2；</w:t>
            </w:r>
          </w:p>
          <w:p w14:paraId="083B8AD4">
            <w:pPr>
              <w:keepNext w:val="0"/>
              <w:keepLines w:val="0"/>
              <w:pageBreakBefore w:val="0"/>
              <w:tabs>
                <w:tab w:val="left" w:pos="284"/>
                <w:tab w:val="left" w:pos="540"/>
                <w:tab w:val="left" w:pos="1620"/>
              </w:tabs>
              <w:kinsoku/>
              <w:wordWrap/>
              <w:overflowPunct/>
              <w:topLinePunct w:val="0"/>
              <w:autoSpaceDE/>
              <w:autoSpaceDN/>
              <w:bidi w:val="0"/>
              <w:adjustRightInd/>
              <w:snapToGrid/>
              <w:spacing w:line="400" w:lineRule="exact"/>
              <w:textAlignment w:val="auto"/>
              <w:rPr>
                <w:rFonts w:hint="eastAsia" w:ascii="宋体" w:hAnsi="宋体" w:cs="宋体"/>
                <w:color w:val="000000"/>
                <w:szCs w:val="21"/>
                <w:highlight w:val="none"/>
              </w:rPr>
            </w:pPr>
            <w:r>
              <w:rPr>
                <w:rFonts w:hint="eastAsia" w:ascii="宋体" w:hAnsi="宋体" w:cs="宋体"/>
                <w:szCs w:val="21"/>
                <w:highlight w:val="none"/>
              </w:rPr>
              <w:t>其中：E1是评标价每高于评标基准价一个百分点的扣分值；E2是评标价每低于评标基准价一个百分点的扣分值。E1=0.9，E2=0.6，扣完为止。评分计算过程中的偏差率和分值计算结果均保留两位小数，第三位四舍五入。</w:t>
            </w:r>
          </w:p>
        </w:tc>
      </w:tr>
      <w:tr w14:paraId="343E2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893" w:type="dxa"/>
            <w:tcBorders>
              <w:bottom w:val="single" w:color="000000" w:sz="12" w:space="0"/>
            </w:tcBorders>
            <w:vAlign w:val="center"/>
          </w:tcPr>
          <w:p w14:paraId="44FF3F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Cs w:val="21"/>
                <w:highlight w:val="none"/>
              </w:rPr>
            </w:pPr>
            <w:r>
              <w:rPr>
                <w:rFonts w:hint="eastAsia" w:ascii="宋体" w:hAnsi="宋体" w:cs="宋体"/>
                <w:szCs w:val="21"/>
                <w:highlight w:val="none"/>
              </w:rPr>
              <w:t>备注</w:t>
            </w:r>
          </w:p>
        </w:tc>
        <w:tc>
          <w:tcPr>
            <w:tcW w:w="8177" w:type="dxa"/>
            <w:gridSpan w:val="3"/>
            <w:tcBorders>
              <w:bottom w:val="single" w:color="000000" w:sz="12" w:space="0"/>
            </w:tcBorders>
            <w:vAlign w:val="center"/>
          </w:tcPr>
          <w:p w14:paraId="0F3B731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b/>
                <w:bCs/>
                <w:szCs w:val="21"/>
                <w:highlight w:val="none"/>
              </w:rPr>
            </w:pPr>
            <w:r>
              <w:rPr>
                <w:rFonts w:hint="eastAsia" w:ascii="宋体" w:hAnsi="宋体" w:cs="宋体"/>
                <w:b/>
                <w:bCs/>
                <w:szCs w:val="21"/>
                <w:highlight w:val="none"/>
              </w:rPr>
              <w:t>技术部分打分：</w:t>
            </w:r>
          </w:p>
          <w:p w14:paraId="76BB3AF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zCs w:val="21"/>
                <w:highlight w:val="none"/>
              </w:rPr>
            </w:pPr>
            <w:r>
              <w:rPr>
                <w:rFonts w:hint="eastAsia" w:ascii="宋体" w:hAnsi="宋体" w:cs="宋体"/>
                <w:szCs w:val="21"/>
                <w:highlight w:val="none"/>
              </w:rPr>
              <w:t>1、评标委员会需根据标书阐述情况在规定分值内打分，</w:t>
            </w:r>
            <w:r>
              <w:rPr>
                <w:rFonts w:hint="eastAsia" w:ascii="宋体" w:hAnsi="宋体" w:cs="宋体"/>
                <w:b/>
                <w:bCs/>
                <w:szCs w:val="21"/>
                <w:highlight w:val="none"/>
              </w:rPr>
              <w:t>打分最多保留一位小数</w:t>
            </w:r>
            <w:r>
              <w:rPr>
                <w:rFonts w:hint="eastAsia" w:ascii="宋体" w:hAnsi="宋体" w:cs="宋体"/>
                <w:szCs w:val="21"/>
                <w:highlight w:val="none"/>
              </w:rPr>
              <w:t>。</w:t>
            </w:r>
          </w:p>
          <w:p w14:paraId="07D2922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000000"/>
                <w:szCs w:val="21"/>
                <w:highlight w:val="none"/>
              </w:rPr>
            </w:pPr>
            <w:r>
              <w:rPr>
                <w:rFonts w:hint="eastAsia" w:ascii="宋体" w:hAnsi="宋体" w:cs="宋体"/>
                <w:szCs w:val="21"/>
                <w:highlight w:val="none"/>
              </w:rPr>
              <w:t>2、各</w:t>
            </w:r>
            <w:r>
              <w:rPr>
                <w:rFonts w:hint="eastAsia" w:ascii="宋体" w:hAnsi="宋体" w:cs="宋体"/>
                <w:szCs w:val="21"/>
                <w:highlight w:val="none"/>
                <w:lang w:eastAsia="zh-CN"/>
              </w:rPr>
              <w:t>参选人</w:t>
            </w:r>
            <w:r>
              <w:rPr>
                <w:rFonts w:hint="eastAsia" w:ascii="宋体" w:hAnsi="宋体" w:cs="宋体"/>
                <w:szCs w:val="21"/>
                <w:highlight w:val="none"/>
              </w:rPr>
              <w:t>技术部分得分为评委打分的平均值，平均值“四舍五入”保留小数点后两位。</w:t>
            </w:r>
          </w:p>
        </w:tc>
      </w:tr>
    </w:tbl>
    <w:p w14:paraId="3D01EB09">
      <w:pPr>
        <w:spacing w:line="440" w:lineRule="exact"/>
        <w:ind w:left="420" w:leftChars="200" w:right="-21" w:rightChars="-10" w:firstLine="420" w:firstLineChars="0"/>
        <w:rPr>
          <w:rFonts w:hint="eastAsia" w:ascii="宋体" w:hAnsi="宋体" w:eastAsia="宋体" w:cs="宋体"/>
          <w:b/>
          <w:bCs/>
          <w:sz w:val="24"/>
          <w:highlight w:val="none"/>
        </w:rPr>
      </w:pPr>
      <w:r>
        <w:rPr>
          <w:rFonts w:hint="eastAsia" w:ascii="宋体" w:hAnsi="宋体" w:eastAsia="宋体" w:cs="宋体"/>
          <w:b/>
          <w:bCs/>
          <w:sz w:val="24"/>
          <w:highlight w:val="none"/>
        </w:rPr>
        <w:t>九、中选候选人的确定</w:t>
      </w:r>
    </w:p>
    <w:p w14:paraId="299163F7">
      <w:pPr>
        <w:spacing w:line="440" w:lineRule="exact"/>
        <w:ind w:left="420" w:leftChars="200" w:right="-21" w:rightChars="-10" w:firstLine="420" w:firstLineChars="0"/>
        <w:rPr>
          <w:rFonts w:hint="eastAsia" w:ascii="宋体" w:hAnsi="宋体" w:eastAsia="宋体" w:cs="宋体"/>
          <w:bCs/>
          <w:sz w:val="24"/>
          <w:highlight w:val="none"/>
        </w:rPr>
      </w:pPr>
      <w:r>
        <w:rPr>
          <w:rFonts w:hint="eastAsia" w:ascii="宋体" w:hAnsi="宋体" w:eastAsia="宋体" w:cs="宋体"/>
          <w:bCs/>
          <w:sz w:val="24"/>
          <w:highlight w:val="none"/>
        </w:rPr>
        <w:t>评委会认为参选人的报价明显低于其他通过符合性审查参选人的报价，有可能影响产品质量或者不能诚信履约的，应当要求其在合理的时间内提供书面说明，必要时提交相关证明材料；参选人不能证明其报价合理性的，评委会应当将其作为无效参选处理。</w:t>
      </w:r>
    </w:p>
    <w:p w14:paraId="05BE74A8">
      <w:pPr>
        <w:spacing w:line="440" w:lineRule="exact"/>
        <w:ind w:left="420" w:leftChars="200" w:right="-21" w:rightChars="-10" w:firstLine="420" w:firstLineChars="0"/>
        <w:rPr>
          <w:rFonts w:hint="eastAsia" w:ascii="宋体" w:hAnsi="宋体" w:eastAsia="宋体" w:cs="宋体"/>
          <w:b/>
          <w:sz w:val="24"/>
          <w:highlight w:val="none"/>
        </w:rPr>
      </w:pPr>
      <w:r>
        <w:rPr>
          <w:rFonts w:hint="eastAsia" w:ascii="宋体" w:hAnsi="宋体" w:eastAsia="宋体" w:cs="宋体"/>
          <w:sz w:val="24"/>
          <w:highlight w:val="none"/>
        </w:rPr>
        <w:t>评委会汇总各评委评分后，推荐得分最高的参选人为中选候选人。如出现相同最高分，按参选报价低的推荐为中选候选人；如得分且参选报价相同的，由评委会根据技术指标优劣，优者推荐为中选候选人；如得分、投标报价且技术指标优劣均相同的，抽签确定中选候选人。抽签道具为乒乓球，在监管人员监督下，比选人根据得分、投标报价且技术指标优劣相同的参选人数量准备好同等数量且数值不同的乒乓球，并宣布抽到乒乓球数值最小的即为中选候选人。抽签代表为本项目参选文件中注明的法定代表人或授权代理人，抽签顺序为参选单位递交参选文件登记的先后顺序。</w:t>
      </w:r>
    </w:p>
    <w:p w14:paraId="6A46BCAF">
      <w:pPr>
        <w:spacing w:line="440" w:lineRule="exact"/>
        <w:ind w:left="420" w:leftChars="200" w:right="-21" w:rightChars="-10" w:firstLine="420" w:firstLineChars="0"/>
        <w:rPr>
          <w:rFonts w:hint="eastAsia" w:ascii="宋体" w:hAnsi="宋体" w:eastAsia="宋体" w:cs="宋体"/>
          <w:b/>
          <w:bCs/>
          <w:sz w:val="24"/>
          <w:highlight w:val="none"/>
        </w:rPr>
      </w:pPr>
      <w:r>
        <w:rPr>
          <w:rFonts w:hint="eastAsia" w:ascii="宋体" w:hAnsi="宋体" w:eastAsia="宋体" w:cs="宋体"/>
          <w:b/>
          <w:bCs/>
          <w:sz w:val="24"/>
          <w:highlight w:val="none"/>
        </w:rPr>
        <w:t>十、注意事项</w:t>
      </w:r>
    </w:p>
    <w:p w14:paraId="450BE7CC">
      <w:pPr>
        <w:spacing w:line="440" w:lineRule="exact"/>
        <w:ind w:left="420" w:leftChars="200" w:right="-21" w:rightChars="-10" w:firstLine="420" w:firstLineChars="0"/>
        <w:rPr>
          <w:rFonts w:hint="eastAsia" w:ascii="宋体" w:hAnsi="宋体" w:eastAsia="宋体" w:cs="宋体"/>
          <w:sz w:val="24"/>
          <w:highlight w:val="none"/>
        </w:rPr>
      </w:pPr>
      <w:r>
        <w:rPr>
          <w:rFonts w:hint="eastAsia" w:ascii="宋体" w:hAnsi="宋体" w:eastAsia="宋体" w:cs="宋体"/>
          <w:sz w:val="24"/>
          <w:highlight w:val="none"/>
        </w:rPr>
        <w:t>1、在参选、比选时间，参选人不得向评委询问情况，不得进行旨在影响评标结果的活动。</w:t>
      </w:r>
    </w:p>
    <w:p w14:paraId="1F0749C1">
      <w:pPr>
        <w:spacing w:line="440" w:lineRule="exact"/>
        <w:ind w:left="420" w:leftChars="200" w:right="-21" w:rightChars="-10" w:firstLine="420" w:firstLineChars="0"/>
        <w:rPr>
          <w:rFonts w:hint="eastAsia" w:ascii="宋体" w:hAnsi="宋体" w:eastAsia="宋体" w:cs="宋体"/>
          <w:sz w:val="24"/>
          <w:highlight w:val="none"/>
        </w:rPr>
      </w:pPr>
      <w:r>
        <w:rPr>
          <w:rFonts w:hint="eastAsia" w:ascii="宋体" w:hAnsi="宋体" w:eastAsia="宋体" w:cs="宋体"/>
          <w:sz w:val="24"/>
          <w:highlight w:val="none"/>
        </w:rPr>
        <w:t>2、评委会不得向参选人解释落标原因。</w:t>
      </w:r>
    </w:p>
    <w:p w14:paraId="36BB97F0">
      <w:pPr>
        <w:spacing w:line="440" w:lineRule="exact"/>
        <w:ind w:left="420" w:leftChars="200" w:right="-21" w:rightChars="-10" w:firstLine="420" w:firstLineChars="0"/>
        <w:rPr>
          <w:rFonts w:hint="eastAsia" w:ascii="宋体" w:hAnsi="宋体" w:eastAsia="宋体" w:cs="宋体"/>
          <w:sz w:val="24"/>
          <w:highlight w:val="none"/>
        </w:rPr>
      </w:pPr>
      <w:r>
        <w:rPr>
          <w:rFonts w:hint="eastAsia" w:ascii="宋体" w:hAnsi="宋体" w:eastAsia="宋体" w:cs="宋体"/>
          <w:sz w:val="24"/>
          <w:highlight w:val="none"/>
        </w:rPr>
        <w:t>3、在参选、评标过程中，如果参选人联合故意抬高报价或出现其他不正当行为，比选人有权中止参选或评标。</w:t>
      </w:r>
    </w:p>
    <w:p w14:paraId="172390F1">
      <w:pPr>
        <w:spacing w:line="440" w:lineRule="exact"/>
        <w:ind w:left="420" w:leftChars="200" w:right="-21" w:rightChars="-10" w:firstLine="420" w:firstLineChars="0"/>
        <w:rPr>
          <w:rFonts w:hint="eastAsia" w:ascii="宋体" w:hAnsi="宋体" w:eastAsia="宋体" w:cs="宋体"/>
          <w:sz w:val="24"/>
          <w:highlight w:val="none"/>
        </w:rPr>
      </w:pPr>
      <w:r>
        <w:rPr>
          <w:rFonts w:hint="eastAsia" w:ascii="宋体" w:hAnsi="宋体" w:eastAsia="宋体" w:cs="宋体"/>
          <w:sz w:val="24"/>
          <w:highlight w:val="none"/>
        </w:rPr>
        <w:t>4、凡在参选、开标过程中，比选人已提示是否异议的事项，参选人当时没有提出异议的，事后参选人不得针对上述事项提出质疑。比如：比选人在开标中提示评委是否回避，参选人现场未提出异议的，事后不得针对评委回避事项提出质疑。</w:t>
      </w:r>
    </w:p>
    <w:p w14:paraId="0D57F056">
      <w:pPr>
        <w:spacing w:line="440" w:lineRule="exact"/>
        <w:ind w:left="420" w:leftChars="200" w:right="-21" w:rightChars="-10" w:firstLine="420" w:firstLineChars="0"/>
        <w:rPr>
          <w:rFonts w:hint="eastAsia" w:ascii="宋体" w:hAnsi="宋体" w:eastAsia="宋体" w:cs="宋体"/>
          <w:b/>
          <w:bCs/>
          <w:sz w:val="24"/>
          <w:highlight w:val="none"/>
        </w:rPr>
      </w:pPr>
      <w:r>
        <w:rPr>
          <w:rFonts w:hint="eastAsia" w:ascii="宋体" w:hAnsi="宋体" w:eastAsia="宋体" w:cs="宋体"/>
          <w:b/>
          <w:bCs/>
          <w:sz w:val="24"/>
          <w:highlight w:val="none"/>
        </w:rPr>
        <w:t>十一、合同授予</w:t>
      </w:r>
    </w:p>
    <w:p w14:paraId="6B692B04">
      <w:pPr>
        <w:spacing w:line="440" w:lineRule="exact"/>
        <w:ind w:left="420" w:leftChars="200" w:right="-21" w:rightChars="-10" w:firstLine="420" w:firstLineChars="0"/>
        <w:rPr>
          <w:rFonts w:hint="eastAsia" w:ascii="宋体" w:hAnsi="宋体" w:eastAsia="宋体" w:cs="宋体"/>
          <w:sz w:val="24"/>
          <w:highlight w:val="none"/>
        </w:rPr>
      </w:pPr>
      <w:r>
        <w:rPr>
          <w:rFonts w:hint="eastAsia" w:ascii="宋体" w:hAnsi="宋体" w:eastAsia="宋体" w:cs="宋体"/>
          <w:sz w:val="24"/>
          <w:highlight w:val="none"/>
        </w:rPr>
        <w:t>1、中选候选人公示</w:t>
      </w:r>
    </w:p>
    <w:p w14:paraId="118A8790">
      <w:pPr>
        <w:spacing w:line="440" w:lineRule="exact"/>
        <w:ind w:left="420" w:leftChars="200" w:right="-21" w:rightChars="-10" w:firstLine="420" w:firstLineChars="0"/>
        <w:rPr>
          <w:rFonts w:hint="eastAsia" w:ascii="宋体" w:hAnsi="宋体" w:eastAsia="宋体" w:cs="宋体"/>
          <w:sz w:val="24"/>
          <w:highlight w:val="none"/>
        </w:rPr>
      </w:pPr>
      <w:r>
        <w:rPr>
          <w:rFonts w:hint="eastAsia" w:ascii="宋体" w:hAnsi="宋体" w:eastAsia="宋体" w:cs="宋体"/>
          <w:sz w:val="24"/>
          <w:highlight w:val="none"/>
        </w:rPr>
        <w:t>比选人在收到评标报告之日起3日内，在南通轨道交通集团有限公司官网、中国招标投标公共服务平台公示中选候选人，公示期不得少于3天。</w:t>
      </w:r>
    </w:p>
    <w:p w14:paraId="4AD9756E">
      <w:pPr>
        <w:spacing w:line="440" w:lineRule="exact"/>
        <w:ind w:left="420" w:leftChars="200" w:right="-21" w:rightChars="-10" w:firstLine="420" w:firstLineChars="0"/>
        <w:rPr>
          <w:rFonts w:hint="eastAsia" w:ascii="宋体" w:hAnsi="宋体" w:eastAsia="宋体" w:cs="宋体"/>
          <w:sz w:val="24"/>
          <w:highlight w:val="none"/>
        </w:rPr>
      </w:pPr>
      <w:r>
        <w:rPr>
          <w:rFonts w:hint="eastAsia" w:ascii="宋体" w:hAnsi="宋体" w:eastAsia="宋体" w:cs="宋体"/>
          <w:sz w:val="24"/>
          <w:highlight w:val="none"/>
        </w:rPr>
        <w:t>2、评标结果异议</w:t>
      </w:r>
    </w:p>
    <w:p w14:paraId="2C3E58D0">
      <w:pPr>
        <w:spacing w:line="440" w:lineRule="exact"/>
        <w:ind w:left="420" w:leftChars="200" w:right="-21" w:rightChars="-10" w:firstLine="420" w:firstLineChars="0"/>
        <w:rPr>
          <w:rFonts w:hint="eastAsia" w:ascii="宋体" w:hAnsi="宋体" w:eastAsia="宋体" w:cs="宋体"/>
          <w:sz w:val="24"/>
          <w:highlight w:val="none"/>
        </w:rPr>
      </w:pPr>
      <w:r>
        <w:rPr>
          <w:rFonts w:hint="eastAsia" w:ascii="宋体" w:hAnsi="宋体" w:eastAsia="宋体" w:cs="宋体"/>
          <w:sz w:val="24"/>
          <w:highlight w:val="none"/>
        </w:rPr>
        <w:t>参选人或者其他利害关系人对评标结果有异议的，应当在中选候选人公示期间提出。比选人将在收到异议之日起 3 日内作出答复；作出答复前，将暂停比选参选活动。</w:t>
      </w:r>
    </w:p>
    <w:p w14:paraId="1DB889CD">
      <w:pPr>
        <w:spacing w:line="440" w:lineRule="exact"/>
        <w:ind w:left="420" w:leftChars="200" w:right="-21" w:rightChars="-10" w:firstLine="420" w:firstLineChars="0"/>
        <w:rPr>
          <w:rFonts w:hint="eastAsia" w:ascii="宋体" w:hAnsi="宋体" w:eastAsia="宋体" w:cs="宋体"/>
          <w:sz w:val="24"/>
          <w:highlight w:val="none"/>
        </w:rPr>
      </w:pPr>
      <w:r>
        <w:rPr>
          <w:rFonts w:hint="eastAsia" w:ascii="宋体" w:hAnsi="宋体" w:eastAsia="宋体" w:cs="宋体"/>
          <w:sz w:val="24"/>
          <w:highlight w:val="none"/>
        </w:rPr>
        <w:t>3、中选通知书</w:t>
      </w:r>
    </w:p>
    <w:p w14:paraId="605E0C5C">
      <w:pPr>
        <w:spacing w:line="440" w:lineRule="exact"/>
        <w:ind w:left="420" w:leftChars="200" w:right="-21" w:rightChars="-10" w:firstLine="420" w:firstLineChars="0"/>
        <w:rPr>
          <w:rFonts w:hint="eastAsia" w:ascii="宋体" w:hAnsi="宋体" w:eastAsia="宋体" w:cs="宋体"/>
          <w:sz w:val="24"/>
          <w:highlight w:val="none"/>
        </w:rPr>
      </w:pPr>
      <w:r>
        <w:rPr>
          <w:rFonts w:hint="eastAsia" w:ascii="宋体" w:hAnsi="宋体" w:eastAsia="宋体" w:cs="宋体"/>
          <w:sz w:val="24"/>
          <w:highlight w:val="none"/>
        </w:rPr>
        <w:t>在本项目的参选有效期内，比选人以书面形式向中选人发出中选通知书。</w:t>
      </w:r>
    </w:p>
    <w:p w14:paraId="3031140D">
      <w:pPr>
        <w:spacing w:line="440" w:lineRule="exact"/>
        <w:ind w:left="420" w:leftChars="200" w:right="-21" w:rightChars="-10" w:firstLine="420" w:firstLineChars="0"/>
        <w:rPr>
          <w:rFonts w:hint="eastAsia" w:ascii="宋体" w:hAnsi="宋体" w:eastAsia="宋体" w:cs="宋体"/>
          <w:sz w:val="24"/>
          <w:highlight w:val="none"/>
        </w:rPr>
      </w:pPr>
      <w:r>
        <w:rPr>
          <w:rFonts w:hint="eastAsia" w:ascii="宋体" w:hAnsi="宋体" w:eastAsia="宋体" w:cs="宋体"/>
          <w:sz w:val="24"/>
          <w:highlight w:val="none"/>
        </w:rPr>
        <w:t>4、履约保证金</w:t>
      </w:r>
    </w:p>
    <w:p w14:paraId="5F961BA6">
      <w:pPr>
        <w:spacing w:line="440" w:lineRule="exact"/>
        <w:ind w:left="420" w:leftChars="200" w:right="-21" w:rightChars="-10" w:firstLine="420" w:firstLineChars="0"/>
        <w:rPr>
          <w:rFonts w:hint="eastAsia" w:ascii="宋体" w:hAnsi="宋体" w:eastAsia="宋体" w:cs="宋体"/>
          <w:sz w:val="24"/>
          <w:highlight w:val="none"/>
        </w:rPr>
      </w:pPr>
      <w:r>
        <w:rPr>
          <w:rFonts w:hint="eastAsia" w:ascii="宋体" w:hAnsi="宋体" w:eastAsia="宋体" w:cs="宋体"/>
          <w:sz w:val="24"/>
          <w:highlight w:val="none"/>
        </w:rPr>
        <w:t>中选人在接到中选通知书10日内，签订合同之前提交履约保证金，履约保证金采用现金或履约保函形式（格式详见招标文件第五章附件），履约保证金为中标合同金额的</w:t>
      </w:r>
      <w:r>
        <w:rPr>
          <w:rFonts w:hint="eastAsia" w:ascii="宋体" w:hAnsi="宋体" w:eastAsia="宋体" w:cs="宋体"/>
          <w:sz w:val="24"/>
          <w:highlight w:val="none"/>
          <w:u w:val="single"/>
          <w:lang w:val="en-US" w:eastAsia="zh-CN"/>
        </w:rPr>
        <w:t>5</w:t>
      </w:r>
      <w:r>
        <w:rPr>
          <w:rFonts w:hint="eastAsia" w:ascii="宋体" w:hAnsi="宋体" w:eastAsia="宋体" w:cs="宋体"/>
          <w:sz w:val="24"/>
          <w:highlight w:val="none"/>
          <w:u w:val="single"/>
        </w:rPr>
        <w:t>%</w:t>
      </w:r>
      <w:r>
        <w:rPr>
          <w:rFonts w:hint="eastAsia" w:ascii="宋体" w:hAnsi="宋体" w:eastAsia="宋体" w:cs="宋体"/>
          <w:sz w:val="24"/>
          <w:highlight w:val="none"/>
          <w:u w:val="none"/>
          <w:lang w:val="en-US" w:eastAsia="zh-CN"/>
        </w:rPr>
        <w:t xml:space="preserve"> </w:t>
      </w:r>
      <w:r>
        <w:rPr>
          <w:rFonts w:hint="eastAsia" w:ascii="宋体" w:hAnsi="宋体" w:eastAsia="宋体" w:cs="宋体"/>
          <w:sz w:val="24"/>
          <w:highlight w:val="none"/>
        </w:rPr>
        <w:t>。</w:t>
      </w:r>
    </w:p>
    <w:p w14:paraId="34F39372">
      <w:pPr>
        <w:spacing w:line="440" w:lineRule="exact"/>
        <w:ind w:left="420" w:leftChars="200" w:right="-21" w:rightChars="-10" w:firstLine="420" w:firstLineChars="0"/>
        <w:rPr>
          <w:rFonts w:hint="eastAsia" w:ascii="宋体" w:hAnsi="宋体" w:eastAsia="宋体" w:cs="宋体"/>
          <w:sz w:val="24"/>
          <w:highlight w:val="none"/>
        </w:rPr>
      </w:pPr>
      <w:r>
        <w:rPr>
          <w:rFonts w:hint="eastAsia" w:ascii="宋体" w:hAnsi="宋体" w:eastAsia="宋体" w:cs="宋体"/>
          <w:sz w:val="24"/>
          <w:highlight w:val="none"/>
        </w:rPr>
        <w:t>未按比选文件规定提交履约保证金，比选人将取消其中选资格。</w:t>
      </w:r>
    </w:p>
    <w:p w14:paraId="313FDCF1">
      <w:pPr>
        <w:spacing w:line="440" w:lineRule="exact"/>
        <w:ind w:left="420" w:leftChars="200" w:right="-21" w:rightChars="-10" w:firstLine="420" w:firstLineChars="0"/>
        <w:rPr>
          <w:rFonts w:hint="eastAsia" w:ascii="宋体" w:hAnsi="宋体" w:eastAsia="宋体" w:cs="宋体"/>
          <w:sz w:val="24"/>
          <w:highlight w:val="none"/>
        </w:rPr>
      </w:pPr>
      <w:r>
        <w:rPr>
          <w:rFonts w:hint="eastAsia" w:ascii="宋体" w:hAnsi="宋体" w:eastAsia="宋体" w:cs="宋体"/>
          <w:sz w:val="24"/>
          <w:highlight w:val="none"/>
        </w:rPr>
        <w:t>5、签订合同</w:t>
      </w:r>
    </w:p>
    <w:p w14:paraId="31181579">
      <w:pPr>
        <w:spacing w:line="440" w:lineRule="exact"/>
        <w:ind w:left="420" w:leftChars="200" w:right="-21" w:rightChars="-10" w:firstLine="420" w:firstLineChars="0"/>
        <w:rPr>
          <w:rFonts w:hint="eastAsia" w:ascii="宋体" w:hAnsi="宋体" w:eastAsia="宋体" w:cs="宋体"/>
          <w:sz w:val="24"/>
          <w:highlight w:val="none"/>
        </w:rPr>
      </w:pPr>
      <w:r>
        <w:rPr>
          <w:rFonts w:hint="eastAsia" w:ascii="宋体" w:hAnsi="宋体" w:eastAsia="宋体" w:cs="宋体"/>
          <w:sz w:val="24"/>
          <w:highlight w:val="none"/>
        </w:rPr>
        <w:t>比选人和中选人应当自中选通知书发出之日起30天内，根据比选文件和中选人的参选文件订立书面合同。中选人无正当理由拒签合同的，比选人取消其中选资格；给比选人造成的损失的，中选人还应当予以赔偿。</w:t>
      </w:r>
    </w:p>
    <w:p w14:paraId="1C1270DF">
      <w:pPr>
        <w:spacing w:line="440" w:lineRule="exact"/>
        <w:ind w:left="420" w:leftChars="200" w:right="-21" w:rightChars="-10" w:firstLine="420" w:firstLineChars="0"/>
        <w:rPr>
          <w:rFonts w:hint="eastAsia" w:ascii="宋体" w:hAnsi="宋体" w:eastAsia="宋体" w:cs="宋体"/>
          <w:sz w:val="24"/>
          <w:highlight w:val="none"/>
        </w:rPr>
      </w:pPr>
      <w:r>
        <w:rPr>
          <w:rFonts w:hint="eastAsia" w:ascii="宋体" w:hAnsi="宋体" w:eastAsia="宋体" w:cs="宋体"/>
          <w:sz w:val="24"/>
          <w:highlight w:val="none"/>
        </w:rPr>
        <w:t>发出中选通知书后，比选人无正当理由拒签合同，或者在签订合同时向中选人提出附加条件的，给中选人造成损失的，应当赔偿损失。</w:t>
      </w:r>
    </w:p>
    <w:p w14:paraId="0675790B">
      <w:pPr>
        <w:snapToGrid w:val="0"/>
        <w:spacing w:line="440" w:lineRule="exact"/>
        <w:ind w:right="-260" w:rightChars="-124" w:firstLine="570"/>
        <w:rPr>
          <w:rFonts w:hint="eastAsia" w:ascii="宋体" w:hAnsi="宋体" w:eastAsia="宋体" w:cs="宋体"/>
          <w:sz w:val="24"/>
          <w:highlight w:val="none"/>
        </w:rPr>
      </w:pPr>
    </w:p>
    <w:p w14:paraId="465DA040">
      <w:pPr>
        <w:spacing w:line="440" w:lineRule="exact"/>
        <w:ind w:right="-260" w:rightChars="-124"/>
        <w:jc w:val="center"/>
        <w:outlineLvl w:val="0"/>
        <w:rPr>
          <w:rFonts w:hint="eastAsia" w:ascii="宋体" w:hAnsi="宋体" w:eastAsia="宋体" w:cs="宋体"/>
          <w:b/>
          <w:bCs/>
          <w:kern w:val="0"/>
          <w:sz w:val="52"/>
          <w:szCs w:val="52"/>
          <w:highlight w:val="none"/>
        </w:rPr>
      </w:pPr>
      <w:r>
        <w:rPr>
          <w:rFonts w:hint="eastAsia" w:ascii="宋体" w:hAnsi="宋体" w:eastAsia="宋体" w:cs="宋体"/>
          <w:b/>
          <w:sz w:val="24"/>
          <w:highlight w:val="none"/>
        </w:rPr>
        <w:br w:type="page"/>
      </w:r>
      <w:bookmarkStart w:id="87" w:name="_Toc26394"/>
      <w:bookmarkStart w:id="88" w:name="_Toc26011"/>
      <w:bookmarkStart w:id="89" w:name="_Toc2576"/>
      <w:bookmarkStart w:id="90" w:name="_Toc30950"/>
      <w:bookmarkStart w:id="91" w:name="_Toc18831"/>
      <w:r>
        <w:rPr>
          <w:rFonts w:hint="eastAsia" w:ascii="宋体" w:hAnsi="宋体" w:eastAsia="宋体" w:cs="宋体"/>
          <w:b/>
          <w:sz w:val="32"/>
          <w:szCs w:val="32"/>
          <w:highlight w:val="none"/>
        </w:rPr>
        <w:t>第五章  合同条款</w:t>
      </w:r>
      <w:bookmarkEnd w:id="87"/>
      <w:bookmarkEnd w:id="88"/>
      <w:bookmarkEnd w:id="89"/>
      <w:bookmarkEnd w:id="90"/>
      <w:bookmarkEnd w:id="91"/>
      <w:bookmarkStart w:id="92" w:name="_Toc28124"/>
      <w:bookmarkStart w:id="93" w:name="_Toc11740"/>
      <w:bookmarkStart w:id="94" w:name="_Toc23323"/>
      <w:bookmarkStart w:id="95" w:name="_Toc11580"/>
      <w:r>
        <w:rPr>
          <w:rFonts w:hint="eastAsia" w:ascii="宋体" w:hAnsi="宋体" w:eastAsia="宋体" w:cs="宋体"/>
          <w:b/>
          <w:sz w:val="32"/>
          <w:szCs w:val="32"/>
          <w:highlight w:val="none"/>
        </w:rPr>
        <w:t>草案</w:t>
      </w:r>
    </w:p>
    <w:p w14:paraId="40E8BDB5">
      <w:pPr>
        <w:spacing w:before="200" w:after="200" w:line="360" w:lineRule="auto"/>
        <w:ind w:right="-260" w:rightChars="-124"/>
        <w:jc w:val="center"/>
        <w:rPr>
          <w:rFonts w:hint="eastAsia" w:ascii="宋体" w:hAnsi="宋体" w:eastAsia="宋体" w:cs="宋体"/>
          <w:b/>
          <w:bCs/>
          <w:sz w:val="48"/>
          <w:szCs w:val="48"/>
          <w:highlight w:val="none"/>
        </w:rPr>
      </w:pPr>
    </w:p>
    <w:p w14:paraId="5996BA25">
      <w:pPr>
        <w:pStyle w:val="10"/>
        <w:ind w:right="-260" w:rightChars="-124"/>
        <w:rPr>
          <w:rFonts w:hint="eastAsia" w:ascii="宋体" w:hAnsi="宋体" w:eastAsia="宋体" w:cs="宋体"/>
          <w:highlight w:val="none"/>
        </w:rPr>
      </w:pPr>
    </w:p>
    <w:p w14:paraId="409607A2">
      <w:pPr>
        <w:spacing w:before="200" w:after="200" w:line="360" w:lineRule="auto"/>
        <w:ind w:right="-512" w:rightChars="-244"/>
        <w:jc w:val="center"/>
        <w:rPr>
          <w:rFonts w:hint="eastAsia" w:ascii="宋体" w:hAnsi="宋体" w:eastAsia="宋体" w:cs="宋体"/>
          <w:b/>
          <w:bCs/>
          <w:sz w:val="48"/>
          <w:szCs w:val="48"/>
          <w:highlight w:val="none"/>
        </w:rPr>
      </w:pPr>
      <w:r>
        <w:rPr>
          <w:rFonts w:hint="eastAsia" w:ascii="宋体" w:hAnsi="宋体" w:eastAsia="宋体" w:cs="宋体"/>
          <w:b/>
          <w:bCs/>
          <w:sz w:val="48"/>
          <w:szCs w:val="48"/>
          <w:highlight w:val="none"/>
        </w:rPr>
        <w:t>南通轨道交通城市消防远程监控中心设施</w:t>
      </w:r>
    </w:p>
    <w:p w14:paraId="795DCEAB">
      <w:pPr>
        <w:spacing w:before="200" w:after="200" w:line="360" w:lineRule="auto"/>
        <w:ind w:right="-512" w:rightChars="-244"/>
        <w:jc w:val="center"/>
        <w:rPr>
          <w:rFonts w:hint="eastAsia" w:ascii="宋体" w:hAnsi="宋体" w:eastAsia="宋体" w:cs="宋体"/>
          <w:b/>
          <w:bCs/>
          <w:sz w:val="48"/>
          <w:szCs w:val="48"/>
          <w:highlight w:val="none"/>
        </w:rPr>
      </w:pPr>
      <w:r>
        <w:rPr>
          <w:rFonts w:hint="eastAsia" w:ascii="宋体" w:hAnsi="宋体" w:eastAsia="宋体" w:cs="宋体"/>
          <w:b/>
          <w:bCs/>
          <w:sz w:val="48"/>
          <w:szCs w:val="48"/>
          <w:highlight w:val="none"/>
        </w:rPr>
        <w:t>设备采购项目合同</w:t>
      </w:r>
    </w:p>
    <w:p w14:paraId="637C6977">
      <w:pPr>
        <w:autoSpaceDE w:val="0"/>
        <w:autoSpaceDN w:val="0"/>
        <w:adjustRightInd w:val="0"/>
        <w:spacing w:line="360" w:lineRule="auto"/>
        <w:ind w:right="-260" w:rightChars="-124"/>
        <w:jc w:val="center"/>
        <w:rPr>
          <w:rFonts w:hint="eastAsia" w:ascii="宋体" w:hAnsi="宋体" w:eastAsia="宋体" w:cs="宋体"/>
          <w:kern w:val="0"/>
          <w:sz w:val="48"/>
          <w:szCs w:val="48"/>
          <w:highlight w:val="none"/>
        </w:rPr>
      </w:pPr>
    </w:p>
    <w:p w14:paraId="3C0BF461">
      <w:pPr>
        <w:spacing w:line="360" w:lineRule="auto"/>
        <w:ind w:right="-260" w:rightChars="-124"/>
        <w:jc w:val="center"/>
        <w:rPr>
          <w:rFonts w:hint="eastAsia" w:ascii="宋体" w:hAnsi="宋体" w:eastAsia="宋体" w:cs="宋体"/>
          <w:szCs w:val="21"/>
          <w:highlight w:val="none"/>
        </w:rPr>
      </w:pPr>
      <w:r>
        <w:rPr>
          <w:rFonts w:hint="eastAsia" w:ascii="宋体" w:hAnsi="宋体" w:eastAsia="宋体" w:cs="宋体"/>
          <w:szCs w:val="21"/>
          <w:highlight w:val="none"/>
        </w:rPr>
        <w:t>合同编号：</w:t>
      </w:r>
    </w:p>
    <w:p w14:paraId="0FFD6D60">
      <w:pPr>
        <w:autoSpaceDE w:val="0"/>
        <w:autoSpaceDN w:val="0"/>
        <w:adjustRightInd w:val="0"/>
        <w:spacing w:line="200" w:lineRule="exact"/>
        <w:ind w:right="-260" w:rightChars="-124"/>
        <w:rPr>
          <w:rFonts w:hint="eastAsia" w:ascii="宋体" w:hAnsi="宋体" w:eastAsia="宋体" w:cs="宋体"/>
          <w:kern w:val="0"/>
          <w:sz w:val="24"/>
          <w:highlight w:val="none"/>
        </w:rPr>
      </w:pPr>
    </w:p>
    <w:p w14:paraId="17C3CF55">
      <w:pPr>
        <w:autoSpaceDE w:val="0"/>
        <w:autoSpaceDN w:val="0"/>
        <w:adjustRightInd w:val="0"/>
        <w:spacing w:line="200" w:lineRule="exact"/>
        <w:ind w:right="-260" w:rightChars="-124"/>
        <w:rPr>
          <w:rFonts w:hint="eastAsia" w:ascii="宋体" w:hAnsi="宋体" w:eastAsia="宋体" w:cs="宋体"/>
          <w:kern w:val="0"/>
          <w:sz w:val="24"/>
          <w:highlight w:val="none"/>
        </w:rPr>
      </w:pPr>
    </w:p>
    <w:p w14:paraId="5457EB23">
      <w:pPr>
        <w:autoSpaceDE w:val="0"/>
        <w:autoSpaceDN w:val="0"/>
        <w:adjustRightInd w:val="0"/>
        <w:spacing w:line="200" w:lineRule="exact"/>
        <w:ind w:right="-260" w:rightChars="-124"/>
        <w:rPr>
          <w:rFonts w:hint="eastAsia" w:ascii="宋体" w:hAnsi="宋体" w:eastAsia="宋体" w:cs="宋体"/>
          <w:kern w:val="0"/>
          <w:sz w:val="24"/>
          <w:highlight w:val="none"/>
        </w:rPr>
      </w:pPr>
    </w:p>
    <w:p w14:paraId="390D5AC0">
      <w:pPr>
        <w:autoSpaceDE w:val="0"/>
        <w:autoSpaceDN w:val="0"/>
        <w:adjustRightInd w:val="0"/>
        <w:spacing w:line="200" w:lineRule="exact"/>
        <w:ind w:right="-260" w:rightChars="-124"/>
        <w:rPr>
          <w:rFonts w:hint="eastAsia" w:ascii="宋体" w:hAnsi="宋体" w:eastAsia="宋体" w:cs="宋体"/>
          <w:kern w:val="0"/>
          <w:sz w:val="24"/>
          <w:highlight w:val="none"/>
        </w:rPr>
      </w:pPr>
    </w:p>
    <w:p w14:paraId="201A5C3C">
      <w:pPr>
        <w:autoSpaceDE w:val="0"/>
        <w:autoSpaceDN w:val="0"/>
        <w:adjustRightInd w:val="0"/>
        <w:spacing w:line="200" w:lineRule="exact"/>
        <w:ind w:right="-260" w:rightChars="-124"/>
        <w:rPr>
          <w:rFonts w:hint="eastAsia" w:ascii="宋体" w:hAnsi="宋体" w:eastAsia="宋体" w:cs="宋体"/>
          <w:kern w:val="0"/>
          <w:sz w:val="24"/>
          <w:highlight w:val="none"/>
        </w:rPr>
      </w:pPr>
    </w:p>
    <w:p w14:paraId="71370DC9">
      <w:pPr>
        <w:autoSpaceDE w:val="0"/>
        <w:autoSpaceDN w:val="0"/>
        <w:adjustRightInd w:val="0"/>
        <w:spacing w:line="200" w:lineRule="exact"/>
        <w:ind w:right="-260" w:rightChars="-124"/>
        <w:rPr>
          <w:rFonts w:hint="eastAsia" w:ascii="宋体" w:hAnsi="宋体" w:eastAsia="宋体" w:cs="宋体"/>
          <w:kern w:val="0"/>
          <w:sz w:val="24"/>
          <w:highlight w:val="none"/>
        </w:rPr>
      </w:pPr>
    </w:p>
    <w:p w14:paraId="4501512C">
      <w:pPr>
        <w:autoSpaceDE w:val="0"/>
        <w:autoSpaceDN w:val="0"/>
        <w:adjustRightInd w:val="0"/>
        <w:spacing w:line="200" w:lineRule="exact"/>
        <w:ind w:right="-260" w:rightChars="-124"/>
        <w:rPr>
          <w:rFonts w:hint="eastAsia" w:ascii="宋体" w:hAnsi="宋体" w:eastAsia="宋体" w:cs="宋体"/>
          <w:kern w:val="0"/>
          <w:sz w:val="24"/>
          <w:highlight w:val="none"/>
        </w:rPr>
      </w:pPr>
    </w:p>
    <w:p w14:paraId="016029AF">
      <w:pPr>
        <w:autoSpaceDE w:val="0"/>
        <w:autoSpaceDN w:val="0"/>
        <w:adjustRightInd w:val="0"/>
        <w:spacing w:line="200" w:lineRule="exact"/>
        <w:ind w:right="-260" w:rightChars="-124"/>
        <w:rPr>
          <w:rFonts w:hint="eastAsia" w:ascii="宋体" w:hAnsi="宋体" w:eastAsia="宋体" w:cs="宋体"/>
          <w:kern w:val="0"/>
          <w:sz w:val="24"/>
          <w:highlight w:val="none"/>
        </w:rPr>
      </w:pPr>
    </w:p>
    <w:p w14:paraId="2736057F">
      <w:pPr>
        <w:autoSpaceDE w:val="0"/>
        <w:autoSpaceDN w:val="0"/>
        <w:adjustRightInd w:val="0"/>
        <w:spacing w:line="200" w:lineRule="exact"/>
        <w:ind w:right="-260" w:rightChars="-124"/>
        <w:rPr>
          <w:rFonts w:hint="eastAsia" w:ascii="宋体" w:hAnsi="宋体" w:eastAsia="宋体" w:cs="宋体"/>
          <w:kern w:val="0"/>
          <w:sz w:val="24"/>
          <w:highlight w:val="none"/>
        </w:rPr>
      </w:pPr>
    </w:p>
    <w:p w14:paraId="415D59CF">
      <w:pPr>
        <w:autoSpaceDE w:val="0"/>
        <w:autoSpaceDN w:val="0"/>
        <w:adjustRightInd w:val="0"/>
        <w:spacing w:line="200" w:lineRule="exact"/>
        <w:ind w:right="-260" w:rightChars="-124"/>
        <w:rPr>
          <w:rFonts w:hint="eastAsia" w:ascii="宋体" w:hAnsi="宋体" w:eastAsia="宋体" w:cs="宋体"/>
          <w:kern w:val="0"/>
          <w:sz w:val="24"/>
          <w:highlight w:val="none"/>
        </w:rPr>
      </w:pPr>
    </w:p>
    <w:p w14:paraId="7C4802D8">
      <w:pPr>
        <w:autoSpaceDE w:val="0"/>
        <w:autoSpaceDN w:val="0"/>
        <w:adjustRightInd w:val="0"/>
        <w:spacing w:line="200" w:lineRule="exact"/>
        <w:ind w:right="-260" w:rightChars="-124"/>
        <w:rPr>
          <w:rFonts w:hint="eastAsia" w:ascii="宋体" w:hAnsi="宋体" w:eastAsia="宋体" w:cs="宋体"/>
          <w:kern w:val="0"/>
          <w:sz w:val="24"/>
          <w:highlight w:val="none"/>
        </w:rPr>
      </w:pPr>
    </w:p>
    <w:p w14:paraId="54377535">
      <w:pPr>
        <w:autoSpaceDE w:val="0"/>
        <w:autoSpaceDN w:val="0"/>
        <w:adjustRightInd w:val="0"/>
        <w:spacing w:line="200" w:lineRule="exact"/>
        <w:ind w:right="-260" w:rightChars="-124"/>
        <w:rPr>
          <w:rFonts w:hint="eastAsia" w:ascii="宋体" w:hAnsi="宋体" w:eastAsia="宋体" w:cs="宋体"/>
          <w:kern w:val="0"/>
          <w:sz w:val="24"/>
          <w:highlight w:val="none"/>
        </w:rPr>
      </w:pPr>
    </w:p>
    <w:p w14:paraId="28D5531D">
      <w:pPr>
        <w:autoSpaceDE w:val="0"/>
        <w:autoSpaceDN w:val="0"/>
        <w:adjustRightInd w:val="0"/>
        <w:spacing w:line="200" w:lineRule="exact"/>
        <w:ind w:right="-260" w:rightChars="-124"/>
        <w:rPr>
          <w:rFonts w:hint="eastAsia" w:ascii="宋体" w:hAnsi="宋体" w:eastAsia="宋体" w:cs="宋体"/>
          <w:kern w:val="0"/>
          <w:sz w:val="24"/>
          <w:highlight w:val="none"/>
        </w:rPr>
      </w:pPr>
    </w:p>
    <w:p w14:paraId="759D1D7E">
      <w:pPr>
        <w:autoSpaceDE w:val="0"/>
        <w:autoSpaceDN w:val="0"/>
        <w:adjustRightInd w:val="0"/>
        <w:spacing w:line="200" w:lineRule="exact"/>
        <w:ind w:right="-260" w:rightChars="-124"/>
        <w:rPr>
          <w:rFonts w:hint="eastAsia" w:ascii="宋体" w:hAnsi="宋体" w:eastAsia="宋体" w:cs="宋体"/>
          <w:kern w:val="0"/>
          <w:sz w:val="24"/>
          <w:highlight w:val="none"/>
        </w:rPr>
      </w:pPr>
    </w:p>
    <w:p w14:paraId="71482677">
      <w:pPr>
        <w:autoSpaceDE w:val="0"/>
        <w:autoSpaceDN w:val="0"/>
        <w:adjustRightInd w:val="0"/>
        <w:spacing w:line="200" w:lineRule="exact"/>
        <w:ind w:right="-260" w:rightChars="-124"/>
        <w:rPr>
          <w:rFonts w:hint="eastAsia" w:ascii="宋体" w:hAnsi="宋体" w:eastAsia="宋体" w:cs="宋体"/>
          <w:kern w:val="0"/>
          <w:sz w:val="24"/>
          <w:highlight w:val="none"/>
        </w:rPr>
      </w:pPr>
    </w:p>
    <w:p w14:paraId="4F565DEB">
      <w:pPr>
        <w:autoSpaceDE w:val="0"/>
        <w:autoSpaceDN w:val="0"/>
        <w:adjustRightInd w:val="0"/>
        <w:spacing w:line="200" w:lineRule="exact"/>
        <w:ind w:right="-260" w:rightChars="-124"/>
        <w:rPr>
          <w:rFonts w:hint="eastAsia" w:ascii="宋体" w:hAnsi="宋体" w:eastAsia="宋体" w:cs="宋体"/>
          <w:kern w:val="0"/>
          <w:sz w:val="24"/>
          <w:highlight w:val="none"/>
        </w:rPr>
      </w:pPr>
    </w:p>
    <w:p w14:paraId="6950C61E">
      <w:pPr>
        <w:autoSpaceDE w:val="0"/>
        <w:autoSpaceDN w:val="0"/>
        <w:adjustRightInd w:val="0"/>
        <w:spacing w:line="200" w:lineRule="exact"/>
        <w:ind w:right="-260" w:rightChars="-124"/>
        <w:rPr>
          <w:rFonts w:hint="eastAsia" w:ascii="宋体" w:hAnsi="宋体" w:eastAsia="宋体" w:cs="宋体"/>
          <w:kern w:val="0"/>
          <w:sz w:val="24"/>
          <w:highlight w:val="none"/>
        </w:rPr>
      </w:pPr>
    </w:p>
    <w:p w14:paraId="05B2EF5B">
      <w:pPr>
        <w:autoSpaceDE w:val="0"/>
        <w:autoSpaceDN w:val="0"/>
        <w:adjustRightInd w:val="0"/>
        <w:spacing w:line="200" w:lineRule="exact"/>
        <w:ind w:right="-260" w:rightChars="-124"/>
        <w:rPr>
          <w:rFonts w:hint="eastAsia" w:ascii="宋体" w:hAnsi="宋体" w:eastAsia="宋体" w:cs="宋体"/>
          <w:kern w:val="0"/>
          <w:sz w:val="24"/>
          <w:highlight w:val="none"/>
        </w:rPr>
      </w:pPr>
    </w:p>
    <w:p w14:paraId="40F4520A">
      <w:pPr>
        <w:autoSpaceDE w:val="0"/>
        <w:autoSpaceDN w:val="0"/>
        <w:adjustRightInd w:val="0"/>
        <w:spacing w:line="200" w:lineRule="exact"/>
        <w:ind w:right="-260" w:rightChars="-124"/>
        <w:rPr>
          <w:rFonts w:hint="eastAsia" w:ascii="宋体" w:hAnsi="宋体" w:eastAsia="宋体" w:cs="宋体"/>
          <w:kern w:val="0"/>
          <w:sz w:val="24"/>
          <w:highlight w:val="none"/>
        </w:rPr>
      </w:pPr>
    </w:p>
    <w:p w14:paraId="06302F13">
      <w:pPr>
        <w:autoSpaceDE w:val="0"/>
        <w:autoSpaceDN w:val="0"/>
        <w:adjustRightInd w:val="0"/>
        <w:spacing w:line="200" w:lineRule="exact"/>
        <w:ind w:right="-260" w:rightChars="-124"/>
        <w:rPr>
          <w:rFonts w:hint="eastAsia" w:ascii="宋体" w:hAnsi="宋体" w:eastAsia="宋体" w:cs="宋体"/>
          <w:kern w:val="0"/>
          <w:sz w:val="24"/>
          <w:highlight w:val="none"/>
        </w:rPr>
      </w:pPr>
    </w:p>
    <w:p w14:paraId="5315C9B1">
      <w:pPr>
        <w:autoSpaceDE w:val="0"/>
        <w:autoSpaceDN w:val="0"/>
        <w:adjustRightInd w:val="0"/>
        <w:spacing w:line="200" w:lineRule="exact"/>
        <w:ind w:right="-260" w:rightChars="-124"/>
        <w:rPr>
          <w:rFonts w:hint="eastAsia" w:ascii="宋体" w:hAnsi="宋体" w:eastAsia="宋体" w:cs="宋体"/>
          <w:kern w:val="0"/>
          <w:sz w:val="24"/>
          <w:highlight w:val="none"/>
        </w:rPr>
      </w:pPr>
    </w:p>
    <w:p w14:paraId="1BB4918B">
      <w:pPr>
        <w:autoSpaceDE w:val="0"/>
        <w:autoSpaceDN w:val="0"/>
        <w:adjustRightInd w:val="0"/>
        <w:spacing w:line="200" w:lineRule="exact"/>
        <w:ind w:right="-260" w:rightChars="-124"/>
        <w:rPr>
          <w:rFonts w:hint="eastAsia" w:ascii="宋体" w:hAnsi="宋体" w:eastAsia="宋体" w:cs="宋体"/>
          <w:kern w:val="0"/>
          <w:sz w:val="24"/>
          <w:highlight w:val="none"/>
        </w:rPr>
      </w:pPr>
    </w:p>
    <w:p w14:paraId="5B3DFDB3">
      <w:pPr>
        <w:autoSpaceDE w:val="0"/>
        <w:autoSpaceDN w:val="0"/>
        <w:adjustRightInd w:val="0"/>
        <w:spacing w:line="200" w:lineRule="exact"/>
        <w:ind w:right="-260" w:rightChars="-124"/>
        <w:rPr>
          <w:rFonts w:hint="eastAsia" w:ascii="宋体" w:hAnsi="宋体" w:eastAsia="宋体" w:cs="宋体"/>
          <w:kern w:val="0"/>
          <w:sz w:val="24"/>
          <w:highlight w:val="none"/>
        </w:rPr>
      </w:pPr>
    </w:p>
    <w:p w14:paraId="5F8D8789">
      <w:pPr>
        <w:autoSpaceDE w:val="0"/>
        <w:autoSpaceDN w:val="0"/>
        <w:adjustRightInd w:val="0"/>
        <w:spacing w:line="236" w:lineRule="exact"/>
        <w:ind w:right="-260" w:rightChars="-124"/>
        <w:rPr>
          <w:rFonts w:hint="eastAsia" w:ascii="宋体" w:hAnsi="宋体" w:eastAsia="宋体" w:cs="宋体"/>
          <w:kern w:val="0"/>
          <w:sz w:val="24"/>
          <w:highlight w:val="none"/>
        </w:rPr>
      </w:pPr>
    </w:p>
    <w:p w14:paraId="3E1D1E76">
      <w:pPr>
        <w:ind w:right="-260" w:rightChars="-124" w:firstLine="1263" w:firstLineChars="393"/>
        <w:rPr>
          <w:rFonts w:hint="eastAsia" w:ascii="宋体" w:hAnsi="宋体" w:eastAsia="宋体" w:cs="宋体"/>
          <w:b/>
          <w:bCs/>
          <w:kern w:val="0"/>
          <w:sz w:val="32"/>
          <w:szCs w:val="32"/>
          <w:highlight w:val="none"/>
        </w:rPr>
      </w:pPr>
    </w:p>
    <w:p w14:paraId="6ADC8214">
      <w:pPr>
        <w:spacing w:line="360" w:lineRule="auto"/>
        <w:ind w:left="0" w:leftChars="0" w:firstLine="1687" w:firstLineChars="525"/>
        <w:rPr>
          <w:rFonts w:hint="eastAsia" w:ascii="宋体" w:hAnsi="宋体" w:eastAsia="宋体" w:cs="宋体"/>
          <w:kern w:val="0"/>
          <w:sz w:val="24"/>
          <w:highlight w:val="none"/>
        </w:rPr>
      </w:pPr>
      <w:r>
        <w:rPr>
          <w:rFonts w:hint="eastAsia" w:ascii="宋体" w:hAnsi="宋体" w:eastAsia="宋体" w:cs="宋体"/>
          <w:b/>
          <w:bCs/>
          <w:kern w:val="0"/>
          <w:sz w:val="32"/>
          <w:szCs w:val="32"/>
          <w:highlight w:val="none"/>
        </w:rPr>
        <w:t>甲方：</w:t>
      </w:r>
      <w:r>
        <w:rPr>
          <w:rFonts w:hint="eastAsia" w:ascii="宋体" w:hAnsi="宋体" w:eastAsia="宋体" w:cs="宋体"/>
          <w:b/>
          <w:bCs/>
          <w:kern w:val="0"/>
          <w:sz w:val="32"/>
          <w:szCs w:val="32"/>
          <w:highlight w:val="none"/>
          <w:u w:val="single"/>
        </w:rPr>
        <w:t>南通轨道资源开发有限公司</w:t>
      </w:r>
    </w:p>
    <w:p w14:paraId="4E7F1F6D">
      <w:pPr>
        <w:spacing w:line="360" w:lineRule="auto"/>
        <w:ind w:left="0" w:leftChars="0" w:right="397" w:rightChars="189" w:firstLine="1687" w:firstLineChars="525"/>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乙方：</w:t>
      </w:r>
      <w:r>
        <w:rPr>
          <w:rFonts w:hint="eastAsia" w:ascii="宋体" w:hAnsi="宋体" w:eastAsia="宋体" w:cs="宋体"/>
          <w:b/>
          <w:bCs/>
          <w:kern w:val="0"/>
          <w:sz w:val="32"/>
          <w:szCs w:val="32"/>
          <w:highlight w:val="none"/>
          <w:u w:val="single"/>
        </w:rPr>
        <w:t>　　　　　　          　</w:t>
      </w:r>
    </w:p>
    <w:p w14:paraId="4F267C98">
      <w:pPr>
        <w:spacing w:line="360" w:lineRule="auto"/>
        <w:ind w:right="-260" w:rightChars="-124" w:firstLine="622" w:firstLineChars="200"/>
        <w:jc w:val="center"/>
        <w:rPr>
          <w:rFonts w:hint="eastAsia" w:ascii="宋体" w:hAnsi="宋体" w:eastAsia="宋体" w:cs="宋体"/>
          <w:b/>
          <w:bCs/>
          <w:kern w:val="0"/>
          <w:sz w:val="31"/>
          <w:szCs w:val="31"/>
          <w:highlight w:val="none"/>
        </w:rPr>
      </w:pPr>
    </w:p>
    <w:p w14:paraId="275D8C13">
      <w:pPr>
        <w:ind w:right="-260" w:rightChars="-124"/>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2025年  月</w:t>
      </w:r>
    </w:p>
    <w:p w14:paraId="655AA8F0">
      <w:pPr>
        <w:spacing w:line="440" w:lineRule="exact"/>
        <w:rPr>
          <w:rFonts w:hint="eastAsia" w:ascii="宋体" w:hAnsi="宋体" w:eastAsia="宋体" w:cs="宋体"/>
          <w:sz w:val="44"/>
          <w:szCs w:val="44"/>
          <w:highlight w:val="none"/>
        </w:rPr>
        <w:sectPr>
          <w:headerReference r:id="rId5" w:type="first"/>
          <w:footerReference r:id="rId8" w:type="first"/>
          <w:headerReference r:id="rId4" w:type="default"/>
          <w:footerReference r:id="rId6" w:type="default"/>
          <w:footerReference r:id="rId7" w:type="even"/>
          <w:pgSz w:w="11906" w:h="16838"/>
          <w:pgMar w:top="1440" w:right="1800" w:bottom="1440" w:left="1800" w:header="851" w:footer="1134" w:gutter="0"/>
          <w:pgBorders>
            <w:top w:val="none" w:sz="0" w:space="0"/>
            <w:left w:val="none" w:sz="0" w:space="0"/>
            <w:bottom w:val="none" w:sz="0" w:space="0"/>
            <w:right w:val="none" w:sz="0" w:space="0"/>
          </w:pgBorders>
          <w:pgNumType w:fmt="decimal" w:start="1"/>
          <w:cols w:space="0" w:num="1"/>
          <w:titlePg/>
          <w:rtlGutter w:val="0"/>
          <w:docGrid w:type="lines" w:linePitch="315" w:charSpace="0"/>
        </w:sectPr>
      </w:pPr>
    </w:p>
    <w:p w14:paraId="33EFF49D">
      <w:pPr>
        <w:pStyle w:val="116"/>
        <w:adjustRightInd/>
        <w:spacing w:line="440" w:lineRule="exact"/>
        <w:ind w:left="-420" w:leftChars="-200" w:right="-739" w:rightChars="-352" w:firstLine="422" w:firstLineChars="150"/>
        <w:rPr>
          <w:rFonts w:hint="eastAsia" w:eastAsia="宋体"/>
          <w:b/>
          <w:bCs/>
          <w:sz w:val="28"/>
          <w:szCs w:val="18"/>
        </w:rPr>
      </w:pPr>
      <w:bookmarkStart w:id="96" w:name="_Toc18660"/>
      <w:bookmarkStart w:id="97" w:name="_Toc13175"/>
      <w:bookmarkStart w:id="98" w:name="_Toc24498"/>
      <w:bookmarkStart w:id="99" w:name="_Toc6665"/>
      <w:r>
        <w:rPr>
          <w:rFonts w:hint="eastAsia" w:eastAsia="宋体"/>
          <w:b/>
          <w:bCs/>
          <w:sz w:val="28"/>
          <w:szCs w:val="18"/>
        </w:rPr>
        <w:t>第一部分 合同协议书</w:t>
      </w:r>
      <w:bookmarkEnd w:id="96"/>
    </w:p>
    <w:p w14:paraId="580798DB">
      <w:pPr>
        <w:spacing w:line="440" w:lineRule="exact"/>
        <w:ind w:left="99" w:leftChars="47" w:right="-260" w:rightChars="-124" w:firstLine="616" w:firstLineChars="257"/>
        <w:rPr>
          <w:rFonts w:hint="eastAsia" w:ascii="宋体" w:hAnsi="宋体" w:cs="宋体"/>
          <w:sz w:val="24"/>
          <w:szCs w:val="24"/>
        </w:rPr>
      </w:pPr>
      <w:r>
        <w:rPr>
          <w:rFonts w:hint="eastAsia" w:ascii="宋体" w:hAnsi="宋体" w:cs="宋体"/>
          <w:sz w:val="24"/>
          <w:szCs w:val="24"/>
        </w:rPr>
        <w:t>依照《中华人民共和国民法典》及有关法律规定，遵循平等、自愿、公平和诚实信用的原则，双方就</w:t>
      </w:r>
      <w:r>
        <w:rPr>
          <w:rFonts w:hint="eastAsia" w:ascii="宋体" w:hAnsi="宋体" w:cs="宋体"/>
          <w:sz w:val="24"/>
          <w:szCs w:val="24"/>
          <w:u w:val="single"/>
          <w:lang w:eastAsia="zh-CN"/>
        </w:rPr>
        <w:t>南通轨道交通城市消防远程监控中心设施设备采购项目</w:t>
      </w:r>
      <w:r>
        <w:rPr>
          <w:rFonts w:hint="eastAsia" w:ascii="宋体" w:hAnsi="宋体" w:cs="宋体"/>
          <w:sz w:val="24"/>
          <w:szCs w:val="24"/>
        </w:rPr>
        <w:t>及有关事项协商一致，共同达成如下协议：</w:t>
      </w:r>
    </w:p>
    <w:p w14:paraId="367FF648">
      <w:pPr>
        <w:spacing w:line="440" w:lineRule="exact"/>
        <w:ind w:left="99" w:leftChars="47" w:right="-260" w:rightChars="-124" w:firstLine="616" w:firstLineChars="257"/>
        <w:rPr>
          <w:rFonts w:hint="eastAsia" w:ascii="宋体" w:hAnsi="宋体" w:cs="宋体"/>
          <w:sz w:val="24"/>
          <w:szCs w:val="24"/>
        </w:rPr>
      </w:pPr>
      <w:r>
        <w:rPr>
          <w:rFonts w:hint="eastAsia" w:ascii="宋体" w:hAnsi="宋体" w:cs="宋体"/>
          <w:sz w:val="24"/>
          <w:szCs w:val="24"/>
        </w:rPr>
        <w:t xml:space="preserve">一、项目概况 </w:t>
      </w:r>
    </w:p>
    <w:p w14:paraId="6617F122">
      <w:pPr>
        <w:spacing w:line="440" w:lineRule="exact"/>
        <w:ind w:left="99" w:leftChars="47" w:right="-260" w:rightChars="-124" w:firstLine="616" w:firstLineChars="257"/>
        <w:rPr>
          <w:rFonts w:hint="eastAsia"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lang w:eastAsia="zh-CN"/>
        </w:rPr>
        <w:t>南通轨道交通城市消防远程监控中心设施设备采购项目</w:t>
      </w:r>
      <w:r>
        <w:rPr>
          <w:rFonts w:hint="eastAsia" w:ascii="宋体" w:hAnsi="宋体" w:cs="宋体"/>
          <w:sz w:val="24"/>
          <w:szCs w:val="24"/>
          <w:u w:val="single"/>
        </w:rPr>
        <w:t>；</w:t>
      </w:r>
    </w:p>
    <w:p w14:paraId="3F8AA268">
      <w:pPr>
        <w:spacing w:line="440" w:lineRule="exact"/>
        <w:ind w:left="99" w:leftChars="47" w:right="-260" w:rightChars="-124" w:firstLine="616" w:firstLineChars="257"/>
        <w:rPr>
          <w:rFonts w:hint="eastAsia" w:ascii="宋体" w:hAnsi="宋体" w:cs="宋体"/>
          <w:sz w:val="24"/>
          <w:szCs w:val="24"/>
          <w:u w:val="single"/>
        </w:rPr>
      </w:pPr>
      <w:r>
        <w:rPr>
          <w:rFonts w:hint="eastAsia" w:ascii="宋体" w:hAnsi="宋体" w:cs="宋体"/>
          <w:sz w:val="24"/>
          <w:szCs w:val="24"/>
        </w:rPr>
        <w:t>项目地址：</w:t>
      </w:r>
      <w:r>
        <w:rPr>
          <w:rFonts w:hint="eastAsia" w:ascii="宋体" w:hAnsi="宋体" w:cs="宋体"/>
          <w:bCs/>
          <w:sz w:val="24"/>
          <w:szCs w:val="24"/>
          <w:u w:val="single"/>
        </w:rPr>
        <w:t>江苏省南通市。</w:t>
      </w:r>
    </w:p>
    <w:p w14:paraId="44854FB1">
      <w:pPr>
        <w:spacing w:line="440" w:lineRule="exact"/>
        <w:ind w:left="99" w:leftChars="47" w:right="-260" w:rightChars="-124" w:firstLine="616" w:firstLineChars="257"/>
        <w:rPr>
          <w:rFonts w:hint="eastAsia" w:ascii="宋体" w:hAnsi="宋体" w:cs="宋体"/>
          <w:sz w:val="24"/>
          <w:szCs w:val="24"/>
        </w:rPr>
      </w:pPr>
      <w:r>
        <w:rPr>
          <w:rFonts w:hint="eastAsia" w:ascii="宋体" w:hAnsi="宋体" w:cs="宋体"/>
          <w:sz w:val="24"/>
          <w:szCs w:val="24"/>
        </w:rPr>
        <w:t xml:space="preserve">二、项目承揽范围 </w:t>
      </w:r>
    </w:p>
    <w:p w14:paraId="0041EC93">
      <w:pPr>
        <w:spacing w:line="440" w:lineRule="exact"/>
        <w:ind w:left="99" w:leftChars="47" w:right="-260" w:rightChars="-124" w:firstLine="616" w:firstLineChars="257"/>
        <w:rPr>
          <w:rFonts w:hint="eastAsia" w:ascii="宋体" w:hAnsi="宋体" w:cs="宋体"/>
          <w:sz w:val="24"/>
          <w:szCs w:val="24"/>
        </w:rPr>
      </w:pPr>
      <w:r>
        <w:rPr>
          <w:rFonts w:hint="eastAsia" w:ascii="宋体" w:hAnsi="宋体" w:cs="宋体"/>
          <w:sz w:val="24"/>
          <w:szCs w:val="24"/>
        </w:rPr>
        <w:t>本次采购内容</w:t>
      </w:r>
      <w:r>
        <w:rPr>
          <w:rFonts w:hint="eastAsia" w:ascii="宋体" w:hAnsi="宋体" w:cs="宋体"/>
          <w:sz w:val="24"/>
          <w:szCs w:val="24"/>
          <w:lang w:val="en-US" w:eastAsia="zh-CN"/>
        </w:rPr>
        <w:t>包括远程监控中心建设所需的全部硬件设备、网络及配套设施（含室内装修），同时承担从设计、施工、调试、验收的全部建设与管理工作。</w:t>
      </w:r>
    </w:p>
    <w:p w14:paraId="7C1D7F0B">
      <w:pPr>
        <w:spacing w:line="440" w:lineRule="exact"/>
        <w:ind w:left="99" w:leftChars="47" w:right="-260" w:rightChars="-124" w:firstLine="616" w:firstLineChars="257"/>
        <w:rPr>
          <w:rFonts w:hint="eastAsia" w:ascii="宋体" w:hAnsi="宋体" w:cs="宋体"/>
          <w:sz w:val="24"/>
          <w:szCs w:val="24"/>
        </w:rPr>
      </w:pPr>
      <w:r>
        <w:rPr>
          <w:rFonts w:hint="eastAsia" w:ascii="宋体" w:hAnsi="宋体" w:cs="宋体"/>
          <w:sz w:val="24"/>
          <w:szCs w:val="24"/>
        </w:rPr>
        <w:t>三、服务期限</w:t>
      </w:r>
    </w:p>
    <w:p w14:paraId="46680F76">
      <w:pPr>
        <w:spacing w:line="440" w:lineRule="exact"/>
        <w:ind w:left="99" w:leftChars="47" w:right="-260" w:rightChars="-124" w:firstLine="616" w:firstLineChars="257"/>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自合同签订之日起2年，包括建设期与后续运维服务期。</w:t>
      </w:r>
    </w:p>
    <w:p w14:paraId="3345E827">
      <w:pPr>
        <w:spacing w:line="440" w:lineRule="exact"/>
        <w:ind w:left="99" w:leftChars="47" w:right="-260" w:rightChars="-124" w:firstLine="616" w:firstLineChars="257"/>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（1）建设期：自甲方发出书面开工通知或提供符合进场条件的施工现场之日起30个日历日内，完成本项目全部建设内容并通过最终验收。</w:t>
      </w:r>
    </w:p>
    <w:p w14:paraId="78D850A9">
      <w:pPr>
        <w:spacing w:line="440" w:lineRule="exact"/>
        <w:ind w:left="99" w:leftChars="47" w:right="-260" w:rightChars="-124" w:firstLine="616" w:firstLineChars="257"/>
        <w:rPr>
          <w:rFonts w:hint="eastAsia" w:ascii="宋体" w:hAnsi="宋体" w:cs="宋体"/>
          <w:sz w:val="24"/>
          <w:szCs w:val="24"/>
          <w:lang w:val="en-US" w:eastAsia="zh-CN"/>
        </w:rPr>
      </w:pPr>
      <w:r>
        <w:rPr>
          <w:rFonts w:hint="eastAsia" w:ascii="宋体" w:hAnsi="宋体" w:cs="宋体"/>
          <w:sz w:val="24"/>
          <w:szCs w:val="24"/>
          <w:lang w:val="en-US" w:eastAsia="zh-CN"/>
        </w:rPr>
        <w:t>（2）质保期：自项目最终验收合格之日起计算，为期2年。</w:t>
      </w:r>
    </w:p>
    <w:p w14:paraId="382DE6ED">
      <w:pPr>
        <w:spacing w:line="440" w:lineRule="exact"/>
        <w:ind w:left="99" w:leftChars="47" w:right="-260" w:rightChars="-124" w:firstLine="616" w:firstLineChars="257"/>
        <w:rPr>
          <w:rFonts w:hint="eastAsia" w:ascii="宋体" w:hAnsi="宋体" w:cs="宋体"/>
          <w:sz w:val="24"/>
          <w:szCs w:val="24"/>
        </w:rPr>
      </w:pPr>
      <w:r>
        <w:rPr>
          <w:rFonts w:hint="eastAsia" w:ascii="宋体" w:hAnsi="宋体" w:cs="宋体"/>
          <w:sz w:val="24"/>
          <w:szCs w:val="24"/>
          <w:lang w:val="en-US" w:eastAsia="zh-CN"/>
        </w:rPr>
        <w:t>（3）项目建设的关键里程碑节点应在合同附件中明确，包括但不限于：主要设备到场日期、安装调试完成日期、竣工验收日期等。</w:t>
      </w:r>
    </w:p>
    <w:p w14:paraId="14952515">
      <w:pPr>
        <w:spacing w:line="440" w:lineRule="exact"/>
        <w:ind w:left="99" w:leftChars="47" w:right="-260" w:rightChars="-124" w:firstLine="616" w:firstLineChars="257"/>
        <w:rPr>
          <w:rFonts w:hint="eastAsia" w:ascii="宋体" w:hAnsi="宋体" w:cs="宋体"/>
          <w:sz w:val="24"/>
          <w:szCs w:val="24"/>
        </w:rPr>
      </w:pPr>
      <w:r>
        <w:rPr>
          <w:rFonts w:hint="eastAsia" w:ascii="宋体" w:hAnsi="宋体" w:cs="宋体"/>
          <w:sz w:val="24"/>
          <w:szCs w:val="24"/>
        </w:rPr>
        <w:t>四、合同价格</w:t>
      </w:r>
    </w:p>
    <w:p w14:paraId="29686B82">
      <w:pPr>
        <w:overflowPunct w:val="0"/>
        <w:autoSpaceDE w:val="0"/>
        <w:autoSpaceDN w:val="0"/>
        <w:spacing w:line="440" w:lineRule="exact"/>
        <w:ind w:left="99" w:leftChars="47" w:right="-260" w:rightChars="-124" w:firstLine="616" w:firstLineChars="257"/>
        <w:rPr>
          <w:rFonts w:hint="eastAsia" w:ascii="宋体" w:hAnsi="宋体" w:cs="宋体"/>
          <w:sz w:val="24"/>
          <w:szCs w:val="24"/>
          <w:u w:val="single"/>
        </w:rPr>
      </w:pPr>
      <w:r>
        <w:rPr>
          <w:rFonts w:hint="eastAsia" w:ascii="宋体" w:hAnsi="宋体" w:cs="宋体"/>
          <w:sz w:val="24"/>
          <w:szCs w:val="24"/>
        </w:rPr>
        <w:t>含税合同总</w:t>
      </w:r>
      <w:r>
        <w:rPr>
          <w:rFonts w:hint="eastAsia" w:ascii="宋体" w:hAnsi="宋体" w:cs="宋体"/>
          <w:color w:val="000000"/>
          <w:sz w:val="24"/>
          <w:szCs w:val="24"/>
          <w:lang w:bidi="ar"/>
        </w:rPr>
        <w:t>金额为人民币</w:t>
      </w:r>
      <w:r>
        <w:rPr>
          <w:rFonts w:hint="eastAsia" w:ascii="宋体" w:hAnsi="宋体" w:cs="宋体"/>
          <w:color w:val="000000"/>
          <w:sz w:val="24"/>
          <w:szCs w:val="24"/>
          <w:u w:val="single"/>
          <w:lang w:bidi="ar"/>
        </w:rPr>
        <w:t xml:space="preserve">        </w:t>
      </w:r>
      <w:r>
        <w:rPr>
          <w:rFonts w:hint="eastAsia" w:ascii="宋体" w:hAnsi="宋体" w:cs="宋体"/>
          <w:color w:val="000000"/>
          <w:sz w:val="24"/>
          <w:szCs w:val="24"/>
          <w:lang w:bidi="ar"/>
        </w:rPr>
        <w:t>元（大写），￥</w:t>
      </w:r>
      <w:r>
        <w:rPr>
          <w:rFonts w:hint="eastAsia" w:ascii="宋体" w:hAnsi="宋体" w:cs="宋体"/>
          <w:color w:val="000000"/>
          <w:sz w:val="24"/>
          <w:szCs w:val="24"/>
          <w:u w:val="single"/>
          <w:lang w:bidi="ar"/>
        </w:rPr>
        <w:t xml:space="preserve">        </w:t>
      </w:r>
      <w:r>
        <w:rPr>
          <w:rFonts w:hint="eastAsia" w:ascii="宋体" w:hAnsi="宋体" w:cs="宋体"/>
          <w:color w:val="000000"/>
          <w:sz w:val="24"/>
          <w:szCs w:val="24"/>
          <w:lang w:bidi="ar"/>
        </w:rPr>
        <w:t>元（小写）。其中：不含税合同金额为人民币</w:t>
      </w:r>
      <w:r>
        <w:rPr>
          <w:rFonts w:hint="eastAsia" w:ascii="宋体" w:hAnsi="宋体" w:cs="宋体"/>
          <w:color w:val="000000"/>
          <w:sz w:val="24"/>
          <w:szCs w:val="24"/>
          <w:u w:val="single"/>
          <w:lang w:bidi="ar"/>
        </w:rPr>
        <w:t xml:space="preserve">        </w:t>
      </w:r>
      <w:r>
        <w:rPr>
          <w:rFonts w:hint="eastAsia" w:ascii="宋体" w:hAnsi="宋体" w:cs="宋体"/>
          <w:color w:val="000000"/>
          <w:sz w:val="24"/>
          <w:szCs w:val="24"/>
          <w:lang w:bidi="ar"/>
        </w:rPr>
        <w:t>元（大写），￥</w:t>
      </w:r>
      <w:r>
        <w:rPr>
          <w:rFonts w:hint="eastAsia" w:ascii="宋体" w:hAnsi="宋体" w:cs="宋体"/>
          <w:color w:val="000000"/>
          <w:sz w:val="24"/>
          <w:szCs w:val="24"/>
          <w:u w:val="single"/>
          <w:lang w:bidi="ar"/>
        </w:rPr>
        <w:t xml:space="preserve">        </w:t>
      </w:r>
      <w:r>
        <w:rPr>
          <w:rFonts w:hint="eastAsia" w:ascii="宋体" w:hAnsi="宋体" w:cs="宋体"/>
          <w:color w:val="000000"/>
          <w:sz w:val="24"/>
          <w:szCs w:val="24"/>
          <w:lang w:bidi="ar"/>
        </w:rPr>
        <w:t>元（小写），增值税为人民币</w:t>
      </w:r>
      <w:r>
        <w:rPr>
          <w:rFonts w:hint="eastAsia" w:ascii="宋体" w:hAnsi="宋体" w:cs="宋体"/>
          <w:color w:val="000000"/>
          <w:sz w:val="24"/>
          <w:szCs w:val="24"/>
          <w:u w:val="single"/>
          <w:lang w:bidi="ar"/>
        </w:rPr>
        <w:t xml:space="preserve">        </w:t>
      </w:r>
      <w:r>
        <w:rPr>
          <w:rFonts w:hint="eastAsia" w:ascii="宋体" w:hAnsi="宋体" w:cs="宋体"/>
          <w:color w:val="000000"/>
          <w:sz w:val="24"/>
          <w:szCs w:val="24"/>
          <w:lang w:bidi="ar"/>
        </w:rPr>
        <w:t>元（大写），￥</w:t>
      </w:r>
      <w:r>
        <w:rPr>
          <w:rFonts w:hint="eastAsia" w:ascii="宋体" w:hAnsi="宋体" w:cs="宋体"/>
          <w:color w:val="000000"/>
          <w:sz w:val="24"/>
          <w:szCs w:val="24"/>
          <w:u w:val="single"/>
          <w:lang w:bidi="ar"/>
        </w:rPr>
        <w:t xml:space="preserve">        </w:t>
      </w:r>
      <w:r>
        <w:rPr>
          <w:rFonts w:hint="eastAsia" w:ascii="宋体" w:hAnsi="宋体" w:cs="宋体"/>
          <w:color w:val="000000"/>
          <w:sz w:val="24"/>
          <w:szCs w:val="24"/>
          <w:lang w:bidi="ar"/>
        </w:rPr>
        <w:t>元（小写）</w:t>
      </w:r>
      <w:r>
        <w:rPr>
          <w:rFonts w:hint="eastAsia" w:ascii="宋体" w:hAnsi="宋体" w:cs="宋体"/>
          <w:color w:val="000000"/>
          <w:sz w:val="24"/>
          <w:szCs w:val="24"/>
          <w:lang w:eastAsia="zh-CN" w:bidi="ar"/>
        </w:rPr>
        <w:t>，</w:t>
      </w:r>
      <w:r>
        <w:rPr>
          <w:rFonts w:hint="eastAsia" w:ascii="宋体" w:hAnsi="宋体" w:cs="宋体"/>
          <w:color w:val="000000"/>
          <w:sz w:val="24"/>
          <w:szCs w:val="24"/>
          <w:lang w:val="en-US" w:eastAsia="zh-CN" w:bidi="ar"/>
        </w:rPr>
        <w:t>税率为</w:t>
      </w:r>
      <w:r>
        <w:rPr>
          <w:rFonts w:hint="eastAsia" w:ascii="宋体" w:hAnsi="宋体" w:cs="宋体"/>
          <w:color w:val="000000"/>
          <w:sz w:val="24"/>
          <w:szCs w:val="24"/>
          <w:u w:val="single"/>
          <w:lang w:val="en-US" w:eastAsia="zh-CN" w:bidi="ar"/>
        </w:rPr>
        <w:t xml:space="preserve">   </w:t>
      </w:r>
      <w:r>
        <w:rPr>
          <w:rFonts w:hint="eastAsia" w:ascii="宋体" w:hAnsi="宋体" w:cs="宋体"/>
          <w:color w:val="000000"/>
          <w:sz w:val="24"/>
          <w:szCs w:val="24"/>
          <w:lang w:val="en-US" w:eastAsia="zh-CN" w:bidi="ar"/>
        </w:rPr>
        <w:t xml:space="preserve">% </w:t>
      </w:r>
      <w:r>
        <w:rPr>
          <w:rFonts w:hint="eastAsia" w:ascii="宋体" w:hAnsi="宋体" w:cs="宋体"/>
          <w:color w:val="000000"/>
          <w:sz w:val="24"/>
          <w:szCs w:val="24"/>
          <w:lang w:bidi="ar"/>
        </w:rPr>
        <w:t>。</w:t>
      </w:r>
    </w:p>
    <w:p w14:paraId="244F6E6D">
      <w:pPr>
        <w:spacing w:line="440" w:lineRule="exact"/>
        <w:ind w:left="99" w:leftChars="47" w:right="-260" w:rightChars="-124" w:firstLine="616" w:firstLineChars="257"/>
        <w:rPr>
          <w:rFonts w:hint="eastAsia" w:ascii="宋体" w:hAnsi="宋体" w:cs="宋体"/>
          <w:sz w:val="24"/>
          <w:szCs w:val="24"/>
        </w:rPr>
      </w:pPr>
      <w:r>
        <w:rPr>
          <w:rFonts w:hint="eastAsia" w:ascii="宋体" w:hAnsi="宋体" w:cs="宋体"/>
          <w:sz w:val="24"/>
          <w:szCs w:val="24"/>
        </w:rPr>
        <w:t>五、服务标准</w:t>
      </w:r>
    </w:p>
    <w:p w14:paraId="164C15B4">
      <w:pPr>
        <w:spacing w:line="440" w:lineRule="exact"/>
        <w:ind w:left="99" w:leftChars="47" w:right="-260" w:rightChars="-124" w:firstLine="616" w:firstLineChars="257"/>
        <w:rPr>
          <w:rFonts w:hint="eastAsia" w:ascii="宋体" w:hAnsi="宋体" w:cs="宋体"/>
          <w:sz w:val="24"/>
          <w:szCs w:val="24"/>
        </w:rPr>
      </w:pPr>
      <w:r>
        <w:rPr>
          <w:rFonts w:hint="eastAsia" w:ascii="宋体" w:hAnsi="宋体" w:cs="宋体"/>
          <w:sz w:val="24"/>
          <w:szCs w:val="24"/>
        </w:rPr>
        <w:t>服务标准：必须符合中华人民共和国国家标准，如果本合同技术要求中规定的执行标准高于国家标准，则按本合同技术标准中规定的标准执行，如果本合同技术要求中规定的执行标准低于国家标准，则按国家标准执行。</w:t>
      </w:r>
    </w:p>
    <w:p w14:paraId="7FE96684">
      <w:pPr>
        <w:spacing w:line="440" w:lineRule="exact"/>
        <w:ind w:left="99" w:leftChars="47" w:right="-260" w:rightChars="-124" w:firstLine="616" w:firstLineChars="257"/>
        <w:rPr>
          <w:rFonts w:hint="eastAsia" w:ascii="宋体" w:hAnsi="宋体" w:cs="宋体"/>
          <w:sz w:val="24"/>
          <w:szCs w:val="24"/>
        </w:rPr>
      </w:pPr>
      <w:r>
        <w:rPr>
          <w:rFonts w:hint="eastAsia" w:ascii="宋体" w:hAnsi="宋体" w:cs="宋体"/>
          <w:sz w:val="24"/>
          <w:szCs w:val="24"/>
        </w:rPr>
        <w:t xml:space="preserve">六、组成合同的文件 </w:t>
      </w:r>
    </w:p>
    <w:p w14:paraId="380EC4C6">
      <w:pPr>
        <w:spacing w:line="440" w:lineRule="exact"/>
        <w:ind w:left="99" w:leftChars="47" w:right="-260" w:rightChars="-124" w:firstLine="616" w:firstLineChars="257"/>
        <w:rPr>
          <w:rFonts w:hint="eastAsia" w:ascii="宋体" w:hAnsi="宋体" w:cs="宋体"/>
          <w:sz w:val="24"/>
          <w:szCs w:val="24"/>
        </w:rPr>
      </w:pPr>
      <w:r>
        <w:rPr>
          <w:rFonts w:hint="eastAsia" w:ascii="宋体" w:hAnsi="宋体" w:cs="宋体"/>
          <w:sz w:val="24"/>
          <w:szCs w:val="24"/>
        </w:rPr>
        <w:t>组成本合同的文件包括：</w:t>
      </w:r>
    </w:p>
    <w:p w14:paraId="299FAC49">
      <w:pPr>
        <w:spacing w:line="440" w:lineRule="exact"/>
        <w:ind w:left="99" w:leftChars="47" w:right="-260" w:rightChars="-124" w:firstLine="616" w:firstLineChars="257"/>
        <w:rPr>
          <w:rFonts w:hint="eastAsia" w:ascii="宋体" w:hAnsi="宋体" w:cs="宋体"/>
          <w:sz w:val="24"/>
          <w:szCs w:val="24"/>
        </w:rPr>
      </w:pPr>
      <w:r>
        <w:rPr>
          <w:rFonts w:hint="eastAsia" w:ascii="宋体" w:hAnsi="宋体" w:cs="宋体"/>
          <w:sz w:val="24"/>
          <w:szCs w:val="24"/>
        </w:rPr>
        <w:t>（1）合同协议书；</w:t>
      </w:r>
    </w:p>
    <w:p w14:paraId="6DA12384">
      <w:pPr>
        <w:spacing w:line="440" w:lineRule="exact"/>
        <w:ind w:left="99" w:leftChars="47" w:right="-260" w:rightChars="-124" w:firstLine="616" w:firstLineChars="257"/>
        <w:rPr>
          <w:rFonts w:hint="eastAsia" w:ascii="宋体" w:hAnsi="宋体" w:cs="宋体"/>
          <w:sz w:val="24"/>
          <w:szCs w:val="24"/>
        </w:rPr>
      </w:pPr>
      <w:r>
        <w:rPr>
          <w:rFonts w:hint="eastAsia" w:ascii="宋体" w:hAnsi="宋体" w:cs="宋体"/>
          <w:sz w:val="24"/>
          <w:szCs w:val="24"/>
        </w:rPr>
        <w:t>（2）中</w:t>
      </w:r>
      <w:r>
        <w:rPr>
          <w:rFonts w:hint="eastAsia" w:ascii="宋体" w:hAnsi="宋体" w:cs="宋体"/>
          <w:sz w:val="24"/>
          <w:szCs w:val="24"/>
          <w:lang w:val="en-US" w:eastAsia="zh-CN"/>
        </w:rPr>
        <w:t>选</w:t>
      </w:r>
      <w:r>
        <w:rPr>
          <w:rFonts w:hint="eastAsia" w:ascii="宋体" w:hAnsi="宋体" w:cs="宋体"/>
          <w:sz w:val="24"/>
          <w:szCs w:val="24"/>
        </w:rPr>
        <w:t>通知书；</w:t>
      </w:r>
    </w:p>
    <w:p w14:paraId="59DC653B">
      <w:pPr>
        <w:spacing w:line="440" w:lineRule="exact"/>
        <w:ind w:left="99" w:leftChars="47" w:right="-260" w:rightChars="-124" w:firstLine="616" w:firstLineChars="257"/>
        <w:rPr>
          <w:rFonts w:hint="eastAsia" w:ascii="宋体" w:hAnsi="宋体" w:cs="宋体"/>
          <w:sz w:val="24"/>
          <w:szCs w:val="24"/>
        </w:rPr>
      </w:pPr>
      <w:r>
        <w:rPr>
          <w:rFonts w:hint="eastAsia" w:ascii="宋体" w:hAnsi="宋体" w:cs="宋体"/>
          <w:sz w:val="24"/>
          <w:szCs w:val="24"/>
        </w:rPr>
        <w:t>（3）合同条款；</w:t>
      </w:r>
    </w:p>
    <w:p w14:paraId="77246006">
      <w:pPr>
        <w:spacing w:line="440" w:lineRule="exact"/>
        <w:ind w:left="99" w:leftChars="47" w:right="-260" w:rightChars="-124" w:firstLine="616" w:firstLineChars="257"/>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比选</w:t>
      </w:r>
      <w:r>
        <w:rPr>
          <w:rFonts w:hint="eastAsia" w:ascii="宋体" w:hAnsi="宋体" w:cs="宋体"/>
          <w:sz w:val="24"/>
          <w:szCs w:val="24"/>
        </w:rPr>
        <w:t>文件及其修改、补充文件；；</w:t>
      </w:r>
    </w:p>
    <w:p w14:paraId="4984ACFB">
      <w:pPr>
        <w:spacing w:line="440" w:lineRule="exact"/>
        <w:ind w:left="99" w:leftChars="47" w:right="-260" w:rightChars="-124" w:firstLine="616" w:firstLineChars="257"/>
        <w:rPr>
          <w:rFonts w:hint="eastAsia" w:ascii="宋体" w:hAnsi="宋体" w:cs="宋体"/>
          <w:sz w:val="24"/>
          <w:szCs w:val="24"/>
        </w:rPr>
      </w:pPr>
      <w:r>
        <w:rPr>
          <w:rFonts w:hint="eastAsia" w:ascii="宋体" w:hAnsi="宋体" w:cs="宋体"/>
          <w:sz w:val="24"/>
          <w:szCs w:val="24"/>
        </w:rPr>
        <w:t>（5）合同附件；</w:t>
      </w:r>
    </w:p>
    <w:p w14:paraId="01ECFB1E">
      <w:pPr>
        <w:spacing w:line="440" w:lineRule="exact"/>
        <w:ind w:left="99" w:leftChars="47" w:right="-260" w:rightChars="-124" w:firstLine="616" w:firstLineChars="257"/>
        <w:rPr>
          <w:rFonts w:hint="eastAsia" w:ascii="宋体" w:hAnsi="宋体" w:cs="宋体"/>
          <w:sz w:val="24"/>
          <w:szCs w:val="24"/>
        </w:rPr>
      </w:pPr>
      <w:r>
        <w:rPr>
          <w:rFonts w:hint="eastAsia" w:ascii="宋体" w:hAnsi="宋体" w:cs="宋体"/>
          <w:sz w:val="24"/>
          <w:szCs w:val="24"/>
        </w:rPr>
        <w:t>（6）授标前质疑澄清文件及其回复文件；</w:t>
      </w:r>
    </w:p>
    <w:p w14:paraId="7B6A70E2">
      <w:pPr>
        <w:spacing w:line="440" w:lineRule="exact"/>
        <w:ind w:left="99" w:leftChars="47" w:right="-260" w:rightChars="-124" w:firstLine="616" w:firstLineChars="257"/>
        <w:rPr>
          <w:rFonts w:hint="eastAsia" w:ascii="宋体" w:hAnsi="宋体" w:cs="宋体"/>
          <w:sz w:val="24"/>
          <w:szCs w:val="24"/>
        </w:rPr>
      </w:pPr>
      <w:r>
        <w:rPr>
          <w:rFonts w:hint="eastAsia" w:ascii="宋体" w:hAnsi="宋体" w:cs="宋体"/>
          <w:sz w:val="24"/>
          <w:szCs w:val="24"/>
        </w:rPr>
        <w:t>（7）</w:t>
      </w:r>
      <w:r>
        <w:rPr>
          <w:rFonts w:hint="eastAsia" w:ascii="宋体" w:hAnsi="宋体" w:cs="宋体"/>
          <w:sz w:val="24"/>
          <w:szCs w:val="24"/>
          <w:lang w:val="en-US" w:eastAsia="zh-CN"/>
        </w:rPr>
        <w:t>参选</w:t>
      </w:r>
      <w:r>
        <w:rPr>
          <w:rFonts w:hint="eastAsia" w:ascii="宋体" w:hAnsi="宋体" w:cs="宋体"/>
          <w:sz w:val="24"/>
          <w:szCs w:val="24"/>
        </w:rPr>
        <w:t>文件及其修改、补充文件；</w:t>
      </w:r>
    </w:p>
    <w:p w14:paraId="3D7976C7">
      <w:pPr>
        <w:spacing w:line="440" w:lineRule="exact"/>
        <w:ind w:left="99" w:leftChars="47" w:right="-260" w:rightChars="-124" w:firstLine="616" w:firstLineChars="257"/>
        <w:rPr>
          <w:rFonts w:hint="eastAsia" w:ascii="宋体" w:hAnsi="宋体" w:cs="宋体"/>
          <w:sz w:val="24"/>
          <w:szCs w:val="24"/>
        </w:rPr>
      </w:pPr>
      <w:r>
        <w:rPr>
          <w:rFonts w:hint="eastAsia" w:ascii="宋体" w:hAnsi="宋体" w:cs="宋体"/>
          <w:sz w:val="24"/>
          <w:szCs w:val="24"/>
        </w:rPr>
        <w:t>（8）其他合同文件；</w:t>
      </w:r>
    </w:p>
    <w:p w14:paraId="3F541426">
      <w:pPr>
        <w:spacing w:line="440" w:lineRule="exact"/>
        <w:ind w:left="99" w:leftChars="47" w:right="-260" w:rightChars="-124" w:firstLine="616" w:firstLineChars="257"/>
        <w:rPr>
          <w:rFonts w:hint="eastAsia" w:ascii="宋体" w:hAnsi="宋体" w:cs="宋体"/>
          <w:sz w:val="24"/>
        </w:rPr>
      </w:pPr>
      <w:r>
        <w:rPr>
          <w:rFonts w:hint="eastAsia" w:ascii="宋体" w:hAnsi="宋体" w:cs="宋体"/>
          <w:sz w:val="24"/>
        </w:rPr>
        <w:t>上述文件相互补充和解释，如有不明确或不一致之处，以上述次序在先者为准。双方关于项目变更通知、会议纪要等书面文本经双方签字并加盖公章后视为本合同的组成部分。合同签订后，双方签订的补充协议也是本合同文件的组成部分，如补充协议与其他文件发生矛盾或歧义时，属于同一类内容的文件，应以最新签署的为准。</w:t>
      </w:r>
    </w:p>
    <w:p w14:paraId="4B9B74BF">
      <w:pPr>
        <w:spacing w:line="440" w:lineRule="exact"/>
        <w:ind w:left="99" w:leftChars="47" w:right="-260" w:rightChars="-124" w:firstLine="616" w:firstLineChars="257"/>
        <w:rPr>
          <w:rFonts w:hint="eastAsia" w:ascii="宋体" w:hAnsi="宋体" w:cs="宋体"/>
          <w:sz w:val="24"/>
          <w:szCs w:val="24"/>
        </w:rPr>
      </w:pPr>
      <w:r>
        <w:rPr>
          <w:rFonts w:hint="eastAsia" w:ascii="宋体" w:hAnsi="宋体" w:cs="宋体"/>
          <w:sz w:val="24"/>
          <w:szCs w:val="24"/>
        </w:rPr>
        <w:t>七、本协议书有关词语含义与《合同条件》中分别赋予它们的定义相同。</w:t>
      </w:r>
    </w:p>
    <w:p w14:paraId="25DA900A">
      <w:pPr>
        <w:spacing w:line="440" w:lineRule="exact"/>
        <w:ind w:left="99" w:leftChars="47" w:right="-260" w:rightChars="-124" w:firstLine="616" w:firstLineChars="257"/>
        <w:rPr>
          <w:rFonts w:hint="eastAsia" w:ascii="宋体" w:hAnsi="宋体" w:cs="宋体"/>
          <w:sz w:val="24"/>
          <w:szCs w:val="24"/>
        </w:rPr>
      </w:pPr>
      <w:r>
        <w:rPr>
          <w:rFonts w:hint="eastAsia" w:ascii="宋体" w:hAnsi="宋体" w:cs="宋体"/>
          <w:sz w:val="24"/>
          <w:szCs w:val="24"/>
        </w:rPr>
        <w:t>八、甲方向乙方承诺按照合同约定的期限和方式支付合同价款及其他应当支付的款项。</w:t>
      </w:r>
    </w:p>
    <w:p w14:paraId="4CD4A281">
      <w:pPr>
        <w:autoSpaceDE w:val="0"/>
        <w:autoSpaceDN w:val="0"/>
        <w:spacing w:line="440" w:lineRule="exact"/>
        <w:ind w:left="99" w:leftChars="47" w:right="-260" w:rightChars="-124" w:firstLine="616" w:firstLineChars="257"/>
        <w:rPr>
          <w:rFonts w:hint="eastAsia" w:ascii="宋体" w:hAnsi="宋体" w:cs="宋体"/>
          <w:sz w:val="24"/>
          <w:szCs w:val="24"/>
        </w:rPr>
      </w:pPr>
      <w:r>
        <w:rPr>
          <w:rFonts w:hint="eastAsia" w:ascii="宋体" w:hAnsi="宋体" w:cs="宋体"/>
          <w:sz w:val="24"/>
          <w:szCs w:val="24"/>
        </w:rPr>
        <w:t>九、合同文件份数：本合同正本</w:t>
      </w:r>
      <w:r>
        <w:rPr>
          <w:rFonts w:hint="eastAsia" w:ascii="宋体" w:hAnsi="宋体" w:cs="宋体"/>
          <w:sz w:val="24"/>
          <w:szCs w:val="24"/>
          <w:u w:val="single"/>
        </w:rPr>
        <w:t>贰</w:t>
      </w:r>
      <w:r>
        <w:rPr>
          <w:rFonts w:hint="eastAsia" w:ascii="宋体" w:hAnsi="宋体" w:cs="宋体"/>
          <w:sz w:val="24"/>
          <w:szCs w:val="24"/>
        </w:rPr>
        <w:t>份，合同双方各执</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叁</w:t>
      </w:r>
      <w:r>
        <w:rPr>
          <w:rFonts w:hint="eastAsia" w:ascii="宋体" w:hAnsi="宋体" w:cs="宋体"/>
          <w:sz w:val="24"/>
          <w:szCs w:val="24"/>
        </w:rPr>
        <w:t>份，甲方执</w:t>
      </w:r>
      <w:r>
        <w:rPr>
          <w:rFonts w:hint="eastAsia" w:ascii="宋体" w:hAnsi="宋体" w:cs="宋体"/>
          <w:sz w:val="24"/>
          <w:szCs w:val="24"/>
          <w:u w:val="single"/>
        </w:rPr>
        <w:t>贰</w:t>
      </w:r>
      <w:r>
        <w:rPr>
          <w:rFonts w:hint="eastAsia" w:ascii="宋体" w:hAnsi="宋体" w:cs="宋体"/>
          <w:sz w:val="24"/>
          <w:szCs w:val="24"/>
        </w:rPr>
        <w:t>份，乙方执</w:t>
      </w:r>
      <w:r>
        <w:rPr>
          <w:rFonts w:hint="eastAsia" w:ascii="宋体" w:hAnsi="宋体" w:cs="宋体"/>
          <w:sz w:val="24"/>
          <w:szCs w:val="24"/>
          <w:u w:val="single"/>
        </w:rPr>
        <w:t>壹</w:t>
      </w:r>
      <w:r>
        <w:rPr>
          <w:rFonts w:hint="eastAsia" w:ascii="宋体" w:hAnsi="宋体" w:cs="宋体"/>
          <w:sz w:val="24"/>
          <w:szCs w:val="24"/>
        </w:rPr>
        <w:t>份。</w:t>
      </w:r>
    </w:p>
    <w:p w14:paraId="146B04A9">
      <w:pPr>
        <w:spacing w:line="440" w:lineRule="exact"/>
        <w:ind w:left="99" w:leftChars="47" w:right="-260" w:rightChars="-124" w:firstLine="616" w:firstLineChars="257"/>
        <w:rPr>
          <w:rFonts w:hint="eastAsia" w:ascii="宋体" w:hAnsi="宋体" w:cs="宋体"/>
          <w:sz w:val="24"/>
          <w:szCs w:val="24"/>
        </w:rPr>
      </w:pPr>
      <w:r>
        <w:rPr>
          <w:rFonts w:hint="eastAsia" w:ascii="宋体" w:hAnsi="宋体" w:cs="宋体"/>
          <w:sz w:val="24"/>
          <w:szCs w:val="24"/>
        </w:rPr>
        <w:t xml:space="preserve">十、合同生效 </w:t>
      </w:r>
    </w:p>
    <w:p w14:paraId="689E7A0B">
      <w:pPr>
        <w:pStyle w:val="21"/>
        <w:spacing w:line="440" w:lineRule="exact"/>
        <w:ind w:left="99" w:leftChars="47" w:right="-260" w:rightChars="-124" w:firstLine="616" w:firstLineChars="257"/>
        <w:rPr>
          <w:rFonts w:hint="eastAsia" w:hAnsi="宋体" w:cs="宋体"/>
          <w:sz w:val="24"/>
          <w:szCs w:val="24"/>
        </w:rPr>
      </w:pPr>
      <w:r>
        <w:rPr>
          <w:rFonts w:hint="eastAsia" w:hAnsi="宋体" w:cs="宋体"/>
          <w:sz w:val="24"/>
          <w:szCs w:val="24"/>
        </w:rPr>
        <w:t>本协议经双方代表签字、加盖单位公章且乙方提交合格的履约担保后生效。</w:t>
      </w:r>
    </w:p>
    <w:p w14:paraId="22BCF01C">
      <w:pPr>
        <w:pStyle w:val="21"/>
        <w:spacing w:line="440" w:lineRule="exact"/>
        <w:ind w:left="-420" w:leftChars="-200" w:firstLine="300" w:firstLineChars="150"/>
        <w:rPr>
          <w:rFonts w:hint="eastAsia" w:hAnsi="宋体" w:cs="宋体"/>
        </w:rPr>
      </w:pPr>
    </w:p>
    <w:p w14:paraId="45541C2B">
      <w:pPr>
        <w:pStyle w:val="21"/>
        <w:spacing w:line="440" w:lineRule="exact"/>
        <w:ind w:firstLine="360"/>
        <w:rPr>
          <w:rFonts w:hint="eastAsia" w:hAnsi="宋体" w:cs="宋体"/>
        </w:rPr>
      </w:pPr>
    </w:p>
    <w:tbl>
      <w:tblPr>
        <w:tblStyle w:val="38"/>
        <w:tblW w:w="93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5"/>
        <w:gridCol w:w="4676"/>
      </w:tblGrid>
      <w:tr w14:paraId="207C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vAlign w:val="center"/>
          </w:tcPr>
          <w:p w14:paraId="46C967BA">
            <w:pPr>
              <w:spacing w:line="360" w:lineRule="auto"/>
              <w:rPr>
                <w:rFonts w:hint="eastAsia" w:ascii="宋体" w:hAnsi="宋体" w:cs="宋体"/>
                <w:szCs w:val="21"/>
              </w:rPr>
            </w:pPr>
            <w:r>
              <w:rPr>
                <w:rFonts w:hint="eastAsia" w:ascii="宋体" w:hAnsi="宋体" w:cs="宋体"/>
                <w:szCs w:val="21"/>
              </w:rPr>
              <w:t>甲方（盖章）：</w:t>
            </w:r>
            <w:r>
              <w:rPr>
                <w:rFonts w:hint="eastAsia" w:ascii="宋体" w:hAnsi="宋体" w:cs="宋体"/>
                <w:szCs w:val="21"/>
                <w:u w:val="single"/>
              </w:rPr>
              <w:t>南通轨道资源开发有限公司</w:t>
            </w:r>
          </w:p>
        </w:tc>
        <w:tc>
          <w:tcPr>
            <w:tcW w:w="4676" w:type="dxa"/>
            <w:vAlign w:val="center"/>
          </w:tcPr>
          <w:p w14:paraId="379D16B3">
            <w:pPr>
              <w:spacing w:line="360" w:lineRule="auto"/>
              <w:rPr>
                <w:rFonts w:hint="eastAsia" w:ascii="宋体" w:hAnsi="宋体" w:cs="宋体"/>
                <w:szCs w:val="21"/>
              </w:rPr>
            </w:pPr>
            <w:r>
              <w:rPr>
                <w:rFonts w:hint="eastAsia" w:ascii="宋体" w:hAnsi="宋体" w:cs="宋体"/>
                <w:szCs w:val="21"/>
              </w:rPr>
              <w:t>乙方（盖章）：________</w:t>
            </w:r>
            <w:r>
              <w:rPr>
                <w:rFonts w:hint="eastAsia" w:ascii="宋体" w:hAnsi="宋体" w:cs="宋体"/>
                <w:szCs w:val="21"/>
                <w:u w:val="single"/>
              </w:rPr>
              <w:t>__            _</w:t>
            </w:r>
            <w:r>
              <w:rPr>
                <w:rFonts w:hint="eastAsia" w:ascii="宋体" w:hAnsi="宋体" w:cs="宋体"/>
                <w:szCs w:val="21"/>
              </w:rPr>
              <w:t>_</w:t>
            </w:r>
          </w:p>
        </w:tc>
      </w:tr>
      <w:tr w14:paraId="6278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vAlign w:val="center"/>
          </w:tcPr>
          <w:p w14:paraId="6718F652">
            <w:pPr>
              <w:autoSpaceDE w:val="0"/>
              <w:autoSpaceDN w:val="0"/>
              <w:spacing w:line="360" w:lineRule="auto"/>
              <w:rPr>
                <w:rFonts w:hint="eastAsia" w:ascii="宋体" w:hAnsi="宋体" w:cs="宋体"/>
                <w:szCs w:val="21"/>
              </w:rPr>
            </w:pPr>
            <w:r>
              <w:rPr>
                <w:rFonts w:hint="eastAsia" w:ascii="宋体" w:hAnsi="宋体" w:cs="宋体"/>
                <w:szCs w:val="21"/>
              </w:rPr>
              <w:t>法定代表人或</w:t>
            </w:r>
          </w:p>
          <w:p w14:paraId="43AEA48B">
            <w:pPr>
              <w:spacing w:line="360" w:lineRule="auto"/>
              <w:rPr>
                <w:rFonts w:hint="eastAsia" w:ascii="宋体" w:hAnsi="宋体" w:cs="宋体"/>
                <w:szCs w:val="21"/>
              </w:rPr>
            </w:pPr>
            <w:r>
              <w:rPr>
                <w:rFonts w:hint="eastAsia" w:ascii="宋体" w:hAnsi="宋体" w:cs="宋体"/>
                <w:szCs w:val="21"/>
              </w:rPr>
              <w:t>其委托代理人（签字或盖章）：____________</w:t>
            </w:r>
          </w:p>
        </w:tc>
        <w:tc>
          <w:tcPr>
            <w:tcW w:w="4676" w:type="dxa"/>
            <w:vAlign w:val="center"/>
          </w:tcPr>
          <w:p w14:paraId="1DEB52E6">
            <w:pPr>
              <w:autoSpaceDE w:val="0"/>
              <w:autoSpaceDN w:val="0"/>
              <w:spacing w:line="360" w:lineRule="auto"/>
              <w:rPr>
                <w:rFonts w:hint="eastAsia" w:ascii="宋体" w:hAnsi="宋体" w:cs="宋体"/>
                <w:szCs w:val="21"/>
              </w:rPr>
            </w:pPr>
            <w:r>
              <w:rPr>
                <w:rFonts w:hint="eastAsia" w:ascii="宋体" w:hAnsi="宋体" w:cs="宋体"/>
                <w:szCs w:val="21"/>
              </w:rPr>
              <w:t>法定代表人或</w:t>
            </w:r>
          </w:p>
          <w:p w14:paraId="67D7F255">
            <w:pPr>
              <w:spacing w:line="360" w:lineRule="auto"/>
              <w:rPr>
                <w:rFonts w:hint="eastAsia" w:ascii="宋体" w:hAnsi="宋体" w:cs="宋体"/>
                <w:szCs w:val="21"/>
              </w:rPr>
            </w:pPr>
            <w:r>
              <w:rPr>
                <w:rFonts w:hint="eastAsia" w:ascii="宋体" w:hAnsi="宋体" w:cs="宋体"/>
                <w:szCs w:val="21"/>
              </w:rPr>
              <w:t>其委托代理人（签字或盖章）：____________</w:t>
            </w:r>
          </w:p>
        </w:tc>
      </w:tr>
      <w:tr w14:paraId="419B4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vAlign w:val="center"/>
          </w:tcPr>
          <w:p w14:paraId="455BF417">
            <w:pPr>
              <w:spacing w:line="360" w:lineRule="auto"/>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 xml:space="preserve">南通市崇川区崇川路158号18楼     </w:t>
            </w:r>
          </w:p>
        </w:tc>
        <w:tc>
          <w:tcPr>
            <w:tcW w:w="4676" w:type="dxa"/>
            <w:vAlign w:val="center"/>
          </w:tcPr>
          <w:p w14:paraId="73AFFD74">
            <w:pPr>
              <w:spacing w:line="360" w:lineRule="auto"/>
              <w:rPr>
                <w:rFonts w:hint="eastAsia" w:ascii="宋体" w:hAnsi="宋体" w:cs="宋体"/>
                <w:szCs w:val="21"/>
              </w:rPr>
            </w:pPr>
            <w:r>
              <w:rPr>
                <w:rFonts w:hint="eastAsia" w:ascii="宋体" w:hAnsi="宋体" w:cs="宋体"/>
                <w:szCs w:val="21"/>
              </w:rPr>
              <w:t>地址：________</w:t>
            </w:r>
            <w:r>
              <w:rPr>
                <w:rFonts w:hint="eastAsia" w:ascii="宋体" w:hAnsi="宋体" w:cs="宋体"/>
                <w:szCs w:val="21"/>
                <w:u w:val="single"/>
              </w:rPr>
              <w:t>__            _</w:t>
            </w:r>
            <w:r>
              <w:rPr>
                <w:rFonts w:hint="eastAsia" w:ascii="宋体" w:hAnsi="宋体" w:cs="宋体"/>
                <w:szCs w:val="21"/>
              </w:rPr>
              <w:t>_</w:t>
            </w:r>
          </w:p>
        </w:tc>
      </w:tr>
      <w:tr w14:paraId="2F56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vAlign w:val="center"/>
          </w:tcPr>
          <w:p w14:paraId="7D4A44DA">
            <w:pPr>
              <w:spacing w:line="360" w:lineRule="auto"/>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 xml:space="preserve">0513-80813997                     </w:t>
            </w:r>
          </w:p>
        </w:tc>
        <w:tc>
          <w:tcPr>
            <w:tcW w:w="4676" w:type="dxa"/>
            <w:vAlign w:val="center"/>
          </w:tcPr>
          <w:p w14:paraId="25405057">
            <w:pPr>
              <w:spacing w:line="360" w:lineRule="auto"/>
              <w:rPr>
                <w:rFonts w:hint="eastAsia" w:ascii="宋体" w:hAnsi="宋体" w:cs="宋体"/>
                <w:szCs w:val="21"/>
              </w:rPr>
            </w:pPr>
            <w:r>
              <w:rPr>
                <w:rFonts w:hint="eastAsia" w:ascii="宋体" w:hAnsi="宋体" w:cs="宋体"/>
                <w:szCs w:val="21"/>
              </w:rPr>
              <w:t>电话：____________</w:t>
            </w:r>
          </w:p>
        </w:tc>
      </w:tr>
      <w:tr w14:paraId="7253C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675" w:type="dxa"/>
            <w:vAlign w:val="center"/>
          </w:tcPr>
          <w:p w14:paraId="31A45DAE">
            <w:pPr>
              <w:spacing w:line="360" w:lineRule="auto"/>
              <w:rPr>
                <w:rFonts w:hint="eastAsia" w:ascii="宋体" w:hAnsi="宋体" w:cs="宋体"/>
                <w:szCs w:val="21"/>
              </w:rPr>
            </w:pPr>
            <w:r>
              <w:rPr>
                <w:rFonts w:hint="eastAsia" w:ascii="宋体" w:hAnsi="宋体" w:cs="宋体"/>
                <w:szCs w:val="21"/>
              </w:rPr>
              <w:t>日期：2025年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tc>
        <w:tc>
          <w:tcPr>
            <w:tcW w:w="4676" w:type="dxa"/>
            <w:vAlign w:val="center"/>
          </w:tcPr>
          <w:p w14:paraId="09AAA39F">
            <w:pPr>
              <w:spacing w:line="360" w:lineRule="auto"/>
              <w:rPr>
                <w:rFonts w:hint="eastAsia" w:ascii="宋体" w:hAnsi="宋体" w:cs="宋体"/>
                <w:szCs w:val="21"/>
              </w:rPr>
            </w:pPr>
            <w:r>
              <w:rPr>
                <w:rFonts w:hint="eastAsia" w:ascii="宋体" w:hAnsi="宋体" w:cs="宋体"/>
                <w:szCs w:val="21"/>
              </w:rPr>
              <w:t>日期：2025年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tc>
      </w:tr>
    </w:tbl>
    <w:p w14:paraId="124E54FB">
      <w:pPr>
        <w:spacing w:line="440" w:lineRule="exact"/>
        <w:rPr>
          <w:rFonts w:hint="eastAsia" w:ascii="宋体" w:hAnsi="宋体" w:cs="宋体"/>
        </w:rPr>
      </w:pPr>
      <w:r>
        <w:rPr>
          <w:rFonts w:hint="eastAsia" w:ascii="宋体" w:hAnsi="宋体" w:cs="宋体"/>
        </w:rPr>
        <w:br w:type="page"/>
      </w:r>
    </w:p>
    <w:p w14:paraId="621EE00C">
      <w:pPr>
        <w:pStyle w:val="116"/>
        <w:adjustRightInd/>
        <w:spacing w:line="440" w:lineRule="exact"/>
        <w:ind w:left="-420" w:leftChars="-200" w:right="-739" w:rightChars="-352" w:firstLine="422" w:firstLineChars="150"/>
        <w:rPr>
          <w:rFonts w:hint="eastAsia" w:eastAsia="宋体"/>
          <w:b/>
          <w:bCs/>
          <w:sz w:val="28"/>
          <w:szCs w:val="18"/>
        </w:rPr>
      </w:pPr>
      <w:bookmarkStart w:id="100" w:name="_Toc20982"/>
      <w:r>
        <w:rPr>
          <w:rFonts w:hint="eastAsia" w:eastAsia="宋体"/>
          <w:b/>
          <w:bCs/>
          <w:sz w:val="28"/>
          <w:szCs w:val="18"/>
        </w:rPr>
        <w:t>第二部分 合同条款</w:t>
      </w:r>
      <w:bookmarkEnd w:id="100"/>
    </w:p>
    <w:p w14:paraId="55861568">
      <w:pPr>
        <w:pStyle w:val="116"/>
        <w:keepNext/>
        <w:keepLines/>
        <w:pageBreakBefore w:val="0"/>
        <w:widowControl w:val="0"/>
        <w:kinsoku/>
        <w:wordWrap/>
        <w:overflowPunct w:val="0"/>
        <w:topLinePunct w:val="0"/>
        <w:autoSpaceDE/>
        <w:autoSpaceDN/>
        <w:bidi w:val="0"/>
        <w:adjustRightInd/>
        <w:snapToGrid/>
        <w:spacing w:before="0" w:after="0" w:line="440" w:lineRule="exact"/>
        <w:ind w:left="0" w:leftChars="0" w:right="-260" w:rightChars="-124" w:firstLine="482" w:firstLineChars="200"/>
        <w:jc w:val="left"/>
        <w:textAlignment w:val="auto"/>
        <w:rPr>
          <w:rFonts w:hint="eastAsia" w:eastAsia="宋体"/>
          <w:sz w:val="24"/>
          <w:szCs w:val="24"/>
        </w:rPr>
      </w:pPr>
      <w:bookmarkStart w:id="101" w:name="_Toc19508"/>
      <w:r>
        <w:rPr>
          <w:rFonts w:hint="eastAsia" w:eastAsia="宋体"/>
          <w:sz w:val="24"/>
          <w:szCs w:val="24"/>
        </w:rPr>
        <w:t>一、定义</w:t>
      </w:r>
      <w:bookmarkEnd w:id="101"/>
    </w:p>
    <w:p w14:paraId="13F029F3">
      <w:pPr>
        <w:numPr>
          <w:ilvl w:val="1"/>
          <w:numId w:val="10"/>
        </w:numPr>
        <w:tabs>
          <w:tab w:val="left" w:pos="567"/>
        </w:tabs>
        <w:spacing w:line="440" w:lineRule="exact"/>
        <w:ind w:left="0" w:leftChars="0" w:right="-260" w:rightChars="-124" w:firstLine="480" w:firstLineChars="200"/>
        <w:outlineLvl w:val="2"/>
        <w:rPr>
          <w:rFonts w:hint="eastAsia" w:ascii="宋体" w:hAnsi="宋体" w:cs="宋体"/>
          <w:color w:val="000000"/>
          <w:sz w:val="24"/>
          <w:szCs w:val="24"/>
        </w:rPr>
      </w:pPr>
      <w:r>
        <w:rPr>
          <w:rFonts w:hint="eastAsia" w:ascii="宋体" w:hAnsi="宋体" w:cs="宋体"/>
          <w:color w:val="000000"/>
          <w:sz w:val="24"/>
          <w:szCs w:val="24"/>
        </w:rPr>
        <w:t>定义</w:t>
      </w:r>
    </w:p>
    <w:p w14:paraId="7F8609B8">
      <w:pPr>
        <w:tabs>
          <w:tab w:val="left" w:pos="735"/>
          <w:tab w:val="left" w:pos="1080"/>
        </w:tabs>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sz w:val="24"/>
          <w:szCs w:val="24"/>
        </w:rPr>
        <w:t>下列措词和用语，除上下文另有规定外，应具有如下所赋予的含义：</w:t>
      </w:r>
    </w:p>
    <w:p w14:paraId="542FCBC2">
      <w:pPr>
        <w:numPr>
          <w:ilvl w:val="3"/>
          <w:numId w:val="0"/>
        </w:numPr>
        <w:tabs>
          <w:tab w:val="left" w:pos="420"/>
          <w:tab w:val="left" w:pos="709"/>
        </w:tabs>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sz w:val="24"/>
          <w:szCs w:val="24"/>
        </w:rPr>
        <w:t>（1）“合同”系指包括合同协议书、中标通知书、投标函、合同条件、技术要求以及其他双方约定构成合同组成部分的协议、往来信函、纪要、备忘等在内的合同文件的总称。</w:t>
      </w:r>
    </w:p>
    <w:p w14:paraId="48A8AB51">
      <w:pPr>
        <w:numPr>
          <w:ilvl w:val="3"/>
          <w:numId w:val="0"/>
        </w:numPr>
        <w:tabs>
          <w:tab w:val="left" w:pos="420"/>
          <w:tab w:val="left" w:pos="709"/>
        </w:tabs>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sz w:val="24"/>
          <w:szCs w:val="24"/>
        </w:rPr>
        <w:t>（2）“合同价”系指根据本合同规定乙方在正确地完全履行合同义务后，甲方应支付给乙方的价款。</w:t>
      </w:r>
    </w:p>
    <w:p w14:paraId="09C1141A">
      <w:pPr>
        <w:numPr>
          <w:ilvl w:val="3"/>
          <w:numId w:val="0"/>
        </w:numPr>
        <w:tabs>
          <w:tab w:val="left" w:pos="420"/>
          <w:tab w:val="left" w:pos="709"/>
        </w:tabs>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sz w:val="24"/>
          <w:szCs w:val="24"/>
        </w:rPr>
        <w:t>（3）“服务”系指</w:t>
      </w:r>
      <w:r>
        <w:rPr>
          <w:rFonts w:hint="eastAsia" w:ascii="宋体" w:hAnsi="宋体" w:cs="宋体"/>
          <w:snapToGrid w:val="0"/>
          <w:sz w:val="24"/>
          <w:szCs w:val="24"/>
        </w:rPr>
        <w:t>乙方根据本合同的约定所提供的所有服务</w:t>
      </w:r>
      <w:r>
        <w:rPr>
          <w:rFonts w:hint="eastAsia" w:ascii="宋体" w:hAnsi="宋体" w:cs="宋体"/>
          <w:sz w:val="24"/>
          <w:szCs w:val="24"/>
        </w:rPr>
        <w:t>。</w:t>
      </w:r>
    </w:p>
    <w:p w14:paraId="4F2CDC79">
      <w:pPr>
        <w:numPr>
          <w:ilvl w:val="3"/>
          <w:numId w:val="0"/>
        </w:numPr>
        <w:tabs>
          <w:tab w:val="left" w:pos="420"/>
          <w:tab w:val="left" w:pos="709"/>
        </w:tabs>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sz w:val="24"/>
          <w:szCs w:val="24"/>
        </w:rPr>
        <w:t>（4）“甲方”指合同协议书中所述的甲方。</w:t>
      </w:r>
    </w:p>
    <w:p w14:paraId="0712DC30">
      <w:pPr>
        <w:numPr>
          <w:ilvl w:val="3"/>
          <w:numId w:val="0"/>
        </w:numPr>
        <w:tabs>
          <w:tab w:val="left" w:pos="420"/>
          <w:tab w:val="left" w:pos="709"/>
        </w:tabs>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sz w:val="24"/>
          <w:szCs w:val="24"/>
        </w:rPr>
        <w:t>（5）“乙方”指合同协议书中所述的乙方。</w:t>
      </w:r>
    </w:p>
    <w:p w14:paraId="7995C2D3">
      <w:pPr>
        <w:numPr>
          <w:ilvl w:val="3"/>
          <w:numId w:val="0"/>
        </w:numPr>
        <w:tabs>
          <w:tab w:val="left" w:pos="420"/>
          <w:tab w:val="left" w:pos="709"/>
        </w:tabs>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sz w:val="24"/>
          <w:szCs w:val="24"/>
        </w:rPr>
        <w:t>（6）“双方”指甲方和乙方。</w:t>
      </w:r>
    </w:p>
    <w:p w14:paraId="01600AFF">
      <w:pPr>
        <w:numPr>
          <w:ilvl w:val="3"/>
          <w:numId w:val="0"/>
        </w:numPr>
        <w:tabs>
          <w:tab w:val="left" w:pos="420"/>
          <w:tab w:val="left" w:pos="709"/>
        </w:tabs>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sz w:val="24"/>
          <w:szCs w:val="24"/>
        </w:rPr>
        <w:t>（7）“分包商”指由乙方将合同范围内的部分供货分包给甲方同意认可的第三方和甲方同意认可的该第三方的继任方。</w:t>
      </w:r>
    </w:p>
    <w:p w14:paraId="5C92934E">
      <w:pPr>
        <w:numPr>
          <w:ilvl w:val="3"/>
          <w:numId w:val="0"/>
        </w:numPr>
        <w:tabs>
          <w:tab w:val="left" w:pos="420"/>
          <w:tab w:val="left" w:pos="709"/>
        </w:tabs>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sz w:val="24"/>
          <w:szCs w:val="24"/>
        </w:rPr>
        <w:t>（8）“第三人”系指除甲方、乙方以外的其它人员，包括法人或自然人，群体或个体。</w:t>
      </w:r>
    </w:p>
    <w:p w14:paraId="7E29F9CA">
      <w:pPr>
        <w:numPr>
          <w:ilvl w:val="3"/>
          <w:numId w:val="0"/>
        </w:numPr>
        <w:tabs>
          <w:tab w:val="left" w:pos="420"/>
          <w:tab w:val="left" w:pos="709"/>
        </w:tabs>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sz w:val="24"/>
          <w:szCs w:val="24"/>
        </w:rPr>
        <w:t>（9）“项目”是指</w:t>
      </w:r>
      <w:r>
        <w:rPr>
          <w:rFonts w:hint="eastAsia" w:ascii="宋体" w:hAnsi="宋体" w:cs="宋体"/>
          <w:sz w:val="24"/>
          <w:szCs w:val="24"/>
          <w:lang w:eastAsia="zh-CN"/>
        </w:rPr>
        <w:t>南通轨道交通城市消防远程监控中心设施设备采购项目</w:t>
      </w:r>
      <w:r>
        <w:rPr>
          <w:rFonts w:hint="eastAsia" w:ascii="宋体" w:hAnsi="宋体" w:cs="宋体"/>
          <w:sz w:val="24"/>
          <w:szCs w:val="24"/>
        </w:rPr>
        <w:t>。</w:t>
      </w:r>
    </w:p>
    <w:p w14:paraId="2B60B99D">
      <w:pPr>
        <w:numPr>
          <w:ilvl w:val="3"/>
          <w:numId w:val="0"/>
        </w:numPr>
        <w:tabs>
          <w:tab w:val="left" w:pos="420"/>
          <w:tab w:val="left" w:pos="709"/>
        </w:tabs>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sz w:val="24"/>
          <w:szCs w:val="24"/>
        </w:rPr>
        <w:t>（10）“项目成果”是指乙方根据合同规定为甲方提供的南通轨道城市消防远程监控和值守平台所有硬件设备和服务而进行的全部工作。</w:t>
      </w:r>
    </w:p>
    <w:p w14:paraId="38BD7FFF">
      <w:pPr>
        <w:numPr>
          <w:ilvl w:val="3"/>
          <w:numId w:val="0"/>
        </w:numPr>
        <w:tabs>
          <w:tab w:val="left" w:pos="420"/>
          <w:tab w:val="left" w:pos="709"/>
        </w:tabs>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sz w:val="24"/>
          <w:szCs w:val="24"/>
        </w:rPr>
        <w:t>（11）天(日) “天”和“日”具有同样含义，是指一个公历日，不是指工作日。</w:t>
      </w:r>
    </w:p>
    <w:p w14:paraId="58E429CF">
      <w:pPr>
        <w:numPr>
          <w:ilvl w:val="3"/>
          <w:numId w:val="0"/>
        </w:numPr>
        <w:tabs>
          <w:tab w:val="left" w:pos="420"/>
          <w:tab w:val="left" w:pos="709"/>
        </w:tabs>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sz w:val="24"/>
          <w:szCs w:val="24"/>
        </w:rPr>
        <w:t>（12）“周”系指7个日历日。</w:t>
      </w:r>
    </w:p>
    <w:p w14:paraId="4424D1AD">
      <w:pPr>
        <w:numPr>
          <w:ilvl w:val="3"/>
          <w:numId w:val="0"/>
        </w:numPr>
        <w:tabs>
          <w:tab w:val="left" w:pos="420"/>
          <w:tab w:val="left" w:pos="709"/>
        </w:tabs>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sz w:val="24"/>
          <w:szCs w:val="24"/>
        </w:rPr>
        <w:t>（13）“月”系指日历月。</w:t>
      </w:r>
    </w:p>
    <w:p w14:paraId="538CADC4">
      <w:pPr>
        <w:numPr>
          <w:ilvl w:val="3"/>
          <w:numId w:val="0"/>
        </w:numPr>
        <w:tabs>
          <w:tab w:val="left" w:pos="420"/>
          <w:tab w:val="left" w:pos="709"/>
        </w:tabs>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sz w:val="24"/>
          <w:szCs w:val="24"/>
        </w:rPr>
        <w:t>（14）“法律法规”系指广义的法律、法规、条例、法令、规章，及政府主管部门制订的规范性文件、管理制度等。</w:t>
      </w:r>
    </w:p>
    <w:p w14:paraId="56F322D3">
      <w:pPr>
        <w:numPr>
          <w:ilvl w:val="3"/>
          <w:numId w:val="0"/>
        </w:numPr>
        <w:tabs>
          <w:tab w:val="left" w:pos="420"/>
          <w:tab w:val="left" w:pos="709"/>
        </w:tabs>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sz w:val="24"/>
          <w:szCs w:val="24"/>
        </w:rPr>
        <w:t>（15）“不可抗力”系指发承包双方均不可预见、不可避免、不能克服的超出认识控制和防范能力的事件。</w:t>
      </w:r>
    </w:p>
    <w:p w14:paraId="488BE4B3">
      <w:pPr>
        <w:numPr>
          <w:ilvl w:val="1"/>
          <w:numId w:val="10"/>
        </w:numPr>
        <w:tabs>
          <w:tab w:val="left" w:pos="567"/>
        </w:tabs>
        <w:spacing w:line="440" w:lineRule="exact"/>
        <w:ind w:left="0" w:leftChars="0" w:right="-260" w:rightChars="-124" w:firstLine="480" w:firstLineChars="200"/>
        <w:outlineLvl w:val="2"/>
        <w:rPr>
          <w:rFonts w:hint="eastAsia" w:ascii="宋体" w:hAnsi="宋体" w:cs="宋体"/>
          <w:color w:val="000000"/>
          <w:sz w:val="24"/>
          <w:szCs w:val="24"/>
        </w:rPr>
      </w:pPr>
      <w:r>
        <w:rPr>
          <w:rFonts w:hint="eastAsia" w:ascii="宋体" w:hAnsi="宋体" w:cs="宋体"/>
          <w:color w:val="000000"/>
          <w:sz w:val="24"/>
          <w:szCs w:val="24"/>
        </w:rPr>
        <w:t>解释</w:t>
      </w:r>
    </w:p>
    <w:p w14:paraId="39D17E05">
      <w:pPr>
        <w:numPr>
          <w:ilvl w:val="2"/>
          <w:numId w:val="10"/>
        </w:numPr>
        <w:tabs>
          <w:tab w:val="left" w:pos="600"/>
          <w:tab w:val="left" w:pos="1276"/>
        </w:tabs>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sz w:val="24"/>
          <w:szCs w:val="24"/>
        </w:rPr>
        <w:t>凡合同中规定通讯是“书面的”或“用书面形式”，这是指任何手写、打字、印刷或电子文档等用文字表达的方式。</w:t>
      </w:r>
    </w:p>
    <w:p w14:paraId="34DC5B3C">
      <w:pPr>
        <w:numPr>
          <w:ilvl w:val="2"/>
          <w:numId w:val="10"/>
        </w:numPr>
        <w:tabs>
          <w:tab w:val="left" w:pos="600"/>
          <w:tab w:val="left" w:pos="1276"/>
        </w:tabs>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sz w:val="24"/>
          <w:szCs w:val="24"/>
        </w:rPr>
        <w:t>凡合同规定“送达”指合同中一方将书面文件如通知、指示、决议、同意、批准、证书或确定等，按照合同中标明的联系地址及方式，通过人工、传真、邮寄或网络等送至对方。送达方应保存相应的证明凭证，对方无人接收或拒绝签收均不影响送达的法律效力。</w:t>
      </w:r>
    </w:p>
    <w:p w14:paraId="04A4E956">
      <w:pPr>
        <w:numPr>
          <w:ilvl w:val="2"/>
          <w:numId w:val="10"/>
        </w:numPr>
        <w:tabs>
          <w:tab w:val="left" w:pos="600"/>
          <w:tab w:val="left" w:pos="1276"/>
        </w:tabs>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sz w:val="24"/>
          <w:szCs w:val="24"/>
        </w:rPr>
        <w:t>可分割性：如果合同的某一条款被禁止或定为是无效的、不可实施的，那么，如此的禁止，无效性或不可实施性不会影响到合同其他条款的有效性或可实施性。</w:t>
      </w:r>
    </w:p>
    <w:p w14:paraId="4598483B">
      <w:pPr>
        <w:numPr>
          <w:ilvl w:val="1"/>
          <w:numId w:val="10"/>
        </w:numPr>
        <w:tabs>
          <w:tab w:val="left" w:pos="567"/>
        </w:tabs>
        <w:spacing w:line="440" w:lineRule="exact"/>
        <w:ind w:left="0" w:leftChars="0" w:right="-260" w:rightChars="-124" w:firstLine="480" w:firstLineChars="200"/>
        <w:outlineLvl w:val="2"/>
        <w:rPr>
          <w:rFonts w:hint="eastAsia" w:ascii="宋体" w:hAnsi="宋体" w:cs="宋体"/>
          <w:color w:val="000000"/>
          <w:sz w:val="24"/>
          <w:szCs w:val="24"/>
        </w:rPr>
      </w:pPr>
      <w:r>
        <w:rPr>
          <w:rFonts w:hint="eastAsia" w:ascii="宋体" w:hAnsi="宋体" w:cs="宋体"/>
          <w:color w:val="000000"/>
          <w:sz w:val="24"/>
          <w:szCs w:val="24"/>
        </w:rPr>
        <w:t>语言文字</w:t>
      </w:r>
    </w:p>
    <w:p w14:paraId="7E17DDEA">
      <w:pPr>
        <w:tabs>
          <w:tab w:val="left" w:pos="735"/>
          <w:tab w:val="left" w:pos="1080"/>
        </w:tabs>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sz w:val="24"/>
          <w:szCs w:val="24"/>
        </w:rPr>
        <w:t>本合同文件的拟定和解释使用中文；如果需要译成另外一种或几种语言文字，中文应为合同主导语言，具有优先解释权。</w:t>
      </w:r>
    </w:p>
    <w:p w14:paraId="74A95C15">
      <w:pPr>
        <w:pStyle w:val="116"/>
        <w:keepNext/>
        <w:keepLines/>
        <w:pageBreakBefore w:val="0"/>
        <w:widowControl w:val="0"/>
        <w:kinsoku/>
        <w:wordWrap/>
        <w:overflowPunct w:val="0"/>
        <w:topLinePunct w:val="0"/>
        <w:autoSpaceDE/>
        <w:autoSpaceDN/>
        <w:bidi w:val="0"/>
        <w:adjustRightInd/>
        <w:snapToGrid/>
        <w:spacing w:before="0" w:after="0" w:line="440" w:lineRule="exact"/>
        <w:ind w:left="0" w:leftChars="0" w:right="-260" w:rightChars="-124" w:firstLine="482" w:firstLineChars="200"/>
        <w:jc w:val="left"/>
        <w:textAlignment w:val="auto"/>
        <w:rPr>
          <w:rFonts w:hint="eastAsia" w:ascii="宋体" w:hAnsi="宋体" w:eastAsia="宋体" w:cs="宋体"/>
          <w:sz w:val="24"/>
          <w:szCs w:val="24"/>
        </w:rPr>
      </w:pPr>
      <w:bookmarkStart w:id="102" w:name="_Toc1095"/>
      <w:r>
        <w:rPr>
          <w:rFonts w:hint="eastAsia" w:ascii="宋体" w:hAnsi="宋体" w:eastAsia="宋体" w:cs="宋体"/>
          <w:sz w:val="24"/>
          <w:szCs w:val="24"/>
        </w:rPr>
        <w:t>二、适用法律</w:t>
      </w:r>
      <w:bookmarkEnd w:id="102"/>
    </w:p>
    <w:p w14:paraId="203E780F">
      <w:pPr>
        <w:tabs>
          <w:tab w:val="left" w:pos="735"/>
          <w:tab w:val="left" w:pos="1080"/>
        </w:tabs>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sz w:val="24"/>
          <w:szCs w:val="24"/>
        </w:rPr>
        <w:t>本合同适用法律为中华人民共和国有关现行法律、行政法规，以及合同条款中规定的规范性文件。</w:t>
      </w:r>
    </w:p>
    <w:p w14:paraId="1790969E">
      <w:pPr>
        <w:pStyle w:val="116"/>
        <w:keepNext/>
        <w:keepLines/>
        <w:pageBreakBefore w:val="0"/>
        <w:widowControl w:val="0"/>
        <w:kinsoku/>
        <w:wordWrap/>
        <w:overflowPunct w:val="0"/>
        <w:topLinePunct w:val="0"/>
        <w:autoSpaceDE/>
        <w:autoSpaceDN/>
        <w:bidi w:val="0"/>
        <w:adjustRightInd/>
        <w:snapToGrid/>
        <w:spacing w:before="0" w:after="0" w:line="440" w:lineRule="exact"/>
        <w:ind w:left="0" w:leftChars="0" w:right="-260" w:rightChars="-124" w:firstLine="482" w:firstLineChars="200"/>
        <w:jc w:val="left"/>
        <w:textAlignment w:val="auto"/>
        <w:rPr>
          <w:rFonts w:hint="eastAsia" w:ascii="宋体" w:hAnsi="宋体" w:eastAsia="宋体" w:cs="宋体"/>
          <w:sz w:val="24"/>
          <w:szCs w:val="24"/>
        </w:rPr>
      </w:pPr>
      <w:bookmarkStart w:id="103" w:name="_Toc26379"/>
      <w:r>
        <w:rPr>
          <w:rFonts w:hint="eastAsia" w:ascii="宋体" w:hAnsi="宋体" w:eastAsia="宋体" w:cs="宋体"/>
          <w:sz w:val="24"/>
          <w:szCs w:val="24"/>
        </w:rPr>
        <w:t>三、合同范围</w:t>
      </w:r>
      <w:bookmarkEnd w:id="103"/>
    </w:p>
    <w:p w14:paraId="0C9963D3">
      <w:pPr>
        <w:tabs>
          <w:tab w:val="left" w:pos="640"/>
        </w:tabs>
        <w:spacing w:line="440" w:lineRule="exact"/>
        <w:ind w:left="0" w:leftChars="0" w:right="-260" w:rightChars="-124" w:firstLine="480" w:firstLineChars="200"/>
        <w:rPr>
          <w:rFonts w:hint="eastAsia" w:ascii="宋体" w:hAnsi="宋体" w:cs="宋体"/>
          <w:color w:val="000000"/>
          <w:sz w:val="24"/>
          <w:szCs w:val="24"/>
        </w:rPr>
      </w:pPr>
      <w:r>
        <w:rPr>
          <w:rFonts w:hint="eastAsia" w:ascii="宋体" w:hAnsi="宋体" w:cs="宋体"/>
          <w:color w:val="000000"/>
          <w:sz w:val="24"/>
          <w:szCs w:val="24"/>
        </w:rPr>
        <w:t>本次采购内容包括</w:t>
      </w:r>
      <w:r>
        <w:rPr>
          <w:rFonts w:hint="eastAsia" w:ascii="宋体" w:hAnsi="宋体" w:cs="宋体"/>
          <w:color w:val="000000"/>
          <w:sz w:val="24"/>
          <w:szCs w:val="24"/>
          <w:lang w:val="en-US" w:eastAsia="zh-CN"/>
        </w:rPr>
        <w:t>远程监控中心建设所需的全部硬件设备、网络及配套设施（含室内装修），同时承担从设计、施工、调试、验收的全部建设与管理工作。</w:t>
      </w:r>
    </w:p>
    <w:p w14:paraId="7397417C">
      <w:pPr>
        <w:pStyle w:val="116"/>
        <w:keepNext/>
        <w:keepLines/>
        <w:pageBreakBefore w:val="0"/>
        <w:widowControl w:val="0"/>
        <w:kinsoku/>
        <w:wordWrap/>
        <w:overflowPunct w:val="0"/>
        <w:topLinePunct w:val="0"/>
        <w:autoSpaceDE/>
        <w:autoSpaceDN/>
        <w:bidi w:val="0"/>
        <w:adjustRightInd/>
        <w:snapToGrid/>
        <w:spacing w:before="0" w:after="0" w:line="440" w:lineRule="exact"/>
        <w:ind w:left="0" w:leftChars="0" w:right="-260" w:rightChars="-124" w:firstLine="482" w:firstLineChars="200"/>
        <w:jc w:val="left"/>
        <w:textAlignment w:val="auto"/>
        <w:rPr>
          <w:rFonts w:hint="eastAsia" w:ascii="宋体" w:hAnsi="宋体" w:eastAsia="宋体" w:cs="宋体"/>
          <w:sz w:val="24"/>
          <w:szCs w:val="24"/>
        </w:rPr>
      </w:pPr>
      <w:bookmarkStart w:id="104" w:name="_Toc18935"/>
      <w:r>
        <w:rPr>
          <w:rFonts w:hint="eastAsia" w:ascii="宋体" w:hAnsi="宋体" w:eastAsia="宋体" w:cs="宋体"/>
          <w:sz w:val="24"/>
          <w:szCs w:val="24"/>
        </w:rPr>
        <w:t>四、甲方的权利和义务</w:t>
      </w:r>
      <w:bookmarkEnd w:id="104"/>
      <w:r>
        <w:rPr>
          <w:rFonts w:hint="eastAsia" w:ascii="宋体" w:hAnsi="宋体" w:eastAsia="宋体" w:cs="宋体"/>
          <w:sz w:val="24"/>
          <w:szCs w:val="24"/>
        </w:rPr>
        <w:t xml:space="preserve"> </w:t>
      </w:r>
    </w:p>
    <w:p w14:paraId="0CB815DB">
      <w:pPr>
        <w:tabs>
          <w:tab w:val="left" w:pos="440"/>
        </w:tabs>
        <w:spacing w:line="440" w:lineRule="exact"/>
        <w:ind w:left="0" w:leftChars="0" w:right="-260" w:rightChars="-124"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4.1甲方的权利 </w:t>
      </w:r>
    </w:p>
    <w:p w14:paraId="0D2B23F1">
      <w:pPr>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color w:val="000000"/>
          <w:sz w:val="24"/>
          <w:szCs w:val="24"/>
          <w:lang w:bidi="ar"/>
        </w:rPr>
        <w:t xml:space="preserve">1) 甲方有权对乙方派出的现场项目部与人员进行审查和考核。 </w:t>
      </w:r>
    </w:p>
    <w:p w14:paraId="4B0E7C90">
      <w:pPr>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color w:val="000000"/>
          <w:sz w:val="24"/>
          <w:szCs w:val="24"/>
          <w:lang w:bidi="ar"/>
        </w:rPr>
        <w:t xml:space="preserve">2) 甲方有权要求乙方更换不称职的、不能胜任工作的、严重失职的实施人员。 </w:t>
      </w:r>
    </w:p>
    <w:p w14:paraId="05CD7A01">
      <w:pPr>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color w:val="000000"/>
          <w:sz w:val="24"/>
          <w:szCs w:val="24"/>
          <w:lang w:bidi="ar"/>
        </w:rPr>
        <w:t xml:space="preserve">3) 甲方有权否定任何在本项目中乙方做出损害甲方利益的决定和行为，并有权向乙方索赔。 </w:t>
      </w:r>
    </w:p>
    <w:p w14:paraId="36CE3C19">
      <w:pPr>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color w:val="000000"/>
          <w:sz w:val="24"/>
          <w:szCs w:val="24"/>
          <w:lang w:bidi="ar"/>
        </w:rPr>
        <w:t xml:space="preserve">4) 甲方发现乙方采购或使用不符合标准、规范和技术要求的硬件设备时，有权要求乙方重新采购，并由乙方承担发生的费用，由此延误的工期不予顺延。 </w:t>
      </w:r>
    </w:p>
    <w:p w14:paraId="20E46CB7">
      <w:pPr>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color w:val="000000"/>
          <w:sz w:val="24"/>
          <w:szCs w:val="24"/>
          <w:lang w:bidi="ar"/>
        </w:rPr>
        <w:t xml:space="preserve">5) 乙方在部署前须经甲方确认并同意后方可进行，未经甲方确认擅自进行投入的工作量由乙方自行负责，甲方不承担任何费用。甲方的任何同意或确认，并不减轻或免除乙方应当承担的合同义务或质量保证责任。 </w:t>
      </w:r>
    </w:p>
    <w:p w14:paraId="762B75F4">
      <w:pPr>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color w:val="000000"/>
          <w:sz w:val="24"/>
          <w:szCs w:val="24"/>
          <w:lang w:bidi="ar"/>
        </w:rPr>
        <w:t xml:space="preserve">6) 甲方有权随时检查现场实施情况，对项目质量达不到约定标准的部分，一经发现，有权要求乙方重新实施，乙方应按甲方要求重新实施，直到符合约定标准。因乙方原因达不到约定标准，由乙方承担重新实施的费用和因此产生的损失，工期不予顺延。 </w:t>
      </w:r>
    </w:p>
    <w:p w14:paraId="7C590ACC">
      <w:pPr>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color w:val="000000"/>
          <w:sz w:val="24"/>
          <w:szCs w:val="24"/>
          <w:lang w:bidi="ar"/>
        </w:rPr>
        <w:t xml:space="preserve">7) 甲方发现现场实施进度落后于计划工期，有权要求乙方增派实施管理和技术人员，加紧赶工，由此引起的费用增加，乙方自行承担。 </w:t>
      </w:r>
    </w:p>
    <w:p w14:paraId="7F00295E">
      <w:pPr>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color w:val="000000"/>
          <w:sz w:val="24"/>
          <w:szCs w:val="24"/>
          <w:lang w:bidi="ar"/>
        </w:rPr>
        <w:t xml:space="preserve">8) 甲方发现实施中对系统有安全隐患，有权要求乙方立即停止实施并整改，直到隐患消除，期间的工期延误，不予顺延。 </w:t>
      </w:r>
    </w:p>
    <w:p w14:paraId="444005B1">
      <w:pPr>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color w:val="000000"/>
          <w:sz w:val="24"/>
          <w:szCs w:val="24"/>
          <w:lang w:bidi="ar"/>
        </w:rPr>
        <w:t xml:space="preserve">9) 甲方有权因本项目实施质量、进度、安全不达标，对乙方做出相应的违约处理。 </w:t>
      </w:r>
    </w:p>
    <w:p w14:paraId="67272B98">
      <w:pPr>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color w:val="000000"/>
          <w:sz w:val="24"/>
          <w:szCs w:val="24"/>
          <w:lang w:bidi="ar"/>
        </w:rPr>
        <w:t xml:space="preserve">10) 甲方有权根据乙方的违约情况，决定是否与乙方解除合同。 </w:t>
      </w:r>
    </w:p>
    <w:p w14:paraId="64C04D51">
      <w:pPr>
        <w:tabs>
          <w:tab w:val="left" w:pos="420"/>
        </w:tabs>
        <w:spacing w:line="440" w:lineRule="exact"/>
        <w:ind w:left="0" w:leftChars="0" w:right="-260" w:rightChars="-124"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4.2甲方的义务 </w:t>
      </w:r>
    </w:p>
    <w:p w14:paraId="40631A3B">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 xml:space="preserve">1) 甲方应向乙方提供与项目有关的资料和必要信息。 </w:t>
      </w:r>
    </w:p>
    <w:p w14:paraId="34F2224D">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 xml:space="preserve">2) 甲方应当及时回复乙方上报的工作联系单等函件，甲方对函件的认可或对其工作的检查并不免除乙方工作中应承担的责任和义务。 </w:t>
      </w:r>
    </w:p>
    <w:p w14:paraId="481AA7C8">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 xml:space="preserve">3) 协调各相关单位的配合工作，避免直接或间接影响乙方实施。 </w:t>
      </w:r>
    </w:p>
    <w:p w14:paraId="41A38C42">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 xml:space="preserve">4) 甲方应按合同约定支付合同费用。 </w:t>
      </w:r>
    </w:p>
    <w:p w14:paraId="3A488955">
      <w:pPr>
        <w:pStyle w:val="116"/>
        <w:keepNext/>
        <w:keepLines/>
        <w:pageBreakBefore w:val="0"/>
        <w:widowControl w:val="0"/>
        <w:kinsoku/>
        <w:wordWrap/>
        <w:overflowPunct w:val="0"/>
        <w:topLinePunct w:val="0"/>
        <w:autoSpaceDE/>
        <w:autoSpaceDN/>
        <w:bidi w:val="0"/>
        <w:adjustRightInd/>
        <w:snapToGrid/>
        <w:spacing w:before="0" w:after="0" w:line="440" w:lineRule="exact"/>
        <w:ind w:left="0" w:leftChars="0" w:right="-260" w:rightChars="-124" w:firstLine="482" w:firstLineChars="200"/>
        <w:jc w:val="left"/>
        <w:textAlignment w:val="auto"/>
        <w:rPr>
          <w:rFonts w:hint="eastAsia" w:ascii="宋体" w:hAnsi="宋体" w:eastAsia="宋体" w:cs="宋体"/>
          <w:sz w:val="24"/>
          <w:szCs w:val="24"/>
        </w:rPr>
      </w:pPr>
      <w:bookmarkStart w:id="105" w:name="_Toc15097"/>
      <w:r>
        <w:rPr>
          <w:rFonts w:hint="eastAsia" w:ascii="宋体" w:hAnsi="宋体" w:eastAsia="宋体" w:cs="宋体"/>
          <w:sz w:val="24"/>
          <w:szCs w:val="24"/>
        </w:rPr>
        <w:t>五、乙方的权利和义务</w:t>
      </w:r>
      <w:bookmarkEnd w:id="105"/>
      <w:r>
        <w:rPr>
          <w:rFonts w:hint="eastAsia" w:ascii="宋体" w:hAnsi="宋体" w:eastAsia="宋体" w:cs="宋体"/>
          <w:sz w:val="24"/>
          <w:szCs w:val="24"/>
        </w:rPr>
        <w:t xml:space="preserve"> </w:t>
      </w:r>
    </w:p>
    <w:p w14:paraId="0BC9550E">
      <w:pPr>
        <w:tabs>
          <w:tab w:val="left" w:pos="420"/>
        </w:tabs>
        <w:spacing w:line="440" w:lineRule="exact"/>
        <w:ind w:left="0" w:leftChars="0" w:right="-260" w:rightChars="-124"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5.1乙方的权利 </w:t>
      </w:r>
    </w:p>
    <w:p w14:paraId="45D09F07">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 xml:space="preserve">1) 按合同约定的方式获得报酬。 </w:t>
      </w:r>
    </w:p>
    <w:p w14:paraId="6F719812">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 xml:space="preserve">2) 甲方对乙方的其他授权。 </w:t>
      </w:r>
    </w:p>
    <w:p w14:paraId="73E3E425">
      <w:pPr>
        <w:tabs>
          <w:tab w:val="left" w:pos="420"/>
        </w:tabs>
        <w:spacing w:line="440" w:lineRule="exact"/>
        <w:ind w:left="0" w:leftChars="0" w:right="-260" w:rightChars="-124"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5.2乙方的义务 </w:t>
      </w:r>
    </w:p>
    <w:p w14:paraId="08B45828">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 xml:space="preserve">1) 乙方须为项目设立专门的现场项目部，驻场实施其合同项下的义务；乙方设立的项目部在本合同的有效期内必须接受和服从甲方项目管理机构的监督，同时，乙方有义务对甲方参与本项目的技术人员进行技术指导及后续服务支持。 </w:t>
      </w:r>
    </w:p>
    <w:p w14:paraId="09A69BA0">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2) 乙方应按投标承诺配备人员，并加强对项目部人员的日常考核管理以保证项目实施正常进行。未经甲方书面批准，乙方不得对项目部人员作出调整。</w:t>
      </w:r>
    </w:p>
    <w:p w14:paraId="21E21770">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3) 乙方必须保证按</w:t>
      </w:r>
      <w:r>
        <w:rPr>
          <w:rFonts w:hint="eastAsia" w:ascii="宋体" w:hAnsi="宋体" w:cs="宋体"/>
          <w:color w:val="000000"/>
          <w:sz w:val="24"/>
          <w:szCs w:val="24"/>
          <w:lang w:val="en-US" w:eastAsia="zh-CN" w:bidi="ar"/>
        </w:rPr>
        <w:t>参选</w:t>
      </w:r>
      <w:r>
        <w:rPr>
          <w:rFonts w:hint="eastAsia" w:ascii="宋体" w:hAnsi="宋体" w:cs="宋体"/>
          <w:color w:val="000000"/>
          <w:sz w:val="24"/>
          <w:szCs w:val="24"/>
          <w:lang w:bidi="ar"/>
        </w:rPr>
        <w:t xml:space="preserve">文件确定的人员名单按时到岗。 </w:t>
      </w:r>
    </w:p>
    <w:p w14:paraId="79A9F6B4">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 xml:space="preserve">4) 当甲方认为乙方的现场项目部人员的数量或能力满足不了项目实施需要时，乙方应该按照甲方的要求增加或更换相应人员，但甲方并不需要因此对乙方进行任何的费用增加。 </w:t>
      </w:r>
    </w:p>
    <w:p w14:paraId="086A617D">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 xml:space="preserve">5) 乙方对其所有工作人员工作中的失误、疏忽、玩忽职守承担全部责任。 </w:t>
      </w:r>
    </w:p>
    <w:p w14:paraId="742AA2E4">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 xml:space="preserve">6) 按合同约定的时间要求如期实施并保证项目进度符合甲方要求，按期通过验收。 </w:t>
      </w:r>
    </w:p>
    <w:p w14:paraId="22B804A8">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 xml:space="preserve">7) 按甲方的实施进度总计划组织编制实施组织设计或实施方案，报甲方批准。 </w:t>
      </w:r>
    </w:p>
    <w:p w14:paraId="08977661">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 xml:space="preserve">8) 乙方对采购的硬件设备建立完整、有效的质量体系，并接受及配合甲方、使用人、相关政府部门的检查、检测及监督。 </w:t>
      </w:r>
    </w:p>
    <w:p w14:paraId="35A51672">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 xml:space="preserve">9) 在项目实施期间，乙方自行为自身的人员做好安全保障工作。乙方应当自行为其人员办理劳动、用工、保险等相关手续并承担费用，本项目实施及服务过程中发生安全、伤亡、财产损失等事故或劳资、工伤等争议的，一切责任均由乙方承担，甲方概不负责。 </w:t>
      </w:r>
    </w:p>
    <w:p w14:paraId="195AD787">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 xml:space="preserve">10) 乙方应严格遵守甲方现场办公相关制度及安全相关规定。 </w:t>
      </w:r>
    </w:p>
    <w:p w14:paraId="4D0B0DCA">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 xml:space="preserve">11) 乙方应做好安全文明实施措施。乙方在实施及服务过程中必须对现有系统做好保护工作，如对现有系统操作进行干扰或损坏，乙方须无条件修复并赔偿甲方由此引起的损失，同时，甲方有权向乙方提起索赔。对已实施的项目在未通过测试前，乙方也应做好保护工作，保护期间发生损坏，乙方自费予以修复，双方组织验收通过以后方可移交甲方。乙方应做好实施人员的安全教育工作，并积极配合甲方的安全检查，确保实施安全。 </w:t>
      </w:r>
    </w:p>
    <w:p w14:paraId="3C1CDD9E">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 xml:space="preserve">12) 乙方应认真按照标准、规范和技术要求以及甲方依据合同发出的指令实施，随时接受甲方的检查检验，为检查检验提供便利条件。 </w:t>
      </w:r>
    </w:p>
    <w:p w14:paraId="3A6ECB11">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 xml:space="preserve">13) 乙方应按合同约定的质量、进度、安全标准进行实施，若达不到相应标准，乙方应承担违约责任。 </w:t>
      </w:r>
    </w:p>
    <w:p w14:paraId="47712EC1">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 xml:space="preserve">14) 乙方应负责对甲方相关人员进行培训，保证相关人员了解该系统的具体情况，掌握软件的使用配置方法、运行操作要求和注意事项。 </w:t>
      </w:r>
    </w:p>
    <w:p w14:paraId="5C1B8B50">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 xml:space="preserve">15) 乙方应按国家法律、行政法规及《用户需求书》关于项目质量保修的有关规定，对交付甲方使用的软件在质量保修期内承担质量保修责任。 </w:t>
      </w:r>
    </w:p>
    <w:p w14:paraId="27BC56CD">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 xml:space="preserve">16) 乙方应按甲方相关部门的要求对合同及项目成果及时进行归档。 </w:t>
      </w:r>
    </w:p>
    <w:p w14:paraId="7F5ACF09">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 xml:space="preserve">17) 乙方应准确系统地建立项目和服务过程中的文档和记录，其形式和详细程度应符合其专业水平，并允许甲方在项目执行过程中进行检查和复印。 </w:t>
      </w:r>
    </w:p>
    <w:p w14:paraId="59C580EE">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18)乙方采用的解决方案和产品的架构须紧密跟踪国家信息安全、甲方标准和国际主流技术标准，开放性好，便于系统的升级维护、以及与各种信息系统进行集成</w:t>
      </w:r>
    </w:p>
    <w:p w14:paraId="08F023A0">
      <w:pPr>
        <w:spacing w:line="440" w:lineRule="exact"/>
        <w:ind w:left="0" w:leftChars="0" w:right="-260" w:rightChars="-124" w:firstLine="480" w:firstLineChars="200"/>
        <w:rPr>
          <w:rFonts w:hint="eastAsia" w:ascii="宋体" w:hAnsi="宋体" w:cs="宋体"/>
          <w:color w:val="000000"/>
          <w:sz w:val="24"/>
          <w:szCs w:val="24"/>
          <w:lang w:bidi="ar"/>
        </w:rPr>
      </w:pPr>
      <w:r>
        <w:rPr>
          <w:rFonts w:hint="eastAsia" w:ascii="宋体" w:hAnsi="宋体" w:cs="宋体"/>
          <w:color w:val="000000"/>
          <w:sz w:val="24"/>
          <w:szCs w:val="24"/>
          <w:lang w:bidi="ar"/>
        </w:rPr>
        <w:t>19）乙方依据甲方的保密管理规则及机密保护规定认真履行保密管理义务。本项目实施过程中收集的所有记录和资料不得泄露给外部。</w:t>
      </w:r>
    </w:p>
    <w:p w14:paraId="7F935995">
      <w:pPr>
        <w:pStyle w:val="116"/>
        <w:keepNext/>
        <w:keepLines/>
        <w:pageBreakBefore w:val="0"/>
        <w:widowControl w:val="0"/>
        <w:kinsoku/>
        <w:wordWrap/>
        <w:overflowPunct w:val="0"/>
        <w:topLinePunct w:val="0"/>
        <w:autoSpaceDE/>
        <w:autoSpaceDN/>
        <w:bidi w:val="0"/>
        <w:adjustRightInd/>
        <w:snapToGrid/>
        <w:spacing w:before="0" w:after="0" w:line="440" w:lineRule="exact"/>
        <w:ind w:left="0" w:leftChars="0" w:right="-260" w:rightChars="-124" w:firstLine="482" w:firstLineChars="200"/>
        <w:jc w:val="left"/>
        <w:textAlignment w:val="auto"/>
        <w:rPr>
          <w:rFonts w:hint="eastAsia" w:ascii="宋体" w:hAnsi="宋体" w:eastAsia="宋体" w:cs="宋体"/>
          <w:sz w:val="24"/>
          <w:szCs w:val="24"/>
        </w:rPr>
      </w:pPr>
      <w:bookmarkStart w:id="106" w:name="_Toc10317"/>
      <w:r>
        <w:rPr>
          <w:rFonts w:hint="eastAsia" w:ascii="宋体" w:hAnsi="宋体" w:eastAsia="宋体" w:cs="宋体"/>
          <w:sz w:val="24"/>
          <w:szCs w:val="24"/>
        </w:rPr>
        <w:t>六、知识产权</w:t>
      </w:r>
      <w:bookmarkEnd w:id="106"/>
      <w:r>
        <w:rPr>
          <w:rFonts w:hint="eastAsia" w:ascii="宋体" w:hAnsi="宋体" w:eastAsia="宋体" w:cs="宋体"/>
          <w:sz w:val="24"/>
          <w:szCs w:val="24"/>
        </w:rPr>
        <w:t xml:space="preserve"> </w:t>
      </w:r>
    </w:p>
    <w:p w14:paraId="4007300B">
      <w:pPr>
        <w:spacing w:line="440" w:lineRule="exact"/>
        <w:ind w:right="-260" w:rightChars="-124" w:firstLine="480" w:firstLineChars="200"/>
        <w:rPr>
          <w:rFonts w:hint="eastAsia" w:ascii="宋体" w:hAnsi="宋体" w:cs="宋体"/>
          <w:color w:val="000000"/>
          <w:sz w:val="24"/>
        </w:rPr>
      </w:pPr>
      <w:r>
        <w:rPr>
          <w:rFonts w:hint="eastAsia" w:ascii="宋体" w:hAnsi="宋体" w:cs="宋体"/>
          <w:color w:val="000000"/>
          <w:sz w:val="24"/>
        </w:rPr>
        <w:t>6.1如项目成果中已包含乙方原有的知识产权，该部分的知识产权不发生任何转移；但甲方有权根据实际情况在其内部无期限地自由使用；甲方有权根据相关部门、政策法规或自身需要对外进行披露或宣传；上述使用、披露或宣传无需征得乙方同意，也无需支付合同约定之外的任何费用。</w:t>
      </w:r>
    </w:p>
    <w:p w14:paraId="104B6DF0">
      <w:pPr>
        <w:tabs>
          <w:tab w:val="left" w:pos="567"/>
        </w:tabs>
        <w:spacing w:line="440" w:lineRule="exact"/>
        <w:ind w:left="0" w:leftChars="0" w:right="-260" w:rightChars="-124" w:firstLine="480" w:firstLineChars="200"/>
        <w:rPr>
          <w:rFonts w:hint="eastAsia" w:ascii="宋体" w:hAnsi="宋体" w:cs="宋体"/>
          <w:color w:val="000000"/>
          <w:sz w:val="24"/>
          <w:szCs w:val="24"/>
        </w:rPr>
      </w:pPr>
      <w:r>
        <w:rPr>
          <w:rFonts w:hint="eastAsia" w:ascii="宋体" w:hAnsi="宋体" w:cs="宋体"/>
          <w:color w:val="000000"/>
          <w:sz w:val="24"/>
          <w:szCs w:val="24"/>
        </w:rPr>
        <w:t>6.2乙方基于履行本合同所形成的技术成果知识产权归甲方所有，不得实施擅自单方发表、申请专利、商业使用等任何形式的侵犯甲方上述知识产权的行为。</w:t>
      </w:r>
    </w:p>
    <w:p w14:paraId="38C554AC">
      <w:pPr>
        <w:tabs>
          <w:tab w:val="left" w:pos="567"/>
        </w:tabs>
        <w:spacing w:line="440" w:lineRule="exact"/>
        <w:ind w:left="0" w:leftChars="0" w:right="-260" w:rightChars="-124" w:firstLine="480" w:firstLineChars="200"/>
        <w:rPr>
          <w:rFonts w:hint="eastAsia" w:ascii="宋体" w:hAnsi="宋体" w:cs="宋体"/>
          <w:color w:val="000000"/>
          <w:sz w:val="24"/>
          <w:szCs w:val="24"/>
        </w:rPr>
      </w:pPr>
      <w:r>
        <w:rPr>
          <w:rFonts w:hint="eastAsia" w:ascii="宋体" w:hAnsi="宋体" w:cs="宋体"/>
          <w:color w:val="000000"/>
          <w:sz w:val="24"/>
          <w:szCs w:val="24"/>
        </w:rPr>
        <w:t>6.3乙方保证向甲方提供的成果不侵犯他人知识产权。与成果有关或者乙方使用成果而发生或引起的任何索赔或纠纷，由乙方负责并承担责任；由此造成甲方损失，乙方应承担赔偿责任。</w:t>
      </w:r>
    </w:p>
    <w:p w14:paraId="054E2514">
      <w:pPr>
        <w:tabs>
          <w:tab w:val="left" w:pos="567"/>
        </w:tabs>
        <w:spacing w:line="440" w:lineRule="exact"/>
        <w:ind w:left="0" w:leftChars="0" w:right="-260" w:rightChars="-124" w:firstLine="480" w:firstLineChars="200"/>
        <w:rPr>
          <w:rFonts w:hint="eastAsia" w:ascii="宋体" w:hAnsi="宋体" w:cs="宋体"/>
          <w:color w:val="000000"/>
          <w:sz w:val="24"/>
          <w:szCs w:val="24"/>
        </w:rPr>
      </w:pPr>
      <w:r>
        <w:rPr>
          <w:rFonts w:hint="eastAsia" w:ascii="宋体" w:hAnsi="宋体" w:cs="宋体"/>
          <w:color w:val="000000"/>
          <w:sz w:val="24"/>
          <w:szCs w:val="24"/>
        </w:rPr>
        <w:t>6.4基于本合同形成的有关成果知识产权由甲方享有，其他各方负有保密义务，相关资料由各方按照规定保管，未经甲方同意，乙方不得进行自行披露、使用或允许第三方使用，由此造成损失，由乙方向甲方支付赔偿金。</w:t>
      </w:r>
    </w:p>
    <w:p w14:paraId="21F11488">
      <w:pPr>
        <w:tabs>
          <w:tab w:val="left" w:pos="567"/>
        </w:tabs>
        <w:spacing w:line="440" w:lineRule="exact"/>
        <w:ind w:left="0" w:leftChars="0" w:right="-260" w:rightChars="-124" w:firstLine="480" w:firstLineChars="200"/>
        <w:rPr>
          <w:rFonts w:hint="eastAsia" w:ascii="宋体" w:hAnsi="宋体" w:cs="宋体"/>
          <w:color w:val="000000"/>
          <w:sz w:val="24"/>
          <w:szCs w:val="24"/>
        </w:rPr>
      </w:pPr>
      <w:r>
        <w:rPr>
          <w:rFonts w:hint="eastAsia" w:ascii="宋体" w:hAnsi="宋体" w:cs="宋体"/>
          <w:color w:val="000000"/>
          <w:sz w:val="24"/>
          <w:szCs w:val="24"/>
        </w:rPr>
        <w:t>6.5乙方向甲方提供并开放本合同相关的所有软件（包括操作系统软件和应用软件及其使用授权、开发调试工具，数据库、源代码和仿真调试程序等）及通信接口。</w:t>
      </w:r>
    </w:p>
    <w:p w14:paraId="38AD7BF3">
      <w:pPr>
        <w:tabs>
          <w:tab w:val="left" w:pos="567"/>
        </w:tabs>
        <w:spacing w:line="440" w:lineRule="exact"/>
        <w:ind w:left="0" w:leftChars="0" w:right="-260" w:rightChars="-124" w:firstLine="480" w:firstLineChars="200"/>
        <w:rPr>
          <w:rFonts w:hint="eastAsia" w:ascii="宋体" w:hAnsi="宋体" w:cs="宋体"/>
          <w:color w:val="000000"/>
          <w:sz w:val="24"/>
          <w:szCs w:val="24"/>
        </w:rPr>
      </w:pPr>
      <w:r>
        <w:rPr>
          <w:rFonts w:hint="eastAsia" w:ascii="宋体" w:hAnsi="宋体" w:cs="宋体"/>
          <w:color w:val="000000"/>
          <w:sz w:val="24"/>
          <w:szCs w:val="24"/>
        </w:rPr>
        <w:t>6.6合同各方及乙方应保障甲方不受到第三方关于侵犯专利权、商标权或工业设计权等任何侵权指控，由乙方引起的任何第三方如果提出侵权指控，乙方应与第三方交涉并承担由此引起的一切法律责任和费用。如依据生效的法院判决或仲裁裁决应由甲方承担责任，则甲方承担责任后，甲方有权就其承担责任要求乙方予以补偿，乙方应在一个月内凭甲方有关索赔文件将所有索赔支付给甲方。</w:t>
      </w:r>
    </w:p>
    <w:p w14:paraId="7278EB3F">
      <w:pPr>
        <w:pStyle w:val="116"/>
        <w:keepNext/>
        <w:keepLines/>
        <w:pageBreakBefore w:val="0"/>
        <w:widowControl w:val="0"/>
        <w:kinsoku/>
        <w:wordWrap/>
        <w:overflowPunct w:val="0"/>
        <w:topLinePunct w:val="0"/>
        <w:autoSpaceDE/>
        <w:autoSpaceDN/>
        <w:bidi w:val="0"/>
        <w:adjustRightInd/>
        <w:snapToGrid/>
        <w:spacing w:before="0" w:after="0" w:line="440" w:lineRule="exact"/>
        <w:ind w:left="0" w:leftChars="0" w:right="-260" w:rightChars="-124" w:firstLine="482" w:firstLineChars="200"/>
        <w:jc w:val="left"/>
        <w:textAlignment w:val="auto"/>
        <w:rPr>
          <w:rFonts w:hint="eastAsia" w:ascii="宋体" w:hAnsi="宋体" w:eastAsia="宋体" w:cs="宋体"/>
          <w:sz w:val="24"/>
          <w:szCs w:val="24"/>
        </w:rPr>
      </w:pPr>
      <w:bookmarkStart w:id="107" w:name="_Toc13880"/>
      <w:r>
        <w:rPr>
          <w:rFonts w:hint="eastAsia" w:ascii="宋体" w:hAnsi="宋体" w:eastAsia="宋体" w:cs="宋体"/>
          <w:sz w:val="24"/>
          <w:szCs w:val="24"/>
        </w:rPr>
        <w:t>七、合同价格</w:t>
      </w:r>
      <w:bookmarkEnd w:id="107"/>
    </w:p>
    <w:p w14:paraId="23E5C527">
      <w:pPr>
        <w:tabs>
          <w:tab w:val="left" w:pos="567"/>
        </w:tabs>
        <w:spacing w:line="440" w:lineRule="exact"/>
        <w:ind w:left="0" w:leftChars="0" w:right="-260" w:rightChars="-124" w:firstLine="480" w:firstLineChars="200"/>
        <w:rPr>
          <w:rFonts w:hint="eastAsia" w:ascii="宋体" w:hAnsi="宋体" w:cs="宋体"/>
          <w:sz w:val="24"/>
          <w:szCs w:val="24"/>
        </w:rPr>
      </w:pPr>
      <w:r>
        <w:rPr>
          <w:rFonts w:hint="eastAsia" w:ascii="宋体" w:hAnsi="宋体" w:cs="宋体"/>
          <w:sz w:val="24"/>
          <w:szCs w:val="24"/>
        </w:rPr>
        <w:t>本合同采用</w:t>
      </w:r>
      <w:r>
        <w:rPr>
          <w:rFonts w:hint="eastAsia" w:ascii="宋体" w:hAnsi="宋体" w:cs="宋体"/>
          <w:b/>
          <w:bCs/>
          <w:sz w:val="24"/>
          <w:szCs w:val="24"/>
          <w:u w:val="single"/>
        </w:rPr>
        <w:t>固定总价</w:t>
      </w:r>
      <w:r>
        <w:rPr>
          <w:rFonts w:hint="eastAsia" w:ascii="宋体" w:hAnsi="宋体" w:cs="宋体"/>
          <w:sz w:val="24"/>
          <w:szCs w:val="24"/>
        </w:rPr>
        <w:t>模式，合同价格包含为本项目生效、实施、验收、交付及后续质保所发生的一切费用，包括但不限于：硬件设备、安装调试、装修装饰、线缆辅材、运输保险、人工、税费（增值税及其他）、集成、质保期内服务以及本需求书</w:t>
      </w:r>
      <w:r>
        <w:rPr>
          <w:rFonts w:hint="eastAsia" w:ascii="宋体" w:hAnsi="宋体" w:cs="宋体"/>
          <w:sz w:val="24"/>
          <w:szCs w:val="24"/>
          <w:lang w:val="en-US" w:eastAsia="zh-CN"/>
        </w:rPr>
        <w:t>要求</w:t>
      </w:r>
      <w:r>
        <w:rPr>
          <w:rFonts w:hint="eastAsia" w:ascii="宋体" w:hAnsi="宋体" w:cs="宋体"/>
          <w:sz w:val="24"/>
          <w:szCs w:val="24"/>
        </w:rPr>
        <w:t>的所有责任、义务和风险所产生的费用。</w:t>
      </w:r>
    </w:p>
    <w:p w14:paraId="579DEEE1">
      <w:pPr>
        <w:pStyle w:val="116"/>
        <w:keepNext/>
        <w:keepLines/>
        <w:pageBreakBefore w:val="0"/>
        <w:widowControl w:val="0"/>
        <w:kinsoku/>
        <w:wordWrap/>
        <w:overflowPunct w:val="0"/>
        <w:topLinePunct w:val="0"/>
        <w:autoSpaceDE/>
        <w:autoSpaceDN/>
        <w:bidi w:val="0"/>
        <w:adjustRightInd/>
        <w:snapToGrid/>
        <w:spacing w:before="0" w:after="0" w:line="440" w:lineRule="exact"/>
        <w:ind w:left="0" w:leftChars="0" w:right="-260" w:rightChars="-124" w:firstLine="482" w:firstLineChars="200"/>
        <w:jc w:val="left"/>
        <w:textAlignment w:val="auto"/>
        <w:rPr>
          <w:rFonts w:hint="eastAsia" w:ascii="宋体" w:hAnsi="宋体" w:eastAsia="宋体" w:cs="宋体"/>
          <w:sz w:val="24"/>
          <w:szCs w:val="24"/>
        </w:rPr>
      </w:pPr>
      <w:bookmarkStart w:id="108" w:name="_Toc1527"/>
      <w:r>
        <w:rPr>
          <w:rFonts w:hint="eastAsia" w:ascii="宋体" w:hAnsi="宋体" w:eastAsia="宋体" w:cs="宋体"/>
          <w:sz w:val="24"/>
          <w:szCs w:val="24"/>
        </w:rPr>
        <w:t>八、合同支付</w:t>
      </w:r>
      <w:bookmarkEnd w:id="108"/>
    </w:p>
    <w:p w14:paraId="16C523D7">
      <w:pPr>
        <w:pageBreakBefore w:val="0"/>
        <w:widowControl w:val="0"/>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lang w:val="en-US" w:eastAsia="zh-CN"/>
        </w:rPr>
        <w:t>8.1</w:t>
      </w:r>
      <w:r>
        <w:rPr>
          <w:rFonts w:hint="eastAsia" w:ascii="宋体" w:hAnsi="宋体" w:cs="宋体"/>
          <w:color w:val="000000"/>
          <w:sz w:val="24"/>
          <w:szCs w:val="24"/>
        </w:rPr>
        <w:t>合同签订后支付合同总价的15%作为预付款；</w:t>
      </w:r>
    </w:p>
    <w:p w14:paraId="3D1C0E9C">
      <w:pPr>
        <w:pageBreakBefore w:val="0"/>
        <w:widowControl w:val="0"/>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lang w:val="en-US" w:eastAsia="zh-CN"/>
        </w:rPr>
        <w:t>8.2</w:t>
      </w:r>
      <w:r>
        <w:rPr>
          <w:rFonts w:hint="eastAsia" w:ascii="宋体" w:hAnsi="宋体" w:cs="宋体"/>
          <w:color w:val="000000"/>
          <w:sz w:val="24"/>
          <w:szCs w:val="24"/>
        </w:rPr>
        <w:t>主要设备到场并验收合格后支付合同总价的25%；</w:t>
      </w:r>
    </w:p>
    <w:p w14:paraId="6AAFDB2B">
      <w:pPr>
        <w:pageBreakBefore w:val="0"/>
        <w:widowControl w:val="0"/>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lang w:val="en-US" w:eastAsia="zh-CN"/>
        </w:rPr>
        <w:t>8.3</w:t>
      </w:r>
      <w:r>
        <w:rPr>
          <w:rFonts w:hint="eastAsia" w:ascii="宋体" w:hAnsi="宋体" w:cs="宋体"/>
          <w:color w:val="000000"/>
          <w:sz w:val="24"/>
          <w:szCs w:val="24"/>
        </w:rPr>
        <w:t>项目整体安装调试完成，通过初步验收后支付合同总价的30%；</w:t>
      </w:r>
    </w:p>
    <w:p w14:paraId="2B0487CB">
      <w:pPr>
        <w:pageBreakBefore w:val="0"/>
        <w:widowControl w:val="0"/>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lang w:val="en-US" w:eastAsia="zh-CN"/>
        </w:rPr>
        <w:t>8.4</w:t>
      </w:r>
      <w:r>
        <w:rPr>
          <w:rFonts w:hint="eastAsia" w:ascii="宋体" w:hAnsi="宋体" w:cs="宋体"/>
          <w:color w:val="000000"/>
          <w:sz w:val="24"/>
          <w:szCs w:val="24"/>
        </w:rPr>
        <w:t>项目最终验收合格并稳定运行1个月后，支付合同总价的2</w:t>
      </w:r>
      <w:r>
        <w:rPr>
          <w:rFonts w:hint="eastAsia" w:ascii="宋体" w:hAnsi="宋体" w:cs="宋体"/>
          <w:color w:val="000000"/>
          <w:sz w:val="24"/>
          <w:szCs w:val="24"/>
          <w:lang w:val="en-US" w:eastAsia="zh-CN"/>
        </w:rPr>
        <w:t>7</w:t>
      </w:r>
      <w:r>
        <w:rPr>
          <w:rFonts w:hint="eastAsia" w:ascii="宋体" w:hAnsi="宋体" w:cs="宋体"/>
          <w:color w:val="000000"/>
          <w:sz w:val="24"/>
          <w:szCs w:val="24"/>
        </w:rPr>
        <w:t>%；</w:t>
      </w:r>
    </w:p>
    <w:p w14:paraId="30AF0629">
      <w:pPr>
        <w:spacing w:line="440" w:lineRule="exact"/>
        <w:ind w:right="-260" w:rightChars="-124" w:firstLine="480" w:firstLineChars="200"/>
        <w:rPr>
          <w:rFonts w:hint="eastAsia" w:ascii="宋体" w:hAnsi="宋体" w:cs="宋体"/>
          <w:color w:val="000000"/>
          <w:sz w:val="24"/>
        </w:rPr>
      </w:pPr>
      <w:bookmarkStart w:id="109" w:name="_Toc30888"/>
      <w:r>
        <w:rPr>
          <w:rFonts w:hint="eastAsia" w:ascii="宋体" w:hAnsi="宋体" w:cs="宋体"/>
          <w:color w:val="000000"/>
          <w:sz w:val="24"/>
        </w:rPr>
        <w:t>8.5剩余3%作为质量保证金，待硬件质保期（2年）届满后，无质量问题且卖方无违约行为无息支付。</w:t>
      </w:r>
    </w:p>
    <w:p w14:paraId="36B83816">
      <w:pPr>
        <w:pStyle w:val="116"/>
        <w:keepNext/>
        <w:keepLines/>
        <w:pageBreakBefore w:val="0"/>
        <w:widowControl w:val="0"/>
        <w:kinsoku/>
        <w:wordWrap/>
        <w:overflowPunct w:val="0"/>
        <w:topLinePunct w:val="0"/>
        <w:autoSpaceDE/>
        <w:autoSpaceDN/>
        <w:bidi w:val="0"/>
        <w:adjustRightInd/>
        <w:snapToGrid/>
        <w:spacing w:before="0" w:after="0" w:line="440" w:lineRule="exact"/>
        <w:ind w:left="0" w:leftChars="0" w:right="-260" w:rightChars="-124"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九、违约责任</w:t>
      </w:r>
      <w:bookmarkEnd w:id="109"/>
    </w:p>
    <w:p w14:paraId="544C669A">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9.1违约金与赔偿金额计算</w:t>
      </w:r>
    </w:p>
    <w:p w14:paraId="12090E25">
      <w:pPr>
        <w:pageBreakBefore w:val="0"/>
        <w:widowControl w:val="0"/>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本合同项下涉及的所有违约金和赔偿金额均依据合同的规定计算。如合同未有明确规定的，则根据国家或地方有关规定、惯例、行业规定等合理地估算。</w:t>
      </w:r>
    </w:p>
    <w:p w14:paraId="00706003">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9.2违约金与赔偿金的支付</w:t>
      </w:r>
    </w:p>
    <w:p w14:paraId="721FF9E6">
      <w:pPr>
        <w:pageBreakBefore w:val="0"/>
        <w:widowControl w:val="0"/>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color w:val="000000"/>
          <w:sz w:val="24"/>
          <w:szCs w:val="24"/>
        </w:rPr>
        <w:t>对于合同中所列的违约金和赔偿金，甲方有权从保函中获得违约金和赔偿金或从乙方的后续进度款中扣除，或要求乙方以电汇方式向甲方支付偿还。在后一种情况下乙方应在一（1）个月内凭甲方索赔文件以电汇方式向甲方支付所有违约金和赔偿金。</w:t>
      </w:r>
    </w:p>
    <w:p w14:paraId="4FC2F034">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9.3合同索赔</w:t>
      </w:r>
    </w:p>
    <w:p w14:paraId="0485E5D1">
      <w:pPr>
        <w:pageBreakBefore w:val="0"/>
        <w:widowControl w:val="0"/>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 xml:space="preserve">合同生效后，除合同另有约定外，甲方因乙方违约而行使解除合同权利，或乙方要求解除合同，违约金标准为合同总价的 10%，违约金由乙方支付，或通过执行履约担保，由担保单位支付，不足部分由乙方补足；同时，乙方应当就甲方因此产生的全部损失承担赔偿责任。 </w:t>
      </w:r>
    </w:p>
    <w:p w14:paraId="1FCE3E1F">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9.4短装索赔</w:t>
      </w:r>
    </w:p>
    <w:p w14:paraId="4631F1C5">
      <w:pPr>
        <w:pageBreakBefore w:val="0"/>
        <w:widowControl w:val="0"/>
        <w:tabs>
          <w:tab w:val="left" w:pos="1276"/>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9.4.1由乙方负责装运之一切货物，包括但不限于设备和材料，一经发现短缺、误装或因非甲方原因引起的损坏，甲方应书面形式向乙方提出索赔。索赔文件应同时附上由甲方和乙方授权代表签署的证明短装、误装和破损的书面文件作为依据或附上甲方国家商检机构出具的证明作为依据。乙方代表拒不签署前述文件的，甲方代表有权单方签署。</w:t>
      </w:r>
    </w:p>
    <w:p w14:paraId="0514E97D">
      <w:pPr>
        <w:pageBreakBefore w:val="0"/>
        <w:widowControl w:val="0"/>
        <w:tabs>
          <w:tab w:val="left" w:pos="1276"/>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9.4.2一旦收到甲方索赔文件，乙方应无偿地补足短装货物，替换错装或损坏的货物，除非双方另有协议，该补足或替换应在十（10）天内完成。起始日期应以乙方现场代表收到甲方书面形式的索赔文件之日起计算。以乙方将补足或替换的货物运至交货地点之日为终止日期。如乙方的补足或替换未能在十（10）天内完成，其引起的误期罚款按本条款第9.6条执行。</w:t>
      </w:r>
    </w:p>
    <w:p w14:paraId="0E4E0880">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9.5质量索赔</w:t>
      </w:r>
    </w:p>
    <w:p w14:paraId="62A8D0CB">
      <w:pPr>
        <w:pageBreakBefore w:val="0"/>
        <w:widowControl w:val="0"/>
        <w:numPr>
          <w:ilvl w:val="2"/>
          <w:numId w:val="0"/>
        </w:numPr>
        <w:tabs>
          <w:tab w:val="left" w:pos="640"/>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9.5.1如在合同检验和测试过程中，发现设备、系统及材料的质量不能达到合同中的技术要求，则甲方应以书面形式向乙方提出索赔，并附上下列文件之一作为向乙方进行索赔的依据：</w:t>
      </w:r>
    </w:p>
    <w:p w14:paraId="015EE1BA">
      <w:pPr>
        <w:pageBreakBefore w:val="0"/>
        <w:widowControl w:val="0"/>
        <w:tabs>
          <w:tab w:val="left" w:pos="640"/>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南通市出入境检验检疫局或南通市技术质量监督局出具</w:t>
      </w:r>
      <w:r>
        <w:rPr>
          <w:rFonts w:hint="eastAsia" w:ascii="宋体" w:hAnsi="宋体" w:cs="宋体"/>
          <w:sz w:val="24"/>
          <w:szCs w:val="24"/>
        </w:rPr>
        <w:t>的检验证书。</w:t>
      </w:r>
    </w:p>
    <w:p w14:paraId="30065837">
      <w:pPr>
        <w:pageBreakBefore w:val="0"/>
        <w:widowControl w:val="0"/>
        <w:tabs>
          <w:tab w:val="left" w:pos="640"/>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（2）由双方授权代表签署的检验结果记录或开箱检验单。乙方代表拒不签署前述文件的，甲方代表有权单方签署。</w:t>
      </w:r>
    </w:p>
    <w:p w14:paraId="7E72FFEF">
      <w:pPr>
        <w:pageBreakBefore w:val="0"/>
        <w:widowControl w:val="0"/>
        <w:numPr>
          <w:ilvl w:val="2"/>
          <w:numId w:val="0"/>
        </w:numPr>
        <w:tabs>
          <w:tab w:val="left" w:pos="640"/>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9.5.2乙方应在收到甲方的索赔文件后三（3）天内作出答复以确认是否接受甲方的索赔要求。如乙方在收到索赔文件三（3）天内不作答复，则应视为该索赔要求已被乙方接受。</w:t>
      </w:r>
    </w:p>
    <w:p w14:paraId="1CD163E2">
      <w:pPr>
        <w:pageBreakBefore w:val="0"/>
        <w:widowControl w:val="0"/>
        <w:numPr>
          <w:ilvl w:val="2"/>
          <w:numId w:val="0"/>
        </w:numPr>
        <w:tabs>
          <w:tab w:val="left" w:pos="640"/>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9.5.3按本条款对设备、系统及材料提出的质量索赔，若乙方根据本条款（1）和（2）的方式一次未能修复设备、系统及材料的缺陷后，则按第（3）和（4）两者之一的方式处理。</w:t>
      </w:r>
    </w:p>
    <w:p w14:paraId="27F18E20">
      <w:pPr>
        <w:pageBreakBefore w:val="0"/>
        <w:widowControl w:val="0"/>
        <w:tabs>
          <w:tab w:val="left" w:pos="640"/>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（1）修理</w:t>
      </w:r>
    </w:p>
    <w:p w14:paraId="78E61DDD">
      <w:pPr>
        <w:pageBreakBefore w:val="0"/>
        <w:widowControl w:val="0"/>
        <w:tabs>
          <w:tab w:val="left" w:pos="640"/>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乙方应自费对有缺陷的设备、系统及材料进行修理，使之符合合同规定的技术要求。除甲方特别许可外，修理应在五（5）天内完成。经修理的设备、系统及材料在通过规定的测试后，甲方应予以接受。</w:t>
      </w:r>
    </w:p>
    <w:p w14:paraId="2F14A8FD">
      <w:pPr>
        <w:pageBreakBefore w:val="0"/>
        <w:widowControl w:val="0"/>
        <w:tabs>
          <w:tab w:val="left" w:pos="640"/>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（2）替换</w:t>
      </w:r>
    </w:p>
    <w:p w14:paraId="46A3B592">
      <w:pPr>
        <w:pageBreakBefore w:val="0"/>
        <w:widowControl w:val="0"/>
        <w:tabs>
          <w:tab w:val="left" w:pos="640"/>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乙方应以全新及合格的设备、系统及材料替换有缺陷的设备、系统及材料，费用乙方自理。除甲方特别许可外，替换应在五（5）天内完成。经替换的设备、系统及材料在通过规定的测试后，甲方应予以接受。</w:t>
      </w:r>
    </w:p>
    <w:p w14:paraId="11797CB5">
      <w:pPr>
        <w:pageBreakBefore w:val="0"/>
        <w:widowControl w:val="0"/>
        <w:tabs>
          <w:tab w:val="left" w:pos="640"/>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（3）退货</w:t>
      </w:r>
    </w:p>
    <w:p w14:paraId="7CB1D6FC">
      <w:pPr>
        <w:pageBreakBefore w:val="0"/>
        <w:widowControl w:val="0"/>
        <w:tabs>
          <w:tab w:val="left" w:pos="640"/>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甲方拒绝接受索赔项下的设备、系统及材料，并退回给乙方。乙方应赔偿甲方索赔项下的设备、系统及材料的一切费用及额外支出，包括甲方从其他地方采购替换设备、系统及材料的费用。拒收设备、系统及材料的运输和保险费及其它杂费应由乙方支付。</w:t>
      </w:r>
    </w:p>
    <w:p w14:paraId="4D917A55">
      <w:pPr>
        <w:pageBreakBefore w:val="0"/>
        <w:widowControl w:val="0"/>
        <w:tabs>
          <w:tab w:val="left" w:pos="640"/>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（4）设备、系统及材料削价处理</w:t>
      </w:r>
    </w:p>
    <w:p w14:paraId="610EE139">
      <w:pPr>
        <w:pageBreakBefore w:val="0"/>
        <w:widowControl w:val="0"/>
        <w:tabs>
          <w:tab w:val="left" w:pos="640"/>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索赔项下的设备、系统及材料，只有在买卖双方同意的情况下，可作降价处理。为此，甲方可接受由根据原价格和规格妥协得出的具有新规格的系统及其设备材料。如能达成协议，则合同价格与所降低价格的差额应退还给甲方。新的规格应由甲方确认，设备、系统及材料的测试验收应根据新的规格进行，但验收程序不得变动。</w:t>
      </w:r>
    </w:p>
    <w:p w14:paraId="12E33974">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9.6延迟索赔</w:t>
      </w:r>
    </w:p>
    <w:p w14:paraId="321FC047">
      <w:pPr>
        <w:pageBreakBefore w:val="0"/>
        <w:widowControl w:val="0"/>
        <w:tabs>
          <w:tab w:val="left" w:pos="640"/>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 xml:space="preserve">9.6.1乙方未按合同约定时间进行设备供货的，应承担逾期完成项目的违约责任，每延迟一天，按合同总价的 0.1％向甲方支付违约金。逾期完成项 15 天以上的，违约金标准为合同总价的 5%，延期提交超过 30 日的，乙方应当支付合同金额 10%的违约金，且甲方有权单方解除合同。 </w:t>
      </w:r>
    </w:p>
    <w:p w14:paraId="072032EC">
      <w:pPr>
        <w:pageBreakBefore w:val="0"/>
        <w:widowControl w:val="0"/>
        <w:tabs>
          <w:tab w:val="left" w:pos="640"/>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 xml:space="preserve">9.6.2乙方提交的项目成果一次未通过验收的，乙方应按合同总价的 5%支付违约金；二次未通过验收的，乙方应按合同总价的 20%支付违约金，同时甲方有权解除合同。 </w:t>
      </w:r>
    </w:p>
    <w:p w14:paraId="794E3404">
      <w:pPr>
        <w:pageBreakBefore w:val="0"/>
        <w:widowControl w:val="0"/>
        <w:tabs>
          <w:tab w:val="left" w:pos="640"/>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 xml:space="preserve">9.6.3乙方项目总实施时间超过合同约定的，每超过一天应按合同总价的 0.2% 向甲方支付违约金；延期超过 30 天的，每超过一天应按合同总价的 0.5% 向甲方支付违约金；延期超过 60 天的，甲方有权解除合同。 </w:t>
      </w:r>
    </w:p>
    <w:p w14:paraId="7337F775">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9.</w:t>
      </w:r>
      <w:r>
        <w:rPr>
          <w:rFonts w:hint="eastAsia" w:ascii="宋体" w:hAnsi="宋体" w:cs="宋体"/>
          <w:sz w:val="24"/>
          <w:szCs w:val="24"/>
          <w:lang w:val="en-US" w:eastAsia="zh-CN"/>
        </w:rPr>
        <w:t>7</w:t>
      </w:r>
      <w:r>
        <w:rPr>
          <w:rFonts w:hint="eastAsia" w:ascii="宋体" w:hAnsi="宋体" w:cs="宋体"/>
          <w:sz w:val="24"/>
          <w:szCs w:val="24"/>
        </w:rPr>
        <w:t>实施索赔</w:t>
      </w:r>
    </w:p>
    <w:p w14:paraId="451D304D">
      <w:pPr>
        <w:pageBreakBefore w:val="0"/>
        <w:widowControl w:val="0"/>
        <w:tabs>
          <w:tab w:val="left" w:pos="1276"/>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9.</w:t>
      </w:r>
      <w:r>
        <w:rPr>
          <w:rFonts w:hint="eastAsia" w:ascii="宋体" w:hAnsi="宋体" w:cs="宋体"/>
          <w:sz w:val="24"/>
          <w:szCs w:val="24"/>
          <w:lang w:val="en-US" w:eastAsia="zh-CN"/>
        </w:rPr>
        <w:t>7</w:t>
      </w:r>
      <w:r>
        <w:rPr>
          <w:rFonts w:hint="eastAsia" w:ascii="宋体" w:hAnsi="宋体" w:cs="宋体"/>
          <w:sz w:val="24"/>
          <w:szCs w:val="24"/>
        </w:rPr>
        <w:t xml:space="preserve">.1项目实施期间（含质保期），由于乙方原因造成项目线上运营中断、停止或非正常使用，每超过 4 小时（不到 4 小时算 4 小时）按照 2 万元/4 小时向甲方支付违约金，具体时长由甲方认定。 </w:t>
      </w:r>
    </w:p>
    <w:p w14:paraId="0BD2C9ED">
      <w:pPr>
        <w:pageBreakBefore w:val="0"/>
        <w:widowControl w:val="0"/>
        <w:tabs>
          <w:tab w:val="left" w:pos="1276"/>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9.</w:t>
      </w:r>
      <w:r>
        <w:rPr>
          <w:rFonts w:hint="eastAsia" w:ascii="宋体" w:hAnsi="宋体" w:cs="宋体"/>
          <w:sz w:val="24"/>
          <w:szCs w:val="24"/>
          <w:lang w:val="en-US" w:eastAsia="zh-CN"/>
        </w:rPr>
        <w:t>7</w:t>
      </w:r>
      <w:r>
        <w:rPr>
          <w:rFonts w:hint="eastAsia" w:ascii="宋体" w:hAnsi="宋体" w:cs="宋体"/>
          <w:sz w:val="24"/>
          <w:szCs w:val="24"/>
        </w:rPr>
        <w:t xml:space="preserve">.2项目质保期间乙方在甲方提出需求的一个工作日内未作出响应按照 2 万元/天向甲方支付违约金，具体时长由甲方认定。 </w:t>
      </w:r>
    </w:p>
    <w:p w14:paraId="3099354E">
      <w:pPr>
        <w:pageBreakBefore w:val="0"/>
        <w:widowControl w:val="0"/>
        <w:tabs>
          <w:tab w:val="left" w:pos="1276"/>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9.</w:t>
      </w:r>
      <w:r>
        <w:rPr>
          <w:rFonts w:hint="eastAsia" w:ascii="宋体" w:hAnsi="宋体" w:cs="宋体"/>
          <w:sz w:val="24"/>
          <w:szCs w:val="24"/>
          <w:lang w:val="en-US" w:eastAsia="zh-CN"/>
        </w:rPr>
        <w:t>7</w:t>
      </w:r>
      <w:r>
        <w:rPr>
          <w:rFonts w:hint="eastAsia" w:ascii="宋体" w:hAnsi="宋体" w:cs="宋体"/>
          <w:sz w:val="24"/>
          <w:szCs w:val="24"/>
        </w:rPr>
        <w:t xml:space="preserve">.3项目实施期间（含质保期），乙方未经甲方书面确认的情况下，在系统正式环境中擅自发布、修改、调整软件版本和运行环境，一经发现按照 5 万元/次由乙方向甲方支付违约金，具体次数由甲方认定。 </w:t>
      </w:r>
    </w:p>
    <w:p w14:paraId="009ED19F">
      <w:pPr>
        <w:pageBreakBefore w:val="0"/>
        <w:widowControl w:val="0"/>
        <w:tabs>
          <w:tab w:val="left" w:pos="1276"/>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9.</w:t>
      </w:r>
      <w:r>
        <w:rPr>
          <w:rFonts w:hint="eastAsia" w:ascii="宋体" w:hAnsi="宋体" w:cs="宋体"/>
          <w:sz w:val="24"/>
          <w:szCs w:val="24"/>
          <w:lang w:val="en-US" w:eastAsia="zh-CN"/>
        </w:rPr>
        <w:t>7</w:t>
      </w:r>
      <w:r>
        <w:rPr>
          <w:rFonts w:hint="eastAsia" w:ascii="宋体" w:hAnsi="宋体" w:cs="宋体"/>
          <w:sz w:val="24"/>
          <w:szCs w:val="24"/>
        </w:rPr>
        <w:t>.4项目实施期间乙方未经甲方提前书面确认同意，擅自调整项目需求、调整项目进度、变更版本发布计划，乙方按照 5 万元/次向甲方支付违约金，如违约金不能弥补乙方违约对甲方造成的损失的，乙方还需另行支付相应的赔偿。</w:t>
      </w:r>
    </w:p>
    <w:p w14:paraId="67DC83E5">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9.</w:t>
      </w:r>
      <w:r>
        <w:rPr>
          <w:rFonts w:hint="eastAsia" w:ascii="宋体" w:hAnsi="宋体" w:cs="宋体"/>
          <w:sz w:val="24"/>
          <w:szCs w:val="24"/>
          <w:lang w:val="en-US" w:eastAsia="zh-CN"/>
        </w:rPr>
        <w:t>8</w:t>
      </w:r>
      <w:r>
        <w:rPr>
          <w:rFonts w:hint="eastAsia" w:ascii="宋体" w:hAnsi="宋体" w:cs="宋体"/>
          <w:sz w:val="24"/>
          <w:szCs w:val="24"/>
        </w:rPr>
        <w:t>其他索赔</w:t>
      </w:r>
    </w:p>
    <w:p w14:paraId="11BCDECF">
      <w:pPr>
        <w:pageBreakBefore w:val="0"/>
        <w:widowControl w:val="0"/>
        <w:tabs>
          <w:tab w:val="left" w:pos="1276"/>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9.</w:t>
      </w:r>
      <w:r>
        <w:rPr>
          <w:rFonts w:hint="eastAsia" w:ascii="宋体" w:hAnsi="宋体" w:cs="宋体"/>
          <w:sz w:val="24"/>
          <w:szCs w:val="24"/>
          <w:lang w:val="en-US" w:eastAsia="zh-CN"/>
        </w:rPr>
        <w:t>8</w:t>
      </w:r>
      <w:r>
        <w:rPr>
          <w:rFonts w:hint="eastAsia" w:ascii="宋体" w:hAnsi="宋体" w:cs="宋体"/>
          <w:sz w:val="24"/>
          <w:szCs w:val="24"/>
        </w:rPr>
        <w:t xml:space="preserve">.1乙方未经甲方同意擅自将项目拆解分包或转包，应当按照合同总价的20%向甲方支付违约金，同时甲方有权即时解除合同。 </w:t>
      </w:r>
    </w:p>
    <w:p w14:paraId="15BC5862">
      <w:pPr>
        <w:pageBreakBefore w:val="0"/>
        <w:widowControl w:val="0"/>
        <w:tabs>
          <w:tab w:val="left" w:pos="1276"/>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9.</w:t>
      </w:r>
      <w:r>
        <w:rPr>
          <w:rFonts w:hint="eastAsia" w:ascii="宋体" w:hAnsi="宋体" w:cs="宋体"/>
          <w:sz w:val="24"/>
          <w:szCs w:val="24"/>
          <w:lang w:val="en-US" w:eastAsia="zh-CN"/>
        </w:rPr>
        <w:t>8</w:t>
      </w:r>
      <w:r>
        <w:rPr>
          <w:rFonts w:hint="eastAsia" w:ascii="宋体" w:hAnsi="宋体" w:cs="宋体"/>
          <w:sz w:val="24"/>
          <w:szCs w:val="24"/>
        </w:rPr>
        <w:t xml:space="preserve">.2乙方未经甲方同意向任何第三方泄露本合同项目技术资料及项目内容，或违反保密条款擅自对外转让、使用本合同项目成果的，应当按照合同总价的 10%向甲方支付违约金，并赔偿甲方的全部损失；合同尚未履行完毕的，甲方有权解除合同。合同已履行完毕的，甲方保留追诉的权利。 </w:t>
      </w:r>
    </w:p>
    <w:p w14:paraId="12BDD341">
      <w:pPr>
        <w:tabs>
          <w:tab w:val="left" w:pos="1276"/>
        </w:tabs>
        <w:spacing w:line="440" w:lineRule="exact"/>
        <w:ind w:right="-260" w:rightChars="-124" w:firstLine="480" w:firstLineChars="200"/>
        <w:rPr>
          <w:rFonts w:hint="eastAsia" w:ascii="宋体" w:hAnsi="宋体" w:cs="宋体"/>
          <w:sz w:val="24"/>
        </w:rPr>
      </w:pPr>
      <w:r>
        <w:rPr>
          <w:rFonts w:hint="eastAsia" w:ascii="宋体" w:hAnsi="宋体" w:cs="宋体"/>
          <w:sz w:val="24"/>
        </w:rPr>
        <w:t>9.8.3乙方在从事合同范围研究所涉及的知识产权责任及第三方专利引用等事项由乙方自行承担，并负责使甲方的利益不受损害，由此引起的各项法律诉讼及费用与甲方无关。如果给甲方造成损失的，应当予以赔偿（包括但不限于甲方由此支出的律师费、诉讼费等）。</w:t>
      </w:r>
    </w:p>
    <w:p w14:paraId="175E19D1">
      <w:pPr>
        <w:tabs>
          <w:tab w:val="left" w:pos="1276"/>
        </w:tabs>
        <w:spacing w:line="440" w:lineRule="exact"/>
        <w:ind w:right="-260" w:rightChars="-124" w:firstLine="480" w:firstLineChars="200"/>
        <w:rPr>
          <w:rFonts w:hint="eastAsia" w:ascii="宋体" w:hAnsi="宋体" w:cs="宋体"/>
          <w:sz w:val="24"/>
        </w:rPr>
      </w:pPr>
      <w:r>
        <w:rPr>
          <w:rFonts w:hint="eastAsia" w:ascii="宋体" w:hAnsi="宋体" w:cs="宋体"/>
          <w:sz w:val="24"/>
        </w:rPr>
        <w:t xml:space="preserve">9.8.4乙方未按约定履行合同的其他义务且同一违约行为在甲方书面提醒后仍未改进的，应按照合同总价的3%向甲方支付违约金，同时甲方有权即时解除合同。 </w:t>
      </w:r>
    </w:p>
    <w:p w14:paraId="7C5EEC05">
      <w:pPr>
        <w:pageBreakBefore w:val="0"/>
        <w:widowControl w:val="0"/>
        <w:tabs>
          <w:tab w:val="left" w:pos="1276"/>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9.</w:t>
      </w:r>
      <w:r>
        <w:rPr>
          <w:rFonts w:hint="eastAsia" w:ascii="宋体" w:hAnsi="宋体" w:cs="宋体"/>
          <w:sz w:val="24"/>
          <w:szCs w:val="24"/>
          <w:lang w:val="en-US" w:eastAsia="zh-CN"/>
        </w:rPr>
        <w:t>8</w:t>
      </w:r>
      <w:r>
        <w:rPr>
          <w:rFonts w:hint="eastAsia" w:ascii="宋体" w:hAnsi="宋体" w:cs="宋体"/>
          <w:sz w:val="24"/>
          <w:szCs w:val="24"/>
        </w:rPr>
        <w:t>.5乙方提供的机房问题导致甲方设备损坏的，乙方应负责更换同型号全新设备并赔偿该设备总价的10%作为违约金。</w:t>
      </w:r>
    </w:p>
    <w:p w14:paraId="609169CF">
      <w:pPr>
        <w:pStyle w:val="116"/>
        <w:pageBreakBefore w:val="0"/>
        <w:widowControl w:val="0"/>
        <w:kinsoku/>
        <w:wordWrap/>
        <w:topLinePunct w:val="0"/>
        <w:autoSpaceDE/>
        <w:autoSpaceDN/>
        <w:bidi w:val="0"/>
        <w:adjustRightInd/>
        <w:snapToGrid/>
        <w:spacing w:before="0" w:after="0" w:line="440" w:lineRule="exact"/>
        <w:ind w:left="0" w:leftChars="0" w:right="-260" w:rightChars="-124" w:firstLine="482" w:firstLineChars="200"/>
        <w:jc w:val="left"/>
        <w:textAlignment w:val="auto"/>
        <w:rPr>
          <w:rFonts w:hint="eastAsia" w:eastAsia="宋体"/>
          <w:sz w:val="24"/>
          <w:szCs w:val="24"/>
        </w:rPr>
      </w:pPr>
      <w:bookmarkStart w:id="110" w:name="_Toc20349"/>
      <w:r>
        <w:rPr>
          <w:rFonts w:hint="eastAsia" w:eastAsia="宋体"/>
          <w:sz w:val="24"/>
          <w:szCs w:val="24"/>
        </w:rPr>
        <w:t>十、履约担保</w:t>
      </w:r>
      <w:bookmarkEnd w:id="110"/>
    </w:p>
    <w:p w14:paraId="45951CEA">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 xml:space="preserve">10.1履约担保金额：合同含税总价的5%，以银行转账或履约保函形式提交，格式详见附件。 </w:t>
      </w:r>
    </w:p>
    <w:p w14:paraId="04831A5F">
      <w:pPr>
        <w:pageBreakBefore w:val="0"/>
        <w:widowControl w:val="0"/>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sz w:val="24"/>
          <w:szCs w:val="24"/>
        </w:rPr>
      </w:pPr>
      <w:r>
        <w:rPr>
          <w:rFonts w:hint="eastAsia" w:ascii="宋体" w:hAnsi="宋体"/>
          <w:sz w:val="24"/>
          <w:szCs w:val="24"/>
        </w:rPr>
        <w:t>户名：南通轨道资源开发有限公司</w:t>
      </w:r>
    </w:p>
    <w:p w14:paraId="34976E6D">
      <w:pPr>
        <w:pageBreakBefore w:val="0"/>
        <w:widowControl w:val="0"/>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sz w:val="24"/>
          <w:szCs w:val="24"/>
        </w:rPr>
      </w:pPr>
      <w:r>
        <w:rPr>
          <w:rFonts w:hint="eastAsia" w:ascii="宋体" w:hAnsi="宋体"/>
          <w:sz w:val="24"/>
          <w:szCs w:val="24"/>
        </w:rPr>
        <w:t>账号：3206240011010000223177</w:t>
      </w:r>
    </w:p>
    <w:p w14:paraId="3074231D">
      <w:pPr>
        <w:pageBreakBefore w:val="0"/>
        <w:widowControl w:val="0"/>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sz w:val="24"/>
          <w:szCs w:val="24"/>
        </w:rPr>
      </w:pPr>
      <w:r>
        <w:rPr>
          <w:rFonts w:hint="eastAsia" w:ascii="宋体" w:hAnsi="宋体"/>
          <w:sz w:val="24"/>
          <w:szCs w:val="24"/>
        </w:rPr>
        <w:t>开户银行：江苏南通农村商业银行股份有限公司</w:t>
      </w:r>
    </w:p>
    <w:p w14:paraId="7273EF5E">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 xml:space="preserve">10.2履约担保用于补偿甲方因乙方不能完成其合同义务而蒙受的损失。 </w:t>
      </w:r>
    </w:p>
    <w:p w14:paraId="64B2CF33">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 xml:space="preserve">10.3在乙方完成其合同所规定的服务后 30 天内，甲方将把履约担保无息退还乙方。 </w:t>
      </w:r>
    </w:p>
    <w:p w14:paraId="3AC3C0A7">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 xml:space="preserve">10.4履约担保期限：合同生效之日起至本项目竣工验收后的 30 天为止。 </w:t>
      </w:r>
    </w:p>
    <w:p w14:paraId="02C29A71">
      <w:pPr>
        <w:pStyle w:val="116"/>
        <w:pageBreakBefore w:val="0"/>
        <w:widowControl w:val="0"/>
        <w:kinsoku/>
        <w:wordWrap/>
        <w:topLinePunct w:val="0"/>
        <w:autoSpaceDE/>
        <w:autoSpaceDN/>
        <w:bidi w:val="0"/>
        <w:adjustRightInd/>
        <w:snapToGrid/>
        <w:spacing w:before="0" w:after="0" w:line="440" w:lineRule="exact"/>
        <w:ind w:left="0" w:leftChars="0" w:right="-260" w:rightChars="-124" w:firstLine="482" w:firstLineChars="200"/>
        <w:jc w:val="left"/>
        <w:textAlignment w:val="auto"/>
        <w:rPr>
          <w:rFonts w:hint="eastAsia" w:eastAsia="宋体"/>
          <w:sz w:val="24"/>
          <w:szCs w:val="24"/>
        </w:rPr>
      </w:pPr>
      <w:bookmarkStart w:id="111" w:name="_Toc53"/>
      <w:r>
        <w:rPr>
          <w:rFonts w:hint="eastAsia" w:eastAsia="宋体"/>
          <w:sz w:val="24"/>
          <w:szCs w:val="24"/>
        </w:rPr>
        <w:t>十一、合同变更、中止、解除和终止</w:t>
      </w:r>
      <w:bookmarkEnd w:id="111"/>
      <w:r>
        <w:rPr>
          <w:rFonts w:hint="eastAsia" w:eastAsia="宋体"/>
          <w:sz w:val="24"/>
          <w:szCs w:val="24"/>
        </w:rPr>
        <w:t xml:space="preserve"> </w:t>
      </w:r>
    </w:p>
    <w:p w14:paraId="7EAB975F">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 xml:space="preserve">11.1在双方履行完合同规定的所有责任和义务后，本协议即行终止。 </w:t>
      </w:r>
    </w:p>
    <w:p w14:paraId="17DB0BCE">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11.2当任何一方提出申请并经双方书面同意后，可对本协议书进行补充。要求补充的申请及补充协议须采用书面形式，且不得对实质性内容进行变更。如实质性内容有变化时双方需重新签订合同。在协议未达成一致之前，原协议仍然有效。</w:t>
      </w:r>
    </w:p>
    <w:p w14:paraId="4960A4CB">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 xml:space="preserve">11.3合同变更时，买卖双方按下述方式确定调整合同价格： </w:t>
      </w:r>
    </w:p>
    <w:p w14:paraId="1B9EDA1D">
      <w:pPr>
        <w:pageBreakBefore w:val="0"/>
        <w:widowControl w:val="0"/>
        <w:tabs>
          <w:tab w:val="left" w:pos="640"/>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 xml:space="preserve">（1）对合同中已有项目的增加或删除，按合同已列明的项目单价计算调整合同价格； </w:t>
      </w:r>
    </w:p>
    <w:p w14:paraId="38224042">
      <w:pPr>
        <w:pageBreakBefore w:val="0"/>
        <w:widowControl w:val="0"/>
        <w:tabs>
          <w:tab w:val="left" w:pos="640"/>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（2）对合同中已明确并有定价的选项及替代方案，按合同列明的相应的金额计算；</w:t>
      </w:r>
    </w:p>
    <w:p w14:paraId="150806E3">
      <w:pPr>
        <w:pageBreakBefore w:val="0"/>
        <w:widowControl w:val="0"/>
        <w:tabs>
          <w:tab w:val="left" w:pos="640"/>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（3）分项报价明细表中的合价包干内容，以“项”为单位的子目所涉及的所有工程量及相关费用均应包含在投标报价中，合同执行期内不予变更 ，实际未发生的结算时计价为零；</w:t>
      </w:r>
    </w:p>
    <w:p w14:paraId="6FFCDCF2">
      <w:pPr>
        <w:pageBreakBefore w:val="0"/>
        <w:widowControl w:val="0"/>
        <w:tabs>
          <w:tab w:val="left" w:pos="640"/>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（4）机房租赁服务费，按实结算以整月为单位，月单价=机房租赁总报价/36个月，15天（含）以上为整月，15天以下不计月份。</w:t>
      </w:r>
    </w:p>
    <w:p w14:paraId="52B52FBE">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 xml:space="preserve">11.4甲方如果要求乙方全部或部分中止提供服务或终止本合同，则应当在十四天前通知乙方，乙方应当立即安排停止提供服务并做好工作交接。 </w:t>
      </w:r>
    </w:p>
    <w:p w14:paraId="0BF5615F">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 xml:space="preserve">11.5当甲方认为乙方未履行合同义务且乙方无正当理由时，可向乙方发出指明其未履行义务的书面通知。若甲方发出通知后七天内没收到答复，可在上述通知发出后十四天内发出解除本合同的通知，乙方收到解除通知时，本合同即行终止。 </w:t>
      </w:r>
    </w:p>
    <w:p w14:paraId="5FA528B7">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 xml:space="preserve">11.6合同的终止并不影响各方应有的权利和应当承担的责任。 </w:t>
      </w:r>
    </w:p>
    <w:p w14:paraId="5E17DEF4">
      <w:pPr>
        <w:pStyle w:val="116"/>
        <w:pageBreakBefore w:val="0"/>
        <w:widowControl w:val="0"/>
        <w:kinsoku/>
        <w:wordWrap/>
        <w:topLinePunct w:val="0"/>
        <w:autoSpaceDE/>
        <w:autoSpaceDN/>
        <w:bidi w:val="0"/>
        <w:adjustRightInd/>
        <w:snapToGrid/>
        <w:spacing w:before="0" w:after="0" w:line="440" w:lineRule="exact"/>
        <w:ind w:left="0" w:leftChars="0" w:right="-260" w:rightChars="-124" w:firstLine="482" w:firstLineChars="200"/>
        <w:jc w:val="left"/>
        <w:textAlignment w:val="auto"/>
        <w:rPr>
          <w:rFonts w:hint="eastAsia" w:eastAsia="宋体"/>
          <w:sz w:val="24"/>
          <w:szCs w:val="24"/>
        </w:rPr>
      </w:pPr>
      <w:bookmarkStart w:id="112" w:name="_Toc18578"/>
      <w:r>
        <w:rPr>
          <w:rFonts w:hint="eastAsia" w:eastAsia="宋体"/>
          <w:sz w:val="24"/>
          <w:szCs w:val="24"/>
        </w:rPr>
        <w:t>十二、保险</w:t>
      </w:r>
      <w:bookmarkEnd w:id="112"/>
    </w:p>
    <w:p w14:paraId="54D114C0">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12.1乙方的一切保险自理，乙方确认已为履行本合同项目的所有服务人员购买法定保险。</w:t>
      </w:r>
    </w:p>
    <w:p w14:paraId="7415E8FB">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12.2乙方在履行本合同过程中，应切实落实安全责任制，加强人员管理，确保规范施工，防范安全生产事故。乙方在履行本合同过程中发生的任何工伤或意外事故，均应由乙方负责处理并承担全部费用；因此给甲方或第三方造成损失的，由乙方予以全额赔偿。</w:t>
      </w:r>
    </w:p>
    <w:p w14:paraId="0797E038">
      <w:pPr>
        <w:pStyle w:val="116"/>
        <w:pageBreakBefore w:val="0"/>
        <w:widowControl w:val="0"/>
        <w:kinsoku/>
        <w:wordWrap/>
        <w:topLinePunct w:val="0"/>
        <w:autoSpaceDE/>
        <w:autoSpaceDN/>
        <w:bidi w:val="0"/>
        <w:adjustRightInd/>
        <w:snapToGrid/>
        <w:spacing w:before="0" w:after="0" w:line="440" w:lineRule="exact"/>
        <w:ind w:left="0" w:leftChars="0" w:right="-260" w:rightChars="-124" w:firstLine="482" w:firstLineChars="200"/>
        <w:jc w:val="left"/>
        <w:textAlignment w:val="auto"/>
        <w:rPr>
          <w:rFonts w:hint="eastAsia" w:eastAsia="宋体"/>
          <w:sz w:val="24"/>
          <w:szCs w:val="24"/>
        </w:rPr>
      </w:pPr>
      <w:bookmarkStart w:id="113" w:name="_Toc12635"/>
      <w:r>
        <w:rPr>
          <w:rFonts w:hint="eastAsia" w:eastAsia="宋体"/>
          <w:sz w:val="24"/>
          <w:szCs w:val="24"/>
        </w:rPr>
        <w:t>十三、不可抗力</w:t>
      </w:r>
      <w:bookmarkEnd w:id="113"/>
    </w:p>
    <w:p w14:paraId="688181B5">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13.1本条所述的“不可抗力”系指那些无法控制，不可预见的事件，但不包括违约或疏忽。不可抗力包括但不限于：战争暴乱、严重火灾、洪水、台风、地震、防疫限制和禁运。</w:t>
      </w:r>
    </w:p>
    <w:p w14:paraId="4B59F3E4">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13.2若不可抗力发生使合同执行受阻，则合同执行时间根据受影响的时间相应延长，但合同价格不得调整。</w:t>
      </w:r>
    </w:p>
    <w:p w14:paraId="54EE4453">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13.3遇有不可抗力事件的一方因发生不可抗力事件而影响合同执行时，应在不可抗力事件发生后立即以书面形式通知对方，并应在不可抗力事件发生后14天内，提供事件详情及合同不能履行、或者部分不能履行、或者需要延期履行的理由的有效证明文件。按照事件对履行合同的影响程度，由双方协商解决是否解除合同，或者部分免除履行合同的责任，或者延期履行合同。</w:t>
      </w:r>
    </w:p>
    <w:p w14:paraId="53BFFD77">
      <w:pPr>
        <w:pStyle w:val="116"/>
        <w:pageBreakBefore w:val="0"/>
        <w:widowControl w:val="0"/>
        <w:kinsoku/>
        <w:wordWrap/>
        <w:topLinePunct w:val="0"/>
        <w:autoSpaceDE/>
        <w:autoSpaceDN/>
        <w:bidi w:val="0"/>
        <w:adjustRightInd/>
        <w:snapToGrid/>
        <w:spacing w:before="0" w:after="0" w:line="440" w:lineRule="exact"/>
        <w:ind w:left="0" w:leftChars="0" w:right="-260" w:rightChars="-124" w:firstLine="482" w:firstLineChars="200"/>
        <w:jc w:val="left"/>
        <w:textAlignment w:val="auto"/>
        <w:rPr>
          <w:rFonts w:hint="eastAsia" w:eastAsia="宋体"/>
          <w:sz w:val="24"/>
          <w:szCs w:val="24"/>
        </w:rPr>
      </w:pPr>
      <w:bookmarkStart w:id="114" w:name="_Toc32018"/>
      <w:r>
        <w:rPr>
          <w:rFonts w:hint="eastAsia" w:eastAsia="宋体"/>
          <w:sz w:val="24"/>
          <w:szCs w:val="24"/>
        </w:rPr>
        <w:t>十四、争端的解决</w:t>
      </w:r>
      <w:bookmarkEnd w:id="114"/>
    </w:p>
    <w:p w14:paraId="076BABDB">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14.1因本合同及相关事宜产生的争议，买卖双方同意提交南通仲裁委员会按其仲裁规则/程序进行仲裁。仲裁的官方语言应为中文。</w:t>
      </w:r>
    </w:p>
    <w:p w14:paraId="48AC9A12">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14.2仲裁裁决应为最终裁决，对双方均具有约束力。</w:t>
      </w:r>
    </w:p>
    <w:p w14:paraId="3BC733C6">
      <w:pPr>
        <w:tabs>
          <w:tab w:val="left" w:pos="567"/>
        </w:tabs>
        <w:spacing w:line="440" w:lineRule="exact"/>
        <w:ind w:right="-260" w:rightChars="-124" w:firstLine="480" w:firstLineChars="200"/>
        <w:rPr>
          <w:rFonts w:hint="eastAsia" w:ascii="宋体" w:hAnsi="宋体" w:cs="宋体"/>
          <w:sz w:val="24"/>
        </w:rPr>
      </w:pPr>
      <w:r>
        <w:rPr>
          <w:rFonts w:hint="eastAsia" w:ascii="宋体" w:hAnsi="宋体" w:cs="宋体"/>
          <w:sz w:val="24"/>
        </w:rPr>
        <w:t>14.3仲裁费用（包括但不限于仲裁费、律师费等）除仲裁机关另有裁决外均应由败诉方负担。</w:t>
      </w:r>
    </w:p>
    <w:p w14:paraId="1F9DF97C">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14.4在仲裁期间，除正在进行仲裁的部分外，本合同其他部分应继续执行。</w:t>
      </w:r>
    </w:p>
    <w:p w14:paraId="0A78CCD0">
      <w:pPr>
        <w:pStyle w:val="116"/>
        <w:pageBreakBefore w:val="0"/>
        <w:widowControl w:val="0"/>
        <w:kinsoku/>
        <w:wordWrap/>
        <w:topLinePunct w:val="0"/>
        <w:autoSpaceDE/>
        <w:autoSpaceDN/>
        <w:bidi w:val="0"/>
        <w:adjustRightInd/>
        <w:snapToGrid/>
        <w:spacing w:before="0" w:after="0" w:line="440" w:lineRule="exact"/>
        <w:ind w:left="0" w:leftChars="0" w:right="-260" w:rightChars="-124" w:firstLine="482" w:firstLineChars="200"/>
        <w:jc w:val="left"/>
        <w:textAlignment w:val="auto"/>
        <w:rPr>
          <w:rFonts w:hint="eastAsia" w:eastAsia="宋体"/>
          <w:sz w:val="24"/>
          <w:szCs w:val="24"/>
        </w:rPr>
      </w:pPr>
      <w:bookmarkStart w:id="115" w:name="_Toc25765"/>
      <w:r>
        <w:rPr>
          <w:rFonts w:hint="eastAsia" w:eastAsia="宋体"/>
          <w:sz w:val="24"/>
          <w:szCs w:val="24"/>
        </w:rPr>
        <w:t>十五、税费</w:t>
      </w:r>
      <w:bookmarkEnd w:id="115"/>
    </w:p>
    <w:p w14:paraId="5755F4F8">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 xml:space="preserve">15.1中国政府根据现行税法规定对甲方征收的与本合同有关的一切税费均应由甲方负担。 </w:t>
      </w:r>
    </w:p>
    <w:p w14:paraId="17A3AAC8">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 xml:space="preserve">15.2中国政府根据现行税法规定对乙方征收的与本合同有关的一切税费均应由乙方负担。 </w:t>
      </w:r>
    </w:p>
    <w:p w14:paraId="7CDB8894">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 xml:space="preserve">15.3在中国境外发生的与本合同执行有关的一切税费均应由乙方负担。 </w:t>
      </w:r>
    </w:p>
    <w:p w14:paraId="0D139260">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15.4在合同执行期间，如遇国家税率调整，则税费及合同含税总价相应调整。</w:t>
      </w:r>
    </w:p>
    <w:p w14:paraId="42E3230C">
      <w:pPr>
        <w:pStyle w:val="116"/>
        <w:pageBreakBefore w:val="0"/>
        <w:widowControl w:val="0"/>
        <w:kinsoku/>
        <w:wordWrap/>
        <w:topLinePunct w:val="0"/>
        <w:autoSpaceDE/>
        <w:autoSpaceDN/>
        <w:bidi w:val="0"/>
        <w:adjustRightInd/>
        <w:snapToGrid/>
        <w:spacing w:before="0" w:after="0" w:line="440" w:lineRule="exact"/>
        <w:ind w:left="0" w:leftChars="0" w:right="-260" w:rightChars="-124" w:firstLine="482" w:firstLineChars="200"/>
        <w:jc w:val="left"/>
        <w:textAlignment w:val="auto"/>
        <w:rPr>
          <w:rFonts w:hint="eastAsia" w:eastAsia="宋体"/>
          <w:sz w:val="24"/>
          <w:szCs w:val="24"/>
        </w:rPr>
      </w:pPr>
      <w:bookmarkStart w:id="116" w:name="_Toc30452"/>
      <w:r>
        <w:rPr>
          <w:rFonts w:hint="eastAsia" w:eastAsia="宋体"/>
          <w:sz w:val="24"/>
          <w:szCs w:val="24"/>
        </w:rPr>
        <w:t>十六、分包及转包</w:t>
      </w:r>
      <w:bookmarkEnd w:id="116"/>
    </w:p>
    <w:p w14:paraId="1EC469B7">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16.1没有甲方的书面同意，乙方不得进行任何形式的合同转包和分包。</w:t>
      </w:r>
    </w:p>
    <w:p w14:paraId="70184999">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16.2经甲方书面同意分包或转包的开发内容，本合同的乙方仍对本合同文件所规定的所有工作内容及工作要求承担全部责任。</w:t>
      </w:r>
    </w:p>
    <w:p w14:paraId="6ECC74A8">
      <w:pPr>
        <w:pStyle w:val="116"/>
        <w:pageBreakBefore w:val="0"/>
        <w:widowControl w:val="0"/>
        <w:kinsoku/>
        <w:wordWrap/>
        <w:topLinePunct w:val="0"/>
        <w:autoSpaceDE/>
        <w:autoSpaceDN/>
        <w:bidi w:val="0"/>
        <w:adjustRightInd/>
        <w:snapToGrid/>
        <w:spacing w:before="0" w:after="0" w:line="440" w:lineRule="exact"/>
        <w:ind w:left="0" w:leftChars="0" w:right="-260" w:rightChars="-124" w:firstLine="482" w:firstLineChars="200"/>
        <w:jc w:val="left"/>
        <w:textAlignment w:val="auto"/>
        <w:rPr>
          <w:rFonts w:hint="eastAsia" w:eastAsia="宋体"/>
          <w:sz w:val="24"/>
          <w:szCs w:val="24"/>
        </w:rPr>
      </w:pPr>
      <w:bookmarkStart w:id="117" w:name="_Toc10596"/>
      <w:r>
        <w:rPr>
          <w:rFonts w:hint="eastAsia" w:eastAsia="宋体"/>
          <w:sz w:val="24"/>
          <w:szCs w:val="24"/>
        </w:rPr>
        <w:t>十七、合同生效和签约地</w:t>
      </w:r>
      <w:bookmarkEnd w:id="117"/>
    </w:p>
    <w:p w14:paraId="34A43776">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17.1本合同生效条件</w:t>
      </w:r>
    </w:p>
    <w:p w14:paraId="1AF06909">
      <w:pPr>
        <w:pageBreakBefore w:val="0"/>
        <w:widowControl w:val="0"/>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 xml:space="preserve">合同双方法定代表人或双方授权代表签字、加盖公章且乙方提交合格的履约保证金后本合同生效。  </w:t>
      </w:r>
    </w:p>
    <w:p w14:paraId="13FA3678">
      <w:pPr>
        <w:pageBreakBefore w:val="0"/>
        <w:widowControl w:val="0"/>
        <w:tabs>
          <w:tab w:val="left" w:pos="567"/>
        </w:tabs>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sz w:val="24"/>
          <w:szCs w:val="24"/>
        </w:rPr>
      </w:pPr>
      <w:r>
        <w:rPr>
          <w:rFonts w:hint="eastAsia" w:ascii="宋体" w:hAnsi="宋体" w:cs="宋体"/>
          <w:sz w:val="24"/>
          <w:szCs w:val="24"/>
        </w:rPr>
        <w:t>17.2合同签约地</w:t>
      </w:r>
    </w:p>
    <w:p w14:paraId="010855EA">
      <w:pPr>
        <w:pageBreakBefore w:val="0"/>
        <w:widowControl w:val="0"/>
        <w:kinsoku/>
        <w:wordWrap/>
        <w:topLinePunct w:val="0"/>
        <w:autoSpaceDE/>
        <w:autoSpaceDN/>
        <w:bidi w:val="0"/>
        <w:adjustRightInd/>
        <w:snapToGrid/>
        <w:spacing w:line="440" w:lineRule="exact"/>
        <w:ind w:left="0" w:leftChars="0" w:right="-260" w:rightChars="-124" w:firstLine="480" w:firstLineChars="200"/>
        <w:textAlignment w:val="auto"/>
        <w:rPr>
          <w:rFonts w:hint="eastAsia" w:ascii="宋体" w:hAnsi="宋体" w:cs="宋体"/>
        </w:rPr>
      </w:pPr>
      <w:r>
        <w:rPr>
          <w:rFonts w:hint="eastAsia" w:ascii="宋体" w:hAnsi="宋体" w:cs="宋体"/>
          <w:color w:val="000000"/>
          <w:sz w:val="24"/>
          <w:szCs w:val="24"/>
        </w:rPr>
        <w:t>本合同签约地为中华人民共和国江苏省南通市。</w:t>
      </w:r>
    </w:p>
    <w:p w14:paraId="37D4ADF4">
      <w:pPr>
        <w:rPr>
          <w:rFonts w:hint="eastAsia" w:ascii="宋体" w:hAnsi="宋体" w:cs="宋体"/>
          <w:szCs w:val="21"/>
        </w:rPr>
      </w:pPr>
      <w:r>
        <w:rPr>
          <w:rFonts w:hint="eastAsia" w:ascii="宋体" w:hAnsi="宋体" w:cs="宋体"/>
          <w:szCs w:val="21"/>
        </w:rPr>
        <w:br w:type="page"/>
      </w:r>
    </w:p>
    <w:p w14:paraId="7522291A">
      <w:pPr>
        <w:pStyle w:val="54"/>
        <w:spacing w:line="440" w:lineRule="exact"/>
        <w:ind w:right="-260" w:rightChars="-124"/>
        <w:outlineLvl w:val="1"/>
        <w:rPr>
          <w:rFonts w:hint="eastAsia" w:eastAsia="宋体"/>
          <w:color w:val="auto"/>
          <w:sz w:val="24"/>
          <w:szCs w:val="24"/>
        </w:rPr>
      </w:pPr>
      <w:bookmarkStart w:id="118" w:name="_Toc18987"/>
      <w:bookmarkStart w:id="119" w:name="_Toc18605"/>
      <w:bookmarkStart w:id="120" w:name="_Toc29163"/>
      <w:bookmarkStart w:id="121" w:name="_Toc8654"/>
      <w:r>
        <w:rPr>
          <w:rFonts w:hint="eastAsia" w:eastAsia="宋体"/>
          <w:color w:val="auto"/>
          <w:sz w:val="24"/>
          <w:szCs w:val="24"/>
        </w:rPr>
        <w:t>合同附件</w:t>
      </w:r>
      <w:bookmarkEnd w:id="97"/>
      <w:bookmarkEnd w:id="98"/>
      <w:bookmarkEnd w:id="99"/>
      <w:bookmarkEnd w:id="118"/>
      <w:bookmarkEnd w:id="119"/>
      <w:bookmarkEnd w:id="120"/>
      <w:bookmarkEnd w:id="121"/>
    </w:p>
    <w:p w14:paraId="3A8FD058">
      <w:pPr>
        <w:spacing w:line="440" w:lineRule="exact"/>
        <w:ind w:right="-260" w:rightChars="-124"/>
        <w:outlineLvl w:val="2"/>
        <w:rPr>
          <w:rFonts w:hint="eastAsia" w:ascii="宋体" w:hAnsi="宋体" w:cs="宋体"/>
          <w:bCs/>
          <w:sz w:val="24"/>
          <w:szCs w:val="24"/>
        </w:rPr>
      </w:pPr>
      <w:bookmarkStart w:id="122" w:name="_Toc30747"/>
      <w:bookmarkStart w:id="123" w:name="_Toc21922"/>
      <w:bookmarkStart w:id="124" w:name="_Toc26623"/>
      <w:r>
        <w:rPr>
          <w:rFonts w:hint="eastAsia" w:ascii="宋体" w:hAnsi="宋体" w:cs="宋体"/>
          <w:bCs/>
          <w:sz w:val="24"/>
          <w:szCs w:val="24"/>
        </w:rPr>
        <w:t>附件1：履约担保</w:t>
      </w:r>
      <w:bookmarkEnd w:id="122"/>
      <w:bookmarkEnd w:id="123"/>
      <w:bookmarkEnd w:id="124"/>
    </w:p>
    <w:p w14:paraId="3A388A39">
      <w:pPr>
        <w:spacing w:line="440" w:lineRule="exact"/>
        <w:ind w:right="-260" w:rightChars="-124"/>
        <w:jc w:val="center"/>
        <w:rPr>
          <w:rFonts w:hint="eastAsia" w:ascii="宋体" w:hAnsi="宋体" w:cs="宋体"/>
          <w:b/>
          <w:sz w:val="28"/>
          <w:szCs w:val="28"/>
        </w:rPr>
      </w:pPr>
      <w:r>
        <w:rPr>
          <w:rFonts w:hint="eastAsia" w:ascii="宋体" w:hAnsi="宋体" w:cs="宋体"/>
          <w:b/>
          <w:sz w:val="28"/>
          <w:szCs w:val="28"/>
        </w:rPr>
        <w:t>履约保函</w:t>
      </w:r>
    </w:p>
    <w:p w14:paraId="261B86C6">
      <w:pPr>
        <w:spacing w:line="440" w:lineRule="exact"/>
        <w:ind w:right="-260" w:rightChars="-124" w:firstLine="480" w:firstLineChars="200"/>
        <w:jc w:val="center"/>
        <w:rPr>
          <w:rFonts w:hint="eastAsia" w:ascii="宋体" w:hAnsi="宋体" w:cs="宋体"/>
          <w:sz w:val="24"/>
          <w:szCs w:val="24"/>
        </w:rPr>
      </w:pPr>
      <w:r>
        <w:rPr>
          <w:rFonts w:hint="eastAsia" w:ascii="宋体" w:hAnsi="宋体" w:cs="宋体"/>
          <w:sz w:val="24"/>
          <w:szCs w:val="24"/>
        </w:rPr>
        <w:t xml:space="preserve">                                              保函编号：</w:t>
      </w:r>
      <w:r>
        <w:rPr>
          <w:rFonts w:hint="eastAsia" w:ascii="宋体" w:hAnsi="宋体" w:cs="宋体"/>
          <w:sz w:val="24"/>
          <w:szCs w:val="24"/>
          <w:u w:val="single"/>
        </w:rPr>
        <w:t xml:space="preserve">       </w:t>
      </w:r>
    </w:p>
    <w:p w14:paraId="090E1A26">
      <w:pPr>
        <w:spacing w:line="440" w:lineRule="exact"/>
        <w:ind w:right="-260" w:rightChars="-124" w:firstLine="482" w:firstLineChars="200"/>
        <w:rPr>
          <w:rFonts w:hint="eastAsia" w:ascii="宋体" w:hAnsi="宋体" w:cs="宋体"/>
          <w:sz w:val="24"/>
          <w:szCs w:val="24"/>
        </w:rPr>
      </w:pPr>
      <w:r>
        <w:rPr>
          <w:rFonts w:hint="eastAsia" w:ascii="宋体" w:hAnsi="宋体" w:cs="宋体"/>
          <w:b/>
          <w:bCs/>
          <w:sz w:val="24"/>
          <w:szCs w:val="24"/>
        </w:rPr>
        <w:t>致：</w:t>
      </w:r>
      <w:r>
        <w:rPr>
          <w:rFonts w:hint="eastAsia" w:ascii="宋体" w:hAnsi="宋体" w:cs="宋体"/>
          <w:sz w:val="24"/>
          <w:szCs w:val="24"/>
          <w:u w:val="single"/>
        </w:rPr>
        <w:t>南通轨道资源开发有限公司</w:t>
      </w:r>
      <w:r>
        <w:rPr>
          <w:rFonts w:hint="eastAsia" w:ascii="宋体" w:hAnsi="宋体" w:cs="宋体"/>
          <w:sz w:val="24"/>
          <w:szCs w:val="24"/>
        </w:rPr>
        <w:t xml:space="preserve">          </w:t>
      </w:r>
    </w:p>
    <w:p w14:paraId="7D0DCA77">
      <w:pPr>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鉴于乙方</w:t>
      </w:r>
      <w:r>
        <w:rPr>
          <w:rFonts w:hint="eastAsia" w:ascii="宋体" w:hAnsi="宋体" w:cs="宋体"/>
          <w:sz w:val="24"/>
          <w:szCs w:val="24"/>
          <w:u w:val="single"/>
        </w:rPr>
        <w:t xml:space="preserve">                   </w:t>
      </w:r>
      <w:r>
        <w:rPr>
          <w:rFonts w:hint="eastAsia" w:ascii="宋体" w:hAnsi="宋体" w:cs="宋体"/>
          <w:sz w:val="24"/>
          <w:szCs w:val="24"/>
        </w:rPr>
        <w:t>与</w:t>
      </w:r>
      <w:r>
        <w:rPr>
          <w:rFonts w:hint="eastAsia" w:ascii="宋体" w:hAnsi="宋体" w:cs="宋体"/>
          <w:sz w:val="24"/>
          <w:szCs w:val="24"/>
          <w:u w:val="single"/>
        </w:rPr>
        <w:t>南通轨道资源开发有限公司</w:t>
      </w:r>
      <w:r>
        <w:rPr>
          <w:rFonts w:hint="eastAsia" w:ascii="宋体" w:hAnsi="宋体" w:cs="宋体"/>
          <w:sz w:val="24"/>
          <w:szCs w:val="24"/>
        </w:rPr>
        <w:t>（下称“甲方”）拟签订</w:t>
      </w:r>
      <w:r>
        <w:rPr>
          <w:rFonts w:hint="eastAsia" w:ascii="宋体" w:hAnsi="宋体" w:cs="宋体"/>
          <w:sz w:val="24"/>
          <w:szCs w:val="24"/>
          <w:u w:val="single"/>
          <w:lang w:eastAsia="zh-CN"/>
        </w:rPr>
        <w:t>南通轨道交通城市消防远程监控中心设施设备采购项目</w:t>
      </w:r>
      <w:r>
        <w:rPr>
          <w:rFonts w:hint="eastAsia" w:ascii="宋体" w:hAnsi="宋体" w:cs="宋体"/>
          <w:sz w:val="24"/>
          <w:szCs w:val="24"/>
        </w:rPr>
        <w:t>合同书，并保证按合同规定承担该合同的工作任务，我行愿意出具保函为乙方担保，担保金额为人民币（大写）</w:t>
      </w:r>
      <w:r>
        <w:rPr>
          <w:rFonts w:hint="eastAsia" w:ascii="宋体" w:hAnsi="宋体" w:cs="宋体"/>
          <w:sz w:val="24"/>
          <w:szCs w:val="24"/>
          <w:u w:val="single"/>
        </w:rPr>
        <w:t xml:space="preserve">     元</w:t>
      </w:r>
      <w:r>
        <w:rPr>
          <w:rFonts w:hint="eastAsia" w:ascii="宋体" w:hAnsi="宋体" w:cs="宋体"/>
          <w:sz w:val="24"/>
          <w:szCs w:val="24"/>
        </w:rPr>
        <w:t>（￥</w:t>
      </w:r>
      <w:r>
        <w:rPr>
          <w:rFonts w:hint="eastAsia" w:ascii="宋体" w:hAnsi="宋体" w:cs="宋体"/>
          <w:sz w:val="24"/>
          <w:szCs w:val="24"/>
          <w:u w:val="single" w:color="000000"/>
        </w:rPr>
        <w:t xml:space="preserve">     </w:t>
      </w:r>
      <w:r>
        <w:rPr>
          <w:rFonts w:hint="eastAsia" w:ascii="宋体" w:hAnsi="宋体" w:cs="宋体"/>
          <w:sz w:val="24"/>
          <w:szCs w:val="24"/>
        </w:rPr>
        <w:t>元）。</w:t>
      </w:r>
    </w:p>
    <w:p w14:paraId="151D2CF2">
      <w:pPr>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本保函的义务是：我行在接到甲方提出的因乙方在履行合同过程中未能履约或违背合同规定的责任和义务而要求索赔的书面通知的 15 天内,在上述担保金额的限额内向甲方支付任何数额的款项，无须甲方出具证明或陈述理由。</w:t>
      </w:r>
    </w:p>
    <w:p w14:paraId="1B52012E">
      <w:pPr>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在向我行提出要求前，我行将不坚持要求甲方应首先向乙方索要上述款项。我们还同意，任何对合同条款所作的修改或补充都不能免除或减轻我行按本保函所应承担的义务，但法律法规另有规定的除外。</w:t>
      </w:r>
    </w:p>
    <w:p w14:paraId="3403FD34">
      <w:pPr>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本保函保证方式为见索即付的连带责任保证，自我行签发之日即有效且不可撤销，直到本项目完工后失效；但无论如何,本保函有效期最晚应不迟于2028年12月31日失效。</w:t>
      </w:r>
    </w:p>
    <w:p w14:paraId="18159646">
      <w:pPr>
        <w:spacing w:line="440" w:lineRule="exact"/>
        <w:ind w:right="-260" w:rightChars="-124" w:firstLine="480" w:firstLineChars="200"/>
        <w:rPr>
          <w:rFonts w:hint="eastAsia" w:ascii="宋体" w:hAnsi="宋体" w:cs="宋体"/>
          <w:sz w:val="24"/>
          <w:szCs w:val="24"/>
        </w:rPr>
      </w:pPr>
    </w:p>
    <w:p w14:paraId="0F32C1DE">
      <w:pPr>
        <w:spacing w:line="440" w:lineRule="exact"/>
        <w:ind w:right="-260" w:rightChars="-124"/>
        <w:rPr>
          <w:rFonts w:hint="eastAsia" w:ascii="宋体" w:hAnsi="宋体" w:cs="宋体"/>
          <w:sz w:val="24"/>
          <w:szCs w:val="24"/>
        </w:rPr>
      </w:pPr>
    </w:p>
    <w:p w14:paraId="29440B3C">
      <w:pPr>
        <w:spacing w:line="440" w:lineRule="exact"/>
        <w:ind w:right="-260" w:rightChars="-124" w:firstLine="480" w:firstLineChars="200"/>
        <w:rPr>
          <w:rFonts w:hint="eastAsia" w:ascii="宋体" w:hAnsi="宋体" w:cs="宋体"/>
          <w:sz w:val="24"/>
          <w:szCs w:val="24"/>
          <w:u w:val="single"/>
        </w:rPr>
      </w:pPr>
      <w:r>
        <w:rPr>
          <w:rFonts w:hint="eastAsia" w:ascii="宋体" w:hAnsi="宋体" w:cs="宋体"/>
          <w:sz w:val="24"/>
          <w:szCs w:val="24"/>
        </w:rPr>
        <w:t>担保银行：</w:t>
      </w:r>
      <w:r>
        <w:rPr>
          <w:rFonts w:hint="eastAsia" w:ascii="宋体" w:hAnsi="宋体" w:cs="宋体"/>
          <w:sz w:val="24"/>
          <w:szCs w:val="24"/>
          <w:u w:val="single"/>
        </w:rPr>
        <w:t>（全称）         （盖章）</w:t>
      </w:r>
    </w:p>
    <w:p w14:paraId="326FCF5E">
      <w:pPr>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负责人或其授权的代理人：</w:t>
      </w:r>
    </w:p>
    <w:p w14:paraId="0673296F">
      <w:pPr>
        <w:spacing w:line="440" w:lineRule="exact"/>
        <w:ind w:right="-260" w:rightChars="-124" w:firstLine="480" w:firstLineChars="200"/>
        <w:rPr>
          <w:rFonts w:hint="eastAsia" w:ascii="宋体" w:hAnsi="宋体" w:cs="宋体"/>
          <w:sz w:val="24"/>
          <w:szCs w:val="24"/>
          <w:u w:val="single"/>
        </w:rPr>
      </w:pPr>
      <w:r>
        <w:rPr>
          <w:rFonts w:hint="eastAsia" w:ascii="宋体" w:hAnsi="宋体" w:cs="宋体"/>
          <w:sz w:val="24"/>
          <w:szCs w:val="24"/>
          <w:u w:val="single"/>
        </w:rPr>
        <w:t>（职务）  （姓名）        （签字）</w:t>
      </w:r>
    </w:p>
    <w:p w14:paraId="0B094A77">
      <w:pPr>
        <w:spacing w:line="440" w:lineRule="exact"/>
        <w:ind w:right="-260" w:rightChars="-124" w:firstLine="480" w:firstLineChars="200"/>
        <w:rPr>
          <w:rFonts w:hint="eastAsia" w:ascii="宋体" w:hAnsi="宋体" w:cs="宋体"/>
          <w:sz w:val="24"/>
          <w:szCs w:val="24"/>
          <w:u w:val="single"/>
        </w:rPr>
      </w:pPr>
      <w:r>
        <w:rPr>
          <w:rFonts w:hint="eastAsia" w:ascii="宋体" w:hAnsi="宋体" w:cs="宋体"/>
          <w:sz w:val="24"/>
          <w:szCs w:val="24"/>
        </w:rPr>
        <w:t>银行地址：</w:t>
      </w:r>
      <w:r>
        <w:rPr>
          <w:rFonts w:hint="eastAsia" w:ascii="宋体" w:hAnsi="宋体" w:cs="宋体"/>
          <w:sz w:val="24"/>
          <w:szCs w:val="24"/>
          <w:u w:val="single"/>
        </w:rPr>
        <w:t xml:space="preserve">                        </w:t>
      </w:r>
    </w:p>
    <w:p w14:paraId="7E7A611D">
      <w:pPr>
        <w:spacing w:line="440" w:lineRule="exact"/>
        <w:ind w:right="-260" w:rightChars="-124" w:firstLine="480" w:firstLineChars="200"/>
        <w:rPr>
          <w:rFonts w:hint="eastAsia" w:ascii="宋体" w:hAnsi="宋体" w:cs="宋体"/>
          <w:sz w:val="24"/>
          <w:szCs w:val="24"/>
          <w:u w:val="single"/>
        </w:rPr>
      </w:pPr>
      <w:r>
        <w:rPr>
          <w:rFonts w:hint="eastAsia" w:ascii="宋体" w:hAnsi="宋体" w:cs="宋体"/>
          <w:sz w:val="24"/>
          <w:szCs w:val="24"/>
        </w:rPr>
        <w:t>邮    编：</w:t>
      </w:r>
      <w:r>
        <w:rPr>
          <w:rFonts w:hint="eastAsia" w:ascii="宋体" w:hAnsi="宋体" w:cs="宋体"/>
          <w:sz w:val="24"/>
          <w:szCs w:val="24"/>
          <w:u w:val="single"/>
        </w:rPr>
        <w:t xml:space="preserve">                        </w:t>
      </w:r>
    </w:p>
    <w:p w14:paraId="37EC83FB">
      <w:pPr>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电    话：</w:t>
      </w:r>
      <w:r>
        <w:rPr>
          <w:rFonts w:hint="eastAsia" w:ascii="宋体" w:hAnsi="宋体" w:cs="宋体"/>
          <w:sz w:val="24"/>
          <w:szCs w:val="24"/>
          <w:u w:val="single"/>
        </w:rPr>
        <w:t xml:space="preserve">                        </w:t>
      </w:r>
    </w:p>
    <w:p w14:paraId="07900423">
      <w:pPr>
        <w:tabs>
          <w:tab w:val="left" w:pos="1080"/>
        </w:tabs>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传    真：</w:t>
      </w:r>
      <w:r>
        <w:rPr>
          <w:rFonts w:hint="eastAsia" w:ascii="宋体" w:hAnsi="宋体" w:cs="宋体"/>
          <w:sz w:val="24"/>
          <w:szCs w:val="24"/>
          <w:u w:val="single"/>
        </w:rPr>
        <w:t xml:space="preserve">                        </w:t>
      </w:r>
      <w:r>
        <w:rPr>
          <w:rFonts w:hint="eastAsia" w:ascii="宋体" w:hAnsi="宋体" w:cs="宋体"/>
          <w:sz w:val="24"/>
          <w:szCs w:val="24"/>
        </w:rPr>
        <w:t xml:space="preserve"> </w:t>
      </w:r>
    </w:p>
    <w:p w14:paraId="3AFB5EEC">
      <w:pPr>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8756404">
      <w:pPr>
        <w:spacing w:line="440" w:lineRule="exact"/>
        <w:ind w:right="-739" w:rightChars="-352"/>
        <w:rPr>
          <w:rFonts w:hint="eastAsia" w:ascii="宋体" w:hAnsi="宋体" w:cs="宋体"/>
          <w:szCs w:val="21"/>
        </w:rPr>
      </w:pPr>
    </w:p>
    <w:p w14:paraId="2A8AD6F4">
      <w:pPr>
        <w:autoSpaceDE w:val="0"/>
        <w:autoSpaceDN w:val="0"/>
        <w:spacing w:line="440" w:lineRule="exact"/>
        <w:ind w:right="-739" w:rightChars="-352"/>
        <w:textAlignment w:val="bottom"/>
        <w:rPr>
          <w:rFonts w:hint="eastAsia" w:ascii="宋体" w:hAnsi="宋体" w:cs="宋体"/>
          <w:b/>
          <w:szCs w:val="21"/>
        </w:rPr>
      </w:pPr>
    </w:p>
    <w:p w14:paraId="2B651EE4">
      <w:pPr>
        <w:autoSpaceDE w:val="0"/>
        <w:autoSpaceDN w:val="0"/>
        <w:spacing w:line="440" w:lineRule="exact"/>
        <w:ind w:right="-739" w:rightChars="-352"/>
        <w:jc w:val="center"/>
        <w:textAlignment w:val="bottom"/>
        <w:rPr>
          <w:rFonts w:hint="eastAsia" w:ascii="宋体" w:hAnsi="宋体" w:cs="宋体"/>
          <w:b/>
          <w:szCs w:val="21"/>
        </w:rPr>
      </w:pPr>
    </w:p>
    <w:p w14:paraId="615ED8E8">
      <w:pPr>
        <w:spacing w:line="440" w:lineRule="exact"/>
        <w:ind w:right="-260" w:rightChars="-124"/>
        <w:outlineLvl w:val="2"/>
        <w:rPr>
          <w:rFonts w:hint="eastAsia" w:ascii="宋体" w:hAnsi="宋体" w:cs="宋体"/>
          <w:bCs/>
          <w:sz w:val="24"/>
          <w:szCs w:val="24"/>
        </w:rPr>
      </w:pPr>
      <w:bookmarkStart w:id="125" w:name="_Toc28441"/>
      <w:bookmarkStart w:id="126" w:name="_Toc14042"/>
      <w:r>
        <w:rPr>
          <w:rFonts w:hint="eastAsia" w:ascii="宋体" w:hAnsi="宋体" w:cs="宋体"/>
          <w:bCs/>
          <w:szCs w:val="21"/>
        </w:rPr>
        <w:br w:type="page"/>
      </w:r>
      <w:bookmarkStart w:id="127" w:name="_Toc30154"/>
      <w:r>
        <w:rPr>
          <w:rFonts w:hint="eastAsia" w:ascii="宋体" w:hAnsi="宋体" w:cs="宋体"/>
          <w:bCs/>
          <w:sz w:val="24"/>
          <w:szCs w:val="24"/>
        </w:rPr>
        <w:t>附件2：</w:t>
      </w:r>
      <w:bookmarkStart w:id="128" w:name="_Toc17910"/>
      <w:bookmarkStart w:id="129" w:name="_Toc69891507"/>
      <w:bookmarkStart w:id="130" w:name="_Toc69909997"/>
      <w:r>
        <w:rPr>
          <w:rFonts w:hint="eastAsia" w:ascii="宋体" w:hAnsi="宋体" w:cs="宋体"/>
          <w:bCs/>
          <w:sz w:val="24"/>
          <w:szCs w:val="24"/>
        </w:rPr>
        <w:t>廉政合同</w:t>
      </w:r>
      <w:bookmarkEnd w:id="125"/>
      <w:bookmarkEnd w:id="126"/>
      <w:bookmarkEnd w:id="127"/>
      <w:bookmarkEnd w:id="128"/>
      <w:bookmarkEnd w:id="129"/>
      <w:bookmarkEnd w:id="130"/>
    </w:p>
    <w:p w14:paraId="0EB43272">
      <w:pPr>
        <w:spacing w:line="440" w:lineRule="exact"/>
        <w:ind w:right="-260" w:rightChars="-124"/>
        <w:jc w:val="center"/>
        <w:rPr>
          <w:rFonts w:hint="eastAsia" w:ascii="宋体" w:hAnsi="宋体" w:cs="宋体"/>
          <w:b/>
          <w:sz w:val="28"/>
          <w:szCs w:val="28"/>
        </w:rPr>
      </w:pPr>
      <w:r>
        <w:rPr>
          <w:rFonts w:hint="eastAsia" w:ascii="宋体" w:hAnsi="宋体" w:cs="宋体"/>
          <w:b/>
          <w:sz w:val="28"/>
          <w:szCs w:val="28"/>
        </w:rPr>
        <w:t>廉政合同</w:t>
      </w:r>
    </w:p>
    <w:p w14:paraId="3200040D">
      <w:pPr>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根据国家法律、法规以及有关工程建设、廉政建设的规定，为做好工程建设中的党风廉政建设，保证工程建设高效优质，保证建设资金的安全和有效使用以及投资效益，</w:t>
      </w:r>
      <w:r>
        <w:rPr>
          <w:rFonts w:hint="eastAsia" w:ascii="宋体" w:hAnsi="宋体" w:cs="宋体"/>
          <w:kern w:val="58"/>
          <w:sz w:val="24"/>
          <w:szCs w:val="24"/>
          <w:u w:val="single"/>
          <w:lang w:eastAsia="zh-CN"/>
        </w:rPr>
        <w:t>南通轨道交通城市消防远程监控中心设施设备采购项目</w:t>
      </w:r>
      <w:r>
        <w:rPr>
          <w:rFonts w:hint="eastAsia" w:ascii="宋体" w:hAnsi="宋体" w:cs="宋体"/>
          <w:sz w:val="24"/>
          <w:szCs w:val="24"/>
        </w:rPr>
        <w:t>的项目法人</w:t>
      </w:r>
      <w:r>
        <w:rPr>
          <w:rFonts w:hint="eastAsia" w:ascii="宋体" w:hAnsi="宋体" w:cs="宋体"/>
          <w:bCs/>
          <w:sz w:val="24"/>
          <w:szCs w:val="24"/>
          <w:u w:val="single" w:color="000000"/>
        </w:rPr>
        <w:t>南通轨道资源开发有限公司</w:t>
      </w:r>
      <w:r>
        <w:rPr>
          <w:rFonts w:hint="eastAsia" w:ascii="宋体" w:hAnsi="宋体" w:cs="宋体"/>
          <w:sz w:val="24"/>
          <w:szCs w:val="24"/>
          <w:u w:val="single"/>
        </w:rPr>
        <w:t>(以下称甲方)</w:t>
      </w:r>
      <w:r>
        <w:rPr>
          <w:rFonts w:hint="eastAsia" w:ascii="宋体" w:hAnsi="宋体" w:cs="宋体"/>
          <w:sz w:val="24"/>
          <w:szCs w:val="24"/>
        </w:rPr>
        <w:t>与</w:t>
      </w:r>
      <w:r>
        <w:rPr>
          <w:rFonts w:hint="eastAsia" w:ascii="宋体" w:hAnsi="宋体" w:cs="宋体"/>
          <w:bCs/>
          <w:sz w:val="24"/>
          <w:szCs w:val="24"/>
          <w:u w:val="single"/>
        </w:rPr>
        <w:t xml:space="preserve">            </w:t>
      </w:r>
      <w:r>
        <w:rPr>
          <w:rFonts w:hint="eastAsia" w:ascii="宋体" w:hAnsi="宋体" w:cs="宋体"/>
          <w:sz w:val="24"/>
          <w:szCs w:val="24"/>
          <w:u w:val="single"/>
        </w:rPr>
        <w:t>（以下称乙方）</w:t>
      </w:r>
      <w:r>
        <w:rPr>
          <w:rFonts w:hint="eastAsia" w:ascii="宋体" w:hAnsi="宋体" w:cs="宋体"/>
          <w:sz w:val="24"/>
          <w:szCs w:val="24"/>
        </w:rPr>
        <w:t>，特订立如下合同。</w:t>
      </w:r>
    </w:p>
    <w:p w14:paraId="45A828E2">
      <w:pPr>
        <w:spacing w:line="440" w:lineRule="exact"/>
        <w:ind w:right="-260" w:rightChars="-124" w:firstLine="482" w:firstLineChars="200"/>
        <w:rPr>
          <w:rFonts w:hint="eastAsia" w:ascii="宋体" w:hAnsi="宋体" w:cs="宋体"/>
          <w:b/>
          <w:sz w:val="24"/>
          <w:szCs w:val="24"/>
        </w:rPr>
      </w:pPr>
      <w:bookmarkStart w:id="131" w:name="_Toc59900969"/>
      <w:bookmarkStart w:id="132" w:name="_Toc59896701"/>
      <w:r>
        <w:rPr>
          <w:rFonts w:hint="eastAsia" w:ascii="宋体" w:hAnsi="宋体" w:cs="宋体"/>
          <w:b/>
          <w:sz w:val="24"/>
          <w:szCs w:val="24"/>
        </w:rPr>
        <w:t>第一条 甲乙双方的权利和义务</w:t>
      </w:r>
      <w:bookmarkEnd w:id="131"/>
      <w:bookmarkEnd w:id="132"/>
    </w:p>
    <w:p w14:paraId="5F354EDA">
      <w:pPr>
        <w:tabs>
          <w:tab w:val="left" w:pos="2115"/>
        </w:tabs>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（一）严格遵守党和国家有关法律法规及江苏省、南通市的有关规定，遵守南通轨道资源开发有限公司六不准则。</w:t>
      </w:r>
    </w:p>
    <w:p w14:paraId="1B1ED87D">
      <w:pPr>
        <w:tabs>
          <w:tab w:val="left" w:pos="2115"/>
        </w:tabs>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（二）严格执行</w:t>
      </w:r>
      <w:r>
        <w:rPr>
          <w:rFonts w:hint="eastAsia" w:ascii="宋体" w:hAnsi="宋体" w:cs="宋体"/>
          <w:kern w:val="58"/>
          <w:sz w:val="24"/>
          <w:szCs w:val="24"/>
          <w:u w:val="single"/>
          <w:lang w:eastAsia="zh-CN"/>
        </w:rPr>
        <w:t>南通轨道交通城市消防远程监控中心设施设备采购项目</w:t>
      </w:r>
      <w:r>
        <w:rPr>
          <w:rFonts w:hint="eastAsia" w:ascii="宋体" w:hAnsi="宋体" w:cs="宋体"/>
          <w:sz w:val="24"/>
          <w:szCs w:val="24"/>
        </w:rPr>
        <w:t>的合同文件，自觉按合同办事。</w:t>
      </w:r>
    </w:p>
    <w:p w14:paraId="0963FE58">
      <w:pPr>
        <w:tabs>
          <w:tab w:val="left" w:pos="2115"/>
        </w:tabs>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（三）双方的业务活动坚持公开、公正、诚信、透明的原则（除法律认定的商业秘密和合同文件另有规定之外），不得损害国家和集体利益，违反工程建设规章制度。</w:t>
      </w:r>
    </w:p>
    <w:p w14:paraId="5C211BA8">
      <w:pPr>
        <w:tabs>
          <w:tab w:val="left" w:pos="2115"/>
        </w:tabs>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（四）建立健全廉政制度，开展廉政教育，设立廉政告示牌，公布举报电话，监督并认真查处违法违纪行为。</w:t>
      </w:r>
    </w:p>
    <w:p w14:paraId="7D2EE3E1">
      <w:pPr>
        <w:tabs>
          <w:tab w:val="left" w:pos="2115"/>
        </w:tabs>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（五）发现对方在业务活动中有违反廉政规定的行为，有及时提醒对方纠正的权利和义务。</w:t>
      </w:r>
    </w:p>
    <w:p w14:paraId="0AE92581">
      <w:pPr>
        <w:tabs>
          <w:tab w:val="left" w:pos="2115"/>
        </w:tabs>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（六）发现对方严重违反本合同义务条款的行为，有向其上级有关部门举报、建议给予处理并要求告知处理结果的权利。</w:t>
      </w:r>
    </w:p>
    <w:p w14:paraId="2D507598">
      <w:pPr>
        <w:spacing w:line="440" w:lineRule="exact"/>
        <w:ind w:right="-260" w:rightChars="-124" w:firstLine="482" w:firstLineChars="200"/>
        <w:rPr>
          <w:rFonts w:hint="eastAsia" w:ascii="宋体" w:hAnsi="宋体" w:cs="宋体"/>
          <w:b/>
          <w:sz w:val="24"/>
          <w:szCs w:val="24"/>
        </w:rPr>
      </w:pPr>
      <w:bookmarkStart w:id="133" w:name="_Toc59896702"/>
      <w:bookmarkStart w:id="134" w:name="_Toc59900970"/>
      <w:r>
        <w:rPr>
          <w:rFonts w:hint="eastAsia" w:ascii="宋体" w:hAnsi="宋体" w:cs="宋体"/>
          <w:b/>
          <w:sz w:val="24"/>
          <w:szCs w:val="24"/>
        </w:rPr>
        <w:t>第二条 甲方的义务</w:t>
      </w:r>
      <w:bookmarkEnd w:id="133"/>
      <w:bookmarkEnd w:id="134"/>
    </w:p>
    <w:p w14:paraId="02BC16BF">
      <w:pPr>
        <w:tabs>
          <w:tab w:val="left" w:pos="0"/>
          <w:tab w:val="left" w:pos="2115"/>
        </w:tabs>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（一）甲方及其工作人员不得索要或接受乙方的礼金、有价证券和贵重物品，不得在乙方报销任何应由甲方或个人支付的费用等。</w:t>
      </w:r>
    </w:p>
    <w:p w14:paraId="04C15EA7">
      <w:pPr>
        <w:tabs>
          <w:tab w:val="left" w:pos="0"/>
          <w:tab w:val="left" w:pos="2115"/>
        </w:tabs>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（二）甲方工作人员不得参加乙方安排的超标准宴请和娱乐活动；不得接受乙方提供的通讯工具、交通工具和高档办公用品等。</w:t>
      </w:r>
    </w:p>
    <w:p w14:paraId="0958E82B">
      <w:pPr>
        <w:tabs>
          <w:tab w:val="left" w:pos="0"/>
          <w:tab w:val="left" w:pos="2115"/>
        </w:tabs>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（三）甲方及其工作人员不得要求或者接受乙方为其住房装修、婚丧嫁娶活动、配偶子女的工作安排以及出国出境、旅游等提供方便等。</w:t>
      </w:r>
    </w:p>
    <w:p w14:paraId="32CF6645">
      <w:pPr>
        <w:spacing w:line="440" w:lineRule="exact"/>
        <w:ind w:right="-260" w:rightChars="-124" w:firstLine="482" w:firstLineChars="200"/>
        <w:rPr>
          <w:rFonts w:hint="eastAsia" w:ascii="宋体" w:hAnsi="宋体" w:cs="宋体"/>
          <w:b/>
          <w:sz w:val="24"/>
          <w:szCs w:val="24"/>
        </w:rPr>
      </w:pPr>
      <w:bookmarkStart w:id="135" w:name="_Toc59896703"/>
      <w:bookmarkStart w:id="136" w:name="_Toc59900971"/>
      <w:r>
        <w:rPr>
          <w:rFonts w:hint="eastAsia" w:ascii="宋体" w:hAnsi="宋体" w:cs="宋体"/>
          <w:b/>
          <w:sz w:val="24"/>
          <w:szCs w:val="24"/>
        </w:rPr>
        <w:t>第三条 乙方义务</w:t>
      </w:r>
      <w:bookmarkEnd w:id="135"/>
      <w:bookmarkEnd w:id="136"/>
    </w:p>
    <w:p w14:paraId="5993398A">
      <w:pPr>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（一）乙方不得以任何理由向甲方及其工作人员行贿或馈赠礼金、有价证券、贵重礼品。</w:t>
      </w:r>
    </w:p>
    <w:p w14:paraId="0013393B">
      <w:pPr>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（二）乙方不得以任何名义为甲方及其工作人员报销应由甲方单位或个人支付的任何费用。</w:t>
      </w:r>
    </w:p>
    <w:p w14:paraId="7C873497">
      <w:pPr>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（三）乙方不得以任何理由安排甲方工作人员参加超标准宴请及娱乐活动。</w:t>
      </w:r>
    </w:p>
    <w:p w14:paraId="69F992D8">
      <w:pPr>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（四）乙方不得为甲方单位和个人购置或提供通讯工具、交通工具和高档办公用品等。</w:t>
      </w:r>
    </w:p>
    <w:p w14:paraId="2683580A">
      <w:pPr>
        <w:spacing w:line="440" w:lineRule="exact"/>
        <w:ind w:right="-260" w:rightChars="-124" w:firstLine="482" w:firstLineChars="200"/>
        <w:rPr>
          <w:rFonts w:hint="eastAsia" w:ascii="宋体" w:hAnsi="宋体" w:cs="宋体"/>
          <w:b/>
          <w:sz w:val="24"/>
          <w:szCs w:val="24"/>
        </w:rPr>
      </w:pPr>
      <w:r>
        <w:rPr>
          <w:rFonts w:hint="eastAsia" w:ascii="宋体" w:hAnsi="宋体" w:cs="宋体"/>
          <w:b/>
          <w:sz w:val="24"/>
          <w:szCs w:val="24"/>
        </w:rPr>
        <w:t>第四条 违约责任</w:t>
      </w:r>
    </w:p>
    <w:p w14:paraId="17D53CDF">
      <w:pPr>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（一）甲方及其工作人员违反本合同第一、二条，按管理权限，依据有关规定给予党纪、政纪或组织处理，调离其工作岗位；涉嫌犯罪的，移交司法机关追究刑事责任；给乙方单位造成经济损失的，应予以赔偿。</w:t>
      </w:r>
    </w:p>
    <w:p w14:paraId="6A8CE431">
      <w:pPr>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14:paraId="3A1B19F2">
      <w:pPr>
        <w:spacing w:line="440" w:lineRule="exact"/>
        <w:ind w:right="-260" w:rightChars="-124" w:firstLine="482" w:firstLineChars="200"/>
        <w:rPr>
          <w:rFonts w:hint="eastAsia" w:ascii="宋体" w:hAnsi="宋体" w:cs="宋体"/>
          <w:sz w:val="24"/>
          <w:szCs w:val="24"/>
        </w:rPr>
      </w:pPr>
      <w:r>
        <w:rPr>
          <w:rFonts w:hint="eastAsia" w:ascii="宋体" w:hAnsi="宋体" w:cs="宋体"/>
          <w:b/>
          <w:sz w:val="24"/>
          <w:szCs w:val="24"/>
        </w:rPr>
        <w:t>第五条</w:t>
      </w:r>
      <w:r>
        <w:rPr>
          <w:rFonts w:hint="eastAsia" w:ascii="宋体" w:hAnsi="宋体" w:cs="宋体"/>
          <w:sz w:val="24"/>
          <w:szCs w:val="24"/>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3CBF3334">
      <w:pPr>
        <w:spacing w:line="440" w:lineRule="exact"/>
        <w:ind w:right="-260" w:rightChars="-124" w:firstLine="482" w:firstLineChars="200"/>
        <w:rPr>
          <w:rFonts w:hint="eastAsia" w:ascii="宋体" w:hAnsi="宋体" w:cs="宋体"/>
          <w:sz w:val="24"/>
          <w:szCs w:val="24"/>
        </w:rPr>
      </w:pPr>
      <w:r>
        <w:rPr>
          <w:rFonts w:hint="eastAsia" w:ascii="宋体" w:hAnsi="宋体" w:cs="宋体"/>
          <w:b/>
          <w:sz w:val="24"/>
          <w:szCs w:val="24"/>
        </w:rPr>
        <w:t>第六条</w:t>
      </w:r>
      <w:r>
        <w:rPr>
          <w:rFonts w:hint="eastAsia" w:ascii="宋体" w:hAnsi="宋体" w:cs="宋体"/>
          <w:sz w:val="24"/>
          <w:szCs w:val="24"/>
        </w:rPr>
        <w:t xml:space="preserve"> 本合同有效期为甲乙双方签署之日起至该项目服务期结束止。</w:t>
      </w:r>
    </w:p>
    <w:p w14:paraId="0E1C2703">
      <w:pPr>
        <w:spacing w:line="440" w:lineRule="exact"/>
        <w:ind w:right="-260" w:rightChars="-124" w:firstLine="482" w:firstLineChars="200"/>
        <w:rPr>
          <w:rFonts w:hint="eastAsia" w:ascii="宋体" w:hAnsi="宋体" w:cs="宋体"/>
          <w:sz w:val="24"/>
          <w:szCs w:val="24"/>
        </w:rPr>
      </w:pPr>
      <w:r>
        <w:rPr>
          <w:rFonts w:hint="eastAsia" w:ascii="宋体" w:hAnsi="宋体" w:cs="宋体"/>
          <w:b/>
          <w:sz w:val="24"/>
          <w:szCs w:val="24"/>
        </w:rPr>
        <w:t>第七条</w:t>
      </w:r>
      <w:r>
        <w:rPr>
          <w:rFonts w:hint="eastAsia" w:ascii="宋体" w:hAnsi="宋体" w:cs="宋体"/>
          <w:sz w:val="24"/>
          <w:szCs w:val="24"/>
        </w:rPr>
        <w:t xml:space="preserve"> 本合同作为</w:t>
      </w:r>
      <w:r>
        <w:rPr>
          <w:rFonts w:hint="eastAsia" w:ascii="宋体" w:hAnsi="宋体" w:cs="宋体"/>
          <w:kern w:val="58"/>
          <w:sz w:val="24"/>
          <w:szCs w:val="24"/>
          <w:u w:val="single"/>
          <w:lang w:eastAsia="zh-CN"/>
        </w:rPr>
        <w:t>南通轨道交通城市消防远程监控中心设施设备采购项目</w:t>
      </w:r>
      <w:r>
        <w:rPr>
          <w:rFonts w:hint="eastAsia" w:ascii="宋体" w:hAnsi="宋体" w:cs="宋体"/>
          <w:sz w:val="24"/>
          <w:szCs w:val="24"/>
        </w:rPr>
        <w:t>合同的附件，与主合同具有同等法律效力。经合同双方签署立即生效。</w:t>
      </w:r>
    </w:p>
    <w:p w14:paraId="69115EC0">
      <w:pPr>
        <w:spacing w:line="440" w:lineRule="exact"/>
        <w:ind w:right="-260" w:rightChars="-124" w:firstLine="480" w:firstLineChars="200"/>
        <w:rPr>
          <w:rFonts w:hint="eastAsia" w:ascii="宋体" w:hAnsi="宋体" w:cs="宋体"/>
          <w:sz w:val="24"/>
          <w:szCs w:val="24"/>
        </w:rPr>
      </w:pPr>
    </w:p>
    <w:p w14:paraId="5A6CE296">
      <w:pPr>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甲方：（盖章）                         乙方：（盖章）</w:t>
      </w:r>
    </w:p>
    <w:p w14:paraId="1E3D717B">
      <w:pPr>
        <w:spacing w:line="440" w:lineRule="exact"/>
        <w:ind w:right="-260" w:rightChars="-124" w:firstLine="480" w:firstLineChars="200"/>
        <w:rPr>
          <w:rFonts w:hint="eastAsia" w:ascii="宋体" w:hAnsi="宋体" w:cs="宋体"/>
          <w:sz w:val="24"/>
          <w:szCs w:val="24"/>
        </w:rPr>
      </w:pPr>
    </w:p>
    <w:p w14:paraId="36373F1F">
      <w:pPr>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法定代表人                             法定代表人</w:t>
      </w:r>
    </w:p>
    <w:p w14:paraId="007D4E06">
      <w:pPr>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或其授权代理人：                       或其授权代理人：</w:t>
      </w:r>
    </w:p>
    <w:p w14:paraId="6226F3C6">
      <w:pPr>
        <w:spacing w:line="440" w:lineRule="exact"/>
        <w:ind w:right="-739" w:rightChars="-352" w:firstLine="420" w:firstLineChars="200"/>
        <w:rPr>
          <w:rFonts w:hint="eastAsia" w:ascii="宋体" w:hAnsi="宋体" w:cs="宋体"/>
          <w:szCs w:val="21"/>
        </w:rPr>
      </w:pPr>
    </w:p>
    <w:p w14:paraId="0B62EA98">
      <w:pPr>
        <w:spacing w:line="440" w:lineRule="exact"/>
        <w:ind w:right="-739" w:rightChars="-352" w:firstLine="420" w:firstLineChars="200"/>
        <w:rPr>
          <w:rFonts w:hint="eastAsia" w:ascii="宋体" w:hAnsi="宋体" w:cs="宋体"/>
          <w:szCs w:val="21"/>
        </w:rPr>
      </w:pPr>
    </w:p>
    <w:p w14:paraId="6CCE8B3A">
      <w:pPr>
        <w:ind w:right="-739" w:rightChars="-352"/>
        <w:rPr>
          <w:rFonts w:hint="eastAsia" w:ascii="宋体" w:hAnsi="宋体" w:cs="宋体"/>
          <w:szCs w:val="21"/>
        </w:rPr>
      </w:pPr>
      <w:bookmarkStart w:id="137" w:name="_Toc69891508"/>
      <w:bookmarkStart w:id="138" w:name="_Toc69909998"/>
      <w:bookmarkStart w:id="139" w:name="_Toc3468"/>
      <w:bookmarkStart w:id="140" w:name="_Toc14898"/>
    </w:p>
    <w:p w14:paraId="4AC0313F">
      <w:pPr>
        <w:ind w:right="-739" w:rightChars="-352"/>
        <w:rPr>
          <w:rFonts w:hint="eastAsia" w:ascii="宋体" w:hAnsi="宋体" w:cs="宋体"/>
          <w:szCs w:val="21"/>
        </w:rPr>
      </w:pPr>
    </w:p>
    <w:p w14:paraId="4A2E1D6C">
      <w:pPr>
        <w:ind w:right="-739" w:rightChars="-352"/>
        <w:rPr>
          <w:rFonts w:hint="eastAsia" w:ascii="宋体" w:hAnsi="宋体" w:cs="宋体"/>
          <w:szCs w:val="21"/>
        </w:rPr>
      </w:pPr>
    </w:p>
    <w:p w14:paraId="662B8269">
      <w:pPr>
        <w:ind w:right="-739" w:rightChars="-352"/>
        <w:rPr>
          <w:rFonts w:hint="eastAsia" w:ascii="宋体" w:hAnsi="宋体" w:cs="宋体"/>
          <w:szCs w:val="21"/>
        </w:rPr>
      </w:pPr>
    </w:p>
    <w:p w14:paraId="2E36EF9B">
      <w:pPr>
        <w:ind w:right="-739" w:rightChars="-352"/>
        <w:rPr>
          <w:rFonts w:hint="eastAsia" w:ascii="宋体" w:hAnsi="宋体" w:cs="宋体"/>
          <w:szCs w:val="21"/>
        </w:rPr>
      </w:pPr>
    </w:p>
    <w:bookmarkEnd w:id="137"/>
    <w:bookmarkEnd w:id="138"/>
    <w:bookmarkEnd w:id="139"/>
    <w:bookmarkEnd w:id="140"/>
    <w:p w14:paraId="0C92D1A6">
      <w:pPr>
        <w:pStyle w:val="8"/>
        <w:rPr>
          <w:rFonts w:hint="eastAsia" w:ascii="方正仿宋_GBK" w:hAnsi="方正仿宋_GBK" w:eastAsia="方正仿宋_GBK" w:cs="方正仿宋_GBK"/>
          <w:sz w:val="32"/>
          <w:szCs w:val="32"/>
        </w:rPr>
      </w:pPr>
      <w:bookmarkStart w:id="141" w:name="_Toc11596"/>
      <w:bookmarkStart w:id="142" w:name="_Toc5516"/>
      <w:r>
        <w:rPr>
          <w:rFonts w:hint="eastAsia" w:ascii="宋体" w:hAnsi="宋体" w:cs="宋体"/>
          <w:bCs/>
          <w:szCs w:val="21"/>
        </w:rPr>
        <w:br w:type="page"/>
      </w:r>
      <w:bookmarkEnd w:id="141"/>
      <w:bookmarkEnd w:id="142"/>
    </w:p>
    <w:p w14:paraId="275B710D">
      <w:pPr>
        <w:spacing w:line="440" w:lineRule="exact"/>
        <w:ind w:right="-739" w:rightChars="-352"/>
        <w:outlineLvl w:val="2"/>
        <w:rPr>
          <w:rFonts w:hint="eastAsia" w:ascii="宋体" w:hAnsi="宋体" w:cs="宋体"/>
          <w:bCs/>
          <w:sz w:val="24"/>
          <w:szCs w:val="24"/>
        </w:rPr>
      </w:pPr>
      <w:r>
        <w:rPr>
          <w:rFonts w:hint="eastAsia" w:ascii="宋体" w:hAnsi="宋体" w:cs="宋体"/>
          <w:bCs/>
          <w:sz w:val="24"/>
          <w:szCs w:val="24"/>
        </w:rPr>
        <w:t>附件</w:t>
      </w:r>
      <w:r>
        <w:rPr>
          <w:rFonts w:hint="eastAsia" w:ascii="宋体" w:hAnsi="宋体" w:cs="宋体"/>
          <w:bCs/>
          <w:sz w:val="24"/>
          <w:szCs w:val="24"/>
          <w:lang w:val="en-US" w:eastAsia="zh-CN"/>
        </w:rPr>
        <w:t>3</w:t>
      </w:r>
      <w:r>
        <w:rPr>
          <w:rFonts w:hint="eastAsia" w:ascii="宋体" w:hAnsi="宋体" w:cs="宋体"/>
          <w:bCs/>
          <w:sz w:val="24"/>
          <w:szCs w:val="24"/>
        </w:rPr>
        <w:t>：南通轨道资源开发有限公司外单位作业安全、消防、治安管理协议</w:t>
      </w:r>
    </w:p>
    <w:p w14:paraId="5326CE9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南通轨道资源开发有限公司外单位作业安全、消防、治安管理协议</w:t>
      </w:r>
    </w:p>
    <w:p w14:paraId="64BDF400">
      <w:pPr>
        <w:pageBreakBefore w:val="0"/>
        <w:widowControl w:val="0"/>
        <w:tabs>
          <w:tab w:val="left" w:pos="567"/>
        </w:tabs>
        <w:kinsoku/>
        <w:wordWrap/>
        <w:topLinePunct w:val="0"/>
        <w:bidi w:val="0"/>
        <w:adjustRightInd/>
        <w:snapToGrid/>
        <w:spacing w:line="440" w:lineRule="exact"/>
        <w:ind w:left="-420" w:leftChars="-200" w:right="-739" w:rightChars="-352" w:firstLine="420" w:firstLineChars="200"/>
        <w:jc w:val="both"/>
        <w:textAlignment w:val="auto"/>
        <w:rPr>
          <w:rFonts w:hint="eastAsia" w:ascii="宋体" w:hAnsi="宋体" w:eastAsia="宋体" w:cs="宋体"/>
          <w:sz w:val="21"/>
          <w:szCs w:val="21"/>
          <w:highlight w:val="none"/>
        </w:rPr>
      </w:pPr>
    </w:p>
    <w:p w14:paraId="6BB69832">
      <w:pPr>
        <w:tabs>
          <w:tab w:val="left" w:pos="2115"/>
        </w:tabs>
        <w:spacing w:line="440" w:lineRule="exact"/>
        <w:ind w:right="-260" w:rightChars="-124"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甲方：</w:t>
      </w:r>
      <w:r>
        <w:rPr>
          <w:rFonts w:hint="eastAsia" w:ascii="宋体" w:hAnsi="宋体" w:eastAsia="宋体" w:cs="宋体"/>
          <w:sz w:val="24"/>
          <w:szCs w:val="24"/>
          <w:u w:val="single"/>
          <w:lang w:eastAsia="zh-CN"/>
        </w:rPr>
        <w:t>南通轨道资源开发有限公司</w:t>
      </w:r>
    </w:p>
    <w:p w14:paraId="2B3DA373">
      <w:pPr>
        <w:tabs>
          <w:tab w:val="left" w:pos="2115"/>
        </w:tabs>
        <w:spacing w:line="440" w:lineRule="exact"/>
        <w:ind w:right="-260" w:rightChars="-124"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乙方：</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 xml:space="preserve">            </w:t>
      </w:r>
    </w:p>
    <w:p w14:paraId="14E09CB2">
      <w:pPr>
        <w:bidi w:val="0"/>
        <w:ind w:right="-260" w:rightChars="-124"/>
        <w:rPr>
          <w:rFonts w:hint="eastAsia"/>
          <w:sz w:val="24"/>
          <w:szCs w:val="32"/>
          <w:lang w:eastAsia="zh-CN"/>
        </w:rPr>
      </w:pPr>
    </w:p>
    <w:p w14:paraId="0C1832B4">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为了进一步贯彻落实"安全第一、预防为主"的安全工作方针，严格执行国家和地方有关安全生产、劳动保护的法律法规和南通轨道资源开发有限公司各项安全生产管理制度，强化安全生产管理，落实安全生产责任制，规范作业安全管理，保障地铁安全生产，创造安全的经营环境，经双方协商一致，特签订本协议。</w:t>
      </w:r>
    </w:p>
    <w:p w14:paraId="2703FF4F">
      <w:pPr>
        <w:spacing w:line="440" w:lineRule="exact"/>
        <w:ind w:right="-260" w:rightChars="-124"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一、</w:t>
      </w:r>
      <w:r>
        <w:rPr>
          <w:rFonts w:hint="eastAsia" w:ascii="宋体" w:hAnsi="宋体" w:eastAsia="宋体" w:cs="宋体"/>
          <w:b/>
          <w:sz w:val="24"/>
          <w:szCs w:val="24"/>
          <w:lang w:eastAsia="zh-CN"/>
        </w:rPr>
        <w:t>项目概况：</w:t>
      </w:r>
    </w:p>
    <w:p w14:paraId="1944C04E">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项目名称：【南通轨道交通城市消防远程监控中心设施设备采购项目】</w:t>
      </w:r>
    </w:p>
    <w:p w14:paraId="14C8C4CE">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项目负责人：</w:t>
      </w:r>
      <w:r>
        <w:rPr>
          <w:rFonts w:hint="eastAsia" w:ascii="宋体" w:hAnsi="宋体" w:eastAsia="宋体" w:cs="宋体"/>
          <w:sz w:val="24"/>
          <w:szCs w:val="24"/>
          <w:u w:val="single"/>
          <w:lang w:val="en-US" w:eastAsia="zh-CN"/>
        </w:rPr>
        <w:t xml:space="preserve">       </w:t>
      </w:r>
    </w:p>
    <w:p w14:paraId="227503CC">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项目地点：【甲方指定地点，包括但不限于监控中心及各设备安装站点】</w:t>
      </w:r>
    </w:p>
    <w:p w14:paraId="449DC0A7">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作业内容：【</w:t>
      </w:r>
      <w:r>
        <w:rPr>
          <w:rFonts w:hint="eastAsia" w:ascii="宋体" w:hAnsi="宋体" w:eastAsia="宋体" w:cs="宋体"/>
          <w:sz w:val="24"/>
          <w:szCs w:val="24"/>
          <w:lang w:val="en-US" w:eastAsia="zh-CN"/>
        </w:rPr>
        <w:t>远程监控中心建设所需的全部硬件设备、网络及配套设施（含室内装修），同时承担从设计、施工、调试、验收的全部建设与管理工作</w:t>
      </w:r>
      <w:r>
        <w:rPr>
          <w:rFonts w:hint="eastAsia" w:ascii="宋体" w:hAnsi="宋体" w:eastAsia="宋体" w:cs="宋体"/>
          <w:sz w:val="24"/>
          <w:szCs w:val="24"/>
          <w:lang w:eastAsia="zh-CN"/>
        </w:rPr>
        <w:t>】</w:t>
      </w:r>
    </w:p>
    <w:p w14:paraId="6700686D">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作业范围：【详见本项目招标文件及合同所述全部工作内容】</w:t>
      </w:r>
    </w:p>
    <w:p w14:paraId="4EE7649A">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作业期限：【</w:t>
      </w:r>
      <w:r>
        <w:rPr>
          <w:rFonts w:hint="eastAsia" w:ascii="宋体" w:hAnsi="宋体" w:eastAsia="宋体" w:cs="宋体"/>
          <w:sz w:val="24"/>
          <w:szCs w:val="24"/>
          <w:lang w:val="en-US" w:eastAsia="zh-CN"/>
        </w:rPr>
        <w:t>自合同签订之日起2年</w:t>
      </w:r>
      <w:r>
        <w:rPr>
          <w:rFonts w:hint="eastAsia" w:ascii="宋体" w:hAnsi="宋体" w:eastAsia="宋体" w:cs="宋体"/>
          <w:sz w:val="24"/>
          <w:szCs w:val="24"/>
          <w:lang w:eastAsia="zh-CN"/>
        </w:rPr>
        <w:t>，具体以合同约定为准】</w:t>
      </w:r>
    </w:p>
    <w:p w14:paraId="6AD4D434">
      <w:pPr>
        <w:spacing w:line="440" w:lineRule="exact"/>
        <w:ind w:right="-260" w:rightChars="-124"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二、</w:t>
      </w:r>
      <w:r>
        <w:rPr>
          <w:rFonts w:hint="eastAsia" w:ascii="宋体" w:hAnsi="宋体" w:eastAsia="宋体" w:cs="宋体"/>
          <w:b/>
          <w:sz w:val="24"/>
          <w:szCs w:val="24"/>
          <w:lang w:eastAsia="zh-CN"/>
        </w:rPr>
        <w:t>安全目标：</w:t>
      </w:r>
    </w:p>
    <w:p w14:paraId="51A02195">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1.不发生生产安全死亡事故及重伤事故。</w:t>
      </w:r>
    </w:p>
    <w:p w14:paraId="694EC3CD">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2.不发生由政府相关部门负责调查处理的火灾（爆炸）事故。</w:t>
      </w:r>
    </w:p>
    <w:p w14:paraId="7C7B86A1">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3.不发生中毒、污染事故。</w:t>
      </w:r>
    </w:p>
    <w:p w14:paraId="62601A9E">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4.不发生产生重大影响的社会安全事件和公共卫生事件。</w:t>
      </w:r>
    </w:p>
    <w:p w14:paraId="37DF0F3C">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5.杜绝严重违章违纪行为。</w:t>
      </w:r>
    </w:p>
    <w:p w14:paraId="4CCB9D06">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6.【确保项目实施过程中不影响南通轨道交通既有消防系统的正常运行。】</w:t>
      </w:r>
    </w:p>
    <w:p w14:paraId="708D48B4">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7.【确保所有软硬件产品及集成服务符合国家及地方网络安全、数据安全与个人信息保护法律法规要求。】</w:t>
      </w:r>
    </w:p>
    <w:p w14:paraId="1ADF864E">
      <w:pPr>
        <w:spacing w:line="440" w:lineRule="exact"/>
        <w:ind w:right="-260" w:rightChars="-124" w:firstLine="482" w:firstLineChars="200"/>
        <w:rPr>
          <w:rFonts w:hint="eastAsia" w:ascii="宋体" w:hAnsi="宋体" w:eastAsia="宋体" w:cs="宋体"/>
          <w:sz w:val="24"/>
          <w:szCs w:val="24"/>
          <w:lang w:eastAsia="zh-CN"/>
        </w:rPr>
      </w:pPr>
      <w:r>
        <w:rPr>
          <w:rFonts w:hint="eastAsia" w:ascii="宋体" w:hAnsi="宋体" w:eastAsia="宋体" w:cs="宋体"/>
          <w:b/>
          <w:sz w:val="24"/>
          <w:szCs w:val="24"/>
          <w:lang w:val="en-US" w:eastAsia="zh-CN"/>
        </w:rPr>
        <w:t>三、</w:t>
      </w:r>
      <w:r>
        <w:rPr>
          <w:rFonts w:hint="eastAsia" w:ascii="宋体" w:hAnsi="宋体" w:eastAsia="宋体" w:cs="宋体"/>
          <w:b/>
          <w:sz w:val="24"/>
          <w:szCs w:val="24"/>
          <w:lang w:eastAsia="zh-CN"/>
        </w:rPr>
        <w:t>甲方安全责任和义务</w:t>
      </w:r>
    </w:p>
    <w:p w14:paraId="0438CD33">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1.甲方应向乙方提供必要的技术或相关资料，包括但不限于项目现场环境信息、既有系统接口规范等。</w:t>
      </w:r>
    </w:p>
    <w:p w14:paraId="2D43633E">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2.甲方应对乙方的安全生产工作统一协调、管理，定期进行安全检查并记录。</w:t>
      </w:r>
    </w:p>
    <w:p w14:paraId="18698554">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3.甲方有权督促乙方开展安全生产活动，及时传达和部署上级的有关安全生产精神和要求，加强安全生产的指导和协调。</w:t>
      </w:r>
    </w:p>
    <w:p w14:paraId="04D98132">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4.甲方有权对乙方安全生产管理情况进行监督检查，对发现的不合格项甲方有权制止、责成其限期整改。因乙方的过失造成的经济损失由乙方承担。</w:t>
      </w:r>
    </w:p>
    <w:p w14:paraId="1AF8D2CC">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5.【甲方应为乙方提供必要的作业条件，并协调相关单位配合乙方工作。】</w:t>
      </w:r>
    </w:p>
    <w:p w14:paraId="79DF732F">
      <w:pPr>
        <w:spacing w:line="440" w:lineRule="exact"/>
        <w:ind w:right="-260" w:rightChars="-124" w:firstLine="482" w:firstLineChars="200"/>
        <w:rPr>
          <w:rFonts w:hint="eastAsia" w:ascii="宋体" w:hAnsi="宋体" w:eastAsia="宋体" w:cs="宋体"/>
          <w:sz w:val="24"/>
          <w:szCs w:val="24"/>
          <w:lang w:eastAsia="zh-CN"/>
        </w:rPr>
      </w:pPr>
      <w:r>
        <w:rPr>
          <w:rFonts w:hint="eastAsia" w:ascii="宋体" w:hAnsi="宋体" w:eastAsia="宋体" w:cs="宋体"/>
          <w:b/>
          <w:sz w:val="24"/>
          <w:szCs w:val="24"/>
          <w:lang w:val="en-US" w:eastAsia="zh-CN"/>
        </w:rPr>
        <w:t>四、</w:t>
      </w:r>
      <w:r>
        <w:rPr>
          <w:rFonts w:hint="eastAsia" w:ascii="宋体" w:hAnsi="宋体" w:eastAsia="宋体" w:cs="宋体"/>
          <w:b/>
          <w:sz w:val="24"/>
          <w:szCs w:val="24"/>
          <w:lang w:eastAsia="zh-CN"/>
        </w:rPr>
        <w:t>乙方安全责任和义务</w:t>
      </w:r>
    </w:p>
    <w:p w14:paraId="01907F10">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1.乙方明确项目安全负责人为：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，身份证号码：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。电话：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。【该安全负责人应具备相应的安全生产知识和管理能力。】</w:t>
      </w:r>
    </w:p>
    <w:p w14:paraId="1900942F">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2.安全生产坚持"谁主管，谁负责"的原则，乙方必须履行甲方各项安全生产管理规章制度，对违反相关安全管理制度和规章，造成事件和不良事件的，乙方承担相应责任。</w:t>
      </w:r>
    </w:p>
    <w:p w14:paraId="7DC83838">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乙方在作业前须认真学习《南通轨道资源开发有限公司安全生产管理办法》《南通轨道资源开发有限公司外单位作业安全管理办法》《南通轨道资源开发有限公司特种作业管理制度》以及相关安全生产管理规定，并遵照规定要求执行，及时宣贯落实甲方管理要求，加强自身安全生产管理，履行自身的安全义务。</w:t>
      </w:r>
    </w:p>
    <w:p w14:paraId="172D4748">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4.乙方应自觉遵守国家和地方有关安全生产的各项规定和有关安全生产的法律法规，加强作业安全管理，履行安全管理责任，切实保障安全。</w:t>
      </w:r>
    </w:p>
    <w:p w14:paraId="0DD8931B">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乙方承诺其具备符合本项目需要的安全生产相关资质和条件，在签订本协议前书面提交相关资质、安全生产条件、特种作业人员资格等信息至甲方审核。【特别承诺具备履行消防设施工程及系统集成所需的专业能力。】</w:t>
      </w:r>
    </w:p>
    <w:p w14:paraId="7F03C128">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6.乙方安全管理人员及关键岗位人员应经南通轨道资源开发有限公司的安全管理培训。</w:t>
      </w:r>
    </w:p>
    <w:p w14:paraId="55378854">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7.乙方必须对乙方各岗位人员进行安全教育培训和演练，并做好记录，保证相关人员具备安全生产知识，熟悉安全生产规章制度和安全操作规程，掌握本岗位的安全操作技能、应急处理和疏散能力，了解事故（事件）应急处理措施。</w:t>
      </w:r>
    </w:p>
    <w:p w14:paraId="736E698A">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8.乙方在签订安全协议前应提交经甲方确认的作业方案、施工组织设计及专项安全技术措施。</w:t>
      </w:r>
    </w:p>
    <w:p w14:paraId="2D2039C0">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9.对甲方检查发现的安全生产、安全措施落实情况的相关问题，乙方应根据甲方的要求落实整改。</w:t>
      </w:r>
    </w:p>
    <w:p w14:paraId="1B3E0AF8">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10.乙方应负责本项目承租部分的安全风险辨识、评估、管控和报告工作，并将较大以上安全风险有关信息向甲方书面通报，应当在本项目醒目位置公示较大以上安全风险信息，严格落实《南通轨道资源开发有限公司安全风险分级管控和隐患排查治理管理制度》相关要求。</w:t>
      </w:r>
    </w:p>
    <w:p w14:paraId="3F511F1E">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11.乙方应建立应急救援管理机制，明确职责和任务，制定应急预案，储备相关应急物资，定期开展应急救援培训，发生突发事件时及时启动相关预案。【应急预案应涵盖网络安全事件、消防系统联动异常等本项目特有风险。】</w:t>
      </w:r>
    </w:p>
    <w:p w14:paraId="683B6AAF">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12.乙方的特种作业人员应按国家有关规定，持证上岗。</w:t>
      </w:r>
    </w:p>
    <w:p w14:paraId="72BD1879">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13.因乙方责任造成的甲方一切损失和负面影响，由乙方全部承担。</w:t>
      </w:r>
    </w:p>
    <w:p w14:paraId="1DDF5EDD">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14.发生对甲方造成影响的事故，乙方必须立即向甲方报告。报告的内容主要有：时间、地点、事故性质、人员伤亡、初步处理情况及报告人的单位、姓名、电话号码等，事故的损失按责论处。</w:t>
      </w:r>
    </w:p>
    <w:p w14:paraId="6C13206A">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15.乙方应主动及时完成经营所需的工商登记、税务登记等证照，以及必要的环保、治安、消防等手续，严格执行政府职能部门有关商品质量、物价、安全、消防、卫生、环保等方面的法律、法规。</w:t>
      </w:r>
    </w:p>
    <w:p w14:paraId="6357BA43">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16.乙方须规范用工，遵从国家劳动人事法律法规，确保任何情况下不因其经济纠纷或与员工的任何纠纷，导致经营期间发生群体性事件，影响地铁的整体形象。</w:t>
      </w:r>
    </w:p>
    <w:p w14:paraId="490435FA">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17.对于占用公共空间的乙方物品，甲方有权移去并对物品遗失概不负责，并有权向乙方收取因此产生的一切费用，若因乙方物品占用公共空间导致安全事故，相关责任及费用由乙方承担。</w:t>
      </w:r>
    </w:p>
    <w:p w14:paraId="774614CD">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18.本项目及地铁车站内严禁吸烟，携带宠物。乙方发现顾客在本项目内有吸烟、携带宠物行为，须及时阻止。</w:t>
      </w:r>
    </w:p>
    <w:p w14:paraId="7EB56455">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19.乙方运送各类用具、货物、设备、装置或大件物品的时间须避开地铁运营高峰时段（以甲方指定的时间为准），仅可使用指定的设备及路线运送上述物件，不得妨碍交通、消防通道，不得影响地铁的正常运营。严禁擅自使用客用手扶电梯和电梯运送货物或大件物品。</w:t>
      </w:r>
    </w:p>
    <w:p w14:paraId="15227A01">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20.甲方、地铁公安部门相关人员出示证件后有权进入本项目场地，对治安、消防、卫生及商品进行检查。乙方有责任配合工商、税务、公安等部门依法处理各种违法违纪事件。</w:t>
      </w:r>
    </w:p>
    <w:p w14:paraId="55B1C4EA">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21.乙方须定期对线路、设施设备使用情况进行检查，发现故障、隐患须立即排除。【特别包括本项目涉及的监控中心大屏、服务器、网络设备及现场采集控制设备等。】</w:t>
      </w:r>
    </w:p>
    <w:p w14:paraId="0D479CBC">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22.乙方须保持本项目设施及其附属物，包括所有的卷帘门、电动装置、电线、水管等处于正常、良好、清洁及妥当的修缮状态；不得妨碍任何消防设备的正常操作，严禁占用或堵塞消防通道，保持消防区及楼梯通道和出口畅通无阻。</w:t>
      </w:r>
    </w:p>
    <w:p w14:paraId="3BB2FDE3">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23.每日营业时间结束后，乙方及其员工须对本项目进行彻底检查，清除安全隐患，关闭不必要的用电设备，做好防火、防盗工作，检查无误后方可离开；乙方员工不允许在本项目内留宿，或利用其室内作住宿用途。</w:t>
      </w:r>
    </w:p>
    <w:p w14:paraId="004D2D01">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24.发生治安、火灾等突发案件或发现可疑对象，乙方须及时报告地铁车站、车站派出所和甲方。</w:t>
      </w:r>
    </w:p>
    <w:p w14:paraId="4F2FB5B2">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25.乙方严格执行《南通轨道资源开发有限公司外单位作业安全管理办法》。</w:t>
      </w:r>
    </w:p>
    <w:p w14:paraId="09501F13">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26.【乙方应严格遵守《中华人民共和国网络安全法》、《中华人民共和国数据安全法》等相关法律法规，确保本项目软件平台、硬件设备及数据传输、存储的安全。在项目竣工验收前，乙方有义务协助甲方完成本项目系统的网络安全等级保护第三级测评与备案。】</w:t>
      </w:r>
    </w:p>
    <w:p w14:paraId="20DB9E0F">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27.【乙方在项目实施过程中，应采取有效措施，确保不因自身作业影响既有消防系统的正常运行。在进行系统接入、调试前，必须制定详细的方案并经甲方审核批准。】</w:t>
      </w:r>
    </w:p>
    <w:p w14:paraId="556AD0EC">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28.【乙方应妥善保管项目相关技术资料、源代码及甲方提供的各类数据信息，履行保密义务，不得向任何第三方泄露。项目产生的知识产权归属按主合同约定执行。】</w:t>
      </w:r>
    </w:p>
    <w:p w14:paraId="03E474BF">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29.【乙方承诺，其提供的所有软硬件产品不含有任何恶意代码、后门程序，并保证其供应链安全。】</w:t>
      </w:r>
    </w:p>
    <w:p w14:paraId="330B162F">
      <w:pPr>
        <w:spacing w:line="440" w:lineRule="exact"/>
        <w:ind w:right="-260" w:rightChars="-124" w:firstLine="482" w:firstLineChars="200"/>
        <w:rPr>
          <w:rFonts w:hint="eastAsia" w:ascii="宋体" w:hAnsi="宋体" w:eastAsia="宋体" w:cs="宋体"/>
          <w:sz w:val="24"/>
          <w:szCs w:val="24"/>
          <w:lang w:eastAsia="zh-CN"/>
        </w:rPr>
      </w:pPr>
      <w:r>
        <w:rPr>
          <w:rFonts w:hint="eastAsia" w:ascii="宋体" w:hAnsi="宋体" w:eastAsia="宋体" w:cs="宋体"/>
          <w:b/>
          <w:sz w:val="24"/>
          <w:szCs w:val="24"/>
          <w:lang w:val="en-US" w:eastAsia="zh-CN"/>
        </w:rPr>
        <w:t>五、</w:t>
      </w:r>
      <w:r>
        <w:rPr>
          <w:rFonts w:hint="eastAsia" w:ascii="宋体" w:hAnsi="宋体" w:eastAsia="宋体" w:cs="宋体"/>
          <w:b/>
          <w:sz w:val="24"/>
          <w:szCs w:val="24"/>
          <w:lang w:eastAsia="zh-CN"/>
        </w:rPr>
        <w:t>治安消防工作要求</w:t>
      </w:r>
    </w:p>
    <w:p w14:paraId="394656F7">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1.乙方必须认真遵守国家和地方的有关法律、法规，特别是消防法律法规。</w:t>
      </w:r>
    </w:p>
    <w:p w14:paraId="1544A560">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2.乙方须配备至少一名专（兼）职治安消防管理人员，负责本作业区域的治安消防工作。</w:t>
      </w:r>
    </w:p>
    <w:p w14:paraId="19CEA1DD">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3.因乙方责任造成影响南通地铁的案件如：火灾、治安事件等，事故经济责任、事故法律责任以及事故的善后处理均由乙方独自承担，因此给甲方造成的经济损失由乙方全部承担。</w:t>
      </w:r>
    </w:p>
    <w:p w14:paraId="0AB8C74E">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4.乙方须根据消防规范要求在本项目内配备合格的灭火器，并定期检查、更换，确保各种消防器材和装置处于良好状态。灭火器应放置于容易取用的地方并遵守地铁属地管理单位提出的管理规定。</w:t>
      </w:r>
    </w:p>
    <w:p w14:paraId="77BE8228">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5.乙方应维护本项目持续稳定经营的经营氛围与良好环境。严禁在本项目内起哄闹事，打架斗殴和聚赌等。</w:t>
      </w:r>
    </w:p>
    <w:p w14:paraId="62D6EBA8">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6.【乙方在监控中心建设及设备安装过程中，动火、用电等危险作业必须提前向甲方申请，办理相关手续，并落实专人监护。】</w:t>
      </w:r>
    </w:p>
    <w:p w14:paraId="1C30E61C">
      <w:pPr>
        <w:spacing w:line="440" w:lineRule="exact"/>
        <w:ind w:right="-260" w:rightChars="-124" w:firstLine="482" w:firstLineChars="200"/>
        <w:rPr>
          <w:rFonts w:hint="eastAsia" w:ascii="宋体" w:hAnsi="宋体" w:eastAsia="宋体" w:cs="宋体"/>
          <w:sz w:val="24"/>
          <w:szCs w:val="24"/>
          <w:lang w:eastAsia="zh-CN"/>
        </w:rPr>
      </w:pPr>
      <w:r>
        <w:rPr>
          <w:rFonts w:hint="eastAsia" w:ascii="宋体" w:hAnsi="宋体" w:eastAsia="宋体" w:cs="宋体"/>
          <w:b/>
          <w:sz w:val="24"/>
          <w:szCs w:val="24"/>
          <w:lang w:val="en-US" w:eastAsia="zh-CN"/>
        </w:rPr>
        <w:t>六、</w:t>
      </w:r>
      <w:r>
        <w:rPr>
          <w:rFonts w:hint="eastAsia" w:ascii="宋体" w:hAnsi="宋体" w:eastAsia="宋体" w:cs="宋体"/>
          <w:b/>
          <w:sz w:val="24"/>
          <w:szCs w:val="24"/>
          <w:lang w:eastAsia="zh-CN"/>
        </w:rPr>
        <w:t>环保工作要求</w:t>
      </w:r>
    </w:p>
    <w:p w14:paraId="7599FC82">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1.不得将油类、化学品类等污染物倾倒丢弃在地铁管辖范围内。</w:t>
      </w:r>
    </w:p>
    <w:p w14:paraId="1F31914B">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2.作业结束后应清理作业涉及的所有物料、垃圾。</w:t>
      </w:r>
    </w:p>
    <w:p w14:paraId="30DAF3D3">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3.严格控制作业过程中"噪音、灰尘、振动、污水"等产生及排放。</w:t>
      </w:r>
    </w:p>
    <w:p w14:paraId="4C87C890">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乙方应确保经营期间不出售或存放任何危险性、易燃易爆性、腐蚀性、毒性物品和所有管制物品；应确保经营期间不使用明火等同类性质的产品，不产生明烟、异味等干扰或有可能干扰地铁正常运营的因素。【设备包装材料等应及时清理，保持作业现场整洁。】</w:t>
      </w:r>
    </w:p>
    <w:p w14:paraId="3ABDBBD6">
      <w:pPr>
        <w:spacing w:line="440" w:lineRule="exact"/>
        <w:ind w:right="-260" w:rightChars="-124" w:firstLine="482" w:firstLineChars="200"/>
        <w:rPr>
          <w:rFonts w:hint="eastAsia" w:ascii="宋体" w:hAnsi="宋体" w:eastAsia="宋体" w:cs="宋体"/>
          <w:sz w:val="24"/>
          <w:szCs w:val="24"/>
          <w:lang w:eastAsia="zh-CN"/>
        </w:rPr>
      </w:pPr>
      <w:r>
        <w:rPr>
          <w:rFonts w:hint="eastAsia" w:ascii="宋体" w:hAnsi="宋体" w:eastAsia="宋体" w:cs="宋体"/>
          <w:b/>
          <w:sz w:val="24"/>
          <w:szCs w:val="24"/>
          <w:lang w:val="en-US" w:eastAsia="zh-CN"/>
        </w:rPr>
        <w:t>七、</w:t>
      </w:r>
      <w:r>
        <w:rPr>
          <w:rFonts w:hint="eastAsia" w:ascii="宋体" w:hAnsi="宋体" w:eastAsia="宋体" w:cs="宋体"/>
          <w:b/>
          <w:sz w:val="24"/>
          <w:szCs w:val="24"/>
          <w:lang w:eastAsia="zh-CN"/>
        </w:rPr>
        <w:t>安全保证费用（性质属于违约金）</w:t>
      </w:r>
    </w:p>
    <w:p w14:paraId="1B202237">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根据《南通轨道资源开发有限公司外单位作业安全管理办法》的规定，作业安全协议签订时，乙方应按审批意见向甲方一次性交纳作业履约保证金、安全保证金，按项目合同确定安全保证费用（履约保证金）金额。如有违反本协议或不服从管理，根据《南通轨道资源开发有限公司外单位作业安全管理办法》规定扣除部分或全部安全保证费用。安全保证费用在项目结束后，乙方凭由甲方最终确认的《作业安全评定表》及相关资料到南通轨道资源开发有限公司办理安全保证费用支付或返回手续。【本协议项下的安全保证费用可与主合同约定的履约保证金统筹考虑，具体金额及扣罚情形可在主合同中明确。】</w:t>
      </w:r>
    </w:p>
    <w:p w14:paraId="7B58869D">
      <w:pPr>
        <w:spacing w:line="440" w:lineRule="exact"/>
        <w:ind w:right="-260" w:rightChars="-124" w:firstLine="482" w:firstLineChars="200"/>
        <w:rPr>
          <w:rFonts w:hint="eastAsia" w:ascii="宋体" w:hAnsi="宋体" w:eastAsia="宋体" w:cs="宋体"/>
          <w:sz w:val="24"/>
          <w:szCs w:val="24"/>
          <w:lang w:eastAsia="zh-CN"/>
        </w:rPr>
      </w:pPr>
      <w:r>
        <w:rPr>
          <w:rFonts w:hint="eastAsia" w:ascii="宋体" w:hAnsi="宋体" w:eastAsia="宋体" w:cs="宋体"/>
          <w:b/>
          <w:sz w:val="24"/>
          <w:szCs w:val="24"/>
          <w:lang w:val="en-US" w:eastAsia="zh-CN"/>
        </w:rPr>
        <w:t>八、</w:t>
      </w:r>
      <w:r>
        <w:rPr>
          <w:rFonts w:hint="eastAsia" w:ascii="宋体" w:hAnsi="宋体" w:eastAsia="宋体" w:cs="宋体"/>
          <w:b/>
          <w:sz w:val="24"/>
          <w:szCs w:val="24"/>
          <w:lang w:eastAsia="zh-CN"/>
        </w:rPr>
        <w:t>争议的处理</w:t>
      </w:r>
    </w:p>
    <w:p w14:paraId="5FE27242">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协议双方发生争议时，可以通过协商解决，协商不成的可以按司法程序向甲方所在地人民法院起诉。【本条款与主合同争议解决方式保持一致，如主合同约定仲裁，则此处应修改为“向南通仲裁委员会申请仲裁”。】</w:t>
      </w:r>
    </w:p>
    <w:p w14:paraId="0E461568">
      <w:pPr>
        <w:tabs>
          <w:tab w:val="left" w:pos="2115"/>
        </w:tabs>
        <w:spacing w:line="440" w:lineRule="exact"/>
        <w:ind w:right="-260" w:rightChars="-124" w:firstLine="480" w:firstLineChars="200"/>
        <w:rPr>
          <w:rFonts w:hint="eastAsia" w:ascii="宋体" w:hAnsi="宋体" w:eastAsia="宋体" w:cs="宋体"/>
          <w:sz w:val="24"/>
          <w:szCs w:val="24"/>
          <w:lang w:eastAsia="zh-CN"/>
        </w:rPr>
      </w:pPr>
    </w:p>
    <w:p w14:paraId="6EB86175">
      <w:pPr>
        <w:tabs>
          <w:tab w:val="left" w:pos="2115"/>
        </w:tabs>
        <w:spacing w:line="440" w:lineRule="exact"/>
        <w:ind w:right="-260" w:rightChars="-124"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自</w:t>
      </w:r>
      <w:r>
        <w:rPr>
          <w:rFonts w:hint="eastAsia" w:ascii="宋体" w:hAnsi="宋体" w:cs="宋体"/>
          <w:sz w:val="24"/>
          <w:szCs w:val="24"/>
        </w:rPr>
        <w:t>合同双方签署</w:t>
      </w:r>
      <w:r>
        <w:rPr>
          <w:rFonts w:hint="eastAsia" w:ascii="宋体" w:hAnsi="宋体" w:eastAsia="宋体" w:cs="宋体"/>
          <w:sz w:val="24"/>
          <w:szCs w:val="24"/>
          <w:lang w:eastAsia="zh-CN"/>
        </w:rPr>
        <w:t>生效至 【 项目完成且双方权利义务履行完毕 】 同时废止。</w:t>
      </w:r>
    </w:p>
    <w:p w14:paraId="4392F26B">
      <w:pPr>
        <w:bidi w:val="0"/>
        <w:ind w:right="-260" w:rightChars="-124"/>
        <w:rPr>
          <w:rFonts w:hint="eastAsia"/>
          <w:sz w:val="24"/>
          <w:szCs w:val="32"/>
          <w:lang w:eastAsia="zh-CN"/>
        </w:rPr>
      </w:pPr>
    </w:p>
    <w:p w14:paraId="5A159DE6">
      <w:pPr>
        <w:spacing w:line="440" w:lineRule="exact"/>
        <w:ind w:right="-260" w:rightChars="-124" w:firstLine="480" w:firstLineChars="200"/>
        <w:rPr>
          <w:rFonts w:hint="eastAsia" w:ascii="宋体" w:hAnsi="宋体" w:cs="宋体"/>
          <w:sz w:val="24"/>
          <w:szCs w:val="24"/>
        </w:rPr>
      </w:pPr>
    </w:p>
    <w:p w14:paraId="3CBBA966">
      <w:pPr>
        <w:spacing w:line="440" w:lineRule="exact"/>
        <w:ind w:right="-260" w:rightChars="-124" w:firstLine="480" w:firstLineChars="200"/>
        <w:rPr>
          <w:rFonts w:hint="eastAsia" w:ascii="宋体" w:hAnsi="宋体" w:cs="宋体"/>
          <w:sz w:val="24"/>
          <w:szCs w:val="24"/>
        </w:rPr>
      </w:pPr>
    </w:p>
    <w:p w14:paraId="604E808E">
      <w:pPr>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甲方：（盖章）                         乙方：（盖章）</w:t>
      </w:r>
    </w:p>
    <w:p w14:paraId="3EA6A41F">
      <w:pPr>
        <w:spacing w:line="440" w:lineRule="exact"/>
        <w:ind w:right="-260" w:rightChars="-124" w:firstLine="480" w:firstLineChars="200"/>
        <w:rPr>
          <w:rFonts w:hint="eastAsia" w:ascii="宋体" w:hAnsi="宋体" w:cs="宋体"/>
          <w:sz w:val="24"/>
          <w:szCs w:val="24"/>
        </w:rPr>
      </w:pPr>
    </w:p>
    <w:p w14:paraId="19F31F9E">
      <w:pPr>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法定代表人                             法定代表人</w:t>
      </w:r>
    </w:p>
    <w:p w14:paraId="1F10A886">
      <w:pPr>
        <w:spacing w:line="440" w:lineRule="exact"/>
        <w:ind w:right="-260" w:rightChars="-124" w:firstLine="480" w:firstLineChars="200"/>
        <w:rPr>
          <w:rFonts w:hint="eastAsia" w:ascii="宋体" w:hAnsi="宋体" w:cs="宋体"/>
          <w:sz w:val="24"/>
          <w:szCs w:val="24"/>
        </w:rPr>
      </w:pPr>
      <w:r>
        <w:rPr>
          <w:rFonts w:hint="eastAsia" w:ascii="宋体" w:hAnsi="宋体" w:cs="宋体"/>
          <w:sz w:val="24"/>
          <w:szCs w:val="24"/>
        </w:rPr>
        <w:t>或其授权代理人：                       或其授权代理人：</w:t>
      </w:r>
    </w:p>
    <w:p w14:paraId="4C0D37C0">
      <w:pPr>
        <w:spacing w:line="360" w:lineRule="auto"/>
        <w:ind w:right="-92" w:rightChars="-44" w:firstLine="480" w:firstLineChars="200"/>
        <w:rPr>
          <w:rFonts w:hint="eastAsia" w:ascii="宋体" w:hAnsi="宋体" w:eastAsia="宋体" w:cs="宋体"/>
          <w:sz w:val="24"/>
          <w:szCs w:val="24"/>
          <w:highlight w:val="none"/>
        </w:rPr>
      </w:pPr>
    </w:p>
    <w:p w14:paraId="1D304C4D">
      <w:pPr>
        <w:spacing w:line="360" w:lineRule="auto"/>
        <w:ind w:left="210"/>
        <w:rPr>
          <w:rFonts w:hint="eastAsia" w:ascii="宋体" w:hAnsi="宋体" w:eastAsia="宋体" w:cs="宋体"/>
          <w:sz w:val="24"/>
          <w:highlight w:val="none"/>
        </w:rPr>
      </w:pPr>
    </w:p>
    <w:p w14:paraId="21970383">
      <w:pPr>
        <w:rPr>
          <w:rFonts w:hint="eastAsia" w:ascii="宋体" w:hAnsi="宋体" w:eastAsia="宋体" w:cs="宋体"/>
          <w:highlight w:val="none"/>
        </w:rPr>
      </w:pPr>
    </w:p>
    <w:p w14:paraId="2043AD34">
      <w:pPr>
        <w:spacing w:line="440" w:lineRule="exact"/>
        <w:ind w:right="-941" w:rightChars="-448"/>
        <w:jc w:val="center"/>
        <w:outlineLvl w:val="0"/>
        <w:rPr>
          <w:rFonts w:hint="eastAsia" w:ascii="宋体" w:hAnsi="宋体" w:eastAsia="宋体" w:cs="宋体"/>
          <w:b/>
          <w:sz w:val="32"/>
          <w:szCs w:val="32"/>
          <w:highlight w:val="none"/>
          <w:lang w:val="zh-CN"/>
        </w:rPr>
      </w:pPr>
      <w:r>
        <w:rPr>
          <w:rFonts w:hint="eastAsia" w:ascii="宋体" w:hAnsi="宋体" w:eastAsia="宋体" w:cs="宋体"/>
          <w:color w:val="000008"/>
          <w:kern w:val="0"/>
          <w:sz w:val="24"/>
          <w:highlight w:val="none"/>
          <w:lang w:bidi="ar"/>
        </w:rPr>
        <w:br w:type="page"/>
      </w:r>
      <w:bookmarkStart w:id="143" w:name="_Toc1773"/>
      <w:r>
        <w:rPr>
          <w:rFonts w:hint="eastAsia" w:ascii="宋体" w:hAnsi="宋体" w:eastAsia="宋体" w:cs="宋体"/>
          <w:b/>
          <w:sz w:val="32"/>
          <w:szCs w:val="32"/>
          <w:highlight w:val="none"/>
          <w:lang w:val="zh-CN"/>
        </w:rPr>
        <w:t>第</w:t>
      </w:r>
      <w:r>
        <w:rPr>
          <w:rFonts w:hint="eastAsia" w:ascii="宋体" w:hAnsi="宋体" w:eastAsia="宋体" w:cs="宋体"/>
          <w:b/>
          <w:sz w:val="32"/>
          <w:szCs w:val="32"/>
          <w:highlight w:val="none"/>
        </w:rPr>
        <w:t>六章</w:t>
      </w:r>
      <w:r>
        <w:rPr>
          <w:rFonts w:hint="eastAsia" w:ascii="宋体" w:hAnsi="宋体" w:eastAsia="宋体" w:cs="宋体"/>
          <w:b/>
          <w:sz w:val="32"/>
          <w:szCs w:val="32"/>
          <w:highlight w:val="none"/>
          <w:lang w:val="zh-CN"/>
        </w:rPr>
        <w:t xml:space="preserve">  质疑提出和处理</w:t>
      </w:r>
      <w:bookmarkEnd w:id="143"/>
    </w:p>
    <w:bookmarkEnd w:id="92"/>
    <w:bookmarkEnd w:id="93"/>
    <w:bookmarkEnd w:id="94"/>
    <w:bookmarkEnd w:id="95"/>
    <w:p w14:paraId="757C63C6">
      <w:pPr>
        <w:spacing w:line="440" w:lineRule="exact"/>
        <w:ind w:right="-260" w:rightChars="-124" w:firstLine="643" w:firstLineChars="200"/>
        <w:jc w:val="center"/>
        <w:rPr>
          <w:rFonts w:hint="eastAsia" w:ascii="宋体" w:hAnsi="宋体" w:eastAsia="宋体" w:cs="宋体"/>
          <w:b/>
          <w:sz w:val="32"/>
          <w:szCs w:val="32"/>
          <w:highlight w:val="none"/>
          <w:lang w:val="zh-CN"/>
        </w:rPr>
      </w:pPr>
    </w:p>
    <w:p w14:paraId="3E12518D">
      <w:pPr>
        <w:pStyle w:val="9"/>
        <w:spacing w:line="420" w:lineRule="exact"/>
        <w:ind w:left="0" w:right="-260" w:rightChars="-124" w:firstLine="480" w:firstLineChars="200"/>
        <w:contextualSpacing/>
        <w:rPr>
          <w:rFonts w:hint="eastAsia" w:ascii="宋体" w:hAnsi="宋体" w:eastAsia="宋体" w:cs="宋体"/>
          <w:sz w:val="24"/>
          <w:szCs w:val="24"/>
          <w:highlight w:val="none"/>
        </w:rPr>
      </w:pPr>
      <w:bookmarkStart w:id="144" w:name="_Toc3098"/>
      <w:bookmarkStart w:id="145" w:name="_Toc15641"/>
      <w:bookmarkStart w:id="146" w:name="_Toc11112"/>
      <w:r>
        <w:rPr>
          <w:rFonts w:hint="eastAsia" w:ascii="宋体" w:hAnsi="宋体" w:eastAsia="宋体" w:cs="宋体"/>
          <w:sz w:val="24"/>
          <w:szCs w:val="24"/>
          <w:highlight w:val="none"/>
        </w:rPr>
        <w:t>一、质疑的提出</w:t>
      </w:r>
      <w:bookmarkEnd w:id="144"/>
      <w:bookmarkEnd w:id="145"/>
    </w:p>
    <w:bookmarkEnd w:id="146"/>
    <w:p w14:paraId="608F84A8">
      <w:pPr>
        <w:pStyle w:val="9"/>
        <w:spacing w:line="420" w:lineRule="exact"/>
        <w:ind w:left="0" w:right="-260" w:rightChars="-124" w:firstLine="480" w:firstLineChars="200"/>
        <w:contextualSpacing/>
        <w:rPr>
          <w:rFonts w:hint="eastAsia" w:ascii="宋体" w:hAnsi="宋体" w:eastAsia="宋体" w:cs="宋体"/>
          <w:sz w:val="24"/>
          <w:szCs w:val="24"/>
          <w:highlight w:val="none"/>
        </w:rPr>
      </w:pPr>
      <w:bookmarkStart w:id="147" w:name="_Toc22477"/>
      <w:r>
        <w:rPr>
          <w:rFonts w:hint="eastAsia" w:ascii="宋体" w:hAnsi="宋体" w:eastAsia="宋体" w:cs="宋体"/>
          <w:sz w:val="24"/>
          <w:szCs w:val="24"/>
          <w:highlight w:val="none"/>
        </w:rPr>
        <w:t>(一)质疑人的身份要求</w:t>
      </w:r>
      <w:bookmarkEnd w:id="147"/>
      <w:r>
        <w:rPr>
          <w:rFonts w:hint="eastAsia" w:ascii="宋体" w:hAnsi="宋体" w:eastAsia="宋体" w:cs="宋体"/>
          <w:sz w:val="24"/>
          <w:szCs w:val="24"/>
          <w:highlight w:val="none"/>
        </w:rPr>
        <w:t xml:space="preserve">      </w:t>
      </w:r>
    </w:p>
    <w:p w14:paraId="5F1F3371">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提出质疑的参选人应当是参与所质疑项目招投标活动的参选人。</w:t>
      </w:r>
    </w:p>
    <w:p w14:paraId="379C7763">
      <w:pPr>
        <w:pStyle w:val="9"/>
        <w:spacing w:line="420" w:lineRule="exact"/>
        <w:ind w:left="0" w:right="-260" w:rightChars="-124" w:firstLine="480" w:firstLineChars="200"/>
        <w:contextualSpacing/>
        <w:rPr>
          <w:rFonts w:hint="eastAsia" w:ascii="宋体" w:hAnsi="宋体" w:eastAsia="宋体" w:cs="宋体"/>
          <w:sz w:val="24"/>
          <w:szCs w:val="24"/>
          <w:highlight w:val="none"/>
        </w:rPr>
      </w:pPr>
      <w:bookmarkStart w:id="148" w:name="_Toc10412"/>
      <w:r>
        <w:rPr>
          <w:rFonts w:hint="eastAsia" w:ascii="宋体" w:hAnsi="宋体" w:eastAsia="宋体" w:cs="宋体"/>
          <w:sz w:val="24"/>
          <w:szCs w:val="24"/>
          <w:highlight w:val="none"/>
        </w:rPr>
        <w:t>(二)质疑提出的格式要求</w:t>
      </w:r>
      <w:bookmarkEnd w:id="148"/>
      <w:r>
        <w:rPr>
          <w:rFonts w:hint="eastAsia" w:ascii="宋体" w:hAnsi="宋体" w:eastAsia="宋体" w:cs="宋体"/>
          <w:sz w:val="24"/>
          <w:szCs w:val="24"/>
          <w:highlight w:val="none"/>
        </w:rPr>
        <w:t xml:space="preserve">   </w:t>
      </w:r>
    </w:p>
    <w:p w14:paraId="5D6823DB">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1、对本次招投标有质疑的，须实名制以书面形式提出，不得进行匿名、虚假、恶意质疑。</w:t>
      </w:r>
    </w:p>
    <w:p w14:paraId="67E810D4">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2、质疑函应包括：    </w:t>
      </w:r>
    </w:p>
    <w:p w14:paraId="06FC61F5">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（1）质疑参选人的名称、地址、邮编、联系人及联系电话；</w:t>
      </w:r>
    </w:p>
    <w:p w14:paraId="5E0088BF">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（2）具体、明确的质疑事项及明确的请求；</w:t>
      </w:r>
    </w:p>
    <w:p w14:paraId="04228529">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（3）质疑的事实依据和必要的法律依据；</w:t>
      </w:r>
    </w:p>
    <w:p w14:paraId="6A2CAD5C">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（4）提起质疑的日期；</w:t>
      </w:r>
    </w:p>
    <w:p w14:paraId="170A535D">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（5）认为自己合法权益受到损害或可能受到损害的相关证据材料；</w:t>
      </w:r>
    </w:p>
    <w:p w14:paraId="6F6A8D49">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比选人将不予受理。质疑人委托代理质疑的，应当向比选人提交授权委托书，并载明委托代理的具体权限和事项。</w:t>
      </w:r>
    </w:p>
    <w:p w14:paraId="4425DCE0">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3、质疑函需遵循的原则</w:t>
      </w:r>
    </w:p>
    <w:p w14:paraId="45B69856">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提出质疑时，必须坚持“谁主张，谁举证”、“实事求是”的原则，不能臆测。属于须由法定部门调查、侦查或先行作出相关认定的事项，质疑人应当依法申请具有法定职权的部门查清、认定，并将相关结果提供给比选人。比选人不具有法定调查、认定权限。</w:t>
      </w:r>
    </w:p>
    <w:p w14:paraId="3A2D3EEB">
      <w:pPr>
        <w:pStyle w:val="9"/>
        <w:spacing w:line="420" w:lineRule="exact"/>
        <w:ind w:left="0" w:right="-260" w:rightChars="-124" w:firstLine="480" w:firstLineChars="200"/>
        <w:contextualSpacing/>
        <w:rPr>
          <w:rFonts w:hint="eastAsia" w:ascii="宋体" w:hAnsi="宋体" w:eastAsia="宋体" w:cs="宋体"/>
          <w:sz w:val="24"/>
          <w:szCs w:val="24"/>
          <w:highlight w:val="none"/>
        </w:rPr>
      </w:pPr>
      <w:bookmarkStart w:id="149" w:name="_Toc9615"/>
      <w:r>
        <w:rPr>
          <w:rFonts w:hint="eastAsia" w:ascii="宋体" w:hAnsi="宋体" w:eastAsia="宋体" w:cs="宋体"/>
          <w:sz w:val="24"/>
          <w:szCs w:val="24"/>
          <w:highlight w:val="none"/>
        </w:rPr>
        <w:t>（三）质疑提出的时效要求</w:t>
      </w:r>
      <w:bookmarkEnd w:id="149"/>
    </w:p>
    <w:p w14:paraId="2A27E25C">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1、参选人认为招标文件、招投标过程和评标结果使自己的权益受到损害的，可以在规定的时间内，以书面形式向比选人提出质疑。</w:t>
      </w:r>
    </w:p>
    <w:p w14:paraId="30095087">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（1）参选人或者其他利害关系人对招标文件有异议的，应当在投标截止时间10日前以书面形式提出。</w:t>
      </w:r>
    </w:p>
    <w:p w14:paraId="1196D043">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对招投标过程提出质疑的，为各招投标程序环节结束之日；参选人对开标有异议的，应当于开标会上以书面扫描件形式提出，比选人应当作出答复，并制作记录。开标结束后参选人不得对开标事项再提出异议。</w:t>
      </w:r>
    </w:p>
    <w:p w14:paraId="36B07D39">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（3）参选人或者其他利害关系人对评标结果有异议的，应当在中标候选人公示期间提出。</w:t>
      </w:r>
    </w:p>
    <w:p w14:paraId="5161F51C">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2、参选人应在法定质疑期一次性提出针对同一招投标程序环节的质疑。 </w:t>
      </w:r>
    </w:p>
    <w:p w14:paraId="7441DB0A">
      <w:pPr>
        <w:pStyle w:val="9"/>
        <w:spacing w:line="420" w:lineRule="exact"/>
        <w:ind w:left="0" w:right="-260" w:rightChars="-124" w:firstLine="480" w:firstLineChars="200"/>
        <w:contextualSpacing/>
        <w:rPr>
          <w:rFonts w:hint="eastAsia" w:ascii="宋体" w:hAnsi="宋体" w:eastAsia="宋体" w:cs="宋体"/>
          <w:sz w:val="24"/>
          <w:szCs w:val="24"/>
          <w:highlight w:val="none"/>
        </w:rPr>
      </w:pPr>
      <w:bookmarkStart w:id="150" w:name="_Toc5111"/>
      <w:bookmarkStart w:id="151" w:name="_Toc28700"/>
      <w:bookmarkStart w:id="152" w:name="_Toc11993"/>
      <w:r>
        <w:rPr>
          <w:rFonts w:hint="eastAsia" w:ascii="宋体" w:hAnsi="宋体" w:eastAsia="宋体" w:cs="宋体"/>
          <w:sz w:val="24"/>
          <w:szCs w:val="24"/>
          <w:highlight w:val="none"/>
        </w:rPr>
        <w:t>二、《质疑函》的受理和答复</w:t>
      </w:r>
      <w:bookmarkEnd w:id="150"/>
      <w:bookmarkEnd w:id="151"/>
    </w:p>
    <w:bookmarkEnd w:id="152"/>
    <w:p w14:paraId="7B3D1EC3">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1、比选人收到质疑函后，将对质疑的形式和内容进行审查，如质疑函内容、格式不符合规定，比选人将告知质疑人进行补正。</w:t>
      </w:r>
    </w:p>
    <w:p w14:paraId="06CD3EB2">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2、质疑人应当在法定质疑期限内进行补正并重新提交质疑函，拒不补正或者在法定期限内未重新提交质疑函的，为无效质疑，比选人将不予受理。</w:t>
      </w:r>
    </w:p>
    <w:p w14:paraId="48C822F5">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3、比选人或招标代理机构答复参选人质疑应当采用书面方式并依法送达，质疑参选人或其委托代理人拒绝签收的视为已经送达。</w:t>
      </w:r>
    </w:p>
    <w:p w14:paraId="2F09606D">
      <w:pPr>
        <w:pStyle w:val="9"/>
        <w:spacing w:line="420" w:lineRule="exact"/>
        <w:ind w:left="0" w:right="-260" w:rightChars="-124" w:firstLine="480" w:firstLineChars="200"/>
        <w:contextualSpacing/>
        <w:rPr>
          <w:rFonts w:hint="eastAsia" w:ascii="宋体" w:hAnsi="宋体" w:eastAsia="宋体" w:cs="宋体"/>
          <w:sz w:val="24"/>
          <w:szCs w:val="24"/>
          <w:highlight w:val="none"/>
        </w:rPr>
      </w:pPr>
      <w:bookmarkStart w:id="153" w:name="_Toc23635"/>
      <w:bookmarkStart w:id="154" w:name="_Toc15988"/>
      <w:bookmarkStart w:id="155" w:name="_Toc22138"/>
      <w:r>
        <w:rPr>
          <w:rFonts w:hint="eastAsia" w:ascii="宋体" w:hAnsi="宋体" w:eastAsia="宋体" w:cs="宋体"/>
          <w:sz w:val="24"/>
          <w:szCs w:val="24"/>
          <w:highlight w:val="none"/>
        </w:rPr>
        <w:t>三、质疑处理</w:t>
      </w:r>
      <w:bookmarkEnd w:id="153"/>
      <w:bookmarkEnd w:id="154"/>
    </w:p>
    <w:bookmarkEnd w:id="155"/>
    <w:p w14:paraId="6B45E388">
      <w:pPr>
        <w:pStyle w:val="9"/>
        <w:spacing w:line="420" w:lineRule="exact"/>
        <w:ind w:left="0" w:right="-260" w:rightChars="-124" w:firstLine="480" w:firstLineChars="200"/>
        <w:contextualSpacing/>
        <w:rPr>
          <w:rFonts w:hint="eastAsia" w:ascii="宋体" w:hAnsi="宋体" w:eastAsia="宋体" w:cs="宋体"/>
          <w:sz w:val="24"/>
          <w:szCs w:val="24"/>
          <w:highlight w:val="none"/>
        </w:rPr>
      </w:pPr>
      <w:bookmarkStart w:id="156" w:name="_Toc29318"/>
      <w:r>
        <w:rPr>
          <w:rFonts w:hint="eastAsia" w:ascii="宋体" w:hAnsi="宋体" w:eastAsia="宋体" w:cs="宋体"/>
          <w:sz w:val="24"/>
          <w:szCs w:val="24"/>
          <w:highlight w:val="none"/>
        </w:rPr>
        <w:t>1、质疑成立的处理</w:t>
      </w:r>
      <w:bookmarkEnd w:id="156"/>
    </w:p>
    <w:p w14:paraId="514E5B62">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（1）对于内容、格式符合规定的质疑函，比选人在收到参选人的书面质疑后七个工作日内作出书面答复，但答复的内容不得涉及商业秘密。</w:t>
      </w:r>
    </w:p>
    <w:p w14:paraId="7A7565C8">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（2）对招标文件提出的质疑，依法通过澄清或者修改可以继续开展招投标活动的，澄清或者修改招标文件后继续开展招投标活动；否则应当修改招标文件后重新开展招投标活动。</w:t>
      </w:r>
    </w:p>
    <w:p w14:paraId="67D64CBF">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（3）对招投标过程、中标或者成交结果提出的质疑，合格参选人符合法定数量时，可以从合格的中标候选人中另行确定中标、成交人的，应当依法另行确定中选人；否则应当重新开展招投标活动。</w:t>
      </w:r>
    </w:p>
    <w:p w14:paraId="2D81C86E">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（4）质疑答复导致中标、成交结果改变的，比选人或者招标代理机构应当将有关情况书面报告项目主管部门。</w:t>
      </w:r>
    </w:p>
    <w:p w14:paraId="19FABAF7">
      <w:pPr>
        <w:pStyle w:val="9"/>
        <w:spacing w:line="420" w:lineRule="exact"/>
        <w:ind w:left="0" w:right="-260" w:rightChars="-124" w:firstLine="480" w:firstLineChars="200"/>
        <w:contextualSpacing/>
        <w:rPr>
          <w:rFonts w:hint="eastAsia" w:ascii="宋体" w:hAnsi="宋体" w:eastAsia="宋体" w:cs="宋体"/>
          <w:sz w:val="24"/>
          <w:szCs w:val="24"/>
          <w:highlight w:val="none"/>
        </w:rPr>
      </w:pPr>
      <w:bookmarkStart w:id="157" w:name="_Toc16354"/>
      <w:r>
        <w:rPr>
          <w:rFonts w:hint="eastAsia" w:ascii="宋体" w:hAnsi="宋体" w:eastAsia="宋体" w:cs="宋体"/>
          <w:sz w:val="24"/>
          <w:szCs w:val="24"/>
          <w:highlight w:val="none"/>
        </w:rPr>
        <w:t>2、质疑不成立的处理</w:t>
      </w:r>
      <w:bookmarkEnd w:id="157"/>
    </w:p>
    <w:p w14:paraId="2F5EAB6B">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若质疑不成立，或者成立未对中标、成交结果构成影响的，继续开展招投标活动。</w:t>
      </w:r>
    </w:p>
    <w:p w14:paraId="089A3C0B">
      <w:pPr>
        <w:pStyle w:val="9"/>
        <w:spacing w:line="420" w:lineRule="exact"/>
        <w:ind w:left="0" w:right="-260" w:rightChars="-124" w:firstLine="480" w:firstLineChars="200"/>
        <w:contextualSpacing/>
        <w:rPr>
          <w:rFonts w:hint="eastAsia" w:ascii="宋体" w:hAnsi="宋体" w:eastAsia="宋体" w:cs="宋体"/>
          <w:sz w:val="24"/>
          <w:szCs w:val="24"/>
          <w:highlight w:val="none"/>
        </w:rPr>
      </w:pPr>
      <w:bookmarkStart w:id="158" w:name="_Toc50"/>
      <w:r>
        <w:rPr>
          <w:rFonts w:hint="eastAsia" w:ascii="宋体" w:hAnsi="宋体" w:eastAsia="宋体" w:cs="宋体"/>
          <w:sz w:val="24"/>
          <w:szCs w:val="24"/>
          <w:highlight w:val="none"/>
        </w:rPr>
        <w:t>3、虚假质疑的处理</w:t>
      </w:r>
      <w:bookmarkEnd w:id="158"/>
    </w:p>
    <w:p w14:paraId="65093E4C">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（1）参选人提出书面质疑必须有理、有据，不得恶意质疑或提交虚假质疑。否则，一经查实，比选人有权对该参选人进行相应的处罚。</w:t>
      </w:r>
    </w:p>
    <w:p w14:paraId="5A83615C">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（2）在江苏省范围内一年累计三次以上质疑，均查无实据的参选人将按失信行为记入该注册参选人诚信档案中。</w:t>
      </w:r>
    </w:p>
    <w:p w14:paraId="20F5A9C8">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（3）受理质疑和答复相关咨询：</w:t>
      </w:r>
    </w:p>
    <w:p w14:paraId="4407D8EE">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内部监督员：曹老师</w:t>
      </w:r>
    </w:p>
    <w:p w14:paraId="10D03BF1">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投诉举报电话：18862941616</w:t>
      </w:r>
    </w:p>
    <w:p w14:paraId="6162A4D9">
      <w:pPr>
        <w:pStyle w:val="9"/>
        <w:spacing w:line="420" w:lineRule="exact"/>
        <w:ind w:left="0" w:right="-260" w:rightChars="-124"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通信地址：南通市崇川区崇川路158号18楼</w:t>
      </w:r>
    </w:p>
    <w:p w14:paraId="185E47AC">
      <w:pPr>
        <w:pStyle w:val="9"/>
        <w:spacing w:line="420" w:lineRule="exact"/>
        <w:ind w:left="0" w:right="-260" w:rightChars="-124" w:firstLine="480" w:firstLineChars="200"/>
        <w:contextualSpacing/>
        <w:rPr>
          <w:rFonts w:hint="eastAsia" w:ascii="宋体" w:hAnsi="宋体" w:eastAsia="宋体" w:cs="宋体"/>
          <w:sz w:val="24"/>
          <w:szCs w:val="24"/>
          <w:highlight w:val="none"/>
        </w:rPr>
      </w:pPr>
    </w:p>
    <w:p w14:paraId="2E03002B">
      <w:pPr>
        <w:spacing w:line="420" w:lineRule="exact"/>
        <w:ind w:right="-941" w:rightChars="-448"/>
        <w:jc w:val="center"/>
        <w:rPr>
          <w:rFonts w:hint="eastAsia" w:ascii="宋体" w:hAnsi="宋体" w:eastAsia="宋体" w:cs="宋体"/>
          <w:kern w:val="0"/>
          <w:sz w:val="24"/>
          <w:highlight w:val="none"/>
          <w:lang w:val="zh-CN"/>
        </w:rPr>
        <w:sectPr>
          <w:footerReference r:id="rId9" w:type="default"/>
          <w:pgSz w:w="11905" w:h="16838"/>
          <w:pgMar w:top="1440" w:right="1463" w:bottom="1440" w:left="1463" w:header="850" w:footer="992" w:gutter="0"/>
          <w:pgBorders>
            <w:top w:val="none" w:sz="0" w:space="0"/>
            <w:left w:val="none" w:sz="0" w:space="0"/>
            <w:bottom w:val="none" w:sz="0" w:space="0"/>
            <w:right w:val="none" w:sz="0" w:space="0"/>
          </w:pgBorders>
          <w:pgNumType w:fmt="decimal"/>
          <w:cols w:space="720" w:num="1"/>
          <w:docGrid w:type="lines" w:linePitch="325" w:charSpace="0"/>
        </w:sectPr>
      </w:pPr>
    </w:p>
    <w:p w14:paraId="252777D5">
      <w:pPr>
        <w:spacing w:line="440" w:lineRule="exact"/>
        <w:ind w:right="-941" w:rightChars="-448"/>
        <w:jc w:val="center"/>
        <w:outlineLvl w:val="0"/>
        <w:rPr>
          <w:rFonts w:hint="eastAsia" w:ascii="宋体" w:hAnsi="宋体" w:eastAsia="宋体" w:cs="宋体"/>
          <w:b/>
          <w:sz w:val="32"/>
          <w:szCs w:val="32"/>
          <w:highlight w:val="none"/>
          <w:lang w:val="zh-CN"/>
        </w:rPr>
      </w:pPr>
      <w:bookmarkStart w:id="159" w:name="_Toc1475"/>
      <w:bookmarkStart w:id="160" w:name="_Toc12215"/>
      <w:bookmarkStart w:id="161" w:name="_Toc5930"/>
      <w:bookmarkStart w:id="162" w:name="_Toc9891"/>
      <w:r>
        <w:rPr>
          <w:rFonts w:hint="eastAsia" w:ascii="宋体" w:hAnsi="宋体" w:eastAsia="宋体" w:cs="宋体"/>
          <w:b/>
          <w:sz w:val="32"/>
          <w:szCs w:val="32"/>
          <w:highlight w:val="none"/>
          <w:lang w:val="zh-CN"/>
        </w:rPr>
        <w:t>第</w:t>
      </w:r>
      <w:r>
        <w:rPr>
          <w:rFonts w:hint="eastAsia" w:ascii="宋体" w:hAnsi="宋体" w:eastAsia="宋体" w:cs="宋体"/>
          <w:b/>
          <w:sz w:val="32"/>
          <w:szCs w:val="32"/>
          <w:highlight w:val="none"/>
        </w:rPr>
        <w:t>七章</w:t>
      </w:r>
      <w:r>
        <w:rPr>
          <w:rFonts w:hint="eastAsia" w:ascii="宋体" w:hAnsi="宋体" w:eastAsia="宋体" w:cs="宋体"/>
          <w:b/>
          <w:sz w:val="32"/>
          <w:szCs w:val="32"/>
          <w:highlight w:val="none"/>
          <w:lang w:val="zh-CN"/>
        </w:rPr>
        <w:t xml:space="preserve">  参选文件组成</w:t>
      </w:r>
      <w:bookmarkEnd w:id="159"/>
      <w:bookmarkEnd w:id="160"/>
      <w:bookmarkEnd w:id="161"/>
      <w:bookmarkEnd w:id="162"/>
    </w:p>
    <w:p w14:paraId="1F61D97C">
      <w:pPr>
        <w:rPr>
          <w:rFonts w:hint="eastAsia" w:ascii="宋体" w:hAnsi="宋体" w:eastAsia="宋体" w:cs="宋体"/>
          <w:highlight w:val="none"/>
        </w:rPr>
      </w:pPr>
      <w:bookmarkStart w:id="163" w:name="_Toc30967_WPSOffice_Level2"/>
      <w:bookmarkStart w:id="164" w:name="_Toc16566_WPSOffice_Level2"/>
      <w:bookmarkStart w:id="165" w:name="_Toc16976_WPSOffice_Level2"/>
    </w:p>
    <w:bookmarkEnd w:id="163"/>
    <w:bookmarkEnd w:id="164"/>
    <w:bookmarkEnd w:id="165"/>
    <w:p w14:paraId="026D9BF5">
      <w:pPr>
        <w:rPr>
          <w:rFonts w:hint="eastAsia" w:ascii="宋体" w:hAnsi="宋体" w:eastAsia="宋体" w:cs="宋体"/>
          <w:highlight w:val="none"/>
        </w:rPr>
      </w:pPr>
    </w:p>
    <w:p w14:paraId="77E1E163">
      <w:pPr>
        <w:rPr>
          <w:rFonts w:hint="eastAsia" w:ascii="宋体" w:hAnsi="宋体" w:eastAsia="宋体" w:cs="宋体"/>
          <w:highlight w:val="none"/>
        </w:rPr>
      </w:pPr>
    </w:p>
    <w:p w14:paraId="18531755">
      <w:pPr>
        <w:spacing w:line="440" w:lineRule="exact"/>
        <w:jc w:val="center"/>
        <w:rPr>
          <w:rFonts w:hint="eastAsia" w:ascii="宋体" w:hAnsi="宋体" w:eastAsia="宋体" w:cs="宋体"/>
          <w:b/>
          <w:sz w:val="36"/>
          <w:szCs w:val="36"/>
          <w:highlight w:val="none"/>
        </w:rPr>
      </w:pPr>
    </w:p>
    <w:p w14:paraId="05446E8B">
      <w:pPr>
        <w:ind w:right="-521" w:rightChars="-248"/>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南通轨道交通城市消防远程监控中心设施设备采购项目</w:t>
      </w:r>
    </w:p>
    <w:p w14:paraId="3BBC60E3">
      <w:pPr>
        <w:ind w:right="-521" w:rightChars="-248"/>
        <w:rPr>
          <w:rFonts w:hint="eastAsia" w:ascii="宋体" w:hAnsi="宋体" w:eastAsia="宋体" w:cs="宋体"/>
          <w:highlight w:val="none"/>
        </w:rPr>
      </w:pPr>
      <w:bookmarkStart w:id="166" w:name="_Toc20680"/>
      <w:bookmarkStart w:id="167" w:name="_Toc20468"/>
      <w:bookmarkStart w:id="168" w:name="_Toc20415"/>
      <w:bookmarkStart w:id="169" w:name="_Toc29099"/>
    </w:p>
    <w:p w14:paraId="3B25ABC4">
      <w:pPr>
        <w:spacing w:line="440" w:lineRule="exact"/>
        <w:ind w:right="-521" w:rightChars="-248"/>
        <w:jc w:val="center"/>
        <w:outlineLvl w:val="0"/>
        <w:rPr>
          <w:rFonts w:hint="eastAsia" w:ascii="宋体" w:hAnsi="宋体" w:eastAsia="宋体" w:cs="宋体"/>
          <w:b/>
          <w:bCs/>
          <w:sz w:val="36"/>
          <w:szCs w:val="36"/>
          <w:highlight w:val="none"/>
        </w:rPr>
      </w:pPr>
      <w:bookmarkStart w:id="170" w:name="_Toc30049"/>
      <w:r>
        <w:rPr>
          <w:rFonts w:hint="eastAsia" w:ascii="宋体" w:hAnsi="宋体" w:eastAsia="宋体" w:cs="宋体"/>
          <w:b/>
          <w:bCs/>
          <w:sz w:val="36"/>
          <w:szCs w:val="36"/>
          <w:highlight w:val="none"/>
        </w:rPr>
        <w:t>（资格审查文件）</w:t>
      </w:r>
      <w:bookmarkEnd w:id="166"/>
      <w:bookmarkEnd w:id="167"/>
      <w:bookmarkEnd w:id="168"/>
      <w:bookmarkEnd w:id="169"/>
      <w:bookmarkEnd w:id="170"/>
    </w:p>
    <w:p w14:paraId="794A3DC5">
      <w:pPr>
        <w:spacing w:line="440" w:lineRule="exact"/>
        <w:ind w:right="-521" w:rightChars="-248"/>
        <w:rPr>
          <w:rFonts w:hint="eastAsia" w:ascii="宋体" w:hAnsi="宋体" w:eastAsia="宋体" w:cs="宋体"/>
          <w:sz w:val="32"/>
          <w:highlight w:val="none"/>
        </w:rPr>
      </w:pPr>
    </w:p>
    <w:p w14:paraId="29F16FD0">
      <w:pPr>
        <w:spacing w:line="440" w:lineRule="exact"/>
        <w:ind w:right="-521" w:rightChars="-248"/>
        <w:rPr>
          <w:rFonts w:hint="eastAsia" w:ascii="宋体" w:hAnsi="宋体" w:eastAsia="宋体" w:cs="宋体"/>
          <w:sz w:val="32"/>
          <w:highlight w:val="none"/>
        </w:rPr>
      </w:pPr>
    </w:p>
    <w:p w14:paraId="7EF791F3">
      <w:pPr>
        <w:spacing w:line="440" w:lineRule="exact"/>
        <w:ind w:right="-521" w:rightChars="-248"/>
        <w:rPr>
          <w:rFonts w:hint="eastAsia" w:ascii="宋体" w:hAnsi="宋体" w:eastAsia="宋体" w:cs="宋体"/>
          <w:sz w:val="32"/>
          <w:highlight w:val="none"/>
        </w:rPr>
      </w:pPr>
    </w:p>
    <w:p w14:paraId="47EAEC40">
      <w:pPr>
        <w:spacing w:line="440" w:lineRule="exact"/>
        <w:ind w:right="-521" w:rightChars="-248"/>
        <w:rPr>
          <w:rFonts w:hint="eastAsia" w:ascii="宋体" w:hAnsi="宋体" w:eastAsia="宋体" w:cs="宋体"/>
          <w:sz w:val="32"/>
          <w:highlight w:val="none"/>
        </w:rPr>
      </w:pPr>
    </w:p>
    <w:p w14:paraId="65A456E5">
      <w:pPr>
        <w:spacing w:line="440" w:lineRule="exact"/>
        <w:ind w:right="-521" w:rightChars="-248"/>
        <w:rPr>
          <w:rFonts w:hint="eastAsia" w:ascii="宋体" w:hAnsi="宋体" w:eastAsia="宋体" w:cs="宋体"/>
          <w:sz w:val="32"/>
          <w:highlight w:val="none"/>
        </w:rPr>
      </w:pPr>
    </w:p>
    <w:p w14:paraId="63A1708E">
      <w:pPr>
        <w:ind w:right="-521" w:rightChars="-248"/>
        <w:rPr>
          <w:rFonts w:hint="eastAsia" w:ascii="宋体" w:hAnsi="宋体" w:eastAsia="宋体" w:cs="宋体"/>
          <w:highlight w:val="none"/>
        </w:rPr>
      </w:pPr>
    </w:p>
    <w:p w14:paraId="54011B16">
      <w:pPr>
        <w:ind w:right="-521" w:rightChars="-248"/>
        <w:rPr>
          <w:rFonts w:hint="eastAsia" w:ascii="宋体" w:hAnsi="宋体" w:eastAsia="宋体" w:cs="宋体"/>
          <w:sz w:val="32"/>
          <w:highlight w:val="none"/>
        </w:rPr>
      </w:pPr>
    </w:p>
    <w:p w14:paraId="474307CA">
      <w:pPr>
        <w:spacing w:line="440" w:lineRule="exact"/>
        <w:ind w:right="-521" w:rightChars="-248"/>
        <w:rPr>
          <w:rFonts w:hint="eastAsia" w:ascii="宋体" w:hAnsi="宋体" w:eastAsia="宋体" w:cs="宋体"/>
          <w:sz w:val="32"/>
          <w:highlight w:val="none"/>
        </w:rPr>
      </w:pPr>
    </w:p>
    <w:p w14:paraId="29A8FE1D">
      <w:pPr>
        <w:ind w:right="-521" w:rightChars="-248"/>
        <w:rPr>
          <w:rFonts w:hint="eastAsia" w:ascii="宋体" w:hAnsi="宋体" w:eastAsia="宋体" w:cs="宋体"/>
          <w:highlight w:val="none"/>
        </w:rPr>
      </w:pPr>
    </w:p>
    <w:p w14:paraId="6AEB5967">
      <w:pPr>
        <w:ind w:right="-521" w:rightChars="-248"/>
        <w:rPr>
          <w:rFonts w:hint="eastAsia" w:ascii="宋体" w:hAnsi="宋体" w:eastAsia="宋体" w:cs="宋体"/>
          <w:b/>
          <w:bCs/>
          <w:sz w:val="28"/>
          <w:szCs w:val="28"/>
          <w:highlight w:val="none"/>
        </w:rPr>
      </w:pPr>
      <w:bookmarkStart w:id="171" w:name="_Toc25691_WPSOffice_Level3"/>
      <w:bookmarkStart w:id="172" w:name="_Toc22742_WPSOffice_Level3"/>
      <w:bookmarkStart w:id="173" w:name="_Toc25067_WPSOffice_Level3"/>
      <w:bookmarkStart w:id="174" w:name="_Toc18398"/>
    </w:p>
    <w:p w14:paraId="5AFC3B39">
      <w:pPr>
        <w:ind w:right="-521" w:rightChars="-248"/>
        <w:rPr>
          <w:rFonts w:hint="eastAsia" w:ascii="宋体" w:hAnsi="宋体" w:eastAsia="宋体" w:cs="宋体"/>
          <w:highlight w:val="none"/>
        </w:rPr>
      </w:pPr>
    </w:p>
    <w:bookmarkEnd w:id="171"/>
    <w:bookmarkEnd w:id="172"/>
    <w:bookmarkEnd w:id="173"/>
    <w:bookmarkEnd w:id="174"/>
    <w:p w14:paraId="230F7D87">
      <w:pPr>
        <w:ind w:right="-521" w:rightChars="-248" w:firstLine="1687" w:firstLineChars="600"/>
        <w:rPr>
          <w:rFonts w:hint="eastAsia" w:ascii="宋体" w:hAnsi="宋体" w:eastAsia="宋体" w:cs="宋体"/>
          <w:b/>
          <w:bCs/>
          <w:sz w:val="28"/>
          <w:szCs w:val="28"/>
          <w:highlight w:val="none"/>
        </w:rPr>
      </w:pPr>
    </w:p>
    <w:p w14:paraId="5EA01F91">
      <w:pPr>
        <w:ind w:right="-521" w:rightChars="-248"/>
        <w:jc w:val="center"/>
        <w:rPr>
          <w:rFonts w:hint="eastAsia" w:ascii="宋体" w:hAnsi="宋体" w:eastAsia="宋体" w:cs="宋体"/>
          <w:b/>
          <w:bCs/>
          <w:sz w:val="28"/>
          <w:szCs w:val="28"/>
          <w:highlight w:val="none"/>
        </w:rPr>
      </w:pPr>
      <w:bookmarkStart w:id="175" w:name="_Toc12943"/>
      <w:bookmarkStart w:id="176" w:name="_Toc26305"/>
      <w:bookmarkStart w:id="177" w:name="_Toc15095"/>
      <w:bookmarkStart w:id="178" w:name="_Toc20169"/>
      <w:bookmarkStart w:id="179" w:name="_Toc10713"/>
    </w:p>
    <w:p w14:paraId="26026861">
      <w:pPr>
        <w:ind w:right="-521" w:rightChars="-248"/>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参  选  人：</w:t>
      </w:r>
      <w:r>
        <w:rPr>
          <w:rFonts w:hint="eastAsia" w:ascii="宋体" w:hAnsi="宋体" w:eastAsia="宋体" w:cs="宋体"/>
          <w:b/>
          <w:bCs/>
          <w:sz w:val="28"/>
          <w:szCs w:val="28"/>
          <w:highlight w:val="none"/>
          <w:u w:val="single"/>
        </w:rPr>
        <w:t xml:space="preserve">         （全称）（盖章）</w:t>
      </w:r>
    </w:p>
    <w:p w14:paraId="15222885">
      <w:pPr>
        <w:ind w:right="-521" w:rightChars="-248"/>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法定代表人：</w:t>
      </w:r>
      <w:r>
        <w:rPr>
          <w:rFonts w:hint="eastAsia" w:ascii="宋体" w:hAnsi="宋体" w:eastAsia="宋体" w:cs="宋体"/>
          <w:b/>
          <w:bCs/>
          <w:sz w:val="28"/>
          <w:szCs w:val="28"/>
          <w:highlight w:val="none"/>
          <w:u w:val="single"/>
        </w:rPr>
        <w:t xml:space="preserve">           （签字或盖章）</w:t>
      </w:r>
    </w:p>
    <w:p w14:paraId="500E02E5">
      <w:pPr>
        <w:ind w:right="-521" w:rightChars="-248"/>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时      间：       年      月      日</w:t>
      </w:r>
    </w:p>
    <w:p w14:paraId="4B510404">
      <w:pPr>
        <w:spacing w:line="440" w:lineRule="exact"/>
        <w:ind w:right="-521" w:rightChars="-248" w:firstLine="1928" w:firstLineChars="600"/>
        <w:jc w:val="center"/>
        <w:rPr>
          <w:rFonts w:hint="eastAsia" w:ascii="宋体" w:hAnsi="宋体" w:eastAsia="宋体" w:cs="宋体"/>
          <w:b/>
          <w:bCs/>
          <w:sz w:val="32"/>
          <w:szCs w:val="32"/>
          <w:highlight w:val="none"/>
        </w:rPr>
        <w:sectPr>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docGrid w:type="lines" w:linePitch="325" w:charSpace="0"/>
        </w:sectPr>
      </w:pPr>
    </w:p>
    <w:p w14:paraId="35CADDA2">
      <w:pPr>
        <w:pStyle w:val="2"/>
        <w:spacing w:line="440" w:lineRule="exact"/>
        <w:jc w:val="center"/>
        <w:rPr>
          <w:rFonts w:hint="eastAsia" w:ascii="宋体" w:hAnsi="宋体" w:eastAsia="宋体" w:cs="宋体"/>
          <w:highlight w:val="none"/>
        </w:rPr>
      </w:pPr>
      <w:bookmarkStart w:id="180" w:name="_Toc23411"/>
      <w:bookmarkStart w:id="181" w:name="_Toc14884"/>
      <w:bookmarkStart w:id="182" w:name="_Toc28499"/>
      <w:r>
        <w:rPr>
          <w:rFonts w:hint="eastAsia" w:ascii="宋体" w:hAnsi="宋体" w:eastAsia="宋体" w:cs="宋体"/>
          <w:highlight w:val="none"/>
        </w:rPr>
        <w:t>目  录</w:t>
      </w:r>
      <w:bookmarkEnd w:id="175"/>
      <w:bookmarkEnd w:id="176"/>
      <w:bookmarkEnd w:id="177"/>
      <w:bookmarkEnd w:id="178"/>
      <w:bookmarkEnd w:id="179"/>
      <w:bookmarkEnd w:id="180"/>
      <w:bookmarkEnd w:id="181"/>
      <w:bookmarkEnd w:id="182"/>
    </w:p>
    <w:p w14:paraId="1150246E">
      <w:pPr>
        <w:spacing w:line="440" w:lineRule="exact"/>
        <w:rPr>
          <w:rFonts w:hint="eastAsia" w:ascii="宋体" w:hAnsi="宋体" w:eastAsia="宋体" w:cs="宋体"/>
          <w:sz w:val="24"/>
          <w:highlight w:val="none"/>
        </w:rPr>
      </w:pPr>
      <w:bookmarkStart w:id="183" w:name="_Toc30041"/>
      <w:bookmarkStart w:id="184" w:name="_Toc9958"/>
      <w:bookmarkStart w:id="185" w:name="_Toc30629"/>
      <w:r>
        <w:rPr>
          <w:rFonts w:hint="eastAsia" w:ascii="宋体" w:hAnsi="宋体" w:eastAsia="宋体" w:cs="宋体"/>
          <w:sz w:val="24"/>
          <w:highlight w:val="none"/>
        </w:rPr>
        <w:t>一</w:t>
      </w:r>
      <w:r>
        <w:rPr>
          <w:rFonts w:hint="eastAsia" w:ascii="宋体" w:hAnsi="宋体" w:cs="宋体"/>
          <w:sz w:val="24"/>
          <w:highlight w:val="none"/>
          <w:lang w:eastAsia="zh-CN"/>
        </w:rPr>
        <w:t>、</w:t>
      </w:r>
      <w:r>
        <w:rPr>
          <w:rFonts w:hint="eastAsia" w:ascii="宋体" w:hAnsi="宋体" w:eastAsia="宋体" w:cs="宋体"/>
          <w:sz w:val="24"/>
          <w:highlight w:val="none"/>
        </w:rPr>
        <w:t>法定代表人身份证明或其授权委托书</w:t>
      </w:r>
      <w:bookmarkEnd w:id="183"/>
      <w:bookmarkEnd w:id="184"/>
      <w:bookmarkEnd w:id="185"/>
    </w:p>
    <w:p w14:paraId="4149C3D6">
      <w:pPr>
        <w:spacing w:line="440" w:lineRule="exact"/>
        <w:rPr>
          <w:rFonts w:hint="eastAsia" w:ascii="宋体" w:hAnsi="宋体" w:eastAsia="宋体" w:cs="宋体"/>
          <w:sz w:val="24"/>
          <w:highlight w:val="none"/>
        </w:rPr>
      </w:pPr>
      <w:bookmarkStart w:id="186" w:name="_Toc30089_WPSOffice_Level3"/>
      <w:bookmarkStart w:id="187" w:name="_Toc24867"/>
      <w:bookmarkStart w:id="188" w:name="_Toc18864_WPSOffice_Level3"/>
      <w:bookmarkStart w:id="189" w:name="_Toc28094"/>
      <w:bookmarkStart w:id="190" w:name="_Toc27775"/>
      <w:r>
        <w:rPr>
          <w:rFonts w:hint="eastAsia" w:ascii="宋体" w:hAnsi="宋体" w:eastAsia="宋体" w:cs="宋体"/>
          <w:sz w:val="24"/>
          <w:highlight w:val="none"/>
        </w:rPr>
        <w:t>二</w:t>
      </w:r>
      <w:r>
        <w:rPr>
          <w:rFonts w:hint="eastAsia" w:ascii="宋体" w:hAnsi="宋体" w:cs="宋体"/>
          <w:sz w:val="24"/>
          <w:highlight w:val="none"/>
          <w:lang w:eastAsia="zh-CN"/>
        </w:rPr>
        <w:t>、</w:t>
      </w:r>
      <w:r>
        <w:rPr>
          <w:rFonts w:hint="eastAsia" w:ascii="宋体" w:hAnsi="宋体" w:eastAsia="宋体" w:cs="宋体"/>
          <w:sz w:val="24"/>
          <w:highlight w:val="none"/>
        </w:rPr>
        <w:t>参选人基本情况表</w:t>
      </w:r>
      <w:bookmarkEnd w:id="186"/>
      <w:bookmarkEnd w:id="187"/>
      <w:bookmarkEnd w:id="188"/>
      <w:bookmarkEnd w:id="189"/>
      <w:bookmarkEnd w:id="190"/>
      <w:bookmarkStart w:id="191" w:name="_Toc16802"/>
      <w:bookmarkStart w:id="192" w:name="_Toc30487_WPSOffice_Level3"/>
      <w:bookmarkStart w:id="193" w:name="_Toc27952"/>
      <w:bookmarkStart w:id="194" w:name="_Toc29264"/>
      <w:bookmarkStart w:id="195" w:name="_Toc2754_WPSOffice_Level3"/>
    </w:p>
    <w:p w14:paraId="435EE173">
      <w:pPr>
        <w:spacing w:line="44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三</w:t>
      </w:r>
      <w:r>
        <w:rPr>
          <w:rFonts w:hint="eastAsia" w:ascii="宋体" w:hAnsi="宋体" w:cs="宋体"/>
          <w:sz w:val="24"/>
          <w:highlight w:val="none"/>
          <w:lang w:eastAsia="zh-CN"/>
        </w:rPr>
        <w:t>、</w:t>
      </w:r>
      <w:r>
        <w:rPr>
          <w:rFonts w:hint="eastAsia" w:ascii="宋体" w:hAnsi="宋体" w:cs="宋体"/>
          <w:sz w:val="24"/>
          <w:highlight w:val="none"/>
          <w:lang w:val="en-US" w:eastAsia="zh-CN"/>
        </w:rPr>
        <w:t>生产企业资格声明</w:t>
      </w:r>
    </w:p>
    <w:p w14:paraId="334E2417">
      <w:pPr>
        <w:spacing w:line="440" w:lineRule="exac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四、代理企业授权委托书</w:t>
      </w:r>
    </w:p>
    <w:p w14:paraId="5CF4CFAE">
      <w:pPr>
        <w:spacing w:line="440" w:lineRule="exact"/>
        <w:rPr>
          <w:rFonts w:hint="eastAsia" w:ascii="宋体" w:hAnsi="宋体" w:eastAsia="宋体" w:cs="宋体"/>
          <w:sz w:val="24"/>
          <w:highlight w:val="none"/>
        </w:rPr>
      </w:pPr>
      <w:r>
        <w:rPr>
          <w:rFonts w:hint="eastAsia" w:ascii="宋体" w:hAnsi="宋体" w:cs="宋体"/>
          <w:sz w:val="24"/>
          <w:highlight w:val="none"/>
          <w:lang w:val="en-US" w:eastAsia="zh-CN"/>
        </w:rPr>
        <w:t>五、</w:t>
      </w:r>
      <w:r>
        <w:rPr>
          <w:rFonts w:hint="eastAsia" w:ascii="宋体" w:hAnsi="宋体" w:eastAsia="宋体" w:cs="宋体"/>
          <w:sz w:val="24"/>
          <w:highlight w:val="none"/>
        </w:rPr>
        <w:t>企业业绩概况表</w:t>
      </w:r>
    </w:p>
    <w:p w14:paraId="7E54B2ED">
      <w:pPr>
        <w:spacing w:line="440" w:lineRule="exact"/>
        <w:rPr>
          <w:rFonts w:hint="eastAsia" w:ascii="宋体" w:hAnsi="宋体" w:eastAsia="宋体" w:cs="宋体"/>
          <w:sz w:val="24"/>
          <w:highlight w:val="none"/>
        </w:rPr>
      </w:pPr>
      <w:r>
        <w:rPr>
          <w:rFonts w:hint="eastAsia" w:ascii="宋体" w:hAnsi="宋体" w:cs="宋体"/>
          <w:sz w:val="24"/>
          <w:highlight w:val="none"/>
          <w:lang w:val="en-US" w:eastAsia="zh-CN"/>
        </w:rPr>
        <w:t>六</w:t>
      </w:r>
      <w:bookmarkEnd w:id="191"/>
      <w:bookmarkEnd w:id="192"/>
      <w:bookmarkEnd w:id="193"/>
      <w:bookmarkEnd w:id="194"/>
      <w:bookmarkEnd w:id="195"/>
      <w:r>
        <w:rPr>
          <w:rFonts w:hint="eastAsia" w:ascii="宋体" w:hAnsi="宋体" w:cs="宋体"/>
          <w:sz w:val="24"/>
          <w:highlight w:val="none"/>
          <w:lang w:eastAsia="zh-CN"/>
        </w:rPr>
        <w:t>、</w:t>
      </w:r>
      <w:r>
        <w:rPr>
          <w:rFonts w:hint="eastAsia" w:ascii="宋体" w:hAnsi="宋体" w:eastAsia="宋体" w:cs="宋体"/>
          <w:sz w:val="24"/>
          <w:highlight w:val="none"/>
        </w:rPr>
        <w:t>承诺书</w:t>
      </w:r>
    </w:p>
    <w:p w14:paraId="2D41E6B0">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（参选人自行编制目录页码）</w:t>
      </w:r>
    </w:p>
    <w:p w14:paraId="4F4129D2">
      <w:pPr>
        <w:pStyle w:val="2"/>
        <w:spacing w:line="440" w:lineRule="exact"/>
        <w:rPr>
          <w:rFonts w:hint="eastAsia" w:ascii="宋体" w:hAnsi="宋体" w:eastAsia="宋体" w:cs="宋体"/>
          <w:sz w:val="24"/>
          <w:szCs w:val="24"/>
          <w:highlight w:val="none"/>
        </w:rPr>
        <w:sectPr>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docGrid w:type="lines" w:linePitch="325" w:charSpace="0"/>
        </w:sectPr>
      </w:pPr>
    </w:p>
    <w:p w14:paraId="3FCFE004">
      <w:pPr>
        <w:pStyle w:val="2"/>
        <w:spacing w:before="0" w:after="0" w:line="440" w:lineRule="exact"/>
        <w:jc w:val="center"/>
        <w:rPr>
          <w:rFonts w:hint="eastAsia" w:ascii="宋体" w:hAnsi="宋体" w:eastAsia="宋体" w:cs="宋体"/>
          <w:sz w:val="28"/>
          <w:szCs w:val="28"/>
          <w:highlight w:val="none"/>
        </w:rPr>
      </w:pPr>
      <w:bookmarkStart w:id="196" w:name="_Toc26699"/>
      <w:bookmarkStart w:id="197" w:name="_Toc16266"/>
      <w:bookmarkStart w:id="198" w:name="_Toc30555"/>
      <w:bookmarkStart w:id="199" w:name="_Toc14693"/>
      <w:bookmarkStart w:id="200" w:name="_Toc9079"/>
      <w:bookmarkStart w:id="201" w:name="_Toc27050"/>
      <w:bookmarkStart w:id="202" w:name="_Toc9174"/>
      <w:bookmarkStart w:id="203" w:name="_Toc7825"/>
      <w:bookmarkStart w:id="204" w:name="_Toc23909"/>
      <w:bookmarkStart w:id="205" w:name="_Toc23435"/>
      <w:r>
        <w:rPr>
          <w:rFonts w:hint="eastAsia" w:ascii="宋体" w:hAnsi="宋体" w:eastAsia="宋体" w:cs="宋体"/>
          <w:sz w:val="28"/>
          <w:szCs w:val="28"/>
          <w:highlight w:val="none"/>
        </w:rPr>
        <w:t>一</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法定代表人身份证明或其授权委托书</w:t>
      </w:r>
      <w:bookmarkEnd w:id="196"/>
      <w:bookmarkEnd w:id="197"/>
      <w:bookmarkEnd w:id="198"/>
      <w:bookmarkEnd w:id="199"/>
      <w:bookmarkEnd w:id="200"/>
      <w:bookmarkEnd w:id="201"/>
      <w:bookmarkEnd w:id="202"/>
      <w:bookmarkEnd w:id="203"/>
      <w:bookmarkEnd w:id="204"/>
      <w:bookmarkEnd w:id="205"/>
    </w:p>
    <w:p w14:paraId="741327AA">
      <w:pPr>
        <w:jc w:val="center"/>
        <w:rPr>
          <w:rFonts w:hint="eastAsia" w:ascii="宋体" w:hAnsi="宋体" w:eastAsia="宋体" w:cs="宋体"/>
          <w:b/>
          <w:bCs/>
          <w:sz w:val="24"/>
          <w:highlight w:val="none"/>
        </w:rPr>
      </w:pPr>
      <w:bookmarkStart w:id="206" w:name="_Toc17327_WPSOffice_Level3"/>
      <w:bookmarkStart w:id="207" w:name="_Toc18350_WPSOffice_Level3"/>
      <w:bookmarkStart w:id="208" w:name="_Toc16177"/>
      <w:r>
        <w:rPr>
          <w:rFonts w:hint="eastAsia" w:ascii="宋体" w:hAnsi="宋体" w:eastAsia="宋体" w:cs="宋体"/>
          <w:b/>
          <w:bCs/>
          <w:sz w:val="24"/>
          <w:highlight w:val="none"/>
        </w:rPr>
        <w:t>（一）法定代表人资格证明书</w:t>
      </w:r>
      <w:bookmarkEnd w:id="206"/>
      <w:bookmarkEnd w:id="207"/>
      <w:bookmarkEnd w:id="208"/>
    </w:p>
    <w:p w14:paraId="098C5EE1">
      <w:pPr>
        <w:adjustRightInd w:val="0"/>
        <w:snapToGrid w:val="0"/>
        <w:spacing w:line="440" w:lineRule="exact"/>
        <w:ind w:firstLine="420" w:firstLineChars="200"/>
        <w:rPr>
          <w:rFonts w:hint="eastAsia" w:ascii="宋体" w:hAnsi="宋体" w:eastAsia="宋体" w:cs="宋体"/>
          <w:szCs w:val="21"/>
          <w:highlight w:val="none"/>
        </w:rPr>
      </w:pPr>
    </w:p>
    <w:p w14:paraId="0BEF45D2">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参选人名称：</w:t>
      </w:r>
      <w:r>
        <w:rPr>
          <w:rFonts w:hint="eastAsia" w:ascii="宋体" w:hAnsi="宋体" w:eastAsia="宋体" w:cs="宋体"/>
          <w:szCs w:val="21"/>
          <w:highlight w:val="none"/>
          <w:u w:val="single"/>
        </w:rPr>
        <w:t xml:space="preserve">                                </w:t>
      </w:r>
    </w:p>
    <w:p w14:paraId="7B162C33">
      <w:pPr>
        <w:adjustRightInd w:val="0"/>
        <w:snapToGrid w:val="0"/>
        <w:spacing w:line="440" w:lineRule="exact"/>
        <w:ind w:firstLine="420" w:firstLineChars="200"/>
        <w:rPr>
          <w:rFonts w:hint="eastAsia" w:ascii="宋体" w:hAnsi="宋体" w:eastAsia="宋体" w:cs="宋体"/>
          <w:szCs w:val="21"/>
          <w:highlight w:val="none"/>
        </w:rPr>
      </w:pPr>
    </w:p>
    <w:p w14:paraId="31DC7DB6">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 xml:space="preserve">                                      </w:t>
      </w:r>
    </w:p>
    <w:p w14:paraId="3259A5E7">
      <w:pPr>
        <w:adjustRightInd w:val="0"/>
        <w:snapToGrid w:val="0"/>
        <w:spacing w:line="440" w:lineRule="exact"/>
        <w:ind w:firstLine="420" w:firstLineChars="200"/>
        <w:rPr>
          <w:rFonts w:hint="eastAsia" w:ascii="宋体" w:hAnsi="宋体" w:eastAsia="宋体" w:cs="宋体"/>
          <w:szCs w:val="21"/>
          <w:highlight w:val="none"/>
        </w:rPr>
      </w:pPr>
    </w:p>
    <w:p w14:paraId="37AE19B0">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姓名：</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性别：</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年龄：</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职务：</w:t>
      </w:r>
      <w:r>
        <w:rPr>
          <w:rFonts w:hint="eastAsia" w:ascii="宋体" w:hAnsi="宋体" w:eastAsia="宋体" w:cs="宋体"/>
          <w:szCs w:val="21"/>
          <w:highlight w:val="none"/>
          <w:u w:val="single"/>
        </w:rPr>
        <w:t xml:space="preserve">           </w:t>
      </w:r>
    </w:p>
    <w:p w14:paraId="38752E93">
      <w:pPr>
        <w:adjustRightInd w:val="0"/>
        <w:snapToGrid w:val="0"/>
        <w:spacing w:line="440" w:lineRule="exact"/>
        <w:ind w:firstLine="420" w:firstLineChars="200"/>
        <w:rPr>
          <w:rFonts w:hint="eastAsia" w:ascii="宋体" w:hAnsi="宋体" w:eastAsia="宋体" w:cs="宋体"/>
          <w:szCs w:val="21"/>
          <w:highlight w:val="none"/>
        </w:rPr>
      </w:pPr>
    </w:p>
    <w:p w14:paraId="35550EE1">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系</w:t>
      </w:r>
      <w:r>
        <w:rPr>
          <w:rFonts w:hint="eastAsia" w:ascii="宋体" w:hAnsi="宋体" w:eastAsia="宋体" w:cs="宋体"/>
          <w:szCs w:val="21"/>
          <w:highlight w:val="none"/>
          <w:u w:val="single"/>
        </w:rPr>
        <w:t xml:space="preserve">     （参选人名称）                       </w:t>
      </w:r>
      <w:r>
        <w:rPr>
          <w:rFonts w:hint="eastAsia" w:ascii="宋体" w:hAnsi="宋体" w:eastAsia="宋体" w:cs="宋体"/>
          <w:szCs w:val="21"/>
          <w:highlight w:val="none"/>
        </w:rPr>
        <w:t>的法定代表人。</w:t>
      </w:r>
    </w:p>
    <w:p w14:paraId="42DA2DE1">
      <w:pPr>
        <w:adjustRightInd w:val="0"/>
        <w:snapToGrid w:val="0"/>
        <w:spacing w:line="440" w:lineRule="exact"/>
        <w:ind w:firstLine="420" w:firstLineChars="200"/>
        <w:rPr>
          <w:rFonts w:hint="eastAsia" w:ascii="宋体" w:hAnsi="宋体" w:eastAsia="宋体" w:cs="宋体"/>
          <w:szCs w:val="21"/>
          <w:highlight w:val="none"/>
        </w:rPr>
      </w:pPr>
    </w:p>
    <w:p w14:paraId="45C3E997">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特此证明。</w:t>
      </w:r>
    </w:p>
    <w:p w14:paraId="138C326F">
      <w:pPr>
        <w:adjustRightInd w:val="0"/>
        <w:snapToGrid w:val="0"/>
        <w:spacing w:line="440" w:lineRule="exact"/>
        <w:ind w:firstLine="420" w:firstLineChars="200"/>
        <w:rPr>
          <w:rFonts w:hint="eastAsia" w:ascii="宋体" w:hAnsi="宋体" w:eastAsia="宋体" w:cs="宋体"/>
          <w:szCs w:val="21"/>
          <w:highlight w:val="none"/>
        </w:rPr>
      </w:pPr>
    </w:p>
    <w:p w14:paraId="6542F588">
      <w:pPr>
        <w:adjustRightInd w:val="0"/>
        <w:snapToGrid w:val="0"/>
        <w:spacing w:line="440" w:lineRule="exact"/>
        <w:ind w:firstLine="420" w:firstLineChars="200"/>
        <w:rPr>
          <w:rFonts w:hint="eastAsia" w:ascii="宋体" w:hAnsi="宋体" w:eastAsia="宋体" w:cs="宋体"/>
          <w:szCs w:val="21"/>
          <w:highlight w:val="none"/>
        </w:rPr>
      </w:pPr>
    </w:p>
    <w:p w14:paraId="36D937BB">
      <w:pPr>
        <w:adjustRightInd w:val="0"/>
        <w:snapToGrid w:val="0"/>
        <w:spacing w:line="440" w:lineRule="exact"/>
        <w:ind w:firstLine="420" w:firstLineChars="200"/>
        <w:rPr>
          <w:rFonts w:hint="eastAsia" w:ascii="宋体" w:hAnsi="宋体" w:eastAsia="宋体" w:cs="宋体"/>
          <w:szCs w:val="21"/>
          <w:highlight w:val="none"/>
        </w:rPr>
      </w:pPr>
    </w:p>
    <w:p w14:paraId="55B14568">
      <w:pPr>
        <w:adjustRightInd w:val="0"/>
        <w:snapToGrid w:val="0"/>
        <w:spacing w:line="440" w:lineRule="exact"/>
        <w:ind w:firstLine="420" w:firstLineChars="200"/>
        <w:rPr>
          <w:rFonts w:hint="eastAsia" w:ascii="宋体" w:hAnsi="宋体" w:eastAsia="宋体" w:cs="宋体"/>
          <w:szCs w:val="21"/>
          <w:highlight w:val="none"/>
        </w:rPr>
      </w:pPr>
    </w:p>
    <w:p w14:paraId="784AF06C">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参选人：（盖章）</w:t>
      </w:r>
    </w:p>
    <w:p w14:paraId="249491E9">
      <w:pPr>
        <w:adjustRightInd w:val="0"/>
        <w:snapToGrid w:val="0"/>
        <w:spacing w:line="440" w:lineRule="exact"/>
        <w:ind w:firstLine="420" w:firstLineChars="200"/>
        <w:rPr>
          <w:rFonts w:hint="eastAsia" w:ascii="宋体" w:hAnsi="宋体" w:eastAsia="宋体" w:cs="宋体"/>
          <w:szCs w:val="21"/>
          <w:highlight w:val="none"/>
        </w:rPr>
      </w:pPr>
    </w:p>
    <w:p w14:paraId="5FD5FBAC">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法定代表人：（签字）                            </w:t>
      </w:r>
    </w:p>
    <w:p w14:paraId="47744B4D">
      <w:pPr>
        <w:adjustRightInd w:val="0"/>
        <w:snapToGrid w:val="0"/>
        <w:spacing w:line="440" w:lineRule="exact"/>
        <w:ind w:firstLine="420" w:firstLineChars="200"/>
        <w:rPr>
          <w:rFonts w:hint="eastAsia" w:ascii="宋体" w:hAnsi="宋体" w:eastAsia="宋体" w:cs="宋体"/>
          <w:szCs w:val="21"/>
          <w:highlight w:val="none"/>
        </w:rPr>
      </w:pPr>
    </w:p>
    <w:p w14:paraId="139FA775">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日期：   年   月   日</w:t>
      </w:r>
    </w:p>
    <w:p w14:paraId="053C0D7E">
      <w:pPr>
        <w:adjustRightInd w:val="0"/>
        <w:snapToGrid w:val="0"/>
        <w:spacing w:line="440" w:lineRule="exact"/>
        <w:ind w:firstLine="420" w:firstLineChars="200"/>
        <w:rPr>
          <w:rFonts w:hint="eastAsia" w:ascii="宋体" w:hAnsi="宋体" w:eastAsia="宋体" w:cs="宋体"/>
          <w:szCs w:val="21"/>
          <w:highlight w:val="none"/>
        </w:rPr>
      </w:pPr>
    </w:p>
    <w:p w14:paraId="2143CB8E">
      <w:pPr>
        <w:adjustRightInd w:val="0"/>
        <w:snapToGrid w:val="0"/>
        <w:spacing w:line="440" w:lineRule="exact"/>
        <w:ind w:firstLine="420" w:firstLineChars="200"/>
        <w:rPr>
          <w:rFonts w:hint="eastAsia" w:ascii="宋体" w:hAnsi="宋体" w:eastAsia="宋体" w:cs="宋体"/>
          <w:szCs w:val="21"/>
          <w:highlight w:val="none"/>
        </w:rPr>
      </w:pPr>
    </w:p>
    <w:p w14:paraId="355B4757">
      <w:pPr>
        <w:adjustRightInd w:val="0"/>
        <w:snapToGrid w:val="0"/>
        <w:spacing w:line="440" w:lineRule="exact"/>
        <w:ind w:firstLine="420" w:firstLineChars="200"/>
        <w:rPr>
          <w:rFonts w:hint="eastAsia" w:ascii="宋体" w:hAnsi="宋体" w:eastAsia="宋体" w:cs="宋体"/>
          <w:szCs w:val="21"/>
          <w:highlight w:val="none"/>
        </w:rPr>
      </w:pPr>
    </w:p>
    <w:p w14:paraId="59B87CE2">
      <w:pPr>
        <w:topLinePunct/>
        <w:adjustRightInd w:val="0"/>
        <w:snapToGrid w:val="0"/>
        <w:spacing w:line="440" w:lineRule="exact"/>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附：法定代表人身份证双面复印件。</w:t>
      </w:r>
    </w:p>
    <w:p w14:paraId="7ECC6011">
      <w:pPr>
        <w:jc w:val="center"/>
        <w:rPr>
          <w:rFonts w:hint="eastAsia" w:ascii="宋体" w:hAnsi="宋体" w:eastAsia="宋体" w:cs="宋体"/>
          <w:b/>
          <w:sz w:val="24"/>
          <w:highlight w:val="none"/>
        </w:rPr>
      </w:pPr>
      <w:r>
        <w:rPr>
          <w:rFonts w:hint="eastAsia" w:ascii="宋体" w:hAnsi="宋体" w:eastAsia="宋体" w:cs="宋体"/>
          <w:sz w:val="24"/>
          <w:highlight w:val="none"/>
        </w:rPr>
        <w:br w:type="page"/>
      </w:r>
      <w:bookmarkStart w:id="209" w:name="_Toc6119"/>
      <w:bookmarkStart w:id="210" w:name="_Toc21175_WPSOffice_Level3"/>
      <w:bookmarkStart w:id="211" w:name="_Toc2932_WPSOffice_Level3"/>
      <w:r>
        <w:rPr>
          <w:rFonts w:hint="eastAsia" w:ascii="宋体" w:hAnsi="宋体" w:eastAsia="宋体" w:cs="宋体"/>
          <w:b/>
          <w:sz w:val="24"/>
          <w:highlight w:val="none"/>
        </w:rPr>
        <w:t>（二）法定代表人授权委托书</w:t>
      </w:r>
      <w:bookmarkEnd w:id="209"/>
      <w:bookmarkEnd w:id="210"/>
      <w:bookmarkEnd w:id="211"/>
    </w:p>
    <w:p w14:paraId="1D57B133">
      <w:pPr>
        <w:spacing w:line="440" w:lineRule="exact"/>
        <w:ind w:firstLine="422" w:firstLineChars="200"/>
        <w:rPr>
          <w:rFonts w:hint="eastAsia" w:ascii="宋体" w:hAnsi="宋体" w:eastAsia="宋体" w:cs="宋体"/>
          <w:b/>
          <w:highlight w:val="none"/>
        </w:rPr>
      </w:pPr>
    </w:p>
    <w:p w14:paraId="784DBBD4">
      <w:pPr>
        <w:spacing w:line="440" w:lineRule="exact"/>
        <w:ind w:firstLine="422" w:firstLineChars="200"/>
        <w:rPr>
          <w:rFonts w:hint="eastAsia" w:ascii="宋体" w:hAnsi="宋体" w:eastAsia="宋体" w:cs="宋体"/>
          <w:b/>
          <w:highlight w:val="none"/>
        </w:rPr>
      </w:pPr>
      <w:r>
        <w:rPr>
          <w:rFonts w:hint="eastAsia" w:ascii="宋体" w:hAnsi="宋体" w:eastAsia="宋体" w:cs="宋体"/>
          <w:b/>
          <w:highlight w:val="none"/>
        </w:rPr>
        <w:t>致：南通轨道资源开发有限公司</w:t>
      </w:r>
    </w:p>
    <w:p w14:paraId="776DE423">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本授权委托书声明：</w:t>
      </w:r>
    </w:p>
    <w:p w14:paraId="3D6BDC94">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我</w:t>
      </w:r>
      <w:r>
        <w:rPr>
          <w:rFonts w:hint="eastAsia" w:ascii="宋体" w:hAnsi="宋体" w:eastAsia="宋体" w:cs="宋体"/>
          <w:highlight w:val="none"/>
          <w:u w:val="single"/>
        </w:rPr>
        <w:t xml:space="preserve">        </w:t>
      </w:r>
      <w:r>
        <w:rPr>
          <w:rFonts w:hint="eastAsia" w:ascii="宋体" w:hAnsi="宋体" w:eastAsia="宋体" w:cs="宋体"/>
          <w:highlight w:val="none"/>
        </w:rPr>
        <w:t>（姓名），系</w:t>
      </w:r>
      <w:r>
        <w:rPr>
          <w:rFonts w:hint="eastAsia" w:ascii="宋体" w:hAnsi="宋体" w:eastAsia="宋体" w:cs="宋体"/>
          <w:highlight w:val="none"/>
          <w:u w:val="single"/>
        </w:rPr>
        <w:t xml:space="preserve">            </w:t>
      </w:r>
      <w:r>
        <w:rPr>
          <w:rFonts w:hint="eastAsia" w:ascii="宋体" w:hAnsi="宋体" w:eastAsia="宋体" w:cs="宋体"/>
          <w:highlight w:val="none"/>
        </w:rPr>
        <w:t>（参选人名称）的法定代表人，现授权委托</w:t>
      </w:r>
      <w:r>
        <w:rPr>
          <w:rFonts w:hint="eastAsia" w:ascii="宋体" w:hAnsi="宋体" w:eastAsia="宋体" w:cs="宋体"/>
          <w:highlight w:val="none"/>
          <w:u w:val="single"/>
        </w:rPr>
        <w:t xml:space="preserve">        </w:t>
      </w:r>
      <w:r>
        <w:rPr>
          <w:rFonts w:hint="eastAsia" w:ascii="宋体" w:hAnsi="宋体" w:eastAsia="宋体" w:cs="宋体"/>
          <w:highlight w:val="none"/>
        </w:rPr>
        <w:t>（姓名）为我公司授权的合法代理人，以本公司的名义参加</w:t>
      </w:r>
      <w:r>
        <w:rPr>
          <w:rFonts w:hint="eastAsia" w:ascii="宋体" w:hAnsi="宋体" w:eastAsia="宋体" w:cs="宋体"/>
          <w:highlight w:val="none"/>
          <w:u w:val="single"/>
        </w:rPr>
        <w:t xml:space="preserve"> （项目名称）</w:t>
      </w:r>
      <w:r>
        <w:rPr>
          <w:rFonts w:hint="eastAsia" w:ascii="宋体" w:hAnsi="宋体" w:eastAsia="宋体" w:cs="宋体"/>
          <w:highlight w:val="none"/>
        </w:rPr>
        <w:t>比选参选活动。</w:t>
      </w:r>
    </w:p>
    <w:p w14:paraId="752D0B2E">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委托代理人在开标、评标、合同谈判和合同签署过程中所签署的一切文件和处理与之有关的一切事务，我均予以承认。</w:t>
      </w:r>
    </w:p>
    <w:p w14:paraId="0530E222">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本委托书的有效期限为</w:t>
      </w:r>
      <w:r>
        <w:rPr>
          <w:rFonts w:hint="eastAsia" w:ascii="宋体" w:hAnsi="宋体" w:eastAsia="宋体" w:cs="宋体"/>
          <w:highlight w:val="none"/>
          <w:u w:val="single"/>
        </w:rPr>
        <w:t>自即日起至       日止</w:t>
      </w:r>
      <w:r>
        <w:rPr>
          <w:rFonts w:hint="eastAsia" w:ascii="宋体" w:hAnsi="宋体" w:eastAsia="宋体" w:cs="宋体"/>
          <w:highlight w:val="none"/>
        </w:rPr>
        <w:t>。</w:t>
      </w:r>
    </w:p>
    <w:p w14:paraId="24ED8645">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特此委托，此委托无转委托权。</w:t>
      </w:r>
    </w:p>
    <w:p w14:paraId="55CBF3FF">
      <w:pPr>
        <w:spacing w:line="440" w:lineRule="exact"/>
        <w:ind w:firstLine="422" w:firstLineChars="200"/>
        <w:rPr>
          <w:rFonts w:hint="eastAsia" w:ascii="宋体" w:hAnsi="宋体" w:eastAsia="宋体" w:cs="宋体"/>
          <w:b/>
          <w:highlight w:val="none"/>
        </w:rPr>
      </w:pPr>
      <w:r>
        <w:rPr>
          <w:rFonts w:hint="eastAsia" w:ascii="宋体" w:hAnsi="宋体" w:eastAsia="宋体" w:cs="宋体"/>
          <w:b/>
          <w:highlight w:val="none"/>
        </w:rPr>
        <w:t>附：委托代理人身份证双面复印件。</w:t>
      </w:r>
    </w:p>
    <w:p w14:paraId="5113FAC0">
      <w:pPr>
        <w:spacing w:line="440" w:lineRule="exact"/>
        <w:ind w:firstLine="420" w:firstLineChars="200"/>
        <w:rPr>
          <w:rFonts w:hint="eastAsia" w:ascii="宋体" w:hAnsi="宋体" w:eastAsia="宋体" w:cs="宋体"/>
          <w:highlight w:val="none"/>
        </w:rPr>
      </w:pPr>
    </w:p>
    <w:p w14:paraId="1E31F973">
      <w:pPr>
        <w:spacing w:line="440" w:lineRule="exact"/>
        <w:ind w:firstLine="420" w:firstLineChars="200"/>
        <w:rPr>
          <w:rFonts w:hint="eastAsia" w:ascii="宋体" w:hAnsi="宋体" w:eastAsia="宋体" w:cs="宋体"/>
          <w:highlight w:val="none"/>
        </w:rPr>
      </w:pPr>
    </w:p>
    <w:p w14:paraId="22B83B5F">
      <w:pPr>
        <w:spacing w:line="440" w:lineRule="exact"/>
        <w:ind w:firstLine="420" w:firstLineChars="200"/>
        <w:rPr>
          <w:rFonts w:hint="eastAsia" w:ascii="宋体" w:hAnsi="宋体" w:eastAsia="宋体" w:cs="宋体"/>
          <w:highlight w:val="none"/>
        </w:rPr>
      </w:pPr>
    </w:p>
    <w:p w14:paraId="09E1BEB3">
      <w:pPr>
        <w:pStyle w:val="9"/>
        <w:spacing w:line="440" w:lineRule="exact"/>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参选人：</w:t>
      </w:r>
      <w:r>
        <w:rPr>
          <w:rFonts w:hint="eastAsia" w:ascii="宋体" w:hAnsi="宋体" w:eastAsia="宋体" w:cs="宋体"/>
          <w:sz w:val="21"/>
          <w:szCs w:val="21"/>
          <w:highlight w:val="none"/>
          <w:u w:val="single"/>
        </w:rPr>
        <w:t xml:space="preserve">                           （盖章）</w:t>
      </w:r>
    </w:p>
    <w:p w14:paraId="12B4F851">
      <w:pPr>
        <w:pStyle w:val="9"/>
        <w:spacing w:line="440" w:lineRule="exact"/>
        <w:ind w:left="0"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法定代表人：</w:t>
      </w:r>
      <w:r>
        <w:rPr>
          <w:rFonts w:hint="eastAsia" w:ascii="宋体" w:hAnsi="宋体" w:eastAsia="宋体" w:cs="宋体"/>
          <w:sz w:val="21"/>
          <w:szCs w:val="21"/>
          <w:highlight w:val="none"/>
          <w:u w:val="single"/>
        </w:rPr>
        <w:t xml:space="preserve">                 （签字或盖章）</w:t>
      </w:r>
    </w:p>
    <w:p w14:paraId="147760AB">
      <w:pPr>
        <w:pStyle w:val="9"/>
        <w:spacing w:line="440" w:lineRule="exact"/>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身份证号码：</w:t>
      </w:r>
      <w:r>
        <w:rPr>
          <w:rFonts w:hint="eastAsia" w:ascii="宋体" w:hAnsi="宋体" w:eastAsia="宋体" w:cs="宋体"/>
          <w:sz w:val="21"/>
          <w:szCs w:val="21"/>
          <w:highlight w:val="none"/>
          <w:u w:val="single"/>
        </w:rPr>
        <w:t xml:space="preserve">                               </w:t>
      </w:r>
    </w:p>
    <w:p w14:paraId="1FCE2541">
      <w:pPr>
        <w:pStyle w:val="9"/>
        <w:spacing w:line="440" w:lineRule="exact"/>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委托代理人：</w:t>
      </w:r>
      <w:r>
        <w:rPr>
          <w:rFonts w:hint="eastAsia" w:ascii="宋体" w:hAnsi="宋体" w:eastAsia="宋体" w:cs="宋体"/>
          <w:sz w:val="21"/>
          <w:szCs w:val="21"/>
          <w:highlight w:val="none"/>
          <w:u w:val="single"/>
        </w:rPr>
        <w:t xml:space="preserve">                 （签字或盖章）</w:t>
      </w:r>
    </w:p>
    <w:p w14:paraId="5E0CD312">
      <w:pPr>
        <w:pStyle w:val="9"/>
        <w:spacing w:line="440" w:lineRule="exact"/>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身份证号码：</w:t>
      </w:r>
      <w:r>
        <w:rPr>
          <w:rFonts w:hint="eastAsia" w:ascii="宋体" w:hAnsi="宋体" w:eastAsia="宋体" w:cs="宋体"/>
          <w:sz w:val="21"/>
          <w:szCs w:val="21"/>
          <w:highlight w:val="none"/>
          <w:u w:val="single"/>
        </w:rPr>
        <w:t xml:space="preserve">                               </w:t>
      </w:r>
    </w:p>
    <w:p w14:paraId="7C3E1047">
      <w:pPr>
        <w:pStyle w:val="9"/>
        <w:spacing w:line="440" w:lineRule="exact"/>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委托代理人联系方式：</w:t>
      </w:r>
      <w:r>
        <w:rPr>
          <w:rFonts w:hint="eastAsia" w:ascii="宋体" w:hAnsi="宋体" w:eastAsia="宋体" w:cs="宋体"/>
          <w:sz w:val="21"/>
          <w:szCs w:val="21"/>
          <w:highlight w:val="none"/>
          <w:u w:val="single"/>
        </w:rPr>
        <w:t xml:space="preserve">                       </w:t>
      </w:r>
    </w:p>
    <w:p w14:paraId="7DE02915">
      <w:pPr>
        <w:pStyle w:val="9"/>
        <w:spacing w:line="440" w:lineRule="exact"/>
        <w:ind w:left="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日      期：</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w:t>
      </w:r>
    </w:p>
    <w:p w14:paraId="7E396257">
      <w:pPr>
        <w:adjustRightInd w:val="0"/>
        <w:spacing w:line="440" w:lineRule="exact"/>
        <w:ind w:firstLine="420" w:firstLineChars="200"/>
        <w:textAlignment w:val="baseline"/>
        <w:rPr>
          <w:rFonts w:hint="eastAsia" w:ascii="宋体" w:hAnsi="宋体" w:eastAsia="宋体" w:cs="宋体"/>
          <w:szCs w:val="21"/>
          <w:highlight w:val="none"/>
        </w:rPr>
      </w:pPr>
    </w:p>
    <w:p w14:paraId="7A41D8A0">
      <w:pPr>
        <w:adjustRightInd w:val="0"/>
        <w:spacing w:line="440" w:lineRule="exact"/>
        <w:ind w:firstLine="420" w:firstLineChars="200"/>
        <w:textAlignment w:val="baseline"/>
        <w:rPr>
          <w:rFonts w:hint="eastAsia" w:ascii="宋体" w:hAnsi="宋体" w:eastAsia="宋体" w:cs="宋体"/>
          <w:szCs w:val="21"/>
          <w:highlight w:val="none"/>
        </w:rPr>
      </w:pPr>
    </w:p>
    <w:p w14:paraId="067A0FCF">
      <w:pPr>
        <w:pStyle w:val="9"/>
        <w:adjustRightInd w:val="0"/>
        <w:snapToGrid w:val="0"/>
        <w:spacing w:line="440" w:lineRule="exact"/>
        <w:ind w:left="1105" w:leftChars="211" w:hanging="662" w:hangingChars="314"/>
        <w:rPr>
          <w:rFonts w:hint="eastAsia" w:ascii="宋体" w:hAnsi="宋体" w:eastAsia="宋体" w:cs="宋体"/>
          <w:b/>
          <w:sz w:val="21"/>
          <w:szCs w:val="21"/>
          <w:highlight w:val="none"/>
        </w:rPr>
      </w:pPr>
      <w:r>
        <w:rPr>
          <w:rFonts w:hint="eastAsia" w:ascii="宋体" w:hAnsi="宋体" w:eastAsia="宋体" w:cs="宋体"/>
          <w:b/>
          <w:sz w:val="21"/>
          <w:szCs w:val="21"/>
          <w:highlight w:val="none"/>
        </w:rPr>
        <w:t>说明：如参选人由法定代表人亲自签署参选文件并参与相关活动，则不需办理授权。如由被授权的代理人签署上述文件，则必须按本格式规定办理授权书。</w:t>
      </w:r>
    </w:p>
    <w:p w14:paraId="1BF6FB9B">
      <w:pPr>
        <w:pStyle w:val="2"/>
        <w:spacing w:before="0" w:after="0" w:line="440" w:lineRule="exact"/>
        <w:jc w:val="center"/>
        <w:rPr>
          <w:rFonts w:hint="eastAsia" w:ascii="宋体" w:hAnsi="宋体" w:eastAsia="宋体" w:cs="宋体"/>
          <w:highlight w:val="none"/>
        </w:rPr>
      </w:pPr>
      <w:r>
        <w:rPr>
          <w:rFonts w:hint="eastAsia" w:ascii="宋体" w:hAnsi="宋体" w:eastAsia="宋体" w:cs="宋体"/>
          <w:sz w:val="24"/>
          <w:highlight w:val="none"/>
        </w:rPr>
        <w:br w:type="page"/>
      </w:r>
      <w:bookmarkStart w:id="212" w:name="_Toc29270"/>
      <w:bookmarkStart w:id="213" w:name="_Toc26036"/>
      <w:bookmarkStart w:id="214" w:name="_Toc12549"/>
      <w:bookmarkStart w:id="215" w:name="_Toc22478"/>
      <w:bookmarkStart w:id="216" w:name="_Toc2356"/>
      <w:bookmarkStart w:id="217" w:name="_Toc13358"/>
      <w:bookmarkStart w:id="218" w:name="_Toc25409"/>
      <w:bookmarkStart w:id="219" w:name="_Toc21962"/>
      <w:bookmarkStart w:id="220" w:name="_Toc9468"/>
      <w:bookmarkStart w:id="221" w:name="_Toc24057"/>
      <w:bookmarkStart w:id="222" w:name="_Toc21531"/>
      <w:bookmarkStart w:id="223" w:name="_Toc3758"/>
      <w:bookmarkStart w:id="224" w:name="_Toc25701"/>
      <w:bookmarkStart w:id="225" w:name="_Toc2924"/>
      <w:bookmarkStart w:id="226" w:name="_Toc12537"/>
      <w:bookmarkStart w:id="227" w:name="_Toc30751"/>
      <w:bookmarkStart w:id="228" w:name="_Toc31010_WPSOffice_Level2"/>
      <w:bookmarkStart w:id="229" w:name="_Toc11305"/>
      <w:r>
        <w:rPr>
          <w:rFonts w:hint="eastAsia" w:ascii="宋体" w:hAnsi="宋体" w:eastAsia="宋体" w:cs="宋体"/>
          <w:highlight w:val="none"/>
        </w:rPr>
        <w:t>二</w:t>
      </w:r>
      <w:r>
        <w:rPr>
          <w:rFonts w:hint="eastAsia" w:ascii="宋体" w:hAnsi="宋体" w:eastAsia="宋体" w:cs="宋体"/>
          <w:highlight w:val="none"/>
          <w:lang w:eastAsia="zh-CN"/>
        </w:rPr>
        <w:t>、</w:t>
      </w:r>
      <w:r>
        <w:rPr>
          <w:rFonts w:hint="eastAsia" w:ascii="宋体" w:hAnsi="宋体" w:eastAsia="宋体" w:cs="宋体"/>
          <w:highlight w:val="none"/>
        </w:rPr>
        <w:t>参选人基本情况表</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3D31BCAB">
      <w:pPr>
        <w:spacing w:line="440" w:lineRule="exact"/>
        <w:rPr>
          <w:rFonts w:hint="eastAsia" w:ascii="宋体" w:hAnsi="宋体" w:eastAsia="宋体" w:cs="宋体"/>
          <w:highlight w:val="none"/>
        </w:rPr>
      </w:pP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2"/>
        <w:gridCol w:w="1308"/>
        <w:gridCol w:w="1635"/>
        <w:gridCol w:w="1395"/>
        <w:gridCol w:w="1575"/>
        <w:gridCol w:w="1207"/>
      </w:tblGrid>
      <w:tr w14:paraId="230EAF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vAlign w:val="center"/>
          </w:tcPr>
          <w:p w14:paraId="6BCA968A">
            <w:pPr>
              <w:spacing w:line="440" w:lineRule="exact"/>
              <w:jc w:val="center"/>
              <w:rPr>
                <w:rFonts w:hint="eastAsia" w:ascii="宋体" w:hAnsi="宋体" w:eastAsia="宋体" w:cs="宋体"/>
                <w:highlight w:val="none"/>
              </w:rPr>
            </w:pPr>
            <w:r>
              <w:rPr>
                <w:rFonts w:hint="eastAsia" w:ascii="宋体" w:hAnsi="宋体" w:eastAsia="宋体" w:cs="宋体"/>
                <w:highlight w:val="none"/>
              </w:rPr>
              <w:t>参选人名称</w:t>
            </w:r>
          </w:p>
        </w:tc>
        <w:tc>
          <w:tcPr>
            <w:tcW w:w="7120" w:type="dxa"/>
            <w:gridSpan w:val="5"/>
            <w:vAlign w:val="center"/>
          </w:tcPr>
          <w:p w14:paraId="3B9308AF">
            <w:pPr>
              <w:spacing w:line="440" w:lineRule="exact"/>
              <w:rPr>
                <w:rFonts w:hint="eastAsia" w:ascii="宋体" w:hAnsi="宋体" w:eastAsia="宋体" w:cs="宋体"/>
                <w:highlight w:val="none"/>
              </w:rPr>
            </w:pPr>
          </w:p>
        </w:tc>
      </w:tr>
      <w:tr w14:paraId="2E626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vAlign w:val="center"/>
          </w:tcPr>
          <w:p w14:paraId="6B465510">
            <w:pPr>
              <w:spacing w:line="440" w:lineRule="exact"/>
              <w:jc w:val="center"/>
              <w:rPr>
                <w:rFonts w:hint="eastAsia" w:ascii="宋体" w:hAnsi="宋体" w:eastAsia="宋体" w:cs="宋体"/>
                <w:highlight w:val="none"/>
              </w:rPr>
            </w:pPr>
            <w:r>
              <w:rPr>
                <w:rFonts w:hint="eastAsia" w:ascii="宋体" w:hAnsi="宋体" w:eastAsia="宋体" w:cs="宋体"/>
                <w:highlight w:val="none"/>
              </w:rPr>
              <w:t>营业执照</w:t>
            </w:r>
          </w:p>
        </w:tc>
        <w:tc>
          <w:tcPr>
            <w:tcW w:w="7120" w:type="dxa"/>
            <w:gridSpan w:val="5"/>
            <w:vAlign w:val="center"/>
          </w:tcPr>
          <w:p w14:paraId="478E7354">
            <w:pPr>
              <w:spacing w:line="440" w:lineRule="exact"/>
              <w:rPr>
                <w:rFonts w:hint="eastAsia" w:ascii="宋体" w:hAnsi="宋体" w:eastAsia="宋体" w:cs="宋体"/>
                <w:highlight w:val="none"/>
              </w:rPr>
            </w:pPr>
            <w:r>
              <w:rPr>
                <w:rFonts w:hint="eastAsia" w:ascii="宋体" w:hAnsi="宋体" w:eastAsia="宋体" w:cs="宋体"/>
                <w:highlight w:val="none"/>
              </w:rPr>
              <w:t>1、统一社会信用代码：     2、发照机关：       3、营业范围：</w:t>
            </w:r>
          </w:p>
        </w:tc>
      </w:tr>
      <w:tr w14:paraId="010B4E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vAlign w:val="center"/>
          </w:tcPr>
          <w:p w14:paraId="44DFB404">
            <w:pPr>
              <w:spacing w:line="440" w:lineRule="exact"/>
              <w:jc w:val="center"/>
              <w:rPr>
                <w:rFonts w:hint="eastAsia" w:ascii="宋体" w:hAnsi="宋体" w:eastAsia="宋体" w:cs="宋体"/>
                <w:highlight w:val="none"/>
              </w:rPr>
            </w:pPr>
            <w:r>
              <w:rPr>
                <w:rFonts w:hint="eastAsia" w:ascii="宋体" w:hAnsi="宋体" w:eastAsia="宋体" w:cs="宋体"/>
                <w:highlight w:val="none"/>
              </w:rPr>
              <w:t>成立日期</w:t>
            </w:r>
          </w:p>
        </w:tc>
        <w:tc>
          <w:tcPr>
            <w:tcW w:w="1308" w:type="dxa"/>
            <w:vAlign w:val="center"/>
          </w:tcPr>
          <w:p w14:paraId="25BD66BB">
            <w:pPr>
              <w:spacing w:line="440" w:lineRule="exact"/>
              <w:rPr>
                <w:rFonts w:hint="eastAsia" w:ascii="宋体" w:hAnsi="宋体" w:eastAsia="宋体" w:cs="宋体"/>
                <w:highlight w:val="none"/>
              </w:rPr>
            </w:pPr>
          </w:p>
        </w:tc>
        <w:tc>
          <w:tcPr>
            <w:tcW w:w="1635" w:type="dxa"/>
            <w:vAlign w:val="center"/>
          </w:tcPr>
          <w:p w14:paraId="405DB1D5">
            <w:pPr>
              <w:spacing w:line="440" w:lineRule="exact"/>
              <w:jc w:val="center"/>
              <w:rPr>
                <w:rFonts w:hint="eastAsia" w:ascii="宋体" w:hAnsi="宋体" w:eastAsia="宋体" w:cs="宋体"/>
                <w:highlight w:val="none"/>
              </w:rPr>
            </w:pPr>
            <w:r>
              <w:rPr>
                <w:rFonts w:hint="eastAsia" w:ascii="宋体" w:hAnsi="宋体" w:eastAsia="宋体" w:cs="宋体"/>
                <w:highlight w:val="none"/>
              </w:rPr>
              <w:t>现有职工</w:t>
            </w:r>
          </w:p>
          <w:p w14:paraId="57B7D3C6">
            <w:pPr>
              <w:spacing w:line="440" w:lineRule="exact"/>
              <w:jc w:val="center"/>
              <w:rPr>
                <w:rFonts w:hint="eastAsia" w:ascii="宋体" w:hAnsi="宋体" w:eastAsia="宋体" w:cs="宋体"/>
                <w:highlight w:val="none"/>
              </w:rPr>
            </w:pPr>
            <w:r>
              <w:rPr>
                <w:rFonts w:hint="eastAsia" w:ascii="宋体" w:hAnsi="宋体" w:eastAsia="宋体" w:cs="宋体"/>
                <w:highlight w:val="none"/>
              </w:rPr>
              <w:t>总人数（人）</w:t>
            </w:r>
          </w:p>
        </w:tc>
        <w:tc>
          <w:tcPr>
            <w:tcW w:w="1395" w:type="dxa"/>
            <w:vAlign w:val="center"/>
          </w:tcPr>
          <w:p w14:paraId="12496FE9">
            <w:pPr>
              <w:spacing w:line="440" w:lineRule="exact"/>
              <w:rPr>
                <w:rFonts w:hint="eastAsia" w:ascii="宋体" w:hAnsi="宋体" w:eastAsia="宋体" w:cs="宋体"/>
                <w:highlight w:val="none"/>
              </w:rPr>
            </w:pPr>
          </w:p>
        </w:tc>
        <w:tc>
          <w:tcPr>
            <w:tcW w:w="1575" w:type="dxa"/>
            <w:tcBorders>
              <w:right w:val="single" w:color="000000" w:sz="6" w:space="0"/>
            </w:tcBorders>
            <w:vAlign w:val="center"/>
          </w:tcPr>
          <w:p w14:paraId="2A383A08">
            <w:pPr>
              <w:spacing w:line="440" w:lineRule="exact"/>
              <w:jc w:val="center"/>
              <w:rPr>
                <w:rFonts w:hint="eastAsia" w:ascii="宋体" w:hAnsi="宋体" w:eastAsia="宋体" w:cs="宋体"/>
                <w:highlight w:val="none"/>
              </w:rPr>
            </w:pPr>
            <w:r>
              <w:rPr>
                <w:rFonts w:hint="eastAsia" w:ascii="宋体" w:hAnsi="宋体" w:eastAsia="宋体" w:cs="宋体"/>
                <w:highlight w:val="none"/>
              </w:rPr>
              <w:t>技术人员人数</w:t>
            </w:r>
          </w:p>
          <w:p w14:paraId="717CBC8F">
            <w:pPr>
              <w:spacing w:line="440" w:lineRule="exact"/>
              <w:jc w:val="center"/>
              <w:rPr>
                <w:rFonts w:hint="eastAsia" w:ascii="宋体" w:hAnsi="宋体" w:eastAsia="宋体" w:cs="宋体"/>
                <w:highlight w:val="none"/>
              </w:rPr>
            </w:pPr>
            <w:r>
              <w:rPr>
                <w:rFonts w:hint="eastAsia" w:ascii="宋体" w:hAnsi="宋体" w:eastAsia="宋体" w:cs="宋体"/>
                <w:highlight w:val="none"/>
              </w:rPr>
              <w:t>（人）</w:t>
            </w:r>
          </w:p>
        </w:tc>
        <w:tc>
          <w:tcPr>
            <w:tcW w:w="1207" w:type="dxa"/>
            <w:tcBorders>
              <w:left w:val="single" w:color="000000" w:sz="6" w:space="0"/>
            </w:tcBorders>
            <w:vAlign w:val="center"/>
          </w:tcPr>
          <w:p w14:paraId="0203D847">
            <w:pPr>
              <w:spacing w:line="440" w:lineRule="exact"/>
              <w:jc w:val="center"/>
              <w:rPr>
                <w:rFonts w:hint="eastAsia" w:ascii="宋体" w:hAnsi="宋体" w:eastAsia="宋体" w:cs="宋体"/>
                <w:highlight w:val="none"/>
              </w:rPr>
            </w:pPr>
          </w:p>
        </w:tc>
      </w:tr>
      <w:tr w14:paraId="7CF59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vAlign w:val="center"/>
          </w:tcPr>
          <w:p w14:paraId="3944337B">
            <w:pPr>
              <w:spacing w:line="440" w:lineRule="exac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7120" w:type="dxa"/>
            <w:gridSpan w:val="5"/>
            <w:vAlign w:val="center"/>
          </w:tcPr>
          <w:p w14:paraId="799D2776">
            <w:pPr>
              <w:spacing w:line="440" w:lineRule="exact"/>
              <w:rPr>
                <w:rFonts w:hint="eastAsia" w:ascii="宋体" w:hAnsi="宋体" w:eastAsia="宋体" w:cs="宋体"/>
                <w:highlight w:val="none"/>
              </w:rPr>
            </w:pPr>
            <w:r>
              <w:rPr>
                <w:rFonts w:hint="eastAsia" w:ascii="宋体" w:hAnsi="宋体" w:eastAsia="宋体" w:cs="宋体"/>
                <w:highlight w:val="none"/>
              </w:rPr>
              <w:t xml:space="preserve">1、姓名：           2、职务：             3、职称：                 </w:t>
            </w:r>
          </w:p>
          <w:p w14:paraId="317EFD38">
            <w:pPr>
              <w:spacing w:line="440" w:lineRule="exact"/>
              <w:rPr>
                <w:rFonts w:hint="eastAsia" w:ascii="宋体" w:hAnsi="宋体" w:eastAsia="宋体" w:cs="宋体"/>
                <w:highlight w:val="none"/>
              </w:rPr>
            </w:pPr>
            <w:r>
              <w:rPr>
                <w:rFonts w:hint="eastAsia" w:ascii="宋体" w:hAnsi="宋体" w:eastAsia="宋体" w:cs="宋体"/>
                <w:highlight w:val="none"/>
              </w:rPr>
              <w:t>4、联系电话：</w:t>
            </w:r>
          </w:p>
        </w:tc>
      </w:tr>
      <w:tr w14:paraId="4E2AB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vAlign w:val="center"/>
          </w:tcPr>
          <w:p w14:paraId="1C0A10D3">
            <w:pPr>
              <w:spacing w:line="440" w:lineRule="exact"/>
              <w:jc w:val="center"/>
              <w:rPr>
                <w:rFonts w:hint="eastAsia" w:ascii="宋体" w:hAnsi="宋体" w:eastAsia="宋体" w:cs="宋体"/>
                <w:highlight w:val="none"/>
              </w:rPr>
            </w:pPr>
            <w:r>
              <w:rPr>
                <w:rFonts w:hint="eastAsia" w:ascii="宋体" w:hAnsi="宋体" w:eastAsia="宋体" w:cs="宋体"/>
                <w:highlight w:val="none"/>
              </w:rPr>
              <w:t>联系方式</w:t>
            </w:r>
          </w:p>
        </w:tc>
        <w:tc>
          <w:tcPr>
            <w:tcW w:w="7120" w:type="dxa"/>
            <w:gridSpan w:val="5"/>
            <w:vAlign w:val="center"/>
          </w:tcPr>
          <w:p w14:paraId="71B72886">
            <w:pPr>
              <w:spacing w:line="440" w:lineRule="exact"/>
              <w:rPr>
                <w:rFonts w:hint="eastAsia" w:ascii="宋体" w:hAnsi="宋体" w:eastAsia="宋体" w:cs="宋体"/>
                <w:highlight w:val="none"/>
              </w:rPr>
            </w:pPr>
            <w:r>
              <w:rPr>
                <w:rFonts w:hint="eastAsia" w:ascii="宋体" w:hAnsi="宋体" w:eastAsia="宋体" w:cs="宋体"/>
                <w:highlight w:val="none"/>
              </w:rPr>
              <w:t xml:space="preserve">1、地址：           2、邮编：             3、联系人：              </w:t>
            </w:r>
          </w:p>
          <w:p w14:paraId="5FE80565">
            <w:pPr>
              <w:spacing w:line="440" w:lineRule="exact"/>
              <w:rPr>
                <w:rFonts w:hint="eastAsia" w:ascii="宋体" w:hAnsi="宋体" w:eastAsia="宋体" w:cs="宋体"/>
                <w:highlight w:val="none"/>
              </w:rPr>
            </w:pPr>
            <w:r>
              <w:rPr>
                <w:rFonts w:hint="eastAsia" w:ascii="宋体" w:hAnsi="宋体" w:eastAsia="宋体" w:cs="宋体"/>
                <w:highlight w:val="none"/>
              </w:rPr>
              <w:t xml:space="preserve">4、联系电话：       5、传真：             6、E-mail：  </w:t>
            </w:r>
          </w:p>
        </w:tc>
      </w:tr>
      <w:tr w14:paraId="011B8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372" w:type="dxa"/>
            <w:vAlign w:val="center"/>
          </w:tcPr>
          <w:p w14:paraId="747711CA">
            <w:pPr>
              <w:spacing w:line="440" w:lineRule="exact"/>
              <w:jc w:val="center"/>
              <w:rPr>
                <w:rFonts w:hint="eastAsia" w:ascii="宋体" w:hAnsi="宋体" w:eastAsia="宋体" w:cs="宋体"/>
                <w:highlight w:val="none"/>
              </w:rPr>
            </w:pPr>
            <w:r>
              <w:rPr>
                <w:rFonts w:hint="eastAsia" w:ascii="宋体" w:hAnsi="宋体" w:eastAsia="宋体" w:cs="宋体"/>
                <w:highlight w:val="none"/>
              </w:rPr>
              <w:t>开户银行</w:t>
            </w:r>
          </w:p>
        </w:tc>
        <w:tc>
          <w:tcPr>
            <w:tcW w:w="7120" w:type="dxa"/>
            <w:gridSpan w:val="5"/>
            <w:vAlign w:val="center"/>
          </w:tcPr>
          <w:p w14:paraId="261E3CE0">
            <w:pPr>
              <w:spacing w:line="440" w:lineRule="exact"/>
              <w:rPr>
                <w:rFonts w:hint="eastAsia" w:ascii="宋体" w:hAnsi="宋体" w:eastAsia="宋体" w:cs="宋体"/>
                <w:highlight w:val="none"/>
              </w:rPr>
            </w:pPr>
            <w:r>
              <w:rPr>
                <w:rFonts w:hint="eastAsia" w:ascii="宋体" w:hAnsi="宋体" w:eastAsia="宋体" w:cs="宋体"/>
                <w:highlight w:val="none"/>
              </w:rPr>
              <w:t>1、银行名称：           2、账号：</w:t>
            </w:r>
          </w:p>
        </w:tc>
      </w:tr>
      <w:tr w14:paraId="291D38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99" w:hRule="atLeast"/>
          <w:jc w:val="center"/>
        </w:trPr>
        <w:tc>
          <w:tcPr>
            <w:tcW w:w="1372" w:type="dxa"/>
            <w:vAlign w:val="center"/>
          </w:tcPr>
          <w:p w14:paraId="2372E6CF">
            <w:pPr>
              <w:spacing w:line="440" w:lineRule="exact"/>
              <w:jc w:val="center"/>
              <w:rPr>
                <w:rFonts w:hint="eastAsia" w:ascii="宋体" w:hAnsi="宋体" w:eastAsia="宋体" w:cs="宋体"/>
                <w:highlight w:val="none"/>
              </w:rPr>
            </w:pPr>
            <w:r>
              <w:rPr>
                <w:rFonts w:hint="eastAsia" w:ascii="宋体" w:hAnsi="宋体" w:eastAsia="宋体" w:cs="宋体"/>
                <w:highlight w:val="none"/>
              </w:rPr>
              <w:t>参选人资历</w:t>
            </w:r>
          </w:p>
          <w:p w14:paraId="5D5D40AD">
            <w:pPr>
              <w:spacing w:line="440" w:lineRule="exact"/>
              <w:jc w:val="center"/>
              <w:rPr>
                <w:rFonts w:hint="eastAsia" w:ascii="宋体" w:hAnsi="宋体" w:eastAsia="宋体" w:cs="宋体"/>
                <w:highlight w:val="none"/>
              </w:rPr>
            </w:pPr>
            <w:r>
              <w:rPr>
                <w:rFonts w:hint="eastAsia" w:ascii="宋体" w:hAnsi="宋体" w:eastAsia="宋体" w:cs="宋体"/>
                <w:highlight w:val="none"/>
              </w:rPr>
              <w:t>简介</w:t>
            </w:r>
          </w:p>
        </w:tc>
        <w:tc>
          <w:tcPr>
            <w:tcW w:w="7120" w:type="dxa"/>
            <w:gridSpan w:val="5"/>
            <w:vAlign w:val="center"/>
          </w:tcPr>
          <w:p w14:paraId="25C05CCD">
            <w:pPr>
              <w:spacing w:line="440" w:lineRule="exact"/>
              <w:jc w:val="center"/>
              <w:rPr>
                <w:rFonts w:hint="eastAsia" w:ascii="宋体" w:hAnsi="宋体" w:eastAsia="宋体" w:cs="宋体"/>
                <w:highlight w:val="none"/>
              </w:rPr>
            </w:pPr>
          </w:p>
        </w:tc>
      </w:tr>
    </w:tbl>
    <w:p w14:paraId="694F08BC">
      <w:pPr>
        <w:adjustRightInd w:val="0"/>
        <w:snapToGrid w:val="0"/>
        <w:spacing w:line="440" w:lineRule="exact"/>
        <w:ind w:left="420" w:hanging="420" w:hangingChars="200"/>
        <w:rPr>
          <w:rFonts w:hint="eastAsia" w:ascii="宋体" w:hAnsi="宋体" w:eastAsia="宋体" w:cs="宋体"/>
          <w:szCs w:val="21"/>
          <w:highlight w:val="none"/>
        </w:rPr>
      </w:pPr>
      <w:r>
        <w:rPr>
          <w:rFonts w:hint="eastAsia" w:ascii="宋体" w:hAnsi="宋体" w:eastAsia="宋体" w:cs="宋体"/>
          <w:szCs w:val="21"/>
          <w:highlight w:val="none"/>
        </w:rPr>
        <w:t>注：本表后应包括不限于附参选人营业执照（或事业单位法人证书）复印件（或扫描件），并与原件保持一致。</w:t>
      </w:r>
    </w:p>
    <w:p w14:paraId="12DDB790">
      <w:pPr>
        <w:keepNext/>
        <w:keepLines/>
        <w:widowControl w:val="0"/>
        <w:spacing w:before="0" w:after="0" w:line="440" w:lineRule="exact"/>
        <w:jc w:val="center"/>
        <w:outlineLvl w:val="1"/>
        <w:rPr>
          <w:rFonts w:hint="eastAsia" w:ascii="宋体" w:hAnsi="宋体" w:eastAsia="宋体" w:cs="宋体"/>
          <w:b/>
          <w:bCs/>
          <w:kern w:val="0"/>
          <w:sz w:val="30"/>
          <w:szCs w:val="30"/>
          <w:highlight w:val="none"/>
          <w:lang w:val="en-US" w:eastAsia="zh-CN" w:bidi="ar-SA"/>
        </w:rPr>
      </w:pPr>
      <w:r>
        <w:rPr>
          <w:rFonts w:hint="eastAsia" w:ascii="宋体" w:hAnsi="宋体" w:eastAsia="宋体" w:cs="宋体"/>
          <w:highlight w:val="none"/>
        </w:rPr>
        <w:br w:type="page"/>
      </w:r>
      <w:bookmarkStart w:id="230" w:name="_Toc247"/>
      <w:bookmarkStart w:id="231" w:name="_Toc20509"/>
      <w:bookmarkStart w:id="232" w:name="_Toc20002"/>
      <w:bookmarkStart w:id="233" w:name="_Toc12980"/>
      <w:bookmarkStart w:id="234" w:name="_Toc10695"/>
      <w:bookmarkStart w:id="235" w:name="_Toc3334"/>
      <w:bookmarkStart w:id="236" w:name="_Toc28313"/>
      <w:bookmarkStart w:id="237" w:name="_Toc11534"/>
      <w:bookmarkStart w:id="238" w:name="_Toc5971"/>
      <w:bookmarkStart w:id="239" w:name="_Toc5830"/>
      <w:bookmarkStart w:id="240" w:name="_Toc14219"/>
      <w:bookmarkStart w:id="241" w:name="_Toc1587"/>
      <w:bookmarkStart w:id="242" w:name="_Toc25135"/>
      <w:bookmarkStart w:id="243" w:name="_Toc28952"/>
      <w:bookmarkStart w:id="244" w:name="_Toc12442"/>
      <w:bookmarkStart w:id="245" w:name="_Toc2668"/>
      <w:bookmarkStart w:id="246" w:name="_Toc25882"/>
      <w:r>
        <w:rPr>
          <w:rFonts w:hint="eastAsia" w:ascii="宋体" w:hAnsi="宋体" w:eastAsia="宋体" w:cs="宋体"/>
          <w:b/>
          <w:bCs/>
          <w:kern w:val="0"/>
          <w:sz w:val="30"/>
          <w:szCs w:val="30"/>
          <w:highlight w:val="none"/>
          <w:lang w:val="en-US" w:eastAsia="zh-CN" w:bidi="ar-SA"/>
        </w:rPr>
        <w:t>三</w:t>
      </w:r>
      <w:r>
        <w:rPr>
          <w:rFonts w:hint="eastAsia" w:ascii="宋体" w:hAnsi="宋体" w:cs="宋体"/>
          <w:b/>
          <w:bCs/>
          <w:kern w:val="0"/>
          <w:sz w:val="30"/>
          <w:szCs w:val="30"/>
          <w:highlight w:val="none"/>
          <w:lang w:val="en-US" w:eastAsia="zh-CN" w:bidi="ar-SA"/>
        </w:rPr>
        <w:t>、</w:t>
      </w:r>
      <w:r>
        <w:rPr>
          <w:rFonts w:hint="eastAsia" w:ascii="宋体" w:hAnsi="宋体" w:eastAsia="宋体" w:cs="宋体"/>
          <w:b/>
          <w:bCs/>
          <w:kern w:val="0"/>
          <w:sz w:val="30"/>
          <w:szCs w:val="30"/>
          <w:highlight w:val="none"/>
          <w:lang w:val="en-US" w:eastAsia="zh-CN" w:bidi="ar-SA"/>
        </w:rPr>
        <w:t>生产企业资格声明</w:t>
      </w:r>
    </w:p>
    <w:p w14:paraId="6837CE8F">
      <w:pPr>
        <w:widowControl/>
        <w:spacing w:line="360" w:lineRule="auto"/>
        <w:ind w:firstLine="440" w:firstLineChars="200"/>
        <w:rPr>
          <w:rFonts w:hint="eastAsia" w:ascii="宋体" w:hAnsi="宋体" w:eastAsia="宋体" w:cs="宋体"/>
          <w:kern w:val="0"/>
          <w:sz w:val="22"/>
          <w:szCs w:val="22"/>
          <w:highlight w:val="none"/>
        </w:rPr>
      </w:pPr>
    </w:p>
    <w:p w14:paraId="4CBBC0A5">
      <w:pPr>
        <w:widowControl/>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1、名称及概况：</w:t>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 xml:space="preserve">               </w:t>
      </w:r>
    </w:p>
    <w:p w14:paraId="064C7F1F">
      <w:pPr>
        <w:widowControl/>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（1）生产企业名称：</w:t>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 xml:space="preserve">                                                 </w:t>
      </w:r>
    </w:p>
    <w:p w14:paraId="2F178E81">
      <w:pPr>
        <w:widowControl/>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（2）总部地址：</w:t>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 xml:space="preserve">                                                   </w:t>
      </w:r>
    </w:p>
    <w:p w14:paraId="7034265C">
      <w:pPr>
        <w:widowControl/>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（3）电传/传真/电话号码：</w:t>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 xml:space="preserve">                                         </w:t>
      </w:r>
    </w:p>
    <w:p w14:paraId="5D4FFB93">
      <w:pPr>
        <w:widowControl/>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（4）成立和/或注册日期：</w:t>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 xml:space="preserve">                                          </w:t>
      </w:r>
    </w:p>
    <w:p w14:paraId="798DC626">
      <w:pPr>
        <w:widowControl/>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（5）实收资本：</w:t>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 xml:space="preserve">                                                      </w:t>
      </w:r>
    </w:p>
    <w:p w14:paraId="76DD0F77">
      <w:pPr>
        <w:widowControl/>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（6）近期资产负债表（到</w:t>
      </w:r>
      <w:r>
        <w:rPr>
          <w:rFonts w:hint="eastAsia" w:ascii="宋体" w:hAnsi="宋体" w:eastAsia="宋体" w:cs="宋体"/>
          <w:kern w:val="0"/>
          <w:sz w:val="22"/>
          <w:szCs w:val="22"/>
          <w:highlight w:val="none"/>
          <w:u w:val="single"/>
        </w:rPr>
        <w:t xml:space="preserve">        </w:t>
      </w:r>
      <w:r>
        <w:rPr>
          <w:rFonts w:hint="eastAsia" w:ascii="宋体" w:hAnsi="宋体" w:eastAsia="宋体" w:cs="宋体"/>
          <w:kern w:val="0"/>
          <w:sz w:val="22"/>
          <w:szCs w:val="22"/>
          <w:highlight w:val="none"/>
        </w:rPr>
        <w:t>年</w:t>
      </w:r>
      <w:r>
        <w:rPr>
          <w:rFonts w:hint="eastAsia" w:ascii="宋体" w:hAnsi="宋体" w:eastAsia="宋体" w:cs="宋体"/>
          <w:kern w:val="0"/>
          <w:sz w:val="22"/>
          <w:szCs w:val="22"/>
          <w:highlight w:val="none"/>
          <w:u w:val="single"/>
        </w:rPr>
        <w:t xml:space="preserve">    </w:t>
      </w:r>
      <w:r>
        <w:rPr>
          <w:rFonts w:hint="eastAsia" w:ascii="宋体" w:hAnsi="宋体" w:eastAsia="宋体" w:cs="宋体"/>
          <w:kern w:val="0"/>
          <w:sz w:val="22"/>
          <w:szCs w:val="22"/>
          <w:highlight w:val="none"/>
        </w:rPr>
        <w:t>月</w:t>
      </w:r>
      <w:r>
        <w:rPr>
          <w:rFonts w:hint="eastAsia" w:ascii="宋体" w:hAnsi="宋体" w:eastAsia="宋体" w:cs="宋体"/>
          <w:kern w:val="0"/>
          <w:sz w:val="22"/>
          <w:szCs w:val="22"/>
          <w:highlight w:val="none"/>
          <w:u w:val="single"/>
        </w:rPr>
        <w:t xml:space="preserve">    </w:t>
      </w:r>
      <w:r>
        <w:rPr>
          <w:rFonts w:hint="eastAsia" w:ascii="宋体" w:hAnsi="宋体" w:eastAsia="宋体" w:cs="宋体"/>
          <w:kern w:val="0"/>
          <w:sz w:val="22"/>
          <w:szCs w:val="22"/>
          <w:highlight w:val="none"/>
        </w:rPr>
        <w:t>日止）</w:t>
      </w:r>
    </w:p>
    <w:p w14:paraId="0CFD2816">
      <w:pPr>
        <w:widowControl/>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1）固定资产：</w:t>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 xml:space="preserve">                                          </w:t>
      </w:r>
    </w:p>
    <w:p w14:paraId="6038C7F4">
      <w:pPr>
        <w:widowControl/>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2）流动资产：</w:t>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 xml:space="preserve">                                          </w:t>
      </w:r>
    </w:p>
    <w:p w14:paraId="2DC76900">
      <w:pPr>
        <w:widowControl/>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3）长期负债：</w:t>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 xml:space="preserve">                                          </w:t>
      </w:r>
    </w:p>
    <w:p w14:paraId="6E0AB530">
      <w:pPr>
        <w:widowControl/>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4）流动负债：</w:t>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 xml:space="preserve">                                          </w:t>
      </w:r>
    </w:p>
    <w:p w14:paraId="5B7B804E">
      <w:pPr>
        <w:widowControl/>
        <w:spacing w:line="360" w:lineRule="auto"/>
        <w:ind w:firstLine="440" w:firstLineChars="200"/>
        <w:rPr>
          <w:rFonts w:hint="eastAsia" w:ascii="宋体" w:hAnsi="宋体" w:eastAsia="宋体" w:cs="宋体"/>
          <w:kern w:val="0"/>
          <w:sz w:val="22"/>
          <w:szCs w:val="22"/>
          <w:highlight w:val="none"/>
          <w:u w:val="single"/>
        </w:rPr>
      </w:pPr>
      <w:r>
        <w:rPr>
          <w:rFonts w:hint="eastAsia" w:ascii="宋体" w:hAnsi="宋体" w:eastAsia="宋体" w:cs="宋体"/>
          <w:kern w:val="0"/>
          <w:sz w:val="22"/>
          <w:szCs w:val="22"/>
          <w:highlight w:val="none"/>
        </w:rPr>
        <w:t>5）净值：</w:t>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 xml:space="preserve">                                              </w:t>
      </w:r>
    </w:p>
    <w:p w14:paraId="232718A2">
      <w:pPr>
        <w:widowControl/>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xml:space="preserve">（7）主要负责人姓名：（可选填）                          </w:t>
      </w:r>
    </w:p>
    <w:p w14:paraId="067C28FE">
      <w:pPr>
        <w:widowControl/>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（8）生产企业在中国的代表的姓名和地址：</w:t>
      </w:r>
      <w:r>
        <w:rPr>
          <w:rFonts w:hint="eastAsia" w:ascii="宋体" w:hAnsi="宋体" w:eastAsia="宋体" w:cs="宋体"/>
          <w:kern w:val="0"/>
          <w:sz w:val="22"/>
          <w:szCs w:val="22"/>
          <w:highlight w:val="none"/>
          <w:u w:val="single"/>
        </w:rPr>
        <w:t>（如有的话）</w:t>
      </w:r>
    </w:p>
    <w:p w14:paraId="687AF818">
      <w:pPr>
        <w:widowControl/>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2、关于制造投标材料的设施及其它情况：</w:t>
      </w:r>
    </w:p>
    <w:tbl>
      <w:tblPr>
        <w:tblStyle w:val="37"/>
        <w:tblpPr w:leftFromText="180" w:rightFromText="180" w:vertAnchor="text" w:horzAnchor="page" w:tblpXSpec="center" w:tblpY="6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65"/>
        <w:gridCol w:w="2243"/>
        <w:gridCol w:w="2052"/>
        <w:gridCol w:w="2052"/>
      </w:tblGrid>
      <w:tr w14:paraId="54369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71" w:type="pct"/>
            <w:tcBorders>
              <w:top w:val="single" w:color="auto" w:sz="4" w:space="0"/>
              <w:left w:val="single" w:color="auto" w:sz="4" w:space="0"/>
              <w:bottom w:val="single" w:color="auto" w:sz="4" w:space="0"/>
              <w:right w:val="single" w:color="auto" w:sz="4" w:space="0"/>
            </w:tcBorders>
            <w:noWrap w:val="0"/>
            <w:vAlign w:val="center"/>
          </w:tcPr>
          <w:p w14:paraId="31DC0308">
            <w:pPr>
              <w:widowControl/>
              <w:snapToGrid w:val="0"/>
              <w:spacing w:line="360" w:lineRule="auto"/>
              <w:jc w:val="center"/>
              <w:rPr>
                <w:rFonts w:hint="eastAsia" w:ascii="宋体" w:hAnsi="宋体" w:eastAsia="宋体" w:cs="宋体"/>
                <w:b/>
                <w:kern w:val="0"/>
                <w:sz w:val="22"/>
                <w:szCs w:val="22"/>
                <w:highlight w:val="none"/>
              </w:rPr>
            </w:pPr>
            <w:r>
              <w:rPr>
                <w:rFonts w:hint="eastAsia" w:ascii="宋体" w:hAnsi="宋体" w:eastAsia="宋体" w:cs="宋体"/>
                <w:kern w:val="0"/>
                <w:sz w:val="22"/>
                <w:szCs w:val="22"/>
                <w:highlight w:val="none"/>
              </w:rPr>
              <w:t>工厂名称地址</w:t>
            </w:r>
          </w:p>
        </w:tc>
        <w:tc>
          <w:tcPr>
            <w:tcW w:w="1317" w:type="pct"/>
            <w:tcBorders>
              <w:top w:val="single" w:color="auto" w:sz="4" w:space="0"/>
              <w:left w:val="single" w:color="auto" w:sz="4" w:space="0"/>
              <w:bottom w:val="single" w:color="auto" w:sz="4" w:space="0"/>
              <w:right w:val="single" w:color="auto" w:sz="4" w:space="0"/>
            </w:tcBorders>
            <w:noWrap w:val="0"/>
            <w:vAlign w:val="center"/>
          </w:tcPr>
          <w:p w14:paraId="15A59A1E">
            <w:pPr>
              <w:widowControl/>
              <w:snapToGrid w:val="0"/>
              <w:spacing w:line="360" w:lineRule="auto"/>
              <w:jc w:val="center"/>
              <w:rPr>
                <w:rFonts w:hint="eastAsia" w:ascii="宋体" w:hAnsi="宋体" w:eastAsia="宋体" w:cs="宋体"/>
                <w:b/>
                <w:kern w:val="0"/>
                <w:sz w:val="22"/>
                <w:szCs w:val="22"/>
                <w:highlight w:val="none"/>
              </w:rPr>
            </w:pPr>
            <w:r>
              <w:rPr>
                <w:rFonts w:hint="eastAsia" w:ascii="宋体" w:hAnsi="宋体" w:eastAsia="宋体" w:cs="宋体"/>
                <w:kern w:val="0"/>
                <w:sz w:val="22"/>
                <w:szCs w:val="22"/>
                <w:highlight w:val="none"/>
              </w:rPr>
              <w:t>生产的项目</w:t>
            </w:r>
          </w:p>
        </w:tc>
        <w:tc>
          <w:tcPr>
            <w:tcW w:w="1205" w:type="pct"/>
            <w:tcBorders>
              <w:top w:val="single" w:color="auto" w:sz="4" w:space="0"/>
              <w:left w:val="single" w:color="auto" w:sz="4" w:space="0"/>
              <w:bottom w:val="single" w:color="auto" w:sz="4" w:space="0"/>
              <w:right w:val="single" w:color="auto" w:sz="4" w:space="0"/>
            </w:tcBorders>
            <w:noWrap w:val="0"/>
            <w:vAlign w:val="center"/>
          </w:tcPr>
          <w:p w14:paraId="388C619A">
            <w:pPr>
              <w:widowControl/>
              <w:snapToGrid w:val="0"/>
              <w:spacing w:line="360" w:lineRule="auto"/>
              <w:jc w:val="center"/>
              <w:rPr>
                <w:rFonts w:hint="eastAsia" w:ascii="宋体" w:hAnsi="宋体" w:eastAsia="宋体" w:cs="宋体"/>
                <w:b/>
                <w:kern w:val="0"/>
                <w:sz w:val="22"/>
                <w:szCs w:val="22"/>
                <w:highlight w:val="none"/>
              </w:rPr>
            </w:pPr>
            <w:r>
              <w:rPr>
                <w:rFonts w:hint="eastAsia" w:ascii="宋体" w:hAnsi="宋体" w:eastAsia="宋体" w:cs="宋体"/>
                <w:kern w:val="0"/>
                <w:sz w:val="22"/>
                <w:szCs w:val="22"/>
                <w:highlight w:val="none"/>
              </w:rPr>
              <w:t>年生产能力</w:t>
            </w:r>
          </w:p>
        </w:tc>
        <w:tc>
          <w:tcPr>
            <w:tcW w:w="1205" w:type="pct"/>
            <w:tcBorders>
              <w:top w:val="single" w:color="auto" w:sz="4" w:space="0"/>
              <w:left w:val="single" w:color="auto" w:sz="4" w:space="0"/>
              <w:bottom w:val="single" w:color="auto" w:sz="4" w:space="0"/>
              <w:right w:val="single" w:color="auto" w:sz="4" w:space="0"/>
            </w:tcBorders>
            <w:noWrap w:val="0"/>
            <w:vAlign w:val="center"/>
          </w:tcPr>
          <w:p w14:paraId="0F4D07EB">
            <w:pPr>
              <w:widowControl/>
              <w:snapToGrid w:val="0"/>
              <w:spacing w:line="360" w:lineRule="auto"/>
              <w:jc w:val="center"/>
              <w:rPr>
                <w:rFonts w:hint="eastAsia" w:ascii="宋体" w:hAnsi="宋体" w:eastAsia="宋体" w:cs="宋体"/>
                <w:b/>
                <w:kern w:val="0"/>
                <w:sz w:val="22"/>
                <w:szCs w:val="22"/>
                <w:highlight w:val="none"/>
              </w:rPr>
            </w:pPr>
            <w:r>
              <w:rPr>
                <w:rFonts w:hint="eastAsia" w:ascii="宋体" w:hAnsi="宋体" w:eastAsia="宋体" w:cs="宋体"/>
                <w:kern w:val="0"/>
                <w:sz w:val="22"/>
                <w:szCs w:val="22"/>
                <w:highlight w:val="none"/>
              </w:rPr>
              <w:t>职工人数</w:t>
            </w:r>
          </w:p>
        </w:tc>
      </w:tr>
      <w:tr w14:paraId="7788E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1271" w:type="pct"/>
            <w:tcBorders>
              <w:top w:val="single" w:color="auto" w:sz="4" w:space="0"/>
              <w:left w:val="single" w:color="auto" w:sz="4" w:space="0"/>
              <w:bottom w:val="single" w:color="auto" w:sz="4" w:space="0"/>
              <w:right w:val="single" w:color="auto" w:sz="4" w:space="0"/>
            </w:tcBorders>
            <w:noWrap w:val="0"/>
            <w:vAlign w:val="center"/>
          </w:tcPr>
          <w:p w14:paraId="309FC098">
            <w:pPr>
              <w:widowControl/>
              <w:snapToGrid w:val="0"/>
              <w:spacing w:line="360" w:lineRule="auto"/>
              <w:jc w:val="left"/>
              <w:rPr>
                <w:rFonts w:hint="eastAsia" w:ascii="宋体" w:hAnsi="宋体" w:eastAsia="宋体" w:cs="宋体"/>
                <w:kern w:val="0"/>
                <w:sz w:val="22"/>
                <w:szCs w:val="22"/>
                <w:highlight w:val="none"/>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4B98D3D1">
            <w:pPr>
              <w:widowControl/>
              <w:snapToGrid w:val="0"/>
              <w:spacing w:line="360" w:lineRule="auto"/>
              <w:jc w:val="center"/>
              <w:rPr>
                <w:rFonts w:hint="eastAsia" w:ascii="宋体" w:hAnsi="宋体" w:eastAsia="宋体" w:cs="宋体"/>
                <w:kern w:val="0"/>
                <w:sz w:val="22"/>
                <w:szCs w:val="22"/>
                <w:highlight w:val="none"/>
              </w:rPr>
            </w:pPr>
          </w:p>
        </w:tc>
        <w:tc>
          <w:tcPr>
            <w:tcW w:w="1205" w:type="pct"/>
            <w:tcBorders>
              <w:top w:val="single" w:color="auto" w:sz="4" w:space="0"/>
              <w:left w:val="single" w:color="auto" w:sz="4" w:space="0"/>
              <w:bottom w:val="single" w:color="auto" w:sz="4" w:space="0"/>
              <w:right w:val="single" w:color="auto" w:sz="4" w:space="0"/>
            </w:tcBorders>
            <w:noWrap w:val="0"/>
            <w:vAlign w:val="center"/>
          </w:tcPr>
          <w:p w14:paraId="675904A5">
            <w:pPr>
              <w:widowControl/>
              <w:snapToGrid w:val="0"/>
              <w:spacing w:line="360" w:lineRule="auto"/>
              <w:jc w:val="center"/>
              <w:rPr>
                <w:rFonts w:hint="eastAsia" w:ascii="宋体" w:hAnsi="宋体" w:eastAsia="宋体" w:cs="宋体"/>
                <w:kern w:val="0"/>
                <w:sz w:val="22"/>
                <w:szCs w:val="22"/>
                <w:highlight w:val="none"/>
              </w:rPr>
            </w:pPr>
          </w:p>
        </w:tc>
        <w:tc>
          <w:tcPr>
            <w:tcW w:w="1205" w:type="pct"/>
            <w:tcBorders>
              <w:top w:val="single" w:color="auto" w:sz="4" w:space="0"/>
              <w:left w:val="single" w:color="auto" w:sz="4" w:space="0"/>
              <w:bottom w:val="single" w:color="auto" w:sz="4" w:space="0"/>
              <w:right w:val="single" w:color="auto" w:sz="4" w:space="0"/>
            </w:tcBorders>
            <w:noWrap w:val="0"/>
            <w:vAlign w:val="center"/>
          </w:tcPr>
          <w:p w14:paraId="56B4FC42">
            <w:pPr>
              <w:widowControl/>
              <w:snapToGrid w:val="0"/>
              <w:spacing w:line="360" w:lineRule="auto"/>
              <w:jc w:val="center"/>
              <w:rPr>
                <w:rFonts w:hint="eastAsia" w:ascii="宋体" w:hAnsi="宋体" w:eastAsia="宋体" w:cs="宋体"/>
                <w:kern w:val="0"/>
                <w:sz w:val="22"/>
                <w:szCs w:val="22"/>
                <w:highlight w:val="none"/>
              </w:rPr>
            </w:pPr>
          </w:p>
        </w:tc>
      </w:tr>
      <w:tr w14:paraId="48F93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1271" w:type="pct"/>
            <w:tcBorders>
              <w:top w:val="single" w:color="auto" w:sz="4" w:space="0"/>
              <w:left w:val="single" w:color="auto" w:sz="4" w:space="0"/>
              <w:bottom w:val="single" w:color="auto" w:sz="4" w:space="0"/>
              <w:right w:val="single" w:color="auto" w:sz="4" w:space="0"/>
            </w:tcBorders>
            <w:noWrap w:val="0"/>
            <w:vAlign w:val="center"/>
          </w:tcPr>
          <w:p w14:paraId="3385E1A1">
            <w:pPr>
              <w:widowControl/>
              <w:snapToGrid w:val="0"/>
              <w:spacing w:line="360" w:lineRule="auto"/>
              <w:jc w:val="left"/>
              <w:rPr>
                <w:rFonts w:hint="eastAsia" w:ascii="宋体" w:hAnsi="宋体" w:eastAsia="宋体" w:cs="宋体"/>
                <w:kern w:val="0"/>
                <w:sz w:val="22"/>
                <w:szCs w:val="22"/>
                <w:highlight w:val="none"/>
                <w:lang w:val="en-GB"/>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14:paraId="578D752F">
            <w:pPr>
              <w:widowControl/>
              <w:snapToGrid w:val="0"/>
              <w:spacing w:line="360" w:lineRule="auto"/>
              <w:jc w:val="center"/>
              <w:rPr>
                <w:rFonts w:hint="eastAsia" w:ascii="宋体" w:hAnsi="宋体" w:eastAsia="宋体" w:cs="宋体"/>
                <w:kern w:val="0"/>
                <w:sz w:val="22"/>
                <w:szCs w:val="22"/>
                <w:highlight w:val="none"/>
              </w:rPr>
            </w:pPr>
          </w:p>
        </w:tc>
        <w:tc>
          <w:tcPr>
            <w:tcW w:w="1205" w:type="pct"/>
            <w:tcBorders>
              <w:top w:val="single" w:color="auto" w:sz="4" w:space="0"/>
              <w:left w:val="single" w:color="auto" w:sz="4" w:space="0"/>
              <w:bottom w:val="single" w:color="auto" w:sz="4" w:space="0"/>
              <w:right w:val="single" w:color="auto" w:sz="4" w:space="0"/>
            </w:tcBorders>
            <w:noWrap w:val="0"/>
            <w:vAlign w:val="center"/>
          </w:tcPr>
          <w:p w14:paraId="348818BC">
            <w:pPr>
              <w:widowControl/>
              <w:snapToGrid w:val="0"/>
              <w:spacing w:line="360" w:lineRule="auto"/>
              <w:jc w:val="center"/>
              <w:rPr>
                <w:rFonts w:hint="eastAsia" w:ascii="宋体" w:hAnsi="宋体" w:eastAsia="宋体" w:cs="宋体"/>
                <w:kern w:val="0"/>
                <w:sz w:val="22"/>
                <w:szCs w:val="22"/>
                <w:highlight w:val="none"/>
                <w:lang w:val="en-GB"/>
              </w:rPr>
            </w:pPr>
          </w:p>
        </w:tc>
        <w:tc>
          <w:tcPr>
            <w:tcW w:w="1205" w:type="pct"/>
            <w:tcBorders>
              <w:top w:val="single" w:color="auto" w:sz="4" w:space="0"/>
              <w:left w:val="single" w:color="auto" w:sz="4" w:space="0"/>
              <w:bottom w:val="single" w:color="auto" w:sz="4" w:space="0"/>
              <w:right w:val="single" w:color="auto" w:sz="4" w:space="0"/>
            </w:tcBorders>
            <w:noWrap w:val="0"/>
            <w:vAlign w:val="center"/>
          </w:tcPr>
          <w:p w14:paraId="0C44672A">
            <w:pPr>
              <w:widowControl/>
              <w:snapToGrid w:val="0"/>
              <w:spacing w:line="360" w:lineRule="auto"/>
              <w:jc w:val="center"/>
              <w:rPr>
                <w:rFonts w:hint="eastAsia" w:ascii="宋体" w:hAnsi="宋体" w:eastAsia="宋体" w:cs="宋体"/>
                <w:kern w:val="0"/>
                <w:sz w:val="22"/>
                <w:szCs w:val="22"/>
                <w:highlight w:val="none"/>
                <w:lang w:val="en-GB"/>
              </w:rPr>
            </w:pPr>
          </w:p>
        </w:tc>
      </w:tr>
    </w:tbl>
    <w:p w14:paraId="1600A520">
      <w:pPr>
        <w:widowControl/>
        <w:spacing w:line="360" w:lineRule="auto"/>
        <w:ind w:firstLine="440" w:firstLineChars="200"/>
        <w:rPr>
          <w:rFonts w:hint="eastAsia" w:ascii="宋体" w:hAnsi="宋体" w:eastAsia="宋体" w:cs="宋体"/>
          <w:kern w:val="0"/>
          <w:sz w:val="22"/>
          <w:szCs w:val="22"/>
          <w:highlight w:val="none"/>
          <w:u w:val="single"/>
        </w:rPr>
      </w:pPr>
      <w:r>
        <w:rPr>
          <w:rFonts w:hint="eastAsia" w:ascii="宋体" w:hAnsi="宋体" w:eastAsia="宋体" w:cs="宋体"/>
          <w:kern w:val="0"/>
          <w:sz w:val="22"/>
          <w:szCs w:val="22"/>
          <w:highlight w:val="none"/>
        </w:rPr>
        <w:t>本生产企业不生产，而需从其它生产企业购买的材料：</w:t>
      </w:r>
    </w:p>
    <w:tbl>
      <w:tblPr>
        <w:tblStyle w:val="37"/>
        <w:tblpPr w:leftFromText="180" w:rightFromText="180" w:vertAnchor="text" w:horzAnchor="page" w:tblpXSpec="center" w:tblpY="164"/>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55"/>
        <w:gridCol w:w="3958"/>
      </w:tblGrid>
      <w:tr w14:paraId="6EA48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675" w:type="pct"/>
            <w:tcBorders>
              <w:top w:val="single" w:color="auto" w:sz="4" w:space="0"/>
              <w:left w:val="single" w:color="auto" w:sz="4" w:space="0"/>
              <w:bottom w:val="single" w:color="auto" w:sz="4" w:space="0"/>
              <w:right w:val="single" w:color="auto" w:sz="4" w:space="0"/>
            </w:tcBorders>
            <w:noWrap w:val="0"/>
            <w:vAlign w:val="center"/>
          </w:tcPr>
          <w:p w14:paraId="10ABA2CC">
            <w:pPr>
              <w:widowControl/>
              <w:snapToGrid w:val="0"/>
              <w:spacing w:line="360" w:lineRule="auto"/>
              <w:jc w:val="center"/>
              <w:rPr>
                <w:rFonts w:hint="eastAsia" w:ascii="宋体" w:hAnsi="宋体" w:eastAsia="宋体" w:cs="宋体"/>
                <w:b/>
                <w:kern w:val="0"/>
                <w:sz w:val="22"/>
                <w:szCs w:val="22"/>
                <w:highlight w:val="none"/>
              </w:rPr>
            </w:pPr>
            <w:r>
              <w:rPr>
                <w:rFonts w:hint="eastAsia" w:ascii="宋体" w:hAnsi="宋体" w:eastAsia="宋体" w:cs="宋体"/>
                <w:kern w:val="0"/>
                <w:sz w:val="22"/>
                <w:szCs w:val="22"/>
                <w:highlight w:val="none"/>
              </w:rPr>
              <w:t>生产企业名称和地址</w:t>
            </w:r>
          </w:p>
        </w:tc>
        <w:tc>
          <w:tcPr>
            <w:tcW w:w="2324" w:type="pct"/>
            <w:tcBorders>
              <w:top w:val="single" w:color="auto" w:sz="4" w:space="0"/>
              <w:left w:val="single" w:color="auto" w:sz="4" w:space="0"/>
              <w:bottom w:val="single" w:color="auto" w:sz="4" w:space="0"/>
              <w:right w:val="single" w:color="auto" w:sz="4" w:space="0"/>
            </w:tcBorders>
            <w:noWrap w:val="0"/>
            <w:vAlign w:val="center"/>
          </w:tcPr>
          <w:p w14:paraId="500BDB10">
            <w:pPr>
              <w:widowControl/>
              <w:snapToGrid w:val="0"/>
              <w:spacing w:line="360" w:lineRule="auto"/>
              <w:jc w:val="center"/>
              <w:rPr>
                <w:rFonts w:hint="eastAsia" w:ascii="宋体" w:hAnsi="宋体" w:eastAsia="宋体" w:cs="宋体"/>
                <w:b/>
                <w:kern w:val="0"/>
                <w:sz w:val="22"/>
                <w:szCs w:val="22"/>
                <w:highlight w:val="none"/>
              </w:rPr>
            </w:pPr>
            <w:r>
              <w:rPr>
                <w:rFonts w:hint="eastAsia" w:ascii="宋体" w:hAnsi="宋体" w:eastAsia="宋体" w:cs="宋体"/>
                <w:kern w:val="0"/>
                <w:sz w:val="22"/>
                <w:szCs w:val="22"/>
                <w:highlight w:val="none"/>
              </w:rPr>
              <w:t>其他材料名称</w:t>
            </w:r>
          </w:p>
        </w:tc>
      </w:tr>
      <w:tr w14:paraId="5C5817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2675" w:type="pct"/>
            <w:tcBorders>
              <w:top w:val="single" w:color="auto" w:sz="4" w:space="0"/>
              <w:left w:val="single" w:color="auto" w:sz="4" w:space="0"/>
              <w:bottom w:val="single" w:color="auto" w:sz="4" w:space="0"/>
              <w:right w:val="single" w:color="auto" w:sz="4" w:space="0"/>
            </w:tcBorders>
            <w:noWrap w:val="0"/>
            <w:vAlign w:val="center"/>
          </w:tcPr>
          <w:p w14:paraId="69F518AC">
            <w:pPr>
              <w:widowControl/>
              <w:snapToGrid w:val="0"/>
              <w:spacing w:line="360" w:lineRule="auto"/>
              <w:jc w:val="left"/>
              <w:rPr>
                <w:rFonts w:hint="eastAsia" w:ascii="宋体" w:hAnsi="宋体" w:eastAsia="宋体" w:cs="宋体"/>
                <w:kern w:val="0"/>
                <w:sz w:val="22"/>
                <w:szCs w:val="22"/>
                <w:highlight w:val="none"/>
                <w:lang w:val="en-GB"/>
              </w:rPr>
            </w:pPr>
          </w:p>
        </w:tc>
        <w:tc>
          <w:tcPr>
            <w:tcW w:w="2324" w:type="pct"/>
            <w:tcBorders>
              <w:top w:val="single" w:color="auto" w:sz="4" w:space="0"/>
              <w:left w:val="single" w:color="auto" w:sz="4" w:space="0"/>
              <w:bottom w:val="single" w:color="auto" w:sz="4" w:space="0"/>
              <w:right w:val="single" w:color="auto" w:sz="4" w:space="0"/>
            </w:tcBorders>
            <w:noWrap w:val="0"/>
            <w:vAlign w:val="center"/>
          </w:tcPr>
          <w:p w14:paraId="05B92E63">
            <w:pPr>
              <w:widowControl/>
              <w:snapToGrid w:val="0"/>
              <w:spacing w:line="360" w:lineRule="auto"/>
              <w:jc w:val="center"/>
              <w:rPr>
                <w:rFonts w:hint="eastAsia" w:ascii="宋体" w:hAnsi="宋体" w:eastAsia="宋体" w:cs="宋体"/>
                <w:kern w:val="0"/>
                <w:sz w:val="22"/>
                <w:szCs w:val="22"/>
                <w:highlight w:val="none"/>
              </w:rPr>
            </w:pPr>
          </w:p>
        </w:tc>
      </w:tr>
    </w:tbl>
    <w:p w14:paraId="121CE090">
      <w:pPr>
        <w:widowControl/>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3</w:t>
      </w:r>
      <w:r>
        <w:rPr>
          <w:rFonts w:hint="eastAsia" w:ascii="宋体" w:hAnsi="宋体" w:eastAsia="宋体" w:cs="宋体"/>
          <w:kern w:val="0"/>
          <w:sz w:val="22"/>
          <w:szCs w:val="22"/>
          <w:highlight w:val="none"/>
        </w:rPr>
        <w:t>、有关开户银行的名称和地址：</w:t>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 xml:space="preserve">                             </w:t>
      </w:r>
    </w:p>
    <w:p w14:paraId="47FDB536">
      <w:pPr>
        <w:widowControl/>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4</w:t>
      </w:r>
      <w:r>
        <w:rPr>
          <w:rFonts w:hint="eastAsia" w:ascii="宋体" w:hAnsi="宋体" w:eastAsia="宋体" w:cs="宋体"/>
          <w:kern w:val="0"/>
          <w:sz w:val="22"/>
          <w:szCs w:val="22"/>
          <w:highlight w:val="none"/>
        </w:rPr>
        <w:t>、生产企业所属的集团公司（如有的话）：</w:t>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 xml:space="preserve">                            </w:t>
      </w:r>
    </w:p>
    <w:p w14:paraId="3555E785">
      <w:pPr>
        <w:widowControl/>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5</w:t>
      </w:r>
      <w:r>
        <w:rPr>
          <w:rFonts w:hint="eastAsia" w:ascii="宋体" w:hAnsi="宋体" w:eastAsia="宋体" w:cs="宋体"/>
          <w:kern w:val="0"/>
          <w:sz w:val="22"/>
          <w:szCs w:val="22"/>
          <w:highlight w:val="none"/>
        </w:rPr>
        <w:t>、其他情况：</w:t>
      </w:r>
      <w:r>
        <w:rPr>
          <w:rFonts w:hint="eastAsia" w:ascii="宋体" w:hAnsi="宋体" w:eastAsia="宋体" w:cs="宋体"/>
          <w:kern w:val="0"/>
          <w:sz w:val="22"/>
          <w:szCs w:val="22"/>
          <w:highlight w:val="none"/>
          <w:u w:val="single"/>
        </w:rPr>
        <w:t xml:space="preserve">                                               </w:t>
      </w:r>
      <w:r>
        <w:rPr>
          <w:rFonts w:hint="eastAsia" w:ascii="宋体" w:hAnsi="宋体" w:eastAsia="宋体" w:cs="宋体"/>
          <w:kern w:val="0"/>
          <w:sz w:val="22"/>
          <w:szCs w:val="22"/>
          <w:highlight w:val="none"/>
          <w:u w:val="single"/>
          <w:lang w:val="en-US" w:eastAsia="zh-CN"/>
        </w:rPr>
        <w:t xml:space="preserve">     </w:t>
      </w:r>
      <w:r>
        <w:rPr>
          <w:rFonts w:hint="eastAsia" w:ascii="宋体" w:hAnsi="宋体" w:eastAsia="宋体" w:cs="宋体"/>
          <w:kern w:val="0"/>
          <w:sz w:val="22"/>
          <w:szCs w:val="22"/>
          <w:highlight w:val="none"/>
          <w:u w:val="single"/>
        </w:rPr>
        <w:t xml:space="preserve">       </w:t>
      </w:r>
    </w:p>
    <w:p w14:paraId="1476556A">
      <w:pPr>
        <w:widowControl/>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兹证明上述声明是真实、正确的，并提供了全部能提供的资料和数据，我们同意遵照贵方要求出示有关证明文件。</w:t>
      </w:r>
    </w:p>
    <w:p w14:paraId="5ADC3960">
      <w:pPr>
        <w:widowControl/>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注：1.如果采购范围中所列明设备的重要部件不是</w:t>
      </w:r>
      <w:r>
        <w:rPr>
          <w:rFonts w:hint="eastAsia" w:ascii="宋体" w:hAnsi="宋体" w:eastAsia="宋体" w:cs="宋体"/>
          <w:kern w:val="0"/>
          <w:sz w:val="22"/>
          <w:szCs w:val="22"/>
          <w:highlight w:val="none"/>
          <w:lang w:val="en-US" w:eastAsia="zh-CN"/>
        </w:rPr>
        <w:t>乙方</w:t>
      </w:r>
      <w:r>
        <w:rPr>
          <w:rFonts w:hint="eastAsia" w:ascii="宋体" w:hAnsi="宋体" w:eastAsia="宋体" w:cs="宋体"/>
          <w:kern w:val="0"/>
          <w:sz w:val="22"/>
          <w:szCs w:val="22"/>
          <w:highlight w:val="none"/>
        </w:rPr>
        <w:t>自己生产的，</w:t>
      </w:r>
      <w:r>
        <w:rPr>
          <w:rFonts w:hint="eastAsia" w:ascii="宋体" w:hAnsi="宋体" w:eastAsia="宋体" w:cs="宋体"/>
          <w:kern w:val="0"/>
          <w:sz w:val="22"/>
          <w:szCs w:val="22"/>
          <w:highlight w:val="none"/>
          <w:lang w:val="en-US" w:eastAsia="zh-CN"/>
        </w:rPr>
        <w:t>乙方</w:t>
      </w:r>
      <w:r>
        <w:rPr>
          <w:rFonts w:hint="eastAsia" w:ascii="宋体" w:hAnsi="宋体" w:eastAsia="宋体" w:cs="宋体"/>
          <w:kern w:val="0"/>
          <w:sz w:val="22"/>
          <w:szCs w:val="22"/>
          <w:highlight w:val="none"/>
        </w:rPr>
        <w:t>须提供相应设备制造商针对本项目出具的专项授权书，并提供相应设备制造商的营业执照副本、组织机构代码证书、税务登记证书（如果已完成三证合一，则仅需提供营业执照副本）；</w:t>
      </w:r>
    </w:p>
    <w:p w14:paraId="49CDD06F">
      <w:pPr>
        <w:widowControl/>
        <w:tabs>
          <w:tab w:val="left" w:pos="220"/>
        </w:tabs>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2.提供所投设备授权的生产企业需按要求填写本生产企业资格声明。</w:t>
      </w:r>
    </w:p>
    <w:p w14:paraId="1B275D2D">
      <w:pPr>
        <w:widowControl/>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3.</w:t>
      </w:r>
      <w:r>
        <w:rPr>
          <w:rFonts w:hint="eastAsia" w:ascii="宋体" w:hAnsi="宋体" w:eastAsia="宋体" w:cs="宋体"/>
          <w:kern w:val="0"/>
          <w:sz w:val="22"/>
          <w:szCs w:val="22"/>
          <w:highlight w:val="none"/>
          <w:lang w:eastAsia="zh-CN"/>
        </w:rPr>
        <w:t>乙方</w:t>
      </w:r>
      <w:r>
        <w:rPr>
          <w:rFonts w:hint="eastAsia" w:ascii="宋体" w:hAnsi="宋体" w:eastAsia="宋体" w:cs="宋体"/>
          <w:kern w:val="0"/>
          <w:sz w:val="22"/>
          <w:szCs w:val="22"/>
          <w:highlight w:val="none"/>
        </w:rPr>
        <w:t>应在和</w:t>
      </w:r>
      <w:r>
        <w:rPr>
          <w:rFonts w:hint="eastAsia" w:ascii="宋体" w:hAnsi="宋体" w:eastAsia="宋体" w:cs="宋体"/>
          <w:kern w:val="0"/>
          <w:sz w:val="22"/>
          <w:szCs w:val="22"/>
          <w:highlight w:val="none"/>
          <w:lang w:val="en-US" w:eastAsia="zh-CN"/>
        </w:rPr>
        <w:t>比选</w:t>
      </w:r>
      <w:r>
        <w:rPr>
          <w:rFonts w:hint="eastAsia" w:ascii="宋体" w:hAnsi="宋体" w:eastAsia="宋体" w:cs="宋体"/>
          <w:kern w:val="0"/>
          <w:sz w:val="22"/>
          <w:szCs w:val="22"/>
          <w:highlight w:val="none"/>
        </w:rPr>
        <w:t>人签署本</w:t>
      </w:r>
      <w:r>
        <w:rPr>
          <w:rFonts w:hint="eastAsia" w:ascii="宋体" w:hAnsi="宋体" w:eastAsia="宋体" w:cs="宋体"/>
          <w:kern w:val="0"/>
          <w:sz w:val="22"/>
          <w:szCs w:val="22"/>
          <w:highlight w:val="none"/>
          <w:lang w:val="en-US" w:eastAsia="zh-CN"/>
        </w:rPr>
        <w:t>项目</w:t>
      </w:r>
      <w:r>
        <w:rPr>
          <w:rFonts w:hint="eastAsia" w:ascii="宋体" w:hAnsi="宋体" w:eastAsia="宋体" w:cs="宋体"/>
          <w:kern w:val="0"/>
          <w:sz w:val="22"/>
          <w:szCs w:val="22"/>
          <w:highlight w:val="none"/>
        </w:rPr>
        <w:t>供货合同前提供其和相应设备制造商签署的供货协议。</w:t>
      </w:r>
    </w:p>
    <w:p w14:paraId="314357CB">
      <w:pPr>
        <w:widowControl/>
        <w:spacing w:line="360" w:lineRule="auto"/>
        <w:ind w:left="3543" w:leftChars="1687"/>
        <w:jc w:val="left"/>
        <w:rPr>
          <w:rFonts w:hint="eastAsia" w:ascii="宋体" w:hAnsi="宋体" w:eastAsia="宋体" w:cs="宋体"/>
          <w:kern w:val="0"/>
          <w:sz w:val="22"/>
          <w:szCs w:val="22"/>
          <w:highlight w:val="none"/>
        </w:rPr>
      </w:pPr>
    </w:p>
    <w:p w14:paraId="72986111">
      <w:pPr>
        <w:widowControl/>
        <w:spacing w:line="360" w:lineRule="auto"/>
        <w:ind w:left="3543" w:leftChars="1687"/>
        <w:jc w:val="left"/>
        <w:rPr>
          <w:rFonts w:hint="eastAsia" w:ascii="宋体" w:hAnsi="宋体" w:eastAsia="宋体" w:cs="宋体"/>
          <w:kern w:val="0"/>
          <w:sz w:val="22"/>
          <w:szCs w:val="22"/>
          <w:highlight w:val="none"/>
        </w:rPr>
      </w:pPr>
    </w:p>
    <w:p w14:paraId="24D00360">
      <w:pPr>
        <w:widowControl/>
        <w:spacing w:line="360" w:lineRule="auto"/>
        <w:ind w:left="3543" w:leftChars="1687"/>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生产企业名称（盖单位公章）：</w:t>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lang w:val="en-US" w:eastAsia="zh-CN"/>
        </w:rPr>
        <w:t xml:space="preserve"> </w:t>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 xml:space="preserve">                   </w:t>
      </w:r>
    </w:p>
    <w:p w14:paraId="71164BA4">
      <w:pPr>
        <w:widowControl/>
        <w:spacing w:line="360" w:lineRule="auto"/>
        <w:ind w:left="3543" w:leftChars="1687"/>
        <w:jc w:val="left"/>
        <w:rPr>
          <w:rFonts w:hint="eastAsia" w:ascii="宋体" w:hAnsi="宋体" w:eastAsia="宋体" w:cs="宋体"/>
          <w:kern w:val="0"/>
          <w:sz w:val="22"/>
          <w:szCs w:val="22"/>
          <w:highlight w:val="none"/>
          <w:u w:val="single"/>
        </w:rPr>
      </w:pPr>
      <w:r>
        <w:rPr>
          <w:rFonts w:hint="eastAsia" w:ascii="宋体" w:hAnsi="宋体" w:eastAsia="宋体" w:cs="宋体"/>
          <w:kern w:val="0"/>
          <w:sz w:val="22"/>
          <w:szCs w:val="22"/>
          <w:highlight w:val="none"/>
          <w:u w:val="none"/>
        </w:rPr>
        <w:t>法定代表人或委托代理人：</w:t>
      </w:r>
      <w:r>
        <w:rPr>
          <w:rFonts w:hint="eastAsia" w:ascii="宋体" w:hAnsi="宋体" w:eastAsia="宋体" w:cs="宋体"/>
          <w:kern w:val="0"/>
          <w:sz w:val="22"/>
          <w:szCs w:val="22"/>
          <w:highlight w:val="none"/>
          <w:u w:val="single"/>
        </w:rPr>
        <w:t xml:space="preserve">（签字或盖章）                                       </w:t>
      </w:r>
    </w:p>
    <w:p w14:paraId="15A5995E">
      <w:pPr>
        <w:widowControl/>
        <w:spacing w:line="360" w:lineRule="auto"/>
        <w:ind w:left="3543" w:leftChars="1687"/>
        <w:jc w:val="left"/>
        <w:rPr>
          <w:rFonts w:hint="eastAsia" w:ascii="宋体" w:hAnsi="宋体" w:eastAsia="宋体" w:cs="宋体"/>
          <w:kern w:val="0"/>
          <w:sz w:val="22"/>
          <w:szCs w:val="22"/>
          <w:highlight w:val="none"/>
          <w:u w:val="single"/>
        </w:rPr>
      </w:pPr>
      <w:r>
        <w:rPr>
          <w:rFonts w:hint="eastAsia" w:ascii="宋体" w:hAnsi="宋体" w:eastAsia="宋体" w:cs="宋体"/>
          <w:kern w:val="0"/>
          <w:sz w:val="22"/>
          <w:szCs w:val="22"/>
          <w:highlight w:val="none"/>
        </w:rPr>
        <w:t>日期：</w:t>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ab/>
      </w:r>
      <w:r>
        <w:rPr>
          <w:rFonts w:hint="eastAsia" w:ascii="宋体" w:hAnsi="宋体" w:eastAsia="宋体" w:cs="宋体"/>
          <w:kern w:val="0"/>
          <w:sz w:val="22"/>
          <w:szCs w:val="22"/>
          <w:highlight w:val="none"/>
          <w:u w:val="single"/>
        </w:rPr>
        <w:t xml:space="preserve">                                     </w:t>
      </w:r>
    </w:p>
    <w:p w14:paraId="01FAE28D">
      <w:pPr>
        <w:keepNext/>
        <w:keepLines/>
        <w:widowControl w:val="0"/>
        <w:spacing w:before="0" w:after="0" w:line="440" w:lineRule="exact"/>
        <w:jc w:val="center"/>
        <w:outlineLvl w:val="1"/>
        <w:rPr>
          <w:rFonts w:hint="eastAsia" w:ascii="宋体" w:hAnsi="宋体" w:eastAsia="宋体" w:cs="宋体"/>
          <w:b/>
          <w:bCs/>
          <w:kern w:val="0"/>
          <w:sz w:val="30"/>
          <w:szCs w:val="30"/>
          <w:highlight w:val="none"/>
          <w:lang w:val="en-US" w:eastAsia="zh-CN" w:bidi="ar-SA"/>
        </w:rPr>
      </w:pPr>
      <w:r>
        <w:rPr>
          <w:rFonts w:hint="eastAsia" w:ascii="宋体" w:hAnsi="宋体" w:eastAsia="宋体" w:cs="宋体"/>
          <w:b/>
          <w:bCs/>
          <w:kern w:val="0"/>
          <w:sz w:val="32"/>
          <w:szCs w:val="32"/>
          <w:highlight w:val="none"/>
          <w:lang w:val="en-US" w:eastAsia="zh-CN" w:bidi="ar-SA"/>
        </w:rPr>
        <w:br w:type="page"/>
      </w:r>
      <w:r>
        <w:rPr>
          <w:rFonts w:hint="eastAsia" w:ascii="宋体" w:hAnsi="宋体" w:eastAsia="宋体" w:cs="宋体"/>
          <w:b/>
          <w:bCs/>
          <w:kern w:val="0"/>
          <w:sz w:val="30"/>
          <w:szCs w:val="30"/>
          <w:highlight w:val="none"/>
          <w:lang w:val="en-US" w:eastAsia="zh-CN" w:bidi="ar-SA"/>
        </w:rPr>
        <w:t>四</w:t>
      </w:r>
      <w:r>
        <w:rPr>
          <w:rFonts w:hint="eastAsia" w:ascii="宋体" w:hAnsi="宋体" w:cs="宋体"/>
          <w:b/>
          <w:bCs/>
          <w:kern w:val="0"/>
          <w:sz w:val="30"/>
          <w:szCs w:val="30"/>
          <w:highlight w:val="none"/>
          <w:lang w:val="en-US" w:eastAsia="zh-CN" w:bidi="ar-SA"/>
        </w:rPr>
        <w:t>、</w:t>
      </w:r>
      <w:r>
        <w:rPr>
          <w:rFonts w:hint="eastAsia" w:ascii="宋体" w:hAnsi="宋体" w:eastAsia="宋体" w:cs="宋体"/>
          <w:b/>
          <w:bCs/>
          <w:kern w:val="0"/>
          <w:sz w:val="30"/>
          <w:szCs w:val="30"/>
          <w:highlight w:val="none"/>
          <w:lang w:val="en-US" w:eastAsia="zh-CN" w:bidi="ar-SA"/>
        </w:rPr>
        <w:t>代理企业授权委托书</w:t>
      </w:r>
      <w:bookmarkEnd w:id="230"/>
    </w:p>
    <w:p w14:paraId="7F6CA605">
      <w:pPr>
        <w:rPr>
          <w:rFonts w:hint="eastAsia" w:ascii="宋体" w:hAnsi="宋体" w:eastAsia="宋体" w:cs="宋体"/>
          <w:b/>
          <w:bCs/>
          <w:highlight w:val="none"/>
          <w:lang w:eastAsia="zh-CN"/>
        </w:rPr>
      </w:pPr>
    </w:p>
    <w:p w14:paraId="0BC16CD9">
      <w:pPr>
        <w:pStyle w:val="14"/>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格式自拟</w:t>
      </w:r>
    </w:p>
    <w:p w14:paraId="2321B4D9">
      <w:pPr>
        <w:rPr>
          <w:rFonts w:hint="eastAsia" w:ascii="宋体" w:hAnsi="宋体" w:eastAsia="宋体" w:cs="宋体"/>
          <w:b/>
          <w:bCs/>
          <w:sz w:val="24"/>
          <w:szCs w:val="24"/>
          <w:highlight w:val="none"/>
          <w:lang w:eastAsia="zh-CN"/>
        </w:rPr>
      </w:pPr>
    </w:p>
    <w:p w14:paraId="3DCC5648">
      <w:pPr>
        <w:pStyle w:val="35"/>
        <w:rPr>
          <w:rFonts w:hint="eastAsia" w:ascii="宋体" w:hAnsi="宋体" w:eastAsia="宋体" w:cs="宋体"/>
          <w:highlight w:val="none"/>
          <w:lang w:eastAsia="zh-CN"/>
        </w:rPr>
        <w:sectPr>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rtlGutter w:val="0"/>
          <w:docGrid w:type="lines" w:linePitch="325" w:charSpace="0"/>
        </w:sectPr>
      </w:pPr>
    </w:p>
    <w:bookmarkEnd w:id="231"/>
    <w:p w14:paraId="521DD8AB">
      <w:pPr>
        <w:pStyle w:val="2"/>
        <w:spacing w:before="0" w:after="0" w:line="440" w:lineRule="exact"/>
        <w:jc w:val="center"/>
        <w:rPr>
          <w:rFonts w:hint="eastAsia" w:ascii="宋体" w:hAnsi="宋体" w:eastAsia="宋体" w:cs="宋体"/>
          <w:highlight w:val="none"/>
        </w:rPr>
      </w:pPr>
      <w:r>
        <w:rPr>
          <w:rFonts w:hint="eastAsia" w:ascii="宋体" w:hAnsi="宋体" w:eastAsia="宋体" w:cs="宋体"/>
          <w:highlight w:val="none"/>
          <w:lang w:val="en-US" w:eastAsia="zh-CN"/>
        </w:rPr>
        <w:t>五</w:t>
      </w:r>
      <w:r>
        <w:rPr>
          <w:rFonts w:hint="eastAsia" w:ascii="宋体" w:hAnsi="宋体" w:eastAsia="宋体" w:cs="宋体"/>
          <w:highlight w:val="none"/>
          <w:lang w:eastAsia="zh-CN"/>
        </w:rPr>
        <w:t>、</w:t>
      </w:r>
      <w:r>
        <w:rPr>
          <w:rFonts w:hint="eastAsia" w:ascii="宋体" w:hAnsi="宋体" w:eastAsia="宋体" w:cs="宋体"/>
          <w:szCs w:val="28"/>
          <w:highlight w:val="none"/>
        </w:rPr>
        <w:t>企业业绩概况表</w:t>
      </w:r>
      <w:bookmarkEnd w:id="232"/>
    </w:p>
    <w:p w14:paraId="55A80E77">
      <w:pPr>
        <w:rPr>
          <w:rFonts w:hint="eastAsia" w:ascii="宋体" w:hAnsi="宋体" w:eastAsia="宋体" w:cs="宋体"/>
          <w:highlight w:val="none"/>
        </w:rPr>
      </w:pPr>
    </w:p>
    <w:tbl>
      <w:tblPr>
        <w:tblStyle w:val="37"/>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14:paraId="4FC69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7FB696BE">
            <w:pPr>
              <w:adjustRightInd w:val="0"/>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序号</w:t>
            </w:r>
          </w:p>
        </w:tc>
        <w:tc>
          <w:tcPr>
            <w:tcW w:w="5577" w:type="dxa"/>
            <w:vAlign w:val="center"/>
          </w:tcPr>
          <w:p w14:paraId="7F145801">
            <w:pPr>
              <w:adjustRightInd w:val="0"/>
              <w:snapToGrid w:val="0"/>
              <w:spacing w:line="440" w:lineRule="exact"/>
              <w:ind w:firstLine="420" w:firstLineChars="200"/>
              <w:jc w:val="center"/>
              <w:rPr>
                <w:rFonts w:hint="eastAsia" w:ascii="宋体" w:hAnsi="宋体" w:eastAsia="宋体" w:cs="宋体"/>
                <w:highlight w:val="none"/>
              </w:rPr>
            </w:pPr>
          </w:p>
        </w:tc>
      </w:tr>
      <w:tr w14:paraId="1C2BFD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1C2E61F3">
            <w:pPr>
              <w:adjustRightInd w:val="0"/>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项目名称</w:t>
            </w:r>
          </w:p>
        </w:tc>
        <w:tc>
          <w:tcPr>
            <w:tcW w:w="5577" w:type="dxa"/>
            <w:vAlign w:val="center"/>
          </w:tcPr>
          <w:p w14:paraId="63917A87">
            <w:pPr>
              <w:adjustRightInd w:val="0"/>
              <w:snapToGrid w:val="0"/>
              <w:spacing w:line="440" w:lineRule="exact"/>
              <w:ind w:firstLine="420" w:firstLineChars="200"/>
              <w:jc w:val="center"/>
              <w:rPr>
                <w:rFonts w:hint="eastAsia" w:ascii="宋体" w:hAnsi="宋体" w:eastAsia="宋体" w:cs="宋体"/>
                <w:highlight w:val="none"/>
              </w:rPr>
            </w:pPr>
          </w:p>
        </w:tc>
      </w:tr>
      <w:tr w14:paraId="070C0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6F771E38">
            <w:pPr>
              <w:adjustRightInd w:val="0"/>
              <w:snapToGrid w:val="0"/>
              <w:spacing w:line="440" w:lineRule="exact"/>
              <w:ind w:left="42" w:hanging="42" w:hangingChars="20"/>
              <w:jc w:val="center"/>
              <w:rPr>
                <w:rFonts w:hint="eastAsia" w:ascii="宋体" w:hAnsi="宋体" w:eastAsia="宋体" w:cs="宋体"/>
                <w:highlight w:val="none"/>
              </w:rPr>
            </w:pPr>
            <w:r>
              <w:rPr>
                <w:rFonts w:hint="eastAsia" w:ascii="宋体" w:hAnsi="宋体" w:eastAsia="宋体" w:cs="宋体"/>
                <w:highlight w:val="none"/>
              </w:rPr>
              <w:t>项目所在地</w:t>
            </w:r>
          </w:p>
        </w:tc>
        <w:tc>
          <w:tcPr>
            <w:tcW w:w="5577" w:type="dxa"/>
            <w:vAlign w:val="center"/>
          </w:tcPr>
          <w:p w14:paraId="7E5C0D9A">
            <w:pPr>
              <w:adjustRightInd w:val="0"/>
              <w:snapToGrid w:val="0"/>
              <w:spacing w:line="440" w:lineRule="exact"/>
              <w:ind w:firstLine="420" w:firstLineChars="200"/>
              <w:jc w:val="center"/>
              <w:rPr>
                <w:rFonts w:hint="eastAsia" w:ascii="宋体" w:hAnsi="宋体" w:eastAsia="宋体" w:cs="宋体"/>
                <w:highlight w:val="none"/>
              </w:rPr>
            </w:pPr>
          </w:p>
        </w:tc>
      </w:tr>
      <w:tr w14:paraId="5AA7F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136A48D4">
            <w:pPr>
              <w:adjustRightInd w:val="0"/>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业主名称</w:t>
            </w:r>
          </w:p>
        </w:tc>
        <w:tc>
          <w:tcPr>
            <w:tcW w:w="5577" w:type="dxa"/>
            <w:vAlign w:val="center"/>
          </w:tcPr>
          <w:p w14:paraId="184C3C0C">
            <w:pPr>
              <w:adjustRightInd w:val="0"/>
              <w:snapToGrid w:val="0"/>
              <w:spacing w:line="440" w:lineRule="exact"/>
              <w:ind w:firstLine="420" w:firstLineChars="200"/>
              <w:jc w:val="center"/>
              <w:rPr>
                <w:rFonts w:hint="eastAsia" w:ascii="宋体" w:hAnsi="宋体" w:eastAsia="宋体" w:cs="宋体"/>
                <w:highlight w:val="none"/>
              </w:rPr>
            </w:pPr>
          </w:p>
        </w:tc>
      </w:tr>
      <w:tr w14:paraId="646F6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19ECCBC8">
            <w:pPr>
              <w:adjustRightInd w:val="0"/>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业主地址</w:t>
            </w:r>
          </w:p>
        </w:tc>
        <w:tc>
          <w:tcPr>
            <w:tcW w:w="5577" w:type="dxa"/>
            <w:vAlign w:val="center"/>
          </w:tcPr>
          <w:p w14:paraId="28E66B5C">
            <w:pPr>
              <w:adjustRightInd w:val="0"/>
              <w:snapToGrid w:val="0"/>
              <w:spacing w:line="440" w:lineRule="exact"/>
              <w:ind w:firstLine="420" w:firstLineChars="200"/>
              <w:jc w:val="center"/>
              <w:rPr>
                <w:rFonts w:hint="eastAsia" w:ascii="宋体" w:hAnsi="宋体" w:eastAsia="宋体" w:cs="宋体"/>
                <w:highlight w:val="none"/>
              </w:rPr>
            </w:pPr>
          </w:p>
        </w:tc>
      </w:tr>
      <w:tr w14:paraId="02665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6DC8E9F3">
            <w:pPr>
              <w:adjustRightInd w:val="0"/>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业主电话</w:t>
            </w:r>
          </w:p>
        </w:tc>
        <w:tc>
          <w:tcPr>
            <w:tcW w:w="5577" w:type="dxa"/>
            <w:vAlign w:val="center"/>
          </w:tcPr>
          <w:p w14:paraId="0A529E64">
            <w:pPr>
              <w:adjustRightInd w:val="0"/>
              <w:snapToGrid w:val="0"/>
              <w:spacing w:line="440" w:lineRule="exact"/>
              <w:ind w:firstLine="420" w:firstLineChars="200"/>
              <w:jc w:val="center"/>
              <w:rPr>
                <w:rFonts w:hint="eastAsia" w:ascii="宋体" w:hAnsi="宋体" w:eastAsia="宋体" w:cs="宋体"/>
                <w:highlight w:val="none"/>
              </w:rPr>
            </w:pPr>
          </w:p>
        </w:tc>
      </w:tr>
      <w:tr w14:paraId="1A77B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0ABC693D">
            <w:pPr>
              <w:adjustRightInd w:val="0"/>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合同金额</w:t>
            </w:r>
          </w:p>
        </w:tc>
        <w:tc>
          <w:tcPr>
            <w:tcW w:w="5577" w:type="dxa"/>
            <w:vAlign w:val="center"/>
          </w:tcPr>
          <w:p w14:paraId="7A078C68">
            <w:pPr>
              <w:adjustRightInd w:val="0"/>
              <w:snapToGrid w:val="0"/>
              <w:spacing w:line="440" w:lineRule="exact"/>
              <w:ind w:firstLine="420" w:firstLineChars="200"/>
              <w:jc w:val="center"/>
              <w:rPr>
                <w:rFonts w:hint="eastAsia" w:ascii="宋体" w:hAnsi="宋体" w:eastAsia="宋体" w:cs="宋体"/>
                <w:highlight w:val="none"/>
              </w:rPr>
            </w:pPr>
          </w:p>
        </w:tc>
      </w:tr>
      <w:tr w14:paraId="03A7DA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153C1C24">
            <w:pPr>
              <w:adjustRightInd w:val="0"/>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承担的工作内容</w:t>
            </w:r>
          </w:p>
        </w:tc>
        <w:tc>
          <w:tcPr>
            <w:tcW w:w="5577" w:type="dxa"/>
            <w:vAlign w:val="center"/>
          </w:tcPr>
          <w:p w14:paraId="17AD3635">
            <w:pPr>
              <w:adjustRightInd w:val="0"/>
              <w:snapToGrid w:val="0"/>
              <w:spacing w:line="440" w:lineRule="exact"/>
              <w:ind w:firstLine="420" w:firstLineChars="200"/>
              <w:jc w:val="center"/>
              <w:rPr>
                <w:rFonts w:hint="eastAsia" w:ascii="宋体" w:hAnsi="宋体" w:eastAsia="宋体" w:cs="宋体"/>
                <w:highlight w:val="none"/>
              </w:rPr>
            </w:pPr>
          </w:p>
        </w:tc>
      </w:tr>
      <w:tr w14:paraId="4E338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33A277BF">
            <w:pPr>
              <w:adjustRightInd w:val="0"/>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备注</w:t>
            </w:r>
          </w:p>
        </w:tc>
        <w:tc>
          <w:tcPr>
            <w:tcW w:w="5577" w:type="dxa"/>
            <w:vAlign w:val="center"/>
          </w:tcPr>
          <w:p w14:paraId="2DAB2018">
            <w:pPr>
              <w:adjustRightInd w:val="0"/>
              <w:snapToGrid w:val="0"/>
              <w:spacing w:line="440" w:lineRule="exact"/>
              <w:ind w:firstLine="420" w:firstLineChars="200"/>
              <w:jc w:val="center"/>
              <w:rPr>
                <w:rFonts w:hint="eastAsia" w:ascii="宋体" w:hAnsi="宋体" w:eastAsia="宋体" w:cs="宋体"/>
                <w:highlight w:val="none"/>
              </w:rPr>
            </w:pPr>
          </w:p>
        </w:tc>
      </w:tr>
    </w:tbl>
    <w:p w14:paraId="57326849">
      <w:pPr>
        <w:pStyle w:val="81"/>
        <w:rPr>
          <w:rFonts w:hint="eastAsia" w:ascii="宋体" w:hAnsi="宋体" w:eastAsia="宋体" w:cs="宋体"/>
          <w:highlight w:val="none"/>
          <w:lang w:eastAsia="zh-CN"/>
        </w:rPr>
      </w:pPr>
      <w:r>
        <w:rPr>
          <w:rFonts w:hint="eastAsia" w:ascii="宋体" w:hAnsi="宋体" w:eastAsia="宋体" w:cs="宋体"/>
          <w:highlight w:val="none"/>
          <w:lang w:eastAsia="zh-CN"/>
        </w:rPr>
        <w:t>注：每一个项目填一张表，本表后附业绩证明材料的复印件或扫描件。</w:t>
      </w:r>
    </w:p>
    <w:p w14:paraId="6476A71B">
      <w:pPr>
        <w:pStyle w:val="2"/>
        <w:spacing w:before="0" w:after="0" w:line="440" w:lineRule="exact"/>
        <w:jc w:val="center"/>
        <w:rPr>
          <w:rFonts w:hint="eastAsia" w:ascii="宋体" w:hAnsi="宋体" w:eastAsia="宋体" w:cs="宋体"/>
          <w:szCs w:val="28"/>
          <w:highlight w:val="none"/>
        </w:rPr>
      </w:pPr>
      <w:r>
        <w:rPr>
          <w:rFonts w:hint="eastAsia" w:ascii="宋体" w:hAnsi="宋体" w:eastAsia="宋体" w:cs="宋体"/>
          <w:highlight w:val="none"/>
        </w:rPr>
        <w:br w:type="page"/>
      </w:r>
      <w:bookmarkEnd w:id="233"/>
      <w:bookmarkEnd w:id="234"/>
      <w:bookmarkEnd w:id="235"/>
      <w:bookmarkEnd w:id="236"/>
      <w:bookmarkEnd w:id="237"/>
      <w:bookmarkEnd w:id="238"/>
      <w:bookmarkEnd w:id="239"/>
      <w:bookmarkEnd w:id="240"/>
      <w:bookmarkEnd w:id="241"/>
      <w:bookmarkStart w:id="247" w:name="_Toc8651"/>
      <w:r>
        <w:rPr>
          <w:rFonts w:hint="eastAsia" w:ascii="宋体" w:hAnsi="宋体" w:eastAsia="宋体" w:cs="宋体"/>
          <w:highlight w:val="none"/>
          <w:lang w:val="en-US" w:eastAsia="zh-CN"/>
        </w:rPr>
        <w:t>六</w:t>
      </w:r>
      <w:r>
        <w:rPr>
          <w:rFonts w:hint="eastAsia" w:ascii="宋体" w:hAnsi="宋体" w:eastAsia="宋体" w:cs="宋体"/>
          <w:highlight w:val="none"/>
          <w:lang w:eastAsia="zh-CN"/>
        </w:rPr>
        <w:t>、</w:t>
      </w:r>
      <w:r>
        <w:rPr>
          <w:rFonts w:hint="eastAsia" w:ascii="宋体" w:hAnsi="宋体" w:eastAsia="宋体" w:cs="宋体"/>
          <w:highlight w:val="none"/>
        </w:rPr>
        <w:t>承诺书</w:t>
      </w:r>
      <w:bookmarkEnd w:id="247"/>
    </w:p>
    <w:p w14:paraId="6DE9E4D6">
      <w:pPr>
        <w:pStyle w:val="132"/>
        <w:spacing w:line="440" w:lineRule="exact"/>
        <w:ind w:left="0" w:leftChars="0" w:firstLine="0" w:firstLineChars="0"/>
        <w:jc w:val="center"/>
        <w:rPr>
          <w:rFonts w:hint="eastAsia" w:ascii="宋体" w:hAnsi="宋体" w:eastAsia="宋体" w:cs="宋体"/>
          <w:b/>
          <w:sz w:val="24"/>
          <w:szCs w:val="24"/>
          <w:highlight w:val="none"/>
        </w:rPr>
      </w:pPr>
    </w:p>
    <w:p w14:paraId="3CB2E24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致：南通轨道资源开发有限公司</w:t>
      </w:r>
    </w:p>
    <w:p w14:paraId="682954B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我方在此郑重承诺：</w:t>
      </w:r>
    </w:p>
    <w:p w14:paraId="67270173">
      <w:pPr>
        <w:spacing w:line="360" w:lineRule="auto"/>
        <w:ind w:firstLine="420" w:firstLineChars="200"/>
        <w:rPr>
          <w:rFonts w:hint="eastAsia" w:ascii="宋体" w:hAnsi="宋体" w:cs="宋体"/>
        </w:rPr>
      </w:pPr>
      <w:r>
        <w:rPr>
          <w:rFonts w:hint="eastAsia" w:ascii="宋体" w:hAnsi="宋体" w:cs="宋体"/>
          <w:szCs w:val="21"/>
        </w:rPr>
        <w:t>在参与本次招标投标活动中，如有下述行为，我方将自动放弃投标或中标资格，已签订合同的项目合同无效。</w:t>
      </w:r>
    </w:p>
    <w:p w14:paraId="5E6F79BC">
      <w:pPr>
        <w:spacing w:line="360" w:lineRule="auto"/>
        <w:ind w:firstLine="420" w:firstLineChars="200"/>
        <w:rPr>
          <w:rFonts w:hint="eastAsia" w:ascii="宋体" w:hAnsi="宋体" w:cs="宋体"/>
          <w:bCs/>
          <w:szCs w:val="21"/>
        </w:rPr>
      </w:pPr>
      <w:r>
        <w:rPr>
          <w:rFonts w:hint="eastAsia" w:ascii="宋体" w:hAnsi="宋体" w:cs="宋体"/>
          <w:szCs w:val="21"/>
        </w:rPr>
        <w:t>1.</w:t>
      </w:r>
      <w:r>
        <w:rPr>
          <w:rFonts w:hint="eastAsia" w:ascii="宋体" w:hAnsi="宋体" w:cs="宋体"/>
          <w:bCs/>
          <w:szCs w:val="21"/>
        </w:rPr>
        <w:t>处于财产被接管、冻结、破产状态；处于</w:t>
      </w:r>
      <w:r>
        <w:rPr>
          <w:rFonts w:hint="eastAsia" w:ascii="宋体" w:hAnsi="宋体" w:cs="宋体"/>
          <w:szCs w:val="21"/>
        </w:rPr>
        <w:t>与债权人进行债务重组或其他债务安排状况下；</w:t>
      </w:r>
    </w:p>
    <w:p w14:paraId="759DFCC8">
      <w:pPr>
        <w:spacing w:line="360" w:lineRule="auto"/>
        <w:ind w:firstLine="420" w:firstLineChars="200"/>
        <w:rPr>
          <w:rFonts w:hint="eastAsia" w:ascii="宋体" w:hAnsi="宋体" w:cs="宋体"/>
          <w:szCs w:val="21"/>
        </w:rPr>
      </w:pPr>
      <w:r>
        <w:rPr>
          <w:rFonts w:hint="eastAsia" w:ascii="宋体" w:hAnsi="宋体" w:cs="宋体"/>
          <w:szCs w:val="21"/>
        </w:rPr>
        <w:t>2.存在骗取中标和严重违约引起的合同中止、纠纷、争议、仲裁和诉讼记录等情况；</w:t>
      </w:r>
    </w:p>
    <w:p w14:paraId="48F77C8B">
      <w:pPr>
        <w:spacing w:line="360" w:lineRule="auto"/>
        <w:ind w:firstLine="420" w:firstLineChars="200"/>
        <w:rPr>
          <w:rFonts w:hint="eastAsia" w:ascii="宋体" w:hAnsi="宋体" w:cs="宋体"/>
          <w:szCs w:val="21"/>
        </w:rPr>
      </w:pPr>
      <w:r>
        <w:rPr>
          <w:rFonts w:hint="eastAsia" w:ascii="宋体" w:hAnsi="宋体" w:cs="宋体"/>
          <w:szCs w:val="21"/>
        </w:rPr>
        <w:t>3.以他人名义投标；与</w:t>
      </w:r>
      <w:r>
        <w:rPr>
          <w:rFonts w:hint="eastAsia" w:ascii="宋体" w:hAnsi="宋体" w:cs="宋体"/>
          <w:szCs w:val="21"/>
          <w:lang w:eastAsia="zh-CN"/>
        </w:rPr>
        <w:t>比选人</w:t>
      </w:r>
      <w:r>
        <w:rPr>
          <w:rFonts w:hint="eastAsia" w:ascii="宋体" w:hAnsi="宋体" w:cs="宋体"/>
          <w:szCs w:val="21"/>
        </w:rPr>
        <w:t>、</w:t>
      </w:r>
      <w:r>
        <w:rPr>
          <w:rFonts w:hint="eastAsia" w:ascii="宋体" w:hAnsi="宋体" w:cs="宋体"/>
          <w:szCs w:val="21"/>
          <w:lang w:eastAsia="zh-CN"/>
        </w:rPr>
        <w:t>参选人</w:t>
      </w:r>
      <w:r>
        <w:rPr>
          <w:rFonts w:hint="eastAsia" w:ascii="宋体" w:hAnsi="宋体" w:cs="宋体"/>
          <w:szCs w:val="21"/>
        </w:rPr>
        <w:t>串通投标；提供虚假材料或存在其他弄虚作假行为；</w:t>
      </w:r>
    </w:p>
    <w:p w14:paraId="5971ABF3">
      <w:pPr>
        <w:spacing w:line="360" w:lineRule="auto"/>
        <w:ind w:firstLine="420" w:firstLineChars="200"/>
        <w:rPr>
          <w:rFonts w:hint="eastAsia" w:ascii="宋体" w:hAnsi="宋体" w:cs="宋体"/>
          <w:szCs w:val="21"/>
        </w:rPr>
      </w:pPr>
      <w:r>
        <w:rPr>
          <w:rFonts w:hint="eastAsia" w:ascii="宋体" w:hAnsi="宋体" w:cs="宋体"/>
          <w:szCs w:val="21"/>
        </w:rPr>
        <w:t>4.与</w:t>
      </w:r>
      <w:r>
        <w:rPr>
          <w:rFonts w:hint="eastAsia" w:ascii="宋体" w:hAnsi="宋体" w:cs="宋体"/>
          <w:szCs w:val="21"/>
          <w:lang w:eastAsia="zh-CN"/>
        </w:rPr>
        <w:t>比选人</w:t>
      </w:r>
      <w:r>
        <w:rPr>
          <w:rFonts w:hint="eastAsia" w:ascii="宋体" w:hAnsi="宋体" w:cs="宋体"/>
          <w:szCs w:val="21"/>
        </w:rPr>
        <w:t>存在利害关系且可能影响招标公正性；</w:t>
      </w:r>
    </w:p>
    <w:p w14:paraId="78DE5FBE">
      <w:pPr>
        <w:spacing w:line="360" w:lineRule="auto"/>
        <w:ind w:firstLine="420" w:firstLineChars="200"/>
        <w:rPr>
          <w:rFonts w:hint="eastAsia" w:ascii="宋体" w:hAnsi="宋体" w:cs="宋体"/>
          <w:szCs w:val="21"/>
        </w:rPr>
      </w:pPr>
      <w:r>
        <w:rPr>
          <w:rFonts w:hint="eastAsia" w:ascii="宋体" w:hAnsi="宋体" w:cs="宋体"/>
          <w:szCs w:val="21"/>
        </w:rPr>
        <w:t>5.与本招标项目的其他</w:t>
      </w:r>
      <w:r>
        <w:rPr>
          <w:rFonts w:hint="eastAsia" w:ascii="宋体" w:hAnsi="宋体" w:cs="宋体"/>
          <w:szCs w:val="21"/>
          <w:lang w:eastAsia="zh-CN"/>
        </w:rPr>
        <w:t>参选人</w:t>
      </w:r>
      <w:r>
        <w:rPr>
          <w:rFonts w:hint="eastAsia" w:ascii="宋体" w:hAnsi="宋体" w:cs="宋体"/>
          <w:szCs w:val="21"/>
        </w:rPr>
        <w:t>为同一个单位负责人；</w:t>
      </w:r>
    </w:p>
    <w:p w14:paraId="060BED65">
      <w:pPr>
        <w:spacing w:line="360" w:lineRule="auto"/>
        <w:ind w:firstLine="420" w:firstLineChars="200"/>
        <w:rPr>
          <w:rFonts w:hint="eastAsia" w:ascii="宋体" w:hAnsi="宋体" w:cs="宋体"/>
          <w:szCs w:val="21"/>
        </w:rPr>
      </w:pPr>
      <w:r>
        <w:rPr>
          <w:rFonts w:hint="eastAsia" w:ascii="宋体" w:hAnsi="宋体" w:cs="宋体"/>
          <w:szCs w:val="21"/>
        </w:rPr>
        <w:t>6.与本招标项目的其他</w:t>
      </w:r>
      <w:r>
        <w:rPr>
          <w:rFonts w:hint="eastAsia" w:ascii="宋体" w:hAnsi="宋体" w:cs="宋体"/>
          <w:szCs w:val="21"/>
          <w:lang w:eastAsia="zh-CN"/>
        </w:rPr>
        <w:t>参选人</w:t>
      </w:r>
      <w:r>
        <w:rPr>
          <w:rFonts w:hint="eastAsia" w:ascii="宋体" w:hAnsi="宋体" w:cs="宋体"/>
          <w:szCs w:val="21"/>
        </w:rPr>
        <w:t>存在控股、管理关系；</w:t>
      </w:r>
    </w:p>
    <w:p w14:paraId="129EE86D">
      <w:pPr>
        <w:spacing w:line="360" w:lineRule="auto"/>
        <w:ind w:firstLine="420" w:firstLineChars="200"/>
        <w:rPr>
          <w:rFonts w:hint="eastAsia" w:ascii="宋体" w:hAnsi="宋体" w:cs="宋体"/>
          <w:szCs w:val="21"/>
        </w:rPr>
      </w:pPr>
      <w:r>
        <w:rPr>
          <w:rFonts w:hint="eastAsia" w:ascii="宋体" w:hAnsi="宋体" w:cs="宋体"/>
          <w:szCs w:val="21"/>
        </w:rPr>
        <w:t>7.为本招标项目的招标代理机构；</w:t>
      </w:r>
    </w:p>
    <w:p w14:paraId="754761EE">
      <w:pPr>
        <w:spacing w:line="360" w:lineRule="auto"/>
        <w:ind w:firstLine="420" w:firstLineChars="200"/>
        <w:rPr>
          <w:rFonts w:hint="eastAsia" w:ascii="宋体" w:hAnsi="宋体" w:cs="宋体"/>
          <w:szCs w:val="21"/>
        </w:rPr>
      </w:pPr>
      <w:r>
        <w:rPr>
          <w:rFonts w:hint="eastAsia" w:ascii="宋体" w:hAnsi="宋体" w:cs="宋体"/>
          <w:szCs w:val="21"/>
        </w:rPr>
        <w:t>8.与本招标项目的招标代理机构存在控股或参股关系；</w:t>
      </w:r>
    </w:p>
    <w:p w14:paraId="4E84DA7A">
      <w:pPr>
        <w:spacing w:line="360" w:lineRule="auto"/>
        <w:ind w:firstLine="420" w:firstLineChars="200"/>
        <w:rPr>
          <w:rFonts w:hint="eastAsia" w:ascii="宋体" w:hAnsi="宋体" w:cs="宋体"/>
          <w:szCs w:val="21"/>
        </w:rPr>
      </w:pPr>
      <w:r>
        <w:rPr>
          <w:rFonts w:hint="eastAsia" w:ascii="宋体" w:hAnsi="宋体" w:cs="宋体"/>
          <w:szCs w:val="21"/>
        </w:rPr>
        <w:t>9.被依法暂停或者取消投标资格；</w:t>
      </w:r>
    </w:p>
    <w:p w14:paraId="59BE4D44">
      <w:pPr>
        <w:spacing w:line="360" w:lineRule="auto"/>
        <w:ind w:firstLine="420" w:firstLineChars="200"/>
        <w:rPr>
          <w:rFonts w:hint="eastAsia" w:ascii="宋体" w:hAnsi="宋体" w:cs="宋体"/>
          <w:szCs w:val="21"/>
        </w:rPr>
      </w:pPr>
      <w:r>
        <w:rPr>
          <w:rFonts w:hint="eastAsia" w:ascii="宋体" w:hAnsi="宋体" w:cs="宋体"/>
          <w:szCs w:val="21"/>
        </w:rPr>
        <w:t>10.不具有良好的商业信誉和健全的财务会计制度；</w:t>
      </w:r>
    </w:p>
    <w:p w14:paraId="74A70676">
      <w:pPr>
        <w:spacing w:line="360" w:lineRule="auto"/>
        <w:ind w:firstLine="420" w:firstLineChars="200"/>
        <w:rPr>
          <w:rFonts w:hint="eastAsia" w:ascii="宋体" w:hAnsi="宋体" w:cs="宋体"/>
          <w:szCs w:val="21"/>
        </w:rPr>
      </w:pPr>
      <w:r>
        <w:rPr>
          <w:rFonts w:hint="eastAsia" w:ascii="宋体" w:hAnsi="宋体" w:cs="宋体"/>
          <w:szCs w:val="21"/>
        </w:rPr>
        <w:t>11.不具有依法缴纳税收和社会保障资金的良好记录；</w:t>
      </w:r>
    </w:p>
    <w:p w14:paraId="46AFD820">
      <w:pPr>
        <w:spacing w:line="360" w:lineRule="auto"/>
        <w:ind w:firstLine="420" w:firstLineChars="200"/>
        <w:rPr>
          <w:rFonts w:hint="eastAsia" w:ascii="宋体" w:hAnsi="宋体" w:cs="宋体"/>
          <w:szCs w:val="21"/>
        </w:rPr>
      </w:pPr>
      <w:r>
        <w:rPr>
          <w:rFonts w:hint="eastAsia" w:ascii="宋体" w:hAnsi="宋体" w:cs="宋体"/>
          <w:szCs w:val="21"/>
        </w:rPr>
        <w:t>12.在最近三年内有骗取中标或严重违约或重大工程质量、环境、安全问题的，或在经营活动中有重大违法记录；</w:t>
      </w:r>
    </w:p>
    <w:p w14:paraId="630315D2">
      <w:pPr>
        <w:spacing w:line="440" w:lineRule="exact"/>
        <w:ind w:firstLine="420" w:firstLineChars="200"/>
        <w:rPr>
          <w:rFonts w:hint="eastAsia" w:ascii="宋体" w:hAnsi="宋体" w:cs="宋体"/>
          <w:szCs w:val="21"/>
        </w:rPr>
      </w:pPr>
      <w:r>
        <w:rPr>
          <w:rFonts w:hint="eastAsia" w:ascii="宋体" w:hAnsi="宋体" w:cs="宋体"/>
          <w:szCs w:val="21"/>
        </w:rPr>
        <w:t>13.被列入“信用中国”网站(www.creditchina.gov.cn)失信被执行人、重大税收违法失信主体、政府采购严重违法失信行为记录名单。</w:t>
      </w:r>
    </w:p>
    <w:p w14:paraId="329C5089">
      <w:pPr>
        <w:spacing w:line="440" w:lineRule="exact"/>
        <w:rPr>
          <w:rFonts w:hint="eastAsia" w:ascii="宋体" w:hAnsi="宋体" w:eastAsia="宋体" w:cs="宋体"/>
          <w:szCs w:val="21"/>
          <w:highlight w:val="none"/>
        </w:rPr>
      </w:pPr>
    </w:p>
    <w:p w14:paraId="74501B46">
      <w:pPr>
        <w:spacing w:line="440" w:lineRule="exact"/>
        <w:ind w:firstLine="403" w:firstLineChars="192"/>
        <w:jc w:val="right"/>
        <w:rPr>
          <w:rFonts w:hint="eastAsia" w:ascii="宋体" w:hAnsi="宋体" w:eastAsia="宋体" w:cs="宋体"/>
          <w:highlight w:val="none"/>
          <w:u w:val="single"/>
        </w:rPr>
      </w:pPr>
      <w:r>
        <w:rPr>
          <w:rFonts w:hint="eastAsia" w:ascii="宋体" w:hAnsi="宋体" w:eastAsia="宋体" w:cs="宋体"/>
          <w:highlight w:val="none"/>
        </w:rPr>
        <w:t>参选人：</w:t>
      </w:r>
      <w:r>
        <w:rPr>
          <w:rFonts w:hint="eastAsia" w:ascii="宋体" w:hAnsi="宋体" w:eastAsia="宋体" w:cs="宋体"/>
          <w:highlight w:val="none"/>
          <w:u w:val="single"/>
        </w:rPr>
        <w:t xml:space="preserve">                      （盖章） </w:t>
      </w:r>
    </w:p>
    <w:p w14:paraId="7502B350">
      <w:pPr>
        <w:spacing w:line="440" w:lineRule="exact"/>
        <w:ind w:firstLine="403" w:firstLineChars="192"/>
        <w:jc w:val="right"/>
        <w:rPr>
          <w:rFonts w:hint="eastAsia" w:ascii="宋体" w:hAnsi="宋体" w:eastAsia="宋体" w:cs="宋体"/>
          <w:highlight w:val="none"/>
          <w:u w:val="single"/>
        </w:rPr>
      </w:pPr>
      <w:r>
        <w:rPr>
          <w:rFonts w:hint="eastAsia" w:ascii="宋体" w:hAnsi="宋体" w:eastAsia="宋体" w:cs="宋体"/>
          <w:highlight w:val="none"/>
        </w:rPr>
        <w:t>法定代表人或委托代理人：</w:t>
      </w:r>
      <w:r>
        <w:rPr>
          <w:rFonts w:hint="eastAsia" w:ascii="宋体" w:hAnsi="宋体" w:eastAsia="宋体" w:cs="宋体"/>
          <w:highlight w:val="none"/>
          <w:u w:val="single"/>
        </w:rPr>
        <w:t xml:space="preserve">（签字或盖章） </w:t>
      </w:r>
    </w:p>
    <w:p w14:paraId="533A2B9B">
      <w:pPr>
        <w:spacing w:line="440" w:lineRule="exact"/>
        <w:ind w:firstLine="403" w:firstLineChars="192"/>
        <w:jc w:val="right"/>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52AC898D">
      <w:pPr>
        <w:spacing w:line="440" w:lineRule="exact"/>
        <w:ind w:firstLine="403" w:firstLineChars="192"/>
        <w:jc w:val="right"/>
        <w:rPr>
          <w:rFonts w:hint="eastAsia" w:ascii="宋体" w:hAnsi="宋体" w:eastAsia="宋体" w:cs="宋体"/>
          <w:highlight w:val="none"/>
        </w:rPr>
      </w:pPr>
    </w:p>
    <w:p w14:paraId="541D19C0">
      <w:pPr>
        <w:spacing w:line="440" w:lineRule="exact"/>
        <w:rPr>
          <w:rFonts w:hint="eastAsia" w:ascii="宋体" w:hAnsi="宋体" w:eastAsia="宋体" w:cs="宋体"/>
          <w:b/>
          <w:sz w:val="36"/>
          <w:szCs w:val="36"/>
          <w:highlight w:val="none"/>
        </w:rPr>
      </w:pPr>
      <w:r>
        <w:rPr>
          <w:rFonts w:hint="eastAsia" w:ascii="宋体" w:hAnsi="宋体" w:eastAsia="宋体" w:cs="宋体"/>
          <w:highlight w:val="none"/>
        </w:rPr>
        <w:br w:type="page"/>
      </w:r>
    </w:p>
    <w:p w14:paraId="47A36F72">
      <w:pPr>
        <w:spacing w:line="440" w:lineRule="exact"/>
        <w:jc w:val="center"/>
        <w:rPr>
          <w:rFonts w:hint="eastAsia" w:ascii="宋体" w:hAnsi="宋体" w:eastAsia="宋体" w:cs="宋体"/>
          <w:b/>
          <w:sz w:val="36"/>
          <w:szCs w:val="36"/>
          <w:highlight w:val="none"/>
        </w:rPr>
      </w:pPr>
      <w:bookmarkStart w:id="248" w:name="_Toc18478"/>
      <w:bookmarkStart w:id="249" w:name="_Toc13481"/>
      <w:bookmarkStart w:id="250" w:name="_Toc9739"/>
    </w:p>
    <w:p w14:paraId="7BE75D3F">
      <w:pPr>
        <w:ind w:right="-521" w:rightChars="-248"/>
        <w:jc w:val="center"/>
        <w:rPr>
          <w:rFonts w:hint="eastAsia" w:ascii="宋体" w:hAnsi="宋体" w:eastAsia="宋体" w:cs="宋体"/>
          <w:b/>
          <w:sz w:val="52"/>
          <w:szCs w:val="52"/>
          <w:highlight w:val="none"/>
        </w:rPr>
      </w:pPr>
    </w:p>
    <w:bookmarkEnd w:id="248"/>
    <w:bookmarkEnd w:id="249"/>
    <w:bookmarkEnd w:id="250"/>
    <w:p w14:paraId="2F0E3DE1">
      <w:pPr>
        <w:ind w:right="-521" w:rightChars="-248"/>
        <w:jc w:val="center"/>
        <w:rPr>
          <w:rFonts w:hint="eastAsia" w:ascii="宋体" w:hAnsi="宋体" w:eastAsia="宋体" w:cs="宋体"/>
          <w:b/>
          <w:sz w:val="52"/>
          <w:szCs w:val="52"/>
          <w:highlight w:val="none"/>
        </w:rPr>
      </w:pPr>
      <w:bookmarkStart w:id="251" w:name="_Toc25804"/>
      <w:bookmarkStart w:id="252" w:name="_Toc14912"/>
      <w:bookmarkStart w:id="253" w:name="_Toc8321"/>
      <w:bookmarkStart w:id="254" w:name="_Toc18590"/>
      <w:r>
        <w:rPr>
          <w:rFonts w:hint="eastAsia" w:ascii="宋体" w:hAnsi="宋体" w:eastAsia="宋体" w:cs="宋体"/>
          <w:b/>
          <w:sz w:val="52"/>
          <w:szCs w:val="52"/>
          <w:highlight w:val="none"/>
        </w:rPr>
        <w:t>南通轨道交通城市消防远程监控中心设施设备采购项目</w:t>
      </w:r>
    </w:p>
    <w:p w14:paraId="121B8CEA">
      <w:pPr>
        <w:ind w:right="-521" w:rightChars="-248"/>
        <w:rPr>
          <w:rFonts w:hint="eastAsia" w:ascii="宋体" w:hAnsi="宋体" w:eastAsia="宋体" w:cs="宋体"/>
          <w:highlight w:val="none"/>
        </w:rPr>
      </w:pPr>
    </w:p>
    <w:p w14:paraId="6179C1FF">
      <w:pPr>
        <w:spacing w:line="440" w:lineRule="exact"/>
        <w:ind w:right="-521" w:rightChars="-248"/>
        <w:jc w:val="center"/>
        <w:outlineLvl w:val="0"/>
        <w:rPr>
          <w:rFonts w:hint="eastAsia" w:ascii="宋体" w:hAnsi="宋体" w:eastAsia="宋体" w:cs="宋体"/>
          <w:b/>
          <w:bCs/>
          <w:sz w:val="36"/>
          <w:szCs w:val="36"/>
          <w:highlight w:val="none"/>
        </w:rPr>
      </w:pPr>
      <w:bookmarkStart w:id="255" w:name="_Toc12485"/>
      <w:r>
        <w:rPr>
          <w:rFonts w:hint="eastAsia" w:ascii="宋体" w:hAnsi="宋体" w:eastAsia="宋体" w:cs="宋体"/>
          <w:b/>
          <w:bCs/>
          <w:sz w:val="36"/>
          <w:szCs w:val="36"/>
          <w:highlight w:val="none"/>
        </w:rPr>
        <w:t>（商务参选文件）</w:t>
      </w:r>
      <w:bookmarkEnd w:id="251"/>
      <w:bookmarkEnd w:id="252"/>
      <w:bookmarkEnd w:id="253"/>
      <w:bookmarkEnd w:id="254"/>
      <w:bookmarkEnd w:id="255"/>
    </w:p>
    <w:p w14:paraId="5AF95D49">
      <w:pPr>
        <w:spacing w:line="440" w:lineRule="exact"/>
        <w:ind w:right="-521" w:rightChars="-248"/>
        <w:rPr>
          <w:rFonts w:hint="eastAsia" w:ascii="宋体" w:hAnsi="宋体" w:eastAsia="宋体" w:cs="宋体"/>
          <w:sz w:val="32"/>
          <w:highlight w:val="none"/>
        </w:rPr>
      </w:pPr>
    </w:p>
    <w:p w14:paraId="524BA69B">
      <w:pPr>
        <w:spacing w:line="440" w:lineRule="exact"/>
        <w:ind w:right="-521" w:rightChars="-248"/>
        <w:rPr>
          <w:rFonts w:hint="eastAsia" w:ascii="宋体" w:hAnsi="宋体" w:eastAsia="宋体" w:cs="宋体"/>
          <w:sz w:val="32"/>
          <w:highlight w:val="none"/>
        </w:rPr>
      </w:pPr>
    </w:p>
    <w:p w14:paraId="7ABF6D68">
      <w:pPr>
        <w:spacing w:line="440" w:lineRule="exact"/>
        <w:ind w:right="-521" w:rightChars="-248"/>
        <w:rPr>
          <w:rFonts w:hint="eastAsia" w:ascii="宋体" w:hAnsi="宋体" w:eastAsia="宋体" w:cs="宋体"/>
          <w:sz w:val="32"/>
          <w:highlight w:val="none"/>
        </w:rPr>
      </w:pPr>
    </w:p>
    <w:p w14:paraId="63D88B83">
      <w:pPr>
        <w:spacing w:line="440" w:lineRule="exact"/>
        <w:ind w:right="-521" w:rightChars="-248"/>
        <w:rPr>
          <w:rFonts w:hint="eastAsia" w:ascii="宋体" w:hAnsi="宋体" w:eastAsia="宋体" w:cs="宋体"/>
          <w:sz w:val="32"/>
          <w:highlight w:val="none"/>
        </w:rPr>
      </w:pPr>
    </w:p>
    <w:p w14:paraId="27EA8845">
      <w:pPr>
        <w:spacing w:line="440" w:lineRule="exact"/>
        <w:ind w:right="-521" w:rightChars="-248"/>
        <w:rPr>
          <w:rFonts w:hint="eastAsia" w:ascii="宋体" w:hAnsi="宋体" w:eastAsia="宋体" w:cs="宋体"/>
          <w:sz w:val="32"/>
          <w:highlight w:val="none"/>
        </w:rPr>
      </w:pPr>
    </w:p>
    <w:p w14:paraId="70D78BE3">
      <w:pPr>
        <w:spacing w:line="440" w:lineRule="exact"/>
        <w:ind w:right="-521" w:rightChars="-248"/>
        <w:rPr>
          <w:rFonts w:hint="eastAsia" w:ascii="宋体" w:hAnsi="宋体" w:eastAsia="宋体" w:cs="宋体"/>
          <w:sz w:val="32"/>
          <w:highlight w:val="none"/>
        </w:rPr>
      </w:pPr>
    </w:p>
    <w:p w14:paraId="6CC479BD">
      <w:pPr>
        <w:ind w:right="-521" w:rightChars="-248"/>
        <w:rPr>
          <w:rFonts w:hint="eastAsia" w:ascii="宋体" w:hAnsi="宋体" w:eastAsia="宋体" w:cs="宋体"/>
          <w:highlight w:val="none"/>
        </w:rPr>
      </w:pPr>
    </w:p>
    <w:p w14:paraId="414F0A91">
      <w:pPr>
        <w:spacing w:line="440" w:lineRule="exact"/>
        <w:ind w:right="-521" w:rightChars="-248"/>
        <w:rPr>
          <w:rFonts w:hint="eastAsia" w:ascii="宋体" w:hAnsi="宋体" w:eastAsia="宋体" w:cs="宋体"/>
          <w:highlight w:val="none"/>
        </w:rPr>
      </w:pPr>
    </w:p>
    <w:p w14:paraId="60770578">
      <w:pPr>
        <w:spacing w:line="440" w:lineRule="exact"/>
        <w:ind w:right="-521" w:rightChars="-248" w:firstLine="1687" w:firstLineChars="600"/>
        <w:rPr>
          <w:rFonts w:hint="eastAsia" w:ascii="宋体" w:hAnsi="宋体" w:eastAsia="宋体" w:cs="宋体"/>
          <w:b/>
          <w:sz w:val="28"/>
          <w:szCs w:val="28"/>
          <w:highlight w:val="none"/>
        </w:rPr>
      </w:pPr>
    </w:p>
    <w:p w14:paraId="4D37205C">
      <w:pPr>
        <w:ind w:right="-521" w:rightChars="-248" w:firstLine="1687" w:firstLineChars="600"/>
        <w:rPr>
          <w:rFonts w:hint="eastAsia" w:ascii="宋体" w:hAnsi="宋体" w:eastAsia="宋体" w:cs="宋体"/>
          <w:b/>
          <w:bCs/>
          <w:sz w:val="28"/>
          <w:szCs w:val="28"/>
          <w:highlight w:val="none"/>
        </w:rPr>
      </w:pPr>
    </w:p>
    <w:p w14:paraId="476D12E2">
      <w:pPr>
        <w:ind w:right="-521" w:rightChars="-248" w:firstLine="1687" w:firstLineChars="600"/>
        <w:rPr>
          <w:rFonts w:hint="eastAsia" w:ascii="宋体" w:hAnsi="宋体" w:eastAsia="宋体" w:cs="宋体"/>
          <w:b/>
          <w:bCs/>
          <w:sz w:val="28"/>
          <w:szCs w:val="28"/>
          <w:highlight w:val="none"/>
        </w:rPr>
      </w:pPr>
    </w:p>
    <w:p w14:paraId="79EB7988">
      <w:pPr>
        <w:ind w:right="-521" w:rightChars="-248"/>
        <w:jc w:val="center"/>
        <w:rPr>
          <w:rFonts w:hint="eastAsia" w:ascii="宋体" w:hAnsi="宋体" w:eastAsia="宋体" w:cs="宋体"/>
          <w:b/>
          <w:bCs/>
          <w:sz w:val="28"/>
          <w:szCs w:val="28"/>
          <w:highlight w:val="none"/>
        </w:rPr>
      </w:pPr>
      <w:bookmarkStart w:id="256" w:name="_Toc30439"/>
      <w:bookmarkStart w:id="257" w:name="_Toc11216"/>
    </w:p>
    <w:p w14:paraId="2024D54C">
      <w:pPr>
        <w:ind w:right="-521" w:rightChars="-248"/>
        <w:jc w:val="center"/>
        <w:rPr>
          <w:rFonts w:hint="eastAsia" w:ascii="宋体" w:hAnsi="宋体" w:eastAsia="宋体" w:cs="宋体"/>
          <w:b/>
          <w:bCs/>
          <w:sz w:val="28"/>
          <w:szCs w:val="28"/>
          <w:highlight w:val="none"/>
        </w:rPr>
      </w:pPr>
    </w:p>
    <w:p w14:paraId="4581CC43">
      <w:pPr>
        <w:ind w:right="-521" w:rightChars="-248"/>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参  选  人：</w:t>
      </w:r>
      <w:r>
        <w:rPr>
          <w:rFonts w:hint="eastAsia" w:ascii="宋体" w:hAnsi="宋体" w:eastAsia="宋体" w:cs="宋体"/>
          <w:b/>
          <w:bCs/>
          <w:sz w:val="28"/>
          <w:szCs w:val="28"/>
          <w:highlight w:val="none"/>
          <w:u w:val="single"/>
        </w:rPr>
        <w:t xml:space="preserve">         （全称）（盖章）</w:t>
      </w:r>
    </w:p>
    <w:p w14:paraId="260E0FF8">
      <w:pPr>
        <w:ind w:right="-521" w:rightChars="-248"/>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法定代表人：</w:t>
      </w:r>
      <w:r>
        <w:rPr>
          <w:rFonts w:hint="eastAsia" w:ascii="宋体" w:hAnsi="宋体" w:eastAsia="宋体" w:cs="宋体"/>
          <w:b/>
          <w:bCs/>
          <w:sz w:val="28"/>
          <w:szCs w:val="28"/>
          <w:highlight w:val="none"/>
          <w:u w:val="single"/>
        </w:rPr>
        <w:t xml:space="preserve">           （签字或盖章）</w:t>
      </w:r>
    </w:p>
    <w:p w14:paraId="08632AFD">
      <w:pPr>
        <w:ind w:right="-521" w:rightChars="-248"/>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时      间：       年      月      日</w:t>
      </w:r>
    </w:p>
    <w:p w14:paraId="1558C8DD">
      <w:pPr>
        <w:spacing w:line="440" w:lineRule="exact"/>
        <w:ind w:right="-521" w:rightChars="-248" w:firstLine="1928" w:firstLineChars="600"/>
        <w:jc w:val="center"/>
        <w:rPr>
          <w:rFonts w:hint="eastAsia" w:ascii="宋体" w:hAnsi="宋体" w:eastAsia="宋体" w:cs="宋体"/>
          <w:b/>
          <w:bCs/>
          <w:sz w:val="32"/>
          <w:szCs w:val="32"/>
          <w:highlight w:val="none"/>
        </w:rPr>
        <w:sectPr>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docGrid w:type="lines" w:linePitch="325" w:charSpace="0"/>
        </w:sectPr>
      </w:pPr>
    </w:p>
    <w:p w14:paraId="0C85DB6E">
      <w:pPr>
        <w:pStyle w:val="2"/>
        <w:spacing w:line="440" w:lineRule="exact"/>
        <w:jc w:val="center"/>
        <w:rPr>
          <w:rFonts w:hint="eastAsia" w:ascii="宋体" w:hAnsi="宋体" w:eastAsia="宋体" w:cs="宋体"/>
          <w:szCs w:val="28"/>
          <w:highlight w:val="none"/>
        </w:rPr>
      </w:pPr>
      <w:bookmarkStart w:id="258" w:name="_Toc310"/>
      <w:r>
        <w:rPr>
          <w:rFonts w:hint="eastAsia" w:ascii="宋体" w:hAnsi="宋体" w:eastAsia="宋体" w:cs="宋体"/>
          <w:szCs w:val="28"/>
          <w:highlight w:val="none"/>
        </w:rPr>
        <w:t>目  录</w:t>
      </w:r>
      <w:bookmarkEnd w:id="242"/>
      <w:bookmarkEnd w:id="243"/>
      <w:bookmarkEnd w:id="244"/>
      <w:bookmarkEnd w:id="245"/>
      <w:bookmarkEnd w:id="246"/>
      <w:bookmarkEnd w:id="256"/>
      <w:bookmarkEnd w:id="257"/>
      <w:bookmarkEnd w:id="258"/>
    </w:p>
    <w:p w14:paraId="78D86E27">
      <w:pPr>
        <w:spacing w:line="440" w:lineRule="exact"/>
        <w:rPr>
          <w:rFonts w:hint="eastAsia" w:ascii="宋体" w:hAnsi="宋体" w:eastAsia="宋体" w:cs="宋体"/>
          <w:sz w:val="24"/>
          <w:highlight w:val="none"/>
        </w:rPr>
      </w:pPr>
      <w:bookmarkStart w:id="259" w:name="_Toc3911_WPSOffice_Level2"/>
      <w:bookmarkStart w:id="260" w:name="_Toc7707"/>
      <w:bookmarkStart w:id="261" w:name="_Toc18696"/>
      <w:r>
        <w:rPr>
          <w:rFonts w:hint="eastAsia" w:ascii="宋体" w:hAnsi="宋体" w:eastAsia="宋体" w:cs="宋体"/>
          <w:sz w:val="24"/>
          <w:highlight w:val="none"/>
        </w:rPr>
        <w:t>一</w:t>
      </w:r>
      <w:r>
        <w:rPr>
          <w:rFonts w:hint="eastAsia" w:ascii="宋体" w:hAnsi="宋体" w:cs="宋体"/>
          <w:sz w:val="24"/>
          <w:highlight w:val="none"/>
          <w:lang w:eastAsia="zh-CN"/>
        </w:rPr>
        <w:t>、</w:t>
      </w:r>
      <w:r>
        <w:rPr>
          <w:rFonts w:hint="eastAsia" w:ascii="宋体" w:hAnsi="宋体" w:eastAsia="宋体" w:cs="宋体"/>
          <w:sz w:val="24"/>
          <w:highlight w:val="none"/>
        </w:rPr>
        <w:t>参选函</w:t>
      </w:r>
      <w:bookmarkEnd w:id="259"/>
      <w:bookmarkEnd w:id="260"/>
      <w:bookmarkEnd w:id="261"/>
    </w:p>
    <w:p w14:paraId="57F427AC">
      <w:pPr>
        <w:spacing w:line="440" w:lineRule="exact"/>
        <w:rPr>
          <w:rFonts w:hint="eastAsia" w:ascii="宋体" w:hAnsi="宋体" w:eastAsia="宋体" w:cs="宋体"/>
          <w:sz w:val="24"/>
          <w:highlight w:val="none"/>
        </w:rPr>
      </w:pPr>
      <w:bookmarkStart w:id="262" w:name="_Toc25080_WPSOffice_Level2"/>
      <w:bookmarkStart w:id="263" w:name="_Toc5976"/>
      <w:bookmarkStart w:id="264" w:name="_Toc25424"/>
      <w:r>
        <w:rPr>
          <w:rFonts w:hint="eastAsia" w:ascii="宋体" w:hAnsi="宋体" w:eastAsia="宋体" w:cs="宋体"/>
          <w:sz w:val="24"/>
          <w:highlight w:val="none"/>
        </w:rPr>
        <w:t>二</w:t>
      </w:r>
      <w:bookmarkEnd w:id="262"/>
      <w:r>
        <w:rPr>
          <w:rFonts w:hint="eastAsia" w:ascii="宋体" w:hAnsi="宋体" w:cs="宋体"/>
          <w:sz w:val="24"/>
          <w:highlight w:val="none"/>
          <w:lang w:eastAsia="zh-CN"/>
        </w:rPr>
        <w:t>、</w:t>
      </w:r>
      <w:r>
        <w:rPr>
          <w:rFonts w:hint="eastAsia" w:ascii="宋体" w:hAnsi="宋体" w:eastAsia="宋体" w:cs="宋体"/>
          <w:sz w:val="24"/>
          <w:highlight w:val="none"/>
        </w:rPr>
        <w:t>参选人资质</w:t>
      </w:r>
    </w:p>
    <w:p w14:paraId="4A403BBA">
      <w:pPr>
        <w:spacing w:line="440" w:lineRule="exact"/>
        <w:rPr>
          <w:rFonts w:hint="eastAsia" w:ascii="宋体" w:hAnsi="宋体" w:eastAsia="宋体" w:cs="宋体"/>
          <w:sz w:val="24"/>
          <w:highlight w:val="none"/>
        </w:rPr>
      </w:pPr>
      <w:r>
        <w:rPr>
          <w:rFonts w:hint="eastAsia" w:ascii="宋体" w:hAnsi="宋体" w:eastAsia="宋体" w:cs="宋体"/>
          <w:sz w:val="24"/>
          <w:highlight w:val="none"/>
        </w:rPr>
        <w:t>三</w:t>
      </w:r>
      <w:r>
        <w:rPr>
          <w:rFonts w:hint="eastAsia" w:ascii="宋体" w:hAnsi="宋体" w:cs="宋体"/>
          <w:sz w:val="24"/>
          <w:highlight w:val="none"/>
          <w:lang w:eastAsia="zh-CN"/>
        </w:rPr>
        <w:t>、</w:t>
      </w:r>
      <w:r>
        <w:rPr>
          <w:rFonts w:hint="eastAsia" w:ascii="宋体" w:hAnsi="宋体" w:eastAsia="宋体" w:cs="宋体"/>
          <w:sz w:val="24"/>
          <w:highlight w:val="none"/>
        </w:rPr>
        <w:t>企业业绩汇总表</w:t>
      </w:r>
      <w:bookmarkEnd w:id="263"/>
      <w:bookmarkEnd w:id="264"/>
    </w:p>
    <w:p w14:paraId="3E0F6D97">
      <w:pPr>
        <w:spacing w:line="440" w:lineRule="exact"/>
        <w:rPr>
          <w:rFonts w:hint="eastAsia" w:ascii="宋体" w:hAnsi="宋体" w:eastAsia="宋体" w:cs="宋体"/>
          <w:sz w:val="24"/>
          <w:highlight w:val="none"/>
        </w:rPr>
      </w:pPr>
      <w:bookmarkStart w:id="265" w:name="_Toc20007"/>
      <w:bookmarkStart w:id="266" w:name="_Toc29409"/>
      <w:r>
        <w:rPr>
          <w:rFonts w:hint="eastAsia" w:ascii="宋体" w:hAnsi="宋体" w:eastAsia="宋体" w:cs="宋体"/>
          <w:sz w:val="24"/>
          <w:highlight w:val="none"/>
        </w:rPr>
        <w:t>四</w:t>
      </w:r>
      <w:r>
        <w:rPr>
          <w:rFonts w:hint="eastAsia" w:ascii="宋体" w:hAnsi="宋体" w:cs="宋体"/>
          <w:sz w:val="24"/>
          <w:highlight w:val="none"/>
          <w:lang w:eastAsia="zh-CN"/>
        </w:rPr>
        <w:t>、</w:t>
      </w:r>
      <w:r>
        <w:rPr>
          <w:rFonts w:hint="eastAsia" w:ascii="宋体" w:hAnsi="宋体" w:eastAsia="宋体" w:cs="宋体"/>
          <w:sz w:val="24"/>
          <w:highlight w:val="none"/>
        </w:rPr>
        <w:t>企业业绩概况表</w:t>
      </w:r>
      <w:bookmarkEnd w:id="265"/>
      <w:bookmarkEnd w:id="266"/>
    </w:p>
    <w:p w14:paraId="1E19C041">
      <w:pPr>
        <w:spacing w:line="440" w:lineRule="exact"/>
        <w:rPr>
          <w:rFonts w:hint="eastAsia" w:ascii="宋体" w:hAnsi="宋体" w:eastAsia="宋体" w:cs="宋体"/>
          <w:sz w:val="24"/>
          <w:highlight w:val="none"/>
        </w:rPr>
      </w:pPr>
      <w:r>
        <w:rPr>
          <w:rFonts w:hint="eastAsia" w:ascii="宋体" w:hAnsi="宋体" w:eastAsia="宋体" w:cs="宋体"/>
          <w:sz w:val="24"/>
          <w:highlight w:val="none"/>
        </w:rPr>
        <w:t>五</w:t>
      </w:r>
      <w:r>
        <w:rPr>
          <w:rFonts w:hint="eastAsia" w:ascii="宋体" w:hAnsi="宋体" w:cs="宋体"/>
          <w:sz w:val="24"/>
          <w:highlight w:val="none"/>
          <w:lang w:eastAsia="zh-CN"/>
        </w:rPr>
        <w:t>、</w:t>
      </w:r>
      <w:r>
        <w:rPr>
          <w:rFonts w:hint="eastAsia" w:ascii="宋体" w:hAnsi="宋体" w:eastAsia="宋体" w:cs="宋体"/>
          <w:sz w:val="24"/>
          <w:highlight w:val="none"/>
          <w:lang w:val="en-US" w:eastAsia="zh-CN"/>
        </w:rPr>
        <w:t>拟派人员</w:t>
      </w:r>
      <w:r>
        <w:rPr>
          <w:rFonts w:hint="eastAsia" w:ascii="宋体" w:hAnsi="宋体" w:eastAsia="宋体" w:cs="宋体"/>
          <w:sz w:val="24"/>
          <w:highlight w:val="none"/>
        </w:rPr>
        <w:t>汇总表</w:t>
      </w:r>
    </w:p>
    <w:p w14:paraId="37449164">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（参选人自行编制目录页码）</w:t>
      </w:r>
    </w:p>
    <w:p w14:paraId="3432D445">
      <w:pPr>
        <w:spacing w:line="440" w:lineRule="exact"/>
        <w:rPr>
          <w:rFonts w:hint="eastAsia" w:ascii="宋体" w:hAnsi="宋体" w:eastAsia="宋体" w:cs="宋体"/>
          <w:sz w:val="24"/>
          <w:highlight w:val="none"/>
        </w:rPr>
      </w:pPr>
    </w:p>
    <w:p w14:paraId="5942D488">
      <w:pPr>
        <w:spacing w:line="440" w:lineRule="exact"/>
        <w:rPr>
          <w:rFonts w:hint="eastAsia" w:ascii="宋体" w:hAnsi="宋体" w:eastAsia="宋体" w:cs="宋体"/>
          <w:highlight w:val="none"/>
        </w:rPr>
        <w:sectPr>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docGrid w:type="lines" w:linePitch="325" w:charSpace="0"/>
        </w:sectPr>
      </w:pPr>
    </w:p>
    <w:p w14:paraId="0BB0663B">
      <w:pPr>
        <w:pStyle w:val="2"/>
        <w:spacing w:before="0" w:after="0" w:line="440" w:lineRule="exact"/>
        <w:jc w:val="center"/>
        <w:rPr>
          <w:rFonts w:hint="eastAsia" w:ascii="宋体" w:hAnsi="宋体" w:eastAsia="宋体" w:cs="宋体"/>
          <w:highlight w:val="none"/>
        </w:rPr>
      </w:pPr>
      <w:bookmarkStart w:id="267" w:name="_Toc2147"/>
      <w:bookmarkStart w:id="268" w:name="_Toc25904"/>
      <w:bookmarkStart w:id="269" w:name="_Toc18552_WPSOffice_Level2"/>
      <w:bookmarkStart w:id="270" w:name="_Toc10521"/>
      <w:bookmarkStart w:id="271" w:name="_Toc26406"/>
      <w:bookmarkStart w:id="272" w:name="_Toc13217"/>
      <w:bookmarkStart w:id="273" w:name="_Toc26162"/>
      <w:bookmarkStart w:id="274" w:name="_Toc30425"/>
      <w:bookmarkStart w:id="275" w:name="_Toc25746"/>
      <w:bookmarkStart w:id="276" w:name="_Toc23546"/>
      <w:bookmarkStart w:id="277" w:name="_Toc22818"/>
      <w:bookmarkStart w:id="278" w:name="_Toc21842"/>
      <w:bookmarkStart w:id="279" w:name="_Toc5042"/>
      <w:bookmarkStart w:id="280" w:name="_Toc30573"/>
      <w:bookmarkStart w:id="281" w:name="_Toc25748"/>
      <w:bookmarkStart w:id="282" w:name="_Toc17874"/>
      <w:r>
        <w:rPr>
          <w:rFonts w:hint="eastAsia" w:ascii="宋体" w:hAnsi="宋体" w:eastAsia="宋体" w:cs="宋体"/>
          <w:highlight w:val="none"/>
        </w:rPr>
        <w:t>一</w:t>
      </w:r>
      <w:r>
        <w:rPr>
          <w:rFonts w:hint="eastAsia" w:ascii="宋体" w:hAnsi="宋体" w:eastAsia="宋体" w:cs="宋体"/>
          <w:highlight w:val="none"/>
          <w:lang w:eastAsia="zh-CN"/>
        </w:rPr>
        <w:t>、</w:t>
      </w:r>
      <w:r>
        <w:rPr>
          <w:rFonts w:hint="eastAsia" w:ascii="宋体" w:hAnsi="宋体" w:eastAsia="宋体" w:cs="宋体"/>
          <w:highlight w:val="none"/>
        </w:rPr>
        <w:t>参选函</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7B30E81A">
      <w:pPr>
        <w:rPr>
          <w:rFonts w:hint="eastAsia" w:ascii="宋体" w:hAnsi="宋体" w:eastAsia="宋体" w:cs="宋体"/>
          <w:highlight w:val="none"/>
        </w:rPr>
      </w:pPr>
    </w:p>
    <w:p w14:paraId="59A20CEF">
      <w:pPr>
        <w:spacing w:line="440" w:lineRule="exact"/>
        <w:ind w:firstLine="422" w:firstLineChars="200"/>
        <w:rPr>
          <w:rFonts w:hint="eastAsia" w:ascii="宋体" w:hAnsi="宋体" w:eastAsia="宋体" w:cs="宋体"/>
          <w:b/>
          <w:highlight w:val="none"/>
        </w:rPr>
      </w:pPr>
      <w:r>
        <w:rPr>
          <w:rFonts w:hint="eastAsia" w:ascii="宋体" w:hAnsi="宋体" w:eastAsia="宋体" w:cs="宋体"/>
          <w:b/>
          <w:highlight w:val="none"/>
        </w:rPr>
        <w:t>致：南通轨道资源开发有限公司</w:t>
      </w:r>
    </w:p>
    <w:p w14:paraId="47B75F09">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根据已收到的</w:t>
      </w:r>
      <w:r>
        <w:rPr>
          <w:rFonts w:hint="eastAsia" w:ascii="宋体" w:hAnsi="宋体" w:eastAsia="宋体" w:cs="宋体"/>
          <w:highlight w:val="none"/>
          <w:u w:val="single"/>
          <w:lang w:eastAsia="zh-CN"/>
        </w:rPr>
        <w:t>南通轨道交通城市消防远程监控中心设施设备采购项目</w:t>
      </w:r>
      <w:r>
        <w:rPr>
          <w:rFonts w:hint="eastAsia" w:ascii="宋体" w:hAnsi="宋体" w:eastAsia="宋体" w:cs="宋体"/>
          <w:highlight w:val="none"/>
        </w:rPr>
        <w:t>比选文件，遵照规定，我方经考察现场和认真研究上述比选文件后，愿承认其全部内容。</w:t>
      </w:r>
    </w:p>
    <w:p w14:paraId="343519AD">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1、我方以报价参选文件中的参选总报价，按比选文件中的要求承担</w:t>
      </w:r>
      <w:r>
        <w:rPr>
          <w:rFonts w:hint="eastAsia" w:ascii="宋体" w:hAnsi="宋体" w:eastAsia="宋体" w:cs="宋体"/>
          <w:highlight w:val="none"/>
          <w:u w:val="single"/>
          <w:lang w:eastAsia="zh-CN"/>
        </w:rPr>
        <w:t>南通轨道交通城市消防远程监控中心设施设备采购项目</w:t>
      </w:r>
      <w:r>
        <w:rPr>
          <w:rFonts w:hint="eastAsia" w:ascii="宋体" w:hAnsi="宋体" w:eastAsia="宋体" w:cs="宋体"/>
          <w:highlight w:val="none"/>
        </w:rPr>
        <w:t>的全部工作内容。</w:t>
      </w:r>
    </w:p>
    <w:p w14:paraId="7939BFDA">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2、我方承诺服务周期及参选文件响应比选文件所规定的所有工作完成时间均满足合同条款。</w:t>
      </w:r>
    </w:p>
    <w:p w14:paraId="5740B68E">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3、如果贵方接受我方参选，我方在接到中选通知书后将按中选通知书和比选文件的要求及时签订合同，提交履约担保。我方保证在参选人须知中规定的期限内按照要求提交成果。</w:t>
      </w:r>
    </w:p>
    <w:p w14:paraId="04B7416B">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4、我方同意在贵方比选文件规定的参选有效期内遵守约定。在该期限期满之前，本参选书对我方始终具有约束力。</w:t>
      </w:r>
    </w:p>
    <w:p w14:paraId="3BB39D4B">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5、我方充分理解贵方比选文件所提出的关于人员、设备、管理等提出的隐性要求，一旦中选，确保能按照贵方要求执行，否则愿意接受贵方对我方的相关处罚。</w:t>
      </w:r>
    </w:p>
    <w:p w14:paraId="46346D1F">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6、在正式签订合同协议书之前，本参选书连同贵方的中选通知书应成为约束贵方、我方的合同文件。</w:t>
      </w:r>
    </w:p>
    <w:p w14:paraId="6E670D19">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7、我方理解，贵方不一定接受最低标价的参选或可能接受其他任何参选；同时也理解，贵方不负担我单位的任何参选费用。</w:t>
      </w:r>
    </w:p>
    <w:p w14:paraId="35F4012E">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8、我方承诺：本参选文件提供的信息、数据、资料或证书均真实有效，否则贵方有权取消我方的参选或中选资格。</w:t>
      </w:r>
    </w:p>
    <w:p w14:paraId="70BAA638">
      <w:pPr>
        <w:spacing w:line="440" w:lineRule="exact"/>
        <w:ind w:firstLine="420" w:firstLineChars="200"/>
        <w:rPr>
          <w:rFonts w:hint="eastAsia" w:ascii="宋体" w:hAnsi="宋体" w:eastAsia="宋体" w:cs="宋体"/>
          <w:highlight w:val="none"/>
        </w:rPr>
      </w:pPr>
    </w:p>
    <w:p w14:paraId="37E35CF9">
      <w:pPr>
        <w:spacing w:line="440" w:lineRule="exact"/>
        <w:ind w:firstLine="420" w:firstLineChars="200"/>
        <w:rPr>
          <w:rFonts w:hint="eastAsia" w:ascii="宋体" w:hAnsi="宋体" w:eastAsia="宋体" w:cs="宋体"/>
          <w:highlight w:val="none"/>
        </w:rPr>
      </w:pPr>
    </w:p>
    <w:p w14:paraId="0F98F822">
      <w:pPr>
        <w:spacing w:line="440" w:lineRule="exact"/>
        <w:ind w:firstLine="403" w:firstLineChars="192"/>
        <w:rPr>
          <w:rFonts w:hint="eastAsia" w:ascii="宋体" w:hAnsi="宋体" w:eastAsia="宋体" w:cs="宋体"/>
          <w:highlight w:val="none"/>
        </w:rPr>
      </w:pPr>
    </w:p>
    <w:p w14:paraId="6CE2AFDA">
      <w:pPr>
        <w:spacing w:line="440" w:lineRule="exact"/>
        <w:ind w:firstLine="403" w:firstLineChars="192"/>
        <w:jc w:val="right"/>
        <w:rPr>
          <w:rFonts w:hint="eastAsia" w:ascii="宋体" w:hAnsi="宋体" w:eastAsia="宋体" w:cs="宋体"/>
          <w:highlight w:val="none"/>
          <w:u w:val="single"/>
        </w:rPr>
      </w:pPr>
      <w:r>
        <w:rPr>
          <w:rFonts w:hint="eastAsia" w:ascii="宋体" w:hAnsi="宋体" w:eastAsia="宋体" w:cs="宋体"/>
          <w:highlight w:val="none"/>
        </w:rPr>
        <w:t>参选人：</w:t>
      </w:r>
      <w:r>
        <w:rPr>
          <w:rFonts w:hint="eastAsia" w:ascii="宋体" w:hAnsi="宋体" w:eastAsia="宋体" w:cs="宋体"/>
          <w:highlight w:val="none"/>
          <w:u w:val="single"/>
        </w:rPr>
        <w:t xml:space="preserve">                       （盖章） </w:t>
      </w:r>
    </w:p>
    <w:p w14:paraId="55DF7507">
      <w:pPr>
        <w:spacing w:line="440" w:lineRule="exact"/>
        <w:ind w:firstLine="403" w:firstLineChars="192"/>
        <w:jc w:val="right"/>
        <w:rPr>
          <w:rFonts w:hint="eastAsia" w:ascii="宋体" w:hAnsi="宋体" w:eastAsia="宋体" w:cs="宋体"/>
          <w:highlight w:val="none"/>
        </w:rPr>
      </w:pPr>
      <w:r>
        <w:rPr>
          <w:rFonts w:hint="eastAsia" w:ascii="宋体" w:hAnsi="宋体" w:eastAsia="宋体" w:cs="宋体"/>
          <w:highlight w:val="none"/>
        </w:rPr>
        <w:t>法定代表人或委托代理人：</w:t>
      </w:r>
      <w:r>
        <w:rPr>
          <w:rFonts w:hint="eastAsia" w:ascii="宋体" w:hAnsi="宋体" w:eastAsia="宋体" w:cs="宋体"/>
          <w:highlight w:val="none"/>
          <w:u w:val="single"/>
        </w:rPr>
        <w:t xml:space="preserve"> （签字或盖章） </w:t>
      </w:r>
      <w:r>
        <w:rPr>
          <w:rFonts w:hint="eastAsia" w:ascii="宋体" w:hAnsi="宋体" w:eastAsia="宋体" w:cs="宋体"/>
          <w:highlight w:val="none"/>
        </w:rPr>
        <w:t xml:space="preserve"> </w:t>
      </w:r>
    </w:p>
    <w:p w14:paraId="5924A179">
      <w:pPr>
        <w:spacing w:line="440" w:lineRule="exact"/>
        <w:jc w:val="right"/>
        <w:rPr>
          <w:rFonts w:hint="eastAsia" w:ascii="宋体" w:hAnsi="宋体" w:eastAsia="宋体" w:cs="宋体"/>
          <w:highlight w:val="none"/>
        </w:rPr>
      </w:pPr>
      <w:r>
        <w:rPr>
          <w:rFonts w:hint="eastAsia" w:ascii="宋体" w:hAnsi="宋体" w:eastAsia="宋体" w:cs="宋体"/>
          <w:highlight w:val="none"/>
        </w:rPr>
        <w:t xml:space="preserve">    日      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6E8AFC88">
      <w:pPr>
        <w:pStyle w:val="2"/>
        <w:spacing w:line="440" w:lineRule="exact"/>
        <w:rPr>
          <w:rFonts w:hint="eastAsia" w:ascii="宋体" w:hAnsi="宋体" w:eastAsia="宋体" w:cs="宋体"/>
          <w:highlight w:val="none"/>
        </w:rPr>
        <w:sectPr>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docGrid w:type="lines" w:linePitch="325" w:charSpace="0"/>
        </w:sectPr>
      </w:pPr>
    </w:p>
    <w:p w14:paraId="66AD9EA9">
      <w:pPr>
        <w:pStyle w:val="2"/>
        <w:spacing w:before="0" w:after="0" w:line="440" w:lineRule="exact"/>
        <w:jc w:val="center"/>
        <w:rPr>
          <w:rFonts w:hint="eastAsia" w:ascii="宋体" w:hAnsi="宋体" w:eastAsia="宋体" w:cs="宋体"/>
          <w:highlight w:val="none"/>
        </w:rPr>
      </w:pPr>
      <w:bookmarkStart w:id="283" w:name="_Toc1151"/>
      <w:bookmarkStart w:id="284" w:name="_Toc22333"/>
      <w:bookmarkStart w:id="285" w:name="_Toc21204"/>
      <w:bookmarkStart w:id="286" w:name="_Toc19776"/>
      <w:bookmarkStart w:id="287" w:name="_Toc26085"/>
      <w:bookmarkStart w:id="288" w:name="_Toc27920"/>
      <w:bookmarkStart w:id="289" w:name="_Toc13919"/>
      <w:bookmarkStart w:id="290" w:name="_Toc7574"/>
      <w:bookmarkStart w:id="291" w:name="_Toc16041"/>
      <w:bookmarkStart w:id="292" w:name="_Toc25880_WPSOffice_Level2"/>
      <w:bookmarkStart w:id="293" w:name="_Toc16520"/>
      <w:bookmarkStart w:id="294" w:name="_Toc2310"/>
      <w:bookmarkStart w:id="295" w:name="_Toc4389"/>
      <w:bookmarkStart w:id="296" w:name="_Toc521"/>
      <w:bookmarkStart w:id="297" w:name="_Toc18919"/>
      <w:bookmarkStart w:id="298" w:name="_Toc20039"/>
      <w:bookmarkStart w:id="299" w:name="_Toc6622"/>
      <w:r>
        <w:rPr>
          <w:rFonts w:hint="eastAsia" w:ascii="宋体" w:hAnsi="宋体" w:eastAsia="宋体" w:cs="宋体"/>
          <w:highlight w:val="none"/>
        </w:rPr>
        <w:t>二</w:t>
      </w:r>
      <w:r>
        <w:rPr>
          <w:rFonts w:hint="eastAsia" w:ascii="宋体" w:hAnsi="宋体" w:eastAsia="宋体" w:cs="宋体"/>
          <w:highlight w:val="none"/>
          <w:lang w:eastAsia="zh-CN"/>
        </w:rPr>
        <w:t>、</w:t>
      </w:r>
      <w:r>
        <w:rPr>
          <w:rFonts w:hint="eastAsia" w:ascii="宋体" w:hAnsi="宋体" w:eastAsia="宋体" w:cs="宋体"/>
          <w:highlight w:val="none"/>
        </w:rPr>
        <w:t>参选人资质</w:t>
      </w:r>
    </w:p>
    <w:p w14:paraId="6ECD3F9B">
      <w:pPr>
        <w:spacing w:line="440" w:lineRule="exact"/>
        <w:ind w:firstLine="420" w:firstLineChars="200"/>
        <w:rPr>
          <w:rFonts w:hint="eastAsia" w:ascii="宋体" w:hAnsi="宋体" w:eastAsia="宋体" w:cs="宋体"/>
          <w:highlight w:val="none"/>
        </w:rPr>
      </w:pPr>
    </w:p>
    <w:p w14:paraId="2BD2867E">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附资质证书复印件或扫描件。</w:t>
      </w:r>
    </w:p>
    <w:p w14:paraId="6A780D5D">
      <w:pPr>
        <w:rPr>
          <w:rFonts w:hint="eastAsia" w:ascii="宋体" w:hAnsi="宋体" w:eastAsia="宋体" w:cs="宋体"/>
          <w:highlight w:val="none"/>
        </w:rPr>
      </w:pPr>
      <w:r>
        <w:rPr>
          <w:rFonts w:hint="eastAsia" w:ascii="宋体" w:hAnsi="宋体" w:eastAsia="宋体" w:cs="宋体"/>
          <w:highlight w:val="none"/>
        </w:rPr>
        <w:br w:type="page"/>
      </w:r>
    </w:p>
    <w:p w14:paraId="5FB80056">
      <w:pPr>
        <w:pStyle w:val="2"/>
        <w:spacing w:before="0" w:after="0" w:line="440" w:lineRule="exact"/>
        <w:jc w:val="center"/>
        <w:rPr>
          <w:rFonts w:hint="eastAsia" w:ascii="宋体" w:hAnsi="宋体" w:eastAsia="宋体" w:cs="宋体"/>
          <w:highlight w:val="none"/>
        </w:rPr>
      </w:pPr>
      <w:r>
        <w:rPr>
          <w:rFonts w:hint="eastAsia" w:ascii="宋体" w:hAnsi="宋体" w:eastAsia="宋体" w:cs="宋体"/>
          <w:highlight w:val="none"/>
        </w:rPr>
        <w:t>三</w:t>
      </w:r>
      <w:r>
        <w:rPr>
          <w:rFonts w:hint="eastAsia" w:ascii="宋体" w:hAnsi="宋体" w:eastAsia="宋体" w:cs="宋体"/>
          <w:highlight w:val="none"/>
          <w:lang w:eastAsia="zh-CN"/>
        </w:rPr>
        <w:t>、</w:t>
      </w:r>
      <w:r>
        <w:rPr>
          <w:rFonts w:hint="eastAsia" w:ascii="宋体" w:hAnsi="宋体" w:eastAsia="宋体" w:cs="宋体"/>
          <w:highlight w:val="none"/>
        </w:rPr>
        <w:t>企业业绩汇总表</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63FF689B">
      <w:pPr>
        <w:spacing w:line="440" w:lineRule="exact"/>
        <w:jc w:val="right"/>
        <w:rPr>
          <w:rFonts w:hint="eastAsia" w:ascii="宋体" w:hAnsi="宋体" w:eastAsia="宋体" w:cs="宋体"/>
          <w:highlight w:val="none"/>
        </w:rPr>
      </w:pPr>
      <w:r>
        <w:rPr>
          <w:rFonts w:hint="eastAsia" w:ascii="宋体" w:hAnsi="宋体" w:eastAsia="宋体" w:cs="宋体"/>
          <w:highlight w:val="none"/>
        </w:rPr>
        <w:t xml:space="preserve">                                            </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808"/>
        <w:gridCol w:w="2040"/>
        <w:gridCol w:w="2023"/>
        <w:gridCol w:w="1800"/>
      </w:tblGrid>
      <w:tr w14:paraId="3B514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106" w:type="dxa"/>
            <w:vAlign w:val="center"/>
          </w:tcPr>
          <w:p w14:paraId="4B9939CB">
            <w:pPr>
              <w:spacing w:line="440" w:lineRule="exact"/>
              <w:jc w:val="center"/>
              <w:rPr>
                <w:rFonts w:hint="eastAsia" w:ascii="宋体" w:hAnsi="宋体" w:eastAsia="宋体" w:cs="宋体"/>
                <w:highlight w:val="none"/>
              </w:rPr>
            </w:pPr>
            <w:bookmarkStart w:id="300" w:name="_Toc218710269"/>
            <w:r>
              <w:rPr>
                <w:rFonts w:hint="eastAsia" w:ascii="宋体" w:hAnsi="宋体" w:eastAsia="宋体" w:cs="宋体"/>
                <w:highlight w:val="none"/>
              </w:rPr>
              <w:t>序号</w:t>
            </w:r>
          </w:p>
        </w:tc>
        <w:tc>
          <w:tcPr>
            <w:tcW w:w="1808" w:type="dxa"/>
            <w:vAlign w:val="center"/>
          </w:tcPr>
          <w:p w14:paraId="6C052D16">
            <w:pPr>
              <w:spacing w:line="440" w:lineRule="exact"/>
              <w:jc w:val="center"/>
              <w:rPr>
                <w:rFonts w:hint="eastAsia" w:ascii="宋体" w:hAnsi="宋体" w:eastAsia="宋体" w:cs="宋体"/>
                <w:highlight w:val="none"/>
              </w:rPr>
            </w:pPr>
            <w:r>
              <w:rPr>
                <w:rFonts w:hint="eastAsia" w:ascii="宋体" w:hAnsi="宋体" w:eastAsia="宋体" w:cs="宋体"/>
                <w:highlight w:val="none"/>
              </w:rPr>
              <w:t>业主名称</w:t>
            </w:r>
          </w:p>
        </w:tc>
        <w:tc>
          <w:tcPr>
            <w:tcW w:w="2040" w:type="dxa"/>
            <w:vAlign w:val="center"/>
          </w:tcPr>
          <w:p w14:paraId="03117B78">
            <w:pPr>
              <w:spacing w:line="440" w:lineRule="exact"/>
              <w:jc w:val="center"/>
              <w:rPr>
                <w:rFonts w:hint="eastAsia" w:ascii="宋体" w:hAnsi="宋体" w:eastAsia="宋体" w:cs="宋体"/>
                <w:highlight w:val="none"/>
              </w:rPr>
            </w:pPr>
            <w:r>
              <w:rPr>
                <w:rFonts w:hint="eastAsia" w:ascii="宋体" w:hAnsi="宋体" w:eastAsia="宋体" w:cs="宋体"/>
                <w:highlight w:val="none"/>
              </w:rPr>
              <w:t>项目名称</w:t>
            </w:r>
          </w:p>
        </w:tc>
        <w:tc>
          <w:tcPr>
            <w:tcW w:w="2023" w:type="dxa"/>
            <w:vAlign w:val="center"/>
          </w:tcPr>
          <w:p w14:paraId="4181C218">
            <w:pPr>
              <w:spacing w:line="440" w:lineRule="exact"/>
              <w:jc w:val="center"/>
              <w:rPr>
                <w:rFonts w:hint="eastAsia" w:ascii="宋体" w:hAnsi="宋体" w:eastAsia="宋体" w:cs="宋体"/>
                <w:highlight w:val="none"/>
              </w:rPr>
            </w:pPr>
            <w:r>
              <w:rPr>
                <w:rFonts w:hint="eastAsia" w:ascii="宋体" w:hAnsi="宋体" w:eastAsia="宋体" w:cs="宋体"/>
                <w:highlight w:val="none"/>
              </w:rPr>
              <w:t>工作内容</w:t>
            </w:r>
          </w:p>
        </w:tc>
        <w:tc>
          <w:tcPr>
            <w:tcW w:w="1800" w:type="dxa"/>
            <w:vAlign w:val="center"/>
          </w:tcPr>
          <w:p w14:paraId="7F1D4FFC">
            <w:pPr>
              <w:spacing w:line="440" w:lineRule="exact"/>
              <w:jc w:val="center"/>
              <w:rPr>
                <w:rFonts w:hint="eastAsia" w:ascii="宋体" w:hAnsi="宋体" w:eastAsia="宋体" w:cs="宋体"/>
                <w:highlight w:val="none"/>
              </w:rPr>
            </w:pPr>
            <w:r>
              <w:rPr>
                <w:rFonts w:hint="eastAsia" w:ascii="宋体" w:hAnsi="宋体" w:eastAsia="宋体" w:cs="宋体"/>
                <w:highlight w:val="none"/>
              </w:rPr>
              <w:t>备注</w:t>
            </w:r>
          </w:p>
        </w:tc>
      </w:tr>
      <w:tr w14:paraId="73167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14:paraId="61E4DA3D">
            <w:pPr>
              <w:spacing w:line="440" w:lineRule="exact"/>
              <w:jc w:val="center"/>
              <w:rPr>
                <w:rFonts w:hint="eastAsia" w:ascii="宋体" w:hAnsi="宋体" w:eastAsia="宋体" w:cs="宋体"/>
                <w:highlight w:val="none"/>
              </w:rPr>
            </w:pPr>
            <w:r>
              <w:rPr>
                <w:rFonts w:hint="eastAsia" w:ascii="宋体" w:hAnsi="宋体" w:eastAsia="宋体" w:cs="宋体"/>
                <w:highlight w:val="none"/>
              </w:rPr>
              <w:t>1</w:t>
            </w:r>
          </w:p>
        </w:tc>
        <w:tc>
          <w:tcPr>
            <w:tcW w:w="1808" w:type="dxa"/>
            <w:vAlign w:val="center"/>
          </w:tcPr>
          <w:p w14:paraId="4D2194A4">
            <w:pPr>
              <w:spacing w:line="440" w:lineRule="exact"/>
              <w:jc w:val="center"/>
              <w:rPr>
                <w:rFonts w:hint="eastAsia" w:ascii="宋体" w:hAnsi="宋体" w:eastAsia="宋体" w:cs="宋体"/>
                <w:highlight w:val="none"/>
              </w:rPr>
            </w:pPr>
          </w:p>
        </w:tc>
        <w:tc>
          <w:tcPr>
            <w:tcW w:w="2040" w:type="dxa"/>
            <w:vAlign w:val="center"/>
          </w:tcPr>
          <w:p w14:paraId="381FB1E5">
            <w:pPr>
              <w:spacing w:line="440" w:lineRule="exact"/>
              <w:jc w:val="center"/>
              <w:rPr>
                <w:rFonts w:hint="eastAsia" w:ascii="宋体" w:hAnsi="宋体" w:eastAsia="宋体" w:cs="宋体"/>
                <w:highlight w:val="none"/>
              </w:rPr>
            </w:pPr>
          </w:p>
        </w:tc>
        <w:tc>
          <w:tcPr>
            <w:tcW w:w="2023" w:type="dxa"/>
            <w:vAlign w:val="center"/>
          </w:tcPr>
          <w:p w14:paraId="506BCBA3">
            <w:pPr>
              <w:spacing w:line="440" w:lineRule="exact"/>
              <w:jc w:val="center"/>
              <w:rPr>
                <w:rFonts w:hint="eastAsia" w:ascii="宋体" w:hAnsi="宋体" w:eastAsia="宋体" w:cs="宋体"/>
                <w:highlight w:val="none"/>
              </w:rPr>
            </w:pPr>
          </w:p>
        </w:tc>
        <w:tc>
          <w:tcPr>
            <w:tcW w:w="1800" w:type="dxa"/>
            <w:vAlign w:val="center"/>
          </w:tcPr>
          <w:p w14:paraId="056216E1">
            <w:pPr>
              <w:spacing w:line="440" w:lineRule="exact"/>
              <w:jc w:val="center"/>
              <w:rPr>
                <w:rFonts w:hint="eastAsia" w:ascii="宋体" w:hAnsi="宋体" w:eastAsia="宋体" w:cs="宋体"/>
                <w:highlight w:val="none"/>
              </w:rPr>
            </w:pPr>
          </w:p>
        </w:tc>
      </w:tr>
      <w:tr w14:paraId="6CE19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14:paraId="00DDCF94">
            <w:pPr>
              <w:spacing w:line="440" w:lineRule="exact"/>
              <w:jc w:val="center"/>
              <w:rPr>
                <w:rFonts w:hint="eastAsia" w:ascii="宋体" w:hAnsi="宋体" w:eastAsia="宋体" w:cs="宋体"/>
                <w:highlight w:val="none"/>
              </w:rPr>
            </w:pPr>
            <w:r>
              <w:rPr>
                <w:rFonts w:hint="eastAsia" w:ascii="宋体" w:hAnsi="宋体" w:eastAsia="宋体" w:cs="宋体"/>
                <w:highlight w:val="none"/>
              </w:rPr>
              <w:t>2</w:t>
            </w:r>
          </w:p>
        </w:tc>
        <w:tc>
          <w:tcPr>
            <w:tcW w:w="1808" w:type="dxa"/>
            <w:vAlign w:val="center"/>
          </w:tcPr>
          <w:p w14:paraId="6FC8159C">
            <w:pPr>
              <w:spacing w:line="440" w:lineRule="exact"/>
              <w:jc w:val="center"/>
              <w:rPr>
                <w:rFonts w:hint="eastAsia" w:ascii="宋体" w:hAnsi="宋体" w:eastAsia="宋体" w:cs="宋体"/>
                <w:highlight w:val="none"/>
              </w:rPr>
            </w:pPr>
          </w:p>
        </w:tc>
        <w:tc>
          <w:tcPr>
            <w:tcW w:w="2040" w:type="dxa"/>
            <w:vAlign w:val="center"/>
          </w:tcPr>
          <w:p w14:paraId="6CA1B3DB">
            <w:pPr>
              <w:spacing w:line="440" w:lineRule="exact"/>
              <w:jc w:val="center"/>
              <w:rPr>
                <w:rFonts w:hint="eastAsia" w:ascii="宋体" w:hAnsi="宋体" w:eastAsia="宋体" w:cs="宋体"/>
                <w:highlight w:val="none"/>
              </w:rPr>
            </w:pPr>
          </w:p>
        </w:tc>
        <w:tc>
          <w:tcPr>
            <w:tcW w:w="2023" w:type="dxa"/>
            <w:vAlign w:val="center"/>
          </w:tcPr>
          <w:p w14:paraId="2BE81477">
            <w:pPr>
              <w:spacing w:line="440" w:lineRule="exact"/>
              <w:jc w:val="center"/>
              <w:rPr>
                <w:rFonts w:hint="eastAsia" w:ascii="宋体" w:hAnsi="宋体" w:eastAsia="宋体" w:cs="宋体"/>
                <w:highlight w:val="none"/>
              </w:rPr>
            </w:pPr>
          </w:p>
        </w:tc>
        <w:tc>
          <w:tcPr>
            <w:tcW w:w="1800" w:type="dxa"/>
            <w:vAlign w:val="center"/>
          </w:tcPr>
          <w:p w14:paraId="4B338077">
            <w:pPr>
              <w:spacing w:line="440" w:lineRule="exact"/>
              <w:jc w:val="center"/>
              <w:rPr>
                <w:rFonts w:hint="eastAsia" w:ascii="宋体" w:hAnsi="宋体" w:eastAsia="宋体" w:cs="宋体"/>
                <w:highlight w:val="none"/>
              </w:rPr>
            </w:pPr>
          </w:p>
        </w:tc>
      </w:tr>
      <w:tr w14:paraId="57B2F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14:paraId="161AA1C3">
            <w:pPr>
              <w:spacing w:line="440" w:lineRule="exact"/>
              <w:jc w:val="center"/>
              <w:rPr>
                <w:rFonts w:hint="eastAsia" w:ascii="宋体" w:hAnsi="宋体" w:eastAsia="宋体" w:cs="宋体"/>
                <w:highlight w:val="none"/>
              </w:rPr>
            </w:pPr>
            <w:r>
              <w:rPr>
                <w:rFonts w:hint="eastAsia" w:ascii="宋体" w:hAnsi="宋体" w:eastAsia="宋体" w:cs="宋体"/>
                <w:highlight w:val="none"/>
              </w:rPr>
              <w:t>3</w:t>
            </w:r>
          </w:p>
        </w:tc>
        <w:tc>
          <w:tcPr>
            <w:tcW w:w="1808" w:type="dxa"/>
            <w:vAlign w:val="center"/>
          </w:tcPr>
          <w:p w14:paraId="40AA3163">
            <w:pPr>
              <w:spacing w:line="440" w:lineRule="exact"/>
              <w:jc w:val="center"/>
              <w:rPr>
                <w:rFonts w:hint="eastAsia" w:ascii="宋体" w:hAnsi="宋体" w:eastAsia="宋体" w:cs="宋体"/>
                <w:highlight w:val="none"/>
              </w:rPr>
            </w:pPr>
          </w:p>
        </w:tc>
        <w:tc>
          <w:tcPr>
            <w:tcW w:w="2040" w:type="dxa"/>
            <w:vAlign w:val="center"/>
          </w:tcPr>
          <w:p w14:paraId="1DEEB866">
            <w:pPr>
              <w:spacing w:line="440" w:lineRule="exact"/>
              <w:jc w:val="center"/>
              <w:rPr>
                <w:rFonts w:hint="eastAsia" w:ascii="宋体" w:hAnsi="宋体" w:eastAsia="宋体" w:cs="宋体"/>
                <w:highlight w:val="none"/>
              </w:rPr>
            </w:pPr>
          </w:p>
        </w:tc>
        <w:tc>
          <w:tcPr>
            <w:tcW w:w="2023" w:type="dxa"/>
            <w:vAlign w:val="center"/>
          </w:tcPr>
          <w:p w14:paraId="1B2B0A8F">
            <w:pPr>
              <w:spacing w:line="440" w:lineRule="exact"/>
              <w:jc w:val="center"/>
              <w:rPr>
                <w:rFonts w:hint="eastAsia" w:ascii="宋体" w:hAnsi="宋体" w:eastAsia="宋体" w:cs="宋体"/>
                <w:highlight w:val="none"/>
              </w:rPr>
            </w:pPr>
          </w:p>
        </w:tc>
        <w:tc>
          <w:tcPr>
            <w:tcW w:w="1800" w:type="dxa"/>
            <w:vAlign w:val="center"/>
          </w:tcPr>
          <w:p w14:paraId="754BE5E4">
            <w:pPr>
              <w:spacing w:line="440" w:lineRule="exact"/>
              <w:jc w:val="center"/>
              <w:rPr>
                <w:rFonts w:hint="eastAsia" w:ascii="宋体" w:hAnsi="宋体" w:eastAsia="宋体" w:cs="宋体"/>
                <w:highlight w:val="none"/>
              </w:rPr>
            </w:pPr>
          </w:p>
        </w:tc>
      </w:tr>
      <w:tr w14:paraId="14096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14:paraId="3EC3DC93">
            <w:pPr>
              <w:spacing w:line="440" w:lineRule="exact"/>
              <w:jc w:val="center"/>
              <w:rPr>
                <w:rFonts w:hint="eastAsia" w:ascii="宋体" w:hAnsi="宋体" w:eastAsia="宋体" w:cs="宋体"/>
                <w:highlight w:val="none"/>
              </w:rPr>
            </w:pPr>
            <w:r>
              <w:rPr>
                <w:rFonts w:hint="eastAsia" w:ascii="宋体" w:hAnsi="宋体" w:eastAsia="宋体" w:cs="宋体"/>
                <w:highlight w:val="none"/>
              </w:rPr>
              <w:t>4</w:t>
            </w:r>
          </w:p>
        </w:tc>
        <w:tc>
          <w:tcPr>
            <w:tcW w:w="1808" w:type="dxa"/>
            <w:vAlign w:val="center"/>
          </w:tcPr>
          <w:p w14:paraId="3841AA39">
            <w:pPr>
              <w:spacing w:line="440" w:lineRule="exact"/>
              <w:jc w:val="center"/>
              <w:rPr>
                <w:rFonts w:hint="eastAsia" w:ascii="宋体" w:hAnsi="宋体" w:eastAsia="宋体" w:cs="宋体"/>
                <w:highlight w:val="none"/>
              </w:rPr>
            </w:pPr>
          </w:p>
        </w:tc>
        <w:tc>
          <w:tcPr>
            <w:tcW w:w="2040" w:type="dxa"/>
            <w:vAlign w:val="center"/>
          </w:tcPr>
          <w:p w14:paraId="328256E1">
            <w:pPr>
              <w:spacing w:line="440" w:lineRule="exact"/>
              <w:jc w:val="center"/>
              <w:rPr>
                <w:rFonts w:hint="eastAsia" w:ascii="宋体" w:hAnsi="宋体" w:eastAsia="宋体" w:cs="宋体"/>
                <w:highlight w:val="none"/>
              </w:rPr>
            </w:pPr>
          </w:p>
        </w:tc>
        <w:tc>
          <w:tcPr>
            <w:tcW w:w="2023" w:type="dxa"/>
            <w:vAlign w:val="center"/>
          </w:tcPr>
          <w:p w14:paraId="499E2EBE">
            <w:pPr>
              <w:spacing w:line="440" w:lineRule="exact"/>
              <w:jc w:val="center"/>
              <w:rPr>
                <w:rFonts w:hint="eastAsia" w:ascii="宋体" w:hAnsi="宋体" w:eastAsia="宋体" w:cs="宋体"/>
                <w:highlight w:val="none"/>
              </w:rPr>
            </w:pPr>
          </w:p>
        </w:tc>
        <w:tc>
          <w:tcPr>
            <w:tcW w:w="1800" w:type="dxa"/>
            <w:vAlign w:val="center"/>
          </w:tcPr>
          <w:p w14:paraId="4FA9B87A">
            <w:pPr>
              <w:spacing w:line="440" w:lineRule="exact"/>
              <w:jc w:val="center"/>
              <w:rPr>
                <w:rFonts w:hint="eastAsia" w:ascii="宋体" w:hAnsi="宋体" w:eastAsia="宋体" w:cs="宋体"/>
                <w:highlight w:val="none"/>
              </w:rPr>
            </w:pPr>
          </w:p>
        </w:tc>
      </w:tr>
      <w:tr w14:paraId="333B2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106" w:type="dxa"/>
            <w:vAlign w:val="center"/>
          </w:tcPr>
          <w:p w14:paraId="0847425A">
            <w:pPr>
              <w:spacing w:line="440" w:lineRule="exact"/>
              <w:jc w:val="center"/>
              <w:rPr>
                <w:rFonts w:hint="eastAsia" w:ascii="宋体" w:hAnsi="宋体" w:eastAsia="宋体" w:cs="宋体"/>
                <w:highlight w:val="none"/>
              </w:rPr>
            </w:pPr>
            <w:r>
              <w:rPr>
                <w:rFonts w:hint="eastAsia" w:ascii="宋体" w:hAnsi="宋体" w:eastAsia="宋体" w:cs="宋体"/>
                <w:highlight w:val="none"/>
              </w:rPr>
              <w:t>…</w:t>
            </w:r>
          </w:p>
        </w:tc>
        <w:tc>
          <w:tcPr>
            <w:tcW w:w="1808" w:type="dxa"/>
            <w:vAlign w:val="center"/>
          </w:tcPr>
          <w:p w14:paraId="3CFFECEC">
            <w:pPr>
              <w:spacing w:line="440" w:lineRule="exact"/>
              <w:jc w:val="center"/>
              <w:rPr>
                <w:rFonts w:hint="eastAsia" w:ascii="宋体" w:hAnsi="宋体" w:eastAsia="宋体" w:cs="宋体"/>
                <w:highlight w:val="none"/>
              </w:rPr>
            </w:pPr>
          </w:p>
        </w:tc>
        <w:tc>
          <w:tcPr>
            <w:tcW w:w="2040" w:type="dxa"/>
            <w:vAlign w:val="center"/>
          </w:tcPr>
          <w:p w14:paraId="7CB05F92">
            <w:pPr>
              <w:spacing w:line="440" w:lineRule="exact"/>
              <w:jc w:val="center"/>
              <w:rPr>
                <w:rFonts w:hint="eastAsia" w:ascii="宋体" w:hAnsi="宋体" w:eastAsia="宋体" w:cs="宋体"/>
                <w:highlight w:val="none"/>
              </w:rPr>
            </w:pPr>
          </w:p>
        </w:tc>
        <w:tc>
          <w:tcPr>
            <w:tcW w:w="2023" w:type="dxa"/>
            <w:vAlign w:val="center"/>
          </w:tcPr>
          <w:p w14:paraId="2408722E">
            <w:pPr>
              <w:spacing w:line="440" w:lineRule="exact"/>
              <w:jc w:val="center"/>
              <w:rPr>
                <w:rFonts w:hint="eastAsia" w:ascii="宋体" w:hAnsi="宋体" w:eastAsia="宋体" w:cs="宋体"/>
                <w:highlight w:val="none"/>
              </w:rPr>
            </w:pPr>
          </w:p>
        </w:tc>
        <w:tc>
          <w:tcPr>
            <w:tcW w:w="1800" w:type="dxa"/>
            <w:vAlign w:val="center"/>
          </w:tcPr>
          <w:p w14:paraId="1B35D2F4">
            <w:pPr>
              <w:spacing w:line="440" w:lineRule="exact"/>
              <w:jc w:val="center"/>
              <w:rPr>
                <w:rFonts w:hint="eastAsia" w:ascii="宋体" w:hAnsi="宋体" w:eastAsia="宋体" w:cs="宋体"/>
                <w:highlight w:val="none"/>
              </w:rPr>
            </w:pPr>
          </w:p>
        </w:tc>
      </w:tr>
    </w:tbl>
    <w:p w14:paraId="19FD9EA4">
      <w:pPr>
        <w:spacing w:line="440" w:lineRule="exact"/>
        <w:ind w:left="437" w:leftChars="208" w:firstLine="2"/>
        <w:rPr>
          <w:rFonts w:hint="eastAsia" w:ascii="宋体" w:hAnsi="宋体" w:eastAsia="宋体" w:cs="宋体"/>
          <w:b/>
          <w:highlight w:val="none"/>
        </w:rPr>
      </w:pPr>
      <w:r>
        <w:rPr>
          <w:rFonts w:hint="eastAsia" w:ascii="宋体" w:hAnsi="宋体" w:eastAsia="宋体" w:cs="宋体"/>
          <w:b/>
          <w:highlight w:val="none"/>
        </w:rPr>
        <w:t>注：本页可续表。</w:t>
      </w:r>
    </w:p>
    <w:p w14:paraId="78A2194E">
      <w:pPr>
        <w:spacing w:line="440" w:lineRule="exact"/>
        <w:ind w:firstLine="403" w:firstLineChars="192"/>
        <w:rPr>
          <w:rFonts w:hint="eastAsia" w:ascii="宋体" w:hAnsi="宋体" w:eastAsia="宋体" w:cs="宋体"/>
          <w:highlight w:val="none"/>
        </w:rPr>
      </w:pPr>
    </w:p>
    <w:p w14:paraId="6CB4E6E6">
      <w:pPr>
        <w:spacing w:line="440" w:lineRule="exact"/>
        <w:ind w:firstLine="403" w:firstLineChars="192"/>
        <w:rPr>
          <w:rFonts w:hint="eastAsia" w:ascii="宋体" w:hAnsi="宋体" w:eastAsia="宋体" w:cs="宋体"/>
          <w:highlight w:val="none"/>
        </w:rPr>
      </w:pPr>
    </w:p>
    <w:p w14:paraId="08CC3167">
      <w:pPr>
        <w:pStyle w:val="2"/>
        <w:spacing w:before="0" w:after="0" w:line="440" w:lineRule="exact"/>
        <w:jc w:val="center"/>
        <w:rPr>
          <w:rFonts w:hint="eastAsia" w:ascii="宋体" w:hAnsi="宋体" w:eastAsia="宋体" w:cs="宋体"/>
          <w:szCs w:val="28"/>
          <w:highlight w:val="none"/>
        </w:rPr>
      </w:pPr>
      <w:r>
        <w:rPr>
          <w:rFonts w:hint="eastAsia" w:ascii="宋体" w:hAnsi="宋体" w:eastAsia="宋体" w:cs="宋体"/>
          <w:sz w:val="24"/>
          <w:szCs w:val="24"/>
          <w:highlight w:val="none"/>
        </w:rPr>
        <w:br w:type="page"/>
      </w:r>
      <w:bookmarkEnd w:id="300"/>
      <w:bookmarkStart w:id="301" w:name="_Toc420"/>
      <w:bookmarkStart w:id="302" w:name="_Toc2919"/>
      <w:bookmarkStart w:id="303" w:name="_Toc2092"/>
      <w:bookmarkStart w:id="304" w:name="_Toc259"/>
      <w:bookmarkStart w:id="305" w:name="_Toc8315"/>
      <w:bookmarkStart w:id="306" w:name="_Toc18046"/>
      <w:bookmarkStart w:id="307" w:name="_Toc16889"/>
      <w:bookmarkStart w:id="308" w:name="_Toc13113"/>
      <w:bookmarkStart w:id="309" w:name="_Toc22252"/>
      <w:bookmarkStart w:id="310" w:name="_Toc18049"/>
      <w:bookmarkStart w:id="311" w:name="_Toc5618"/>
      <w:bookmarkStart w:id="312" w:name="_Toc9086"/>
      <w:bookmarkStart w:id="313" w:name="_Toc11784_WPSOffice_Level2"/>
      <w:bookmarkStart w:id="314" w:name="_Toc11301"/>
      <w:bookmarkStart w:id="315" w:name="_Toc27939"/>
      <w:bookmarkStart w:id="316" w:name="_Toc11231"/>
      <w:bookmarkStart w:id="317" w:name="_Toc3873"/>
      <w:r>
        <w:rPr>
          <w:rFonts w:hint="eastAsia" w:ascii="宋体" w:hAnsi="宋体" w:eastAsia="宋体" w:cs="宋体"/>
          <w:szCs w:val="28"/>
          <w:highlight w:val="none"/>
        </w:rPr>
        <w:t>四</w:t>
      </w:r>
      <w:r>
        <w:rPr>
          <w:rFonts w:hint="eastAsia" w:ascii="宋体" w:hAnsi="宋体" w:eastAsia="宋体" w:cs="宋体"/>
          <w:szCs w:val="28"/>
          <w:highlight w:val="none"/>
          <w:lang w:eastAsia="zh-CN"/>
        </w:rPr>
        <w:t>、</w:t>
      </w:r>
      <w:r>
        <w:rPr>
          <w:rFonts w:hint="eastAsia" w:ascii="宋体" w:hAnsi="宋体" w:eastAsia="宋体" w:cs="宋体"/>
          <w:szCs w:val="28"/>
          <w:highlight w:val="none"/>
        </w:rPr>
        <w:t>企业业绩概况表</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021CAF8">
      <w:pPr>
        <w:spacing w:line="440" w:lineRule="exact"/>
        <w:ind w:left="439" w:hanging="438" w:hangingChars="209"/>
        <w:jc w:val="right"/>
        <w:rPr>
          <w:rFonts w:hint="eastAsia" w:ascii="宋体" w:hAnsi="宋体" w:eastAsia="宋体" w:cs="宋体"/>
          <w:highlight w:val="none"/>
        </w:rPr>
      </w:pPr>
      <w:r>
        <w:rPr>
          <w:rFonts w:hint="eastAsia" w:ascii="宋体" w:hAnsi="宋体" w:eastAsia="宋体" w:cs="宋体"/>
          <w:highlight w:val="none"/>
        </w:rPr>
        <w:t xml:space="preserve">                              </w:t>
      </w:r>
    </w:p>
    <w:tbl>
      <w:tblPr>
        <w:tblStyle w:val="37"/>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14:paraId="5F8FD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697AD04E">
            <w:pPr>
              <w:adjustRightInd w:val="0"/>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序号</w:t>
            </w:r>
          </w:p>
        </w:tc>
        <w:tc>
          <w:tcPr>
            <w:tcW w:w="5577" w:type="dxa"/>
            <w:vAlign w:val="center"/>
          </w:tcPr>
          <w:p w14:paraId="10CF1BD3">
            <w:pPr>
              <w:adjustRightInd w:val="0"/>
              <w:snapToGrid w:val="0"/>
              <w:spacing w:line="440" w:lineRule="exact"/>
              <w:ind w:firstLine="420" w:firstLineChars="200"/>
              <w:jc w:val="center"/>
              <w:rPr>
                <w:rFonts w:hint="eastAsia" w:ascii="宋体" w:hAnsi="宋体" w:eastAsia="宋体" w:cs="宋体"/>
                <w:highlight w:val="none"/>
              </w:rPr>
            </w:pPr>
          </w:p>
        </w:tc>
      </w:tr>
      <w:tr w14:paraId="28E5E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6694C1B5">
            <w:pPr>
              <w:adjustRightInd w:val="0"/>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项目名称</w:t>
            </w:r>
          </w:p>
        </w:tc>
        <w:tc>
          <w:tcPr>
            <w:tcW w:w="5577" w:type="dxa"/>
            <w:vAlign w:val="center"/>
          </w:tcPr>
          <w:p w14:paraId="4BB75521">
            <w:pPr>
              <w:adjustRightInd w:val="0"/>
              <w:snapToGrid w:val="0"/>
              <w:spacing w:line="440" w:lineRule="exact"/>
              <w:ind w:firstLine="420" w:firstLineChars="200"/>
              <w:jc w:val="center"/>
              <w:rPr>
                <w:rFonts w:hint="eastAsia" w:ascii="宋体" w:hAnsi="宋体" w:eastAsia="宋体" w:cs="宋体"/>
                <w:highlight w:val="none"/>
              </w:rPr>
            </w:pPr>
          </w:p>
        </w:tc>
      </w:tr>
      <w:tr w14:paraId="1F3A9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184FD365">
            <w:pPr>
              <w:adjustRightInd w:val="0"/>
              <w:snapToGrid w:val="0"/>
              <w:spacing w:line="440" w:lineRule="exact"/>
              <w:ind w:left="42" w:hanging="42" w:hangingChars="20"/>
              <w:jc w:val="center"/>
              <w:rPr>
                <w:rFonts w:hint="eastAsia" w:ascii="宋体" w:hAnsi="宋体" w:eastAsia="宋体" w:cs="宋体"/>
                <w:highlight w:val="none"/>
              </w:rPr>
            </w:pPr>
            <w:r>
              <w:rPr>
                <w:rFonts w:hint="eastAsia" w:ascii="宋体" w:hAnsi="宋体" w:eastAsia="宋体" w:cs="宋体"/>
                <w:highlight w:val="none"/>
              </w:rPr>
              <w:t>项目所在地</w:t>
            </w:r>
          </w:p>
        </w:tc>
        <w:tc>
          <w:tcPr>
            <w:tcW w:w="5577" w:type="dxa"/>
            <w:vAlign w:val="center"/>
          </w:tcPr>
          <w:p w14:paraId="5EE8A468">
            <w:pPr>
              <w:adjustRightInd w:val="0"/>
              <w:snapToGrid w:val="0"/>
              <w:spacing w:line="440" w:lineRule="exact"/>
              <w:ind w:firstLine="420" w:firstLineChars="200"/>
              <w:jc w:val="center"/>
              <w:rPr>
                <w:rFonts w:hint="eastAsia" w:ascii="宋体" w:hAnsi="宋体" w:eastAsia="宋体" w:cs="宋体"/>
                <w:highlight w:val="none"/>
              </w:rPr>
            </w:pPr>
          </w:p>
        </w:tc>
      </w:tr>
      <w:tr w14:paraId="3CC06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4082E234">
            <w:pPr>
              <w:adjustRightInd w:val="0"/>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业主名称</w:t>
            </w:r>
          </w:p>
        </w:tc>
        <w:tc>
          <w:tcPr>
            <w:tcW w:w="5577" w:type="dxa"/>
            <w:vAlign w:val="center"/>
          </w:tcPr>
          <w:p w14:paraId="398EC156">
            <w:pPr>
              <w:adjustRightInd w:val="0"/>
              <w:snapToGrid w:val="0"/>
              <w:spacing w:line="440" w:lineRule="exact"/>
              <w:ind w:firstLine="420" w:firstLineChars="200"/>
              <w:jc w:val="center"/>
              <w:rPr>
                <w:rFonts w:hint="eastAsia" w:ascii="宋体" w:hAnsi="宋体" w:eastAsia="宋体" w:cs="宋体"/>
                <w:highlight w:val="none"/>
              </w:rPr>
            </w:pPr>
          </w:p>
        </w:tc>
      </w:tr>
      <w:tr w14:paraId="5A4BA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07079BA5">
            <w:pPr>
              <w:adjustRightInd w:val="0"/>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业主地址</w:t>
            </w:r>
          </w:p>
        </w:tc>
        <w:tc>
          <w:tcPr>
            <w:tcW w:w="5577" w:type="dxa"/>
            <w:vAlign w:val="center"/>
          </w:tcPr>
          <w:p w14:paraId="45584F2F">
            <w:pPr>
              <w:adjustRightInd w:val="0"/>
              <w:snapToGrid w:val="0"/>
              <w:spacing w:line="440" w:lineRule="exact"/>
              <w:ind w:firstLine="420" w:firstLineChars="200"/>
              <w:jc w:val="center"/>
              <w:rPr>
                <w:rFonts w:hint="eastAsia" w:ascii="宋体" w:hAnsi="宋体" w:eastAsia="宋体" w:cs="宋体"/>
                <w:highlight w:val="none"/>
              </w:rPr>
            </w:pPr>
          </w:p>
        </w:tc>
      </w:tr>
      <w:tr w14:paraId="0B542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15C1881B">
            <w:pPr>
              <w:adjustRightInd w:val="0"/>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业主电话</w:t>
            </w:r>
          </w:p>
        </w:tc>
        <w:tc>
          <w:tcPr>
            <w:tcW w:w="5577" w:type="dxa"/>
            <w:vAlign w:val="center"/>
          </w:tcPr>
          <w:p w14:paraId="1467B140">
            <w:pPr>
              <w:adjustRightInd w:val="0"/>
              <w:snapToGrid w:val="0"/>
              <w:spacing w:line="440" w:lineRule="exact"/>
              <w:ind w:firstLine="420" w:firstLineChars="200"/>
              <w:jc w:val="center"/>
              <w:rPr>
                <w:rFonts w:hint="eastAsia" w:ascii="宋体" w:hAnsi="宋体" w:eastAsia="宋体" w:cs="宋体"/>
                <w:highlight w:val="none"/>
              </w:rPr>
            </w:pPr>
          </w:p>
        </w:tc>
      </w:tr>
      <w:tr w14:paraId="38185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387B5B07">
            <w:pPr>
              <w:adjustRightInd w:val="0"/>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合同金额</w:t>
            </w:r>
          </w:p>
        </w:tc>
        <w:tc>
          <w:tcPr>
            <w:tcW w:w="5577" w:type="dxa"/>
            <w:vAlign w:val="center"/>
          </w:tcPr>
          <w:p w14:paraId="6A2583AC">
            <w:pPr>
              <w:adjustRightInd w:val="0"/>
              <w:snapToGrid w:val="0"/>
              <w:spacing w:line="440" w:lineRule="exact"/>
              <w:ind w:firstLine="420" w:firstLineChars="200"/>
              <w:jc w:val="center"/>
              <w:rPr>
                <w:rFonts w:hint="eastAsia" w:ascii="宋体" w:hAnsi="宋体" w:eastAsia="宋体" w:cs="宋体"/>
                <w:highlight w:val="none"/>
              </w:rPr>
            </w:pPr>
          </w:p>
        </w:tc>
      </w:tr>
      <w:tr w14:paraId="4092D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24C9E9D0">
            <w:pPr>
              <w:adjustRightInd w:val="0"/>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承担的工作内容</w:t>
            </w:r>
          </w:p>
        </w:tc>
        <w:tc>
          <w:tcPr>
            <w:tcW w:w="5577" w:type="dxa"/>
            <w:vAlign w:val="center"/>
          </w:tcPr>
          <w:p w14:paraId="4D339148">
            <w:pPr>
              <w:adjustRightInd w:val="0"/>
              <w:snapToGrid w:val="0"/>
              <w:spacing w:line="440" w:lineRule="exact"/>
              <w:ind w:firstLine="420" w:firstLineChars="200"/>
              <w:jc w:val="center"/>
              <w:rPr>
                <w:rFonts w:hint="eastAsia" w:ascii="宋体" w:hAnsi="宋体" w:eastAsia="宋体" w:cs="宋体"/>
                <w:highlight w:val="none"/>
              </w:rPr>
            </w:pPr>
          </w:p>
        </w:tc>
      </w:tr>
      <w:tr w14:paraId="55C1F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307A385B">
            <w:pPr>
              <w:adjustRightInd w:val="0"/>
              <w:snapToGrid w:val="0"/>
              <w:spacing w:line="440" w:lineRule="exact"/>
              <w:jc w:val="center"/>
              <w:rPr>
                <w:rFonts w:hint="eastAsia" w:ascii="宋体" w:hAnsi="宋体" w:eastAsia="宋体" w:cs="宋体"/>
                <w:highlight w:val="none"/>
              </w:rPr>
            </w:pPr>
            <w:r>
              <w:rPr>
                <w:rFonts w:hint="eastAsia" w:ascii="宋体" w:hAnsi="宋体" w:eastAsia="宋体" w:cs="宋体"/>
                <w:highlight w:val="none"/>
              </w:rPr>
              <w:t>备注</w:t>
            </w:r>
          </w:p>
        </w:tc>
        <w:tc>
          <w:tcPr>
            <w:tcW w:w="5577" w:type="dxa"/>
            <w:vAlign w:val="center"/>
          </w:tcPr>
          <w:p w14:paraId="18D82F17">
            <w:pPr>
              <w:adjustRightInd w:val="0"/>
              <w:snapToGrid w:val="0"/>
              <w:spacing w:line="440" w:lineRule="exact"/>
              <w:ind w:firstLine="420" w:firstLineChars="200"/>
              <w:jc w:val="center"/>
              <w:rPr>
                <w:rFonts w:hint="eastAsia" w:ascii="宋体" w:hAnsi="宋体" w:eastAsia="宋体" w:cs="宋体"/>
                <w:highlight w:val="none"/>
              </w:rPr>
            </w:pPr>
          </w:p>
        </w:tc>
      </w:tr>
    </w:tbl>
    <w:p w14:paraId="0A740AE1">
      <w:pPr>
        <w:tabs>
          <w:tab w:val="left" w:pos="440"/>
        </w:tabs>
        <w:spacing w:line="440" w:lineRule="exact"/>
        <w:ind w:left="437" w:hanging="436" w:hangingChars="208"/>
        <w:rPr>
          <w:rFonts w:hint="eastAsia" w:ascii="宋体" w:hAnsi="宋体" w:eastAsia="宋体" w:cs="宋体"/>
          <w:highlight w:val="none"/>
        </w:rPr>
      </w:pPr>
      <w:r>
        <w:rPr>
          <w:rFonts w:hint="eastAsia" w:ascii="宋体" w:hAnsi="宋体" w:eastAsia="宋体" w:cs="宋体"/>
          <w:highlight w:val="none"/>
        </w:rPr>
        <w:t>注：每一个项目填一张表，本表后附业绩证明材料的复印件或扫描件。</w:t>
      </w:r>
    </w:p>
    <w:p w14:paraId="0873BBF1">
      <w:pPr>
        <w:spacing w:line="440" w:lineRule="exact"/>
        <w:ind w:left="439" w:hanging="438" w:hangingChars="209"/>
        <w:rPr>
          <w:rFonts w:hint="eastAsia" w:ascii="宋体" w:hAnsi="宋体" w:eastAsia="宋体" w:cs="宋体"/>
          <w:highlight w:val="none"/>
        </w:rPr>
      </w:pPr>
    </w:p>
    <w:p w14:paraId="16A33B60">
      <w:pPr>
        <w:pStyle w:val="2"/>
        <w:spacing w:before="0" w:after="0" w:line="440" w:lineRule="exact"/>
        <w:jc w:val="center"/>
        <w:rPr>
          <w:rFonts w:hint="eastAsia" w:ascii="宋体" w:hAnsi="宋体" w:eastAsia="宋体" w:cs="宋体"/>
          <w:highlight w:val="none"/>
        </w:rPr>
      </w:pPr>
      <w:r>
        <w:rPr>
          <w:rFonts w:hint="eastAsia" w:ascii="宋体" w:hAnsi="宋体" w:eastAsia="宋体" w:cs="宋体"/>
          <w:highlight w:val="none"/>
        </w:rPr>
        <w:br w:type="page"/>
      </w:r>
      <w:bookmarkEnd w:id="317"/>
      <w:bookmarkStart w:id="318" w:name="_Toc21809"/>
      <w:r>
        <w:rPr>
          <w:rFonts w:hint="eastAsia" w:ascii="宋体" w:hAnsi="宋体" w:eastAsia="宋体" w:cs="宋体"/>
          <w:highlight w:val="none"/>
        </w:rPr>
        <w:t>五</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拟派人员</w:t>
      </w:r>
      <w:r>
        <w:rPr>
          <w:rFonts w:hint="eastAsia" w:ascii="宋体" w:hAnsi="宋体" w:eastAsia="宋体" w:cs="宋体"/>
          <w:highlight w:val="none"/>
        </w:rPr>
        <w:t>汇总表</w:t>
      </w:r>
      <w:bookmarkEnd w:id="318"/>
    </w:p>
    <w:p w14:paraId="14CC3169">
      <w:pPr>
        <w:spacing w:line="440" w:lineRule="exact"/>
        <w:rPr>
          <w:rFonts w:hint="eastAsia" w:ascii="宋体" w:hAnsi="宋体" w:eastAsia="宋体" w:cs="宋体"/>
          <w:sz w:val="22"/>
          <w:szCs w:val="28"/>
          <w:highlight w:val="none"/>
        </w:rPr>
      </w:pPr>
    </w:p>
    <w:tbl>
      <w:tblPr>
        <w:tblStyle w:val="37"/>
        <w:tblW w:w="91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808"/>
        <w:gridCol w:w="1536"/>
        <w:gridCol w:w="1238"/>
        <w:gridCol w:w="1238"/>
        <w:gridCol w:w="2269"/>
      </w:tblGrid>
      <w:tr w14:paraId="06387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106" w:type="dxa"/>
            <w:vAlign w:val="center"/>
          </w:tcPr>
          <w:p w14:paraId="6C7FB512">
            <w:pPr>
              <w:spacing w:line="440" w:lineRule="exact"/>
              <w:jc w:val="center"/>
              <w:rPr>
                <w:rFonts w:hint="eastAsia" w:ascii="宋体" w:hAnsi="宋体" w:eastAsia="宋体" w:cs="宋体"/>
                <w:highlight w:val="none"/>
              </w:rPr>
            </w:pPr>
            <w:r>
              <w:rPr>
                <w:rFonts w:hint="eastAsia" w:ascii="宋体" w:hAnsi="宋体" w:eastAsia="宋体" w:cs="宋体"/>
                <w:highlight w:val="none"/>
              </w:rPr>
              <w:t>序号</w:t>
            </w:r>
          </w:p>
        </w:tc>
        <w:tc>
          <w:tcPr>
            <w:tcW w:w="1808" w:type="dxa"/>
            <w:vAlign w:val="center"/>
          </w:tcPr>
          <w:p w14:paraId="0ADCE1A5">
            <w:pPr>
              <w:spacing w:line="440" w:lineRule="exact"/>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在本项目中拟派岗位</w:t>
            </w:r>
          </w:p>
        </w:tc>
        <w:tc>
          <w:tcPr>
            <w:tcW w:w="1536" w:type="dxa"/>
            <w:vAlign w:val="center"/>
          </w:tcPr>
          <w:p w14:paraId="04FCF2C9">
            <w:pPr>
              <w:spacing w:line="440" w:lineRule="exact"/>
              <w:jc w:val="center"/>
              <w:rPr>
                <w:rFonts w:hint="eastAsia" w:ascii="宋体" w:hAnsi="宋体" w:eastAsia="宋体" w:cs="宋体"/>
                <w:highlight w:val="none"/>
              </w:rPr>
            </w:pPr>
            <w:r>
              <w:rPr>
                <w:rFonts w:hint="eastAsia" w:ascii="宋体" w:hAnsi="宋体" w:eastAsia="宋体" w:cs="宋体"/>
                <w:highlight w:val="none"/>
                <w:lang w:val="en-US" w:eastAsia="zh-CN"/>
              </w:rPr>
              <w:t>姓名</w:t>
            </w:r>
          </w:p>
        </w:tc>
        <w:tc>
          <w:tcPr>
            <w:tcW w:w="1238" w:type="dxa"/>
            <w:vAlign w:val="center"/>
          </w:tcPr>
          <w:p w14:paraId="79BB0518">
            <w:pPr>
              <w:spacing w:line="440" w:lineRule="exact"/>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性别</w:t>
            </w:r>
          </w:p>
        </w:tc>
        <w:tc>
          <w:tcPr>
            <w:tcW w:w="1238" w:type="dxa"/>
            <w:vAlign w:val="center"/>
          </w:tcPr>
          <w:p w14:paraId="404F0A1B">
            <w:pPr>
              <w:spacing w:line="440"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年龄</w:t>
            </w:r>
          </w:p>
        </w:tc>
        <w:tc>
          <w:tcPr>
            <w:tcW w:w="2269" w:type="dxa"/>
            <w:vAlign w:val="center"/>
          </w:tcPr>
          <w:p w14:paraId="070E55D3">
            <w:pPr>
              <w:spacing w:line="440"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注册资格（或操作证）</w:t>
            </w:r>
          </w:p>
        </w:tc>
      </w:tr>
      <w:tr w14:paraId="4DEC7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14:paraId="5822BFE2">
            <w:pPr>
              <w:spacing w:line="440" w:lineRule="exact"/>
              <w:jc w:val="center"/>
              <w:rPr>
                <w:rFonts w:hint="eastAsia" w:ascii="宋体" w:hAnsi="宋体" w:eastAsia="宋体" w:cs="宋体"/>
                <w:highlight w:val="none"/>
              </w:rPr>
            </w:pPr>
            <w:r>
              <w:rPr>
                <w:rFonts w:hint="eastAsia" w:ascii="宋体" w:hAnsi="宋体" w:eastAsia="宋体" w:cs="宋体"/>
                <w:highlight w:val="none"/>
              </w:rPr>
              <w:t>1</w:t>
            </w:r>
          </w:p>
        </w:tc>
        <w:tc>
          <w:tcPr>
            <w:tcW w:w="1808" w:type="dxa"/>
            <w:vAlign w:val="center"/>
          </w:tcPr>
          <w:p w14:paraId="356AD29B">
            <w:pPr>
              <w:spacing w:line="440" w:lineRule="exact"/>
              <w:jc w:val="center"/>
              <w:rPr>
                <w:rFonts w:hint="eastAsia" w:ascii="宋体" w:hAnsi="宋体" w:eastAsia="宋体" w:cs="宋体"/>
                <w:highlight w:val="none"/>
              </w:rPr>
            </w:pPr>
          </w:p>
        </w:tc>
        <w:tc>
          <w:tcPr>
            <w:tcW w:w="1536" w:type="dxa"/>
            <w:vAlign w:val="center"/>
          </w:tcPr>
          <w:p w14:paraId="2B0925D4">
            <w:pPr>
              <w:spacing w:line="440" w:lineRule="exact"/>
              <w:jc w:val="center"/>
              <w:rPr>
                <w:rFonts w:hint="eastAsia" w:ascii="宋体" w:hAnsi="宋体" w:eastAsia="宋体" w:cs="宋体"/>
                <w:highlight w:val="none"/>
              </w:rPr>
            </w:pPr>
          </w:p>
        </w:tc>
        <w:tc>
          <w:tcPr>
            <w:tcW w:w="1238" w:type="dxa"/>
            <w:vAlign w:val="center"/>
          </w:tcPr>
          <w:p w14:paraId="6DBAD716">
            <w:pPr>
              <w:spacing w:line="440" w:lineRule="exact"/>
              <w:jc w:val="center"/>
              <w:rPr>
                <w:rFonts w:hint="eastAsia" w:ascii="宋体" w:hAnsi="宋体" w:eastAsia="宋体" w:cs="宋体"/>
                <w:highlight w:val="none"/>
              </w:rPr>
            </w:pPr>
          </w:p>
        </w:tc>
        <w:tc>
          <w:tcPr>
            <w:tcW w:w="1238" w:type="dxa"/>
            <w:vAlign w:val="center"/>
          </w:tcPr>
          <w:p w14:paraId="1C12D164">
            <w:pPr>
              <w:spacing w:line="440" w:lineRule="exact"/>
              <w:jc w:val="center"/>
              <w:rPr>
                <w:rFonts w:hint="eastAsia" w:ascii="宋体" w:hAnsi="宋体" w:eastAsia="宋体" w:cs="宋体"/>
                <w:highlight w:val="none"/>
              </w:rPr>
            </w:pPr>
          </w:p>
        </w:tc>
        <w:tc>
          <w:tcPr>
            <w:tcW w:w="2269" w:type="dxa"/>
            <w:vAlign w:val="center"/>
          </w:tcPr>
          <w:p w14:paraId="25D0B382">
            <w:pPr>
              <w:spacing w:line="440" w:lineRule="exact"/>
              <w:jc w:val="center"/>
              <w:rPr>
                <w:rFonts w:hint="eastAsia" w:ascii="宋体" w:hAnsi="宋体" w:eastAsia="宋体" w:cs="宋体"/>
                <w:highlight w:val="none"/>
              </w:rPr>
            </w:pPr>
          </w:p>
        </w:tc>
      </w:tr>
      <w:tr w14:paraId="0EE7D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14:paraId="215F7CB7">
            <w:pPr>
              <w:spacing w:line="440" w:lineRule="exact"/>
              <w:jc w:val="center"/>
              <w:rPr>
                <w:rFonts w:hint="eastAsia" w:ascii="宋体" w:hAnsi="宋体" w:eastAsia="宋体" w:cs="宋体"/>
                <w:highlight w:val="none"/>
              </w:rPr>
            </w:pPr>
            <w:r>
              <w:rPr>
                <w:rFonts w:hint="eastAsia" w:ascii="宋体" w:hAnsi="宋体" w:eastAsia="宋体" w:cs="宋体"/>
                <w:highlight w:val="none"/>
              </w:rPr>
              <w:t>2</w:t>
            </w:r>
          </w:p>
        </w:tc>
        <w:tc>
          <w:tcPr>
            <w:tcW w:w="1808" w:type="dxa"/>
            <w:vAlign w:val="center"/>
          </w:tcPr>
          <w:p w14:paraId="79E1DF96">
            <w:pPr>
              <w:spacing w:line="440" w:lineRule="exact"/>
              <w:jc w:val="center"/>
              <w:rPr>
                <w:rFonts w:hint="eastAsia" w:ascii="宋体" w:hAnsi="宋体" w:eastAsia="宋体" w:cs="宋体"/>
                <w:highlight w:val="none"/>
              </w:rPr>
            </w:pPr>
          </w:p>
        </w:tc>
        <w:tc>
          <w:tcPr>
            <w:tcW w:w="1536" w:type="dxa"/>
            <w:vAlign w:val="center"/>
          </w:tcPr>
          <w:p w14:paraId="1971D7BD">
            <w:pPr>
              <w:spacing w:line="440" w:lineRule="exact"/>
              <w:jc w:val="center"/>
              <w:rPr>
                <w:rFonts w:hint="eastAsia" w:ascii="宋体" w:hAnsi="宋体" w:eastAsia="宋体" w:cs="宋体"/>
                <w:highlight w:val="none"/>
              </w:rPr>
            </w:pPr>
          </w:p>
        </w:tc>
        <w:tc>
          <w:tcPr>
            <w:tcW w:w="1238" w:type="dxa"/>
            <w:vAlign w:val="center"/>
          </w:tcPr>
          <w:p w14:paraId="1FE2C11B">
            <w:pPr>
              <w:spacing w:line="440" w:lineRule="exact"/>
              <w:jc w:val="center"/>
              <w:rPr>
                <w:rFonts w:hint="eastAsia" w:ascii="宋体" w:hAnsi="宋体" w:eastAsia="宋体" w:cs="宋体"/>
                <w:highlight w:val="none"/>
              </w:rPr>
            </w:pPr>
          </w:p>
        </w:tc>
        <w:tc>
          <w:tcPr>
            <w:tcW w:w="1238" w:type="dxa"/>
            <w:vAlign w:val="center"/>
          </w:tcPr>
          <w:p w14:paraId="1E30849F">
            <w:pPr>
              <w:spacing w:line="440" w:lineRule="exact"/>
              <w:jc w:val="center"/>
              <w:rPr>
                <w:rFonts w:hint="eastAsia" w:ascii="宋体" w:hAnsi="宋体" w:eastAsia="宋体" w:cs="宋体"/>
                <w:highlight w:val="none"/>
              </w:rPr>
            </w:pPr>
          </w:p>
        </w:tc>
        <w:tc>
          <w:tcPr>
            <w:tcW w:w="2269" w:type="dxa"/>
            <w:vAlign w:val="center"/>
          </w:tcPr>
          <w:p w14:paraId="038AE31C">
            <w:pPr>
              <w:spacing w:line="440" w:lineRule="exact"/>
              <w:jc w:val="center"/>
              <w:rPr>
                <w:rFonts w:hint="eastAsia" w:ascii="宋体" w:hAnsi="宋体" w:eastAsia="宋体" w:cs="宋体"/>
                <w:highlight w:val="none"/>
              </w:rPr>
            </w:pPr>
          </w:p>
        </w:tc>
      </w:tr>
      <w:tr w14:paraId="5989B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14:paraId="541A62C2">
            <w:pPr>
              <w:spacing w:line="440" w:lineRule="exact"/>
              <w:jc w:val="center"/>
              <w:rPr>
                <w:rFonts w:hint="eastAsia" w:ascii="宋体" w:hAnsi="宋体" w:eastAsia="宋体" w:cs="宋体"/>
                <w:highlight w:val="none"/>
              </w:rPr>
            </w:pPr>
            <w:r>
              <w:rPr>
                <w:rFonts w:hint="eastAsia" w:ascii="宋体" w:hAnsi="宋体" w:eastAsia="宋体" w:cs="宋体"/>
                <w:highlight w:val="none"/>
              </w:rPr>
              <w:t>3</w:t>
            </w:r>
          </w:p>
        </w:tc>
        <w:tc>
          <w:tcPr>
            <w:tcW w:w="1808" w:type="dxa"/>
            <w:vAlign w:val="center"/>
          </w:tcPr>
          <w:p w14:paraId="59C87708">
            <w:pPr>
              <w:spacing w:line="440" w:lineRule="exact"/>
              <w:jc w:val="center"/>
              <w:rPr>
                <w:rFonts w:hint="eastAsia" w:ascii="宋体" w:hAnsi="宋体" w:eastAsia="宋体" w:cs="宋体"/>
                <w:highlight w:val="none"/>
              </w:rPr>
            </w:pPr>
          </w:p>
        </w:tc>
        <w:tc>
          <w:tcPr>
            <w:tcW w:w="1536" w:type="dxa"/>
            <w:vAlign w:val="center"/>
          </w:tcPr>
          <w:p w14:paraId="31808DFC">
            <w:pPr>
              <w:spacing w:line="440" w:lineRule="exact"/>
              <w:jc w:val="center"/>
              <w:rPr>
                <w:rFonts w:hint="eastAsia" w:ascii="宋体" w:hAnsi="宋体" w:eastAsia="宋体" w:cs="宋体"/>
                <w:highlight w:val="none"/>
              </w:rPr>
            </w:pPr>
          </w:p>
        </w:tc>
        <w:tc>
          <w:tcPr>
            <w:tcW w:w="1238" w:type="dxa"/>
            <w:vAlign w:val="center"/>
          </w:tcPr>
          <w:p w14:paraId="619E7EF0">
            <w:pPr>
              <w:spacing w:line="440" w:lineRule="exact"/>
              <w:jc w:val="center"/>
              <w:rPr>
                <w:rFonts w:hint="eastAsia" w:ascii="宋体" w:hAnsi="宋体" w:eastAsia="宋体" w:cs="宋体"/>
                <w:highlight w:val="none"/>
              </w:rPr>
            </w:pPr>
          </w:p>
        </w:tc>
        <w:tc>
          <w:tcPr>
            <w:tcW w:w="1238" w:type="dxa"/>
            <w:vAlign w:val="center"/>
          </w:tcPr>
          <w:p w14:paraId="6251949D">
            <w:pPr>
              <w:spacing w:line="440" w:lineRule="exact"/>
              <w:jc w:val="center"/>
              <w:rPr>
                <w:rFonts w:hint="eastAsia" w:ascii="宋体" w:hAnsi="宋体" w:eastAsia="宋体" w:cs="宋体"/>
                <w:highlight w:val="none"/>
              </w:rPr>
            </w:pPr>
          </w:p>
        </w:tc>
        <w:tc>
          <w:tcPr>
            <w:tcW w:w="2269" w:type="dxa"/>
            <w:vAlign w:val="center"/>
          </w:tcPr>
          <w:p w14:paraId="4B5557EC">
            <w:pPr>
              <w:spacing w:line="440" w:lineRule="exact"/>
              <w:jc w:val="center"/>
              <w:rPr>
                <w:rFonts w:hint="eastAsia" w:ascii="宋体" w:hAnsi="宋体" w:eastAsia="宋体" w:cs="宋体"/>
                <w:highlight w:val="none"/>
              </w:rPr>
            </w:pPr>
          </w:p>
        </w:tc>
      </w:tr>
      <w:tr w14:paraId="38585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14:paraId="788C1BC8">
            <w:pPr>
              <w:spacing w:line="440" w:lineRule="exact"/>
              <w:jc w:val="center"/>
              <w:rPr>
                <w:rFonts w:hint="eastAsia" w:ascii="宋体" w:hAnsi="宋体" w:eastAsia="宋体" w:cs="宋体"/>
                <w:highlight w:val="none"/>
              </w:rPr>
            </w:pPr>
            <w:r>
              <w:rPr>
                <w:rFonts w:hint="eastAsia" w:ascii="宋体" w:hAnsi="宋体" w:eastAsia="宋体" w:cs="宋体"/>
                <w:highlight w:val="none"/>
              </w:rPr>
              <w:t>4</w:t>
            </w:r>
          </w:p>
        </w:tc>
        <w:tc>
          <w:tcPr>
            <w:tcW w:w="1808" w:type="dxa"/>
            <w:vAlign w:val="center"/>
          </w:tcPr>
          <w:p w14:paraId="78883885">
            <w:pPr>
              <w:spacing w:line="440" w:lineRule="exact"/>
              <w:jc w:val="center"/>
              <w:rPr>
                <w:rFonts w:hint="eastAsia" w:ascii="宋体" w:hAnsi="宋体" w:eastAsia="宋体" w:cs="宋体"/>
                <w:highlight w:val="none"/>
              </w:rPr>
            </w:pPr>
          </w:p>
        </w:tc>
        <w:tc>
          <w:tcPr>
            <w:tcW w:w="1536" w:type="dxa"/>
            <w:vAlign w:val="center"/>
          </w:tcPr>
          <w:p w14:paraId="04907981">
            <w:pPr>
              <w:spacing w:line="440" w:lineRule="exact"/>
              <w:jc w:val="center"/>
              <w:rPr>
                <w:rFonts w:hint="eastAsia" w:ascii="宋体" w:hAnsi="宋体" w:eastAsia="宋体" w:cs="宋体"/>
                <w:highlight w:val="none"/>
              </w:rPr>
            </w:pPr>
          </w:p>
        </w:tc>
        <w:tc>
          <w:tcPr>
            <w:tcW w:w="1238" w:type="dxa"/>
            <w:vAlign w:val="center"/>
          </w:tcPr>
          <w:p w14:paraId="7D41E847">
            <w:pPr>
              <w:spacing w:line="440" w:lineRule="exact"/>
              <w:jc w:val="center"/>
              <w:rPr>
                <w:rFonts w:hint="eastAsia" w:ascii="宋体" w:hAnsi="宋体" w:eastAsia="宋体" w:cs="宋体"/>
                <w:highlight w:val="none"/>
              </w:rPr>
            </w:pPr>
          </w:p>
        </w:tc>
        <w:tc>
          <w:tcPr>
            <w:tcW w:w="1238" w:type="dxa"/>
            <w:vAlign w:val="center"/>
          </w:tcPr>
          <w:p w14:paraId="73ACC1FA">
            <w:pPr>
              <w:spacing w:line="440" w:lineRule="exact"/>
              <w:jc w:val="center"/>
              <w:rPr>
                <w:rFonts w:hint="eastAsia" w:ascii="宋体" w:hAnsi="宋体" w:eastAsia="宋体" w:cs="宋体"/>
                <w:highlight w:val="none"/>
              </w:rPr>
            </w:pPr>
          </w:p>
        </w:tc>
        <w:tc>
          <w:tcPr>
            <w:tcW w:w="2269" w:type="dxa"/>
            <w:vAlign w:val="center"/>
          </w:tcPr>
          <w:p w14:paraId="3D5F3A40">
            <w:pPr>
              <w:spacing w:line="440" w:lineRule="exact"/>
              <w:jc w:val="center"/>
              <w:rPr>
                <w:rFonts w:hint="eastAsia" w:ascii="宋体" w:hAnsi="宋体" w:eastAsia="宋体" w:cs="宋体"/>
                <w:highlight w:val="none"/>
              </w:rPr>
            </w:pPr>
          </w:p>
        </w:tc>
      </w:tr>
      <w:tr w14:paraId="56D81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106" w:type="dxa"/>
            <w:vAlign w:val="center"/>
          </w:tcPr>
          <w:p w14:paraId="5E6FEDD1">
            <w:pPr>
              <w:spacing w:line="440" w:lineRule="exact"/>
              <w:jc w:val="center"/>
              <w:rPr>
                <w:rFonts w:hint="eastAsia" w:ascii="宋体" w:hAnsi="宋体" w:eastAsia="宋体" w:cs="宋体"/>
                <w:highlight w:val="none"/>
              </w:rPr>
            </w:pPr>
            <w:r>
              <w:rPr>
                <w:rFonts w:hint="eastAsia" w:ascii="宋体" w:hAnsi="宋体" w:eastAsia="宋体" w:cs="宋体"/>
                <w:highlight w:val="none"/>
              </w:rPr>
              <w:t>…</w:t>
            </w:r>
          </w:p>
        </w:tc>
        <w:tc>
          <w:tcPr>
            <w:tcW w:w="1808" w:type="dxa"/>
            <w:vAlign w:val="center"/>
          </w:tcPr>
          <w:p w14:paraId="060D600A">
            <w:pPr>
              <w:spacing w:line="440" w:lineRule="exact"/>
              <w:jc w:val="center"/>
              <w:rPr>
                <w:rFonts w:hint="eastAsia" w:ascii="宋体" w:hAnsi="宋体" w:eastAsia="宋体" w:cs="宋体"/>
                <w:highlight w:val="none"/>
              </w:rPr>
            </w:pPr>
          </w:p>
        </w:tc>
        <w:tc>
          <w:tcPr>
            <w:tcW w:w="1536" w:type="dxa"/>
            <w:vAlign w:val="center"/>
          </w:tcPr>
          <w:p w14:paraId="2A907F9D">
            <w:pPr>
              <w:spacing w:line="440" w:lineRule="exact"/>
              <w:jc w:val="center"/>
              <w:rPr>
                <w:rFonts w:hint="eastAsia" w:ascii="宋体" w:hAnsi="宋体" w:eastAsia="宋体" w:cs="宋体"/>
                <w:highlight w:val="none"/>
              </w:rPr>
            </w:pPr>
          </w:p>
        </w:tc>
        <w:tc>
          <w:tcPr>
            <w:tcW w:w="1238" w:type="dxa"/>
            <w:vAlign w:val="center"/>
          </w:tcPr>
          <w:p w14:paraId="0FDDD29C">
            <w:pPr>
              <w:spacing w:line="440" w:lineRule="exact"/>
              <w:jc w:val="center"/>
              <w:rPr>
                <w:rFonts w:hint="eastAsia" w:ascii="宋体" w:hAnsi="宋体" w:eastAsia="宋体" w:cs="宋体"/>
                <w:highlight w:val="none"/>
              </w:rPr>
            </w:pPr>
          </w:p>
        </w:tc>
        <w:tc>
          <w:tcPr>
            <w:tcW w:w="1238" w:type="dxa"/>
            <w:vAlign w:val="center"/>
          </w:tcPr>
          <w:p w14:paraId="0FF7763A">
            <w:pPr>
              <w:spacing w:line="440" w:lineRule="exact"/>
              <w:jc w:val="center"/>
              <w:rPr>
                <w:rFonts w:hint="eastAsia" w:ascii="宋体" w:hAnsi="宋体" w:eastAsia="宋体" w:cs="宋体"/>
                <w:highlight w:val="none"/>
              </w:rPr>
            </w:pPr>
          </w:p>
        </w:tc>
        <w:tc>
          <w:tcPr>
            <w:tcW w:w="2269" w:type="dxa"/>
            <w:vAlign w:val="center"/>
          </w:tcPr>
          <w:p w14:paraId="2585AE84">
            <w:pPr>
              <w:spacing w:line="440" w:lineRule="exact"/>
              <w:jc w:val="center"/>
              <w:rPr>
                <w:rFonts w:hint="eastAsia" w:ascii="宋体" w:hAnsi="宋体" w:eastAsia="宋体" w:cs="宋体"/>
                <w:highlight w:val="none"/>
              </w:rPr>
            </w:pPr>
          </w:p>
        </w:tc>
      </w:tr>
    </w:tbl>
    <w:p w14:paraId="2F0AC88B">
      <w:pPr>
        <w:spacing w:line="440" w:lineRule="exact"/>
        <w:ind w:left="437" w:leftChars="208" w:firstLine="2"/>
        <w:rPr>
          <w:rFonts w:hint="eastAsia" w:ascii="宋体" w:hAnsi="宋体" w:eastAsia="宋体" w:cs="宋体"/>
          <w:b/>
          <w:highlight w:val="none"/>
        </w:rPr>
      </w:pPr>
      <w:r>
        <w:rPr>
          <w:rFonts w:hint="eastAsia" w:ascii="宋体" w:hAnsi="宋体" w:eastAsia="宋体" w:cs="宋体"/>
          <w:b/>
          <w:highlight w:val="none"/>
        </w:rPr>
        <w:t>注：</w:t>
      </w:r>
      <w:r>
        <w:rPr>
          <w:rFonts w:hint="eastAsia" w:ascii="宋体" w:hAnsi="宋体" w:eastAsia="宋体" w:cs="宋体"/>
          <w:b/>
          <w:highlight w:val="none"/>
          <w:lang w:val="en-US" w:eastAsia="zh-CN"/>
        </w:rPr>
        <w:t>附人员相关证书及社保复印件或扫描件</w:t>
      </w:r>
      <w:r>
        <w:rPr>
          <w:rFonts w:hint="eastAsia" w:ascii="宋体" w:hAnsi="宋体" w:eastAsia="宋体" w:cs="宋体"/>
          <w:b/>
          <w:highlight w:val="none"/>
        </w:rPr>
        <w:t>。</w:t>
      </w:r>
    </w:p>
    <w:p w14:paraId="03096220">
      <w:pPr>
        <w:spacing w:line="440" w:lineRule="exact"/>
        <w:ind w:firstLine="403" w:firstLineChars="192"/>
        <w:rPr>
          <w:rFonts w:hint="eastAsia" w:ascii="宋体" w:hAnsi="宋体" w:eastAsia="宋体" w:cs="宋体"/>
          <w:highlight w:val="none"/>
        </w:rPr>
      </w:pPr>
    </w:p>
    <w:p w14:paraId="3F0E00F2">
      <w:pPr>
        <w:spacing w:line="440" w:lineRule="exact"/>
        <w:jc w:val="center"/>
        <w:rPr>
          <w:rFonts w:hint="eastAsia" w:ascii="宋体" w:hAnsi="宋体" w:eastAsia="宋体" w:cs="宋体"/>
          <w:b/>
          <w:sz w:val="36"/>
          <w:szCs w:val="36"/>
          <w:highlight w:val="none"/>
        </w:rPr>
      </w:pPr>
      <w:r>
        <w:rPr>
          <w:rFonts w:hint="eastAsia" w:ascii="宋体" w:hAnsi="宋体" w:eastAsia="宋体" w:cs="宋体"/>
          <w:szCs w:val="28"/>
          <w:highlight w:val="none"/>
        </w:rPr>
        <w:br w:type="page"/>
      </w:r>
    </w:p>
    <w:p w14:paraId="146CCB0A">
      <w:pPr>
        <w:spacing w:line="440" w:lineRule="exact"/>
        <w:jc w:val="center"/>
        <w:rPr>
          <w:rFonts w:hint="eastAsia" w:ascii="宋体" w:hAnsi="宋体" w:eastAsia="宋体" w:cs="宋体"/>
          <w:b/>
          <w:sz w:val="36"/>
          <w:szCs w:val="36"/>
          <w:highlight w:val="none"/>
        </w:rPr>
      </w:pPr>
    </w:p>
    <w:p w14:paraId="2EBD1FB2">
      <w:pPr>
        <w:ind w:right="-521" w:rightChars="-248"/>
        <w:jc w:val="center"/>
        <w:rPr>
          <w:rFonts w:hint="eastAsia" w:ascii="宋体" w:hAnsi="宋体" w:eastAsia="宋体" w:cs="宋体"/>
          <w:b/>
          <w:sz w:val="52"/>
          <w:szCs w:val="52"/>
          <w:highlight w:val="none"/>
        </w:rPr>
      </w:pPr>
      <w:bookmarkStart w:id="319" w:name="_Toc20856"/>
      <w:bookmarkStart w:id="320" w:name="_Toc5869"/>
      <w:bookmarkStart w:id="321" w:name="_Toc19026"/>
    </w:p>
    <w:bookmarkEnd w:id="319"/>
    <w:bookmarkEnd w:id="320"/>
    <w:bookmarkEnd w:id="321"/>
    <w:p w14:paraId="7B2B7346">
      <w:pPr>
        <w:ind w:right="-521" w:rightChars="-248"/>
        <w:jc w:val="center"/>
        <w:rPr>
          <w:rFonts w:hint="eastAsia" w:ascii="宋体" w:hAnsi="宋体" w:eastAsia="宋体" w:cs="宋体"/>
          <w:b/>
          <w:sz w:val="52"/>
          <w:szCs w:val="52"/>
          <w:highlight w:val="none"/>
        </w:rPr>
      </w:pPr>
      <w:bookmarkStart w:id="322" w:name="_Toc2971"/>
      <w:bookmarkStart w:id="323" w:name="_Toc3333"/>
      <w:bookmarkStart w:id="324" w:name="_Toc17180"/>
      <w:bookmarkStart w:id="325" w:name="_Toc7453"/>
      <w:r>
        <w:rPr>
          <w:rFonts w:hint="eastAsia" w:ascii="宋体" w:hAnsi="宋体" w:eastAsia="宋体" w:cs="宋体"/>
          <w:b/>
          <w:sz w:val="52"/>
          <w:szCs w:val="52"/>
          <w:highlight w:val="none"/>
        </w:rPr>
        <w:t>南通轨道交通城市消防远程监控中心设施设备采购项目</w:t>
      </w:r>
    </w:p>
    <w:p w14:paraId="6F883478">
      <w:pPr>
        <w:ind w:right="-521" w:rightChars="-248"/>
        <w:rPr>
          <w:rFonts w:hint="eastAsia" w:ascii="宋体" w:hAnsi="宋体" w:eastAsia="宋体" w:cs="宋体"/>
          <w:highlight w:val="none"/>
        </w:rPr>
      </w:pPr>
    </w:p>
    <w:p w14:paraId="704E5C3C">
      <w:pPr>
        <w:spacing w:line="440" w:lineRule="exact"/>
        <w:ind w:right="-521" w:rightChars="-248"/>
        <w:jc w:val="center"/>
        <w:outlineLvl w:val="0"/>
        <w:rPr>
          <w:rFonts w:hint="eastAsia" w:ascii="宋体" w:hAnsi="宋体" w:eastAsia="宋体" w:cs="宋体"/>
          <w:b/>
          <w:bCs/>
          <w:sz w:val="36"/>
          <w:szCs w:val="36"/>
          <w:highlight w:val="none"/>
        </w:rPr>
      </w:pPr>
      <w:bookmarkStart w:id="326" w:name="_Toc11256"/>
      <w:r>
        <w:rPr>
          <w:rFonts w:hint="eastAsia" w:ascii="宋体" w:hAnsi="宋体" w:eastAsia="宋体" w:cs="宋体"/>
          <w:b/>
          <w:bCs/>
          <w:sz w:val="36"/>
          <w:szCs w:val="36"/>
          <w:highlight w:val="none"/>
        </w:rPr>
        <w:t>（技术参选文件）</w:t>
      </w:r>
      <w:bookmarkEnd w:id="322"/>
      <w:bookmarkEnd w:id="323"/>
      <w:bookmarkEnd w:id="324"/>
      <w:bookmarkEnd w:id="325"/>
      <w:bookmarkEnd w:id="326"/>
    </w:p>
    <w:p w14:paraId="2DFDABFF">
      <w:pPr>
        <w:spacing w:line="440" w:lineRule="exact"/>
        <w:ind w:right="-521" w:rightChars="-248"/>
        <w:rPr>
          <w:rFonts w:hint="eastAsia" w:ascii="宋体" w:hAnsi="宋体" w:eastAsia="宋体" w:cs="宋体"/>
          <w:sz w:val="32"/>
          <w:highlight w:val="none"/>
        </w:rPr>
      </w:pPr>
    </w:p>
    <w:p w14:paraId="54845A15">
      <w:pPr>
        <w:spacing w:line="440" w:lineRule="exact"/>
        <w:ind w:right="-521" w:rightChars="-248"/>
        <w:rPr>
          <w:rFonts w:hint="eastAsia" w:ascii="宋体" w:hAnsi="宋体" w:eastAsia="宋体" w:cs="宋体"/>
          <w:sz w:val="32"/>
          <w:highlight w:val="none"/>
        </w:rPr>
      </w:pPr>
    </w:p>
    <w:p w14:paraId="5C2BDDE5">
      <w:pPr>
        <w:spacing w:line="440" w:lineRule="exact"/>
        <w:ind w:right="-521" w:rightChars="-248"/>
        <w:rPr>
          <w:rFonts w:hint="eastAsia" w:ascii="宋体" w:hAnsi="宋体" w:eastAsia="宋体" w:cs="宋体"/>
          <w:sz w:val="32"/>
          <w:highlight w:val="none"/>
        </w:rPr>
      </w:pPr>
    </w:p>
    <w:p w14:paraId="68798822">
      <w:pPr>
        <w:spacing w:line="440" w:lineRule="exact"/>
        <w:ind w:right="-521" w:rightChars="-248"/>
        <w:rPr>
          <w:rFonts w:hint="eastAsia" w:ascii="宋体" w:hAnsi="宋体" w:eastAsia="宋体" w:cs="宋体"/>
          <w:sz w:val="32"/>
          <w:highlight w:val="none"/>
        </w:rPr>
      </w:pPr>
    </w:p>
    <w:p w14:paraId="615AB8A9">
      <w:pPr>
        <w:spacing w:line="440" w:lineRule="exact"/>
        <w:ind w:right="-521" w:rightChars="-248"/>
        <w:rPr>
          <w:rFonts w:hint="eastAsia" w:ascii="宋体" w:hAnsi="宋体" w:eastAsia="宋体" w:cs="宋体"/>
          <w:sz w:val="32"/>
          <w:highlight w:val="none"/>
        </w:rPr>
      </w:pPr>
    </w:p>
    <w:p w14:paraId="517BD09F">
      <w:pPr>
        <w:spacing w:line="440" w:lineRule="exact"/>
        <w:ind w:right="-521" w:rightChars="-248"/>
        <w:rPr>
          <w:rFonts w:hint="eastAsia" w:ascii="宋体" w:hAnsi="宋体" w:eastAsia="宋体" w:cs="宋体"/>
          <w:sz w:val="32"/>
          <w:highlight w:val="none"/>
        </w:rPr>
      </w:pPr>
    </w:p>
    <w:p w14:paraId="5717780C">
      <w:pPr>
        <w:spacing w:line="440" w:lineRule="exact"/>
        <w:ind w:right="-521" w:rightChars="-248"/>
        <w:rPr>
          <w:rFonts w:hint="eastAsia" w:ascii="宋体" w:hAnsi="宋体" w:eastAsia="宋体" w:cs="宋体"/>
          <w:highlight w:val="none"/>
        </w:rPr>
      </w:pPr>
    </w:p>
    <w:p w14:paraId="7679AD8E">
      <w:pPr>
        <w:spacing w:line="440" w:lineRule="exact"/>
        <w:ind w:right="-521" w:rightChars="-248" w:firstLine="1687" w:firstLineChars="600"/>
        <w:rPr>
          <w:rFonts w:hint="eastAsia" w:ascii="宋体" w:hAnsi="宋体" w:eastAsia="宋体" w:cs="宋体"/>
          <w:b/>
          <w:sz w:val="28"/>
          <w:szCs w:val="28"/>
          <w:highlight w:val="none"/>
        </w:rPr>
      </w:pPr>
    </w:p>
    <w:p w14:paraId="046D0534">
      <w:pPr>
        <w:ind w:right="-521" w:rightChars="-248" w:firstLine="1585" w:firstLineChars="564"/>
        <w:rPr>
          <w:rFonts w:hint="eastAsia" w:ascii="宋体" w:hAnsi="宋体" w:eastAsia="宋体" w:cs="宋体"/>
          <w:b/>
          <w:bCs/>
          <w:sz w:val="28"/>
          <w:szCs w:val="28"/>
          <w:highlight w:val="none"/>
        </w:rPr>
      </w:pPr>
    </w:p>
    <w:p w14:paraId="0832E39B">
      <w:pPr>
        <w:ind w:right="-521" w:rightChars="-248" w:firstLine="1585" w:firstLineChars="564"/>
        <w:rPr>
          <w:rFonts w:hint="eastAsia" w:ascii="宋体" w:hAnsi="宋体" w:eastAsia="宋体" w:cs="宋体"/>
          <w:b/>
          <w:bCs/>
          <w:sz w:val="28"/>
          <w:szCs w:val="28"/>
          <w:highlight w:val="none"/>
        </w:rPr>
      </w:pPr>
    </w:p>
    <w:p w14:paraId="26181C78">
      <w:pPr>
        <w:ind w:right="-521" w:rightChars="-248" w:firstLine="1585" w:firstLineChars="564"/>
        <w:rPr>
          <w:rFonts w:hint="eastAsia" w:ascii="宋体" w:hAnsi="宋体" w:eastAsia="宋体" w:cs="宋体"/>
          <w:b/>
          <w:bCs/>
          <w:sz w:val="28"/>
          <w:szCs w:val="28"/>
          <w:highlight w:val="none"/>
        </w:rPr>
      </w:pPr>
    </w:p>
    <w:p w14:paraId="26B8B7F2">
      <w:pPr>
        <w:ind w:right="-521" w:rightChars="-248" w:firstLine="1585" w:firstLineChars="564"/>
        <w:rPr>
          <w:rFonts w:hint="eastAsia" w:ascii="宋体" w:hAnsi="宋体" w:eastAsia="宋体" w:cs="宋体"/>
          <w:b/>
          <w:bCs/>
          <w:sz w:val="28"/>
          <w:szCs w:val="28"/>
          <w:highlight w:val="none"/>
        </w:rPr>
      </w:pPr>
    </w:p>
    <w:p w14:paraId="423DAFDA">
      <w:pPr>
        <w:ind w:right="-521" w:rightChars="-248"/>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参  选  人：</w:t>
      </w:r>
      <w:r>
        <w:rPr>
          <w:rFonts w:hint="eastAsia" w:ascii="宋体" w:hAnsi="宋体" w:eastAsia="宋体" w:cs="宋体"/>
          <w:b/>
          <w:bCs/>
          <w:sz w:val="28"/>
          <w:szCs w:val="28"/>
          <w:highlight w:val="none"/>
          <w:u w:val="single"/>
        </w:rPr>
        <w:t xml:space="preserve">         （全称）（盖章）</w:t>
      </w:r>
    </w:p>
    <w:p w14:paraId="3BE2076C">
      <w:pPr>
        <w:ind w:right="-521" w:rightChars="-248"/>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法定代表人：</w:t>
      </w:r>
      <w:r>
        <w:rPr>
          <w:rFonts w:hint="eastAsia" w:ascii="宋体" w:hAnsi="宋体" w:eastAsia="宋体" w:cs="宋体"/>
          <w:b/>
          <w:bCs/>
          <w:sz w:val="28"/>
          <w:szCs w:val="28"/>
          <w:highlight w:val="none"/>
          <w:u w:val="single"/>
        </w:rPr>
        <w:t xml:space="preserve">           （签字或盖章）</w:t>
      </w:r>
    </w:p>
    <w:p w14:paraId="7D8CAF00">
      <w:pPr>
        <w:ind w:right="-521" w:rightChars="-248"/>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时      间：       年      月      日</w:t>
      </w:r>
    </w:p>
    <w:p w14:paraId="05A68B9E">
      <w:pPr>
        <w:spacing w:line="440" w:lineRule="exact"/>
        <w:ind w:right="-521" w:rightChars="-248" w:firstLine="1928" w:firstLineChars="600"/>
        <w:jc w:val="center"/>
        <w:rPr>
          <w:rFonts w:hint="eastAsia" w:ascii="宋体" w:hAnsi="宋体" w:eastAsia="宋体" w:cs="宋体"/>
          <w:b/>
          <w:bCs/>
          <w:sz w:val="32"/>
          <w:szCs w:val="32"/>
          <w:highlight w:val="none"/>
        </w:rPr>
        <w:sectPr>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docGrid w:type="lines" w:linePitch="325" w:charSpace="0"/>
        </w:sectPr>
      </w:pPr>
    </w:p>
    <w:p w14:paraId="4319258B">
      <w:pPr>
        <w:spacing w:line="440" w:lineRule="exact"/>
        <w:rPr>
          <w:rFonts w:hint="eastAsia" w:ascii="宋体" w:hAnsi="宋体" w:eastAsia="宋体" w:cs="宋体"/>
          <w:b/>
          <w:bCs/>
          <w:highlight w:val="none"/>
        </w:rPr>
      </w:pPr>
      <w:r>
        <w:rPr>
          <w:rFonts w:hint="eastAsia" w:ascii="宋体" w:hAnsi="宋体" w:eastAsia="宋体" w:cs="宋体"/>
          <w:highlight w:val="none"/>
        </w:rPr>
        <w:t>技术参选文件无规定排版格式，由参选人自拟，但相关制作要求按比选文件具体条款执行。</w:t>
      </w:r>
      <w:r>
        <w:rPr>
          <w:rFonts w:hint="eastAsia" w:ascii="宋体" w:hAnsi="宋体" w:eastAsia="宋体" w:cs="宋体"/>
          <w:b/>
          <w:bCs/>
          <w:highlight w:val="none"/>
        </w:rPr>
        <w:t>技术参选文件总页码（不包括封面、封底、目录）须控制在100页（含）内，双面打印。若不按此要求编制，评标委员会可在技术部分酌情扣分。</w:t>
      </w:r>
    </w:p>
    <w:p w14:paraId="4883B2B6">
      <w:pPr>
        <w:pStyle w:val="2"/>
        <w:spacing w:line="440" w:lineRule="exact"/>
        <w:rPr>
          <w:rFonts w:hint="eastAsia" w:ascii="宋体" w:hAnsi="宋体" w:eastAsia="宋体" w:cs="宋体"/>
          <w:highlight w:val="none"/>
        </w:rPr>
        <w:sectPr>
          <w:footerReference r:id="rId10"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docGrid w:type="lines" w:linePitch="325" w:charSpace="0"/>
        </w:sectPr>
      </w:pPr>
    </w:p>
    <w:p w14:paraId="55D41C4B">
      <w:pPr>
        <w:spacing w:line="440" w:lineRule="exact"/>
        <w:jc w:val="center"/>
        <w:rPr>
          <w:rFonts w:hint="eastAsia" w:ascii="宋体" w:hAnsi="宋体" w:eastAsia="宋体" w:cs="宋体"/>
          <w:b/>
          <w:sz w:val="36"/>
          <w:szCs w:val="36"/>
          <w:highlight w:val="none"/>
        </w:rPr>
      </w:pPr>
      <w:bookmarkStart w:id="327" w:name="_Toc4655"/>
      <w:bookmarkStart w:id="328" w:name="_Toc14204"/>
      <w:bookmarkStart w:id="329" w:name="_Toc8586"/>
      <w:bookmarkStart w:id="330" w:name="_Toc22240"/>
      <w:bookmarkStart w:id="331" w:name="_Toc13787"/>
      <w:bookmarkStart w:id="332" w:name="_Toc14282"/>
      <w:bookmarkStart w:id="333" w:name="_Toc1013"/>
      <w:bookmarkStart w:id="334" w:name="_Toc12471"/>
      <w:bookmarkStart w:id="335" w:name="_Toc3277"/>
      <w:bookmarkStart w:id="336" w:name="_Toc4072"/>
      <w:bookmarkStart w:id="337" w:name="_Toc25174"/>
      <w:bookmarkStart w:id="338" w:name="_Toc27313"/>
    </w:p>
    <w:p w14:paraId="358C7552">
      <w:pPr>
        <w:ind w:right="-521" w:rightChars="-248"/>
        <w:jc w:val="center"/>
        <w:rPr>
          <w:rFonts w:hint="eastAsia" w:ascii="宋体" w:hAnsi="宋体" w:eastAsia="宋体" w:cs="宋体"/>
          <w:b/>
          <w:sz w:val="52"/>
          <w:szCs w:val="52"/>
          <w:highlight w:val="none"/>
        </w:rPr>
      </w:pPr>
    </w:p>
    <w:bookmarkEnd w:id="327"/>
    <w:bookmarkEnd w:id="328"/>
    <w:bookmarkEnd w:id="329"/>
    <w:p w14:paraId="1F7857DF">
      <w:pPr>
        <w:ind w:right="-521" w:rightChars="-248"/>
        <w:jc w:val="center"/>
        <w:rPr>
          <w:rFonts w:hint="eastAsia" w:ascii="宋体" w:hAnsi="宋体" w:eastAsia="宋体" w:cs="宋体"/>
          <w:b/>
          <w:sz w:val="52"/>
          <w:szCs w:val="52"/>
          <w:highlight w:val="none"/>
        </w:rPr>
      </w:pPr>
      <w:bookmarkStart w:id="339" w:name="_Toc6017"/>
      <w:bookmarkStart w:id="340" w:name="_Toc18508"/>
      <w:bookmarkStart w:id="341" w:name="_Toc16886"/>
      <w:bookmarkStart w:id="342" w:name="_Toc23148"/>
      <w:r>
        <w:rPr>
          <w:rFonts w:hint="eastAsia" w:ascii="宋体" w:hAnsi="宋体" w:eastAsia="宋体" w:cs="宋体"/>
          <w:b/>
          <w:sz w:val="52"/>
          <w:szCs w:val="52"/>
          <w:highlight w:val="none"/>
        </w:rPr>
        <w:t>南通轨道交通城市消防远程监控中心设施设备采购项目</w:t>
      </w:r>
    </w:p>
    <w:p w14:paraId="0CF4E73F">
      <w:pPr>
        <w:ind w:right="-521" w:rightChars="-248"/>
        <w:rPr>
          <w:rFonts w:hint="eastAsia" w:ascii="宋体" w:hAnsi="宋体" w:eastAsia="宋体" w:cs="宋体"/>
          <w:highlight w:val="none"/>
        </w:rPr>
      </w:pPr>
    </w:p>
    <w:p w14:paraId="7CE68EB7">
      <w:pPr>
        <w:spacing w:line="440" w:lineRule="exact"/>
        <w:ind w:right="-521" w:rightChars="-248"/>
        <w:jc w:val="center"/>
        <w:outlineLvl w:val="0"/>
        <w:rPr>
          <w:rFonts w:hint="eastAsia" w:ascii="宋体" w:hAnsi="宋体" w:eastAsia="宋体" w:cs="宋体"/>
          <w:b/>
          <w:bCs/>
          <w:sz w:val="36"/>
          <w:szCs w:val="36"/>
          <w:highlight w:val="none"/>
        </w:rPr>
      </w:pPr>
      <w:bookmarkStart w:id="343" w:name="_Toc27645"/>
      <w:r>
        <w:rPr>
          <w:rFonts w:hint="eastAsia" w:ascii="宋体" w:hAnsi="宋体" w:eastAsia="宋体" w:cs="宋体"/>
          <w:b/>
          <w:bCs/>
          <w:sz w:val="36"/>
          <w:szCs w:val="36"/>
          <w:highlight w:val="none"/>
        </w:rPr>
        <w:t>（报价参选文件）</w:t>
      </w:r>
      <w:bookmarkEnd w:id="339"/>
      <w:bookmarkEnd w:id="340"/>
      <w:bookmarkEnd w:id="341"/>
      <w:bookmarkEnd w:id="342"/>
      <w:bookmarkEnd w:id="343"/>
    </w:p>
    <w:p w14:paraId="505C2631">
      <w:pPr>
        <w:spacing w:line="440" w:lineRule="exact"/>
        <w:ind w:right="-521" w:rightChars="-248"/>
        <w:rPr>
          <w:rFonts w:hint="eastAsia" w:ascii="宋体" w:hAnsi="宋体" w:eastAsia="宋体" w:cs="宋体"/>
          <w:sz w:val="32"/>
          <w:highlight w:val="none"/>
        </w:rPr>
      </w:pPr>
    </w:p>
    <w:p w14:paraId="2B22FFCA">
      <w:pPr>
        <w:spacing w:line="440" w:lineRule="exact"/>
        <w:ind w:right="-521" w:rightChars="-248"/>
        <w:rPr>
          <w:rFonts w:hint="eastAsia" w:ascii="宋体" w:hAnsi="宋体" w:eastAsia="宋体" w:cs="宋体"/>
          <w:sz w:val="32"/>
          <w:highlight w:val="none"/>
        </w:rPr>
      </w:pPr>
    </w:p>
    <w:p w14:paraId="31D50114">
      <w:pPr>
        <w:spacing w:line="440" w:lineRule="exact"/>
        <w:ind w:right="-521" w:rightChars="-248"/>
        <w:rPr>
          <w:rFonts w:hint="eastAsia" w:ascii="宋体" w:hAnsi="宋体" w:eastAsia="宋体" w:cs="宋体"/>
          <w:sz w:val="32"/>
          <w:highlight w:val="none"/>
        </w:rPr>
      </w:pPr>
    </w:p>
    <w:p w14:paraId="5BEF1948">
      <w:pPr>
        <w:spacing w:line="440" w:lineRule="exact"/>
        <w:ind w:right="-521" w:rightChars="-248"/>
        <w:rPr>
          <w:rFonts w:hint="eastAsia" w:ascii="宋体" w:hAnsi="宋体" w:eastAsia="宋体" w:cs="宋体"/>
          <w:sz w:val="32"/>
          <w:highlight w:val="none"/>
        </w:rPr>
      </w:pPr>
    </w:p>
    <w:p w14:paraId="3F4D3A10">
      <w:pPr>
        <w:spacing w:line="440" w:lineRule="exact"/>
        <w:ind w:right="-521" w:rightChars="-248"/>
        <w:rPr>
          <w:rFonts w:hint="eastAsia" w:ascii="宋体" w:hAnsi="宋体" w:eastAsia="宋体" w:cs="宋体"/>
          <w:sz w:val="32"/>
          <w:highlight w:val="none"/>
        </w:rPr>
      </w:pPr>
    </w:p>
    <w:p w14:paraId="46C6F76E">
      <w:pPr>
        <w:spacing w:line="440" w:lineRule="exact"/>
        <w:ind w:right="-521" w:rightChars="-248"/>
        <w:rPr>
          <w:rFonts w:hint="eastAsia" w:ascii="宋体" w:hAnsi="宋体" w:eastAsia="宋体" w:cs="宋体"/>
          <w:sz w:val="32"/>
          <w:highlight w:val="none"/>
        </w:rPr>
      </w:pPr>
    </w:p>
    <w:p w14:paraId="69EDC940">
      <w:pPr>
        <w:spacing w:line="440" w:lineRule="exact"/>
        <w:ind w:right="-521" w:rightChars="-248"/>
        <w:rPr>
          <w:rFonts w:hint="eastAsia" w:ascii="宋体" w:hAnsi="宋体" w:eastAsia="宋体" w:cs="宋体"/>
          <w:highlight w:val="none"/>
        </w:rPr>
      </w:pPr>
    </w:p>
    <w:p w14:paraId="17615D7F">
      <w:pPr>
        <w:spacing w:line="440" w:lineRule="exact"/>
        <w:ind w:right="-521" w:rightChars="-248" w:firstLine="1687" w:firstLineChars="600"/>
        <w:rPr>
          <w:rFonts w:hint="eastAsia" w:ascii="宋体" w:hAnsi="宋体" w:eastAsia="宋体" w:cs="宋体"/>
          <w:b/>
          <w:sz w:val="28"/>
          <w:szCs w:val="28"/>
          <w:highlight w:val="none"/>
        </w:rPr>
      </w:pPr>
    </w:p>
    <w:p w14:paraId="53789E11">
      <w:pPr>
        <w:ind w:right="-521" w:rightChars="-248" w:firstLine="1585" w:firstLineChars="564"/>
        <w:rPr>
          <w:rFonts w:hint="eastAsia" w:ascii="宋体" w:hAnsi="宋体" w:eastAsia="宋体" w:cs="宋体"/>
          <w:b/>
          <w:bCs/>
          <w:sz w:val="28"/>
          <w:szCs w:val="28"/>
          <w:highlight w:val="none"/>
        </w:rPr>
      </w:pPr>
      <w:bookmarkStart w:id="344" w:name="_Toc2344"/>
    </w:p>
    <w:p w14:paraId="40DFCF51">
      <w:pPr>
        <w:ind w:right="-521" w:rightChars="-248" w:firstLine="1585" w:firstLineChars="564"/>
        <w:rPr>
          <w:rFonts w:hint="eastAsia" w:ascii="宋体" w:hAnsi="宋体" w:eastAsia="宋体" w:cs="宋体"/>
          <w:b/>
          <w:bCs/>
          <w:sz w:val="28"/>
          <w:szCs w:val="28"/>
          <w:highlight w:val="none"/>
        </w:rPr>
      </w:pPr>
    </w:p>
    <w:p w14:paraId="02D64696">
      <w:pPr>
        <w:ind w:right="-521" w:rightChars="-248" w:firstLine="1585" w:firstLineChars="564"/>
        <w:rPr>
          <w:rFonts w:hint="eastAsia" w:ascii="宋体" w:hAnsi="宋体" w:eastAsia="宋体" w:cs="宋体"/>
          <w:b/>
          <w:bCs/>
          <w:sz w:val="28"/>
          <w:szCs w:val="28"/>
          <w:highlight w:val="none"/>
        </w:rPr>
      </w:pPr>
    </w:p>
    <w:p w14:paraId="1E8D31DD">
      <w:pPr>
        <w:ind w:right="-521" w:rightChars="-248" w:firstLine="1585" w:firstLineChars="564"/>
        <w:rPr>
          <w:rFonts w:hint="eastAsia" w:ascii="宋体" w:hAnsi="宋体" w:eastAsia="宋体" w:cs="宋体"/>
          <w:b/>
          <w:bCs/>
          <w:sz w:val="28"/>
          <w:szCs w:val="28"/>
          <w:highlight w:val="none"/>
          <w:u w:val="single"/>
        </w:rPr>
      </w:pPr>
    </w:p>
    <w:p w14:paraId="01A512D8">
      <w:pPr>
        <w:ind w:right="-521" w:rightChars="-248"/>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参  选  人：</w:t>
      </w:r>
      <w:r>
        <w:rPr>
          <w:rFonts w:hint="eastAsia" w:ascii="宋体" w:hAnsi="宋体" w:eastAsia="宋体" w:cs="宋体"/>
          <w:b/>
          <w:bCs/>
          <w:sz w:val="28"/>
          <w:szCs w:val="28"/>
          <w:highlight w:val="none"/>
          <w:u w:val="single"/>
        </w:rPr>
        <w:t xml:space="preserve">         （全称）（盖章）</w:t>
      </w:r>
    </w:p>
    <w:p w14:paraId="22E7A914">
      <w:pPr>
        <w:ind w:right="-521" w:rightChars="-248"/>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法定代表人：</w:t>
      </w:r>
      <w:r>
        <w:rPr>
          <w:rFonts w:hint="eastAsia" w:ascii="宋体" w:hAnsi="宋体" w:eastAsia="宋体" w:cs="宋体"/>
          <w:b/>
          <w:bCs/>
          <w:sz w:val="28"/>
          <w:szCs w:val="28"/>
          <w:highlight w:val="none"/>
          <w:u w:val="single"/>
        </w:rPr>
        <w:t xml:space="preserve">           （签字或盖章）</w:t>
      </w:r>
    </w:p>
    <w:p w14:paraId="1F077178">
      <w:pPr>
        <w:ind w:right="-521" w:rightChars="-248"/>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时      间：       年      月      日</w:t>
      </w:r>
    </w:p>
    <w:p w14:paraId="0073047E">
      <w:pPr>
        <w:spacing w:line="440" w:lineRule="exact"/>
        <w:ind w:right="-521" w:rightChars="-248" w:firstLine="1928" w:firstLineChars="600"/>
        <w:jc w:val="center"/>
        <w:rPr>
          <w:rFonts w:hint="eastAsia" w:ascii="宋体" w:hAnsi="宋体" w:eastAsia="宋体" w:cs="宋体"/>
          <w:b/>
          <w:bCs/>
          <w:sz w:val="32"/>
          <w:szCs w:val="32"/>
          <w:highlight w:val="none"/>
        </w:rPr>
        <w:sectPr>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docGrid w:type="lines" w:linePitch="325" w:charSpace="0"/>
        </w:sectPr>
      </w:pPr>
    </w:p>
    <w:p w14:paraId="5549F79F">
      <w:pPr>
        <w:pStyle w:val="2"/>
        <w:spacing w:before="0" w:after="0" w:line="440" w:lineRule="exact"/>
        <w:jc w:val="center"/>
        <w:rPr>
          <w:rFonts w:hint="eastAsia" w:ascii="宋体" w:hAnsi="宋体" w:eastAsia="宋体" w:cs="宋体"/>
          <w:highlight w:val="none"/>
        </w:rPr>
      </w:pPr>
      <w:bookmarkStart w:id="345" w:name="_Toc17620"/>
      <w:bookmarkStart w:id="346" w:name="_Toc32222"/>
      <w:bookmarkStart w:id="347" w:name="_Toc2384"/>
      <w:r>
        <w:rPr>
          <w:rFonts w:hint="eastAsia" w:ascii="宋体" w:hAnsi="宋体" w:eastAsia="宋体" w:cs="宋体"/>
          <w:highlight w:val="none"/>
          <w:lang w:val="en-US" w:eastAsia="zh-CN"/>
        </w:rPr>
        <w:t>一、</w:t>
      </w:r>
      <w:r>
        <w:rPr>
          <w:rFonts w:hint="eastAsia" w:ascii="宋体" w:hAnsi="宋体" w:eastAsia="宋体" w:cs="宋体"/>
          <w:highlight w:val="none"/>
        </w:rPr>
        <w:t>参选报价表</w:t>
      </w:r>
      <w:bookmarkEnd w:id="345"/>
    </w:p>
    <w:tbl>
      <w:tblPr>
        <w:tblStyle w:val="37"/>
        <w:tblW w:w="83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317"/>
        <w:gridCol w:w="3425"/>
        <w:gridCol w:w="1649"/>
      </w:tblGrid>
      <w:tr w14:paraId="6C7DBF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3317" w:type="dxa"/>
            <w:vAlign w:val="center"/>
          </w:tcPr>
          <w:p w14:paraId="7B9D7943">
            <w:pPr>
              <w:pStyle w:val="9"/>
              <w:spacing w:line="400" w:lineRule="exact"/>
              <w:ind w:left="0"/>
              <w:jc w:val="center"/>
              <w:rPr>
                <w:rFonts w:hint="eastAsia" w:ascii="宋体" w:hAnsi="宋体" w:eastAsia="宋体" w:cs="宋体"/>
                <w:b/>
                <w:kern w:val="2"/>
                <w:sz w:val="21"/>
                <w:szCs w:val="24"/>
                <w:highlight w:val="none"/>
              </w:rPr>
            </w:pPr>
            <w:r>
              <w:rPr>
                <w:rFonts w:hint="eastAsia" w:ascii="宋体" w:hAnsi="宋体" w:eastAsia="宋体" w:cs="宋体"/>
                <w:b/>
                <w:kern w:val="2"/>
                <w:sz w:val="21"/>
                <w:szCs w:val="24"/>
                <w:highlight w:val="none"/>
              </w:rPr>
              <w:t>项目</w:t>
            </w:r>
          </w:p>
        </w:tc>
        <w:tc>
          <w:tcPr>
            <w:tcW w:w="3425" w:type="dxa"/>
            <w:vAlign w:val="center"/>
          </w:tcPr>
          <w:p w14:paraId="313B2A19">
            <w:pPr>
              <w:pStyle w:val="9"/>
              <w:spacing w:line="400" w:lineRule="exact"/>
              <w:ind w:left="0"/>
              <w:jc w:val="center"/>
              <w:rPr>
                <w:rFonts w:hint="eastAsia" w:ascii="宋体" w:hAnsi="宋体" w:eastAsia="宋体" w:cs="宋体"/>
                <w:b/>
                <w:kern w:val="2"/>
                <w:sz w:val="21"/>
                <w:szCs w:val="24"/>
                <w:highlight w:val="none"/>
                <w:lang w:eastAsia="zh-CN"/>
              </w:rPr>
            </w:pPr>
            <w:r>
              <w:rPr>
                <w:rFonts w:hint="eastAsia" w:ascii="宋体" w:hAnsi="宋体" w:eastAsia="宋体" w:cs="宋体"/>
                <w:b/>
                <w:kern w:val="2"/>
                <w:sz w:val="21"/>
                <w:szCs w:val="24"/>
                <w:highlight w:val="none"/>
              </w:rPr>
              <w:t>报价</w:t>
            </w:r>
            <w:r>
              <w:rPr>
                <w:rFonts w:hint="eastAsia" w:ascii="宋体" w:hAnsi="宋体" w:eastAsia="宋体" w:cs="宋体"/>
                <w:b/>
                <w:kern w:val="2"/>
                <w:sz w:val="21"/>
                <w:szCs w:val="24"/>
                <w:highlight w:val="none"/>
                <w:lang w:eastAsia="zh-CN"/>
              </w:rPr>
              <w:t>（</w:t>
            </w:r>
            <w:r>
              <w:rPr>
                <w:rFonts w:hint="eastAsia" w:ascii="宋体" w:hAnsi="宋体" w:eastAsia="宋体" w:cs="宋体"/>
                <w:b/>
                <w:kern w:val="2"/>
                <w:sz w:val="21"/>
                <w:szCs w:val="24"/>
                <w:highlight w:val="none"/>
                <w:lang w:val="en-US" w:eastAsia="zh-CN"/>
              </w:rPr>
              <w:t>元</w:t>
            </w:r>
            <w:r>
              <w:rPr>
                <w:rFonts w:hint="eastAsia" w:ascii="宋体" w:hAnsi="宋体" w:eastAsia="宋体" w:cs="宋体"/>
                <w:b/>
                <w:kern w:val="2"/>
                <w:sz w:val="21"/>
                <w:szCs w:val="24"/>
                <w:highlight w:val="none"/>
                <w:lang w:eastAsia="zh-CN"/>
              </w:rPr>
              <w:t>）</w:t>
            </w:r>
          </w:p>
        </w:tc>
        <w:tc>
          <w:tcPr>
            <w:tcW w:w="1649" w:type="dxa"/>
            <w:vAlign w:val="center"/>
          </w:tcPr>
          <w:p w14:paraId="4EB84363">
            <w:pPr>
              <w:pStyle w:val="9"/>
              <w:spacing w:line="400" w:lineRule="exact"/>
              <w:ind w:left="0"/>
              <w:jc w:val="center"/>
              <w:rPr>
                <w:rFonts w:hint="eastAsia" w:ascii="宋体" w:hAnsi="宋体" w:eastAsia="宋体" w:cs="宋体"/>
                <w:b/>
                <w:kern w:val="2"/>
                <w:sz w:val="21"/>
                <w:szCs w:val="24"/>
                <w:highlight w:val="none"/>
              </w:rPr>
            </w:pPr>
            <w:r>
              <w:rPr>
                <w:rFonts w:hint="eastAsia" w:ascii="宋体" w:hAnsi="宋体" w:eastAsia="宋体" w:cs="宋体"/>
                <w:b/>
                <w:kern w:val="2"/>
                <w:sz w:val="21"/>
                <w:szCs w:val="24"/>
                <w:highlight w:val="none"/>
              </w:rPr>
              <w:t>备注</w:t>
            </w:r>
          </w:p>
        </w:tc>
      </w:tr>
      <w:tr w14:paraId="06DF37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3317" w:type="dxa"/>
            <w:vAlign w:val="center"/>
          </w:tcPr>
          <w:p w14:paraId="32D35240">
            <w:pPr>
              <w:pStyle w:val="9"/>
              <w:spacing w:line="44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含税</w:t>
            </w:r>
            <w:r>
              <w:rPr>
                <w:rFonts w:hint="eastAsia" w:ascii="宋体" w:hAnsi="宋体" w:eastAsia="宋体" w:cs="宋体"/>
                <w:bCs/>
                <w:kern w:val="2"/>
                <w:sz w:val="21"/>
                <w:szCs w:val="24"/>
                <w:lang w:val="en-US" w:eastAsia="zh-CN"/>
              </w:rPr>
              <w:t>参选</w:t>
            </w:r>
            <w:r>
              <w:rPr>
                <w:rFonts w:hint="eastAsia" w:ascii="宋体" w:hAnsi="宋体" w:eastAsia="宋体" w:cs="宋体"/>
                <w:bCs/>
                <w:kern w:val="2"/>
                <w:sz w:val="21"/>
                <w:szCs w:val="24"/>
              </w:rPr>
              <w:t>报价</w:t>
            </w:r>
          </w:p>
          <w:p w14:paraId="14FF5B5A">
            <w:pPr>
              <w:pStyle w:val="9"/>
              <w:spacing w:line="440" w:lineRule="exact"/>
              <w:ind w:left="0" w:leftChars="0"/>
              <w:jc w:val="center"/>
              <w:rPr>
                <w:rFonts w:hint="eastAsia" w:ascii="宋体" w:hAnsi="宋体" w:eastAsia="宋体" w:cs="宋体"/>
                <w:szCs w:val="21"/>
                <w:highlight w:val="none"/>
              </w:rPr>
            </w:pPr>
            <w:r>
              <w:rPr>
                <w:rFonts w:hint="eastAsia" w:ascii="宋体" w:hAnsi="宋体" w:eastAsia="宋体" w:cs="宋体"/>
                <w:bCs/>
                <w:kern w:val="2"/>
                <w:sz w:val="21"/>
                <w:szCs w:val="24"/>
              </w:rPr>
              <w:t>(人民币小写，精确到分)</w:t>
            </w:r>
          </w:p>
        </w:tc>
        <w:tc>
          <w:tcPr>
            <w:tcW w:w="3425" w:type="dxa"/>
            <w:vAlign w:val="center"/>
          </w:tcPr>
          <w:p w14:paraId="6AC84167">
            <w:pPr>
              <w:spacing w:line="400" w:lineRule="exact"/>
              <w:jc w:val="center"/>
              <w:rPr>
                <w:rFonts w:hint="eastAsia" w:ascii="宋体" w:hAnsi="宋体" w:eastAsia="宋体" w:cs="宋体"/>
                <w:bCs/>
                <w:highlight w:val="none"/>
              </w:rPr>
            </w:pPr>
          </w:p>
        </w:tc>
        <w:tc>
          <w:tcPr>
            <w:tcW w:w="1649" w:type="dxa"/>
            <w:vAlign w:val="center"/>
          </w:tcPr>
          <w:p w14:paraId="4E0FAD2B">
            <w:pPr>
              <w:spacing w:line="400" w:lineRule="exact"/>
              <w:rPr>
                <w:rFonts w:hint="eastAsia" w:ascii="宋体" w:hAnsi="宋体" w:eastAsia="宋体" w:cs="宋体"/>
                <w:szCs w:val="21"/>
                <w:highlight w:val="none"/>
              </w:rPr>
            </w:pPr>
          </w:p>
        </w:tc>
      </w:tr>
      <w:tr w14:paraId="6A0B3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3317" w:type="dxa"/>
            <w:vAlign w:val="center"/>
          </w:tcPr>
          <w:p w14:paraId="1510D034">
            <w:pPr>
              <w:pStyle w:val="9"/>
              <w:spacing w:line="44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含税</w:t>
            </w:r>
            <w:r>
              <w:rPr>
                <w:rFonts w:hint="eastAsia" w:ascii="宋体" w:hAnsi="宋体" w:eastAsia="宋体" w:cs="宋体"/>
                <w:bCs/>
                <w:kern w:val="2"/>
                <w:sz w:val="21"/>
                <w:szCs w:val="24"/>
                <w:lang w:val="en-US" w:eastAsia="zh-CN"/>
              </w:rPr>
              <w:t>参选</w:t>
            </w:r>
            <w:r>
              <w:rPr>
                <w:rFonts w:hint="eastAsia" w:ascii="宋体" w:hAnsi="宋体" w:eastAsia="宋体" w:cs="宋体"/>
                <w:bCs/>
                <w:kern w:val="2"/>
                <w:sz w:val="21"/>
                <w:szCs w:val="24"/>
              </w:rPr>
              <w:t>报价</w:t>
            </w:r>
          </w:p>
          <w:p w14:paraId="1B8EA1D8">
            <w:pPr>
              <w:pStyle w:val="9"/>
              <w:spacing w:line="440" w:lineRule="exact"/>
              <w:ind w:left="0" w:leftChars="0"/>
              <w:jc w:val="center"/>
              <w:rPr>
                <w:rFonts w:hint="eastAsia" w:ascii="宋体" w:hAnsi="宋体" w:eastAsia="宋体" w:cs="宋体"/>
                <w:szCs w:val="21"/>
                <w:highlight w:val="none"/>
              </w:rPr>
            </w:pPr>
            <w:r>
              <w:rPr>
                <w:rFonts w:hint="eastAsia" w:ascii="宋体" w:hAnsi="宋体" w:eastAsia="宋体" w:cs="宋体"/>
                <w:bCs/>
                <w:kern w:val="2"/>
                <w:sz w:val="21"/>
                <w:szCs w:val="24"/>
              </w:rPr>
              <w:t>(人民币大写，精确到分)</w:t>
            </w:r>
          </w:p>
        </w:tc>
        <w:tc>
          <w:tcPr>
            <w:tcW w:w="3425" w:type="dxa"/>
            <w:vAlign w:val="center"/>
          </w:tcPr>
          <w:p w14:paraId="72CD274C">
            <w:pPr>
              <w:spacing w:line="400" w:lineRule="exact"/>
              <w:jc w:val="center"/>
              <w:rPr>
                <w:rFonts w:hint="eastAsia" w:ascii="宋体" w:hAnsi="宋体" w:eastAsia="宋体" w:cs="宋体"/>
                <w:bCs/>
                <w:highlight w:val="none"/>
              </w:rPr>
            </w:pPr>
          </w:p>
        </w:tc>
        <w:tc>
          <w:tcPr>
            <w:tcW w:w="1649" w:type="dxa"/>
            <w:vAlign w:val="center"/>
          </w:tcPr>
          <w:p w14:paraId="2666C6BD">
            <w:pPr>
              <w:spacing w:line="400" w:lineRule="exact"/>
              <w:rPr>
                <w:rFonts w:hint="eastAsia" w:ascii="宋体" w:hAnsi="宋体" w:eastAsia="宋体" w:cs="宋体"/>
                <w:szCs w:val="21"/>
                <w:highlight w:val="none"/>
              </w:rPr>
            </w:pPr>
          </w:p>
        </w:tc>
      </w:tr>
      <w:tr w14:paraId="4F7DD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3317" w:type="dxa"/>
            <w:vAlign w:val="center"/>
          </w:tcPr>
          <w:p w14:paraId="5C5CC52B">
            <w:pPr>
              <w:pStyle w:val="9"/>
              <w:spacing w:line="440" w:lineRule="exact"/>
              <w:ind w:left="0" w:leftChars="0"/>
              <w:jc w:val="center"/>
              <w:rPr>
                <w:rFonts w:hint="eastAsia" w:ascii="宋体" w:hAnsi="宋体" w:eastAsia="宋体" w:cs="宋体"/>
                <w:szCs w:val="21"/>
                <w:highlight w:val="none"/>
              </w:rPr>
            </w:pPr>
            <w:r>
              <w:rPr>
                <w:rFonts w:hint="eastAsia" w:ascii="宋体" w:hAnsi="宋体" w:eastAsia="宋体" w:cs="宋体"/>
                <w:bCs/>
                <w:kern w:val="2"/>
                <w:sz w:val="21"/>
                <w:szCs w:val="24"/>
              </w:rPr>
              <w:t>税率（%）</w:t>
            </w:r>
          </w:p>
        </w:tc>
        <w:tc>
          <w:tcPr>
            <w:tcW w:w="3425" w:type="dxa"/>
            <w:vAlign w:val="center"/>
          </w:tcPr>
          <w:p w14:paraId="1F4D4802">
            <w:pPr>
              <w:spacing w:line="400" w:lineRule="exact"/>
              <w:jc w:val="center"/>
              <w:rPr>
                <w:rFonts w:hint="eastAsia" w:ascii="宋体" w:hAnsi="宋体" w:eastAsia="宋体" w:cs="宋体"/>
                <w:bCs/>
                <w:highlight w:val="none"/>
              </w:rPr>
            </w:pPr>
          </w:p>
        </w:tc>
        <w:tc>
          <w:tcPr>
            <w:tcW w:w="1649" w:type="dxa"/>
            <w:vAlign w:val="center"/>
          </w:tcPr>
          <w:p w14:paraId="6FCD27BA">
            <w:pPr>
              <w:spacing w:line="400" w:lineRule="exact"/>
              <w:rPr>
                <w:rFonts w:hint="eastAsia" w:ascii="宋体" w:hAnsi="宋体" w:eastAsia="宋体" w:cs="宋体"/>
                <w:szCs w:val="21"/>
                <w:highlight w:val="none"/>
              </w:rPr>
            </w:pPr>
          </w:p>
        </w:tc>
      </w:tr>
    </w:tbl>
    <w:p w14:paraId="6FC628A2">
      <w:pPr>
        <w:tabs>
          <w:tab w:val="left" w:pos="5362"/>
        </w:tabs>
        <w:spacing w:line="440" w:lineRule="exact"/>
        <w:ind w:left="658" w:hanging="658" w:hangingChars="312"/>
        <w:rPr>
          <w:rFonts w:hint="eastAsia" w:ascii="宋体" w:hAnsi="宋体" w:eastAsia="宋体" w:cs="宋体"/>
          <w:b/>
          <w:bCs/>
          <w:highlight w:val="none"/>
        </w:rPr>
      </w:pPr>
      <w:r>
        <w:rPr>
          <w:rFonts w:hint="eastAsia" w:ascii="宋体" w:hAnsi="宋体" w:eastAsia="宋体" w:cs="宋体"/>
          <w:b/>
          <w:bCs/>
          <w:highlight w:val="none"/>
        </w:rPr>
        <w:t>注：1.本表包括了参选人的全部工作内容及其费用；</w:t>
      </w:r>
    </w:p>
    <w:p w14:paraId="268FC4A6">
      <w:pPr>
        <w:numPr>
          <w:ilvl w:val="0"/>
          <w:numId w:val="11"/>
        </w:numPr>
        <w:spacing w:line="440" w:lineRule="exact"/>
        <w:ind w:firstLine="441"/>
        <w:rPr>
          <w:rFonts w:hint="eastAsia" w:ascii="宋体" w:hAnsi="宋体" w:eastAsia="宋体" w:cs="宋体"/>
          <w:b/>
          <w:bCs/>
          <w:highlight w:val="none"/>
        </w:rPr>
      </w:pPr>
      <w:r>
        <w:rPr>
          <w:rFonts w:hint="eastAsia" w:ascii="宋体" w:hAnsi="宋体" w:eastAsia="宋体" w:cs="宋体"/>
          <w:b/>
          <w:bCs/>
          <w:highlight w:val="none"/>
          <w:u w:val="single"/>
        </w:rPr>
        <w:t>报价不得高于比选控制价</w:t>
      </w:r>
      <w:r>
        <w:rPr>
          <w:rFonts w:hint="eastAsia" w:ascii="宋体" w:hAnsi="宋体" w:eastAsia="宋体" w:cs="宋体"/>
          <w:b/>
          <w:bCs/>
          <w:highlight w:val="none"/>
        </w:rPr>
        <w:t>，否则参选文件按废标处理。</w:t>
      </w:r>
    </w:p>
    <w:p w14:paraId="59041947">
      <w:pPr>
        <w:spacing w:line="440" w:lineRule="exact"/>
        <w:rPr>
          <w:rFonts w:hint="eastAsia" w:ascii="宋体" w:hAnsi="宋体" w:eastAsia="宋体" w:cs="宋体"/>
          <w:highlight w:val="none"/>
        </w:rPr>
      </w:pPr>
      <w:r>
        <w:rPr>
          <w:rFonts w:hint="eastAsia" w:ascii="宋体" w:hAnsi="宋体" w:eastAsia="宋体" w:cs="宋体"/>
          <w:highlight w:val="none"/>
        </w:rPr>
        <w:t xml:space="preserve">   </w:t>
      </w:r>
    </w:p>
    <w:p w14:paraId="74FE5DA4">
      <w:pPr>
        <w:spacing w:line="440" w:lineRule="exact"/>
        <w:rPr>
          <w:rFonts w:hint="eastAsia" w:ascii="宋体" w:hAnsi="宋体" w:eastAsia="宋体" w:cs="宋体"/>
          <w:highlight w:val="none"/>
        </w:rPr>
      </w:pPr>
    </w:p>
    <w:p w14:paraId="77405A86">
      <w:pPr>
        <w:spacing w:line="440" w:lineRule="exact"/>
        <w:ind w:firstLine="403" w:firstLineChars="192"/>
        <w:jc w:val="right"/>
        <w:rPr>
          <w:rFonts w:hint="eastAsia" w:ascii="宋体" w:hAnsi="宋体" w:eastAsia="宋体" w:cs="宋体"/>
          <w:highlight w:val="none"/>
          <w:u w:val="single"/>
        </w:rPr>
      </w:pPr>
      <w:r>
        <w:rPr>
          <w:rFonts w:hint="eastAsia" w:ascii="宋体" w:hAnsi="宋体" w:eastAsia="宋体" w:cs="宋体"/>
          <w:highlight w:val="none"/>
        </w:rPr>
        <w:t xml:space="preserve">    参选人：</w:t>
      </w:r>
      <w:r>
        <w:rPr>
          <w:rFonts w:hint="eastAsia" w:ascii="宋体" w:hAnsi="宋体" w:eastAsia="宋体" w:cs="宋体"/>
          <w:highlight w:val="none"/>
          <w:u w:val="single"/>
        </w:rPr>
        <w:t xml:space="preserve">                      （盖章） </w:t>
      </w:r>
    </w:p>
    <w:p w14:paraId="4460AADD">
      <w:pPr>
        <w:spacing w:line="440" w:lineRule="exact"/>
        <w:ind w:firstLine="403" w:firstLineChars="192"/>
        <w:jc w:val="right"/>
        <w:rPr>
          <w:rFonts w:hint="eastAsia" w:ascii="宋体" w:hAnsi="宋体" w:eastAsia="宋体" w:cs="宋体"/>
          <w:highlight w:val="none"/>
        </w:rPr>
      </w:pPr>
      <w:r>
        <w:rPr>
          <w:rFonts w:hint="eastAsia" w:ascii="宋体" w:hAnsi="宋体" w:eastAsia="宋体" w:cs="宋体"/>
          <w:highlight w:val="none"/>
        </w:rPr>
        <w:t>法定代表人或委托代理人：</w:t>
      </w:r>
      <w:r>
        <w:rPr>
          <w:rFonts w:hint="eastAsia" w:ascii="宋体" w:hAnsi="宋体" w:eastAsia="宋体" w:cs="宋体"/>
          <w:highlight w:val="none"/>
          <w:u w:val="single"/>
        </w:rPr>
        <w:t>（签字或盖章）</w:t>
      </w:r>
    </w:p>
    <w:p w14:paraId="3691E878">
      <w:pPr>
        <w:spacing w:line="440" w:lineRule="exact"/>
        <w:ind w:firstLine="420" w:firstLineChars="200"/>
        <w:jc w:val="right"/>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bookmarkEnd w:id="330"/>
      <w:bookmarkEnd w:id="331"/>
      <w:bookmarkEnd w:id="332"/>
      <w:bookmarkEnd w:id="333"/>
      <w:bookmarkEnd w:id="334"/>
      <w:bookmarkEnd w:id="335"/>
      <w:bookmarkEnd w:id="336"/>
      <w:bookmarkEnd w:id="337"/>
      <w:bookmarkEnd w:id="338"/>
      <w:bookmarkEnd w:id="344"/>
      <w:bookmarkEnd w:id="346"/>
      <w:bookmarkEnd w:id="347"/>
    </w:p>
    <w:p w14:paraId="184826F5">
      <w:pPr>
        <w:rPr>
          <w:rFonts w:hint="eastAsia" w:ascii="宋体" w:hAnsi="宋体" w:eastAsia="宋体" w:cs="宋体"/>
          <w:highlight w:val="none"/>
        </w:rPr>
      </w:pPr>
      <w:r>
        <w:rPr>
          <w:rFonts w:hint="eastAsia" w:ascii="宋体" w:hAnsi="宋体" w:eastAsia="宋体" w:cs="宋体"/>
          <w:highlight w:val="none"/>
        </w:rPr>
        <w:br w:type="page"/>
      </w:r>
    </w:p>
    <w:p w14:paraId="5A247D0F">
      <w:pPr>
        <w:pStyle w:val="2"/>
        <w:spacing w:before="0" w:after="0" w:line="440" w:lineRule="exact"/>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二、分项报价表</w:t>
      </w:r>
    </w:p>
    <w:tbl>
      <w:tblPr>
        <w:tblStyle w:val="3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32" w:type="dxa"/>
          <w:left w:w="64" w:type="dxa"/>
          <w:bottom w:w="32" w:type="dxa"/>
          <w:right w:w="64" w:type="dxa"/>
        </w:tblCellMar>
      </w:tblPr>
      <w:tblGrid>
        <w:gridCol w:w="657"/>
        <w:gridCol w:w="2774"/>
        <w:gridCol w:w="971"/>
        <w:gridCol w:w="885"/>
        <w:gridCol w:w="1047"/>
        <w:gridCol w:w="1045"/>
        <w:gridCol w:w="1045"/>
      </w:tblGrid>
      <w:tr w14:paraId="625BE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2" w:hRule="atLeast"/>
          <w:tblHeader/>
          <w:jc w:val="center"/>
        </w:trPr>
        <w:tc>
          <w:tcPr>
            <w:tcW w:w="390" w:type="pct"/>
            <w:tcBorders>
              <w:tl2br w:val="nil"/>
              <w:tr2bl w:val="nil"/>
            </w:tcBorders>
            <w:vAlign w:val="center"/>
          </w:tcPr>
          <w:p w14:paraId="4FF999CC">
            <w:pPr>
              <w:keepNext/>
              <w:widowControl/>
              <w:adjustRightInd/>
              <w:snapToGrid w:val="0"/>
              <w:ind w:leftChars="0" w:right="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cs="宋体"/>
                <w:b/>
                <w:bCs/>
                <w:i w:val="0"/>
                <w:iCs w:val="0"/>
                <w:color w:val="auto"/>
                <w:kern w:val="0"/>
                <w:sz w:val="21"/>
                <w:szCs w:val="21"/>
                <w:highlight w:val="none"/>
                <w:u w:val="none"/>
                <w:lang w:val="en-US" w:eastAsia="zh-CN"/>
              </w:rPr>
              <w:t>序号</w:t>
            </w:r>
          </w:p>
        </w:tc>
        <w:tc>
          <w:tcPr>
            <w:tcW w:w="1646" w:type="pct"/>
            <w:tcBorders>
              <w:tl2br w:val="nil"/>
              <w:tr2bl w:val="nil"/>
            </w:tcBorders>
            <w:vAlign w:val="center"/>
          </w:tcPr>
          <w:p w14:paraId="755D69F3">
            <w:pPr>
              <w:keepNext/>
              <w:widowControl/>
              <w:adjustRightInd/>
              <w:snapToGrid w:val="0"/>
              <w:ind w:leftChars="0" w:right="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cs="宋体"/>
                <w:b/>
                <w:bCs/>
                <w:i w:val="0"/>
                <w:iCs w:val="0"/>
                <w:color w:val="auto"/>
                <w:kern w:val="0"/>
                <w:sz w:val="21"/>
                <w:szCs w:val="21"/>
                <w:highlight w:val="none"/>
                <w:u w:val="none"/>
                <w:lang w:val="en-US" w:eastAsia="zh-CN"/>
              </w:rPr>
              <w:t>内容</w:t>
            </w:r>
          </w:p>
        </w:tc>
        <w:tc>
          <w:tcPr>
            <w:tcW w:w="576" w:type="pct"/>
            <w:tcBorders>
              <w:tl2br w:val="nil"/>
              <w:tr2bl w:val="nil"/>
            </w:tcBorders>
            <w:vAlign w:val="center"/>
          </w:tcPr>
          <w:p w14:paraId="517FF19C">
            <w:pPr>
              <w:keepNext/>
              <w:widowControl/>
              <w:adjustRightInd/>
              <w:snapToGrid w:val="0"/>
              <w:ind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rPr>
              <w:t>数量</w:t>
            </w:r>
          </w:p>
        </w:tc>
        <w:tc>
          <w:tcPr>
            <w:tcW w:w="525" w:type="pct"/>
            <w:tcBorders>
              <w:tl2br w:val="nil"/>
              <w:tr2bl w:val="nil"/>
            </w:tcBorders>
            <w:vAlign w:val="center"/>
          </w:tcPr>
          <w:p w14:paraId="5B95DF24">
            <w:pPr>
              <w:keepNext/>
              <w:widowControl/>
              <w:adjustRightInd/>
              <w:snapToGrid w:val="0"/>
              <w:ind w:leftChars="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rPr>
              <w:t>单位</w:t>
            </w:r>
          </w:p>
        </w:tc>
        <w:tc>
          <w:tcPr>
            <w:tcW w:w="620" w:type="pct"/>
            <w:tcBorders>
              <w:tl2br w:val="nil"/>
              <w:tr2bl w:val="nil"/>
            </w:tcBorders>
            <w:vAlign w:val="center"/>
          </w:tcPr>
          <w:p w14:paraId="66AB7B78">
            <w:pPr>
              <w:keepNext/>
              <w:widowControl/>
              <w:adjustRightInd/>
              <w:snapToGrid w:val="0"/>
              <w:ind w:leftChars="0" w:right="0"/>
              <w:jc w:val="center"/>
              <w:textAlignment w:val="center"/>
              <w:rPr>
                <w:rFonts w:hint="default" w:ascii="宋体" w:hAnsi="宋体" w:cs="宋体"/>
                <w:b/>
                <w:bCs/>
                <w:i w:val="0"/>
                <w:iCs w:val="0"/>
                <w:color w:val="auto"/>
                <w:kern w:val="0"/>
                <w:sz w:val="21"/>
                <w:szCs w:val="21"/>
                <w:highlight w:val="none"/>
                <w:u w:val="none"/>
                <w:lang w:val="en-US" w:eastAsia="zh-CN"/>
              </w:rPr>
            </w:pPr>
            <w:r>
              <w:rPr>
                <w:rFonts w:hint="eastAsia" w:ascii="宋体" w:hAnsi="宋体" w:cs="宋体"/>
                <w:b/>
                <w:bCs/>
                <w:i w:val="0"/>
                <w:iCs w:val="0"/>
                <w:color w:val="auto"/>
                <w:kern w:val="0"/>
                <w:sz w:val="21"/>
                <w:szCs w:val="21"/>
                <w:highlight w:val="none"/>
                <w:u w:val="none"/>
                <w:lang w:val="en-US" w:eastAsia="zh-CN"/>
              </w:rPr>
              <w:t>含税单价（元）</w:t>
            </w:r>
          </w:p>
        </w:tc>
        <w:tc>
          <w:tcPr>
            <w:tcW w:w="620" w:type="pct"/>
            <w:tcBorders>
              <w:tl2br w:val="nil"/>
              <w:tr2bl w:val="nil"/>
            </w:tcBorders>
            <w:vAlign w:val="center"/>
          </w:tcPr>
          <w:p w14:paraId="448139B4">
            <w:pPr>
              <w:keepNext/>
              <w:widowControl/>
              <w:adjustRightInd/>
              <w:snapToGrid w:val="0"/>
              <w:ind w:leftChars="0" w:right="0"/>
              <w:jc w:val="center"/>
              <w:textAlignment w:val="center"/>
              <w:rPr>
                <w:rFonts w:hint="default" w:ascii="宋体" w:hAnsi="宋体" w:cs="宋体"/>
                <w:b/>
                <w:bCs/>
                <w:i w:val="0"/>
                <w:iCs w:val="0"/>
                <w:color w:val="auto"/>
                <w:kern w:val="0"/>
                <w:sz w:val="21"/>
                <w:szCs w:val="21"/>
                <w:highlight w:val="none"/>
                <w:u w:val="none"/>
                <w:lang w:val="en-US" w:eastAsia="zh-CN"/>
              </w:rPr>
            </w:pPr>
            <w:r>
              <w:rPr>
                <w:rFonts w:hint="eastAsia" w:ascii="宋体" w:hAnsi="宋体" w:cs="宋体"/>
                <w:b/>
                <w:bCs/>
                <w:i w:val="0"/>
                <w:iCs w:val="0"/>
                <w:color w:val="auto"/>
                <w:kern w:val="0"/>
                <w:sz w:val="21"/>
                <w:szCs w:val="21"/>
                <w:highlight w:val="none"/>
                <w:u w:val="none"/>
                <w:lang w:val="en-US" w:eastAsia="zh-CN"/>
              </w:rPr>
              <w:t>小计（元）</w:t>
            </w:r>
          </w:p>
        </w:tc>
        <w:tc>
          <w:tcPr>
            <w:tcW w:w="620" w:type="pct"/>
            <w:tcBorders>
              <w:tl2br w:val="nil"/>
              <w:tr2bl w:val="nil"/>
            </w:tcBorders>
            <w:vAlign w:val="center"/>
          </w:tcPr>
          <w:p w14:paraId="32D9C77C">
            <w:pPr>
              <w:keepNext/>
              <w:widowControl/>
              <w:adjustRightInd/>
              <w:snapToGrid w:val="0"/>
              <w:ind w:leftChars="0" w:right="0"/>
              <w:jc w:val="center"/>
              <w:textAlignment w:val="center"/>
              <w:rPr>
                <w:rFonts w:hint="default" w:ascii="宋体" w:hAnsi="宋体" w:cs="宋体"/>
                <w:b/>
                <w:bCs/>
                <w:i w:val="0"/>
                <w:iCs w:val="0"/>
                <w:color w:val="auto"/>
                <w:kern w:val="0"/>
                <w:sz w:val="21"/>
                <w:szCs w:val="21"/>
                <w:highlight w:val="none"/>
                <w:u w:val="none"/>
                <w:lang w:val="en-US" w:eastAsia="zh-CN"/>
              </w:rPr>
            </w:pPr>
            <w:r>
              <w:rPr>
                <w:rFonts w:hint="eastAsia" w:ascii="宋体" w:hAnsi="宋体" w:cs="宋体"/>
                <w:b/>
                <w:bCs/>
                <w:i w:val="0"/>
                <w:iCs w:val="0"/>
                <w:color w:val="auto"/>
                <w:kern w:val="0"/>
                <w:sz w:val="21"/>
                <w:szCs w:val="21"/>
                <w:highlight w:val="none"/>
                <w:u w:val="none"/>
                <w:lang w:val="en-US" w:eastAsia="zh-CN"/>
              </w:rPr>
              <w:t>税率（%）</w:t>
            </w:r>
          </w:p>
        </w:tc>
      </w:tr>
      <w:tr w14:paraId="53839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2EE3D01C">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1646" w:type="pct"/>
            <w:tcBorders>
              <w:tl2br w:val="nil"/>
              <w:tr2bl w:val="nil"/>
            </w:tcBorders>
            <w:vAlign w:val="center"/>
          </w:tcPr>
          <w:p w14:paraId="2081331C">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P1.8全彩显示屏体</w:t>
            </w:r>
          </w:p>
        </w:tc>
        <w:tc>
          <w:tcPr>
            <w:tcW w:w="576" w:type="pct"/>
            <w:tcBorders>
              <w:tl2br w:val="nil"/>
              <w:tr2bl w:val="nil"/>
            </w:tcBorders>
            <w:vAlign w:val="center"/>
          </w:tcPr>
          <w:p w14:paraId="04D365BD">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17.92</w:t>
            </w:r>
          </w:p>
        </w:tc>
        <w:tc>
          <w:tcPr>
            <w:tcW w:w="525" w:type="pct"/>
            <w:tcBorders>
              <w:tl2br w:val="nil"/>
              <w:tr2bl w:val="nil"/>
            </w:tcBorders>
            <w:vAlign w:val="center"/>
          </w:tcPr>
          <w:p w14:paraId="3797153C">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平米</w:t>
            </w:r>
          </w:p>
        </w:tc>
        <w:tc>
          <w:tcPr>
            <w:tcW w:w="620" w:type="pct"/>
            <w:tcBorders>
              <w:tl2br w:val="nil"/>
              <w:tr2bl w:val="nil"/>
            </w:tcBorders>
            <w:vAlign w:val="center"/>
          </w:tcPr>
          <w:p w14:paraId="6546BF0D">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3DC1D935">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46BF09F8">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7505FB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61275D88">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2</w:t>
            </w:r>
          </w:p>
        </w:tc>
        <w:tc>
          <w:tcPr>
            <w:tcW w:w="1646" w:type="pct"/>
            <w:tcBorders>
              <w:tl2br w:val="nil"/>
              <w:tr2bl w:val="nil"/>
            </w:tcBorders>
            <w:vAlign w:val="center"/>
          </w:tcPr>
          <w:p w14:paraId="58990F31">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视频控制器</w:t>
            </w:r>
          </w:p>
        </w:tc>
        <w:tc>
          <w:tcPr>
            <w:tcW w:w="576" w:type="pct"/>
            <w:tcBorders>
              <w:tl2br w:val="nil"/>
              <w:tr2bl w:val="nil"/>
            </w:tcBorders>
            <w:vAlign w:val="center"/>
          </w:tcPr>
          <w:p w14:paraId="7F1CA515">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525" w:type="pct"/>
            <w:tcBorders>
              <w:tl2br w:val="nil"/>
              <w:tr2bl w:val="nil"/>
            </w:tcBorders>
            <w:vAlign w:val="center"/>
          </w:tcPr>
          <w:p w14:paraId="29C3AB66">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620" w:type="pct"/>
            <w:tcBorders>
              <w:tl2br w:val="nil"/>
              <w:tr2bl w:val="nil"/>
            </w:tcBorders>
            <w:vAlign w:val="center"/>
          </w:tcPr>
          <w:p w14:paraId="09D5C300">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7F63DD8B">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03BF31BC">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5F551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34430CE0">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p>
        </w:tc>
        <w:tc>
          <w:tcPr>
            <w:tcW w:w="1646" w:type="pct"/>
            <w:tcBorders>
              <w:tl2br w:val="nil"/>
              <w:tr2bl w:val="nil"/>
            </w:tcBorders>
            <w:vAlign w:val="center"/>
          </w:tcPr>
          <w:p w14:paraId="6113A0B1">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10寸全频扬声器</w:t>
            </w:r>
          </w:p>
        </w:tc>
        <w:tc>
          <w:tcPr>
            <w:tcW w:w="576" w:type="pct"/>
            <w:tcBorders>
              <w:tl2br w:val="nil"/>
              <w:tr2bl w:val="nil"/>
            </w:tcBorders>
            <w:vAlign w:val="center"/>
          </w:tcPr>
          <w:p w14:paraId="10E1674F">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525" w:type="pct"/>
            <w:tcBorders>
              <w:tl2br w:val="nil"/>
              <w:tr2bl w:val="nil"/>
            </w:tcBorders>
            <w:vAlign w:val="center"/>
          </w:tcPr>
          <w:p w14:paraId="725BFE90">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只</w:t>
            </w:r>
          </w:p>
        </w:tc>
        <w:tc>
          <w:tcPr>
            <w:tcW w:w="620" w:type="pct"/>
            <w:tcBorders>
              <w:tl2br w:val="nil"/>
              <w:tr2bl w:val="nil"/>
            </w:tcBorders>
            <w:vAlign w:val="center"/>
          </w:tcPr>
          <w:p w14:paraId="53051174">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5256E6F2">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08FA5C01">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506757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57B56A18">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1646" w:type="pct"/>
            <w:tcBorders>
              <w:tl2br w:val="nil"/>
              <w:tr2bl w:val="nil"/>
            </w:tcBorders>
            <w:vAlign w:val="center"/>
          </w:tcPr>
          <w:p w14:paraId="5B151445">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功率放大器</w:t>
            </w:r>
          </w:p>
        </w:tc>
        <w:tc>
          <w:tcPr>
            <w:tcW w:w="576" w:type="pct"/>
            <w:tcBorders>
              <w:tl2br w:val="nil"/>
              <w:tr2bl w:val="nil"/>
            </w:tcBorders>
            <w:vAlign w:val="center"/>
          </w:tcPr>
          <w:p w14:paraId="1BEF87EB">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525" w:type="pct"/>
            <w:tcBorders>
              <w:tl2br w:val="nil"/>
              <w:tr2bl w:val="nil"/>
            </w:tcBorders>
            <w:vAlign w:val="center"/>
          </w:tcPr>
          <w:p w14:paraId="2A3F1B78">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620" w:type="pct"/>
            <w:tcBorders>
              <w:tl2br w:val="nil"/>
              <w:tr2bl w:val="nil"/>
            </w:tcBorders>
            <w:vAlign w:val="center"/>
          </w:tcPr>
          <w:p w14:paraId="515DE708">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661B5D41">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137C7BBD">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0DD7C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2" w:hRule="atLeast"/>
          <w:jc w:val="center"/>
        </w:trPr>
        <w:tc>
          <w:tcPr>
            <w:tcW w:w="390" w:type="pct"/>
            <w:tcBorders>
              <w:tl2br w:val="nil"/>
              <w:tr2bl w:val="nil"/>
            </w:tcBorders>
            <w:vAlign w:val="center"/>
          </w:tcPr>
          <w:p w14:paraId="64C5B8E7">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5</w:t>
            </w:r>
          </w:p>
        </w:tc>
        <w:tc>
          <w:tcPr>
            <w:tcW w:w="1646" w:type="pct"/>
            <w:tcBorders>
              <w:tl2br w:val="nil"/>
              <w:tr2bl w:val="nil"/>
            </w:tcBorders>
            <w:vAlign w:val="center"/>
          </w:tcPr>
          <w:p w14:paraId="7497F174">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音箱壁挂架</w:t>
            </w:r>
          </w:p>
        </w:tc>
        <w:tc>
          <w:tcPr>
            <w:tcW w:w="576" w:type="pct"/>
            <w:tcBorders>
              <w:tl2br w:val="nil"/>
              <w:tr2bl w:val="nil"/>
            </w:tcBorders>
            <w:vAlign w:val="center"/>
          </w:tcPr>
          <w:p w14:paraId="405D0D2C">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525" w:type="pct"/>
            <w:tcBorders>
              <w:tl2br w:val="nil"/>
              <w:tr2bl w:val="nil"/>
            </w:tcBorders>
            <w:vAlign w:val="center"/>
          </w:tcPr>
          <w:p w14:paraId="6851ECF9">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只</w:t>
            </w:r>
          </w:p>
        </w:tc>
        <w:tc>
          <w:tcPr>
            <w:tcW w:w="620" w:type="pct"/>
            <w:tcBorders>
              <w:tl2br w:val="nil"/>
              <w:tr2bl w:val="nil"/>
            </w:tcBorders>
            <w:vAlign w:val="center"/>
          </w:tcPr>
          <w:p w14:paraId="4E002D41">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3B057DE9">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5C996FCB">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3F5A2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20366953">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6</w:t>
            </w:r>
          </w:p>
        </w:tc>
        <w:tc>
          <w:tcPr>
            <w:tcW w:w="1646" w:type="pct"/>
            <w:tcBorders>
              <w:tl2br w:val="nil"/>
              <w:tr2bl w:val="nil"/>
            </w:tcBorders>
            <w:vAlign w:val="center"/>
          </w:tcPr>
          <w:p w14:paraId="395382ED">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结构框架</w:t>
            </w:r>
          </w:p>
        </w:tc>
        <w:tc>
          <w:tcPr>
            <w:tcW w:w="576" w:type="pct"/>
            <w:tcBorders>
              <w:tl2br w:val="nil"/>
              <w:tr2bl w:val="nil"/>
            </w:tcBorders>
            <w:vAlign w:val="center"/>
          </w:tcPr>
          <w:p w14:paraId="35194833">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525" w:type="pct"/>
            <w:tcBorders>
              <w:tl2br w:val="nil"/>
              <w:tr2bl w:val="nil"/>
            </w:tcBorders>
            <w:vAlign w:val="center"/>
          </w:tcPr>
          <w:p w14:paraId="6A1AD3A8">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套</w:t>
            </w:r>
          </w:p>
        </w:tc>
        <w:tc>
          <w:tcPr>
            <w:tcW w:w="620" w:type="pct"/>
            <w:tcBorders>
              <w:tl2br w:val="nil"/>
              <w:tr2bl w:val="nil"/>
            </w:tcBorders>
            <w:vAlign w:val="center"/>
          </w:tcPr>
          <w:p w14:paraId="33D31298">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2FB391F5">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46173D7E">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089726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71ACA153">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7</w:t>
            </w:r>
          </w:p>
        </w:tc>
        <w:tc>
          <w:tcPr>
            <w:tcW w:w="1646" w:type="pct"/>
            <w:tcBorders>
              <w:tl2br w:val="nil"/>
              <w:tr2bl w:val="nil"/>
            </w:tcBorders>
            <w:vAlign w:val="center"/>
          </w:tcPr>
          <w:p w14:paraId="055D60C4">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摄像头</w:t>
            </w:r>
          </w:p>
        </w:tc>
        <w:tc>
          <w:tcPr>
            <w:tcW w:w="576" w:type="pct"/>
            <w:tcBorders>
              <w:tl2br w:val="nil"/>
              <w:tr2bl w:val="nil"/>
            </w:tcBorders>
            <w:vAlign w:val="center"/>
          </w:tcPr>
          <w:p w14:paraId="495C485C">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w:t>
            </w:r>
          </w:p>
        </w:tc>
        <w:tc>
          <w:tcPr>
            <w:tcW w:w="525" w:type="pct"/>
            <w:tcBorders>
              <w:tl2br w:val="nil"/>
              <w:tr2bl w:val="nil"/>
            </w:tcBorders>
            <w:vAlign w:val="center"/>
          </w:tcPr>
          <w:p w14:paraId="6C4F353B">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只</w:t>
            </w:r>
          </w:p>
        </w:tc>
        <w:tc>
          <w:tcPr>
            <w:tcW w:w="620" w:type="pct"/>
            <w:tcBorders>
              <w:tl2br w:val="nil"/>
              <w:tr2bl w:val="nil"/>
            </w:tcBorders>
            <w:vAlign w:val="center"/>
          </w:tcPr>
          <w:p w14:paraId="2B885ED5">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45752009">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24FC20FA">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76CFCC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2B3A2B60">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8</w:t>
            </w:r>
          </w:p>
        </w:tc>
        <w:tc>
          <w:tcPr>
            <w:tcW w:w="1646" w:type="pct"/>
            <w:tcBorders>
              <w:tl2br w:val="nil"/>
              <w:tr2bl w:val="nil"/>
            </w:tcBorders>
            <w:vAlign w:val="center"/>
          </w:tcPr>
          <w:p w14:paraId="0E947E97">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配电箱</w:t>
            </w:r>
          </w:p>
        </w:tc>
        <w:tc>
          <w:tcPr>
            <w:tcW w:w="576" w:type="pct"/>
            <w:tcBorders>
              <w:tl2br w:val="nil"/>
              <w:tr2bl w:val="nil"/>
            </w:tcBorders>
            <w:vAlign w:val="center"/>
          </w:tcPr>
          <w:p w14:paraId="7D8FB778">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525" w:type="pct"/>
            <w:tcBorders>
              <w:tl2br w:val="nil"/>
              <w:tr2bl w:val="nil"/>
            </w:tcBorders>
            <w:vAlign w:val="center"/>
          </w:tcPr>
          <w:p w14:paraId="707DD83A">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套</w:t>
            </w:r>
          </w:p>
        </w:tc>
        <w:tc>
          <w:tcPr>
            <w:tcW w:w="620" w:type="pct"/>
            <w:tcBorders>
              <w:tl2br w:val="nil"/>
              <w:tr2bl w:val="nil"/>
            </w:tcBorders>
            <w:vAlign w:val="center"/>
          </w:tcPr>
          <w:p w14:paraId="239CC355">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5EBB4278">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4656F972">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25746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72201BA7">
            <w:pPr>
              <w:keepNext/>
              <w:widowControl/>
              <w:adjustRightInd/>
              <w:snapToGrid w:val="0"/>
              <w:ind w:leftChars="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9</w:t>
            </w:r>
          </w:p>
        </w:tc>
        <w:tc>
          <w:tcPr>
            <w:tcW w:w="1646" w:type="pct"/>
            <w:tcBorders>
              <w:tl2br w:val="nil"/>
              <w:tr2bl w:val="nil"/>
            </w:tcBorders>
            <w:vAlign w:val="center"/>
          </w:tcPr>
          <w:p w14:paraId="75CB9539">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机柜</w:t>
            </w:r>
          </w:p>
        </w:tc>
        <w:tc>
          <w:tcPr>
            <w:tcW w:w="576" w:type="pct"/>
            <w:tcBorders>
              <w:tl2br w:val="nil"/>
              <w:tr2bl w:val="nil"/>
            </w:tcBorders>
            <w:vAlign w:val="center"/>
          </w:tcPr>
          <w:p w14:paraId="6C4EDA7D">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525" w:type="pct"/>
            <w:tcBorders>
              <w:tl2br w:val="nil"/>
              <w:tr2bl w:val="nil"/>
            </w:tcBorders>
            <w:vAlign w:val="center"/>
          </w:tcPr>
          <w:p w14:paraId="57DA84D5">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套</w:t>
            </w:r>
          </w:p>
        </w:tc>
        <w:tc>
          <w:tcPr>
            <w:tcW w:w="620" w:type="pct"/>
            <w:tcBorders>
              <w:tl2br w:val="nil"/>
              <w:tr2bl w:val="nil"/>
            </w:tcBorders>
            <w:vAlign w:val="center"/>
          </w:tcPr>
          <w:p w14:paraId="20BE63CD">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51C4FBA2">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154BEE9B">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510EAA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65BD4727">
            <w:pPr>
              <w:keepNext/>
              <w:widowControl/>
              <w:adjustRightInd/>
              <w:snapToGrid w:val="0"/>
              <w:ind w:leftChars="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10</w:t>
            </w:r>
          </w:p>
        </w:tc>
        <w:tc>
          <w:tcPr>
            <w:tcW w:w="1646" w:type="pct"/>
            <w:tcBorders>
              <w:tl2br w:val="nil"/>
              <w:tr2bl w:val="nil"/>
            </w:tcBorders>
            <w:vAlign w:val="center"/>
          </w:tcPr>
          <w:p w14:paraId="7A3E9197">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UPS主机</w:t>
            </w:r>
          </w:p>
        </w:tc>
        <w:tc>
          <w:tcPr>
            <w:tcW w:w="576" w:type="pct"/>
            <w:tcBorders>
              <w:tl2br w:val="nil"/>
              <w:tr2bl w:val="nil"/>
            </w:tcBorders>
            <w:vAlign w:val="center"/>
          </w:tcPr>
          <w:p w14:paraId="23FA1848">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525" w:type="pct"/>
            <w:tcBorders>
              <w:tl2br w:val="nil"/>
              <w:tr2bl w:val="nil"/>
            </w:tcBorders>
            <w:vAlign w:val="center"/>
          </w:tcPr>
          <w:p w14:paraId="241CF8AF">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620" w:type="pct"/>
            <w:tcBorders>
              <w:tl2br w:val="nil"/>
              <w:tr2bl w:val="nil"/>
            </w:tcBorders>
            <w:vAlign w:val="center"/>
          </w:tcPr>
          <w:p w14:paraId="293C1BF0">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116D1158">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6A398BF9">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7505F3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52959E9B">
            <w:pPr>
              <w:keepNext/>
              <w:widowControl/>
              <w:adjustRightInd/>
              <w:snapToGrid w:val="0"/>
              <w:ind w:leftChars="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11</w:t>
            </w:r>
          </w:p>
        </w:tc>
        <w:tc>
          <w:tcPr>
            <w:tcW w:w="1646" w:type="pct"/>
            <w:tcBorders>
              <w:tl2br w:val="nil"/>
              <w:tr2bl w:val="nil"/>
            </w:tcBorders>
            <w:vAlign w:val="center"/>
          </w:tcPr>
          <w:p w14:paraId="4394CBD7">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蓄电池</w:t>
            </w:r>
          </w:p>
        </w:tc>
        <w:tc>
          <w:tcPr>
            <w:tcW w:w="576" w:type="pct"/>
            <w:tcBorders>
              <w:tl2br w:val="nil"/>
              <w:tr2bl w:val="nil"/>
            </w:tcBorders>
            <w:vAlign w:val="center"/>
          </w:tcPr>
          <w:p w14:paraId="0EB50DFB">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rPr>
              <w:t>32</w:t>
            </w:r>
          </w:p>
        </w:tc>
        <w:tc>
          <w:tcPr>
            <w:tcW w:w="525" w:type="pct"/>
            <w:tcBorders>
              <w:tl2br w:val="nil"/>
              <w:tr2bl w:val="nil"/>
            </w:tcBorders>
            <w:vAlign w:val="center"/>
          </w:tcPr>
          <w:p w14:paraId="168E1095">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节</w:t>
            </w:r>
          </w:p>
        </w:tc>
        <w:tc>
          <w:tcPr>
            <w:tcW w:w="620" w:type="pct"/>
            <w:tcBorders>
              <w:tl2br w:val="nil"/>
              <w:tr2bl w:val="nil"/>
            </w:tcBorders>
            <w:vAlign w:val="center"/>
          </w:tcPr>
          <w:p w14:paraId="2362637A">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7B9B0A17">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457C2E0D">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57C9E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46644CFF">
            <w:pPr>
              <w:keepNext/>
              <w:widowControl/>
              <w:adjustRightInd/>
              <w:snapToGrid w:val="0"/>
              <w:ind w:leftChars="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12</w:t>
            </w:r>
          </w:p>
        </w:tc>
        <w:tc>
          <w:tcPr>
            <w:tcW w:w="1646" w:type="pct"/>
            <w:tcBorders>
              <w:tl2br w:val="nil"/>
              <w:tr2bl w:val="nil"/>
            </w:tcBorders>
            <w:vAlign w:val="center"/>
          </w:tcPr>
          <w:p w14:paraId="0EE9393C">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电池柜</w:t>
            </w:r>
          </w:p>
        </w:tc>
        <w:tc>
          <w:tcPr>
            <w:tcW w:w="576" w:type="pct"/>
            <w:tcBorders>
              <w:tl2br w:val="nil"/>
              <w:tr2bl w:val="nil"/>
            </w:tcBorders>
            <w:vAlign w:val="center"/>
          </w:tcPr>
          <w:p w14:paraId="6883CE74">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525" w:type="pct"/>
            <w:tcBorders>
              <w:tl2br w:val="nil"/>
              <w:tr2bl w:val="nil"/>
            </w:tcBorders>
            <w:vAlign w:val="center"/>
          </w:tcPr>
          <w:p w14:paraId="47C1A6DF">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套</w:t>
            </w:r>
          </w:p>
        </w:tc>
        <w:tc>
          <w:tcPr>
            <w:tcW w:w="620" w:type="pct"/>
            <w:tcBorders>
              <w:tl2br w:val="nil"/>
              <w:tr2bl w:val="nil"/>
            </w:tcBorders>
            <w:vAlign w:val="center"/>
          </w:tcPr>
          <w:p w14:paraId="31D1A2F0">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2019E1B5">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56984368">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5BD300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2" w:hRule="atLeast"/>
          <w:jc w:val="center"/>
        </w:trPr>
        <w:tc>
          <w:tcPr>
            <w:tcW w:w="390" w:type="pct"/>
            <w:tcBorders>
              <w:tl2br w:val="nil"/>
              <w:tr2bl w:val="nil"/>
            </w:tcBorders>
            <w:vAlign w:val="center"/>
          </w:tcPr>
          <w:p w14:paraId="0511D341">
            <w:pPr>
              <w:keepNext/>
              <w:widowControl/>
              <w:adjustRightInd/>
              <w:snapToGrid w:val="0"/>
              <w:ind w:leftChars="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13</w:t>
            </w:r>
          </w:p>
        </w:tc>
        <w:tc>
          <w:tcPr>
            <w:tcW w:w="1646" w:type="pct"/>
            <w:tcBorders>
              <w:tl2br w:val="nil"/>
              <w:tr2bl w:val="nil"/>
            </w:tcBorders>
            <w:vAlign w:val="center"/>
          </w:tcPr>
          <w:p w14:paraId="0400AA3F">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工控桌</w:t>
            </w:r>
          </w:p>
        </w:tc>
        <w:tc>
          <w:tcPr>
            <w:tcW w:w="576" w:type="pct"/>
            <w:tcBorders>
              <w:tl2br w:val="nil"/>
              <w:tr2bl w:val="nil"/>
            </w:tcBorders>
            <w:vAlign w:val="center"/>
          </w:tcPr>
          <w:p w14:paraId="73371124">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525" w:type="pct"/>
            <w:tcBorders>
              <w:tl2br w:val="nil"/>
              <w:tr2bl w:val="nil"/>
            </w:tcBorders>
            <w:vAlign w:val="center"/>
          </w:tcPr>
          <w:p w14:paraId="20287650">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套</w:t>
            </w:r>
          </w:p>
        </w:tc>
        <w:tc>
          <w:tcPr>
            <w:tcW w:w="620" w:type="pct"/>
            <w:tcBorders>
              <w:tl2br w:val="nil"/>
              <w:tr2bl w:val="nil"/>
            </w:tcBorders>
            <w:vAlign w:val="center"/>
          </w:tcPr>
          <w:p w14:paraId="0CBEBE70">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610C7515">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46D22244">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5A22E9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7A5EFC65">
            <w:pPr>
              <w:keepNext/>
              <w:widowControl/>
              <w:adjustRightInd/>
              <w:snapToGrid w:val="0"/>
              <w:ind w:leftChars="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14</w:t>
            </w:r>
          </w:p>
        </w:tc>
        <w:tc>
          <w:tcPr>
            <w:tcW w:w="1646" w:type="pct"/>
            <w:tcBorders>
              <w:tl2br w:val="nil"/>
              <w:tr2bl w:val="nil"/>
            </w:tcBorders>
            <w:vAlign w:val="center"/>
          </w:tcPr>
          <w:p w14:paraId="70E5CA6B">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办公椅</w:t>
            </w:r>
          </w:p>
        </w:tc>
        <w:tc>
          <w:tcPr>
            <w:tcW w:w="576" w:type="pct"/>
            <w:tcBorders>
              <w:tl2br w:val="nil"/>
              <w:tr2bl w:val="nil"/>
            </w:tcBorders>
            <w:vAlign w:val="center"/>
          </w:tcPr>
          <w:p w14:paraId="61F1256B">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rPr>
              <w:t>6</w:t>
            </w:r>
          </w:p>
        </w:tc>
        <w:tc>
          <w:tcPr>
            <w:tcW w:w="525" w:type="pct"/>
            <w:tcBorders>
              <w:tl2br w:val="nil"/>
              <w:tr2bl w:val="nil"/>
            </w:tcBorders>
            <w:vAlign w:val="center"/>
          </w:tcPr>
          <w:p w14:paraId="60DA8DCA">
            <w:pPr>
              <w:keepNext/>
              <w:widowControl/>
              <w:adjustRightInd/>
              <w:snapToGrid w:val="0"/>
              <w:ind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张</w:t>
            </w:r>
          </w:p>
        </w:tc>
        <w:tc>
          <w:tcPr>
            <w:tcW w:w="620" w:type="pct"/>
            <w:tcBorders>
              <w:tl2br w:val="nil"/>
              <w:tr2bl w:val="nil"/>
            </w:tcBorders>
            <w:vAlign w:val="center"/>
          </w:tcPr>
          <w:p w14:paraId="67A7DD66">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2E3840AF">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7CB72C93">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0B04B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41A76060">
            <w:pPr>
              <w:keepNext/>
              <w:widowControl/>
              <w:adjustRightInd/>
              <w:snapToGrid w:val="0"/>
              <w:ind w:leftChars="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15</w:t>
            </w:r>
          </w:p>
        </w:tc>
        <w:tc>
          <w:tcPr>
            <w:tcW w:w="1646" w:type="pct"/>
            <w:tcBorders>
              <w:tl2br w:val="nil"/>
              <w:tr2bl w:val="nil"/>
            </w:tcBorders>
            <w:vAlign w:val="center"/>
          </w:tcPr>
          <w:p w14:paraId="647ADC88">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坐席</w:t>
            </w:r>
          </w:p>
        </w:tc>
        <w:tc>
          <w:tcPr>
            <w:tcW w:w="576" w:type="pct"/>
            <w:tcBorders>
              <w:tl2br w:val="nil"/>
              <w:tr2bl w:val="nil"/>
            </w:tcBorders>
            <w:vAlign w:val="center"/>
          </w:tcPr>
          <w:p w14:paraId="215436AA">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w:t>
            </w:r>
          </w:p>
        </w:tc>
        <w:tc>
          <w:tcPr>
            <w:tcW w:w="525" w:type="pct"/>
            <w:tcBorders>
              <w:tl2br w:val="nil"/>
              <w:tr2bl w:val="nil"/>
            </w:tcBorders>
            <w:vAlign w:val="center"/>
          </w:tcPr>
          <w:p w14:paraId="2B321C7E">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套</w:t>
            </w:r>
          </w:p>
        </w:tc>
        <w:tc>
          <w:tcPr>
            <w:tcW w:w="620" w:type="pct"/>
            <w:tcBorders>
              <w:tl2br w:val="nil"/>
              <w:tr2bl w:val="nil"/>
            </w:tcBorders>
            <w:vAlign w:val="center"/>
          </w:tcPr>
          <w:p w14:paraId="51BA1F78">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1BC23C00">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3B0F8A12">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3C18A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69867611">
            <w:pPr>
              <w:keepNext/>
              <w:widowControl/>
              <w:adjustRightInd/>
              <w:snapToGrid w:val="0"/>
              <w:ind w:leftChars="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16</w:t>
            </w:r>
          </w:p>
        </w:tc>
        <w:tc>
          <w:tcPr>
            <w:tcW w:w="1646" w:type="pct"/>
            <w:tcBorders>
              <w:tl2br w:val="nil"/>
              <w:tr2bl w:val="nil"/>
            </w:tcBorders>
            <w:vAlign w:val="center"/>
          </w:tcPr>
          <w:p w14:paraId="7DFCE351">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椅子</w:t>
            </w:r>
          </w:p>
        </w:tc>
        <w:tc>
          <w:tcPr>
            <w:tcW w:w="576" w:type="pct"/>
            <w:tcBorders>
              <w:tl2br w:val="nil"/>
              <w:tr2bl w:val="nil"/>
            </w:tcBorders>
            <w:vAlign w:val="center"/>
          </w:tcPr>
          <w:p w14:paraId="198B2CE8">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10</w:t>
            </w:r>
          </w:p>
        </w:tc>
        <w:tc>
          <w:tcPr>
            <w:tcW w:w="525" w:type="pct"/>
            <w:tcBorders>
              <w:tl2br w:val="nil"/>
              <w:tr2bl w:val="nil"/>
            </w:tcBorders>
            <w:vAlign w:val="center"/>
          </w:tcPr>
          <w:p w14:paraId="241275E2">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张</w:t>
            </w:r>
          </w:p>
        </w:tc>
        <w:tc>
          <w:tcPr>
            <w:tcW w:w="620" w:type="pct"/>
            <w:tcBorders>
              <w:tl2br w:val="nil"/>
              <w:tr2bl w:val="nil"/>
            </w:tcBorders>
            <w:vAlign w:val="center"/>
          </w:tcPr>
          <w:p w14:paraId="4B49B663">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16F30832">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7C2EDD3E">
            <w:pPr>
              <w:keepNext/>
              <w:widowControl/>
              <w:adjustRightInd/>
              <w:snapToGrid w:val="0"/>
              <w:ind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52E142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660BD108">
            <w:pPr>
              <w:keepNext/>
              <w:widowControl/>
              <w:adjustRightInd/>
              <w:snapToGrid w:val="0"/>
              <w:ind w:leftChars="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17</w:t>
            </w:r>
          </w:p>
        </w:tc>
        <w:tc>
          <w:tcPr>
            <w:tcW w:w="1646" w:type="pct"/>
            <w:tcBorders>
              <w:tl2br w:val="nil"/>
              <w:tr2bl w:val="nil"/>
            </w:tcBorders>
            <w:vAlign w:val="center"/>
          </w:tcPr>
          <w:p w14:paraId="6BF938BB">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地毯</w:t>
            </w:r>
          </w:p>
        </w:tc>
        <w:tc>
          <w:tcPr>
            <w:tcW w:w="576" w:type="pct"/>
            <w:tcBorders>
              <w:tl2br w:val="nil"/>
              <w:tr2bl w:val="nil"/>
            </w:tcBorders>
            <w:vAlign w:val="center"/>
          </w:tcPr>
          <w:p w14:paraId="0ED6D1AB">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150</w:t>
            </w:r>
          </w:p>
        </w:tc>
        <w:tc>
          <w:tcPr>
            <w:tcW w:w="525" w:type="pct"/>
            <w:tcBorders>
              <w:tl2br w:val="nil"/>
              <w:tr2bl w:val="nil"/>
            </w:tcBorders>
            <w:vAlign w:val="center"/>
          </w:tcPr>
          <w:p w14:paraId="54666D1B">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平方</w:t>
            </w:r>
          </w:p>
        </w:tc>
        <w:tc>
          <w:tcPr>
            <w:tcW w:w="620" w:type="pct"/>
            <w:tcBorders>
              <w:tl2br w:val="nil"/>
              <w:tr2bl w:val="nil"/>
            </w:tcBorders>
            <w:vAlign w:val="center"/>
          </w:tcPr>
          <w:p w14:paraId="6B83481F">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4301231D">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704B9459">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6BCB4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02A164A6">
            <w:pPr>
              <w:keepNext/>
              <w:widowControl/>
              <w:adjustRightInd/>
              <w:snapToGrid w:val="0"/>
              <w:ind w:leftChars="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18</w:t>
            </w:r>
          </w:p>
        </w:tc>
        <w:tc>
          <w:tcPr>
            <w:tcW w:w="1646" w:type="pct"/>
            <w:tcBorders>
              <w:tl2br w:val="nil"/>
              <w:tr2bl w:val="nil"/>
            </w:tcBorders>
            <w:vAlign w:val="center"/>
          </w:tcPr>
          <w:p w14:paraId="3F483C83">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遮光布帘</w:t>
            </w:r>
          </w:p>
        </w:tc>
        <w:tc>
          <w:tcPr>
            <w:tcW w:w="576" w:type="pct"/>
            <w:tcBorders>
              <w:tl2br w:val="nil"/>
              <w:tr2bl w:val="nil"/>
            </w:tcBorders>
            <w:vAlign w:val="center"/>
          </w:tcPr>
          <w:p w14:paraId="1E1B4048">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81</w:t>
            </w:r>
          </w:p>
        </w:tc>
        <w:tc>
          <w:tcPr>
            <w:tcW w:w="525" w:type="pct"/>
            <w:tcBorders>
              <w:tl2br w:val="nil"/>
              <w:tr2bl w:val="nil"/>
            </w:tcBorders>
            <w:vAlign w:val="center"/>
          </w:tcPr>
          <w:p w14:paraId="2AB9F8BF">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平方</w:t>
            </w:r>
          </w:p>
        </w:tc>
        <w:tc>
          <w:tcPr>
            <w:tcW w:w="620" w:type="pct"/>
            <w:tcBorders>
              <w:tl2br w:val="nil"/>
              <w:tr2bl w:val="nil"/>
            </w:tcBorders>
            <w:vAlign w:val="center"/>
          </w:tcPr>
          <w:p w14:paraId="48AECDC6">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23F817A1">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5B049FC7">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7DED4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52514A7B">
            <w:pPr>
              <w:keepNext/>
              <w:widowControl/>
              <w:adjustRightInd/>
              <w:snapToGrid w:val="0"/>
              <w:ind w:leftChars="0" w:right="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19</w:t>
            </w:r>
          </w:p>
        </w:tc>
        <w:tc>
          <w:tcPr>
            <w:tcW w:w="1646" w:type="pct"/>
            <w:tcBorders>
              <w:tl2br w:val="nil"/>
              <w:tr2bl w:val="nil"/>
            </w:tcBorders>
            <w:vAlign w:val="center"/>
          </w:tcPr>
          <w:p w14:paraId="15470259">
            <w:pPr>
              <w:keepNext/>
              <w:widowControl/>
              <w:adjustRightInd/>
              <w:snapToGrid w:val="0"/>
              <w:ind w:left="0" w:leftChars="0" w:right="0" w:righ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通信线</w:t>
            </w:r>
          </w:p>
        </w:tc>
        <w:tc>
          <w:tcPr>
            <w:tcW w:w="576" w:type="pct"/>
            <w:tcBorders>
              <w:tl2br w:val="nil"/>
              <w:tr2bl w:val="nil"/>
            </w:tcBorders>
            <w:vAlign w:val="center"/>
          </w:tcPr>
          <w:p w14:paraId="64ECA552">
            <w:pPr>
              <w:keepNext/>
              <w:widowControl/>
              <w:adjustRightInd/>
              <w:snapToGrid w:val="0"/>
              <w:ind w:left="0" w:leftChars="0" w:right="0" w:righ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525" w:type="pct"/>
            <w:tcBorders>
              <w:tl2br w:val="nil"/>
              <w:tr2bl w:val="nil"/>
            </w:tcBorders>
            <w:vAlign w:val="center"/>
          </w:tcPr>
          <w:p w14:paraId="3CE8B619">
            <w:pPr>
              <w:keepNext/>
              <w:widowControl/>
              <w:adjustRightInd/>
              <w:snapToGrid w:val="0"/>
              <w:ind w:left="0" w:leftChars="0" w:right="0" w:righ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项</w:t>
            </w:r>
          </w:p>
        </w:tc>
        <w:tc>
          <w:tcPr>
            <w:tcW w:w="620" w:type="pct"/>
            <w:tcBorders>
              <w:tl2br w:val="nil"/>
              <w:tr2bl w:val="nil"/>
            </w:tcBorders>
            <w:vAlign w:val="center"/>
          </w:tcPr>
          <w:p w14:paraId="04504B95">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6F5A65D8">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6B67E27F">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4FBF8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shd w:val="clear" w:color="auto" w:fill="auto"/>
            <w:vAlign w:val="center"/>
          </w:tcPr>
          <w:p w14:paraId="73E11555">
            <w:pPr>
              <w:keepNext/>
              <w:widowControl/>
              <w:adjustRightInd/>
              <w:snapToGrid w:val="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20</w:t>
            </w:r>
          </w:p>
        </w:tc>
        <w:tc>
          <w:tcPr>
            <w:tcW w:w="1646" w:type="pct"/>
            <w:tcBorders>
              <w:tl2br w:val="nil"/>
              <w:tr2bl w:val="nil"/>
            </w:tcBorders>
            <w:vAlign w:val="center"/>
          </w:tcPr>
          <w:p w14:paraId="354548C1">
            <w:pPr>
              <w:keepNext/>
              <w:widowControl/>
              <w:adjustRightInd/>
              <w:snapToGrid w:val="0"/>
              <w:ind w:left="0" w:leftChars="0" w:right="0" w:righ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辅材</w:t>
            </w:r>
          </w:p>
        </w:tc>
        <w:tc>
          <w:tcPr>
            <w:tcW w:w="576" w:type="pct"/>
            <w:tcBorders>
              <w:tl2br w:val="nil"/>
              <w:tr2bl w:val="nil"/>
            </w:tcBorders>
            <w:vAlign w:val="center"/>
          </w:tcPr>
          <w:p w14:paraId="0527EC20">
            <w:pPr>
              <w:keepNext/>
              <w:widowControl/>
              <w:adjustRightInd/>
              <w:snapToGrid w:val="0"/>
              <w:ind w:left="0" w:leftChars="0" w:right="0" w:righ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525" w:type="pct"/>
            <w:tcBorders>
              <w:tl2br w:val="nil"/>
              <w:tr2bl w:val="nil"/>
            </w:tcBorders>
            <w:vAlign w:val="center"/>
          </w:tcPr>
          <w:p w14:paraId="730C0770">
            <w:pPr>
              <w:keepNext/>
              <w:widowControl/>
              <w:adjustRightInd/>
              <w:snapToGrid w:val="0"/>
              <w:ind w:left="0" w:leftChars="0" w:right="0" w:righ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项</w:t>
            </w:r>
          </w:p>
        </w:tc>
        <w:tc>
          <w:tcPr>
            <w:tcW w:w="620" w:type="pct"/>
            <w:tcBorders>
              <w:tl2br w:val="nil"/>
              <w:tr2bl w:val="nil"/>
            </w:tcBorders>
            <w:vAlign w:val="center"/>
          </w:tcPr>
          <w:p w14:paraId="4431D514">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17105A40">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4D7DFC09">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5F8506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shd w:val="clear" w:color="auto" w:fill="auto"/>
            <w:vAlign w:val="center"/>
          </w:tcPr>
          <w:p w14:paraId="72553DF2">
            <w:pPr>
              <w:keepNext/>
              <w:widowControl/>
              <w:adjustRightInd/>
              <w:snapToGrid w:val="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21</w:t>
            </w:r>
          </w:p>
        </w:tc>
        <w:tc>
          <w:tcPr>
            <w:tcW w:w="1646" w:type="pct"/>
            <w:tcBorders>
              <w:tl2br w:val="nil"/>
              <w:tr2bl w:val="nil"/>
            </w:tcBorders>
            <w:vAlign w:val="center"/>
          </w:tcPr>
          <w:p w14:paraId="4D051CEF">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值守电脑</w:t>
            </w:r>
          </w:p>
        </w:tc>
        <w:tc>
          <w:tcPr>
            <w:tcW w:w="576" w:type="pct"/>
            <w:tcBorders>
              <w:tl2br w:val="nil"/>
              <w:tr2bl w:val="nil"/>
            </w:tcBorders>
            <w:vAlign w:val="center"/>
          </w:tcPr>
          <w:p w14:paraId="532EFCFE">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4</w:t>
            </w:r>
          </w:p>
        </w:tc>
        <w:tc>
          <w:tcPr>
            <w:tcW w:w="525" w:type="pct"/>
            <w:tcBorders>
              <w:tl2br w:val="nil"/>
              <w:tr2bl w:val="nil"/>
            </w:tcBorders>
            <w:vAlign w:val="center"/>
          </w:tcPr>
          <w:p w14:paraId="4019D99A">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620" w:type="pct"/>
            <w:tcBorders>
              <w:tl2br w:val="nil"/>
              <w:tr2bl w:val="nil"/>
            </w:tcBorders>
            <w:vAlign w:val="center"/>
          </w:tcPr>
          <w:p w14:paraId="1B21BF6D">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4766958B">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14F74258">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70613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shd w:val="clear" w:color="auto" w:fill="auto"/>
            <w:vAlign w:val="center"/>
          </w:tcPr>
          <w:p w14:paraId="0E0A4E2C">
            <w:pPr>
              <w:keepNext/>
              <w:widowControl/>
              <w:adjustRightInd/>
              <w:snapToGrid w:val="0"/>
              <w:ind w:left="0" w:leftChars="0" w:right="0" w:right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22</w:t>
            </w:r>
          </w:p>
        </w:tc>
        <w:tc>
          <w:tcPr>
            <w:tcW w:w="1646" w:type="pct"/>
            <w:tcBorders>
              <w:tl2br w:val="nil"/>
              <w:tr2bl w:val="nil"/>
            </w:tcBorders>
            <w:vAlign w:val="center"/>
          </w:tcPr>
          <w:p w14:paraId="0135A994">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电话系统</w:t>
            </w:r>
          </w:p>
        </w:tc>
        <w:tc>
          <w:tcPr>
            <w:tcW w:w="576" w:type="pct"/>
            <w:tcBorders>
              <w:tl2br w:val="nil"/>
              <w:tr2bl w:val="nil"/>
            </w:tcBorders>
            <w:vAlign w:val="center"/>
          </w:tcPr>
          <w:p w14:paraId="6C69AD83">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525" w:type="pct"/>
            <w:tcBorders>
              <w:tl2br w:val="nil"/>
              <w:tr2bl w:val="nil"/>
            </w:tcBorders>
            <w:vAlign w:val="center"/>
          </w:tcPr>
          <w:p w14:paraId="03685CB1">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套</w:t>
            </w:r>
          </w:p>
        </w:tc>
        <w:tc>
          <w:tcPr>
            <w:tcW w:w="620" w:type="pct"/>
            <w:tcBorders>
              <w:tl2br w:val="nil"/>
              <w:tr2bl w:val="nil"/>
            </w:tcBorders>
            <w:vAlign w:val="center"/>
          </w:tcPr>
          <w:p w14:paraId="3E50EE8F">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6F8C74FA">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13DF4A4D">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779CF0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shd w:val="clear" w:color="auto" w:fill="auto"/>
            <w:vAlign w:val="center"/>
          </w:tcPr>
          <w:p w14:paraId="4C91CD52">
            <w:pPr>
              <w:keepNext/>
              <w:widowControl/>
              <w:adjustRightInd/>
              <w:snapToGrid w:val="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23</w:t>
            </w:r>
          </w:p>
        </w:tc>
        <w:tc>
          <w:tcPr>
            <w:tcW w:w="1646" w:type="pct"/>
            <w:tcBorders>
              <w:tl2br w:val="nil"/>
              <w:tr2bl w:val="nil"/>
            </w:tcBorders>
            <w:vAlign w:val="center"/>
          </w:tcPr>
          <w:p w14:paraId="70AE6ACB">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智能语音呼叫台</w:t>
            </w:r>
          </w:p>
        </w:tc>
        <w:tc>
          <w:tcPr>
            <w:tcW w:w="576" w:type="pct"/>
            <w:tcBorders>
              <w:tl2br w:val="nil"/>
              <w:tr2bl w:val="nil"/>
            </w:tcBorders>
            <w:vAlign w:val="center"/>
          </w:tcPr>
          <w:p w14:paraId="7130D109">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rPr>
              <w:t>1</w:t>
            </w:r>
          </w:p>
        </w:tc>
        <w:tc>
          <w:tcPr>
            <w:tcW w:w="525" w:type="pct"/>
            <w:tcBorders>
              <w:tl2br w:val="nil"/>
              <w:tr2bl w:val="nil"/>
            </w:tcBorders>
            <w:vAlign w:val="center"/>
          </w:tcPr>
          <w:p w14:paraId="1218391F">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台</w:t>
            </w:r>
          </w:p>
        </w:tc>
        <w:tc>
          <w:tcPr>
            <w:tcW w:w="620" w:type="pct"/>
            <w:tcBorders>
              <w:tl2br w:val="nil"/>
              <w:tr2bl w:val="nil"/>
            </w:tcBorders>
            <w:vAlign w:val="center"/>
          </w:tcPr>
          <w:p w14:paraId="02BCC10E">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08D3D7FF">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4DC135C1">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7C3372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shd w:val="clear" w:color="auto" w:fill="auto"/>
            <w:vAlign w:val="center"/>
          </w:tcPr>
          <w:p w14:paraId="2030487D">
            <w:pPr>
              <w:keepNext/>
              <w:widowControl/>
              <w:adjustRightInd/>
              <w:snapToGrid w:val="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24</w:t>
            </w:r>
          </w:p>
        </w:tc>
        <w:tc>
          <w:tcPr>
            <w:tcW w:w="1646" w:type="pct"/>
            <w:tcBorders>
              <w:tl2br w:val="nil"/>
              <w:tr2bl w:val="nil"/>
            </w:tcBorders>
            <w:vAlign w:val="center"/>
          </w:tcPr>
          <w:p w14:paraId="693B1720">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三网建设</w:t>
            </w:r>
          </w:p>
        </w:tc>
        <w:tc>
          <w:tcPr>
            <w:tcW w:w="576" w:type="pct"/>
            <w:tcBorders>
              <w:tl2br w:val="nil"/>
              <w:tr2bl w:val="nil"/>
            </w:tcBorders>
            <w:vAlign w:val="center"/>
          </w:tcPr>
          <w:p w14:paraId="46BE1681">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1</w:t>
            </w:r>
          </w:p>
        </w:tc>
        <w:tc>
          <w:tcPr>
            <w:tcW w:w="525" w:type="pct"/>
            <w:tcBorders>
              <w:tl2br w:val="nil"/>
              <w:tr2bl w:val="nil"/>
            </w:tcBorders>
            <w:vAlign w:val="center"/>
          </w:tcPr>
          <w:p w14:paraId="354D8EAF">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套</w:t>
            </w:r>
          </w:p>
        </w:tc>
        <w:tc>
          <w:tcPr>
            <w:tcW w:w="620" w:type="pct"/>
            <w:tcBorders>
              <w:tl2br w:val="nil"/>
              <w:tr2bl w:val="nil"/>
            </w:tcBorders>
            <w:vAlign w:val="center"/>
          </w:tcPr>
          <w:p w14:paraId="00E11071">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47ECF653">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4FBCDD2C">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5C1E8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shd w:val="clear" w:color="auto" w:fill="auto"/>
            <w:vAlign w:val="center"/>
          </w:tcPr>
          <w:p w14:paraId="779EE355">
            <w:pPr>
              <w:keepNext/>
              <w:widowControl/>
              <w:adjustRightInd/>
              <w:snapToGrid w:val="0"/>
              <w:ind w:left="0" w:leftChars="0" w:right="0" w:right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25</w:t>
            </w:r>
          </w:p>
        </w:tc>
        <w:tc>
          <w:tcPr>
            <w:tcW w:w="1646" w:type="pct"/>
            <w:tcBorders>
              <w:tl2br w:val="nil"/>
              <w:tr2bl w:val="nil"/>
            </w:tcBorders>
            <w:vAlign w:val="center"/>
          </w:tcPr>
          <w:p w14:paraId="4F1DAD09">
            <w:pPr>
              <w:keepNext/>
              <w:widowControl/>
              <w:adjustRightInd/>
              <w:snapToGrid w:val="0"/>
              <w:ind w:left="0"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云服务器租赁</w:t>
            </w:r>
          </w:p>
        </w:tc>
        <w:tc>
          <w:tcPr>
            <w:tcW w:w="576" w:type="pct"/>
            <w:tcBorders>
              <w:tl2br w:val="nil"/>
              <w:tr2bl w:val="nil"/>
            </w:tcBorders>
            <w:vAlign w:val="center"/>
          </w:tcPr>
          <w:p w14:paraId="6EDAE716">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525" w:type="pct"/>
            <w:tcBorders>
              <w:tl2br w:val="nil"/>
              <w:tr2bl w:val="nil"/>
            </w:tcBorders>
            <w:vAlign w:val="center"/>
          </w:tcPr>
          <w:p w14:paraId="20227D76">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套</w:t>
            </w:r>
          </w:p>
        </w:tc>
        <w:tc>
          <w:tcPr>
            <w:tcW w:w="620" w:type="pct"/>
            <w:tcBorders>
              <w:tl2br w:val="nil"/>
              <w:tr2bl w:val="nil"/>
            </w:tcBorders>
            <w:vAlign w:val="center"/>
          </w:tcPr>
          <w:p w14:paraId="05E634D4">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4599FE1D">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7CBB18B4">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3F622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shd w:val="clear" w:color="auto" w:fill="auto"/>
            <w:vAlign w:val="center"/>
          </w:tcPr>
          <w:p w14:paraId="1352758E">
            <w:pPr>
              <w:keepNext/>
              <w:widowControl/>
              <w:adjustRightInd/>
              <w:snapToGrid w:val="0"/>
              <w:ind w:left="0" w:leftChars="0" w:right="0" w:rightChars="0"/>
              <w:jc w:val="center"/>
              <w:textAlignment w:val="center"/>
              <w:rPr>
                <w:rFonts w:hint="default"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26</w:t>
            </w:r>
          </w:p>
        </w:tc>
        <w:tc>
          <w:tcPr>
            <w:tcW w:w="1646" w:type="pct"/>
            <w:tcBorders>
              <w:tl2br w:val="nil"/>
              <w:tr2bl w:val="nil"/>
            </w:tcBorders>
            <w:vAlign w:val="center"/>
          </w:tcPr>
          <w:p w14:paraId="24AAAA36">
            <w:pPr>
              <w:keepNext/>
              <w:widowControl/>
              <w:adjustRightInd/>
              <w:snapToGrid w:val="0"/>
              <w:ind w:left="0"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综合集成</w:t>
            </w:r>
          </w:p>
        </w:tc>
        <w:tc>
          <w:tcPr>
            <w:tcW w:w="576" w:type="pct"/>
            <w:tcBorders>
              <w:tl2br w:val="nil"/>
              <w:tr2bl w:val="nil"/>
            </w:tcBorders>
            <w:vAlign w:val="center"/>
          </w:tcPr>
          <w:p w14:paraId="18621655">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525" w:type="pct"/>
            <w:tcBorders>
              <w:tl2br w:val="nil"/>
              <w:tr2bl w:val="nil"/>
            </w:tcBorders>
            <w:vAlign w:val="center"/>
          </w:tcPr>
          <w:p w14:paraId="3F074886">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项</w:t>
            </w:r>
          </w:p>
        </w:tc>
        <w:tc>
          <w:tcPr>
            <w:tcW w:w="620" w:type="pct"/>
            <w:tcBorders>
              <w:tl2br w:val="nil"/>
              <w:tr2bl w:val="nil"/>
            </w:tcBorders>
            <w:vAlign w:val="center"/>
          </w:tcPr>
          <w:p w14:paraId="753F6861">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38815BE3">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51C6B769">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364C4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shd w:val="clear" w:color="auto" w:fill="auto"/>
            <w:vAlign w:val="center"/>
          </w:tcPr>
          <w:p w14:paraId="327F46DF">
            <w:pPr>
              <w:keepNext/>
              <w:widowControl/>
              <w:adjustRightInd/>
              <w:snapToGrid w:val="0"/>
              <w:ind w:left="0" w:leftChars="0" w:right="0" w:right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27</w:t>
            </w:r>
          </w:p>
        </w:tc>
        <w:tc>
          <w:tcPr>
            <w:tcW w:w="1646" w:type="pct"/>
            <w:tcBorders>
              <w:tl2br w:val="nil"/>
              <w:tr2bl w:val="nil"/>
            </w:tcBorders>
            <w:vAlign w:val="center"/>
          </w:tcPr>
          <w:p w14:paraId="7AB8DDAC">
            <w:pPr>
              <w:keepNext/>
              <w:widowControl/>
              <w:adjustRightInd/>
              <w:snapToGrid w:val="0"/>
              <w:ind w:left="0" w:leftChars="0" w:right="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rPr>
              <w:t>轻钢龙骨隔墙（2H耐火极限）</w:t>
            </w:r>
          </w:p>
        </w:tc>
        <w:tc>
          <w:tcPr>
            <w:tcW w:w="576" w:type="pct"/>
            <w:tcBorders>
              <w:tl2br w:val="nil"/>
              <w:tr2bl w:val="nil"/>
            </w:tcBorders>
            <w:vAlign w:val="center"/>
          </w:tcPr>
          <w:p w14:paraId="6D06E63E">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33.48</w:t>
            </w:r>
          </w:p>
        </w:tc>
        <w:tc>
          <w:tcPr>
            <w:tcW w:w="525" w:type="pct"/>
            <w:tcBorders>
              <w:tl2br w:val="nil"/>
              <w:tr2bl w:val="nil"/>
            </w:tcBorders>
            <w:vAlign w:val="center"/>
          </w:tcPr>
          <w:p w14:paraId="79819261">
            <w:pPr>
              <w:keepNext/>
              <w:widowControl/>
              <w:adjustRightInd/>
              <w:snapToGrid w:val="0"/>
              <w:ind w:left="0" w:leftChars="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m²</w:t>
            </w:r>
          </w:p>
        </w:tc>
        <w:tc>
          <w:tcPr>
            <w:tcW w:w="620" w:type="pct"/>
            <w:tcBorders>
              <w:tl2br w:val="nil"/>
              <w:tr2bl w:val="nil"/>
            </w:tcBorders>
            <w:vAlign w:val="center"/>
          </w:tcPr>
          <w:p w14:paraId="6A5D2359">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255C271F">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485D7385">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4F3155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shd w:val="clear" w:color="auto" w:fill="auto"/>
            <w:vAlign w:val="center"/>
          </w:tcPr>
          <w:p w14:paraId="4EF19F2E">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rPr>
              <w:t>28</w:t>
            </w:r>
          </w:p>
        </w:tc>
        <w:tc>
          <w:tcPr>
            <w:tcW w:w="1646" w:type="pct"/>
            <w:tcBorders>
              <w:tl2br w:val="nil"/>
              <w:tr2bl w:val="nil"/>
            </w:tcBorders>
            <w:vAlign w:val="center"/>
          </w:tcPr>
          <w:p w14:paraId="746279AA">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轻钢龙骨隔墙（普通）</w:t>
            </w:r>
          </w:p>
        </w:tc>
        <w:tc>
          <w:tcPr>
            <w:tcW w:w="576" w:type="pct"/>
            <w:tcBorders>
              <w:tl2br w:val="nil"/>
              <w:tr2bl w:val="nil"/>
            </w:tcBorders>
            <w:vAlign w:val="center"/>
          </w:tcPr>
          <w:p w14:paraId="1774E819">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16.92</w:t>
            </w:r>
          </w:p>
        </w:tc>
        <w:tc>
          <w:tcPr>
            <w:tcW w:w="525" w:type="pct"/>
            <w:tcBorders>
              <w:tl2br w:val="nil"/>
              <w:tr2bl w:val="nil"/>
            </w:tcBorders>
            <w:vAlign w:val="center"/>
          </w:tcPr>
          <w:p w14:paraId="0091CCF4">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m²</w:t>
            </w:r>
          </w:p>
        </w:tc>
        <w:tc>
          <w:tcPr>
            <w:tcW w:w="620" w:type="pct"/>
            <w:tcBorders>
              <w:tl2br w:val="nil"/>
              <w:tr2bl w:val="nil"/>
            </w:tcBorders>
            <w:vAlign w:val="center"/>
          </w:tcPr>
          <w:p w14:paraId="701A2461">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398F6ACD">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5C57464E">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22E22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shd w:val="clear" w:color="auto" w:fill="auto"/>
            <w:vAlign w:val="center"/>
          </w:tcPr>
          <w:p w14:paraId="63CCB26B">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rPr>
              <w:t>29</w:t>
            </w:r>
          </w:p>
        </w:tc>
        <w:tc>
          <w:tcPr>
            <w:tcW w:w="1646" w:type="pct"/>
            <w:tcBorders>
              <w:tl2br w:val="nil"/>
              <w:tr2bl w:val="nil"/>
            </w:tcBorders>
            <w:vAlign w:val="center"/>
          </w:tcPr>
          <w:p w14:paraId="67D2240A">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防火门</w:t>
            </w:r>
          </w:p>
        </w:tc>
        <w:tc>
          <w:tcPr>
            <w:tcW w:w="576" w:type="pct"/>
            <w:tcBorders>
              <w:tl2br w:val="nil"/>
              <w:tr2bl w:val="nil"/>
            </w:tcBorders>
            <w:vAlign w:val="center"/>
          </w:tcPr>
          <w:p w14:paraId="610FB121">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525" w:type="pct"/>
            <w:tcBorders>
              <w:tl2br w:val="nil"/>
              <w:tr2bl w:val="nil"/>
            </w:tcBorders>
            <w:vAlign w:val="center"/>
          </w:tcPr>
          <w:p w14:paraId="181B9251">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樘</w:t>
            </w:r>
          </w:p>
        </w:tc>
        <w:tc>
          <w:tcPr>
            <w:tcW w:w="620" w:type="pct"/>
            <w:tcBorders>
              <w:tl2br w:val="nil"/>
              <w:tr2bl w:val="nil"/>
            </w:tcBorders>
            <w:vAlign w:val="center"/>
          </w:tcPr>
          <w:p w14:paraId="4106F82B">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5E99D509">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20C09313">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39C042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shd w:val="clear" w:color="auto" w:fill="auto"/>
            <w:vAlign w:val="center"/>
          </w:tcPr>
          <w:p w14:paraId="277C011F">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rPr>
              <w:t>30</w:t>
            </w:r>
          </w:p>
        </w:tc>
        <w:tc>
          <w:tcPr>
            <w:tcW w:w="1646" w:type="pct"/>
            <w:tcBorders>
              <w:tl2br w:val="nil"/>
              <w:tr2bl w:val="nil"/>
            </w:tcBorders>
            <w:vAlign w:val="center"/>
          </w:tcPr>
          <w:p w14:paraId="58FBC447">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不锈钢踢脚</w:t>
            </w:r>
          </w:p>
        </w:tc>
        <w:tc>
          <w:tcPr>
            <w:tcW w:w="576" w:type="pct"/>
            <w:tcBorders>
              <w:tl2br w:val="nil"/>
              <w:tr2bl w:val="nil"/>
            </w:tcBorders>
            <w:vAlign w:val="center"/>
          </w:tcPr>
          <w:p w14:paraId="439B6DDD">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42</w:t>
            </w:r>
          </w:p>
        </w:tc>
        <w:tc>
          <w:tcPr>
            <w:tcW w:w="525" w:type="pct"/>
            <w:tcBorders>
              <w:tl2br w:val="nil"/>
              <w:tr2bl w:val="nil"/>
            </w:tcBorders>
            <w:vAlign w:val="center"/>
          </w:tcPr>
          <w:p w14:paraId="1CDDE01C">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m</w:t>
            </w:r>
          </w:p>
        </w:tc>
        <w:tc>
          <w:tcPr>
            <w:tcW w:w="620" w:type="pct"/>
            <w:tcBorders>
              <w:tl2br w:val="nil"/>
              <w:tr2bl w:val="nil"/>
            </w:tcBorders>
            <w:vAlign w:val="center"/>
          </w:tcPr>
          <w:p w14:paraId="2B080638">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06712DCC">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3EAB7ADD">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0D1EFD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6FB94D8F">
            <w:pPr>
              <w:keepNext/>
              <w:widowControl/>
              <w:adjustRightInd/>
              <w:snapToGrid w:val="0"/>
              <w:ind w:leftChars="0" w:right="0"/>
              <w:jc w:val="center"/>
              <w:textAlignment w:val="center"/>
              <w:rPr>
                <w:rFonts w:hint="default" w:ascii="宋体" w:hAnsi="宋体" w:eastAsia="宋体" w:cs="宋体"/>
                <w:i w:val="0"/>
                <w:iCs w:val="0"/>
                <w:strike w:val="0"/>
                <w:dstrike w:val="0"/>
                <w:color w:val="auto"/>
                <w:kern w:val="0"/>
                <w:sz w:val="21"/>
                <w:szCs w:val="21"/>
                <w:highlight w:val="none"/>
                <w:u w:val="none"/>
                <w:lang w:val="en-US" w:eastAsia="zh-CN"/>
              </w:rPr>
            </w:pPr>
            <w:r>
              <w:rPr>
                <w:rFonts w:hint="eastAsia" w:ascii="宋体" w:hAnsi="宋体" w:cs="宋体"/>
                <w:i w:val="0"/>
                <w:iCs w:val="0"/>
                <w:strike w:val="0"/>
                <w:dstrike w:val="0"/>
                <w:color w:val="auto"/>
                <w:kern w:val="0"/>
                <w:sz w:val="21"/>
                <w:szCs w:val="21"/>
                <w:highlight w:val="none"/>
                <w:u w:val="none"/>
                <w:lang w:val="en-US" w:eastAsia="zh-CN"/>
              </w:rPr>
              <w:t>31</w:t>
            </w:r>
          </w:p>
        </w:tc>
        <w:tc>
          <w:tcPr>
            <w:tcW w:w="1646" w:type="pct"/>
            <w:tcBorders>
              <w:tl2br w:val="nil"/>
              <w:tr2bl w:val="nil"/>
            </w:tcBorders>
            <w:vAlign w:val="center"/>
          </w:tcPr>
          <w:p w14:paraId="6D84E8E4">
            <w:pPr>
              <w:keepNext/>
              <w:widowControl/>
              <w:adjustRightInd/>
              <w:snapToGrid w:val="0"/>
              <w:ind w:leftChars="0" w:right="0"/>
              <w:jc w:val="center"/>
              <w:textAlignment w:val="center"/>
              <w:rPr>
                <w:rFonts w:hint="eastAsia" w:ascii="宋体" w:hAnsi="宋体" w:eastAsia="宋体" w:cs="宋体"/>
                <w:i w:val="0"/>
                <w:iCs w:val="0"/>
                <w:strike w:val="0"/>
                <w:dstrike w:val="0"/>
                <w:color w:val="auto"/>
                <w:kern w:val="0"/>
                <w:sz w:val="21"/>
                <w:szCs w:val="21"/>
                <w:highlight w:val="none"/>
                <w:u w:val="none"/>
                <w:lang w:val="en-US" w:eastAsia="zh-CN"/>
              </w:rPr>
            </w:pPr>
            <w:r>
              <w:rPr>
                <w:rFonts w:hint="eastAsia" w:ascii="宋体" w:hAnsi="宋体" w:eastAsia="宋体" w:cs="宋体"/>
                <w:i w:val="0"/>
                <w:iCs w:val="0"/>
                <w:strike w:val="0"/>
                <w:dstrike w:val="0"/>
                <w:color w:val="auto"/>
                <w:kern w:val="0"/>
                <w:sz w:val="21"/>
                <w:szCs w:val="21"/>
                <w:highlight w:val="none"/>
                <w:u w:val="none"/>
                <w:lang w:val="en-US" w:eastAsia="zh-CN"/>
              </w:rPr>
              <w:t>低压配电箱</w:t>
            </w:r>
          </w:p>
        </w:tc>
        <w:tc>
          <w:tcPr>
            <w:tcW w:w="576" w:type="pct"/>
            <w:tcBorders>
              <w:tl2br w:val="nil"/>
              <w:tr2bl w:val="nil"/>
            </w:tcBorders>
            <w:vAlign w:val="center"/>
          </w:tcPr>
          <w:p w14:paraId="334B57C7">
            <w:pPr>
              <w:keepNext/>
              <w:widowControl/>
              <w:adjustRightInd/>
              <w:snapToGrid w:val="0"/>
              <w:ind w:leftChars="0" w:right="0"/>
              <w:jc w:val="center"/>
              <w:textAlignment w:val="center"/>
              <w:rPr>
                <w:rFonts w:hint="eastAsia" w:ascii="宋体" w:hAnsi="宋体" w:eastAsia="宋体" w:cs="宋体"/>
                <w:i w:val="0"/>
                <w:iCs w:val="0"/>
                <w:strike w:val="0"/>
                <w:dstrike w:val="0"/>
                <w:color w:val="auto"/>
                <w:kern w:val="0"/>
                <w:sz w:val="21"/>
                <w:szCs w:val="21"/>
                <w:highlight w:val="none"/>
                <w:u w:val="none"/>
                <w:lang w:val="en-US" w:eastAsia="zh-CN"/>
              </w:rPr>
            </w:pPr>
            <w:r>
              <w:rPr>
                <w:rFonts w:hint="eastAsia" w:ascii="宋体" w:hAnsi="宋体" w:eastAsia="宋体" w:cs="宋体"/>
                <w:i w:val="0"/>
                <w:iCs w:val="0"/>
                <w:strike w:val="0"/>
                <w:dstrike w:val="0"/>
                <w:color w:val="auto"/>
                <w:kern w:val="0"/>
                <w:sz w:val="21"/>
                <w:szCs w:val="21"/>
                <w:highlight w:val="none"/>
                <w:u w:val="none"/>
                <w:lang w:val="en-US" w:eastAsia="zh-CN"/>
              </w:rPr>
              <w:t>1</w:t>
            </w:r>
          </w:p>
        </w:tc>
        <w:tc>
          <w:tcPr>
            <w:tcW w:w="525" w:type="pct"/>
            <w:tcBorders>
              <w:tl2br w:val="nil"/>
              <w:tr2bl w:val="nil"/>
            </w:tcBorders>
            <w:vAlign w:val="center"/>
          </w:tcPr>
          <w:p w14:paraId="5402F4A0">
            <w:pPr>
              <w:keepNext/>
              <w:widowControl/>
              <w:adjustRightInd/>
              <w:snapToGrid w:val="0"/>
              <w:ind w:leftChars="0" w:right="0"/>
              <w:jc w:val="center"/>
              <w:textAlignment w:val="center"/>
              <w:rPr>
                <w:rFonts w:hint="eastAsia" w:ascii="宋体" w:hAnsi="宋体" w:eastAsia="宋体" w:cs="宋体"/>
                <w:i w:val="0"/>
                <w:iCs w:val="0"/>
                <w:strike w:val="0"/>
                <w:dstrike w:val="0"/>
                <w:color w:val="auto"/>
                <w:kern w:val="0"/>
                <w:sz w:val="21"/>
                <w:szCs w:val="21"/>
                <w:highlight w:val="none"/>
                <w:u w:val="none"/>
                <w:lang w:val="en-US" w:eastAsia="zh-CN"/>
              </w:rPr>
            </w:pPr>
            <w:r>
              <w:rPr>
                <w:rFonts w:hint="eastAsia" w:ascii="宋体" w:hAnsi="宋体" w:eastAsia="宋体" w:cs="宋体"/>
                <w:i w:val="0"/>
                <w:iCs w:val="0"/>
                <w:strike w:val="0"/>
                <w:dstrike w:val="0"/>
                <w:color w:val="auto"/>
                <w:kern w:val="0"/>
                <w:sz w:val="21"/>
                <w:szCs w:val="21"/>
                <w:highlight w:val="none"/>
                <w:u w:val="none"/>
                <w:lang w:val="en-US" w:eastAsia="zh-CN"/>
              </w:rPr>
              <w:t>套</w:t>
            </w:r>
          </w:p>
        </w:tc>
        <w:tc>
          <w:tcPr>
            <w:tcW w:w="620" w:type="pct"/>
            <w:tcBorders>
              <w:tl2br w:val="nil"/>
              <w:tr2bl w:val="nil"/>
            </w:tcBorders>
            <w:vAlign w:val="center"/>
          </w:tcPr>
          <w:p w14:paraId="36B8C227">
            <w:pPr>
              <w:keepNext/>
              <w:widowControl/>
              <w:adjustRightInd/>
              <w:snapToGrid w:val="0"/>
              <w:ind w:leftChars="0" w:right="0"/>
              <w:jc w:val="center"/>
              <w:textAlignment w:val="center"/>
              <w:rPr>
                <w:rFonts w:hint="eastAsia" w:ascii="宋体" w:hAnsi="宋体" w:eastAsia="宋体" w:cs="宋体"/>
                <w:i w:val="0"/>
                <w:iCs w:val="0"/>
                <w:strike w:val="0"/>
                <w:dstrike w:val="0"/>
                <w:color w:val="auto"/>
                <w:kern w:val="0"/>
                <w:sz w:val="21"/>
                <w:szCs w:val="21"/>
                <w:highlight w:val="none"/>
                <w:u w:val="none"/>
                <w:lang w:val="en-US" w:eastAsia="zh-CN"/>
              </w:rPr>
            </w:pPr>
          </w:p>
        </w:tc>
        <w:tc>
          <w:tcPr>
            <w:tcW w:w="620" w:type="pct"/>
            <w:tcBorders>
              <w:tl2br w:val="nil"/>
              <w:tr2bl w:val="nil"/>
            </w:tcBorders>
            <w:vAlign w:val="center"/>
          </w:tcPr>
          <w:p w14:paraId="0BFF55CC">
            <w:pPr>
              <w:keepNext/>
              <w:widowControl/>
              <w:adjustRightInd/>
              <w:snapToGrid w:val="0"/>
              <w:ind w:leftChars="0" w:right="0"/>
              <w:jc w:val="center"/>
              <w:textAlignment w:val="center"/>
              <w:rPr>
                <w:rFonts w:hint="eastAsia" w:ascii="宋体" w:hAnsi="宋体" w:eastAsia="宋体" w:cs="宋体"/>
                <w:i w:val="0"/>
                <w:iCs w:val="0"/>
                <w:strike w:val="0"/>
                <w:dstrike w:val="0"/>
                <w:color w:val="auto"/>
                <w:kern w:val="0"/>
                <w:sz w:val="21"/>
                <w:szCs w:val="21"/>
                <w:highlight w:val="none"/>
                <w:u w:val="none"/>
                <w:lang w:val="en-US" w:eastAsia="zh-CN"/>
              </w:rPr>
            </w:pPr>
          </w:p>
        </w:tc>
        <w:tc>
          <w:tcPr>
            <w:tcW w:w="620" w:type="pct"/>
            <w:tcBorders>
              <w:tl2br w:val="nil"/>
              <w:tr2bl w:val="nil"/>
            </w:tcBorders>
            <w:vAlign w:val="center"/>
          </w:tcPr>
          <w:p w14:paraId="29692547">
            <w:pPr>
              <w:keepNext/>
              <w:widowControl/>
              <w:adjustRightInd/>
              <w:snapToGrid w:val="0"/>
              <w:ind w:leftChars="0" w:right="0"/>
              <w:jc w:val="center"/>
              <w:textAlignment w:val="center"/>
              <w:rPr>
                <w:rFonts w:hint="eastAsia" w:ascii="宋体" w:hAnsi="宋体" w:eastAsia="宋体" w:cs="宋体"/>
                <w:i w:val="0"/>
                <w:iCs w:val="0"/>
                <w:strike w:val="0"/>
                <w:dstrike w:val="0"/>
                <w:color w:val="auto"/>
                <w:kern w:val="0"/>
                <w:sz w:val="21"/>
                <w:szCs w:val="21"/>
                <w:highlight w:val="none"/>
                <w:u w:val="none"/>
                <w:lang w:val="en-US" w:eastAsia="zh-CN"/>
              </w:rPr>
            </w:pPr>
          </w:p>
        </w:tc>
      </w:tr>
      <w:tr w14:paraId="09CCE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15D7B291">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32</w:t>
            </w:r>
          </w:p>
        </w:tc>
        <w:tc>
          <w:tcPr>
            <w:tcW w:w="1646" w:type="pct"/>
            <w:tcBorders>
              <w:tl2br w:val="nil"/>
              <w:tr2bl w:val="nil"/>
            </w:tcBorders>
            <w:vAlign w:val="center"/>
          </w:tcPr>
          <w:p w14:paraId="2430A9C6">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耐火电缆</w:t>
            </w:r>
          </w:p>
        </w:tc>
        <w:tc>
          <w:tcPr>
            <w:tcW w:w="576" w:type="pct"/>
            <w:tcBorders>
              <w:tl2br w:val="nil"/>
              <w:tr2bl w:val="nil"/>
            </w:tcBorders>
            <w:vAlign w:val="center"/>
          </w:tcPr>
          <w:p w14:paraId="44AF6E02">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50</w:t>
            </w:r>
          </w:p>
        </w:tc>
        <w:tc>
          <w:tcPr>
            <w:tcW w:w="525" w:type="pct"/>
            <w:tcBorders>
              <w:tl2br w:val="nil"/>
              <w:tr2bl w:val="nil"/>
            </w:tcBorders>
            <w:vAlign w:val="center"/>
          </w:tcPr>
          <w:p w14:paraId="27F3BF24">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米</w:t>
            </w:r>
          </w:p>
        </w:tc>
        <w:tc>
          <w:tcPr>
            <w:tcW w:w="620" w:type="pct"/>
            <w:tcBorders>
              <w:tl2br w:val="nil"/>
              <w:tr2bl w:val="nil"/>
            </w:tcBorders>
            <w:vAlign w:val="center"/>
          </w:tcPr>
          <w:p w14:paraId="1EDF6A41">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45FFAC63">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5125EF98">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3D3469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27DCE6EC">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33</w:t>
            </w:r>
          </w:p>
        </w:tc>
        <w:tc>
          <w:tcPr>
            <w:tcW w:w="1646" w:type="pct"/>
            <w:tcBorders>
              <w:tl2br w:val="nil"/>
              <w:tr2bl w:val="nil"/>
            </w:tcBorders>
            <w:vAlign w:val="center"/>
          </w:tcPr>
          <w:p w14:paraId="1807811B">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阻燃电缆</w:t>
            </w:r>
          </w:p>
        </w:tc>
        <w:tc>
          <w:tcPr>
            <w:tcW w:w="576" w:type="pct"/>
            <w:tcBorders>
              <w:tl2br w:val="nil"/>
              <w:tr2bl w:val="nil"/>
            </w:tcBorders>
            <w:vAlign w:val="center"/>
          </w:tcPr>
          <w:p w14:paraId="0473D957">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110</w:t>
            </w:r>
          </w:p>
        </w:tc>
        <w:tc>
          <w:tcPr>
            <w:tcW w:w="525" w:type="pct"/>
            <w:tcBorders>
              <w:tl2br w:val="nil"/>
              <w:tr2bl w:val="nil"/>
            </w:tcBorders>
            <w:vAlign w:val="center"/>
          </w:tcPr>
          <w:p w14:paraId="6BD83CBA">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米</w:t>
            </w:r>
          </w:p>
        </w:tc>
        <w:tc>
          <w:tcPr>
            <w:tcW w:w="620" w:type="pct"/>
            <w:tcBorders>
              <w:tl2br w:val="nil"/>
              <w:tr2bl w:val="nil"/>
            </w:tcBorders>
            <w:vAlign w:val="center"/>
          </w:tcPr>
          <w:p w14:paraId="3D88BA51">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200EA7EF">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683A139F">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4D4E4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6F4F89CA">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34</w:t>
            </w:r>
          </w:p>
        </w:tc>
        <w:tc>
          <w:tcPr>
            <w:tcW w:w="1646" w:type="pct"/>
            <w:tcBorders>
              <w:tl2br w:val="nil"/>
              <w:tr2bl w:val="nil"/>
            </w:tcBorders>
            <w:vAlign w:val="center"/>
          </w:tcPr>
          <w:p w14:paraId="4EE0D54B">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阻燃电缆</w:t>
            </w:r>
          </w:p>
        </w:tc>
        <w:tc>
          <w:tcPr>
            <w:tcW w:w="576" w:type="pct"/>
            <w:tcBorders>
              <w:tl2br w:val="nil"/>
              <w:tr2bl w:val="nil"/>
            </w:tcBorders>
            <w:vAlign w:val="center"/>
          </w:tcPr>
          <w:p w14:paraId="33CBCAD2">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20</w:t>
            </w:r>
          </w:p>
        </w:tc>
        <w:tc>
          <w:tcPr>
            <w:tcW w:w="525" w:type="pct"/>
            <w:tcBorders>
              <w:tl2br w:val="nil"/>
              <w:tr2bl w:val="nil"/>
            </w:tcBorders>
            <w:vAlign w:val="center"/>
          </w:tcPr>
          <w:p w14:paraId="1A8E8ACD">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米</w:t>
            </w:r>
          </w:p>
        </w:tc>
        <w:tc>
          <w:tcPr>
            <w:tcW w:w="620" w:type="pct"/>
            <w:tcBorders>
              <w:tl2br w:val="nil"/>
              <w:tr2bl w:val="nil"/>
            </w:tcBorders>
            <w:vAlign w:val="center"/>
          </w:tcPr>
          <w:p w14:paraId="5E01BFA5">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3549C37B">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3AD995AE">
            <w:pPr>
              <w:keepNext/>
              <w:widowControl/>
              <w:adjustRightInd/>
              <w:snapToGrid w:val="0"/>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3752A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623" w:hRule="atLeast"/>
          <w:jc w:val="center"/>
        </w:trPr>
        <w:tc>
          <w:tcPr>
            <w:tcW w:w="390" w:type="pct"/>
            <w:tcBorders>
              <w:tl2br w:val="nil"/>
              <w:tr2bl w:val="nil"/>
            </w:tcBorders>
            <w:vAlign w:val="center"/>
          </w:tcPr>
          <w:p w14:paraId="02EC37FE">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35</w:t>
            </w:r>
          </w:p>
        </w:tc>
        <w:tc>
          <w:tcPr>
            <w:tcW w:w="1646" w:type="pct"/>
            <w:tcBorders>
              <w:tl2br w:val="nil"/>
              <w:tr2bl w:val="nil"/>
            </w:tcBorders>
            <w:vAlign w:val="center"/>
          </w:tcPr>
          <w:p w14:paraId="3C3A5286">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至房间各设备（插座、室内机等）配电线缆</w:t>
            </w:r>
          </w:p>
        </w:tc>
        <w:tc>
          <w:tcPr>
            <w:tcW w:w="576" w:type="pct"/>
            <w:tcBorders>
              <w:tl2br w:val="nil"/>
              <w:tr2bl w:val="nil"/>
            </w:tcBorders>
            <w:vAlign w:val="center"/>
          </w:tcPr>
          <w:p w14:paraId="13EFDE81">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525" w:type="pct"/>
            <w:tcBorders>
              <w:tl2br w:val="nil"/>
              <w:tr2bl w:val="nil"/>
            </w:tcBorders>
            <w:vAlign w:val="center"/>
          </w:tcPr>
          <w:p w14:paraId="439E964F">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项</w:t>
            </w:r>
          </w:p>
        </w:tc>
        <w:tc>
          <w:tcPr>
            <w:tcW w:w="620" w:type="pct"/>
            <w:tcBorders>
              <w:tl2br w:val="nil"/>
              <w:tr2bl w:val="nil"/>
            </w:tcBorders>
            <w:vAlign w:val="center"/>
          </w:tcPr>
          <w:p w14:paraId="2326B515">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3DA54FB9">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45479AD4">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6EE53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5661145C">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36</w:t>
            </w:r>
          </w:p>
        </w:tc>
        <w:tc>
          <w:tcPr>
            <w:tcW w:w="1646" w:type="pct"/>
            <w:tcBorders>
              <w:tl2br w:val="nil"/>
              <w:tr2bl w:val="nil"/>
            </w:tcBorders>
            <w:vAlign w:val="center"/>
          </w:tcPr>
          <w:p w14:paraId="0961E403">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智能感烟探测器</w:t>
            </w:r>
          </w:p>
        </w:tc>
        <w:tc>
          <w:tcPr>
            <w:tcW w:w="576" w:type="pct"/>
            <w:tcBorders>
              <w:tl2br w:val="nil"/>
              <w:tr2bl w:val="nil"/>
            </w:tcBorders>
            <w:vAlign w:val="center"/>
          </w:tcPr>
          <w:p w14:paraId="432223E7">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525" w:type="pct"/>
            <w:tcBorders>
              <w:tl2br w:val="nil"/>
              <w:tr2bl w:val="nil"/>
            </w:tcBorders>
            <w:vAlign w:val="center"/>
          </w:tcPr>
          <w:p w14:paraId="043D4D80">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套</w:t>
            </w:r>
          </w:p>
        </w:tc>
        <w:tc>
          <w:tcPr>
            <w:tcW w:w="620" w:type="pct"/>
            <w:tcBorders>
              <w:tl2br w:val="nil"/>
              <w:tr2bl w:val="nil"/>
            </w:tcBorders>
            <w:vAlign w:val="center"/>
          </w:tcPr>
          <w:p w14:paraId="744D8D55">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211DE879">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5108772F">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7C1BA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19A5796D">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37</w:t>
            </w:r>
          </w:p>
        </w:tc>
        <w:tc>
          <w:tcPr>
            <w:tcW w:w="1646" w:type="pct"/>
            <w:tcBorders>
              <w:tl2br w:val="nil"/>
              <w:tr2bl w:val="nil"/>
            </w:tcBorders>
            <w:vAlign w:val="center"/>
          </w:tcPr>
          <w:p w14:paraId="6DDB77CF">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智能感温探测器</w:t>
            </w:r>
          </w:p>
        </w:tc>
        <w:tc>
          <w:tcPr>
            <w:tcW w:w="576" w:type="pct"/>
            <w:tcBorders>
              <w:tl2br w:val="nil"/>
              <w:tr2bl w:val="nil"/>
            </w:tcBorders>
            <w:vAlign w:val="center"/>
          </w:tcPr>
          <w:p w14:paraId="0E9C10F5">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525" w:type="pct"/>
            <w:tcBorders>
              <w:tl2br w:val="nil"/>
              <w:tr2bl w:val="nil"/>
            </w:tcBorders>
            <w:vAlign w:val="center"/>
          </w:tcPr>
          <w:p w14:paraId="2D75A4B6">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套</w:t>
            </w:r>
          </w:p>
        </w:tc>
        <w:tc>
          <w:tcPr>
            <w:tcW w:w="620" w:type="pct"/>
            <w:tcBorders>
              <w:tl2br w:val="nil"/>
              <w:tr2bl w:val="nil"/>
            </w:tcBorders>
            <w:vAlign w:val="center"/>
          </w:tcPr>
          <w:p w14:paraId="1F4BF9FC">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33956336">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030F7F1A">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04A7D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392" w:hRule="atLeast"/>
          <w:jc w:val="center"/>
        </w:trPr>
        <w:tc>
          <w:tcPr>
            <w:tcW w:w="390" w:type="pct"/>
            <w:tcBorders>
              <w:tl2br w:val="nil"/>
              <w:tr2bl w:val="nil"/>
            </w:tcBorders>
            <w:vAlign w:val="center"/>
          </w:tcPr>
          <w:p w14:paraId="19EECDE1">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38</w:t>
            </w:r>
          </w:p>
        </w:tc>
        <w:tc>
          <w:tcPr>
            <w:tcW w:w="1646" w:type="pct"/>
            <w:tcBorders>
              <w:tl2br w:val="nil"/>
              <w:tr2bl w:val="nil"/>
            </w:tcBorders>
            <w:vAlign w:val="center"/>
          </w:tcPr>
          <w:p w14:paraId="1FA0DA54">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火灾自动报警系统信号线</w:t>
            </w:r>
          </w:p>
        </w:tc>
        <w:tc>
          <w:tcPr>
            <w:tcW w:w="576" w:type="pct"/>
            <w:tcBorders>
              <w:tl2br w:val="nil"/>
              <w:tr2bl w:val="nil"/>
            </w:tcBorders>
            <w:vAlign w:val="center"/>
          </w:tcPr>
          <w:p w14:paraId="2AC028B1">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20</w:t>
            </w:r>
          </w:p>
        </w:tc>
        <w:tc>
          <w:tcPr>
            <w:tcW w:w="525" w:type="pct"/>
            <w:tcBorders>
              <w:tl2br w:val="nil"/>
              <w:tr2bl w:val="nil"/>
            </w:tcBorders>
            <w:vAlign w:val="center"/>
          </w:tcPr>
          <w:p w14:paraId="2025FFEC">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米</w:t>
            </w:r>
          </w:p>
        </w:tc>
        <w:tc>
          <w:tcPr>
            <w:tcW w:w="620" w:type="pct"/>
            <w:tcBorders>
              <w:tl2br w:val="nil"/>
              <w:tr2bl w:val="nil"/>
            </w:tcBorders>
            <w:vAlign w:val="center"/>
          </w:tcPr>
          <w:p w14:paraId="14CC5D1E">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6AFAF0C2">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7116AA59">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45474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413" w:hRule="atLeast"/>
          <w:jc w:val="center"/>
        </w:trPr>
        <w:tc>
          <w:tcPr>
            <w:tcW w:w="390" w:type="pct"/>
            <w:tcBorders>
              <w:tl2br w:val="nil"/>
              <w:tr2bl w:val="nil"/>
            </w:tcBorders>
            <w:vAlign w:val="center"/>
          </w:tcPr>
          <w:p w14:paraId="1ED02D1A">
            <w:pPr>
              <w:keepNext/>
              <w:widowControl/>
              <w:adjustRightInd/>
              <w:snapToGrid w:val="0"/>
              <w:ind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39</w:t>
            </w:r>
          </w:p>
        </w:tc>
        <w:tc>
          <w:tcPr>
            <w:tcW w:w="1646" w:type="pct"/>
            <w:tcBorders>
              <w:tl2br w:val="nil"/>
              <w:tr2bl w:val="nil"/>
            </w:tcBorders>
            <w:vAlign w:val="center"/>
          </w:tcPr>
          <w:p w14:paraId="083D51D7">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FAS系统安装调试</w:t>
            </w:r>
          </w:p>
        </w:tc>
        <w:tc>
          <w:tcPr>
            <w:tcW w:w="576" w:type="pct"/>
            <w:tcBorders>
              <w:tl2br w:val="nil"/>
              <w:tr2bl w:val="nil"/>
            </w:tcBorders>
            <w:vAlign w:val="center"/>
          </w:tcPr>
          <w:p w14:paraId="08D6BDED">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525" w:type="pct"/>
            <w:tcBorders>
              <w:tl2br w:val="nil"/>
              <w:tr2bl w:val="nil"/>
            </w:tcBorders>
            <w:vAlign w:val="center"/>
          </w:tcPr>
          <w:p w14:paraId="6053E4B2">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项</w:t>
            </w:r>
          </w:p>
        </w:tc>
        <w:tc>
          <w:tcPr>
            <w:tcW w:w="620" w:type="pct"/>
            <w:tcBorders>
              <w:tl2br w:val="nil"/>
              <w:tr2bl w:val="nil"/>
            </w:tcBorders>
            <w:vAlign w:val="center"/>
          </w:tcPr>
          <w:p w14:paraId="14887356">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6DFE8E73">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57F03B4B">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09462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2" w:type="dxa"/>
            <w:left w:w="64" w:type="dxa"/>
            <w:bottom w:w="32" w:type="dxa"/>
            <w:right w:w="64" w:type="dxa"/>
          </w:tblCellMar>
        </w:tblPrEx>
        <w:trPr>
          <w:trHeight w:val="413" w:hRule="atLeast"/>
          <w:jc w:val="center"/>
        </w:trPr>
        <w:tc>
          <w:tcPr>
            <w:tcW w:w="3758" w:type="pct"/>
            <w:gridSpan w:val="5"/>
            <w:tcBorders>
              <w:tl2br w:val="nil"/>
              <w:tr2bl w:val="nil"/>
            </w:tcBorders>
            <w:vAlign w:val="center"/>
          </w:tcPr>
          <w:p w14:paraId="5EDFB2B3">
            <w:pPr>
              <w:keepNext/>
              <w:widowControl/>
              <w:adjustRightInd/>
              <w:snapToGrid w:val="0"/>
              <w:ind w:left="0" w:leftChars="0" w:right="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合计</w:t>
            </w:r>
          </w:p>
        </w:tc>
        <w:tc>
          <w:tcPr>
            <w:tcW w:w="620" w:type="pct"/>
            <w:tcBorders>
              <w:tl2br w:val="nil"/>
              <w:tr2bl w:val="nil"/>
            </w:tcBorders>
            <w:vAlign w:val="center"/>
          </w:tcPr>
          <w:p w14:paraId="02ABEB23">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620" w:type="pct"/>
            <w:tcBorders>
              <w:tl2br w:val="nil"/>
              <w:tr2bl w:val="nil"/>
            </w:tcBorders>
            <w:vAlign w:val="center"/>
          </w:tcPr>
          <w:p w14:paraId="3019AD30">
            <w:pPr>
              <w:keepNext/>
              <w:widowControl/>
              <w:adjustRightInd/>
              <w:snapToGrid w:val="0"/>
              <w:ind w:left="0" w:leftChars="0" w:right="0"/>
              <w:jc w:val="center"/>
              <w:textAlignment w:val="center"/>
              <w:rPr>
                <w:rFonts w:hint="eastAsia" w:ascii="宋体" w:hAnsi="宋体" w:eastAsia="宋体" w:cs="宋体"/>
                <w:i w:val="0"/>
                <w:iCs w:val="0"/>
                <w:color w:val="auto"/>
                <w:kern w:val="0"/>
                <w:sz w:val="21"/>
                <w:szCs w:val="21"/>
                <w:highlight w:val="none"/>
                <w:u w:val="none"/>
                <w:lang w:val="en-US" w:eastAsia="zh-CN"/>
              </w:rPr>
            </w:pPr>
          </w:p>
        </w:tc>
      </w:tr>
    </w:tbl>
    <w:p w14:paraId="139B07A9">
      <w:pPr>
        <w:bidi w:val="0"/>
        <w:rPr>
          <w:rFonts w:hint="default"/>
          <w:lang w:val="en-US" w:eastAsia="zh-CN"/>
        </w:rPr>
      </w:pPr>
    </w:p>
    <w:p w14:paraId="05D0B008">
      <w:pPr>
        <w:spacing w:line="440" w:lineRule="exact"/>
        <w:rPr>
          <w:rFonts w:hint="eastAsia" w:ascii="宋体" w:hAnsi="宋体" w:eastAsia="宋体" w:cs="宋体"/>
          <w:highlight w:val="none"/>
        </w:rPr>
      </w:pPr>
      <w:r>
        <w:rPr>
          <w:rFonts w:hint="eastAsia" w:ascii="宋体" w:hAnsi="宋体" w:eastAsia="宋体" w:cs="宋体"/>
          <w:highlight w:val="none"/>
        </w:rPr>
        <w:t xml:space="preserve">   </w:t>
      </w:r>
    </w:p>
    <w:p w14:paraId="0CAFC81C">
      <w:pPr>
        <w:spacing w:line="440" w:lineRule="exact"/>
        <w:rPr>
          <w:rFonts w:hint="eastAsia" w:ascii="宋体" w:hAnsi="宋体" w:eastAsia="宋体" w:cs="宋体"/>
          <w:highlight w:val="none"/>
        </w:rPr>
      </w:pPr>
    </w:p>
    <w:p w14:paraId="3CAA37CF">
      <w:pPr>
        <w:spacing w:line="440" w:lineRule="exact"/>
        <w:ind w:firstLine="403" w:firstLineChars="192"/>
        <w:jc w:val="right"/>
        <w:rPr>
          <w:rFonts w:hint="eastAsia" w:ascii="宋体" w:hAnsi="宋体" w:eastAsia="宋体" w:cs="宋体"/>
          <w:highlight w:val="none"/>
          <w:u w:val="single"/>
        </w:rPr>
      </w:pPr>
      <w:r>
        <w:rPr>
          <w:rFonts w:hint="eastAsia" w:ascii="宋体" w:hAnsi="宋体" w:eastAsia="宋体" w:cs="宋体"/>
          <w:highlight w:val="none"/>
        </w:rPr>
        <w:t xml:space="preserve">    参选人：</w:t>
      </w:r>
      <w:r>
        <w:rPr>
          <w:rFonts w:hint="eastAsia" w:ascii="宋体" w:hAnsi="宋体" w:eastAsia="宋体" w:cs="宋体"/>
          <w:highlight w:val="none"/>
          <w:u w:val="single"/>
        </w:rPr>
        <w:t xml:space="preserve">                      （盖章） </w:t>
      </w:r>
    </w:p>
    <w:p w14:paraId="4FDBBE53">
      <w:pPr>
        <w:spacing w:line="440" w:lineRule="exact"/>
        <w:ind w:firstLine="403" w:firstLineChars="192"/>
        <w:jc w:val="right"/>
        <w:rPr>
          <w:rFonts w:hint="eastAsia" w:ascii="宋体" w:hAnsi="宋体" w:eastAsia="宋体" w:cs="宋体"/>
          <w:highlight w:val="none"/>
        </w:rPr>
      </w:pPr>
      <w:r>
        <w:rPr>
          <w:rFonts w:hint="eastAsia" w:ascii="宋体" w:hAnsi="宋体" w:eastAsia="宋体" w:cs="宋体"/>
          <w:highlight w:val="none"/>
        </w:rPr>
        <w:t>法定代表人或委托代理人：</w:t>
      </w:r>
      <w:r>
        <w:rPr>
          <w:rFonts w:hint="eastAsia" w:ascii="宋体" w:hAnsi="宋体" w:eastAsia="宋体" w:cs="宋体"/>
          <w:highlight w:val="none"/>
          <w:u w:val="single"/>
        </w:rPr>
        <w:t>（签字或盖章）</w:t>
      </w:r>
    </w:p>
    <w:p w14:paraId="3B53DA5E">
      <w:pPr>
        <w:spacing w:line="440" w:lineRule="exact"/>
        <w:ind w:firstLine="420" w:firstLineChars="200"/>
        <w:jc w:val="right"/>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14:paraId="61E79693">
      <w:pPr>
        <w:rPr>
          <w:rFonts w:hint="eastAsia" w:ascii="宋体" w:hAnsi="宋体" w:eastAsia="宋体" w:cs="宋体"/>
          <w:highlight w:val="none"/>
        </w:rPr>
      </w:pPr>
    </w:p>
    <w:sectPr>
      <w:footerReference r:id="rId11"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5B1E93ED-C554-4BED-AF99-296EEA8B73A4}"/>
  </w:font>
  <w:font w:name="文新字海-粗楷">
    <w:altName w:val="宋体"/>
    <w:panose1 w:val="00000000000000000000"/>
    <w:charset w:val="88"/>
    <w:family w:val="auto"/>
    <w:pitch w:val="default"/>
    <w:sig w:usb0="00000000" w:usb1="00000000" w:usb2="00000010" w:usb3="00000000" w:csb0="001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讣篮 绊雕">
    <w:altName w:val="宋体"/>
    <w:panose1 w:val="00000000000000000000"/>
    <w:charset w:val="86"/>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2" w:fontKey="{85D9D226-00CD-4B3A-9F99-E096E0BA83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2AC53">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2FD6F">
    <w:pPr>
      <w:pStyle w:val="2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3CA05">
                          <w:pPr>
                            <w:pStyle w:val="2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E53CA05">
                    <w:pPr>
                      <w:pStyle w:val="2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EFED6">
    <w:pPr>
      <w:pStyle w:val="25"/>
      <w:framePr w:wrap="around" w:vAnchor="text" w:hAnchor="margin" w:xAlign="center" w:y="1"/>
      <w:rPr>
        <w:rStyle w:val="41"/>
      </w:rPr>
    </w:pPr>
    <w:r>
      <w:fldChar w:fldCharType="begin"/>
    </w:r>
    <w:r>
      <w:rPr>
        <w:rStyle w:val="41"/>
      </w:rPr>
      <w:instrText xml:space="preserve">PAGE  </w:instrText>
    </w:r>
    <w:r>
      <w:fldChar w:fldCharType="separate"/>
    </w:r>
    <w:r>
      <w:rPr>
        <w:rStyle w:val="41"/>
      </w:rPr>
      <w:t>1</w:t>
    </w:r>
    <w:r>
      <w:fldChar w:fldCharType="end"/>
    </w:r>
  </w:p>
  <w:p w14:paraId="3CDB6E4F">
    <w:pPr>
      <w:pStyle w:val="2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CA25E">
    <w:pPr>
      <w:pStyle w:val="25"/>
      <w:tabs>
        <w:tab w:val="clear" w:pos="4153"/>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27305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273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80A15">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1.5pt;width:144pt;mso-position-horizontal:center;mso-position-horizontal-relative:margin;mso-wrap-style:none;z-index:251661312;mso-width-relative:page;mso-height-relative:page;" filled="f" stroked="f" coordsize="21600,21600" o:gfxdata="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CDey91AAAAAQBAAAPAAAAAAAAAAEAIAAAACIAAABkcnMvZG93bnJldi54bWxQ&#10;SwECFAAUAAAACACHTuJAQg3aEDQCAABiBAAADgAAAAAAAAABACAAAAAjAQAAZHJzL2Uyb0RvYy54&#10;bWxQSwUGAAAAAAYABgBZAQAAyQUAAAAA&#10;">
              <v:fill on="f" focussize="0,0"/>
              <v:stroke on="f" weight="0.5pt"/>
              <v:imagedata o:title=""/>
              <o:lock v:ext="edit" aspectratio="f"/>
              <v:textbox inset="0mm,0mm,0mm,0mm">
                <w:txbxContent>
                  <w:p w14:paraId="3BF80A15">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8271D">
    <w:pPr>
      <w:pStyle w:val="2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AEDDA">
                          <w:pPr>
                            <w:pStyle w:val="2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41AEDDA">
                    <w:pPr>
                      <w:pStyle w:val="2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2E92">
    <w:pPr>
      <w:pStyle w:val="25"/>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1A5CF">
                          <w:pPr>
                            <w:pStyle w:val="2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FA1A5CF">
                    <w:pPr>
                      <w:pStyle w:val="2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AE87A">
    <w:pPr>
      <w:pStyle w:val="25"/>
      <w:ind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2F7DB">
                          <w:pPr>
                            <w:pStyle w:val="2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A52F7DB">
                    <w:pPr>
                      <w:pStyle w:val="2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5755F">
    <w:pPr>
      <w:pStyle w:val="26"/>
      <w:pBdr>
        <w:bottom w:val="none" w:color="auto" w:sz="0" w:space="1"/>
      </w:pBdr>
      <w:jc w:val="left"/>
      <w:rPr>
        <w:rFonts w:hint="eastAsia" w:ascii="仿宋" w:hAnsi="仿宋" w:eastAsia="仿宋" w:cs="仿宋"/>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AF825">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3AA8E"/>
    <w:multiLevelType w:val="singleLevel"/>
    <w:tmpl w:val="81D3AA8E"/>
    <w:lvl w:ilvl="0" w:tentative="0">
      <w:start w:val="1"/>
      <w:numFmt w:val="chineseCounting"/>
      <w:suff w:val="nothing"/>
      <w:lvlText w:val="%1、"/>
      <w:lvlJc w:val="left"/>
      <w:pPr>
        <w:ind w:left="0" w:firstLine="420"/>
      </w:pPr>
      <w:rPr>
        <w:rFonts w:hint="eastAsia"/>
      </w:rPr>
    </w:lvl>
  </w:abstractNum>
  <w:abstractNum w:abstractNumId="1">
    <w:nsid w:val="8A3A24DB"/>
    <w:multiLevelType w:val="multilevel"/>
    <w:tmpl w:val="8A3A24DB"/>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2">
    <w:nsid w:val="A0AFF186"/>
    <w:multiLevelType w:val="multilevel"/>
    <w:tmpl w:val="A0AFF186"/>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3">
    <w:nsid w:val="B4261A72"/>
    <w:multiLevelType w:val="singleLevel"/>
    <w:tmpl w:val="B4261A72"/>
    <w:lvl w:ilvl="0" w:tentative="0">
      <w:start w:val="1"/>
      <w:numFmt w:val="decimalEnclosedCircleChinese"/>
      <w:suff w:val="nothing"/>
      <w:lvlText w:val="%1　"/>
      <w:lvlJc w:val="left"/>
      <w:pPr>
        <w:ind w:left="0" w:firstLine="400"/>
      </w:pPr>
      <w:rPr>
        <w:rFonts w:hint="eastAsia"/>
      </w:rPr>
    </w:lvl>
  </w:abstractNum>
  <w:abstractNum w:abstractNumId="4">
    <w:nsid w:val="B77D176F"/>
    <w:multiLevelType w:val="singleLevel"/>
    <w:tmpl w:val="B77D176F"/>
    <w:lvl w:ilvl="0" w:tentative="0">
      <w:start w:val="1"/>
      <w:numFmt w:val="decimal"/>
      <w:lvlText w:val="%1."/>
      <w:lvlJc w:val="left"/>
      <w:pPr>
        <w:ind w:left="425" w:hanging="425"/>
      </w:pPr>
      <w:rPr>
        <w:rFonts w:hint="default"/>
      </w:rPr>
    </w:lvl>
  </w:abstractNum>
  <w:abstractNum w:abstractNumId="5">
    <w:nsid w:val="E71F6028"/>
    <w:multiLevelType w:val="singleLevel"/>
    <w:tmpl w:val="E71F6028"/>
    <w:lvl w:ilvl="0" w:tentative="0">
      <w:start w:val="1"/>
      <w:numFmt w:val="decimal"/>
      <w:suff w:val="nothing"/>
      <w:lvlText w:val="%1、"/>
      <w:lvlJc w:val="left"/>
    </w:lvl>
  </w:abstractNum>
  <w:abstractNum w:abstractNumId="6">
    <w:nsid w:val="00000043"/>
    <w:multiLevelType w:val="multilevel"/>
    <w:tmpl w:val="00000043"/>
    <w:lvl w:ilvl="0" w:tentative="0">
      <w:start w:val="1"/>
      <w:numFmt w:val="decimal"/>
      <w:lvlText w:val="%1."/>
      <w:lvlJc w:val="left"/>
      <w:pPr>
        <w:tabs>
          <w:tab w:val="left" w:pos="420"/>
        </w:tabs>
        <w:ind w:left="420" w:hanging="420"/>
      </w:pPr>
    </w:lvl>
    <w:lvl w:ilvl="1" w:tentative="0">
      <w:start w:val="1"/>
      <w:numFmt w:val="decimal"/>
      <w:isLgl/>
      <w:lvlText w:val="%1.%2"/>
      <w:lvlJc w:val="left"/>
      <w:pPr>
        <w:tabs>
          <w:tab w:val="left" w:pos="360"/>
        </w:tabs>
        <w:ind w:left="360" w:hanging="36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1080"/>
        </w:tabs>
        <w:ind w:left="1080" w:hanging="108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440"/>
        </w:tabs>
        <w:ind w:left="1440" w:hanging="1440"/>
      </w:pPr>
    </w:lvl>
    <w:lvl w:ilvl="6" w:tentative="0">
      <w:start w:val="1"/>
      <w:numFmt w:val="decimal"/>
      <w:isLgl/>
      <w:lvlText w:val="%1.%2.%3.%4.%5.%6.%7"/>
      <w:lvlJc w:val="left"/>
      <w:pPr>
        <w:tabs>
          <w:tab w:val="left" w:pos="1440"/>
        </w:tabs>
        <w:ind w:left="1440" w:hanging="1440"/>
      </w:pPr>
    </w:lvl>
    <w:lvl w:ilvl="7" w:tentative="0">
      <w:start w:val="1"/>
      <w:numFmt w:val="decimal"/>
      <w:isLgl/>
      <w:lvlText w:val="%1.%2.%3.%4.%5.%6.%7.%8"/>
      <w:lvlJc w:val="left"/>
      <w:pPr>
        <w:tabs>
          <w:tab w:val="left" w:pos="1800"/>
        </w:tabs>
        <w:ind w:left="1800" w:hanging="1800"/>
      </w:pPr>
    </w:lvl>
    <w:lvl w:ilvl="8" w:tentative="0">
      <w:start w:val="1"/>
      <w:numFmt w:val="decimal"/>
      <w:isLgl/>
      <w:lvlText w:val="%1.%2.%3.%4.%5.%6.%7.%8.%9"/>
      <w:lvlJc w:val="left"/>
      <w:pPr>
        <w:tabs>
          <w:tab w:val="left" w:pos="1800"/>
        </w:tabs>
        <w:ind w:left="1800" w:hanging="1800"/>
      </w:pPr>
    </w:lvl>
  </w:abstractNum>
  <w:abstractNum w:abstractNumId="7">
    <w:nsid w:val="10346D9A"/>
    <w:multiLevelType w:val="singleLevel"/>
    <w:tmpl w:val="10346D9A"/>
    <w:lvl w:ilvl="0" w:tentative="0">
      <w:start w:val="1"/>
      <w:numFmt w:val="decimal"/>
      <w:suff w:val="space"/>
      <w:lvlText w:val="%1."/>
      <w:lvlJc w:val="left"/>
      <w:pPr>
        <w:ind w:left="425" w:hanging="425"/>
      </w:pPr>
      <w:rPr>
        <w:rFonts w:hint="default"/>
      </w:rPr>
    </w:lvl>
  </w:abstractNum>
  <w:abstractNum w:abstractNumId="8">
    <w:nsid w:val="37D9320F"/>
    <w:multiLevelType w:val="singleLevel"/>
    <w:tmpl w:val="37D9320F"/>
    <w:lvl w:ilvl="0" w:tentative="0">
      <w:start w:val="1"/>
      <w:numFmt w:val="decimal"/>
      <w:suff w:val="space"/>
      <w:lvlText w:val="%1."/>
      <w:lvlJc w:val="left"/>
      <w:pPr>
        <w:ind w:left="425" w:hanging="425"/>
      </w:pPr>
      <w:rPr>
        <w:rFonts w:hint="default"/>
      </w:rPr>
    </w:lvl>
  </w:abstractNum>
  <w:abstractNum w:abstractNumId="9">
    <w:nsid w:val="38DA3F37"/>
    <w:multiLevelType w:val="multilevel"/>
    <w:tmpl w:val="38DA3F37"/>
    <w:lvl w:ilvl="0" w:tentative="0">
      <w:start w:val="1"/>
      <w:numFmt w:val="bullet"/>
      <w:pStyle w:val="145"/>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10">
    <w:nsid w:val="59AA9837"/>
    <w:multiLevelType w:val="singleLevel"/>
    <w:tmpl w:val="59AA9837"/>
    <w:lvl w:ilvl="0" w:tentative="0">
      <w:start w:val="2"/>
      <w:numFmt w:val="decimal"/>
      <w:suff w:val="nothing"/>
      <w:lvlText w:val="%1."/>
      <w:lvlJc w:val="left"/>
      <w:pPr>
        <w:ind w:left="-21"/>
      </w:pPr>
    </w:lvl>
  </w:abstractNum>
  <w:num w:numId="1">
    <w:abstractNumId w:val="9"/>
  </w:num>
  <w:num w:numId="2">
    <w:abstractNumId w:val="0"/>
  </w:num>
  <w:num w:numId="3">
    <w:abstractNumId w:val="1"/>
  </w:num>
  <w:num w:numId="4">
    <w:abstractNumId w:val="2"/>
  </w:num>
  <w:num w:numId="5">
    <w:abstractNumId w:val="5"/>
  </w:num>
  <w:num w:numId="6">
    <w:abstractNumId w:val="4"/>
  </w:num>
  <w:num w:numId="7">
    <w:abstractNumId w:val="3"/>
  </w:num>
  <w:num w:numId="8">
    <w:abstractNumId w:val="8"/>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YTNlZGQxYmM4NjY4ZWE0MjY4MWE4MjE0NjlhZmUifQ=="/>
    <w:docVar w:name="KSO_WPS_MARK_KEY" w:val="5abcc531-dd44-4c60-84fe-a9e69ee92adc"/>
  </w:docVars>
  <w:rsids>
    <w:rsidRoot w:val="0066708D"/>
    <w:rsid w:val="00000546"/>
    <w:rsid w:val="00000AB2"/>
    <w:rsid w:val="00002A9B"/>
    <w:rsid w:val="000065AF"/>
    <w:rsid w:val="000103FA"/>
    <w:rsid w:val="000144B7"/>
    <w:rsid w:val="00015136"/>
    <w:rsid w:val="00015ECD"/>
    <w:rsid w:val="000176B2"/>
    <w:rsid w:val="0001787A"/>
    <w:rsid w:val="000179C2"/>
    <w:rsid w:val="000207EA"/>
    <w:rsid w:val="00020819"/>
    <w:rsid w:val="0002112A"/>
    <w:rsid w:val="00021B3F"/>
    <w:rsid w:val="0002219B"/>
    <w:rsid w:val="0002458D"/>
    <w:rsid w:val="0002533A"/>
    <w:rsid w:val="0002708D"/>
    <w:rsid w:val="000274F9"/>
    <w:rsid w:val="000277CD"/>
    <w:rsid w:val="00031AD6"/>
    <w:rsid w:val="00033FA3"/>
    <w:rsid w:val="00034346"/>
    <w:rsid w:val="000356E5"/>
    <w:rsid w:val="00036F7E"/>
    <w:rsid w:val="00040669"/>
    <w:rsid w:val="00040AC9"/>
    <w:rsid w:val="000431E3"/>
    <w:rsid w:val="0004496E"/>
    <w:rsid w:val="00044ADE"/>
    <w:rsid w:val="00045858"/>
    <w:rsid w:val="00046E7F"/>
    <w:rsid w:val="00053E7A"/>
    <w:rsid w:val="0005583D"/>
    <w:rsid w:val="00056741"/>
    <w:rsid w:val="00057B6D"/>
    <w:rsid w:val="0006048F"/>
    <w:rsid w:val="000623F5"/>
    <w:rsid w:val="00063271"/>
    <w:rsid w:val="0006339F"/>
    <w:rsid w:val="000634B6"/>
    <w:rsid w:val="00065F50"/>
    <w:rsid w:val="000667DA"/>
    <w:rsid w:val="0006738D"/>
    <w:rsid w:val="00067F36"/>
    <w:rsid w:val="00071F57"/>
    <w:rsid w:val="00073424"/>
    <w:rsid w:val="0007540B"/>
    <w:rsid w:val="00076AE9"/>
    <w:rsid w:val="00081396"/>
    <w:rsid w:val="00082843"/>
    <w:rsid w:val="00082CBF"/>
    <w:rsid w:val="000839F1"/>
    <w:rsid w:val="00084DE0"/>
    <w:rsid w:val="00085157"/>
    <w:rsid w:val="00085D79"/>
    <w:rsid w:val="00085F63"/>
    <w:rsid w:val="000860FE"/>
    <w:rsid w:val="0008766A"/>
    <w:rsid w:val="00090915"/>
    <w:rsid w:val="00092F2D"/>
    <w:rsid w:val="0009490F"/>
    <w:rsid w:val="00094B87"/>
    <w:rsid w:val="00096BFB"/>
    <w:rsid w:val="00097BCB"/>
    <w:rsid w:val="000A096A"/>
    <w:rsid w:val="000A0EF7"/>
    <w:rsid w:val="000A0EF8"/>
    <w:rsid w:val="000A15A0"/>
    <w:rsid w:val="000A2563"/>
    <w:rsid w:val="000A3F28"/>
    <w:rsid w:val="000A5187"/>
    <w:rsid w:val="000A6761"/>
    <w:rsid w:val="000A7EB6"/>
    <w:rsid w:val="000B07BD"/>
    <w:rsid w:val="000B0A49"/>
    <w:rsid w:val="000B5449"/>
    <w:rsid w:val="000B5677"/>
    <w:rsid w:val="000B78B3"/>
    <w:rsid w:val="000B7CF5"/>
    <w:rsid w:val="000C0636"/>
    <w:rsid w:val="000C25FD"/>
    <w:rsid w:val="000C3603"/>
    <w:rsid w:val="000C515F"/>
    <w:rsid w:val="000C54C8"/>
    <w:rsid w:val="000C58C8"/>
    <w:rsid w:val="000C6322"/>
    <w:rsid w:val="000C6FFF"/>
    <w:rsid w:val="000C7774"/>
    <w:rsid w:val="000D190E"/>
    <w:rsid w:val="000D2EFF"/>
    <w:rsid w:val="000D4848"/>
    <w:rsid w:val="000D4C7D"/>
    <w:rsid w:val="000D53CE"/>
    <w:rsid w:val="000D5A2E"/>
    <w:rsid w:val="000D5A42"/>
    <w:rsid w:val="000D5B2C"/>
    <w:rsid w:val="000D63AA"/>
    <w:rsid w:val="000D6D29"/>
    <w:rsid w:val="000D7507"/>
    <w:rsid w:val="000E13C5"/>
    <w:rsid w:val="000E29B5"/>
    <w:rsid w:val="000E3129"/>
    <w:rsid w:val="000E3178"/>
    <w:rsid w:val="000E386B"/>
    <w:rsid w:val="000E66B5"/>
    <w:rsid w:val="000E6876"/>
    <w:rsid w:val="000E69A2"/>
    <w:rsid w:val="000E6D6C"/>
    <w:rsid w:val="000E76D0"/>
    <w:rsid w:val="000F07A2"/>
    <w:rsid w:val="000F3E9B"/>
    <w:rsid w:val="000F4096"/>
    <w:rsid w:val="000F4358"/>
    <w:rsid w:val="000F5CF5"/>
    <w:rsid w:val="000F63C9"/>
    <w:rsid w:val="000F7710"/>
    <w:rsid w:val="001019ED"/>
    <w:rsid w:val="00102AE0"/>
    <w:rsid w:val="00104F7C"/>
    <w:rsid w:val="001053C5"/>
    <w:rsid w:val="0010712E"/>
    <w:rsid w:val="001072DB"/>
    <w:rsid w:val="00107435"/>
    <w:rsid w:val="00114978"/>
    <w:rsid w:val="00114F16"/>
    <w:rsid w:val="001178DB"/>
    <w:rsid w:val="00117E6F"/>
    <w:rsid w:val="00125B3D"/>
    <w:rsid w:val="00130180"/>
    <w:rsid w:val="00131BEC"/>
    <w:rsid w:val="0013301F"/>
    <w:rsid w:val="0013336A"/>
    <w:rsid w:val="00133842"/>
    <w:rsid w:val="00133A76"/>
    <w:rsid w:val="00134655"/>
    <w:rsid w:val="0013596A"/>
    <w:rsid w:val="00135ACB"/>
    <w:rsid w:val="00135FAC"/>
    <w:rsid w:val="001363E8"/>
    <w:rsid w:val="0013686A"/>
    <w:rsid w:val="00141870"/>
    <w:rsid w:val="00142F1A"/>
    <w:rsid w:val="001462E0"/>
    <w:rsid w:val="00146479"/>
    <w:rsid w:val="00146643"/>
    <w:rsid w:val="00147766"/>
    <w:rsid w:val="0015206F"/>
    <w:rsid w:val="00152826"/>
    <w:rsid w:val="001546EC"/>
    <w:rsid w:val="00154AF5"/>
    <w:rsid w:val="0015612C"/>
    <w:rsid w:val="00156E3A"/>
    <w:rsid w:val="00157D64"/>
    <w:rsid w:val="001608D5"/>
    <w:rsid w:val="00161A82"/>
    <w:rsid w:val="00164509"/>
    <w:rsid w:val="001655B9"/>
    <w:rsid w:val="00166316"/>
    <w:rsid w:val="001665AB"/>
    <w:rsid w:val="0016728C"/>
    <w:rsid w:val="001702F5"/>
    <w:rsid w:val="001703A3"/>
    <w:rsid w:val="00170B76"/>
    <w:rsid w:val="00172460"/>
    <w:rsid w:val="0017324A"/>
    <w:rsid w:val="001745FF"/>
    <w:rsid w:val="001748AC"/>
    <w:rsid w:val="0017497C"/>
    <w:rsid w:val="001770E3"/>
    <w:rsid w:val="00177438"/>
    <w:rsid w:val="00181911"/>
    <w:rsid w:val="001820D2"/>
    <w:rsid w:val="001838FE"/>
    <w:rsid w:val="00183A3A"/>
    <w:rsid w:val="00184AD9"/>
    <w:rsid w:val="00184AF5"/>
    <w:rsid w:val="00185828"/>
    <w:rsid w:val="00186126"/>
    <w:rsid w:val="00186DF5"/>
    <w:rsid w:val="001875B3"/>
    <w:rsid w:val="0019058C"/>
    <w:rsid w:val="00192A38"/>
    <w:rsid w:val="0019303E"/>
    <w:rsid w:val="00193F84"/>
    <w:rsid w:val="0019554C"/>
    <w:rsid w:val="0019566E"/>
    <w:rsid w:val="00195BE1"/>
    <w:rsid w:val="001964AF"/>
    <w:rsid w:val="001964E7"/>
    <w:rsid w:val="001A0707"/>
    <w:rsid w:val="001A14DF"/>
    <w:rsid w:val="001A2111"/>
    <w:rsid w:val="001A51B7"/>
    <w:rsid w:val="001A6DDB"/>
    <w:rsid w:val="001A7B4C"/>
    <w:rsid w:val="001A7BFE"/>
    <w:rsid w:val="001B4291"/>
    <w:rsid w:val="001B56B0"/>
    <w:rsid w:val="001B6C7A"/>
    <w:rsid w:val="001B7843"/>
    <w:rsid w:val="001B7F42"/>
    <w:rsid w:val="001C0AC4"/>
    <w:rsid w:val="001C20B6"/>
    <w:rsid w:val="001C3F14"/>
    <w:rsid w:val="001C3F6B"/>
    <w:rsid w:val="001C78FA"/>
    <w:rsid w:val="001D0D3C"/>
    <w:rsid w:val="001D3142"/>
    <w:rsid w:val="001D4B9A"/>
    <w:rsid w:val="001D5309"/>
    <w:rsid w:val="001D5795"/>
    <w:rsid w:val="001D6222"/>
    <w:rsid w:val="001D6DE3"/>
    <w:rsid w:val="001D76AC"/>
    <w:rsid w:val="001E13F5"/>
    <w:rsid w:val="001E1D55"/>
    <w:rsid w:val="001E220C"/>
    <w:rsid w:val="001E3D01"/>
    <w:rsid w:val="001E6B99"/>
    <w:rsid w:val="001F1694"/>
    <w:rsid w:val="001F16AE"/>
    <w:rsid w:val="001F1D43"/>
    <w:rsid w:val="001F2610"/>
    <w:rsid w:val="001F34D5"/>
    <w:rsid w:val="001F358D"/>
    <w:rsid w:val="001F466D"/>
    <w:rsid w:val="001F72DB"/>
    <w:rsid w:val="00202420"/>
    <w:rsid w:val="002034E3"/>
    <w:rsid w:val="00203EB0"/>
    <w:rsid w:val="00204064"/>
    <w:rsid w:val="002044CF"/>
    <w:rsid w:val="00204BAB"/>
    <w:rsid w:val="00207F66"/>
    <w:rsid w:val="0021700A"/>
    <w:rsid w:val="00217736"/>
    <w:rsid w:val="002238CD"/>
    <w:rsid w:val="00224912"/>
    <w:rsid w:val="00224A02"/>
    <w:rsid w:val="00225ED7"/>
    <w:rsid w:val="00227B1A"/>
    <w:rsid w:val="002304ED"/>
    <w:rsid w:val="00230F76"/>
    <w:rsid w:val="002323C9"/>
    <w:rsid w:val="0023372A"/>
    <w:rsid w:val="00234BC9"/>
    <w:rsid w:val="00237012"/>
    <w:rsid w:val="00237DFA"/>
    <w:rsid w:val="0024022F"/>
    <w:rsid w:val="0024032F"/>
    <w:rsid w:val="002406D4"/>
    <w:rsid w:val="00240A90"/>
    <w:rsid w:val="00241910"/>
    <w:rsid w:val="00241A39"/>
    <w:rsid w:val="00242A26"/>
    <w:rsid w:val="00243320"/>
    <w:rsid w:val="00244FA6"/>
    <w:rsid w:val="00245C24"/>
    <w:rsid w:val="00247379"/>
    <w:rsid w:val="00247879"/>
    <w:rsid w:val="002508D3"/>
    <w:rsid w:val="002511DA"/>
    <w:rsid w:val="0025120B"/>
    <w:rsid w:val="0025276A"/>
    <w:rsid w:val="00256976"/>
    <w:rsid w:val="002574B8"/>
    <w:rsid w:val="00260643"/>
    <w:rsid w:val="002625F8"/>
    <w:rsid w:val="002629C0"/>
    <w:rsid w:val="002630CD"/>
    <w:rsid w:val="0026343B"/>
    <w:rsid w:val="00263FB2"/>
    <w:rsid w:val="002642D6"/>
    <w:rsid w:val="0026460E"/>
    <w:rsid w:val="00264FD3"/>
    <w:rsid w:val="00266095"/>
    <w:rsid w:val="00266382"/>
    <w:rsid w:val="00266D65"/>
    <w:rsid w:val="002674FC"/>
    <w:rsid w:val="00273807"/>
    <w:rsid w:val="002759E6"/>
    <w:rsid w:val="002774F2"/>
    <w:rsid w:val="00277A71"/>
    <w:rsid w:val="00281521"/>
    <w:rsid w:val="0028342A"/>
    <w:rsid w:val="00287D53"/>
    <w:rsid w:val="00290131"/>
    <w:rsid w:val="00290232"/>
    <w:rsid w:val="0029088E"/>
    <w:rsid w:val="0029120D"/>
    <w:rsid w:val="00291528"/>
    <w:rsid w:val="002929E4"/>
    <w:rsid w:val="0029448F"/>
    <w:rsid w:val="00297900"/>
    <w:rsid w:val="002A11B9"/>
    <w:rsid w:val="002A1226"/>
    <w:rsid w:val="002A156B"/>
    <w:rsid w:val="002A2121"/>
    <w:rsid w:val="002A221F"/>
    <w:rsid w:val="002A27C2"/>
    <w:rsid w:val="002A28DD"/>
    <w:rsid w:val="002A31EB"/>
    <w:rsid w:val="002A432D"/>
    <w:rsid w:val="002A46DC"/>
    <w:rsid w:val="002A537C"/>
    <w:rsid w:val="002A6112"/>
    <w:rsid w:val="002A775D"/>
    <w:rsid w:val="002B0137"/>
    <w:rsid w:val="002B405E"/>
    <w:rsid w:val="002B4B4F"/>
    <w:rsid w:val="002B4F8A"/>
    <w:rsid w:val="002B6197"/>
    <w:rsid w:val="002B766C"/>
    <w:rsid w:val="002B7DA4"/>
    <w:rsid w:val="002C16D8"/>
    <w:rsid w:val="002C170D"/>
    <w:rsid w:val="002C1F75"/>
    <w:rsid w:val="002C27CB"/>
    <w:rsid w:val="002C34AA"/>
    <w:rsid w:val="002C7464"/>
    <w:rsid w:val="002D039C"/>
    <w:rsid w:val="002D0AED"/>
    <w:rsid w:val="002D123F"/>
    <w:rsid w:val="002D24FF"/>
    <w:rsid w:val="002D32C5"/>
    <w:rsid w:val="002D3D9A"/>
    <w:rsid w:val="002D3DCF"/>
    <w:rsid w:val="002D4AAB"/>
    <w:rsid w:val="002D5706"/>
    <w:rsid w:val="002D64F0"/>
    <w:rsid w:val="002D6AE9"/>
    <w:rsid w:val="002D71CE"/>
    <w:rsid w:val="002D7415"/>
    <w:rsid w:val="002E0187"/>
    <w:rsid w:val="002E0D30"/>
    <w:rsid w:val="002E11B4"/>
    <w:rsid w:val="002E396A"/>
    <w:rsid w:val="002E4D12"/>
    <w:rsid w:val="002E5DDE"/>
    <w:rsid w:val="002E6A31"/>
    <w:rsid w:val="002E6B1F"/>
    <w:rsid w:val="002E6E72"/>
    <w:rsid w:val="002E72F4"/>
    <w:rsid w:val="002E76B3"/>
    <w:rsid w:val="002E7808"/>
    <w:rsid w:val="002E7FB0"/>
    <w:rsid w:val="002F0578"/>
    <w:rsid w:val="002F1659"/>
    <w:rsid w:val="002F354E"/>
    <w:rsid w:val="002F3654"/>
    <w:rsid w:val="002F3A00"/>
    <w:rsid w:val="002F4C7F"/>
    <w:rsid w:val="002F61AE"/>
    <w:rsid w:val="002F7741"/>
    <w:rsid w:val="002F7B80"/>
    <w:rsid w:val="002F7E83"/>
    <w:rsid w:val="003016F6"/>
    <w:rsid w:val="003017D8"/>
    <w:rsid w:val="003017F0"/>
    <w:rsid w:val="00301958"/>
    <w:rsid w:val="00303B8F"/>
    <w:rsid w:val="003045D9"/>
    <w:rsid w:val="00304E4E"/>
    <w:rsid w:val="00304FA6"/>
    <w:rsid w:val="00305686"/>
    <w:rsid w:val="00305B5A"/>
    <w:rsid w:val="00314C91"/>
    <w:rsid w:val="00317F41"/>
    <w:rsid w:val="00321C1B"/>
    <w:rsid w:val="00323C57"/>
    <w:rsid w:val="00323F5E"/>
    <w:rsid w:val="00325DFB"/>
    <w:rsid w:val="00326695"/>
    <w:rsid w:val="00326724"/>
    <w:rsid w:val="00326CD4"/>
    <w:rsid w:val="0032783F"/>
    <w:rsid w:val="00327AA9"/>
    <w:rsid w:val="00327EF8"/>
    <w:rsid w:val="0033346D"/>
    <w:rsid w:val="00333C74"/>
    <w:rsid w:val="00333F95"/>
    <w:rsid w:val="003373C4"/>
    <w:rsid w:val="00337EE6"/>
    <w:rsid w:val="00340B10"/>
    <w:rsid w:val="00340B9E"/>
    <w:rsid w:val="003429F7"/>
    <w:rsid w:val="00343AF8"/>
    <w:rsid w:val="00344EEB"/>
    <w:rsid w:val="003470F7"/>
    <w:rsid w:val="00347E34"/>
    <w:rsid w:val="00350899"/>
    <w:rsid w:val="0035175C"/>
    <w:rsid w:val="00351BC2"/>
    <w:rsid w:val="003522CC"/>
    <w:rsid w:val="003526B4"/>
    <w:rsid w:val="003535E0"/>
    <w:rsid w:val="003549F2"/>
    <w:rsid w:val="00354BDD"/>
    <w:rsid w:val="0035616F"/>
    <w:rsid w:val="003563B1"/>
    <w:rsid w:val="00357154"/>
    <w:rsid w:val="00360F5B"/>
    <w:rsid w:val="00362FAE"/>
    <w:rsid w:val="00363883"/>
    <w:rsid w:val="003653F1"/>
    <w:rsid w:val="00365C15"/>
    <w:rsid w:val="00365F0A"/>
    <w:rsid w:val="00367EC3"/>
    <w:rsid w:val="00370716"/>
    <w:rsid w:val="003717BE"/>
    <w:rsid w:val="00371CFC"/>
    <w:rsid w:val="00373C45"/>
    <w:rsid w:val="00374DC8"/>
    <w:rsid w:val="00374EDA"/>
    <w:rsid w:val="00375586"/>
    <w:rsid w:val="00376496"/>
    <w:rsid w:val="00376828"/>
    <w:rsid w:val="003777AF"/>
    <w:rsid w:val="00377F76"/>
    <w:rsid w:val="00380270"/>
    <w:rsid w:val="00381EDB"/>
    <w:rsid w:val="003821DE"/>
    <w:rsid w:val="0038377B"/>
    <w:rsid w:val="003838D5"/>
    <w:rsid w:val="003847D6"/>
    <w:rsid w:val="00386C3E"/>
    <w:rsid w:val="0038781F"/>
    <w:rsid w:val="00387E64"/>
    <w:rsid w:val="003926C9"/>
    <w:rsid w:val="00393422"/>
    <w:rsid w:val="00393E36"/>
    <w:rsid w:val="0039416E"/>
    <w:rsid w:val="00394C24"/>
    <w:rsid w:val="00394C8F"/>
    <w:rsid w:val="00396451"/>
    <w:rsid w:val="00396F85"/>
    <w:rsid w:val="00397448"/>
    <w:rsid w:val="003A0212"/>
    <w:rsid w:val="003A2746"/>
    <w:rsid w:val="003A3D3D"/>
    <w:rsid w:val="003A5070"/>
    <w:rsid w:val="003A56B0"/>
    <w:rsid w:val="003B05BC"/>
    <w:rsid w:val="003B0CEC"/>
    <w:rsid w:val="003B156C"/>
    <w:rsid w:val="003B2D19"/>
    <w:rsid w:val="003B60FA"/>
    <w:rsid w:val="003B64EA"/>
    <w:rsid w:val="003C290B"/>
    <w:rsid w:val="003C468C"/>
    <w:rsid w:val="003C6044"/>
    <w:rsid w:val="003C7549"/>
    <w:rsid w:val="003D0404"/>
    <w:rsid w:val="003D1841"/>
    <w:rsid w:val="003D1E69"/>
    <w:rsid w:val="003E017B"/>
    <w:rsid w:val="003E154C"/>
    <w:rsid w:val="003E36FF"/>
    <w:rsid w:val="003E4653"/>
    <w:rsid w:val="003E4C9C"/>
    <w:rsid w:val="003E5F84"/>
    <w:rsid w:val="003E6C59"/>
    <w:rsid w:val="003E6E66"/>
    <w:rsid w:val="003F1302"/>
    <w:rsid w:val="003F1DF8"/>
    <w:rsid w:val="003F291E"/>
    <w:rsid w:val="003F4CA5"/>
    <w:rsid w:val="003F5F8E"/>
    <w:rsid w:val="003F6ABB"/>
    <w:rsid w:val="003F6CFF"/>
    <w:rsid w:val="00401799"/>
    <w:rsid w:val="00402145"/>
    <w:rsid w:val="0040233A"/>
    <w:rsid w:val="004028A2"/>
    <w:rsid w:val="004044FA"/>
    <w:rsid w:val="004046F5"/>
    <w:rsid w:val="00404D80"/>
    <w:rsid w:val="00405393"/>
    <w:rsid w:val="00406A9D"/>
    <w:rsid w:val="00406CB3"/>
    <w:rsid w:val="00407107"/>
    <w:rsid w:val="00410143"/>
    <w:rsid w:val="004105DE"/>
    <w:rsid w:val="00410F2E"/>
    <w:rsid w:val="00412477"/>
    <w:rsid w:val="0041654F"/>
    <w:rsid w:val="004214C7"/>
    <w:rsid w:val="00421885"/>
    <w:rsid w:val="004220FE"/>
    <w:rsid w:val="004307C8"/>
    <w:rsid w:val="00431D96"/>
    <w:rsid w:val="004330EC"/>
    <w:rsid w:val="004332C6"/>
    <w:rsid w:val="004368C0"/>
    <w:rsid w:val="0044040E"/>
    <w:rsid w:val="00442CC6"/>
    <w:rsid w:val="00442D73"/>
    <w:rsid w:val="00444153"/>
    <w:rsid w:val="00444FFC"/>
    <w:rsid w:val="00445426"/>
    <w:rsid w:val="0044560A"/>
    <w:rsid w:val="00446D75"/>
    <w:rsid w:val="00454344"/>
    <w:rsid w:val="00454549"/>
    <w:rsid w:val="004555B3"/>
    <w:rsid w:val="00456635"/>
    <w:rsid w:val="004575AE"/>
    <w:rsid w:val="004601C9"/>
    <w:rsid w:val="0046230E"/>
    <w:rsid w:val="0046252B"/>
    <w:rsid w:val="00462E98"/>
    <w:rsid w:val="00462FB0"/>
    <w:rsid w:val="004649C4"/>
    <w:rsid w:val="00465A2D"/>
    <w:rsid w:val="004707AA"/>
    <w:rsid w:val="00470E6C"/>
    <w:rsid w:val="004717E4"/>
    <w:rsid w:val="00472F1D"/>
    <w:rsid w:val="00473F45"/>
    <w:rsid w:val="00475BAC"/>
    <w:rsid w:val="00476D45"/>
    <w:rsid w:val="00477C17"/>
    <w:rsid w:val="00480125"/>
    <w:rsid w:val="0048064D"/>
    <w:rsid w:val="00481CF4"/>
    <w:rsid w:val="00484BE4"/>
    <w:rsid w:val="00485409"/>
    <w:rsid w:val="004855F7"/>
    <w:rsid w:val="00485EE2"/>
    <w:rsid w:val="00486224"/>
    <w:rsid w:val="00487660"/>
    <w:rsid w:val="00487D91"/>
    <w:rsid w:val="00487EF2"/>
    <w:rsid w:val="00490621"/>
    <w:rsid w:val="00495CB3"/>
    <w:rsid w:val="00497832"/>
    <w:rsid w:val="004A0A36"/>
    <w:rsid w:val="004A0D52"/>
    <w:rsid w:val="004A12A1"/>
    <w:rsid w:val="004A2483"/>
    <w:rsid w:val="004A35F5"/>
    <w:rsid w:val="004A4540"/>
    <w:rsid w:val="004B003C"/>
    <w:rsid w:val="004B189D"/>
    <w:rsid w:val="004B3660"/>
    <w:rsid w:val="004B3D1C"/>
    <w:rsid w:val="004B5ADC"/>
    <w:rsid w:val="004B72E4"/>
    <w:rsid w:val="004B7608"/>
    <w:rsid w:val="004B7615"/>
    <w:rsid w:val="004B7CC5"/>
    <w:rsid w:val="004B7E0F"/>
    <w:rsid w:val="004C37CF"/>
    <w:rsid w:val="004C3EEB"/>
    <w:rsid w:val="004C5199"/>
    <w:rsid w:val="004C5A46"/>
    <w:rsid w:val="004C6799"/>
    <w:rsid w:val="004D0458"/>
    <w:rsid w:val="004D0ADB"/>
    <w:rsid w:val="004D0BAA"/>
    <w:rsid w:val="004D1B87"/>
    <w:rsid w:val="004D3D50"/>
    <w:rsid w:val="004D3F25"/>
    <w:rsid w:val="004D616D"/>
    <w:rsid w:val="004E09A2"/>
    <w:rsid w:val="004E0EC2"/>
    <w:rsid w:val="004E185D"/>
    <w:rsid w:val="004E2F92"/>
    <w:rsid w:val="004E363C"/>
    <w:rsid w:val="004E5615"/>
    <w:rsid w:val="004E594D"/>
    <w:rsid w:val="004E5C26"/>
    <w:rsid w:val="004E7CDB"/>
    <w:rsid w:val="004F0FE2"/>
    <w:rsid w:val="004F3153"/>
    <w:rsid w:val="004F3C8A"/>
    <w:rsid w:val="004F420A"/>
    <w:rsid w:val="004F46A5"/>
    <w:rsid w:val="004F4ADC"/>
    <w:rsid w:val="004F5294"/>
    <w:rsid w:val="005001F5"/>
    <w:rsid w:val="00502C8A"/>
    <w:rsid w:val="00503728"/>
    <w:rsid w:val="005047CE"/>
    <w:rsid w:val="00505AC7"/>
    <w:rsid w:val="0050782F"/>
    <w:rsid w:val="00510353"/>
    <w:rsid w:val="005109F7"/>
    <w:rsid w:val="005116BA"/>
    <w:rsid w:val="0051446B"/>
    <w:rsid w:val="00515B9C"/>
    <w:rsid w:val="00516114"/>
    <w:rsid w:val="00516A92"/>
    <w:rsid w:val="005175F9"/>
    <w:rsid w:val="0052011E"/>
    <w:rsid w:val="0052232A"/>
    <w:rsid w:val="00523930"/>
    <w:rsid w:val="00524276"/>
    <w:rsid w:val="00525373"/>
    <w:rsid w:val="005263BF"/>
    <w:rsid w:val="005279E2"/>
    <w:rsid w:val="00533196"/>
    <w:rsid w:val="00536991"/>
    <w:rsid w:val="00537500"/>
    <w:rsid w:val="00540316"/>
    <w:rsid w:val="0054065A"/>
    <w:rsid w:val="00540EB0"/>
    <w:rsid w:val="00541004"/>
    <w:rsid w:val="00541053"/>
    <w:rsid w:val="00542949"/>
    <w:rsid w:val="00542CF0"/>
    <w:rsid w:val="00546EEA"/>
    <w:rsid w:val="00547737"/>
    <w:rsid w:val="005501FD"/>
    <w:rsid w:val="00556151"/>
    <w:rsid w:val="005563D1"/>
    <w:rsid w:val="00556B11"/>
    <w:rsid w:val="00556D35"/>
    <w:rsid w:val="00560B23"/>
    <w:rsid w:val="00562E39"/>
    <w:rsid w:val="0056489B"/>
    <w:rsid w:val="00564BF9"/>
    <w:rsid w:val="00565B7B"/>
    <w:rsid w:val="00566B4E"/>
    <w:rsid w:val="00566BF8"/>
    <w:rsid w:val="00566EE0"/>
    <w:rsid w:val="005677B2"/>
    <w:rsid w:val="0057069C"/>
    <w:rsid w:val="0057697E"/>
    <w:rsid w:val="00580806"/>
    <w:rsid w:val="005808D7"/>
    <w:rsid w:val="00580BF7"/>
    <w:rsid w:val="00581F8C"/>
    <w:rsid w:val="005823DC"/>
    <w:rsid w:val="0058255D"/>
    <w:rsid w:val="00584C1C"/>
    <w:rsid w:val="00585198"/>
    <w:rsid w:val="00586426"/>
    <w:rsid w:val="00586A2A"/>
    <w:rsid w:val="00590CF2"/>
    <w:rsid w:val="00592A42"/>
    <w:rsid w:val="005937F3"/>
    <w:rsid w:val="0059392D"/>
    <w:rsid w:val="0059579B"/>
    <w:rsid w:val="00597865"/>
    <w:rsid w:val="005A0E0A"/>
    <w:rsid w:val="005A2016"/>
    <w:rsid w:val="005A2EA2"/>
    <w:rsid w:val="005A559E"/>
    <w:rsid w:val="005A6C6C"/>
    <w:rsid w:val="005A74D4"/>
    <w:rsid w:val="005A7F48"/>
    <w:rsid w:val="005B1402"/>
    <w:rsid w:val="005B1C57"/>
    <w:rsid w:val="005B3D9B"/>
    <w:rsid w:val="005B55B2"/>
    <w:rsid w:val="005C35F6"/>
    <w:rsid w:val="005C3EBE"/>
    <w:rsid w:val="005C564A"/>
    <w:rsid w:val="005C5B8F"/>
    <w:rsid w:val="005C5CFE"/>
    <w:rsid w:val="005C5D43"/>
    <w:rsid w:val="005C6048"/>
    <w:rsid w:val="005C61E3"/>
    <w:rsid w:val="005C740A"/>
    <w:rsid w:val="005C74D0"/>
    <w:rsid w:val="005C7E74"/>
    <w:rsid w:val="005D2AD8"/>
    <w:rsid w:val="005D7816"/>
    <w:rsid w:val="005D798C"/>
    <w:rsid w:val="005E2119"/>
    <w:rsid w:val="005E49A3"/>
    <w:rsid w:val="005E6BFC"/>
    <w:rsid w:val="005E6D29"/>
    <w:rsid w:val="005F1632"/>
    <w:rsid w:val="005F33F4"/>
    <w:rsid w:val="005F347B"/>
    <w:rsid w:val="005F37A7"/>
    <w:rsid w:val="005F3A1F"/>
    <w:rsid w:val="005F5C7F"/>
    <w:rsid w:val="006023B5"/>
    <w:rsid w:val="0060456C"/>
    <w:rsid w:val="006046E5"/>
    <w:rsid w:val="006055F7"/>
    <w:rsid w:val="00607679"/>
    <w:rsid w:val="00612F49"/>
    <w:rsid w:val="0061417D"/>
    <w:rsid w:val="0061547A"/>
    <w:rsid w:val="00616D1C"/>
    <w:rsid w:val="00616FD4"/>
    <w:rsid w:val="00621ECF"/>
    <w:rsid w:val="0062314C"/>
    <w:rsid w:val="0062417D"/>
    <w:rsid w:val="00625AFB"/>
    <w:rsid w:val="0062722E"/>
    <w:rsid w:val="00635E25"/>
    <w:rsid w:val="00635FBA"/>
    <w:rsid w:val="006416E6"/>
    <w:rsid w:val="00641F10"/>
    <w:rsid w:val="006426A8"/>
    <w:rsid w:val="00643D3F"/>
    <w:rsid w:val="00646AAA"/>
    <w:rsid w:val="00647082"/>
    <w:rsid w:val="00650160"/>
    <w:rsid w:val="0065076A"/>
    <w:rsid w:val="00652D87"/>
    <w:rsid w:val="00653609"/>
    <w:rsid w:val="00653742"/>
    <w:rsid w:val="006568A2"/>
    <w:rsid w:val="006568D7"/>
    <w:rsid w:val="00656CAE"/>
    <w:rsid w:val="00660839"/>
    <w:rsid w:val="00663BF8"/>
    <w:rsid w:val="00666A34"/>
    <w:rsid w:val="00666B4C"/>
    <w:rsid w:val="0066708D"/>
    <w:rsid w:val="0066722F"/>
    <w:rsid w:val="00667558"/>
    <w:rsid w:val="0066792B"/>
    <w:rsid w:val="0066798C"/>
    <w:rsid w:val="00667B2A"/>
    <w:rsid w:val="00670779"/>
    <w:rsid w:val="00673107"/>
    <w:rsid w:val="0068012A"/>
    <w:rsid w:val="00680E1B"/>
    <w:rsid w:val="00681790"/>
    <w:rsid w:val="0068304D"/>
    <w:rsid w:val="00683C15"/>
    <w:rsid w:val="00683E0C"/>
    <w:rsid w:val="00685CB8"/>
    <w:rsid w:val="006873E2"/>
    <w:rsid w:val="00690848"/>
    <w:rsid w:val="006913DB"/>
    <w:rsid w:val="00691F22"/>
    <w:rsid w:val="0069212E"/>
    <w:rsid w:val="00693A34"/>
    <w:rsid w:val="00693B3A"/>
    <w:rsid w:val="00694A80"/>
    <w:rsid w:val="00696431"/>
    <w:rsid w:val="00696F86"/>
    <w:rsid w:val="00697834"/>
    <w:rsid w:val="006A4770"/>
    <w:rsid w:val="006A4FB4"/>
    <w:rsid w:val="006A534B"/>
    <w:rsid w:val="006A68F1"/>
    <w:rsid w:val="006B00DC"/>
    <w:rsid w:val="006B098C"/>
    <w:rsid w:val="006B0FFF"/>
    <w:rsid w:val="006B16FF"/>
    <w:rsid w:val="006B1B1D"/>
    <w:rsid w:val="006B285C"/>
    <w:rsid w:val="006B2902"/>
    <w:rsid w:val="006B2E88"/>
    <w:rsid w:val="006B4295"/>
    <w:rsid w:val="006B66CC"/>
    <w:rsid w:val="006B7D34"/>
    <w:rsid w:val="006C2854"/>
    <w:rsid w:val="006C2923"/>
    <w:rsid w:val="006C3311"/>
    <w:rsid w:val="006C3F4E"/>
    <w:rsid w:val="006C46C9"/>
    <w:rsid w:val="006C5FB9"/>
    <w:rsid w:val="006C6CDD"/>
    <w:rsid w:val="006C6F6B"/>
    <w:rsid w:val="006C793F"/>
    <w:rsid w:val="006D5119"/>
    <w:rsid w:val="006D77B1"/>
    <w:rsid w:val="006E008F"/>
    <w:rsid w:val="006E1D37"/>
    <w:rsid w:val="006E3CC9"/>
    <w:rsid w:val="006E5648"/>
    <w:rsid w:val="006E6446"/>
    <w:rsid w:val="006E6C7E"/>
    <w:rsid w:val="006E70D0"/>
    <w:rsid w:val="006F0AFA"/>
    <w:rsid w:val="006F0E2C"/>
    <w:rsid w:val="006F1F80"/>
    <w:rsid w:val="006F33F2"/>
    <w:rsid w:val="006F58FF"/>
    <w:rsid w:val="006F7B38"/>
    <w:rsid w:val="00700097"/>
    <w:rsid w:val="00700883"/>
    <w:rsid w:val="00700BD8"/>
    <w:rsid w:val="00702D60"/>
    <w:rsid w:val="00702F14"/>
    <w:rsid w:val="0070302C"/>
    <w:rsid w:val="0070429A"/>
    <w:rsid w:val="00705055"/>
    <w:rsid w:val="00706370"/>
    <w:rsid w:val="00706C55"/>
    <w:rsid w:val="0071105F"/>
    <w:rsid w:val="00711215"/>
    <w:rsid w:val="0071139A"/>
    <w:rsid w:val="0071149B"/>
    <w:rsid w:val="00713D30"/>
    <w:rsid w:val="007168E1"/>
    <w:rsid w:val="007213D7"/>
    <w:rsid w:val="007216E2"/>
    <w:rsid w:val="0072221F"/>
    <w:rsid w:val="0072334E"/>
    <w:rsid w:val="0072356B"/>
    <w:rsid w:val="00725A2F"/>
    <w:rsid w:val="0072665F"/>
    <w:rsid w:val="00727D3F"/>
    <w:rsid w:val="0073070A"/>
    <w:rsid w:val="007311C8"/>
    <w:rsid w:val="00731352"/>
    <w:rsid w:val="007314A8"/>
    <w:rsid w:val="00734E48"/>
    <w:rsid w:val="0073573A"/>
    <w:rsid w:val="00737311"/>
    <w:rsid w:val="007410B2"/>
    <w:rsid w:val="00741D87"/>
    <w:rsid w:val="00742DD5"/>
    <w:rsid w:val="00743236"/>
    <w:rsid w:val="00745800"/>
    <w:rsid w:val="0074593C"/>
    <w:rsid w:val="007477F3"/>
    <w:rsid w:val="0074797A"/>
    <w:rsid w:val="00750F81"/>
    <w:rsid w:val="007520D1"/>
    <w:rsid w:val="00752E8D"/>
    <w:rsid w:val="007565ED"/>
    <w:rsid w:val="00757B96"/>
    <w:rsid w:val="00762780"/>
    <w:rsid w:val="00762E44"/>
    <w:rsid w:val="00763193"/>
    <w:rsid w:val="00763252"/>
    <w:rsid w:val="0076338C"/>
    <w:rsid w:val="00763910"/>
    <w:rsid w:val="00764E9B"/>
    <w:rsid w:val="00765611"/>
    <w:rsid w:val="00771BB5"/>
    <w:rsid w:val="00773465"/>
    <w:rsid w:val="00773862"/>
    <w:rsid w:val="0077434F"/>
    <w:rsid w:val="007759C2"/>
    <w:rsid w:val="00776194"/>
    <w:rsid w:val="007762E8"/>
    <w:rsid w:val="00777477"/>
    <w:rsid w:val="00777947"/>
    <w:rsid w:val="00777B07"/>
    <w:rsid w:val="00777B1C"/>
    <w:rsid w:val="00782FF0"/>
    <w:rsid w:val="00783D95"/>
    <w:rsid w:val="00783F1A"/>
    <w:rsid w:val="0078439F"/>
    <w:rsid w:val="0078524A"/>
    <w:rsid w:val="00785605"/>
    <w:rsid w:val="007906DC"/>
    <w:rsid w:val="0079107F"/>
    <w:rsid w:val="007963DB"/>
    <w:rsid w:val="00796F1B"/>
    <w:rsid w:val="00797A4E"/>
    <w:rsid w:val="00797C4E"/>
    <w:rsid w:val="007A0307"/>
    <w:rsid w:val="007A043A"/>
    <w:rsid w:val="007A1CBE"/>
    <w:rsid w:val="007A5430"/>
    <w:rsid w:val="007A6E0B"/>
    <w:rsid w:val="007A70B4"/>
    <w:rsid w:val="007B048E"/>
    <w:rsid w:val="007B1A3D"/>
    <w:rsid w:val="007B20B8"/>
    <w:rsid w:val="007B297F"/>
    <w:rsid w:val="007B2B65"/>
    <w:rsid w:val="007B4062"/>
    <w:rsid w:val="007B5DEF"/>
    <w:rsid w:val="007B5F91"/>
    <w:rsid w:val="007B62C7"/>
    <w:rsid w:val="007B6697"/>
    <w:rsid w:val="007B7E0C"/>
    <w:rsid w:val="007C12D4"/>
    <w:rsid w:val="007C29A3"/>
    <w:rsid w:val="007C2CA3"/>
    <w:rsid w:val="007C3230"/>
    <w:rsid w:val="007C60DB"/>
    <w:rsid w:val="007C6147"/>
    <w:rsid w:val="007C6C85"/>
    <w:rsid w:val="007C72FF"/>
    <w:rsid w:val="007C795E"/>
    <w:rsid w:val="007D34F2"/>
    <w:rsid w:val="007D3E13"/>
    <w:rsid w:val="007D4A85"/>
    <w:rsid w:val="007D4C90"/>
    <w:rsid w:val="007D602B"/>
    <w:rsid w:val="007D7074"/>
    <w:rsid w:val="007E0F13"/>
    <w:rsid w:val="007E1294"/>
    <w:rsid w:val="007E19D6"/>
    <w:rsid w:val="007E3986"/>
    <w:rsid w:val="007E5A5F"/>
    <w:rsid w:val="007E6B04"/>
    <w:rsid w:val="007E7FE8"/>
    <w:rsid w:val="007F08EE"/>
    <w:rsid w:val="007F1947"/>
    <w:rsid w:val="007F19E9"/>
    <w:rsid w:val="007F32E7"/>
    <w:rsid w:val="007F4046"/>
    <w:rsid w:val="007F7FE6"/>
    <w:rsid w:val="00801F47"/>
    <w:rsid w:val="00802E78"/>
    <w:rsid w:val="00803ED3"/>
    <w:rsid w:val="0080407B"/>
    <w:rsid w:val="00804416"/>
    <w:rsid w:val="00805157"/>
    <w:rsid w:val="00805BAE"/>
    <w:rsid w:val="00806F20"/>
    <w:rsid w:val="0080771F"/>
    <w:rsid w:val="00810010"/>
    <w:rsid w:val="008108D3"/>
    <w:rsid w:val="00810D6B"/>
    <w:rsid w:val="00811840"/>
    <w:rsid w:val="00811B41"/>
    <w:rsid w:val="0081389D"/>
    <w:rsid w:val="0081484F"/>
    <w:rsid w:val="008148FE"/>
    <w:rsid w:val="00816A3D"/>
    <w:rsid w:val="00817506"/>
    <w:rsid w:val="00820BB0"/>
    <w:rsid w:val="008212A9"/>
    <w:rsid w:val="00821FB3"/>
    <w:rsid w:val="00823C06"/>
    <w:rsid w:val="0082546F"/>
    <w:rsid w:val="00825AB3"/>
    <w:rsid w:val="00827110"/>
    <w:rsid w:val="008275B9"/>
    <w:rsid w:val="00831B6F"/>
    <w:rsid w:val="00831D42"/>
    <w:rsid w:val="00832700"/>
    <w:rsid w:val="00832C60"/>
    <w:rsid w:val="008343B3"/>
    <w:rsid w:val="00837CF4"/>
    <w:rsid w:val="00840898"/>
    <w:rsid w:val="00843C5A"/>
    <w:rsid w:val="00843D45"/>
    <w:rsid w:val="00844799"/>
    <w:rsid w:val="00846D75"/>
    <w:rsid w:val="00846F6D"/>
    <w:rsid w:val="0084797B"/>
    <w:rsid w:val="00851F04"/>
    <w:rsid w:val="00852A6E"/>
    <w:rsid w:val="008533C4"/>
    <w:rsid w:val="008554F5"/>
    <w:rsid w:val="00855936"/>
    <w:rsid w:val="008573EF"/>
    <w:rsid w:val="0086108F"/>
    <w:rsid w:val="00863727"/>
    <w:rsid w:val="00863B00"/>
    <w:rsid w:val="00865553"/>
    <w:rsid w:val="0087085F"/>
    <w:rsid w:val="00870AC5"/>
    <w:rsid w:val="00870CAD"/>
    <w:rsid w:val="00871C79"/>
    <w:rsid w:val="00872E8A"/>
    <w:rsid w:val="00873605"/>
    <w:rsid w:val="0087596C"/>
    <w:rsid w:val="00875F32"/>
    <w:rsid w:val="00877743"/>
    <w:rsid w:val="00880152"/>
    <w:rsid w:val="0088225C"/>
    <w:rsid w:val="00882931"/>
    <w:rsid w:val="00882B19"/>
    <w:rsid w:val="00884572"/>
    <w:rsid w:val="00886375"/>
    <w:rsid w:val="00886651"/>
    <w:rsid w:val="008904E6"/>
    <w:rsid w:val="008910FD"/>
    <w:rsid w:val="008915BA"/>
    <w:rsid w:val="0089195A"/>
    <w:rsid w:val="00892730"/>
    <w:rsid w:val="008943E4"/>
    <w:rsid w:val="008950AF"/>
    <w:rsid w:val="00895120"/>
    <w:rsid w:val="008952C7"/>
    <w:rsid w:val="00895F3E"/>
    <w:rsid w:val="0089644C"/>
    <w:rsid w:val="008A1082"/>
    <w:rsid w:val="008A15B7"/>
    <w:rsid w:val="008A4388"/>
    <w:rsid w:val="008A58B2"/>
    <w:rsid w:val="008B08A9"/>
    <w:rsid w:val="008B0C26"/>
    <w:rsid w:val="008B2510"/>
    <w:rsid w:val="008B2773"/>
    <w:rsid w:val="008B4F47"/>
    <w:rsid w:val="008B585F"/>
    <w:rsid w:val="008B5BDB"/>
    <w:rsid w:val="008B774B"/>
    <w:rsid w:val="008C3462"/>
    <w:rsid w:val="008C3483"/>
    <w:rsid w:val="008C3E28"/>
    <w:rsid w:val="008C3EEE"/>
    <w:rsid w:val="008C4A62"/>
    <w:rsid w:val="008C5483"/>
    <w:rsid w:val="008C5FD3"/>
    <w:rsid w:val="008C62A0"/>
    <w:rsid w:val="008D071D"/>
    <w:rsid w:val="008D07B1"/>
    <w:rsid w:val="008D1771"/>
    <w:rsid w:val="008D2FBA"/>
    <w:rsid w:val="008D319D"/>
    <w:rsid w:val="008D39EA"/>
    <w:rsid w:val="008D3BAE"/>
    <w:rsid w:val="008D4F88"/>
    <w:rsid w:val="008D58AF"/>
    <w:rsid w:val="008D6405"/>
    <w:rsid w:val="008E1A76"/>
    <w:rsid w:val="008E1CE1"/>
    <w:rsid w:val="008E1F48"/>
    <w:rsid w:val="008E4294"/>
    <w:rsid w:val="008E523B"/>
    <w:rsid w:val="008E5CB4"/>
    <w:rsid w:val="008E6320"/>
    <w:rsid w:val="008E6F4A"/>
    <w:rsid w:val="008F025F"/>
    <w:rsid w:val="008F0D15"/>
    <w:rsid w:val="008F0D74"/>
    <w:rsid w:val="008F124F"/>
    <w:rsid w:val="008F20C3"/>
    <w:rsid w:val="008F20DC"/>
    <w:rsid w:val="008F3ACA"/>
    <w:rsid w:val="008F56F3"/>
    <w:rsid w:val="008F68B6"/>
    <w:rsid w:val="008F7694"/>
    <w:rsid w:val="008F7D27"/>
    <w:rsid w:val="00900480"/>
    <w:rsid w:val="00900CE9"/>
    <w:rsid w:val="009018BE"/>
    <w:rsid w:val="009025B0"/>
    <w:rsid w:val="00902A8A"/>
    <w:rsid w:val="009033F8"/>
    <w:rsid w:val="0090411C"/>
    <w:rsid w:val="00904A92"/>
    <w:rsid w:val="0090583F"/>
    <w:rsid w:val="0090706F"/>
    <w:rsid w:val="00911813"/>
    <w:rsid w:val="0091329F"/>
    <w:rsid w:val="009138C5"/>
    <w:rsid w:val="00913AA5"/>
    <w:rsid w:val="00913E45"/>
    <w:rsid w:val="009140DB"/>
    <w:rsid w:val="0091425C"/>
    <w:rsid w:val="00914A92"/>
    <w:rsid w:val="00922B69"/>
    <w:rsid w:val="00923276"/>
    <w:rsid w:val="0092361F"/>
    <w:rsid w:val="00925885"/>
    <w:rsid w:val="00927D34"/>
    <w:rsid w:val="0093181C"/>
    <w:rsid w:val="009344CE"/>
    <w:rsid w:val="009353BF"/>
    <w:rsid w:val="00937DDD"/>
    <w:rsid w:val="00937EA6"/>
    <w:rsid w:val="00941ED8"/>
    <w:rsid w:val="0094303A"/>
    <w:rsid w:val="009454B2"/>
    <w:rsid w:val="009454E2"/>
    <w:rsid w:val="00946768"/>
    <w:rsid w:val="009467EF"/>
    <w:rsid w:val="009531F9"/>
    <w:rsid w:val="00954AA3"/>
    <w:rsid w:val="00961AA4"/>
    <w:rsid w:val="00964C1E"/>
    <w:rsid w:val="00964C92"/>
    <w:rsid w:val="00965284"/>
    <w:rsid w:val="00966498"/>
    <w:rsid w:val="00966D34"/>
    <w:rsid w:val="00966FB5"/>
    <w:rsid w:val="00971344"/>
    <w:rsid w:val="009723AB"/>
    <w:rsid w:val="00972C5F"/>
    <w:rsid w:val="00974F8E"/>
    <w:rsid w:val="00974FC1"/>
    <w:rsid w:val="009755B9"/>
    <w:rsid w:val="00976B00"/>
    <w:rsid w:val="00976B73"/>
    <w:rsid w:val="0098325E"/>
    <w:rsid w:val="0098378B"/>
    <w:rsid w:val="009858BF"/>
    <w:rsid w:val="009867F7"/>
    <w:rsid w:val="00992576"/>
    <w:rsid w:val="009947C7"/>
    <w:rsid w:val="0099510D"/>
    <w:rsid w:val="00995E70"/>
    <w:rsid w:val="00996823"/>
    <w:rsid w:val="00996855"/>
    <w:rsid w:val="00997EC4"/>
    <w:rsid w:val="009A2F0F"/>
    <w:rsid w:val="009A308C"/>
    <w:rsid w:val="009A633D"/>
    <w:rsid w:val="009A6849"/>
    <w:rsid w:val="009B03E3"/>
    <w:rsid w:val="009B1DB4"/>
    <w:rsid w:val="009B23D9"/>
    <w:rsid w:val="009B5005"/>
    <w:rsid w:val="009B5F3E"/>
    <w:rsid w:val="009B69AC"/>
    <w:rsid w:val="009B79FA"/>
    <w:rsid w:val="009C05D9"/>
    <w:rsid w:val="009C0AAB"/>
    <w:rsid w:val="009C12B7"/>
    <w:rsid w:val="009C1650"/>
    <w:rsid w:val="009C1AC8"/>
    <w:rsid w:val="009C33B3"/>
    <w:rsid w:val="009C35CD"/>
    <w:rsid w:val="009C42B7"/>
    <w:rsid w:val="009C567D"/>
    <w:rsid w:val="009C5A64"/>
    <w:rsid w:val="009C6306"/>
    <w:rsid w:val="009C6801"/>
    <w:rsid w:val="009C6A89"/>
    <w:rsid w:val="009C6D9F"/>
    <w:rsid w:val="009C7076"/>
    <w:rsid w:val="009C77A9"/>
    <w:rsid w:val="009D0643"/>
    <w:rsid w:val="009D07AE"/>
    <w:rsid w:val="009D190A"/>
    <w:rsid w:val="009D251F"/>
    <w:rsid w:val="009D292A"/>
    <w:rsid w:val="009D77B2"/>
    <w:rsid w:val="009E1108"/>
    <w:rsid w:val="009E3218"/>
    <w:rsid w:val="009E5668"/>
    <w:rsid w:val="009E6DB0"/>
    <w:rsid w:val="009F01E7"/>
    <w:rsid w:val="009F18DE"/>
    <w:rsid w:val="009F22B0"/>
    <w:rsid w:val="009F5ADC"/>
    <w:rsid w:val="009F63A1"/>
    <w:rsid w:val="009F6AFE"/>
    <w:rsid w:val="009F73E3"/>
    <w:rsid w:val="009F7C80"/>
    <w:rsid w:val="00A006FB"/>
    <w:rsid w:val="00A03DA7"/>
    <w:rsid w:val="00A04812"/>
    <w:rsid w:val="00A05A21"/>
    <w:rsid w:val="00A13EF4"/>
    <w:rsid w:val="00A14091"/>
    <w:rsid w:val="00A17B0F"/>
    <w:rsid w:val="00A20460"/>
    <w:rsid w:val="00A21278"/>
    <w:rsid w:val="00A21C08"/>
    <w:rsid w:val="00A21EBB"/>
    <w:rsid w:val="00A22633"/>
    <w:rsid w:val="00A2308E"/>
    <w:rsid w:val="00A27A82"/>
    <w:rsid w:val="00A30F43"/>
    <w:rsid w:val="00A312BC"/>
    <w:rsid w:val="00A31B58"/>
    <w:rsid w:val="00A32448"/>
    <w:rsid w:val="00A3378B"/>
    <w:rsid w:val="00A348D6"/>
    <w:rsid w:val="00A37797"/>
    <w:rsid w:val="00A403E1"/>
    <w:rsid w:val="00A4107C"/>
    <w:rsid w:val="00A416DA"/>
    <w:rsid w:val="00A42683"/>
    <w:rsid w:val="00A43A10"/>
    <w:rsid w:val="00A452D9"/>
    <w:rsid w:val="00A4551C"/>
    <w:rsid w:val="00A45AA2"/>
    <w:rsid w:val="00A4605F"/>
    <w:rsid w:val="00A47903"/>
    <w:rsid w:val="00A47C9F"/>
    <w:rsid w:val="00A5015B"/>
    <w:rsid w:val="00A509E5"/>
    <w:rsid w:val="00A54ACC"/>
    <w:rsid w:val="00A55AA8"/>
    <w:rsid w:val="00A5775F"/>
    <w:rsid w:val="00A60896"/>
    <w:rsid w:val="00A612A2"/>
    <w:rsid w:val="00A61E1C"/>
    <w:rsid w:val="00A61E9F"/>
    <w:rsid w:val="00A640BF"/>
    <w:rsid w:val="00A64362"/>
    <w:rsid w:val="00A65405"/>
    <w:rsid w:val="00A657D6"/>
    <w:rsid w:val="00A66828"/>
    <w:rsid w:val="00A70160"/>
    <w:rsid w:val="00A71B7F"/>
    <w:rsid w:val="00A726A3"/>
    <w:rsid w:val="00A72F6D"/>
    <w:rsid w:val="00A7537A"/>
    <w:rsid w:val="00A75879"/>
    <w:rsid w:val="00A75C40"/>
    <w:rsid w:val="00A76DDB"/>
    <w:rsid w:val="00A80E15"/>
    <w:rsid w:val="00A82237"/>
    <w:rsid w:val="00A82282"/>
    <w:rsid w:val="00A8275E"/>
    <w:rsid w:val="00A84BB9"/>
    <w:rsid w:val="00A85EDB"/>
    <w:rsid w:val="00A87CC8"/>
    <w:rsid w:val="00A903CB"/>
    <w:rsid w:val="00A90989"/>
    <w:rsid w:val="00A90B2C"/>
    <w:rsid w:val="00A934C0"/>
    <w:rsid w:val="00A936D4"/>
    <w:rsid w:val="00A97341"/>
    <w:rsid w:val="00A97C4D"/>
    <w:rsid w:val="00AA023C"/>
    <w:rsid w:val="00AA3276"/>
    <w:rsid w:val="00AA3A91"/>
    <w:rsid w:val="00AA46C1"/>
    <w:rsid w:val="00AA490E"/>
    <w:rsid w:val="00AA530A"/>
    <w:rsid w:val="00AA6E1C"/>
    <w:rsid w:val="00AB3627"/>
    <w:rsid w:val="00AB4205"/>
    <w:rsid w:val="00AB5B24"/>
    <w:rsid w:val="00AB7629"/>
    <w:rsid w:val="00AC0F28"/>
    <w:rsid w:val="00AC1037"/>
    <w:rsid w:val="00AC148D"/>
    <w:rsid w:val="00AC37B1"/>
    <w:rsid w:val="00AC4098"/>
    <w:rsid w:val="00AC43D6"/>
    <w:rsid w:val="00AC5DDA"/>
    <w:rsid w:val="00AC6031"/>
    <w:rsid w:val="00AC6DB0"/>
    <w:rsid w:val="00AC7518"/>
    <w:rsid w:val="00AD2B91"/>
    <w:rsid w:val="00AD3620"/>
    <w:rsid w:val="00AD3A17"/>
    <w:rsid w:val="00AD3B9A"/>
    <w:rsid w:val="00AD5070"/>
    <w:rsid w:val="00AD6644"/>
    <w:rsid w:val="00AD74C2"/>
    <w:rsid w:val="00AD7601"/>
    <w:rsid w:val="00AE0C8E"/>
    <w:rsid w:val="00AE6D5D"/>
    <w:rsid w:val="00AE7D95"/>
    <w:rsid w:val="00AF0742"/>
    <w:rsid w:val="00AF5A3C"/>
    <w:rsid w:val="00AF5A7C"/>
    <w:rsid w:val="00AF6025"/>
    <w:rsid w:val="00AF6740"/>
    <w:rsid w:val="00AF6BB8"/>
    <w:rsid w:val="00AF701D"/>
    <w:rsid w:val="00B002E2"/>
    <w:rsid w:val="00B01111"/>
    <w:rsid w:val="00B01167"/>
    <w:rsid w:val="00B01BDC"/>
    <w:rsid w:val="00B02035"/>
    <w:rsid w:val="00B02A2B"/>
    <w:rsid w:val="00B03248"/>
    <w:rsid w:val="00B06601"/>
    <w:rsid w:val="00B1092E"/>
    <w:rsid w:val="00B1163B"/>
    <w:rsid w:val="00B130E2"/>
    <w:rsid w:val="00B151DF"/>
    <w:rsid w:val="00B2065B"/>
    <w:rsid w:val="00B207AD"/>
    <w:rsid w:val="00B2098B"/>
    <w:rsid w:val="00B21DEA"/>
    <w:rsid w:val="00B23107"/>
    <w:rsid w:val="00B23429"/>
    <w:rsid w:val="00B25098"/>
    <w:rsid w:val="00B2697F"/>
    <w:rsid w:val="00B27335"/>
    <w:rsid w:val="00B300F8"/>
    <w:rsid w:val="00B3067B"/>
    <w:rsid w:val="00B3094E"/>
    <w:rsid w:val="00B3154A"/>
    <w:rsid w:val="00B31AC8"/>
    <w:rsid w:val="00B330F6"/>
    <w:rsid w:val="00B34203"/>
    <w:rsid w:val="00B34572"/>
    <w:rsid w:val="00B348F7"/>
    <w:rsid w:val="00B3507F"/>
    <w:rsid w:val="00B412F7"/>
    <w:rsid w:val="00B424DF"/>
    <w:rsid w:val="00B43AB6"/>
    <w:rsid w:val="00B43D31"/>
    <w:rsid w:val="00B441B2"/>
    <w:rsid w:val="00B443C5"/>
    <w:rsid w:val="00B4513B"/>
    <w:rsid w:val="00B451BC"/>
    <w:rsid w:val="00B463FE"/>
    <w:rsid w:val="00B50265"/>
    <w:rsid w:val="00B5107D"/>
    <w:rsid w:val="00B511A0"/>
    <w:rsid w:val="00B51284"/>
    <w:rsid w:val="00B519C5"/>
    <w:rsid w:val="00B53A07"/>
    <w:rsid w:val="00B55126"/>
    <w:rsid w:val="00B5533E"/>
    <w:rsid w:val="00B555CA"/>
    <w:rsid w:val="00B55B05"/>
    <w:rsid w:val="00B573C7"/>
    <w:rsid w:val="00B577C5"/>
    <w:rsid w:val="00B60A6F"/>
    <w:rsid w:val="00B60E4F"/>
    <w:rsid w:val="00B61197"/>
    <w:rsid w:val="00B62C59"/>
    <w:rsid w:val="00B62CFD"/>
    <w:rsid w:val="00B64334"/>
    <w:rsid w:val="00B65F94"/>
    <w:rsid w:val="00B66498"/>
    <w:rsid w:val="00B67D26"/>
    <w:rsid w:val="00B71734"/>
    <w:rsid w:val="00B71859"/>
    <w:rsid w:val="00B733AC"/>
    <w:rsid w:val="00B742A1"/>
    <w:rsid w:val="00B754DE"/>
    <w:rsid w:val="00B76806"/>
    <w:rsid w:val="00B81D25"/>
    <w:rsid w:val="00B864F5"/>
    <w:rsid w:val="00B86DE2"/>
    <w:rsid w:val="00B87D27"/>
    <w:rsid w:val="00B87EC7"/>
    <w:rsid w:val="00B9038A"/>
    <w:rsid w:val="00B91592"/>
    <w:rsid w:val="00B93A32"/>
    <w:rsid w:val="00B9786C"/>
    <w:rsid w:val="00B97E68"/>
    <w:rsid w:val="00BA11CB"/>
    <w:rsid w:val="00BA2547"/>
    <w:rsid w:val="00BA382F"/>
    <w:rsid w:val="00BA52B9"/>
    <w:rsid w:val="00BA7B9E"/>
    <w:rsid w:val="00BB26FB"/>
    <w:rsid w:val="00BB26FE"/>
    <w:rsid w:val="00BB286A"/>
    <w:rsid w:val="00BB298A"/>
    <w:rsid w:val="00BB41C2"/>
    <w:rsid w:val="00BB4630"/>
    <w:rsid w:val="00BB6D60"/>
    <w:rsid w:val="00BB7976"/>
    <w:rsid w:val="00BC2066"/>
    <w:rsid w:val="00BC504B"/>
    <w:rsid w:val="00BC53E8"/>
    <w:rsid w:val="00BC6074"/>
    <w:rsid w:val="00BC6401"/>
    <w:rsid w:val="00BC7390"/>
    <w:rsid w:val="00BC786F"/>
    <w:rsid w:val="00BD0B29"/>
    <w:rsid w:val="00BD0C59"/>
    <w:rsid w:val="00BD1A40"/>
    <w:rsid w:val="00BD251C"/>
    <w:rsid w:val="00BD306F"/>
    <w:rsid w:val="00BD31AB"/>
    <w:rsid w:val="00BD34AC"/>
    <w:rsid w:val="00BD5C8D"/>
    <w:rsid w:val="00BD697C"/>
    <w:rsid w:val="00BE1695"/>
    <w:rsid w:val="00BE27F0"/>
    <w:rsid w:val="00BE302C"/>
    <w:rsid w:val="00BE5250"/>
    <w:rsid w:val="00BE5E4E"/>
    <w:rsid w:val="00BE6DA8"/>
    <w:rsid w:val="00BF024A"/>
    <w:rsid w:val="00BF17AB"/>
    <w:rsid w:val="00BF1E4F"/>
    <w:rsid w:val="00BF2D66"/>
    <w:rsid w:val="00BF2D96"/>
    <w:rsid w:val="00BF2DE0"/>
    <w:rsid w:val="00BF33D7"/>
    <w:rsid w:val="00BF7191"/>
    <w:rsid w:val="00C01A9E"/>
    <w:rsid w:val="00C01E44"/>
    <w:rsid w:val="00C04988"/>
    <w:rsid w:val="00C056A2"/>
    <w:rsid w:val="00C05CAA"/>
    <w:rsid w:val="00C10AAA"/>
    <w:rsid w:val="00C11035"/>
    <w:rsid w:val="00C11C29"/>
    <w:rsid w:val="00C16692"/>
    <w:rsid w:val="00C242EA"/>
    <w:rsid w:val="00C25BFC"/>
    <w:rsid w:val="00C25C7D"/>
    <w:rsid w:val="00C26DA3"/>
    <w:rsid w:val="00C26EC5"/>
    <w:rsid w:val="00C27ED3"/>
    <w:rsid w:val="00C32BB4"/>
    <w:rsid w:val="00C36F7B"/>
    <w:rsid w:val="00C3794E"/>
    <w:rsid w:val="00C43F02"/>
    <w:rsid w:val="00C43F07"/>
    <w:rsid w:val="00C4554E"/>
    <w:rsid w:val="00C45B3B"/>
    <w:rsid w:val="00C4702B"/>
    <w:rsid w:val="00C50161"/>
    <w:rsid w:val="00C50C09"/>
    <w:rsid w:val="00C50F73"/>
    <w:rsid w:val="00C5282F"/>
    <w:rsid w:val="00C53A06"/>
    <w:rsid w:val="00C53E85"/>
    <w:rsid w:val="00C62A66"/>
    <w:rsid w:val="00C62D76"/>
    <w:rsid w:val="00C67E8A"/>
    <w:rsid w:val="00C71427"/>
    <w:rsid w:val="00C72447"/>
    <w:rsid w:val="00C7320D"/>
    <w:rsid w:val="00C7324B"/>
    <w:rsid w:val="00C73EF9"/>
    <w:rsid w:val="00C741B9"/>
    <w:rsid w:val="00C7573E"/>
    <w:rsid w:val="00C764E1"/>
    <w:rsid w:val="00C76D5C"/>
    <w:rsid w:val="00C77098"/>
    <w:rsid w:val="00C8261B"/>
    <w:rsid w:val="00C83CCB"/>
    <w:rsid w:val="00C8425A"/>
    <w:rsid w:val="00C85BF7"/>
    <w:rsid w:val="00C86D29"/>
    <w:rsid w:val="00C90BA8"/>
    <w:rsid w:val="00C92344"/>
    <w:rsid w:val="00C9248C"/>
    <w:rsid w:val="00C94B6B"/>
    <w:rsid w:val="00C94C32"/>
    <w:rsid w:val="00C97182"/>
    <w:rsid w:val="00CA22D8"/>
    <w:rsid w:val="00CA295E"/>
    <w:rsid w:val="00CA296D"/>
    <w:rsid w:val="00CA2E38"/>
    <w:rsid w:val="00CA3044"/>
    <w:rsid w:val="00CA4DEE"/>
    <w:rsid w:val="00CB1419"/>
    <w:rsid w:val="00CB166A"/>
    <w:rsid w:val="00CB4730"/>
    <w:rsid w:val="00CB54E5"/>
    <w:rsid w:val="00CB57D0"/>
    <w:rsid w:val="00CC1612"/>
    <w:rsid w:val="00CC1804"/>
    <w:rsid w:val="00CC1ADD"/>
    <w:rsid w:val="00CC2070"/>
    <w:rsid w:val="00CC26AA"/>
    <w:rsid w:val="00CC2E0D"/>
    <w:rsid w:val="00CC3D91"/>
    <w:rsid w:val="00CC61D1"/>
    <w:rsid w:val="00CD01B5"/>
    <w:rsid w:val="00CD0F30"/>
    <w:rsid w:val="00CD125A"/>
    <w:rsid w:val="00CD148C"/>
    <w:rsid w:val="00CD2F6F"/>
    <w:rsid w:val="00CD4609"/>
    <w:rsid w:val="00CD5B2D"/>
    <w:rsid w:val="00CD67CA"/>
    <w:rsid w:val="00CE001B"/>
    <w:rsid w:val="00CE0D03"/>
    <w:rsid w:val="00CE1617"/>
    <w:rsid w:val="00CE1F3D"/>
    <w:rsid w:val="00CE4680"/>
    <w:rsid w:val="00CE591C"/>
    <w:rsid w:val="00CE6D76"/>
    <w:rsid w:val="00CF03C9"/>
    <w:rsid w:val="00CF0990"/>
    <w:rsid w:val="00CF1AD6"/>
    <w:rsid w:val="00CF280E"/>
    <w:rsid w:val="00CF28FD"/>
    <w:rsid w:val="00CF3873"/>
    <w:rsid w:val="00CF5194"/>
    <w:rsid w:val="00CF5D1A"/>
    <w:rsid w:val="00CF5DBF"/>
    <w:rsid w:val="00CF7670"/>
    <w:rsid w:val="00CF7B18"/>
    <w:rsid w:val="00D0049D"/>
    <w:rsid w:val="00D03AA1"/>
    <w:rsid w:val="00D04FAB"/>
    <w:rsid w:val="00D053A6"/>
    <w:rsid w:val="00D05E72"/>
    <w:rsid w:val="00D073F4"/>
    <w:rsid w:val="00D10B75"/>
    <w:rsid w:val="00D10D13"/>
    <w:rsid w:val="00D10E13"/>
    <w:rsid w:val="00D14B22"/>
    <w:rsid w:val="00D160F3"/>
    <w:rsid w:val="00D165B6"/>
    <w:rsid w:val="00D2265D"/>
    <w:rsid w:val="00D24AAC"/>
    <w:rsid w:val="00D25D78"/>
    <w:rsid w:val="00D27410"/>
    <w:rsid w:val="00D27924"/>
    <w:rsid w:val="00D30131"/>
    <w:rsid w:val="00D3163D"/>
    <w:rsid w:val="00D317B7"/>
    <w:rsid w:val="00D32446"/>
    <w:rsid w:val="00D3274F"/>
    <w:rsid w:val="00D33076"/>
    <w:rsid w:val="00D340A1"/>
    <w:rsid w:val="00D35B14"/>
    <w:rsid w:val="00D4072A"/>
    <w:rsid w:val="00D40DE8"/>
    <w:rsid w:val="00D43B2B"/>
    <w:rsid w:val="00D43EC0"/>
    <w:rsid w:val="00D44736"/>
    <w:rsid w:val="00D45822"/>
    <w:rsid w:val="00D46A14"/>
    <w:rsid w:val="00D46DD5"/>
    <w:rsid w:val="00D472D6"/>
    <w:rsid w:val="00D474CE"/>
    <w:rsid w:val="00D51E8E"/>
    <w:rsid w:val="00D522EA"/>
    <w:rsid w:val="00D52729"/>
    <w:rsid w:val="00D5382D"/>
    <w:rsid w:val="00D54078"/>
    <w:rsid w:val="00D55379"/>
    <w:rsid w:val="00D55D49"/>
    <w:rsid w:val="00D55D7B"/>
    <w:rsid w:val="00D55D82"/>
    <w:rsid w:val="00D56F67"/>
    <w:rsid w:val="00D6000E"/>
    <w:rsid w:val="00D6070F"/>
    <w:rsid w:val="00D607FC"/>
    <w:rsid w:val="00D61BA4"/>
    <w:rsid w:val="00D61F3B"/>
    <w:rsid w:val="00D62534"/>
    <w:rsid w:val="00D64622"/>
    <w:rsid w:val="00D651CA"/>
    <w:rsid w:val="00D652F7"/>
    <w:rsid w:val="00D65FAF"/>
    <w:rsid w:val="00D65FF5"/>
    <w:rsid w:val="00D667B7"/>
    <w:rsid w:val="00D67DC1"/>
    <w:rsid w:val="00D7115B"/>
    <w:rsid w:val="00D7167F"/>
    <w:rsid w:val="00D72B03"/>
    <w:rsid w:val="00D72B4C"/>
    <w:rsid w:val="00D75751"/>
    <w:rsid w:val="00D75CB1"/>
    <w:rsid w:val="00D768BD"/>
    <w:rsid w:val="00D7744C"/>
    <w:rsid w:val="00D847C8"/>
    <w:rsid w:val="00D84A29"/>
    <w:rsid w:val="00D87299"/>
    <w:rsid w:val="00D902DE"/>
    <w:rsid w:val="00D90B24"/>
    <w:rsid w:val="00D912C1"/>
    <w:rsid w:val="00D91855"/>
    <w:rsid w:val="00D949D1"/>
    <w:rsid w:val="00D94F23"/>
    <w:rsid w:val="00D95D93"/>
    <w:rsid w:val="00D96BD3"/>
    <w:rsid w:val="00D9714A"/>
    <w:rsid w:val="00DA0D61"/>
    <w:rsid w:val="00DA0F80"/>
    <w:rsid w:val="00DA4756"/>
    <w:rsid w:val="00DA4B81"/>
    <w:rsid w:val="00DA54FA"/>
    <w:rsid w:val="00DA59A3"/>
    <w:rsid w:val="00DA6C48"/>
    <w:rsid w:val="00DB188B"/>
    <w:rsid w:val="00DB20F7"/>
    <w:rsid w:val="00DB23EC"/>
    <w:rsid w:val="00DB31A2"/>
    <w:rsid w:val="00DB4899"/>
    <w:rsid w:val="00DB54BF"/>
    <w:rsid w:val="00DB69C5"/>
    <w:rsid w:val="00DB7E26"/>
    <w:rsid w:val="00DC048D"/>
    <w:rsid w:val="00DC085F"/>
    <w:rsid w:val="00DC193A"/>
    <w:rsid w:val="00DC2E68"/>
    <w:rsid w:val="00DC4D48"/>
    <w:rsid w:val="00DC6E4F"/>
    <w:rsid w:val="00DC7A4F"/>
    <w:rsid w:val="00DD0259"/>
    <w:rsid w:val="00DD030C"/>
    <w:rsid w:val="00DD34AD"/>
    <w:rsid w:val="00DD3FD4"/>
    <w:rsid w:val="00DD4E7B"/>
    <w:rsid w:val="00DD58F5"/>
    <w:rsid w:val="00DD6A3D"/>
    <w:rsid w:val="00DD6BD3"/>
    <w:rsid w:val="00DE1BE7"/>
    <w:rsid w:val="00DE3733"/>
    <w:rsid w:val="00DE38EE"/>
    <w:rsid w:val="00DE4D1C"/>
    <w:rsid w:val="00DE5425"/>
    <w:rsid w:val="00DE710B"/>
    <w:rsid w:val="00DF059A"/>
    <w:rsid w:val="00DF07A3"/>
    <w:rsid w:val="00DF2E94"/>
    <w:rsid w:val="00DF30F2"/>
    <w:rsid w:val="00DF3C53"/>
    <w:rsid w:val="00DF4990"/>
    <w:rsid w:val="00DF5516"/>
    <w:rsid w:val="00DF5D18"/>
    <w:rsid w:val="00DF63AF"/>
    <w:rsid w:val="00DF6A9E"/>
    <w:rsid w:val="00E00163"/>
    <w:rsid w:val="00E006A1"/>
    <w:rsid w:val="00E01682"/>
    <w:rsid w:val="00E01DFD"/>
    <w:rsid w:val="00E05938"/>
    <w:rsid w:val="00E05D2E"/>
    <w:rsid w:val="00E07D90"/>
    <w:rsid w:val="00E07D9B"/>
    <w:rsid w:val="00E11186"/>
    <w:rsid w:val="00E11DCC"/>
    <w:rsid w:val="00E14144"/>
    <w:rsid w:val="00E15584"/>
    <w:rsid w:val="00E1668F"/>
    <w:rsid w:val="00E17989"/>
    <w:rsid w:val="00E17A2A"/>
    <w:rsid w:val="00E17D34"/>
    <w:rsid w:val="00E201E8"/>
    <w:rsid w:val="00E203BE"/>
    <w:rsid w:val="00E20C51"/>
    <w:rsid w:val="00E2415E"/>
    <w:rsid w:val="00E27B5A"/>
    <w:rsid w:val="00E30039"/>
    <w:rsid w:val="00E30425"/>
    <w:rsid w:val="00E31335"/>
    <w:rsid w:val="00E32621"/>
    <w:rsid w:val="00E3382E"/>
    <w:rsid w:val="00E352E5"/>
    <w:rsid w:val="00E40FB0"/>
    <w:rsid w:val="00E416B0"/>
    <w:rsid w:val="00E42100"/>
    <w:rsid w:val="00E43280"/>
    <w:rsid w:val="00E43A37"/>
    <w:rsid w:val="00E43B0C"/>
    <w:rsid w:val="00E4432E"/>
    <w:rsid w:val="00E4489C"/>
    <w:rsid w:val="00E44BFF"/>
    <w:rsid w:val="00E4593D"/>
    <w:rsid w:val="00E468FE"/>
    <w:rsid w:val="00E476A9"/>
    <w:rsid w:val="00E476DE"/>
    <w:rsid w:val="00E50863"/>
    <w:rsid w:val="00E50A55"/>
    <w:rsid w:val="00E54D24"/>
    <w:rsid w:val="00E61AA5"/>
    <w:rsid w:val="00E6215E"/>
    <w:rsid w:val="00E64291"/>
    <w:rsid w:val="00E66C85"/>
    <w:rsid w:val="00E66EFC"/>
    <w:rsid w:val="00E71EF5"/>
    <w:rsid w:val="00E721DF"/>
    <w:rsid w:val="00E72C1D"/>
    <w:rsid w:val="00E735B7"/>
    <w:rsid w:val="00E7415A"/>
    <w:rsid w:val="00E74241"/>
    <w:rsid w:val="00E75B35"/>
    <w:rsid w:val="00E76E60"/>
    <w:rsid w:val="00E80318"/>
    <w:rsid w:val="00E80798"/>
    <w:rsid w:val="00E82415"/>
    <w:rsid w:val="00E836CE"/>
    <w:rsid w:val="00E874A7"/>
    <w:rsid w:val="00E87BB5"/>
    <w:rsid w:val="00E91B87"/>
    <w:rsid w:val="00E92763"/>
    <w:rsid w:val="00E931B1"/>
    <w:rsid w:val="00E93B6F"/>
    <w:rsid w:val="00E93BCF"/>
    <w:rsid w:val="00E9417F"/>
    <w:rsid w:val="00E960E0"/>
    <w:rsid w:val="00E97124"/>
    <w:rsid w:val="00EA158B"/>
    <w:rsid w:val="00EA1A4B"/>
    <w:rsid w:val="00EA44E9"/>
    <w:rsid w:val="00EA6022"/>
    <w:rsid w:val="00EA6C85"/>
    <w:rsid w:val="00EA7E39"/>
    <w:rsid w:val="00EB009E"/>
    <w:rsid w:val="00EB3D4F"/>
    <w:rsid w:val="00EB43FE"/>
    <w:rsid w:val="00EB6380"/>
    <w:rsid w:val="00EB7D0B"/>
    <w:rsid w:val="00EC10A8"/>
    <w:rsid w:val="00EC121A"/>
    <w:rsid w:val="00EC12F0"/>
    <w:rsid w:val="00EC1DB9"/>
    <w:rsid w:val="00EC2698"/>
    <w:rsid w:val="00EC2CFD"/>
    <w:rsid w:val="00EC3015"/>
    <w:rsid w:val="00EC3E88"/>
    <w:rsid w:val="00EC4774"/>
    <w:rsid w:val="00EC5EF6"/>
    <w:rsid w:val="00EC7751"/>
    <w:rsid w:val="00ED05F6"/>
    <w:rsid w:val="00ED2410"/>
    <w:rsid w:val="00ED3ADF"/>
    <w:rsid w:val="00ED553C"/>
    <w:rsid w:val="00ED555E"/>
    <w:rsid w:val="00ED633A"/>
    <w:rsid w:val="00ED7610"/>
    <w:rsid w:val="00ED7877"/>
    <w:rsid w:val="00EE0DBB"/>
    <w:rsid w:val="00EE10F4"/>
    <w:rsid w:val="00EE1D10"/>
    <w:rsid w:val="00EE2FBF"/>
    <w:rsid w:val="00EE36DC"/>
    <w:rsid w:val="00EE6A7B"/>
    <w:rsid w:val="00EF03F6"/>
    <w:rsid w:val="00EF084A"/>
    <w:rsid w:val="00EF16D5"/>
    <w:rsid w:val="00EF3975"/>
    <w:rsid w:val="00EF3A0C"/>
    <w:rsid w:val="00EF472E"/>
    <w:rsid w:val="00EF4E11"/>
    <w:rsid w:val="00F013FE"/>
    <w:rsid w:val="00F01922"/>
    <w:rsid w:val="00F03A97"/>
    <w:rsid w:val="00F03C65"/>
    <w:rsid w:val="00F045C2"/>
    <w:rsid w:val="00F0479D"/>
    <w:rsid w:val="00F05AAC"/>
    <w:rsid w:val="00F064B3"/>
    <w:rsid w:val="00F07525"/>
    <w:rsid w:val="00F07F9E"/>
    <w:rsid w:val="00F12D02"/>
    <w:rsid w:val="00F13EEE"/>
    <w:rsid w:val="00F14C02"/>
    <w:rsid w:val="00F156F2"/>
    <w:rsid w:val="00F202B9"/>
    <w:rsid w:val="00F208A7"/>
    <w:rsid w:val="00F22A6D"/>
    <w:rsid w:val="00F23389"/>
    <w:rsid w:val="00F247E1"/>
    <w:rsid w:val="00F253FD"/>
    <w:rsid w:val="00F25DCF"/>
    <w:rsid w:val="00F27AD7"/>
    <w:rsid w:val="00F31F7C"/>
    <w:rsid w:val="00F3244A"/>
    <w:rsid w:val="00F32BB8"/>
    <w:rsid w:val="00F338E7"/>
    <w:rsid w:val="00F34797"/>
    <w:rsid w:val="00F35116"/>
    <w:rsid w:val="00F3582E"/>
    <w:rsid w:val="00F37699"/>
    <w:rsid w:val="00F37928"/>
    <w:rsid w:val="00F40C3A"/>
    <w:rsid w:val="00F422F4"/>
    <w:rsid w:val="00F4380F"/>
    <w:rsid w:val="00F43B51"/>
    <w:rsid w:val="00F43E18"/>
    <w:rsid w:val="00F4436B"/>
    <w:rsid w:val="00F47751"/>
    <w:rsid w:val="00F5077B"/>
    <w:rsid w:val="00F53648"/>
    <w:rsid w:val="00F5388E"/>
    <w:rsid w:val="00F5567F"/>
    <w:rsid w:val="00F56142"/>
    <w:rsid w:val="00F60E85"/>
    <w:rsid w:val="00F6142D"/>
    <w:rsid w:val="00F6226B"/>
    <w:rsid w:val="00F62354"/>
    <w:rsid w:val="00F62C06"/>
    <w:rsid w:val="00F64573"/>
    <w:rsid w:val="00F64F15"/>
    <w:rsid w:val="00F663EF"/>
    <w:rsid w:val="00F70B70"/>
    <w:rsid w:val="00F71986"/>
    <w:rsid w:val="00F731E1"/>
    <w:rsid w:val="00F732FE"/>
    <w:rsid w:val="00F73E54"/>
    <w:rsid w:val="00F76AC1"/>
    <w:rsid w:val="00F76E00"/>
    <w:rsid w:val="00F76FD2"/>
    <w:rsid w:val="00F77010"/>
    <w:rsid w:val="00F817DE"/>
    <w:rsid w:val="00F8194E"/>
    <w:rsid w:val="00F820AB"/>
    <w:rsid w:val="00F830FE"/>
    <w:rsid w:val="00F8352A"/>
    <w:rsid w:val="00F83D70"/>
    <w:rsid w:val="00F85653"/>
    <w:rsid w:val="00F8577A"/>
    <w:rsid w:val="00F874DC"/>
    <w:rsid w:val="00F91079"/>
    <w:rsid w:val="00F92C78"/>
    <w:rsid w:val="00F934C1"/>
    <w:rsid w:val="00F93F80"/>
    <w:rsid w:val="00F94694"/>
    <w:rsid w:val="00F95226"/>
    <w:rsid w:val="00F96424"/>
    <w:rsid w:val="00F97F30"/>
    <w:rsid w:val="00FA1F06"/>
    <w:rsid w:val="00FA241B"/>
    <w:rsid w:val="00FA2E83"/>
    <w:rsid w:val="00FA317D"/>
    <w:rsid w:val="00FA4E2D"/>
    <w:rsid w:val="00FA5CDA"/>
    <w:rsid w:val="00FA69FC"/>
    <w:rsid w:val="00FA7701"/>
    <w:rsid w:val="00FB03A2"/>
    <w:rsid w:val="00FB04CD"/>
    <w:rsid w:val="00FB1776"/>
    <w:rsid w:val="00FB1943"/>
    <w:rsid w:val="00FB1E60"/>
    <w:rsid w:val="00FB2C5C"/>
    <w:rsid w:val="00FB737F"/>
    <w:rsid w:val="00FC2A7D"/>
    <w:rsid w:val="00FC6AB4"/>
    <w:rsid w:val="00FC6B87"/>
    <w:rsid w:val="00FC6EA5"/>
    <w:rsid w:val="00FD0D1E"/>
    <w:rsid w:val="00FD15BA"/>
    <w:rsid w:val="00FD42F8"/>
    <w:rsid w:val="00FD53A0"/>
    <w:rsid w:val="00FD7867"/>
    <w:rsid w:val="00FD7C91"/>
    <w:rsid w:val="00FE208A"/>
    <w:rsid w:val="00FE68A8"/>
    <w:rsid w:val="00FE6DDB"/>
    <w:rsid w:val="00FE7F3F"/>
    <w:rsid w:val="00FF0090"/>
    <w:rsid w:val="00FF0A5B"/>
    <w:rsid w:val="00FF1535"/>
    <w:rsid w:val="00FF20B4"/>
    <w:rsid w:val="00FF3207"/>
    <w:rsid w:val="00FF33F5"/>
    <w:rsid w:val="00FF3B65"/>
    <w:rsid w:val="00FF4176"/>
    <w:rsid w:val="00FF55E0"/>
    <w:rsid w:val="00FF56BA"/>
    <w:rsid w:val="00FF706A"/>
    <w:rsid w:val="0100390C"/>
    <w:rsid w:val="0119223D"/>
    <w:rsid w:val="01321C24"/>
    <w:rsid w:val="0135375F"/>
    <w:rsid w:val="0136732D"/>
    <w:rsid w:val="01437730"/>
    <w:rsid w:val="01521C8D"/>
    <w:rsid w:val="01565C22"/>
    <w:rsid w:val="015F17F8"/>
    <w:rsid w:val="0167398B"/>
    <w:rsid w:val="01695955"/>
    <w:rsid w:val="017D43BA"/>
    <w:rsid w:val="018E7169"/>
    <w:rsid w:val="01AE427A"/>
    <w:rsid w:val="01BF37C7"/>
    <w:rsid w:val="01FD7E4B"/>
    <w:rsid w:val="020261AE"/>
    <w:rsid w:val="020534CF"/>
    <w:rsid w:val="02290C40"/>
    <w:rsid w:val="023615AF"/>
    <w:rsid w:val="02393DE7"/>
    <w:rsid w:val="02624152"/>
    <w:rsid w:val="02723F64"/>
    <w:rsid w:val="02855771"/>
    <w:rsid w:val="028B38C4"/>
    <w:rsid w:val="029229C3"/>
    <w:rsid w:val="02A03A4C"/>
    <w:rsid w:val="02A7242C"/>
    <w:rsid w:val="02BB0DCB"/>
    <w:rsid w:val="02C2228F"/>
    <w:rsid w:val="02C4608E"/>
    <w:rsid w:val="02C92423"/>
    <w:rsid w:val="02DB38E0"/>
    <w:rsid w:val="02E77997"/>
    <w:rsid w:val="02E828A9"/>
    <w:rsid w:val="02F65D83"/>
    <w:rsid w:val="02F84024"/>
    <w:rsid w:val="030D41CD"/>
    <w:rsid w:val="03157416"/>
    <w:rsid w:val="031C7036"/>
    <w:rsid w:val="03331DD0"/>
    <w:rsid w:val="03490C1C"/>
    <w:rsid w:val="03674822"/>
    <w:rsid w:val="03697BFD"/>
    <w:rsid w:val="03782EB8"/>
    <w:rsid w:val="039B175F"/>
    <w:rsid w:val="03CF2CE2"/>
    <w:rsid w:val="03D634DF"/>
    <w:rsid w:val="03FF7DBF"/>
    <w:rsid w:val="0400747C"/>
    <w:rsid w:val="04085103"/>
    <w:rsid w:val="0422078D"/>
    <w:rsid w:val="04394E9F"/>
    <w:rsid w:val="04471852"/>
    <w:rsid w:val="044C2EB2"/>
    <w:rsid w:val="047A3254"/>
    <w:rsid w:val="04893C18"/>
    <w:rsid w:val="04927B1C"/>
    <w:rsid w:val="04C34C3D"/>
    <w:rsid w:val="04DA0918"/>
    <w:rsid w:val="04F419D9"/>
    <w:rsid w:val="04FB714A"/>
    <w:rsid w:val="0530678A"/>
    <w:rsid w:val="0565124E"/>
    <w:rsid w:val="05654AE7"/>
    <w:rsid w:val="05665F61"/>
    <w:rsid w:val="0580326D"/>
    <w:rsid w:val="05827BB0"/>
    <w:rsid w:val="05927A85"/>
    <w:rsid w:val="05946D18"/>
    <w:rsid w:val="05AD3861"/>
    <w:rsid w:val="05B25F0F"/>
    <w:rsid w:val="05C11A36"/>
    <w:rsid w:val="05ED72D5"/>
    <w:rsid w:val="05F11B6D"/>
    <w:rsid w:val="05F41565"/>
    <w:rsid w:val="05F96B7B"/>
    <w:rsid w:val="05FA0EFB"/>
    <w:rsid w:val="05FB6D97"/>
    <w:rsid w:val="060F6837"/>
    <w:rsid w:val="061B09E7"/>
    <w:rsid w:val="062C24FF"/>
    <w:rsid w:val="063D6CE4"/>
    <w:rsid w:val="06582A81"/>
    <w:rsid w:val="06B01930"/>
    <w:rsid w:val="06B43A55"/>
    <w:rsid w:val="06EC66E0"/>
    <w:rsid w:val="073D27EE"/>
    <w:rsid w:val="07444BC2"/>
    <w:rsid w:val="07577003"/>
    <w:rsid w:val="077D7F4A"/>
    <w:rsid w:val="07866B42"/>
    <w:rsid w:val="0790552D"/>
    <w:rsid w:val="07954516"/>
    <w:rsid w:val="079F3753"/>
    <w:rsid w:val="07A31495"/>
    <w:rsid w:val="07CC02D2"/>
    <w:rsid w:val="07D43510"/>
    <w:rsid w:val="07F12FAF"/>
    <w:rsid w:val="07F552CD"/>
    <w:rsid w:val="080F45DE"/>
    <w:rsid w:val="0823691D"/>
    <w:rsid w:val="08391252"/>
    <w:rsid w:val="083A64E8"/>
    <w:rsid w:val="084B203D"/>
    <w:rsid w:val="085235CB"/>
    <w:rsid w:val="086011F1"/>
    <w:rsid w:val="08797942"/>
    <w:rsid w:val="087D1CE6"/>
    <w:rsid w:val="088968DD"/>
    <w:rsid w:val="08B35707"/>
    <w:rsid w:val="08B576D2"/>
    <w:rsid w:val="08BB3248"/>
    <w:rsid w:val="08D31906"/>
    <w:rsid w:val="08DD4446"/>
    <w:rsid w:val="08E73603"/>
    <w:rsid w:val="08FB2E78"/>
    <w:rsid w:val="090556D8"/>
    <w:rsid w:val="09074686"/>
    <w:rsid w:val="092E642F"/>
    <w:rsid w:val="094A7332"/>
    <w:rsid w:val="094E03CE"/>
    <w:rsid w:val="09622C8A"/>
    <w:rsid w:val="0981271E"/>
    <w:rsid w:val="09AE3A49"/>
    <w:rsid w:val="09BE25B6"/>
    <w:rsid w:val="09C63218"/>
    <w:rsid w:val="09EA33AB"/>
    <w:rsid w:val="09EE0380"/>
    <w:rsid w:val="0A0A57FB"/>
    <w:rsid w:val="0A1B3564"/>
    <w:rsid w:val="0A1D07C3"/>
    <w:rsid w:val="0A243623"/>
    <w:rsid w:val="0A3B531A"/>
    <w:rsid w:val="0A540824"/>
    <w:rsid w:val="0A7B2255"/>
    <w:rsid w:val="0A813D69"/>
    <w:rsid w:val="0AA70BF1"/>
    <w:rsid w:val="0AB46BD0"/>
    <w:rsid w:val="0ABE2374"/>
    <w:rsid w:val="0ACC2AB1"/>
    <w:rsid w:val="0AE94314"/>
    <w:rsid w:val="0AF81AF7"/>
    <w:rsid w:val="0B024724"/>
    <w:rsid w:val="0B0D6E40"/>
    <w:rsid w:val="0B0E131B"/>
    <w:rsid w:val="0B2E3169"/>
    <w:rsid w:val="0B4368B9"/>
    <w:rsid w:val="0B4A640A"/>
    <w:rsid w:val="0B54368F"/>
    <w:rsid w:val="0B552AA6"/>
    <w:rsid w:val="0B556321"/>
    <w:rsid w:val="0B5F56D3"/>
    <w:rsid w:val="0BA44C74"/>
    <w:rsid w:val="0BA60F03"/>
    <w:rsid w:val="0BB52366"/>
    <w:rsid w:val="0BB937A9"/>
    <w:rsid w:val="0BCF5714"/>
    <w:rsid w:val="0C1A2DF9"/>
    <w:rsid w:val="0C1E6732"/>
    <w:rsid w:val="0C22654B"/>
    <w:rsid w:val="0C350165"/>
    <w:rsid w:val="0C475EF7"/>
    <w:rsid w:val="0C6632C1"/>
    <w:rsid w:val="0C676F35"/>
    <w:rsid w:val="0C6F7B97"/>
    <w:rsid w:val="0C8310F1"/>
    <w:rsid w:val="0C8721DD"/>
    <w:rsid w:val="0CC22DB2"/>
    <w:rsid w:val="0CC779D3"/>
    <w:rsid w:val="0CE77488"/>
    <w:rsid w:val="0CEB7E09"/>
    <w:rsid w:val="0CED20B9"/>
    <w:rsid w:val="0CF12212"/>
    <w:rsid w:val="0CFB6E11"/>
    <w:rsid w:val="0CFF0F1B"/>
    <w:rsid w:val="0D056C91"/>
    <w:rsid w:val="0D315FEB"/>
    <w:rsid w:val="0D3606B5"/>
    <w:rsid w:val="0D4A2C9D"/>
    <w:rsid w:val="0D4E799C"/>
    <w:rsid w:val="0D504342"/>
    <w:rsid w:val="0D5D490F"/>
    <w:rsid w:val="0D5F3A7D"/>
    <w:rsid w:val="0D7D0092"/>
    <w:rsid w:val="0D9773A6"/>
    <w:rsid w:val="0DA41AC3"/>
    <w:rsid w:val="0DC21F49"/>
    <w:rsid w:val="0DD6614B"/>
    <w:rsid w:val="0DED6FC6"/>
    <w:rsid w:val="0E0D1416"/>
    <w:rsid w:val="0E1471E1"/>
    <w:rsid w:val="0E193821"/>
    <w:rsid w:val="0E234371"/>
    <w:rsid w:val="0E250E55"/>
    <w:rsid w:val="0E2A00DE"/>
    <w:rsid w:val="0E39045D"/>
    <w:rsid w:val="0E565139"/>
    <w:rsid w:val="0E5E1C72"/>
    <w:rsid w:val="0E5E3797"/>
    <w:rsid w:val="0E611AA9"/>
    <w:rsid w:val="0E76640F"/>
    <w:rsid w:val="0E8A515C"/>
    <w:rsid w:val="0E9022EA"/>
    <w:rsid w:val="0E947D89"/>
    <w:rsid w:val="0E9A3896"/>
    <w:rsid w:val="0EAC08FD"/>
    <w:rsid w:val="0ECE5A23"/>
    <w:rsid w:val="0EE36F16"/>
    <w:rsid w:val="0EE63F68"/>
    <w:rsid w:val="0EEE73DC"/>
    <w:rsid w:val="0EF64327"/>
    <w:rsid w:val="0EF95CA5"/>
    <w:rsid w:val="0EFE5203"/>
    <w:rsid w:val="0F0140E7"/>
    <w:rsid w:val="0F16254C"/>
    <w:rsid w:val="0F234C69"/>
    <w:rsid w:val="0F3639AF"/>
    <w:rsid w:val="0F670FFA"/>
    <w:rsid w:val="0F704352"/>
    <w:rsid w:val="0F784FB5"/>
    <w:rsid w:val="0F8031D8"/>
    <w:rsid w:val="0F846DFF"/>
    <w:rsid w:val="0F9E44CB"/>
    <w:rsid w:val="0FC60169"/>
    <w:rsid w:val="0FC63F72"/>
    <w:rsid w:val="0FD23D36"/>
    <w:rsid w:val="0FD41995"/>
    <w:rsid w:val="0FDF32F1"/>
    <w:rsid w:val="0FFB485C"/>
    <w:rsid w:val="0FFC098B"/>
    <w:rsid w:val="0FFF1232"/>
    <w:rsid w:val="101B5666"/>
    <w:rsid w:val="102A6CA4"/>
    <w:rsid w:val="10480E2B"/>
    <w:rsid w:val="105A46BB"/>
    <w:rsid w:val="106612B1"/>
    <w:rsid w:val="10797237"/>
    <w:rsid w:val="108416CC"/>
    <w:rsid w:val="108654B0"/>
    <w:rsid w:val="10AF273B"/>
    <w:rsid w:val="11082369"/>
    <w:rsid w:val="11173EC6"/>
    <w:rsid w:val="112D1D65"/>
    <w:rsid w:val="112D6828"/>
    <w:rsid w:val="11362B7A"/>
    <w:rsid w:val="117A14B8"/>
    <w:rsid w:val="117C4535"/>
    <w:rsid w:val="117C59F7"/>
    <w:rsid w:val="119368FA"/>
    <w:rsid w:val="119A3908"/>
    <w:rsid w:val="11A67C3E"/>
    <w:rsid w:val="11AC599A"/>
    <w:rsid w:val="11D30BC8"/>
    <w:rsid w:val="11E06E41"/>
    <w:rsid w:val="124B075F"/>
    <w:rsid w:val="125E4936"/>
    <w:rsid w:val="12647A72"/>
    <w:rsid w:val="12655938"/>
    <w:rsid w:val="126E269F"/>
    <w:rsid w:val="12753A2E"/>
    <w:rsid w:val="129E46CD"/>
    <w:rsid w:val="12B8367C"/>
    <w:rsid w:val="12C028F6"/>
    <w:rsid w:val="12C53A80"/>
    <w:rsid w:val="12D4230F"/>
    <w:rsid w:val="12FC7146"/>
    <w:rsid w:val="1304176A"/>
    <w:rsid w:val="130624DA"/>
    <w:rsid w:val="131248C6"/>
    <w:rsid w:val="13275128"/>
    <w:rsid w:val="13372BA8"/>
    <w:rsid w:val="133833D9"/>
    <w:rsid w:val="133921D0"/>
    <w:rsid w:val="133D7B22"/>
    <w:rsid w:val="13426006"/>
    <w:rsid w:val="13497B38"/>
    <w:rsid w:val="135F434B"/>
    <w:rsid w:val="136C6BDF"/>
    <w:rsid w:val="138D2581"/>
    <w:rsid w:val="13923A6C"/>
    <w:rsid w:val="139A7BF0"/>
    <w:rsid w:val="13C07205"/>
    <w:rsid w:val="13C52C06"/>
    <w:rsid w:val="13F85AEA"/>
    <w:rsid w:val="13FB79A3"/>
    <w:rsid w:val="14024B7C"/>
    <w:rsid w:val="14045069"/>
    <w:rsid w:val="14065285"/>
    <w:rsid w:val="14106A51"/>
    <w:rsid w:val="1411355C"/>
    <w:rsid w:val="142D0ACD"/>
    <w:rsid w:val="142E658A"/>
    <w:rsid w:val="143D67CD"/>
    <w:rsid w:val="144E1841"/>
    <w:rsid w:val="14501FC4"/>
    <w:rsid w:val="14531EAE"/>
    <w:rsid w:val="146D0D43"/>
    <w:rsid w:val="1478625E"/>
    <w:rsid w:val="14806EE9"/>
    <w:rsid w:val="14A728DD"/>
    <w:rsid w:val="14C173FE"/>
    <w:rsid w:val="14C20431"/>
    <w:rsid w:val="14CB5B87"/>
    <w:rsid w:val="14CD32B0"/>
    <w:rsid w:val="14D7452C"/>
    <w:rsid w:val="14EF3F6B"/>
    <w:rsid w:val="14F6096B"/>
    <w:rsid w:val="150C57C0"/>
    <w:rsid w:val="15127A27"/>
    <w:rsid w:val="15136329"/>
    <w:rsid w:val="151F250D"/>
    <w:rsid w:val="15463B9F"/>
    <w:rsid w:val="15634A5D"/>
    <w:rsid w:val="15724254"/>
    <w:rsid w:val="157E5B3F"/>
    <w:rsid w:val="15892E91"/>
    <w:rsid w:val="158E4D7E"/>
    <w:rsid w:val="15A83D50"/>
    <w:rsid w:val="15C154CF"/>
    <w:rsid w:val="15D64D0B"/>
    <w:rsid w:val="15EC7B4B"/>
    <w:rsid w:val="15F074B7"/>
    <w:rsid w:val="16050CEC"/>
    <w:rsid w:val="160F751E"/>
    <w:rsid w:val="1623300D"/>
    <w:rsid w:val="16291FEE"/>
    <w:rsid w:val="162C6AF9"/>
    <w:rsid w:val="163B09C1"/>
    <w:rsid w:val="163C048F"/>
    <w:rsid w:val="16691AFB"/>
    <w:rsid w:val="16736F39"/>
    <w:rsid w:val="16A03120"/>
    <w:rsid w:val="16A179A1"/>
    <w:rsid w:val="16C11714"/>
    <w:rsid w:val="16CA07EC"/>
    <w:rsid w:val="16CE7290"/>
    <w:rsid w:val="16F969DB"/>
    <w:rsid w:val="170757B0"/>
    <w:rsid w:val="170967A8"/>
    <w:rsid w:val="174A7368"/>
    <w:rsid w:val="17566A97"/>
    <w:rsid w:val="176651A7"/>
    <w:rsid w:val="179D1063"/>
    <w:rsid w:val="17A54DB5"/>
    <w:rsid w:val="17B31280"/>
    <w:rsid w:val="17C92C60"/>
    <w:rsid w:val="17CF19E0"/>
    <w:rsid w:val="17E31439"/>
    <w:rsid w:val="17F43647"/>
    <w:rsid w:val="18054E8B"/>
    <w:rsid w:val="180A4C18"/>
    <w:rsid w:val="18155A97"/>
    <w:rsid w:val="185F52BC"/>
    <w:rsid w:val="186802BC"/>
    <w:rsid w:val="18772AEF"/>
    <w:rsid w:val="18925339"/>
    <w:rsid w:val="189664AC"/>
    <w:rsid w:val="189D3F2D"/>
    <w:rsid w:val="18A961DF"/>
    <w:rsid w:val="18BC4164"/>
    <w:rsid w:val="18C920C8"/>
    <w:rsid w:val="18D712BE"/>
    <w:rsid w:val="18D84883"/>
    <w:rsid w:val="18E118C9"/>
    <w:rsid w:val="18EB2C9C"/>
    <w:rsid w:val="18EF6E35"/>
    <w:rsid w:val="18F44B0F"/>
    <w:rsid w:val="19050CC5"/>
    <w:rsid w:val="190F47BE"/>
    <w:rsid w:val="191016F5"/>
    <w:rsid w:val="19314B52"/>
    <w:rsid w:val="193957B5"/>
    <w:rsid w:val="194C488B"/>
    <w:rsid w:val="19524AC9"/>
    <w:rsid w:val="19595E57"/>
    <w:rsid w:val="196F09AC"/>
    <w:rsid w:val="19741FA0"/>
    <w:rsid w:val="199E0B12"/>
    <w:rsid w:val="19AF3CC9"/>
    <w:rsid w:val="19D578FB"/>
    <w:rsid w:val="19D84FCE"/>
    <w:rsid w:val="19E21E51"/>
    <w:rsid w:val="19EA71F3"/>
    <w:rsid w:val="19F57A56"/>
    <w:rsid w:val="19FF076F"/>
    <w:rsid w:val="1A115020"/>
    <w:rsid w:val="1A654388"/>
    <w:rsid w:val="1A661211"/>
    <w:rsid w:val="1A661C4C"/>
    <w:rsid w:val="1A9133CF"/>
    <w:rsid w:val="1A9D433E"/>
    <w:rsid w:val="1AA650CC"/>
    <w:rsid w:val="1ACB1FC7"/>
    <w:rsid w:val="1ACE6F1E"/>
    <w:rsid w:val="1AD11A1D"/>
    <w:rsid w:val="1AD51A47"/>
    <w:rsid w:val="1AE30759"/>
    <w:rsid w:val="1AE45766"/>
    <w:rsid w:val="1B005A5A"/>
    <w:rsid w:val="1B0172A6"/>
    <w:rsid w:val="1B3B255C"/>
    <w:rsid w:val="1B3C77DE"/>
    <w:rsid w:val="1B467292"/>
    <w:rsid w:val="1B802FD0"/>
    <w:rsid w:val="1B9615FD"/>
    <w:rsid w:val="1BB235FD"/>
    <w:rsid w:val="1BB50748"/>
    <w:rsid w:val="1BCF5033"/>
    <w:rsid w:val="1BD347AA"/>
    <w:rsid w:val="1BD45C69"/>
    <w:rsid w:val="1BDD5CC2"/>
    <w:rsid w:val="1C0661FE"/>
    <w:rsid w:val="1C1B73F4"/>
    <w:rsid w:val="1C222AC8"/>
    <w:rsid w:val="1C24274C"/>
    <w:rsid w:val="1C2559A9"/>
    <w:rsid w:val="1C282874"/>
    <w:rsid w:val="1C3C6242"/>
    <w:rsid w:val="1C4B4CB1"/>
    <w:rsid w:val="1C6F2165"/>
    <w:rsid w:val="1C705992"/>
    <w:rsid w:val="1C7F245D"/>
    <w:rsid w:val="1C9661CD"/>
    <w:rsid w:val="1C9E598F"/>
    <w:rsid w:val="1CA26DD0"/>
    <w:rsid w:val="1CD93F4B"/>
    <w:rsid w:val="1D413170"/>
    <w:rsid w:val="1D4B79E2"/>
    <w:rsid w:val="1D606CEA"/>
    <w:rsid w:val="1D610593"/>
    <w:rsid w:val="1D6D76D3"/>
    <w:rsid w:val="1D7229FB"/>
    <w:rsid w:val="1D750E0E"/>
    <w:rsid w:val="1D7D4391"/>
    <w:rsid w:val="1D835F21"/>
    <w:rsid w:val="1D855E60"/>
    <w:rsid w:val="1DA022A7"/>
    <w:rsid w:val="1DA150EA"/>
    <w:rsid w:val="1DA90A2F"/>
    <w:rsid w:val="1DAD6CAB"/>
    <w:rsid w:val="1DB47E1A"/>
    <w:rsid w:val="1DB620D0"/>
    <w:rsid w:val="1DCE59D1"/>
    <w:rsid w:val="1DD7570D"/>
    <w:rsid w:val="1DD91315"/>
    <w:rsid w:val="1DDE7FBA"/>
    <w:rsid w:val="1DF15F8A"/>
    <w:rsid w:val="1DFE0D7B"/>
    <w:rsid w:val="1E130A2A"/>
    <w:rsid w:val="1E3C1C4C"/>
    <w:rsid w:val="1E3D54D5"/>
    <w:rsid w:val="1E432C32"/>
    <w:rsid w:val="1E5C0A02"/>
    <w:rsid w:val="1E632AEE"/>
    <w:rsid w:val="1E6C2189"/>
    <w:rsid w:val="1E6E4153"/>
    <w:rsid w:val="1E733D65"/>
    <w:rsid w:val="1E845724"/>
    <w:rsid w:val="1EA25BAA"/>
    <w:rsid w:val="1EDE17C7"/>
    <w:rsid w:val="1EEB6C45"/>
    <w:rsid w:val="1EF309B7"/>
    <w:rsid w:val="1F0B7BF4"/>
    <w:rsid w:val="1F157D8A"/>
    <w:rsid w:val="1F2760B0"/>
    <w:rsid w:val="1F2F0D46"/>
    <w:rsid w:val="1F30574B"/>
    <w:rsid w:val="1F3D290D"/>
    <w:rsid w:val="1F49071C"/>
    <w:rsid w:val="1F5D7A03"/>
    <w:rsid w:val="1F6A54CF"/>
    <w:rsid w:val="1F8B4890"/>
    <w:rsid w:val="1F8D1CC6"/>
    <w:rsid w:val="1F9A5250"/>
    <w:rsid w:val="1FA876EF"/>
    <w:rsid w:val="1FBA6F24"/>
    <w:rsid w:val="1FC3227C"/>
    <w:rsid w:val="20407429"/>
    <w:rsid w:val="204F35BE"/>
    <w:rsid w:val="205639A3"/>
    <w:rsid w:val="20661EB5"/>
    <w:rsid w:val="20783067"/>
    <w:rsid w:val="2091237A"/>
    <w:rsid w:val="20983709"/>
    <w:rsid w:val="2099357B"/>
    <w:rsid w:val="20A7010A"/>
    <w:rsid w:val="20BA1A98"/>
    <w:rsid w:val="20C640EA"/>
    <w:rsid w:val="20F5527C"/>
    <w:rsid w:val="21083DC5"/>
    <w:rsid w:val="21191D22"/>
    <w:rsid w:val="2122245F"/>
    <w:rsid w:val="21426E78"/>
    <w:rsid w:val="2157315E"/>
    <w:rsid w:val="215A451A"/>
    <w:rsid w:val="217D5C7B"/>
    <w:rsid w:val="21824468"/>
    <w:rsid w:val="21962EF2"/>
    <w:rsid w:val="21B447F5"/>
    <w:rsid w:val="21B46321"/>
    <w:rsid w:val="21BE719F"/>
    <w:rsid w:val="21C23FD9"/>
    <w:rsid w:val="21E66970"/>
    <w:rsid w:val="21E74B01"/>
    <w:rsid w:val="21FA555E"/>
    <w:rsid w:val="223355F7"/>
    <w:rsid w:val="226C12D2"/>
    <w:rsid w:val="2274785E"/>
    <w:rsid w:val="227855A0"/>
    <w:rsid w:val="22834D04"/>
    <w:rsid w:val="228C4BA7"/>
    <w:rsid w:val="2298179E"/>
    <w:rsid w:val="22BE41CA"/>
    <w:rsid w:val="22CF5546"/>
    <w:rsid w:val="22E06CA1"/>
    <w:rsid w:val="22E5508B"/>
    <w:rsid w:val="22EC1CDE"/>
    <w:rsid w:val="22ED345A"/>
    <w:rsid w:val="22EE405A"/>
    <w:rsid w:val="23294AEC"/>
    <w:rsid w:val="233F7E6C"/>
    <w:rsid w:val="23825FAA"/>
    <w:rsid w:val="238E19E6"/>
    <w:rsid w:val="23921DA8"/>
    <w:rsid w:val="23947475"/>
    <w:rsid w:val="23B30F64"/>
    <w:rsid w:val="23D34A58"/>
    <w:rsid w:val="23ED78C8"/>
    <w:rsid w:val="23F6004F"/>
    <w:rsid w:val="24044F9B"/>
    <w:rsid w:val="24053736"/>
    <w:rsid w:val="240A49D7"/>
    <w:rsid w:val="240D1D18"/>
    <w:rsid w:val="243629A0"/>
    <w:rsid w:val="24400E1F"/>
    <w:rsid w:val="24457704"/>
    <w:rsid w:val="244B0A92"/>
    <w:rsid w:val="247A1062"/>
    <w:rsid w:val="247D51DF"/>
    <w:rsid w:val="248520D7"/>
    <w:rsid w:val="2492046F"/>
    <w:rsid w:val="24A15DB4"/>
    <w:rsid w:val="24BC729A"/>
    <w:rsid w:val="24C3687B"/>
    <w:rsid w:val="24D24662"/>
    <w:rsid w:val="24D434BF"/>
    <w:rsid w:val="24D855E8"/>
    <w:rsid w:val="24DD791C"/>
    <w:rsid w:val="255557CB"/>
    <w:rsid w:val="255A45B0"/>
    <w:rsid w:val="256C0CC0"/>
    <w:rsid w:val="257F6C45"/>
    <w:rsid w:val="258E2019"/>
    <w:rsid w:val="259316D8"/>
    <w:rsid w:val="25946168"/>
    <w:rsid w:val="25EB277D"/>
    <w:rsid w:val="25F3528B"/>
    <w:rsid w:val="25F413E1"/>
    <w:rsid w:val="25FE2B31"/>
    <w:rsid w:val="260D5FFF"/>
    <w:rsid w:val="2611159E"/>
    <w:rsid w:val="261C26E6"/>
    <w:rsid w:val="2643113A"/>
    <w:rsid w:val="264B2324"/>
    <w:rsid w:val="26695200"/>
    <w:rsid w:val="268442D5"/>
    <w:rsid w:val="26D60AE7"/>
    <w:rsid w:val="26E03CCC"/>
    <w:rsid w:val="26E76360"/>
    <w:rsid w:val="26E96CED"/>
    <w:rsid w:val="270A3E90"/>
    <w:rsid w:val="270E20AE"/>
    <w:rsid w:val="270F224B"/>
    <w:rsid w:val="271956ED"/>
    <w:rsid w:val="272E26D1"/>
    <w:rsid w:val="27427F2B"/>
    <w:rsid w:val="27624129"/>
    <w:rsid w:val="278247E7"/>
    <w:rsid w:val="278B2C87"/>
    <w:rsid w:val="278C42F2"/>
    <w:rsid w:val="27A122EC"/>
    <w:rsid w:val="27D36DD5"/>
    <w:rsid w:val="27D47C2D"/>
    <w:rsid w:val="27D8088F"/>
    <w:rsid w:val="27DA5B03"/>
    <w:rsid w:val="2811796B"/>
    <w:rsid w:val="282D0BDB"/>
    <w:rsid w:val="283D06F2"/>
    <w:rsid w:val="28485CA4"/>
    <w:rsid w:val="28524C86"/>
    <w:rsid w:val="28550131"/>
    <w:rsid w:val="285E0705"/>
    <w:rsid w:val="28660B97"/>
    <w:rsid w:val="28743E7A"/>
    <w:rsid w:val="2879797C"/>
    <w:rsid w:val="28887BBF"/>
    <w:rsid w:val="28926C90"/>
    <w:rsid w:val="28AC2F62"/>
    <w:rsid w:val="28B02A38"/>
    <w:rsid w:val="28B104D8"/>
    <w:rsid w:val="28B5297E"/>
    <w:rsid w:val="28E07743"/>
    <w:rsid w:val="28EA0255"/>
    <w:rsid w:val="28ED036A"/>
    <w:rsid w:val="28F674E8"/>
    <w:rsid w:val="28F90B6A"/>
    <w:rsid w:val="28F955CF"/>
    <w:rsid w:val="28FE2577"/>
    <w:rsid w:val="29114058"/>
    <w:rsid w:val="292214A3"/>
    <w:rsid w:val="29254EE3"/>
    <w:rsid w:val="292F0982"/>
    <w:rsid w:val="293E0BC6"/>
    <w:rsid w:val="296231D5"/>
    <w:rsid w:val="297F65C0"/>
    <w:rsid w:val="298E59BA"/>
    <w:rsid w:val="2994168D"/>
    <w:rsid w:val="29A94291"/>
    <w:rsid w:val="29BB16B8"/>
    <w:rsid w:val="29CA0B66"/>
    <w:rsid w:val="29DA269C"/>
    <w:rsid w:val="29DD03DE"/>
    <w:rsid w:val="29EB48A9"/>
    <w:rsid w:val="29FA0F90"/>
    <w:rsid w:val="2A241B69"/>
    <w:rsid w:val="2A2953D2"/>
    <w:rsid w:val="2A2E0F80"/>
    <w:rsid w:val="2A470208"/>
    <w:rsid w:val="2A474FD8"/>
    <w:rsid w:val="2A4B1D4A"/>
    <w:rsid w:val="2A650869"/>
    <w:rsid w:val="2A7D7B9D"/>
    <w:rsid w:val="2A816FBC"/>
    <w:rsid w:val="2A830F86"/>
    <w:rsid w:val="2AB86C29"/>
    <w:rsid w:val="2AD050FF"/>
    <w:rsid w:val="2AEC6B2B"/>
    <w:rsid w:val="2AFA0B1C"/>
    <w:rsid w:val="2B006133"/>
    <w:rsid w:val="2B0425C9"/>
    <w:rsid w:val="2B1659E8"/>
    <w:rsid w:val="2B176392"/>
    <w:rsid w:val="2B17656A"/>
    <w:rsid w:val="2B26198A"/>
    <w:rsid w:val="2B262419"/>
    <w:rsid w:val="2B545055"/>
    <w:rsid w:val="2B6F3EEF"/>
    <w:rsid w:val="2B7A2B6D"/>
    <w:rsid w:val="2B8133EB"/>
    <w:rsid w:val="2B9507CF"/>
    <w:rsid w:val="2BA40898"/>
    <w:rsid w:val="2BA6517D"/>
    <w:rsid w:val="2BC5452F"/>
    <w:rsid w:val="2BDC6F13"/>
    <w:rsid w:val="2BDD46C6"/>
    <w:rsid w:val="2BEC66B7"/>
    <w:rsid w:val="2BF57C61"/>
    <w:rsid w:val="2C1A3224"/>
    <w:rsid w:val="2C30164F"/>
    <w:rsid w:val="2C386E53"/>
    <w:rsid w:val="2C45390A"/>
    <w:rsid w:val="2C4816CB"/>
    <w:rsid w:val="2C5708DF"/>
    <w:rsid w:val="2C6142B1"/>
    <w:rsid w:val="2C7108B6"/>
    <w:rsid w:val="2C817A09"/>
    <w:rsid w:val="2C8F43A6"/>
    <w:rsid w:val="2CB35427"/>
    <w:rsid w:val="2CB43679"/>
    <w:rsid w:val="2CB77A83"/>
    <w:rsid w:val="2CB95B41"/>
    <w:rsid w:val="2CE37BDF"/>
    <w:rsid w:val="2CE46631"/>
    <w:rsid w:val="2CF02B22"/>
    <w:rsid w:val="2D006C09"/>
    <w:rsid w:val="2D040A3E"/>
    <w:rsid w:val="2D0C567C"/>
    <w:rsid w:val="2D2B2949"/>
    <w:rsid w:val="2D2B2AF4"/>
    <w:rsid w:val="2D2D19CD"/>
    <w:rsid w:val="2D35408E"/>
    <w:rsid w:val="2D452523"/>
    <w:rsid w:val="2D4E4F1B"/>
    <w:rsid w:val="2D5E1836"/>
    <w:rsid w:val="2D7C3A6A"/>
    <w:rsid w:val="2D89698A"/>
    <w:rsid w:val="2D8E76C0"/>
    <w:rsid w:val="2D965F48"/>
    <w:rsid w:val="2DDB3BF5"/>
    <w:rsid w:val="2DDD275B"/>
    <w:rsid w:val="2DDE78CA"/>
    <w:rsid w:val="2DDF5C3D"/>
    <w:rsid w:val="2DE55AB4"/>
    <w:rsid w:val="2DF46C2D"/>
    <w:rsid w:val="2E00644A"/>
    <w:rsid w:val="2E145CF1"/>
    <w:rsid w:val="2E266F24"/>
    <w:rsid w:val="2E2959A0"/>
    <w:rsid w:val="2E420430"/>
    <w:rsid w:val="2E4732F0"/>
    <w:rsid w:val="2E530C6F"/>
    <w:rsid w:val="2E6764C9"/>
    <w:rsid w:val="2E6C67B2"/>
    <w:rsid w:val="2E7110F5"/>
    <w:rsid w:val="2ED7364E"/>
    <w:rsid w:val="2EE713B8"/>
    <w:rsid w:val="2F2820FC"/>
    <w:rsid w:val="2F3E3A6B"/>
    <w:rsid w:val="2F5471D3"/>
    <w:rsid w:val="2F641CB6"/>
    <w:rsid w:val="2F6673FE"/>
    <w:rsid w:val="2F85469D"/>
    <w:rsid w:val="2F8A06C1"/>
    <w:rsid w:val="2F904B8A"/>
    <w:rsid w:val="2F916E17"/>
    <w:rsid w:val="2F967907"/>
    <w:rsid w:val="2F9A7E0A"/>
    <w:rsid w:val="2FBA5996"/>
    <w:rsid w:val="2FCA31B3"/>
    <w:rsid w:val="2FD05D3D"/>
    <w:rsid w:val="2FE778C1"/>
    <w:rsid w:val="30093CDB"/>
    <w:rsid w:val="301461DC"/>
    <w:rsid w:val="301D7787"/>
    <w:rsid w:val="302208F9"/>
    <w:rsid w:val="302723B3"/>
    <w:rsid w:val="302C4E79"/>
    <w:rsid w:val="30310C55"/>
    <w:rsid w:val="306732B1"/>
    <w:rsid w:val="306C6018"/>
    <w:rsid w:val="30AC2DFC"/>
    <w:rsid w:val="30B60B19"/>
    <w:rsid w:val="30C10112"/>
    <w:rsid w:val="30D830D9"/>
    <w:rsid w:val="30DD0CC4"/>
    <w:rsid w:val="311E5564"/>
    <w:rsid w:val="312B5ED3"/>
    <w:rsid w:val="312B720A"/>
    <w:rsid w:val="313306E8"/>
    <w:rsid w:val="313451F6"/>
    <w:rsid w:val="316177B6"/>
    <w:rsid w:val="316C61B0"/>
    <w:rsid w:val="31A339D2"/>
    <w:rsid w:val="31D125D7"/>
    <w:rsid w:val="31ED0FA5"/>
    <w:rsid w:val="31F22F49"/>
    <w:rsid w:val="3227588C"/>
    <w:rsid w:val="32586854"/>
    <w:rsid w:val="32713DBA"/>
    <w:rsid w:val="327560AF"/>
    <w:rsid w:val="32784D4B"/>
    <w:rsid w:val="32792B76"/>
    <w:rsid w:val="328217B0"/>
    <w:rsid w:val="32AC094E"/>
    <w:rsid w:val="32B36180"/>
    <w:rsid w:val="32BC6996"/>
    <w:rsid w:val="32D60752"/>
    <w:rsid w:val="32EE636B"/>
    <w:rsid w:val="32FD73FC"/>
    <w:rsid w:val="33067D67"/>
    <w:rsid w:val="331A30CB"/>
    <w:rsid w:val="331B33C1"/>
    <w:rsid w:val="332279BA"/>
    <w:rsid w:val="332350B4"/>
    <w:rsid w:val="33276347"/>
    <w:rsid w:val="332E733A"/>
    <w:rsid w:val="333C0722"/>
    <w:rsid w:val="33574D5E"/>
    <w:rsid w:val="33661445"/>
    <w:rsid w:val="33770F5C"/>
    <w:rsid w:val="3381036B"/>
    <w:rsid w:val="33841775"/>
    <w:rsid w:val="33864D45"/>
    <w:rsid w:val="33874D07"/>
    <w:rsid w:val="33A37FA3"/>
    <w:rsid w:val="33B168B4"/>
    <w:rsid w:val="33C61EE3"/>
    <w:rsid w:val="33C86F17"/>
    <w:rsid w:val="33D275E0"/>
    <w:rsid w:val="33E218AF"/>
    <w:rsid w:val="33E6570C"/>
    <w:rsid w:val="34014CC9"/>
    <w:rsid w:val="34033A51"/>
    <w:rsid w:val="34086058"/>
    <w:rsid w:val="343F6271"/>
    <w:rsid w:val="344515FB"/>
    <w:rsid w:val="344F6B1A"/>
    <w:rsid w:val="34657983"/>
    <w:rsid w:val="346E6F6B"/>
    <w:rsid w:val="34853B4C"/>
    <w:rsid w:val="3487445F"/>
    <w:rsid w:val="348C4EDB"/>
    <w:rsid w:val="34A9783B"/>
    <w:rsid w:val="34B85CD0"/>
    <w:rsid w:val="34BF60DF"/>
    <w:rsid w:val="34CA0B0B"/>
    <w:rsid w:val="35151ACD"/>
    <w:rsid w:val="35213875"/>
    <w:rsid w:val="353F0863"/>
    <w:rsid w:val="35643762"/>
    <w:rsid w:val="35646704"/>
    <w:rsid w:val="35B16284"/>
    <w:rsid w:val="35BF159A"/>
    <w:rsid w:val="35CF507F"/>
    <w:rsid w:val="35D310A8"/>
    <w:rsid w:val="35D352CA"/>
    <w:rsid w:val="35FC7E8E"/>
    <w:rsid w:val="35FF5071"/>
    <w:rsid w:val="360A41CE"/>
    <w:rsid w:val="36112F3A"/>
    <w:rsid w:val="361B4091"/>
    <w:rsid w:val="365A4A3C"/>
    <w:rsid w:val="367B7D9D"/>
    <w:rsid w:val="36A656A2"/>
    <w:rsid w:val="36C16230"/>
    <w:rsid w:val="36D87627"/>
    <w:rsid w:val="36DD6459"/>
    <w:rsid w:val="36F62AE0"/>
    <w:rsid w:val="36F67692"/>
    <w:rsid w:val="36FA379C"/>
    <w:rsid w:val="36FF5058"/>
    <w:rsid w:val="37256F21"/>
    <w:rsid w:val="37331933"/>
    <w:rsid w:val="373C03AE"/>
    <w:rsid w:val="37493898"/>
    <w:rsid w:val="374D2671"/>
    <w:rsid w:val="377A1AA3"/>
    <w:rsid w:val="377C4A34"/>
    <w:rsid w:val="377E7BD6"/>
    <w:rsid w:val="379164D0"/>
    <w:rsid w:val="3795459A"/>
    <w:rsid w:val="37974BB6"/>
    <w:rsid w:val="37AF1978"/>
    <w:rsid w:val="37BB0727"/>
    <w:rsid w:val="37BC74FE"/>
    <w:rsid w:val="37C96C92"/>
    <w:rsid w:val="37E666B0"/>
    <w:rsid w:val="37EE4E51"/>
    <w:rsid w:val="37F30DCD"/>
    <w:rsid w:val="37F94635"/>
    <w:rsid w:val="37FE7E9E"/>
    <w:rsid w:val="37FF5058"/>
    <w:rsid w:val="381766DF"/>
    <w:rsid w:val="38194C17"/>
    <w:rsid w:val="382E0769"/>
    <w:rsid w:val="3836377A"/>
    <w:rsid w:val="385C701A"/>
    <w:rsid w:val="387073C0"/>
    <w:rsid w:val="38796AD2"/>
    <w:rsid w:val="388C7258"/>
    <w:rsid w:val="388F5D19"/>
    <w:rsid w:val="38AC67B8"/>
    <w:rsid w:val="38B247E4"/>
    <w:rsid w:val="38D32A76"/>
    <w:rsid w:val="38E7249A"/>
    <w:rsid w:val="38E80DE2"/>
    <w:rsid w:val="38EF7D72"/>
    <w:rsid w:val="38F44A75"/>
    <w:rsid w:val="38FD721B"/>
    <w:rsid w:val="39135BD6"/>
    <w:rsid w:val="39234948"/>
    <w:rsid w:val="39642F08"/>
    <w:rsid w:val="3971644D"/>
    <w:rsid w:val="397544B2"/>
    <w:rsid w:val="39785A2E"/>
    <w:rsid w:val="3992139A"/>
    <w:rsid w:val="39A72EC5"/>
    <w:rsid w:val="39AA6EF6"/>
    <w:rsid w:val="39AE1450"/>
    <w:rsid w:val="39B46BA0"/>
    <w:rsid w:val="39BA4569"/>
    <w:rsid w:val="39D61839"/>
    <w:rsid w:val="39DD50F8"/>
    <w:rsid w:val="39EA383C"/>
    <w:rsid w:val="39EA702F"/>
    <w:rsid w:val="39FD5F33"/>
    <w:rsid w:val="3A117902"/>
    <w:rsid w:val="3A257964"/>
    <w:rsid w:val="3A376A81"/>
    <w:rsid w:val="3A3C1CB0"/>
    <w:rsid w:val="3A4B7556"/>
    <w:rsid w:val="3A5424C9"/>
    <w:rsid w:val="3A663AD8"/>
    <w:rsid w:val="3A887EF3"/>
    <w:rsid w:val="3AA45CB6"/>
    <w:rsid w:val="3AB940DA"/>
    <w:rsid w:val="3AC01D6E"/>
    <w:rsid w:val="3AC86541"/>
    <w:rsid w:val="3AF235BE"/>
    <w:rsid w:val="3B1B0A85"/>
    <w:rsid w:val="3B284F7B"/>
    <w:rsid w:val="3B2918D3"/>
    <w:rsid w:val="3B3E4FA9"/>
    <w:rsid w:val="3B7164BD"/>
    <w:rsid w:val="3B736ADE"/>
    <w:rsid w:val="3B881516"/>
    <w:rsid w:val="3B8B1A48"/>
    <w:rsid w:val="3B8E778B"/>
    <w:rsid w:val="3B9C1B43"/>
    <w:rsid w:val="3BA448B8"/>
    <w:rsid w:val="3BA743A8"/>
    <w:rsid w:val="3BB5271A"/>
    <w:rsid w:val="3BB95A05"/>
    <w:rsid w:val="3BD74B5F"/>
    <w:rsid w:val="3BF74F7A"/>
    <w:rsid w:val="3C0E4427"/>
    <w:rsid w:val="3C351E3D"/>
    <w:rsid w:val="3C5D2D97"/>
    <w:rsid w:val="3C7050AE"/>
    <w:rsid w:val="3C8539FB"/>
    <w:rsid w:val="3CA86671"/>
    <w:rsid w:val="3CDE68F9"/>
    <w:rsid w:val="3CE024D8"/>
    <w:rsid w:val="3CE851D3"/>
    <w:rsid w:val="3D0E3E15"/>
    <w:rsid w:val="3D127F47"/>
    <w:rsid w:val="3D154364"/>
    <w:rsid w:val="3D1C079A"/>
    <w:rsid w:val="3D215B9A"/>
    <w:rsid w:val="3D540560"/>
    <w:rsid w:val="3D682DF3"/>
    <w:rsid w:val="3D714C6E"/>
    <w:rsid w:val="3D737503"/>
    <w:rsid w:val="3D8E2F7D"/>
    <w:rsid w:val="3D9E1007"/>
    <w:rsid w:val="3DB8289D"/>
    <w:rsid w:val="3DCE0E0F"/>
    <w:rsid w:val="3DDB0FBF"/>
    <w:rsid w:val="3E1565AC"/>
    <w:rsid w:val="3E2466D6"/>
    <w:rsid w:val="3E2F30E8"/>
    <w:rsid w:val="3E592DB3"/>
    <w:rsid w:val="3E773345"/>
    <w:rsid w:val="3E786C05"/>
    <w:rsid w:val="3E810EE1"/>
    <w:rsid w:val="3E8E35FE"/>
    <w:rsid w:val="3E9F489B"/>
    <w:rsid w:val="3EA900F4"/>
    <w:rsid w:val="3EAD0CC4"/>
    <w:rsid w:val="3EE6343A"/>
    <w:rsid w:val="3F0D1EF3"/>
    <w:rsid w:val="3F260EB0"/>
    <w:rsid w:val="3F342DA1"/>
    <w:rsid w:val="3F391EFF"/>
    <w:rsid w:val="3F3B0C9D"/>
    <w:rsid w:val="3F3E27B9"/>
    <w:rsid w:val="3F4A27F4"/>
    <w:rsid w:val="3F5077E1"/>
    <w:rsid w:val="3F5B40F4"/>
    <w:rsid w:val="3F6320BB"/>
    <w:rsid w:val="3FC25C55"/>
    <w:rsid w:val="3FC82E6A"/>
    <w:rsid w:val="3FC96FE3"/>
    <w:rsid w:val="400D3374"/>
    <w:rsid w:val="400D386A"/>
    <w:rsid w:val="400E2C48"/>
    <w:rsid w:val="4010076F"/>
    <w:rsid w:val="4013025E"/>
    <w:rsid w:val="401C10D8"/>
    <w:rsid w:val="401D2496"/>
    <w:rsid w:val="403703F1"/>
    <w:rsid w:val="4053212B"/>
    <w:rsid w:val="4059793E"/>
    <w:rsid w:val="40790150"/>
    <w:rsid w:val="407C7F29"/>
    <w:rsid w:val="40860A30"/>
    <w:rsid w:val="40876851"/>
    <w:rsid w:val="40937762"/>
    <w:rsid w:val="40B15293"/>
    <w:rsid w:val="40CC0043"/>
    <w:rsid w:val="40D16D18"/>
    <w:rsid w:val="40E11AEF"/>
    <w:rsid w:val="40EA6776"/>
    <w:rsid w:val="40F344F9"/>
    <w:rsid w:val="4116259D"/>
    <w:rsid w:val="41542AA7"/>
    <w:rsid w:val="415723CD"/>
    <w:rsid w:val="41572C26"/>
    <w:rsid w:val="4167204B"/>
    <w:rsid w:val="418205C6"/>
    <w:rsid w:val="41885B91"/>
    <w:rsid w:val="418B1D13"/>
    <w:rsid w:val="418F1B67"/>
    <w:rsid w:val="41A1243A"/>
    <w:rsid w:val="41AA4BF2"/>
    <w:rsid w:val="41AF63CF"/>
    <w:rsid w:val="41B73FD5"/>
    <w:rsid w:val="41DD22AA"/>
    <w:rsid w:val="41F95AAE"/>
    <w:rsid w:val="42090FA3"/>
    <w:rsid w:val="422C307E"/>
    <w:rsid w:val="425748FE"/>
    <w:rsid w:val="42672AE3"/>
    <w:rsid w:val="42764C03"/>
    <w:rsid w:val="42875D90"/>
    <w:rsid w:val="42AA00FC"/>
    <w:rsid w:val="42BB79FE"/>
    <w:rsid w:val="42C47ED1"/>
    <w:rsid w:val="42ED123B"/>
    <w:rsid w:val="431E31A2"/>
    <w:rsid w:val="432B1803"/>
    <w:rsid w:val="433B5A31"/>
    <w:rsid w:val="43544E16"/>
    <w:rsid w:val="436332AB"/>
    <w:rsid w:val="43754423"/>
    <w:rsid w:val="43762733"/>
    <w:rsid w:val="438307EA"/>
    <w:rsid w:val="438B0671"/>
    <w:rsid w:val="438B5444"/>
    <w:rsid w:val="43900179"/>
    <w:rsid w:val="43956F79"/>
    <w:rsid w:val="43A15B81"/>
    <w:rsid w:val="43B4799E"/>
    <w:rsid w:val="43D121D8"/>
    <w:rsid w:val="43E02B4D"/>
    <w:rsid w:val="43E50160"/>
    <w:rsid w:val="43F9776B"/>
    <w:rsid w:val="440A2354"/>
    <w:rsid w:val="44280613"/>
    <w:rsid w:val="443608C2"/>
    <w:rsid w:val="443D3AFC"/>
    <w:rsid w:val="44421112"/>
    <w:rsid w:val="446E63AB"/>
    <w:rsid w:val="44775260"/>
    <w:rsid w:val="44833B83"/>
    <w:rsid w:val="448610CA"/>
    <w:rsid w:val="44912F1B"/>
    <w:rsid w:val="44A42C24"/>
    <w:rsid w:val="44B65387"/>
    <w:rsid w:val="44B6565C"/>
    <w:rsid w:val="44D91D4F"/>
    <w:rsid w:val="44F854AA"/>
    <w:rsid w:val="451848C2"/>
    <w:rsid w:val="451C5E07"/>
    <w:rsid w:val="454D75BE"/>
    <w:rsid w:val="456F672F"/>
    <w:rsid w:val="458C3CB3"/>
    <w:rsid w:val="45997DAE"/>
    <w:rsid w:val="459B6062"/>
    <w:rsid w:val="459C2AA4"/>
    <w:rsid w:val="45A657CB"/>
    <w:rsid w:val="45C51FFB"/>
    <w:rsid w:val="45CF1C33"/>
    <w:rsid w:val="45E615FB"/>
    <w:rsid w:val="45EA7CB3"/>
    <w:rsid w:val="45EF13EA"/>
    <w:rsid w:val="45F4643C"/>
    <w:rsid w:val="45FA2AFC"/>
    <w:rsid w:val="45FD5269"/>
    <w:rsid w:val="4612467C"/>
    <w:rsid w:val="46126D2B"/>
    <w:rsid w:val="462D72F1"/>
    <w:rsid w:val="463A2F84"/>
    <w:rsid w:val="464A5E88"/>
    <w:rsid w:val="464D35F7"/>
    <w:rsid w:val="464D790E"/>
    <w:rsid w:val="465B295F"/>
    <w:rsid w:val="465F5144"/>
    <w:rsid w:val="46667A2E"/>
    <w:rsid w:val="46671391"/>
    <w:rsid w:val="4669363B"/>
    <w:rsid w:val="4669507C"/>
    <w:rsid w:val="467A2DE5"/>
    <w:rsid w:val="469021DE"/>
    <w:rsid w:val="469F284C"/>
    <w:rsid w:val="46C706EC"/>
    <w:rsid w:val="46C91D7E"/>
    <w:rsid w:val="46CE77DF"/>
    <w:rsid w:val="46D00C57"/>
    <w:rsid w:val="46DA7D28"/>
    <w:rsid w:val="4703102D"/>
    <w:rsid w:val="47190850"/>
    <w:rsid w:val="472716A4"/>
    <w:rsid w:val="472B7E65"/>
    <w:rsid w:val="47395E3D"/>
    <w:rsid w:val="47615D53"/>
    <w:rsid w:val="476805B5"/>
    <w:rsid w:val="477F442B"/>
    <w:rsid w:val="47820827"/>
    <w:rsid w:val="47881532"/>
    <w:rsid w:val="478D4D9A"/>
    <w:rsid w:val="47A82B37"/>
    <w:rsid w:val="47E0485C"/>
    <w:rsid w:val="47E4066D"/>
    <w:rsid w:val="47E65D42"/>
    <w:rsid w:val="47E80223"/>
    <w:rsid w:val="48087FEA"/>
    <w:rsid w:val="480C3F11"/>
    <w:rsid w:val="482055CB"/>
    <w:rsid w:val="482E032B"/>
    <w:rsid w:val="483B1943"/>
    <w:rsid w:val="4850573E"/>
    <w:rsid w:val="487252DD"/>
    <w:rsid w:val="487C7EE2"/>
    <w:rsid w:val="48813022"/>
    <w:rsid w:val="488206B9"/>
    <w:rsid w:val="488A12DA"/>
    <w:rsid w:val="48CE77CA"/>
    <w:rsid w:val="48D86622"/>
    <w:rsid w:val="48EC1AFB"/>
    <w:rsid w:val="490B241B"/>
    <w:rsid w:val="49272668"/>
    <w:rsid w:val="493D00FA"/>
    <w:rsid w:val="49421E94"/>
    <w:rsid w:val="495309C1"/>
    <w:rsid w:val="49535B70"/>
    <w:rsid w:val="49554AD5"/>
    <w:rsid w:val="496B110B"/>
    <w:rsid w:val="498134E7"/>
    <w:rsid w:val="4984324F"/>
    <w:rsid w:val="498F13C4"/>
    <w:rsid w:val="49B34F79"/>
    <w:rsid w:val="49B77EAC"/>
    <w:rsid w:val="49D00F6E"/>
    <w:rsid w:val="49D669E7"/>
    <w:rsid w:val="49DC3DB7"/>
    <w:rsid w:val="49E6438D"/>
    <w:rsid w:val="4A0C0C85"/>
    <w:rsid w:val="4A0C644A"/>
    <w:rsid w:val="4A143551"/>
    <w:rsid w:val="4A2608C2"/>
    <w:rsid w:val="4A404E23"/>
    <w:rsid w:val="4A431740"/>
    <w:rsid w:val="4A4C4A99"/>
    <w:rsid w:val="4A613290"/>
    <w:rsid w:val="4A653DAC"/>
    <w:rsid w:val="4A764D44"/>
    <w:rsid w:val="4A7E09CA"/>
    <w:rsid w:val="4A8561FD"/>
    <w:rsid w:val="4A9032DC"/>
    <w:rsid w:val="4AA42E50"/>
    <w:rsid w:val="4AA93C99"/>
    <w:rsid w:val="4AB131AC"/>
    <w:rsid w:val="4ABD7744"/>
    <w:rsid w:val="4ABF2DA7"/>
    <w:rsid w:val="4AC932CC"/>
    <w:rsid w:val="4AD40B51"/>
    <w:rsid w:val="4AD457A8"/>
    <w:rsid w:val="4AD928E8"/>
    <w:rsid w:val="4AE366EC"/>
    <w:rsid w:val="4AEE78FE"/>
    <w:rsid w:val="4AEF3676"/>
    <w:rsid w:val="4AF60EA8"/>
    <w:rsid w:val="4AFF47E8"/>
    <w:rsid w:val="4B085310"/>
    <w:rsid w:val="4B272E10"/>
    <w:rsid w:val="4B2772B4"/>
    <w:rsid w:val="4B386B61"/>
    <w:rsid w:val="4B3969F9"/>
    <w:rsid w:val="4B40489E"/>
    <w:rsid w:val="4B5E167A"/>
    <w:rsid w:val="4B667DDC"/>
    <w:rsid w:val="4B7C0820"/>
    <w:rsid w:val="4B91092A"/>
    <w:rsid w:val="4BA32DDE"/>
    <w:rsid w:val="4BC32B39"/>
    <w:rsid w:val="4BC66ACD"/>
    <w:rsid w:val="4BCF5981"/>
    <w:rsid w:val="4BE45514"/>
    <w:rsid w:val="4C0862A1"/>
    <w:rsid w:val="4C1710D6"/>
    <w:rsid w:val="4C3A64D2"/>
    <w:rsid w:val="4C3D734F"/>
    <w:rsid w:val="4C4D68A6"/>
    <w:rsid w:val="4C5B5467"/>
    <w:rsid w:val="4C63190E"/>
    <w:rsid w:val="4C6951BA"/>
    <w:rsid w:val="4C7107E7"/>
    <w:rsid w:val="4C733617"/>
    <w:rsid w:val="4C862367"/>
    <w:rsid w:val="4C8B5AEC"/>
    <w:rsid w:val="4C8D3147"/>
    <w:rsid w:val="4C906E97"/>
    <w:rsid w:val="4CA50490"/>
    <w:rsid w:val="4CC823D1"/>
    <w:rsid w:val="4CD3041B"/>
    <w:rsid w:val="4CE0771A"/>
    <w:rsid w:val="4CE511D4"/>
    <w:rsid w:val="4D0F0ADB"/>
    <w:rsid w:val="4D1760B7"/>
    <w:rsid w:val="4D1A4627"/>
    <w:rsid w:val="4D1E3BF0"/>
    <w:rsid w:val="4D225F85"/>
    <w:rsid w:val="4D2E2B7B"/>
    <w:rsid w:val="4D427FE8"/>
    <w:rsid w:val="4D6F1FCB"/>
    <w:rsid w:val="4D896AD8"/>
    <w:rsid w:val="4D8D5680"/>
    <w:rsid w:val="4DB0533F"/>
    <w:rsid w:val="4DB67461"/>
    <w:rsid w:val="4DBA0822"/>
    <w:rsid w:val="4DBA440F"/>
    <w:rsid w:val="4DBC1E2F"/>
    <w:rsid w:val="4DBF37D4"/>
    <w:rsid w:val="4DCB3F26"/>
    <w:rsid w:val="4DD06A2F"/>
    <w:rsid w:val="4DD74FC1"/>
    <w:rsid w:val="4DEB45C9"/>
    <w:rsid w:val="4DF2028E"/>
    <w:rsid w:val="4DF66188"/>
    <w:rsid w:val="4DFA0CB0"/>
    <w:rsid w:val="4E243296"/>
    <w:rsid w:val="4E37300F"/>
    <w:rsid w:val="4E4D03C7"/>
    <w:rsid w:val="4E516B22"/>
    <w:rsid w:val="4E606D65"/>
    <w:rsid w:val="4E6B1D97"/>
    <w:rsid w:val="4E720846"/>
    <w:rsid w:val="4E8D5680"/>
    <w:rsid w:val="4EC90CCF"/>
    <w:rsid w:val="4ED4505D"/>
    <w:rsid w:val="4EDD07DB"/>
    <w:rsid w:val="4EE14D9C"/>
    <w:rsid w:val="4EE63248"/>
    <w:rsid w:val="4EEC684A"/>
    <w:rsid w:val="4F0E0906"/>
    <w:rsid w:val="4F4313FC"/>
    <w:rsid w:val="4F4934E4"/>
    <w:rsid w:val="4F4B0F98"/>
    <w:rsid w:val="4F642ABE"/>
    <w:rsid w:val="4F75345F"/>
    <w:rsid w:val="4F787C25"/>
    <w:rsid w:val="4F7F4EB2"/>
    <w:rsid w:val="4F952A3E"/>
    <w:rsid w:val="4F9B3A67"/>
    <w:rsid w:val="4F9E4B85"/>
    <w:rsid w:val="4FA6195F"/>
    <w:rsid w:val="4FC226E5"/>
    <w:rsid w:val="4FC532E6"/>
    <w:rsid w:val="4FC77813"/>
    <w:rsid w:val="4FC96B8B"/>
    <w:rsid w:val="4FDB4AF1"/>
    <w:rsid w:val="4FEC683A"/>
    <w:rsid w:val="50444D30"/>
    <w:rsid w:val="504F4060"/>
    <w:rsid w:val="50827466"/>
    <w:rsid w:val="509937A3"/>
    <w:rsid w:val="50A14EF7"/>
    <w:rsid w:val="50A218B6"/>
    <w:rsid w:val="50B75F83"/>
    <w:rsid w:val="50C632E2"/>
    <w:rsid w:val="510065DD"/>
    <w:rsid w:val="510C4F82"/>
    <w:rsid w:val="511B51C5"/>
    <w:rsid w:val="511C6C26"/>
    <w:rsid w:val="511D2CEB"/>
    <w:rsid w:val="5140188A"/>
    <w:rsid w:val="51424ECF"/>
    <w:rsid w:val="514A5AAA"/>
    <w:rsid w:val="514F30C0"/>
    <w:rsid w:val="51532BB1"/>
    <w:rsid w:val="51550EA9"/>
    <w:rsid w:val="515C7D1B"/>
    <w:rsid w:val="51604379"/>
    <w:rsid w:val="517A14F8"/>
    <w:rsid w:val="519A542A"/>
    <w:rsid w:val="51B02273"/>
    <w:rsid w:val="51BF3DA2"/>
    <w:rsid w:val="51CD3516"/>
    <w:rsid w:val="51D3240E"/>
    <w:rsid w:val="51F021AD"/>
    <w:rsid w:val="51F37EF0"/>
    <w:rsid w:val="520438D3"/>
    <w:rsid w:val="520479B5"/>
    <w:rsid w:val="52187956"/>
    <w:rsid w:val="521F6F37"/>
    <w:rsid w:val="52266FC9"/>
    <w:rsid w:val="522C72EA"/>
    <w:rsid w:val="522E2CD6"/>
    <w:rsid w:val="522F282A"/>
    <w:rsid w:val="52331558"/>
    <w:rsid w:val="523837AF"/>
    <w:rsid w:val="52426370"/>
    <w:rsid w:val="525564B4"/>
    <w:rsid w:val="52900F78"/>
    <w:rsid w:val="529B239D"/>
    <w:rsid w:val="52A80063"/>
    <w:rsid w:val="52BA27BB"/>
    <w:rsid w:val="52BA4BDF"/>
    <w:rsid w:val="52C11B82"/>
    <w:rsid w:val="52C75583"/>
    <w:rsid w:val="52E00474"/>
    <w:rsid w:val="530B3AF4"/>
    <w:rsid w:val="53150914"/>
    <w:rsid w:val="53194A24"/>
    <w:rsid w:val="531C4607"/>
    <w:rsid w:val="531D7274"/>
    <w:rsid w:val="53285BE5"/>
    <w:rsid w:val="53361F22"/>
    <w:rsid w:val="534704F3"/>
    <w:rsid w:val="53526FD4"/>
    <w:rsid w:val="536F16FD"/>
    <w:rsid w:val="5385101B"/>
    <w:rsid w:val="53940307"/>
    <w:rsid w:val="539B4518"/>
    <w:rsid w:val="53A72D40"/>
    <w:rsid w:val="53B23F4E"/>
    <w:rsid w:val="53B9306E"/>
    <w:rsid w:val="53BF452D"/>
    <w:rsid w:val="53C50E71"/>
    <w:rsid w:val="53D11874"/>
    <w:rsid w:val="53DF6281"/>
    <w:rsid w:val="53E37A74"/>
    <w:rsid w:val="53FB308C"/>
    <w:rsid w:val="53FC752F"/>
    <w:rsid w:val="54126862"/>
    <w:rsid w:val="543231FA"/>
    <w:rsid w:val="547E0169"/>
    <w:rsid w:val="54857525"/>
    <w:rsid w:val="5493394C"/>
    <w:rsid w:val="54A8616A"/>
    <w:rsid w:val="54B36233"/>
    <w:rsid w:val="550079E8"/>
    <w:rsid w:val="550624E0"/>
    <w:rsid w:val="55144C39"/>
    <w:rsid w:val="5517656B"/>
    <w:rsid w:val="5522088F"/>
    <w:rsid w:val="552F24E6"/>
    <w:rsid w:val="55300100"/>
    <w:rsid w:val="5534262C"/>
    <w:rsid w:val="553B7BE4"/>
    <w:rsid w:val="555E3D42"/>
    <w:rsid w:val="55684751"/>
    <w:rsid w:val="556C4241"/>
    <w:rsid w:val="558923DF"/>
    <w:rsid w:val="558F63CF"/>
    <w:rsid w:val="559509EF"/>
    <w:rsid w:val="55A25EB5"/>
    <w:rsid w:val="55A7171D"/>
    <w:rsid w:val="55B851ED"/>
    <w:rsid w:val="55BB0D24"/>
    <w:rsid w:val="5606767B"/>
    <w:rsid w:val="560C2139"/>
    <w:rsid w:val="565E5139"/>
    <w:rsid w:val="56624501"/>
    <w:rsid w:val="567A65BA"/>
    <w:rsid w:val="56810D72"/>
    <w:rsid w:val="568C4614"/>
    <w:rsid w:val="5697353F"/>
    <w:rsid w:val="569E48CE"/>
    <w:rsid w:val="56AB6FEB"/>
    <w:rsid w:val="56B815DD"/>
    <w:rsid w:val="56C8194B"/>
    <w:rsid w:val="56FA587C"/>
    <w:rsid w:val="57560D05"/>
    <w:rsid w:val="576527DB"/>
    <w:rsid w:val="576C677A"/>
    <w:rsid w:val="57711FE2"/>
    <w:rsid w:val="57B81034"/>
    <w:rsid w:val="57B86FB7"/>
    <w:rsid w:val="57E52089"/>
    <w:rsid w:val="57EE10A0"/>
    <w:rsid w:val="580015F7"/>
    <w:rsid w:val="58163BB1"/>
    <w:rsid w:val="581D3F89"/>
    <w:rsid w:val="582128C9"/>
    <w:rsid w:val="58280FDB"/>
    <w:rsid w:val="582E1A65"/>
    <w:rsid w:val="582E57DE"/>
    <w:rsid w:val="585D3759"/>
    <w:rsid w:val="585F5BE6"/>
    <w:rsid w:val="58627B7D"/>
    <w:rsid w:val="58662A44"/>
    <w:rsid w:val="58682C37"/>
    <w:rsid w:val="586D2BCD"/>
    <w:rsid w:val="587E23D4"/>
    <w:rsid w:val="587F34A9"/>
    <w:rsid w:val="589454F4"/>
    <w:rsid w:val="58AE2DC2"/>
    <w:rsid w:val="58C521AF"/>
    <w:rsid w:val="58E91232"/>
    <w:rsid w:val="58F739F7"/>
    <w:rsid w:val="58FC1D80"/>
    <w:rsid w:val="591651AF"/>
    <w:rsid w:val="591A3FB4"/>
    <w:rsid w:val="595A0E62"/>
    <w:rsid w:val="595A116B"/>
    <w:rsid w:val="5960163C"/>
    <w:rsid w:val="597D4762"/>
    <w:rsid w:val="59884A41"/>
    <w:rsid w:val="59980B22"/>
    <w:rsid w:val="599931DB"/>
    <w:rsid w:val="59C6624C"/>
    <w:rsid w:val="59C87211"/>
    <w:rsid w:val="59DE3233"/>
    <w:rsid w:val="59F62804"/>
    <w:rsid w:val="59F91E1B"/>
    <w:rsid w:val="5A1530F9"/>
    <w:rsid w:val="5A160809"/>
    <w:rsid w:val="5A3612C1"/>
    <w:rsid w:val="5A3D06E8"/>
    <w:rsid w:val="5A5906B0"/>
    <w:rsid w:val="5A647BDD"/>
    <w:rsid w:val="5A6776CD"/>
    <w:rsid w:val="5A783688"/>
    <w:rsid w:val="5A7E7E7F"/>
    <w:rsid w:val="5AB126F6"/>
    <w:rsid w:val="5AB60C96"/>
    <w:rsid w:val="5AB64A9C"/>
    <w:rsid w:val="5AB71AD6"/>
    <w:rsid w:val="5AC34708"/>
    <w:rsid w:val="5AC81A94"/>
    <w:rsid w:val="5AD30120"/>
    <w:rsid w:val="5ADD1E9F"/>
    <w:rsid w:val="5AFD4101"/>
    <w:rsid w:val="5B0D115D"/>
    <w:rsid w:val="5B157DB5"/>
    <w:rsid w:val="5B1B5C1C"/>
    <w:rsid w:val="5B5A479B"/>
    <w:rsid w:val="5B7B5999"/>
    <w:rsid w:val="5B805F8F"/>
    <w:rsid w:val="5B8701FE"/>
    <w:rsid w:val="5B8F2A37"/>
    <w:rsid w:val="5B981BB9"/>
    <w:rsid w:val="5B995664"/>
    <w:rsid w:val="5BA81D4B"/>
    <w:rsid w:val="5BB165EB"/>
    <w:rsid w:val="5BC1388C"/>
    <w:rsid w:val="5BC2116F"/>
    <w:rsid w:val="5BCF552A"/>
    <w:rsid w:val="5BE5391C"/>
    <w:rsid w:val="5BF26C79"/>
    <w:rsid w:val="5BF36D3D"/>
    <w:rsid w:val="5BF70DC5"/>
    <w:rsid w:val="5BFB2980"/>
    <w:rsid w:val="5C043425"/>
    <w:rsid w:val="5C0F5926"/>
    <w:rsid w:val="5C2C57D9"/>
    <w:rsid w:val="5C3372E2"/>
    <w:rsid w:val="5C381066"/>
    <w:rsid w:val="5C3D458D"/>
    <w:rsid w:val="5C7834CB"/>
    <w:rsid w:val="5C89392A"/>
    <w:rsid w:val="5C9F4EFC"/>
    <w:rsid w:val="5CAC586B"/>
    <w:rsid w:val="5CB5057F"/>
    <w:rsid w:val="5CB77601"/>
    <w:rsid w:val="5CB85E31"/>
    <w:rsid w:val="5CBD6C00"/>
    <w:rsid w:val="5CCC562C"/>
    <w:rsid w:val="5CCF51F0"/>
    <w:rsid w:val="5CEA5527"/>
    <w:rsid w:val="5CED3EB9"/>
    <w:rsid w:val="5D027239"/>
    <w:rsid w:val="5D042FB1"/>
    <w:rsid w:val="5D072AA1"/>
    <w:rsid w:val="5D234849"/>
    <w:rsid w:val="5D3025C8"/>
    <w:rsid w:val="5D3271D9"/>
    <w:rsid w:val="5D417D61"/>
    <w:rsid w:val="5D592839"/>
    <w:rsid w:val="5D5C103F"/>
    <w:rsid w:val="5D6129C6"/>
    <w:rsid w:val="5D645B66"/>
    <w:rsid w:val="5D7F0635"/>
    <w:rsid w:val="5D804D2D"/>
    <w:rsid w:val="5D8E3401"/>
    <w:rsid w:val="5D9B1B67"/>
    <w:rsid w:val="5DA3431F"/>
    <w:rsid w:val="5DA86032"/>
    <w:rsid w:val="5DB744C7"/>
    <w:rsid w:val="5DC866D4"/>
    <w:rsid w:val="5DDC7A8A"/>
    <w:rsid w:val="5DDD62C4"/>
    <w:rsid w:val="5E040897"/>
    <w:rsid w:val="5E0476D2"/>
    <w:rsid w:val="5E066E73"/>
    <w:rsid w:val="5E207E3F"/>
    <w:rsid w:val="5E222FA7"/>
    <w:rsid w:val="5E5E1703"/>
    <w:rsid w:val="5EA507C4"/>
    <w:rsid w:val="5EAD718A"/>
    <w:rsid w:val="5EEA7ECF"/>
    <w:rsid w:val="5EEF1983"/>
    <w:rsid w:val="5EF07C91"/>
    <w:rsid w:val="5F0B4ACB"/>
    <w:rsid w:val="5F13572D"/>
    <w:rsid w:val="5F191895"/>
    <w:rsid w:val="5F19651F"/>
    <w:rsid w:val="5F32409F"/>
    <w:rsid w:val="5F463D55"/>
    <w:rsid w:val="5F4B3119"/>
    <w:rsid w:val="5F6A3C59"/>
    <w:rsid w:val="5F6C627A"/>
    <w:rsid w:val="5F73513A"/>
    <w:rsid w:val="5F7F6C0C"/>
    <w:rsid w:val="5F8C1DD9"/>
    <w:rsid w:val="5F9C1BC7"/>
    <w:rsid w:val="5F9D6B08"/>
    <w:rsid w:val="5FA91C3D"/>
    <w:rsid w:val="5FAD5B82"/>
    <w:rsid w:val="5FAE4A45"/>
    <w:rsid w:val="5FAF36A8"/>
    <w:rsid w:val="5FBA204D"/>
    <w:rsid w:val="5FBE38EB"/>
    <w:rsid w:val="5FC51DA0"/>
    <w:rsid w:val="6014175D"/>
    <w:rsid w:val="601E1A65"/>
    <w:rsid w:val="602A337D"/>
    <w:rsid w:val="6033538C"/>
    <w:rsid w:val="603A0704"/>
    <w:rsid w:val="603C5A8C"/>
    <w:rsid w:val="603E67DA"/>
    <w:rsid w:val="60436A7B"/>
    <w:rsid w:val="604C66E0"/>
    <w:rsid w:val="60543E36"/>
    <w:rsid w:val="606A35DF"/>
    <w:rsid w:val="6074044E"/>
    <w:rsid w:val="60932FCA"/>
    <w:rsid w:val="60C2565D"/>
    <w:rsid w:val="60C72C73"/>
    <w:rsid w:val="611328E5"/>
    <w:rsid w:val="612B107A"/>
    <w:rsid w:val="614147D4"/>
    <w:rsid w:val="61427667"/>
    <w:rsid w:val="61431BE2"/>
    <w:rsid w:val="6144252F"/>
    <w:rsid w:val="61560516"/>
    <w:rsid w:val="616C7377"/>
    <w:rsid w:val="6170330B"/>
    <w:rsid w:val="61783F6D"/>
    <w:rsid w:val="61830BFA"/>
    <w:rsid w:val="619706DF"/>
    <w:rsid w:val="619D6A40"/>
    <w:rsid w:val="61E94459"/>
    <w:rsid w:val="61ED04B8"/>
    <w:rsid w:val="61EE673E"/>
    <w:rsid w:val="61F903E6"/>
    <w:rsid w:val="620901F6"/>
    <w:rsid w:val="622F474D"/>
    <w:rsid w:val="62506FB1"/>
    <w:rsid w:val="62511D38"/>
    <w:rsid w:val="628E520C"/>
    <w:rsid w:val="62A85ACE"/>
    <w:rsid w:val="62B57826"/>
    <w:rsid w:val="62B87124"/>
    <w:rsid w:val="62C006BF"/>
    <w:rsid w:val="62C26C2A"/>
    <w:rsid w:val="62C850AC"/>
    <w:rsid w:val="62EB6770"/>
    <w:rsid w:val="62F7618C"/>
    <w:rsid w:val="62FE5974"/>
    <w:rsid w:val="63285F64"/>
    <w:rsid w:val="632E2B36"/>
    <w:rsid w:val="63310878"/>
    <w:rsid w:val="633B34A5"/>
    <w:rsid w:val="634265E1"/>
    <w:rsid w:val="63461B81"/>
    <w:rsid w:val="635D0C9C"/>
    <w:rsid w:val="63690012"/>
    <w:rsid w:val="63701DA5"/>
    <w:rsid w:val="637C1792"/>
    <w:rsid w:val="638050A5"/>
    <w:rsid w:val="638F7399"/>
    <w:rsid w:val="639554A5"/>
    <w:rsid w:val="63A459C3"/>
    <w:rsid w:val="63B32808"/>
    <w:rsid w:val="63FE69AC"/>
    <w:rsid w:val="6413646C"/>
    <w:rsid w:val="64153CF6"/>
    <w:rsid w:val="64157D12"/>
    <w:rsid w:val="64204BDA"/>
    <w:rsid w:val="642108EC"/>
    <w:rsid w:val="64416899"/>
    <w:rsid w:val="645B2050"/>
    <w:rsid w:val="646C0F75"/>
    <w:rsid w:val="64AA756E"/>
    <w:rsid w:val="64BE788C"/>
    <w:rsid w:val="64C157D2"/>
    <w:rsid w:val="64D15E6F"/>
    <w:rsid w:val="64D92F75"/>
    <w:rsid w:val="64F97173"/>
    <w:rsid w:val="65051FBC"/>
    <w:rsid w:val="65196F82"/>
    <w:rsid w:val="651B44E1"/>
    <w:rsid w:val="65222B6E"/>
    <w:rsid w:val="65291D4B"/>
    <w:rsid w:val="652B3FB4"/>
    <w:rsid w:val="652E59D2"/>
    <w:rsid w:val="658F6BDA"/>
    <w:rsid w:val="659737D4"/>
    <w:rsid w:val="65B02428"/>
    <w:rsid w:val="65D57E5E"/>
    <w:rsid w:val="65D64AEE"/>
    <w:rsid w:val="65D9682D"/>
    <w:rsid w:val="65DC56D3"/>
    <w:rsid w:val="65E34BDD"/>
    <w:rsid w:val="65E63B9C"/>
    <w:rsid w:val="65E9396A"/>
    <w:rsid w:val="65F31E15"/>
    <w:rsid w:val="663C65E0"/>
    <w:rsid w:val="664208B6"/>
    <w:rsid w:val="66476636"/>
    <w:rsid w:val="66482160"/>
    <w:rsid w:val="665A0924"/>
    <w:rsid w:val="66607B95"/>
    <w:rsid w:val="667557A7"/>
    <w:rsid w:val="667B7466"/>
    <w:rsid w:val="6699346E"/>
    <w:rsid w:val="66A070C9"/>
    <w:rsid w:val="66A54190"/>
    <w:rsid w:val="66A650D9"/>
    <w:rsid w:val="66D439F4"/>
    <w:rsid w:val="670818F0"/>
    <w:rsid w:val="67206C39"/>
    <w:rsid w:val="67281F92"/>
    <w:rsid w:val="673957D1"/>
    <w:rsid w:val="67575A45"/>
    <w:rsid w:val="67582877"/>
    <w:rsid w:val="675F3C06"/>
    <w:rsid w:val="678F3006"/>
    <w:rsid w:val="67C52DAE"/>
    <w:rsid w:val="67CB0F1A"/>
    <w:rsid w:val="67D267DB"/>
    <w:rsid w:val="67D808FF"/>
    <w:rsid w:val="67E4235D"/>
    <w:rsid w:val="68036A40"/>
    <w:rsid w:val="684860F4"/>
    <w:rsid w:val="684B165F"/>
    <w:rsid w:val="685F0182"/>
    <w:rsid w:val="686804DB"/>
    <w:rsid w:val="687C2595"/>
    <w:rsid w:val="688402B2"/>
    <w:rsid w:val="68931BDE"/>
    <w:rsid w:val="68A67612"/>
    <w:rsid w:val="68B72869"/>
    <w:rsid w:val="68D3156D"/>
    <w:rsid w:val="68F20AA9"/>
    <w:rsid w:val="6904760A"/>
    <w:rsid w:val="691E189E"/>
    <w:rsid w:val="69204952"/>
    <w:rsid w:val="69321272"/>
    <w:rsid w:val="693A042A"/>
    <w:rsid w:val="69444B7E"/>
    <w:rsid w:val="695628B9"/>
    <w:rsid w:val="69594684"/>
    <w:rsid w:val="695A192E"/>
    <w:rsid w:val="695B21AB"/>
    <w:rsid w:val="69653DF3"/>
    <w:rsid w:val="696C3EA5"/>
    <w:rsid w:val="697471F7"/>
    <w:rsid w:val="69761282"/>
    <w:rsid w:val="698711F2"/>
    <w:rsid w:val="69912070"/>
    <w:rsid w:val="69BE3B49"/>
    <w:rsid w:val="69EB79D2"/>
    <w:rsid w:val="69FB1AFA"/>
    <w:rsid w:val="6A266C5C"/>
    <w:rsid w:val="6A2C3B47"/>
    <w:rsid w:val="6A3749C6"/>
    <w:rsid w:val="6A56563C"/>
    <w:rsid w:val="6A862F69"/>
    <w:rsid w:val="6A89264B"/>
    <w:rsid w:val="6ABB3BC5"/>
    <w:rsid w:val="6AC116A8"/>
    <w:rsid w:val="6AE4035F"/>
    <w:rsid w:val="6AE91096"/>
    <w:rsid w:val="6AFE1987"/>
    <w:rsid w:val="6B013EB0"/>
    <w:rsid w:val="6B030D4C"/>
    <w:rsid w:val="6B0413A1"/>
    <w:rsid w:val="6B1A004E"/>
    <w:rsid w:val="6B1E5B86"/>
    <w:rsid w:val="6B256F14"/>
    <w:rsid w:val="6B4078AA"/>
    <w:rsid w:val="6B60557E"/>
    <w:rsid w:val="6B625A72"/>
    <w:rsid w:val="6B7E54B0"/>
    <w:rsid w:val="6B8A4808"/>
    <w:rsid w:val="6BA73AAA"/>
    <w:rsid w:val="6BBD1A66"/>
    <w:rsid w:val="6BCA4B0A"/>
    <w:rsid w:val="6BD258DC"/>
    <w:rsid w:val="6BE50451"/>
    <w:rsid w:val="6C153260"/>
    <w:rsid w:val="6C321673"/>
    <w:rsid w:val="6C3C4515"/>
    <w:rsid w:val="6C44786E"/>
    <w:rsid w:val="6C4C5660"/>
    <w:rsid w:val="6C5850C7"/>
    <w:rsid w:val="6C631E07"/>
    <w:rsid w:val="6C647812"/>
    <w:rsid w:val="6C6A11DD"/>
    <w:rsid w:val="6C716611"/>
    <w:rsid w:val="6CAB4C89"/>
    <w:rsid w:val="6CB51804"/>
    <w:rsid w:val="6CCC33F6"/>
    <w:rsid w:val="6CE40709"/>
    <w:rsid w:val="6CF272CA"/>
    <w:rsid w:val="6CFD69DF"/>
    <w:rsid w:val="6D080A78"/>
    <w:rsid w:val="6D0906EE"/>
    <w:rsid w:val="6D1234C8"/>
    <w:rsid w:val="6D294382"/>
    <w:rsid w:val="6D2A2982"/>
    <w:rsid w:val="6D33116C"/>
    <w:rsid w:val="6D371181"/>
    <w:rsid w:val="6D372F2F"/>
    <w:rsid w:val="6D7777CF"/>
    <w:rsid w:val="6D7F3C94"/>
    <w:rsid w:val="6D855A48"/>
    <w:rsid w:val="6D910891"/>
    <w:rsid w:val="6DA31913"/>
    <w:rsid w:val="6DA55BF3"/>
    <w:rsid w:val="6DAC7BC8"/>
    <w:rsid w:val="6DB63E53"/>
    <w:rsid w:val="6DD06FAF"/>
    <w:rsid w:val="6DD733CE"/>
    <w:rsid w:val="6E0C3821"/>
    <w:rsid w:val="6E166B86"/>
    <w:rsid w:val="6E202573"/>
    <w:rsid w:val="6E5518BE"/>
    <w:rsid w:val="6E7004A6"/>
    <w:rsid w:val="6E7354E8"/>
    <w:rsid w:val="6E996E4B"/>
    <w:rsid w:val="6EA95F50"/>
    <w:rsid w:val="6EB41ACB"/>
    <w:rsid w:val="6EC116E6"/>
    <w:rsid w:val="6EC845F6"/>
    <w:rsid w:val="6ECC79E2"/>
    <w:rsid w:val="6EE928E1"/>
    <w:rsid w:val="6EE97AC5"/>
    <w:rsid w:val="6EEC6857"/>
    <w:rsid w:val="6EEF09BC"/>
    <w:rsid w:val="6EF35013"/>
    <w:rsid w:val="6F1E0729"/>
    <w:rsid w:val="6F2D56DC"/>
    <w:rsid w:val="6F3E05A4"/>
    <w:rsid w:val="6F3E4CA8"/>
    <w:rsid w:val="6F4A4D3C"/>
    <w:rsid w:val="6F771D08"/>
    <w:rsid w:val="6F7E3097"/>
    <w:rsid w:val="6F8A1A3C"/>
    <w:rsid w:val="6FA00508"/>
    <w:rsid w:val="6FAC4B78"/>
    <w:rsid w:val="6FC211D5"/>
    <w:rsid w:val="6FD4206D"/>
    <w:rsid w:val="6FFB39E9"/>
    <w:rsid w:val="700532A9"/>
    <w:rsid w:val="70095B7F"/>
    <w:rsid w:val="70300483"/>
    <w:rsid w:val="7036571F"/>
    <w:rsid w:val="70413449"/>
    <w:rsid w:val="705B0CE2"/>
    <w:rsid w:val="706F0D4A"/>
    <w:rsid w:val="707149AA"/>
    <w:rsid w:val="70724EDF"/>
    <w:rsid w:val="70741DA4"/>
    <w:rsid w:val="707B38DA"/>
    <w:rsid w:val="708338E0"/>
    <w:rsid w:val="70910BA8"/>
    <w:rsid w:val="70DC5412"/>
    <w:rsid w:val="70E8748B"/>
    <w:rsid w:val="70EA6116"/>
    <w:rsid w:val="70FE623D"/>
    <w:rsid w:val="71284E98"/>
    <w:rsid w:val="714B6CE7"/>
    <w:rsid w:val="71724535"/>
    <w:rsid w:val="71823FAB"/>
    <w:rsid w:val="719E532A"/>
    <w:rsid w:val="719F5E6C"/>
    <w:rsid w:val="71A14E1B"/>
    <w:rsid w:val="71CC7347"/>
    <w:rsid w:val="71DA506C"/>
    <w:rsid w:val="71F5068D"/>
    <w:rsid w:val="72281098"/>
    <w:rsid w:val="72442094"/>
    <w:rsid w:val="72595F09"/>
    <w:rsid w:val="725B4129"/>
    <w:rsid w:val="725C1462"/>
    <w:rsid w:val="726522EC"/>
    <w:rsid w:val="72652EC2"/>
    <w:rsid w:val="72695938"/>
    <w:rsid w:val="72696AF1"/>
    <w:rsid w:val="72744FEC"/>
    <w:rsid w:val="727A317D"/>
    <w:rsid w:val="728A341A"/>
    <w:rsid w:val="729959E8"/>
    <w:rsid w:val="72A8342B"/>
    <w:rsid w:val="72A941EA"/>
    <w:rsid w:val="72AC7F1B"/>
    <w:rsid w:val="72AD7197"/>
    <w:rsid w:val="72B62B48"/>
    <w:rsid w:val="72C26316"/>
    <w:rsid w:val="72E871A5"/>
    <w:rsid w:val="72F94DB4"/>
    <w:rsid w:val="72FA0C86"/>
    <w:rsid w:val="73057CA0"/>
    <w:rsid w:val="7349727C"/>
    <w:rsid w:val="735648BB"/>
    <w:rsid w:val="7360694F"/>
    <w:rsid w:val="7375030D"/>
    <w:rsid w:val="73815756"/>
    <w:rsid w:val="73880040"/>
    <w:rsid w:val="739629B5"/>
    <w:rsid w:val="73C80D84"/>
    <w:rsid w:val="73C848E1"/>
    <w:rsid w:val="73C942E2"/>
    <w:rsid w:val="73D2266C"/>
    <w:rsid w:val="73F024E4"/>
    <w:rsid w:val="742A3172"/>
    <w:rsid w:val="743D707D"/>
    <w:rsid w:val="744D3038"/>
    <w:rsid w:val="745317B9"/>
    <w:rsid w:val="746D0255"/>
    <w:rsid w:val="746E79C9"/>
    <w:rsid w:val="74795BDB"/>
    <w:rsid w:val="747B06B5"/>
    <w:rsid w:val="74884070"/>
    <w:rsid w:val="74927C04"/>
    <w:rsid w:val="74CD5B6B"/>
    <w:rsid w:val="74CE23CA"/>
    <w:rsid w:val="74D066B3"/>
    <w:rsid w:val="74D116DC"/>
    <w:rsid w:val="74D15761"/>
    <w:rsid w:val="74D65B28"/>
    <w:rsid w:val="74E476E3"/>
    <w:rsid w:val="74EA0887"/>
    <w:rsid w:val="74EA7A61"/>
    <w:rsid w:val="74F6722B"/>
    <w:rsid w:val="74FC4F87"/>
    <w:rsid w:val="750757C4"/>
    <w:rsid w:val="75096F5F"/>
    <w:rsid w:val="7510653F"/>
    <w:rsid w:val="753541F8"/>
    <w:rsid w:val="753663F5"/>
    <w:rsid w:val="753F5076"/>
    <w:rsid w:val="75457105"/>
    <w:rsid w:val="755A305F"/>
    <w:rsid w:val="7564270B"/>
    <w:rsid w:val="75802E18"/>
    <w:rsid w:val="758A6F01"/>
    <w:rsid w:val="758F74DF"/>
    <w:rsid w:val="759A04FF"/>
    <w:rsid w:val="75B57991"/>
    <w:rsid w:val="75B72E5F"/>
    <w:rsid w:val="75BF7F65"/>
    <w:rsid w:val="75C64E50"/>
    <w:rsid w:val="75C737BF"/>
    <w:rsid w:val="75CD3BF1"/>
    <w:rsid w:val="75D346B5"/>
    <w:rsid w:val="75E652F5"/>
    <w:rsid w:val="75FF74B7"/>
    <w:rsid w:val="762A3631"/>
    <w:rsid w:val="7639203F"/>
    <w:rsid w:val="76547C80"/>
    <w:rsid w:val="76572C6A"/>
    <w:rsid w:val="76616BD0"/>
    <w:rsid w:val="767D441F"/>
    <w:rsid w:val="768D1C7F"/>
    <w:rsid w:val="76942EEE"/>
    <w:rsid w:val="76C43A85"/>
    <w:rsid w:val="76CF76D5"/>
    <w:rsid w:val="76D11CFE"/>
    <w:rsid w:val="76D161A2"/>
    <w:rsid w:val="76F45775"/>
    <w:rsid w:val="76F706DD"/>
    <w:rsid w:val="772C1811"/>
    <w:rsid w:val="774150D6"/>
    <w:rsid w:val="774B342B"/>
    <w:rsid w:val="774C00B7"/>
    <w:rsid w:val="779C608A"/>
    <w:rsid w:val="77B240C9"/>
    <w:rsid w:val="77BD28C6"/>
    <w:rsid w:val="77C7119B"/>
    <w:rsid w:val="77DE478B"/>
    <w:rsid w:val="77E048EF"/>
    <w:rsid w:val="78086B94"/>
    <w:rsid w:val="782B18E2"/>
    <w:rsid w:val="7830162C"/>
    <w:rsid w:val="78342545"/>
    <w:rsid w:val="786344AC"/>
    <w:rsid w:val="78672DEE"/>
    <w:rsid w:val="786F5C73"/>
    <w:rsid w:val="7871223E"/>
    <w:rsid w:val="787919A7"/>
    <w:rsid w:val="789B38C0"/>
    <w:rsid w:val="78AC1A52"/>
    <w:rsid w:val="78AC6756"/>
    <w:rsid w:val="78C25DA2"/>
    <w:rsid w:val="78D079AD"/>
    <w:rsid w:val="78D87374"/>
    <w:rsid w:val="78D9133E"/>
    <w:rsid w:val="78E677F6"/>
    <w:rsid w:val="78FB223B"/>
    <w:rsid w:val="791B3FAC"/>
    <w:rsid w:val="792F0220"/>
    <w:rsid w:val="794C38BE"/>
    <w:rsid w:val="79707D63"/>
    <w:rsid w:val="797846B3"/>
    <w:rsid w:val="79845BEF"/>
    <w:rsid w:val="79993AD1"/>
    <w:rsid w:val="79A33E26"/>
    <w:rsid w:val="79A632FD"/>
    <w:rsid w:val="79A676F8"/>
    <w:rsid w:val="79B853F7"/>
    <w:rsid w:val="79B87962"/>
    <w:rsid w:val="79D23A0D"/>
    <w:rsid w:val="79EB7DE6"/>
    <w:rsid w:val="7A035A75"/>
    <w:rsid w:val="7A04260F"/>
    <w:rsid w:val="7A042792"/>
    <w:rsid w:val="7A150154"/>
    <w:rsid w:val="7A1502E4"/>
    <w:rsid w:val="7A3339FB"/>
    <w:rsid w:val="7A3F1373"/>
    <w:rsid w:val="7A3F53ED"/>
    <w:rsid w:val="7A440A39"/>
    <w:rsid w:val="7A571A64"/>
    <w:rsid w:val="7A6D4434"/>
    <w:rsid w:val="7A7275CC"/>
    <w:rsid w:val="7A8240CA"/>
    <w:rsid w:val="7A9674E6"/>
    <w:rsid w:val="7AAB2B39"/>
    <w:rsid w:val="7AAC16F7"/>
    <w:rsid w:val="7AD0398B"/>
    <w:rsid w:val="7AD149C3"/>
    <w:rsid w:val="7AE71AF0"/>
    <w:rsid w:val="7AEB0752"/>
    <w:rsid w:val="7AF350B0"/>
    <w:rsid w:val="7AF47CDC"/>
    <w:rsid w:val="7B155FAB"/>
    <w:rsid w:val="7B251E65"/>
    <w:rsid w:val="7B256ABC"/>
    <w:rsid w:val="7B3C2C91"/>
    <w:rsid w:val="7B4F58E7"/>
    <w:rsid w:val="7B51340D"/>
    <w:rsid w:val="7B632296"/>
    <w:rsid w:val="7B6465CE"/>
    <w:rsid w:val="7B8E7175"/>
    <w:rsid w:val="7B9F061D"/>
    <w:rsid w:val="7B9F23CB"/>
    <w:rsid w:val="7BB75966"/>
    <w:rsid w:val="7BDA78A7"/>
    <w:rsid w:val="7BF95DA7"/>
    <w:rsid w:val="7C014142"/>
    <w:rsid w:val="7C1C4D7B"/>
    <w:rsid w:val="7C294C38"/>
    <w:rsid w:val="7C2F34D3"/>
    <w:rsid w:val="7C3B1A59"/>
    <w:rsid w:val="7C3C2B6B"/>
    <w:rsid w:val="7C3E0C2C"/>
    <w:rsid w:val="7C4D0079"/>
    <w:rsid w:val="7C635AEE"/>
    <w:rsid w:val="7C943EFA"/>
    <w:rsid w:val="7CA23E93"/>
    <w:rsid w:val="7CA307B5"/>
    <w:rsid w:val="7CA876F5"/>
    <w:rsid w:val="7CB62D95"/>
    <w:rsid w:val="7CE85E00"/>
    <w:rsid w:val="7CF603ED"/>
    <w:rsid w:val="7CF60710"/>
    <w:rsid w:val="7D16490F"/>
    <w:rsid w:val="7D2708CA"/>
    <w:rsid w:val="7D3354C1"/>
    <w:rsid w:val="7D384155"/>
    <w:rsid w:val="7D456FA2"/>
    <w:rsid w:val="7D5471E5"/>
    <w:rsid w:val="7D5D42EC"/>
    <w:rsid w:val="7D5E506A"/>
    <w:rsid w:val="7D6A7C65"/>
    <w:rsid w:val="7D6C452F"/>
    <w:rsid w:val="7D8E2B59"/>
    <w:rsid w:val="7DA33E6C"/>
    <w:rsid w:val="7DA868C0"/>
    <w:rsid w:val="7DA912DF"/>
    <w:rsid w:val="7DF509C8"/>
    <w:rsid w:val="7DF82266"/>
    <w:rsid w:val="7DFC52B7"/>
    <w:rsid w:val="7E0A6AB6"/>
    <w:rsid w:val="7E1C216A"/>
    <w:rsid w:val="7E3C65F7"/>
    <w:rsid w:val="7E4B119C"/>
    <w:rsid w:val="7E917AA8"/>
    <w:rsid w:val="7E933D6E"/>
    <w:rsid w:val="7E9E696A"/>
    <w:rsid w:val="7E9F26E2"/>
    <w:rsid w:val="7E9F2BA5"/>
    <w:rsid w:val="7EA146AC"/>
    <w:rsid w:val="7EB02B41"/>
    <w:rsid w:val="7EF667A6"/>
    <w:rsid w:val="7F054C3B"/>
    <w:rsid w:val="7F172CD6"/>
    <w:rsid w:val="7F205AEE"/>
    <w:rsid w:val="7F2350C1"/>
    <w:rsid w:val="7F243A58"/>
    <w:rsid w:val="7F253C46"/>
    <w:rsid w:val="7F293089"/>
    <w:rsid w:val="7F2F1CB8"/>
    <w:rsid w:val="7F7C62EF"/>
    <w:rsid w:val="7F86181D"/>
    <w:rsid w:val="7F871AF4"/>
    <w:rsid w:val="7FA07C64"/>
    <w:rsid w:val="7FB763C3"/>
    <w:rsid w:val="7FC16237"/>
    <w:rsid w:val="7FD60A62"/>
    <w:rsid w:val="7FE97077"/>
    <w:rsid w:val="7FF37D21"/>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5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59"/>
    <w:qFormat/>
    <w:uiPriority w:val="0"/>
    <w:pPr>
      <w:keepNext/>
      <w:jc w:val="center"/>
      <w:outlineLvl w:val="3"/>
    </w:pPr>
    <w:rPr>
      <w:rFonts w:eastAsia="新宋体"/>
      <w:kern w:val="0"/>
      <w:sz w:val="30"/>
      <w:szCs w:val="21"/>
    </w:rPr>
  </w:style>
  <w:style w:type="paragraph" w:styleId="6">
    <w:name w:val="heading 5"/>
    <w:basedOn w:val="1"/>
    <w:next w:val="1"/>
    <w:link w:val="60"/>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61"/>
    <w:qFormat/>
    <w:uiPriority w:val="0"/>
    <w:pPr>
      <w:keepNext/>
      <w:jc w:val="center"/>
      <w:outlineLvl w:val="5"/>
    </w:pPr>
    <w:rPr>
      <w:b/>
      <w:kern w:val="0"/>
      <w:sz w:val="44"/>
      <w:szCs w:val="20"/>
    </w:rPr>
  </w:style>
  <w:style w:type="paragraph" w:styleId="11">
    <w:name w:val="heading 7"/>
    <w:basedOn w:val="1"/>
    <w:next w:val="1"/>
    <w:link w:val="63"/>
    <w:qFormat/>
    <w:uiPriority w:val="0"/>
    <w:pPr>
      <w:keepNext/>
      <w:keepLines/>
      <w:spacing w:before="240" w:after="64" w:line="320" w:lineRule="auto"/>
      <w:outlineLvl w:val="6"/>
    </w:pPr>
    <w:rPr>
      <w:b/>
      <w:bCs/>
      <w:kern w:val="0"/>
      <w:sz w:val="24"/>
    </w:rPr>
  </w:style>
  <w:style w:type="paragraph" w:styleId="12">
    <w:name w:val="heading 8"/>
    <w:basedOn w:val="1"/>
    <w:next w:val="1"/>
    <w:link w:val="64"/>
    <w:qFormat/>
    <w:uiPriority w:val="0"/>
    <w:pPr>
      <w:keepNext/>
      <w:keepLines/>
      <w:spacing w:before="240" w:after="64" w:line="320" w:lineRule="auto"/>
      <w:outlineLvl w:val="7"/>
    </w:pPr>
    <w:rPr>
      <w:rFonts w:ascii="Arial" w:hAnsi="Arial" w:eastAsia="黑体"/>
      <w:kern w:val="0"/>
      <w:sz w:val="24"/>
    </w:rPr>
  </w:style>
  <w:style w:type="paragraph" w:styleId="13">
    <w:name w:val="heading 9"/>
    <w:basedOn w:val="1"/>
    <w:next w:val="1"/>
    <w:link w:val="65"/>
    <w:qFormat/>
    <w:uiPriority w:val="0"/>
    <w:pPr>
      <w:keepNext/>
      <w:keepLines/>
      <w:spacing w:before="240" w:after="64" w:line="320" w:lineRule="auto"/>
      <w:outlineLvl w:val="8"/>
    </w:pPr>
    <w:rPr>
      <w:rFonts w:ascii="Arial" w:hAnsi="Arial" w:eastAsia="黑体"/>
      <w:kern w:val="0"/>
      <w:sz w:val="24"/>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link w:val="62"/>
    <w:qFormat/>
    <w:uiPriority w:val="0"/>
    <w:pPr>
      <w:ind w:firstLine="420"/>
    </w:pPr>
    <w:rPr>
      <w:kern w:val="0"/>
      <w:sz w:val="20"/>
      <w:szCs w:val="20"/>
    </w:rPr>
  </w:style>
  <w:style w:type="paragraph" w:styleId="9">
    <w:name w:val="Body Text Indent"/>
    <w:basedOn w:val="1"/>
    <w:next w:val="10"/>
    <w:link w:val="70"/>
    <w:qFormat/>
    <w:uiPriority w:val="0"/>
    <w:pPr>
      <w:ind w:left="765"/>
    </w:pPr>
    <w:rPr>
      <w:rFonts w:ascii="仿宋_GB2312" w:eastAsia="仿宋_GB2312"/>
      <w:kern w:val="0"/>
      <w:sz w:val="28"/>
      <w:szCs w:val="20"/>
    </w:rPr>
  </w:style>
  <w:style w:type="paragraph" w:styleId="10">
    <w:name w:val="envelope return"/>
    <w:basedOn w:val="1"/>
    <w:unhideWhenUsed/>
    <w:qFormat/>
    <w:uiPriority w:val="99"/>
    <w:pPr>
      <w:snapToGrid w:val="0"/>
    </w:pPr>
    <w:rPr>
      <w:rFonts w:ascii="Arial" w:hAnsi="Arial"/>
    </w:rPr>
  </w:style>
  <w:style w:type="paragraph" w:styleId="14">
    <w:name w:val="index 5"/>
    <w:next w:val="1"/>
    <w:qFormat/>
    <w:uiPriority w:val="0"/>
    <w:pPr>
      <w:widowControl w:val="0"/>
      <w:adjustRightInd w:val="0"/>
      <w:snapToGrid w:val="0"/>
      <w:spacing w:line="360" w:lineRule="auto"/>
      <w:jc w:val="center"/>
    </w:pPr>
    <w:rPr>
      <w:rFonts w:ascii="宋体" w:hAnsi="宋体" w:eastAsia="宋体" w:cs="宋体"/>
      <w:bCs/>
      <w:kern w:val="0"/>
      <w:sz w:val="21"/>
      <w:szCs w:val="21"/>
      <w:lang w:val="en-US" w:eastAsia="zh-CN" w:bidi="ar-SA"/>
    </w:rPr>
  </w:style>
  <w:style w:type="paragraph" w:styleId="15">
    <w:name w:val="Document Map"/>
    <w:basedOn w:val="1"/>
    <w:link w:val="66"/>
    <w:semiHidden/>
    <w:qFormat/>
    <w:uiPriority w:val="0"/>
    <w:pPr>
      <w:shd w:val="clear" w:color="auto" w:fill="000080"/>
    </w:pPr>
    <w:rPr>
      <w:kern w:val="0"/>
      <w:sz w:val="20"/>
    </w:rPr>
  </w:style>
  <w:style w:type="paragraph" w:styleId="16">
    <w:name w:val="toa heading"/>
    <w:basedOn w:val="1"/>
    <w:next w:val="1"/>
    <w:semiHidden/>
    <w:qFormat/>
    <w:uiPriority w:val="0"/>
    <w:pPr>
      <w:jc w:val="center"/>
    </w:pPr>
    <w:rPr>
      <w:rFonts w:ascii="Arial" w:hAnsi="Arial" w:eastAsia="黑体"/>
      <w:sz w:val="36"/>
    </w:rPr>
  </w:style>
  <w:style w:type="paragraph" w:styleId="17">
    <w:name w:val="annotation text"/>
    <w:basedOn w:val="1"/>
    <w:link w:val="67"/>
    <w:unhideWhenUsed/>
    <w:qFormat/>
    <w:uiPriority w:val="99"/>
    <w:pPr>
      <w:jc w:val="left"/>
    </w:pPr>
  </w:style>
  <w:style w:type="paragraph" w:styleId="18">
    <w:name w:val="Body Text 3"/>
    <w:basedOn w:val="1"/>
    <w:link w:val="68"/>
    <w:qFormat/>
    <w:uiPriority w:val="0"/>
    <w:pPr>
      <w:spacing w:after="120"/>
    </w:pPr>
    <w:rPr>
      <w:kern w:val="0"/>
      <w:sz w:val="16"/>
      <w:szCs w:val="16"/>
    </w:rPr>
  </w:style>
  <w:style w:type="paragraph" w:styleId="19">
    <w:name w:val="Body Text"/>
    <w:basedOn w:val="1"/>
    <w:link w:val="69"/>
    <w:qFormat/>
    <w:uiPriority w:val="0"/>
    <w:rPr>
      <w:rFonts w:ascii="仿宋_GB2312" w:eastAsia="仿宋_GB2312"/>
      <w:kern w:val="0"/>
      <w:sz w:val="24"/>
      <w:szCs w:val="20"/>
    </w:rPr>
  </w:style>
  <w:style w:type="paragraph" w:styleId="20">
    <w:name w:val="toc 3"/>
    <w:basedOn w:val="1"/>
    <w:next w:val="1"/>
    <w:qFormat/>
    <w:uiPriority w:val="39"/>
    <w:pPr>
      <w:ind w:left="840" w:leftChars="400"/>
    </w:pPr>
  </w:style>
  <w:style w:type="paragraph" w:styleId="21">
    <w:name w:val="Plain Text"/>
    <w:basedOn w:val="1"/>
    <w:link w:val="71"/>
    <w:qFormat/>
    <w:uiPriority w:val="0"/>
    <w:rPr>
      <w:rFonts w:ascii="宋体" w:hAnsi="Courier New"/>
      <w:kern w:val="0"/>
      <w:sz w:val="20"/>
      <w:szCs w:val="21"/>
    </w:rPr>
  </w:style>
  <w:style w:type="paragraph" w:styleId="22">
    <w:name w:val="Date"/>
    <w:basedOn w:val="1"/>
    <w:next w:val="1"/>
    <w:link w:val="72"/>
    <w:qFormat/>
    <w:uiPriority w:val="0"/>
    <w:rPr>
      <w:kern w:val="0"/>
      <w:sz w:val="24"/>
      <w:szCs w:val="20"/>
    </w:rPr>
  </w:style>
  <w:style w:type="paragraph" w:styleId="23">
    <w:name w:val="Body Text Indent 2"/>
    <w:basedOn w:val="1"/>
    <w:link w:val="73"/>
    <w:qFormat/>
    <w:uiPriority w:val="0"/>
    <w:pPr>
      <w:spacing w:line="500" w:lineRule="exact"/>
      <w:ind w:firstLine="560" w:firstLineChars="200"/>
    </w:pPr>
    <w:rPr>
      <w:rFonts w:eastAsia="仿宋_GB2312"/>
      <w:kern w:val="0"/>
      <w:sz w:val="28"/>
      <w:szCs w:val="20"/>
    </w:rPr>
  </w:style>
  <w:style w:type="paragraph" w:styleId="24">
    <w:name w:val="Balloon Text"/>
    <w:basedOn w:val="1"/>
    <w:link w:val="74"/>
    <w:semiHidden/>
    <w:qFormat/>
    <w:uiPriority w:val="0"/>
    <w:rPr>
      <w:kern w:val="0"/>
      <w:sz w:val="18"/>
      <w:szCs w:val="18"/>
    </w:rPr>
  </w:style>
  <w:style w:type="paragraph" w:styleId="25">
    <w:name w:val="footer"/>
    <w:basedOn w:val="1"/>
    <w:link w:val="75"/>
    <w:qFormat/>
    <w:uiPriority w:val="99"/>
    <w:pPr>
      <w:tabs>
        <w:tab w:val="center" w:pos="4153"/>
        <w:tab w:val="right" w:pos="8306"/>
      </w:tabs>
      <w:snapToGrid w:val="0"/>
      <w:jc w:val="left"/>
    </w:pPr>
    <w:rPr>
      <w:kern w:val="0"/>
      <w:sz w:val="18"/>
      <w:szCs w:val="20"/>
    </w:rPr>
  </w:style>
  <w:style w:type="paragraph" w:styleId="26">
    <w:name w:val="header"/>
    <w:basedOn w:val="1"/>
    <w:link w:val="76"/>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semiHidden/>
    <w:qFormat/>
    <w:uiPriority w:val="0"/>
    <w:rPr>
      <w:sz w:val="24"/>
    </w:rPr>
  </w:style>
  <w:style w:type="paragraph" w:styleId="28">
    <w:name w:val="List"/>
    <w:basedOn w:val="1"/>
    <w:qFormat/>
    <w:uiPriority w:val="0"/>
    <w:pPr>
      <w:ind w:left="200" w:hanging="200" w:hangingChars="200"/>
    </w:pPr>
  </w:style>
  <w:style w:type="paragraph" w:styleId="29">
    <w:name w:val="Body Text Indent 3"/>
    <w:basedOn w:val="1"/>
    <w:link w:val="77"/>
    <w:qFormat/>
    <w:uiPriority w:val="0"/>
    <w:pPr>
      <w:spacing w:after="120"/>
      <w:ind w:left="420" w:leftChars="200"/>
    </w:pPr>
    <w:rPr>
      <w:kern w:val="0"/>
      <w:sz w:val="16"/>
      <w:szCs w:val="16"/>
    </w:rPr>
  </w:style>
  <w:style w:type="paragraph" w:styleId="30">
    <w:name w:val="toc 2"/>
    <w:basedOn w:val="1"/>
    <w:next w:val="1"/>
    <w:qFormat/>
    <w:uiPriority w:val="39"/>
    <w:pPr>
      <w:ind w:left="420" w:leftChars="200"/>
    </w:pPr>
  </w:style>
  <w:style w:type="paragraph" w:styleId="31">
    <w:name w:val="Body Text 2"/>
    <w:basedOn w:val="1"/>
    <w:link w:val="78"/>
    <w:qFormat/>
    <w:uiPriority w:val="0"/>
    <w:pPr>
      <w:snapToGrid w:val="0"/>
    </w:pPr>
    <w:rPr>
      <w:b/>
      <w:bCs/>
      <w:kern w:val="0"/>
      <w:sz w:val="18"/>
    </w:rPr>
  </w:style>
  <w:style w:type="paragraph" w:styleId="32">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33">
    <w:name w:val="Title"/>
    <w:basedOn w:val="1"/>
    <w:next w:val="1"/>
    <w:qFormat/>
    <w:uiPriority w:val="0"/>
    <w:pPr>
      <w:tabs>
        <w:tab w:val="left" w:pos="840"/>
        <w:tab w:val="left" w:pos="2098"/>
      </w:tabs>
      <w:spacing w:before="240" w:after="60"/>
      <w:ind w:left="2098" w:hanging="2098"/>
      <w:jc w:val="center"/>
      <w:outlineLvl w:val="0"/>
    </w:pPr>
    <w:rPr>
      <w:rFonts w:ascii="文新字海-粗楷" w:hAnsi="PMingLiU" w:eastAsia="文新字海-粗楷"/>
      <w:bCs/>
      <w:sz w:val="32"/>
      <w:szCs w:val="32"/>
    </w:rPr>
  </w:style>
  <w:style w:type="paragraph" w:styleId="34">
    <w:name w:val="annotation subject"/>
    <w:basedOn w:val="17"/>
    <w:next w:val="17"/>
    <w:link w:val="79"/>
    <w:unhideWhenUsed/>
    <w:qFormat/>
    <w:uiPriority w:val="99"/>
    <w:rPr>
      <w:b/>
      <w:bCs/>
    </w:rPr>
  </w:style>
  <w:style w:type="paragraph" w:styleId="35">
    <w:name w:val="Body Text First Indent"/>
    <w:basedOn w:val="19"/>
    <w:next w:val="1"/>
    <w:link w:val="80"/>
    <w:qFormat/>
    <w:uiPriority w:val="0"/>
    <w:pPr>
      <w:spacing w:after="120"/>
      <w:ind w:firstLine="420" w:firstLineChars="100"/>
    </w:pPr>
    <w:rPr>
      <w:rFonts w:ascii="Times New Roman" w:eastAsia="宋体"/>
      <w:szCs w:val="24"/>
    </w:rPr>
  </w:style>
  <w:style w:type="paragraph" w:styleId="36">
    <w:name w:val="Body Text First Indent 2"/>
    <w:basedOn w:val="9"/>
    <w:unhideWhenUsed/>
    <w:qFormat/>
    <w:uiPriority w:val="99"/>
    <w:pPr>
      <w:ind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page number"/>
    <w:qFormat/>
    <w:uiPriority w:val="0"/>
  </w:style>
  <w:style w:type="character" w:styleId="42">
    <w:name w:val="FollowedHyperlink"/>
    <w:qFormat/>
    <w:uiPriority w:val="0"/>
    <w:rPr>
      <w:color w:val="800080"/>
      <w:u w:val="none"/>
    </w:rPr>
  </w:style>
  <w:style w:type="character" w:styleId="43">
    <w:name w:val="Emphasis"/>
    <w:basedOn w:val="39"/>
    <w:qFormat/>
    <w:uiPriority w:val="20"/>
    <w:rPr>
      <w:b/>
      <w:bCs/>
    </w:rPr>
  </w:style>
  <w:style w:type="character" w:styleId="44">
    <w:name w:val="HTML Definition"/>
    <w:unhideWhenUsed/>
    <w:qFormat/>
    <w:uiPriority w:val="99"/>
  </w:style>
  <w:style w:type="character" w:styleId="45">
    <w:name w:val="HTML Typewriter"/>
    <w:unhideWhenUsed/>
    <w:qFormat/>
    <w:uiPriority w:val="99"/>
    <w:rPr>
      <w:rFonts w:hint="default" w:ascii="monospace" w:hAnsi="monospace" w:eastAsia="monospace" w:cs="monospace"/>
      <w:sz w:val="20"/>
    </w:rPr>
  </w:style>
  <w:style w:type="character" w:styleId="46">
    <w:name w:val="HTML Acronym"/>
    <w:basedOn w:val="39"/>
    <w:unhideWhenUsed/>
    <w:qFormat/>
    <w:uiPriority w:val="99"/>
  </w:style>
  <w:style w:type="character" w:styleId="47">
    <w:name w:val="HTML Variable"/>
    <w:unhideWhenUsed/>
    <w:qFormat/>
    <w:uiPriority w:val="99"/>
  </w:style>
  <w:style w:type="character" w:styleId="48">
    <w:name w:val="Hyperlink"/>
    <w:qFormat/>
    <w:uiPriority w:val="0"/>
    <w:rPr>
      <w:color w:val="0000FF"/>
      <w:u w:val="none"/>
    </w:rPr>
  </w:style>
  <w:style w:type="character" w:styleId="49">
    <w:name w:val="HTML Code"/>
    <w:unhideWhenUsed/>
    <w:qFormat/>
    <w:uiPriority w:val="99"/>
    <w:rPr>
      <w:rFonts w:hint="default" w:ascii="monospace" w:hAnsi="monospace" w:eastAsia="monospace" w:cs="monospace"/>
      <w:sz w:val="20"/>
    </w:rPr>
  </w:style>
  <w:style w:type="character" w:styleId="50">
    <w:name w:val="annotation reference"/>
    <w:unhideWhenUsed/>
    <w:qFormat/>
    <w:uiPriority w:val="99"/>
    <w:rPr>
      <w:sz w:val="21"/>
      <w:szCs w:val="21"/>
    </w:rPr>
  </w:style>
  <w:style w:type="character" w:styleId="51">
    <w:name w:val="HTML Cite"/>
    <w:unhideWhenUsed/>
    <w:qFormat/>
    <w:uiPriority w:val="99"/>
  </w:style>
  <w:style w:type="character" w:styleId="52">
    <w:name w:val="HTML Keyboard"/>
    <w:unhideWhenUsed/>
    <w:qFormat/>
    <w:uiPriority w:val="99"/>
    <w:rPr>
      <w:rFonts w:ascii="monospace" w:hAnsi="monospace" w:eastAsia="monospace" w:cs="monospace"/>
      <w:sz w:val="20"/>
    </w:rPr>
  </w:style>
  <w:style w:type="character" w:styleId="53">
    <w:name w:val="HTML Sample"/>
    <w:unhideWhenUsed/>
    <w:qFormat/>
    <w:uiPriority w:val="99"/>
    <w:rPr>
      <w:rFonts w:hint="default" w:ascii="monospace" w:hAnsi="monospace" w:eastAsia="monospace" w:cs="monospace"/>
    </w:rPr>
  </w:style>
  <w:style w:type="paragraph" w:customStyle="1" w:styleId="54">
    <w:name w:val="Default"/>
    <w:qFormat/>
    <w:uiPriority w:val="0"/>
    <w:pPr>
      <w:widowControl w:val="0"/>
      <w:autoSpaceDE w:val="0"/>
      <w:autoSpaceDN w:val="0"/>
      <w:adjustRightInd w:val="0"/>
    </w:pPr>
    <w:rPr>
      <w:rFonts w:ascii="宋体" w:hAnsi="宋体" w:eastAsia="讣篮 绊雕" w:cs="宋体"/>
      <w:color w:val="000000"/>
      <w:sz w:val="24"/>
      <w:szCs w:val="24"/>
      <w:lang w:val="en-US" w:eastAsia="zh-CN" w:bidi="ar-SA"/>
    </w:rPr>
  </w:style>
  <w:style w:type="paragraph" w:customStyle="1" w:styleId="55">
    <w:name w:val="表格文字"/>
    <w:basedOn w:val="1"/>
    <w:autoRedefine/>
    <w:qFormat/>
    <w:uiPriority w:val="0"/>
    <w:pPr>
      <w:spacing w:before="25" w:after="25"/>
      <w:jc w:val="left"/>
    </w:pPr>
    <w:rPr>
      <w:bCs/>
      <w:spacing w:val="10"/>
      <w:kern w:val="0"/>
      <w:sz w:val="24"/>
      <w:szCs w:val="20"/>
    </w:rPr>
  </w:style>
  <w:style w:type="character" w:customStyle="1" w:styleId="56">
    <w:name w:val="标题 1 字符"/>
    <w:link w:val="3"/>
    <w:qFormat/>
    <w:uiPriority w:val="0"/>
    <w:rPr>
      <w:rFonts w:ascii="Times New Roman" w:hAnsi="Times New Roman" w:eastAsia="宋体" w:cs="Times New Roman"/>
      <w:b/>
      <w:bCs/>
      <w:kern w:val="44"/>
      <w:sz w:val="44"/>
      <w:szCs w:val="44"/>
    </w:rPr>
  </w:style>
  <w:style w:type="character" w:customStyle="1" w:styleId="57">
    <w:name w:val="标题 2 字符"/>
    <w:link w:val="2"/>
    <w:qFormat/>
    <w:uiPriority w:val="0"/>
    <w:rPr>
      <w:rFonts w:ascii="Arial" w:hAnsi="Arial" w:eastAsia="黑体" w:cs="Times New Roman"/>
      <w:b/>
      <w:bCs/>
      <w:sz w:val="32"/>
      <w:szCs w:val="32"/>
    </w:rPr>
  </w:style>
  <w:style w:type="character" w:customStyle="1" w:styleId="58">
    <w:name w:val="标题 3 字符"/>
    <w:link w:val="4"/>
    <w:qFormat/>
    <w:uiPriority w:val="0"/>
    <w:rPr>
      <w:rFonts w:ascii="Times New Roman" w:hAnsi="Times New Roman" w:eastAsia="宋体" w:cs="Times New Roman"/>
      <w:b/>
      <w:bCs/>
      <w:sz w:val="32"/>
      <w:szCs w:val="32"/>
    </w:rPr>
  </w:style>
  <w:style w:type="character" w:customStyle="1" w:styleId="59">
    <w:name w:val="标题 4 字符"/>
    <w:link w:val="5"/>
    <w:qFormat/>
    <w:uiPriority w:val="0"/>
    <w:rPr>
      <w:rFonts w:ascii="Times New Roman" w:hAnsi="Times New Roman" w:eastAsia="新宋体" w:cs="Times New Roman"/>
      <w:sz w:val="30"/>
      <w:szCs w:val="21"/>
    </w:rPr>
  </w:style>
  <w:style w:type="character" w:customStyle="1" w:styleId="60">
    <w:name w:val="标题 5 字符"/>
    <w:link w:val="6"/>
    <w:qFormat/>
    <w:uiPriority w:val="0"/>
    <w:rPr>
      <w:rFonts w:ascii="Times New Roman" w:hAnsi="Times New Roman" w:eastAsia="宋体" w:cs="Times New Roman"/>
      <w:b/>
      <w:bCs/>
      <w:sz w:val="28"/>
      <w:szCs w:val="28"/>
    </w:rPr>
  </w:style>
  <w:style w:type="character" w:customStyle="1" w:styleId="61">
    <w:name w:val="标题 6 字符"/>
    <w:link w:val="7"/>
    <w:qFormat/>
    <w:uiPriority w:val="0"/>
    <w:rPr>
      <w:rFonts w:ascii="Times New Roman" w:hAnsi="Times New Roman" w:eastAsia="宋体" w:cs="Times New Roman"/>
      <w:b/>
      <w:sz w:val="44"/>
      <w:szCs w:val="20"/>
    </w:rPr>
  </w:style>
  <w:style w:type="character" w:customStyle="1" w:styleId="62">
    <w:name w:val="正文缩进 字符"/>
    <w:link w:val="8"/>
    <w:qFormat/>
    <w:uiPriority w:val="0"/>
    <w:rPr>
      <w:rFonts w:ascii="Times New Roman" w:hAnsi="Times New Roman" w:eastAsia="宋体" w:cs="Times New Roman"/>
      <w:kern w:val="0"/>
      <w:sz w:val="20"/>
      <w:szCs w:val="20"/>
    </w:rPr>
  </w:style>
  <w:style w:type="character" w:customStyle="1" w:styleId="63">
    <w:name w:val="标题 7 字符"/>
    <w:link w:val="11"/>
    <w:qFormat/>
    <w:uiPriority w:val="0"/>
    <w:rPr>
      <w:rFonts w:ascii="Times New Roman" w:hAnsi="Times New Roman" w:eastAsia="宋体" w:cs="Times New Roman"/>
      <w:b/>
      <w:bCs/>
      <w:sz w:val="24"/>
      <w:szCs w:val="24"/>
    </w:rPr>
  </w:style>
  <w:style w:type="character" w:customStyle="1" w:styleId="64">
    <w:name w:val="标题 8 字符"/>
    <w:link w:val="12"/>
    <w:qFormat/>
    <w:uiPriority w:val="0"/>
    <w:rPr>
      <w:rFonts w:ascii="Arial" w:hAnsi="Arial" w:eastAsia="黑体" w:cs="Times New Roman"/>
      <w:sz w:val="24"/>
      <w:szCs w:val="24"/>
    </w:rPr>
  </w:style>
  <w:style w:type="character" w:customStyle="1" w:styleId="65">
    <w:name w:val="标题 9 字符"/>
    <w:link w:val="13"/>
    <w:qFormat/>
    <w:uiPriority w:val="0"/>
    <w:rPr>
      <w:rFonts w:ascii="Arial" w:hAnsi="Arial" w:eastAsia="黑体" w:cs="Times New Roman"/>
      <w:sz w:val="24"/>
      <w:szCs w:val="21"/>
    </w:rPr>
  </w:style>
  <w:style w:type="character" w:customStyle="1" w:styleId="66">
    <w:name w:val="文档结构图 字符"/>
    <w:link w:val="15"/>
    <w:semiHidden/>
    <w:qFormat/>
    <w:uiPriority w:val="0"/>
    <w:rPr>
      <w:szCs w:val="24"/>
      <w:shd w:val="clear" w:color="auto" w:fill="000080"/>
    </w:rPr>
  </w:style>
  <w:style w:type="character" w:customStyle="1" w:styleId="67">
    <w:name w:val="批注文字 字符"/>
    <w:link w:val="17"/>
    <w:semiHidden/>
    <w:qFormat/>
    <w:uiPriority w:val="99"/>
    <w:rPr>
      <w:kern w:val="2"/>
      <w:sz w:val="21"/>
      <w:szCs w:val="24"/>
    </w:rPr>
  </w:style>
  <w:style w:type="character" w:customStyle="1" w:styleId="68">
    <w:name w:val="正文文本 3 字符"/>
    <w:link w:val="18"/>
    <w:qFormat/>
    <w:uiPriority w:val="0"/>
    <w:rPr>
      <w:rFonts w:ascii="Times New Roman" w:hAnsi="Times New Roman" w:eastAsia="宋体" w:cs="Times New Roman"/>
      <w:sz w:val="16"/>
      <w:szCs w:val="16"/>
    </w:rPr>
  </w:style>
  <w:style w:type="character" w:customStyle="1" w:styleId="69">
    <w:name w:val="正文文本 字符"/>
    <w:link w:val="19"/>
    <w:qFormat/>
    <w:uiPriority w:val="0"/>
    <w:rPr>
      <w:rFonts w:ascii="仿宋_GB2312" w:hAnsi="Times New Roman" w:eastAsia="仿宋_GB2312" w:cs="Times New Roman"/>
      <w:sz w:val="24"/>
      <w:szCs w:val="20"/>
    </w:rPr>
  </w:style>
  <w:style w:type="character" w:customStyle="1" w:styleId="70">
    <w:name w:val="正文文本缩进 字符"/>
    <w:link w:val="9"/>
    <w:qFormat/>
    <w:uiPriority w:val="0"/>
    <w:rPr>
      <w:rFonts w:ascii="仿宋_GB2312" w:hAnsi="Times New Roman" w:eastAsia="仿宋_GB2312" w:cs="Times New Roman"/>
      <w:sz w:val="28"/>
      <w:szCs w:val="20"/>
    </w:rPr>
  </w:style>
  <w:style w:type="character" w:customStyle="1" w:styleId="71">
    <w:name w:val="纯文本 字符"/>
    <w:link w:val="21"/>
    <w:qFormat/>
    <w:uiPriority w:val="0"/>
    <w:rPr>
      <w:rFonts w:ascii="宋体" w:hAnsi="Courier New" w:eastAsia="宋体" w:cs="Courier New"/>
      <w:szCs w:val="21"/>
    </w:rPr>
  </w:style>
  <w:style w:type="character" w:customStyle="1" w:styleId="72">
    <w:name w:val="日期 字符"/>
    <w:link w:val="22"/>
    <w:qFormat/>
    <w:uiPriority w:val="0"/>
    <w:rPr>
      <w:rFonts w:ascii="Times New Roman" w:hAnsi="Times New Roman" w:eastAsia="宋体" w:cs="Times New Roman"/>
      <w:sz w:val="24"/>
      <w:szCs w:val="20"/>
    </w:rPr>
  </w:style>
  <w:style w:type="character" w:customStyle="1" w:styleId="73">
    <w:name w:val="正文文本缩进 2 字符"/>
    <w:link w:val="23"/>
    <w:qFormat/>
    <w:uiPriority w:val="0"/>
    <w:rPr>
      <w:rFonts w:ascii="Times New Roman" w:hAnsi="Times New Roman" w:eastAsia="仿宋_GB2312" w:cs="Times New Roman"/>
      <w:sz w:val="28"/>
      <w:szCs w:val="20"/>
    </w:rPr>
  </w:style>
  <w:style w:type="character" w:customStyle="1" w:styleId="74">
    <w:name w:val="批注框文本 字符"/>
    <w:link w:val="24"/>
    <w:semiHidden/>
    <w:qFormat/>
    <w:uiPriority w:val="0"/>
    <w:rPr>
      <w:sz w:val="18"/>
      <w:szCs w:val="18"/>
    </w:rPr>
  </w:style>
  <w:style w:type="character" w:customStyle="1" w:styleId="75">
    <w:name w:val="页脚 字符"/>
    <w:link w:val="25"/>
    <w:qFormat/>
    <w:uiPriority w:val="99"/>
    <w:rPr>
      <w:rFonts w:ascii="Times New Roman" w:hAnsi="Times New Roman" w:eastAsia="宋体" w:cs="Times New Roman"/>
      <w:sz w:val="18"/>
      <w:szCs w:val="20"/>
    </w:rPr>
  </w:style>
  <w:style w:type="character" w:customStyle="1" w:styleId="76">
    <w:name w:val="页眉 字符"/>
    <w:link w:val="26"/>
    <w:qFormat/>
    <w:uiPriority w:val="0"/>
    <w:rPr>
      <w:rFonts w:ascii="Times New Roman" w:hAnsi="Times New Roman" w:eastAsia="宋体" w:cs="Times New Roman"/>
      <w:sz w:val="18"/>
      <w:szCs w:val="18"/>
    </w:rPr>
  </w:style>
  <w:style w:type="character" w:customStyle="1" w:styleId="77">
    <w:name w:val="正文文本缩进 3 字符"/>
    <w:link w:val="29"/>
    <w:qFormat/>
    <w:uiPriority w:val="0"/>
    <w:rPr>
      <w:rFonts w:ascii="Times New Roman" w:hAnsi="Times New Roman" w:eastAsia="宋体" w:cs="Times New Roman"/>
      <w:sz w:val="16"/>
      <w:szCs w:val="16"/>
    </w:rPr>
  </w:style>
  <w:style w:type="character" w:customStyle="1" w:styleId="78">
    <w:name w:val="正文文本 2 字符"/>
    <w:link w:val="31"/>
    <w:qFormat/>
    <w:uiPriority w:val="0"/>
    <w:rPr>
      <w:rFonts w:ascii="Times New Roman" w:hAnsi="Times New Roman" w:eastAsia="宋体" w:cs="Times New Roman"/>
      <w:b/>
      <w:bCs/>
      <w:sz w:val="18"/>
      <w:szCs w:val="24"/>
    </w:rPr>
  </w:style>
  <w:style w:type="character" w:customStyle="1" w:styleId="79">
    <w:name w:val="批注主题 字符"/>
    <w:link w:val="34"/>
    <w:semiHidden/>
    <w:qFormat/>
    <w:uiPriority w:val="99"/>
    <w:rPr>
      <w:b/>
      <w:bCs/>
      <w:kern w:val="2"/>
      <w:sz w:val="21"/>
      <w:szCs w:val="24"/>
    </w:rPr>
  </w:style>
  <w:style w:type="character" w:customStyle="1" w:styleId="80">
    <w:name w:val="正文文本首行缩进 字符"/>
    <w:link w:val="35"/>
    <w:qFormat/>
    <w:uiPriority w:val="0"/>
    <w:rPr>
      <w:rFonts w:ascii="Times New Roman" w:hAnsi="Times New Roman" w:eastAsia="宋体" w:cs="Times New Roman"/>
      <w:sz w:val="24"/>
      <w:szCs w:val="24"/>
    </w:rPr>
  </w:style>
  <w:style w:type="paragraph" w:customStyle="1" w:styleId="81">
    <w:name w:val="无间隔1"/>
    <w:qFormat/>
    <w:uiPriority w:val="0"/>
    <w:rPr>
      <w:rFonts w:ascii="Times New Roman" w:hAnsi="Times New Roman" w:eastAsia="宋体" w:cs="Times New Roman"/>
      <w:sz w:val="22"/>
      <w:szCs w:val="22"/>
      <w:lang w:val="en-US" w:eastAsia="en-US" w:bidi="en-US"/>
    </w:rPr>
  </w:style>
  <w:style w:type="character" w:customStyle="1" w:styleId="82">
    <w:name w:val="hover2"/>
    <w:qFormat/>
    <w:uiPriority w:val="0"/>
    <w:rPr>
      <w:color w:val="5FB878"/>
    </w:rPr>
  </w:style>
  <w:style w:type="character" w:customStyle="1" w:styleId="83">
    <w:name w:val="hover1"/>
    <w:qFormat/>
    <w:uiPriority w:val="0"/>
    <w:rPr>
      <w:color w:val="5FB878"/>
    </w:rPr>
  </w:style>
  <w:style w:type="character" w:customStyle="1" w:styleId="84">
    <w:name w:val="正文缩进2格 Char"/>
    <w:link w:val="85"/>
    <w:qFormat/>
    <w:uiPriority w:val="0"/>
    <w:rPr>
      <w:rFonts w:ascii="仿宋_GB2312" w:hAnsi="宋体" w:eastAsia="仿宋_GB2312" w:cs="Times New Roman"/>
      <w:sz w:val="31"/>
      <w:szCs w:val="28"/>
    </w:rPr>
  </w:style>
  <w:style w:type="paragraph" w:customStyle="1" w:styleId="85">
    <w:name w:val="正文缩进2格"/>
    <w:basedOn w:val="1"/>
    <w:link w:val="84"/>
    <w:qFormat/>
    <w:uiPriority w:val="0"/>
    <w:pPr>
      <w:spacing w:line="600" w:lineRule="exact"/>
      <w:ind w:firstLine="639" w:firstLineChars="206"/>
    </w:pPr>
    <w:rPr>
      <w:rFonts w:ascii="仿宋_GB2312" w:hAnsi="宋体" w:eastAsia="仿宋_GB2312"/>
      <w:kern w:val="0"/>
      <w:sz w:val="31"/>
      <w:szCs w:val="28"/>
    </w:rPr>
  </w:style>
  <w:style w:type="character" w:customStyle="1" w:styleId="86">
    <w:name w:val="ssss Char"/>
    <w:qFormat/>
    <w:uiPriority w:val="0"/>
    <w:rPr>
      <w:rFonts w:eastAsia="宋体"/>
      <w:kern w:val="2"/>
      <w:sz w:val="24"/>
      <w:szCs w:val="24"/>
      <w:lang w:val="en-US" w:eastAsia="zh-CN" w:bidi="ar-SA"/>
    </w:rPr>
  </w:style>
  <w:style w:type="character" w:customStyle="1" w:styleId="87">
    <w:name w:val="FA正文 Char"/>
    <w:link w:val="88"/>
    <w:qFormat/>
    <w:uiPriority w:val="0"/>
    <w:rPr>
      <w:rFonts w:ascii="宋体" w:hAnsi="宋体" w:eastAsia="宋体" w:cs="Times New Roman"/>
      <w:sz w:val="28"/>
      <w:szCs w:val="28"/>
    </w:rPr>
  </w:style>
  <w:style w:type="paragraph" w:customStyle="1" w:styleId="88">
    <w:name w:val="FA正文"/>
    <w:basedOn w:val="1"/>
    <w:link w:val="87"/>
    <w:qFormat/>
    <w:uiPriority w:val="0"/>
    <w:pPr>
      <w:tabs>
        <w:tab w:val="left" w:pos="3375"/>
      </w:tabs>
      <w:spacing w:line="440" w:lineRule="atLeast"/>
      <w:ind w:firstLine="538" w:firstLineChars="192"/>
    </w:pPr>
    <w:rPr>
      <w:rFonts w:ascii="宋体" w:hAnsi="宋体"/>
      <w:kern w:val="0"/>
      <w:sz w:val="28"/>
      <w:szCs w:val="28"/>
    </w:rPr>
  </w:style>
  <w:style w:type="character" w:customStyle="1" w:styleId="89">
    <w:name w:val="cn_text1"/>
    <w:qFormat/>
    <w:uiPriority w:val="0"/>
    <w:rPr>
      <w:rFonts w:hint="default" w:ascii="ˎ̥" w:hAnsi="ˎ̥"/>
      <w:color w:val="003399"/>
      <w:spacing w:val="15"/>
      <w:sz w:val="18"/>
      <w:szCs w:val="18"/>
    </w:rPr>
  </w:style>
  <w:style w:type="character" w:customStyle="1" w:styleId="90">
    <w:name w:val="普通正文 Char"/>
    <w:link w:val="91"/>
    <w:qFormat/>
    <w:uiPriority w:val="0"/>
    <w:rPr>
      <w:rFonts w:ascii="Arial" w:hAnsi="Arial"/>
      <w:sz w:val="24"/>
      <w:szCs w:val="24"/>
    </w:rPr>
  </w:style>
  <w:style w:type="paragraph" w:customStyle="1" w:styleId="91">
    <w:name w:val="普通正文"/>
    <w:basedOn w:val="1"/>
    <w:link w:val="90"/>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92">
    <w:name w:val="文档结构图 Char1"/>
    <w:semiHidden/>
    <w:qFormat/>
    <w:uiPriority w:val="99"/>
    <w:rPr>
      <w:rFonts w:ascii="宋体" w:hAnsi="Times New Roman" w:eastAsia="宋体" w:cs="Times New Roman"/>
      <w:sz w:val="18"/>
      <w:szCs w:val="18"/>
    </w:rPr>
  </w:style>
  <w:style w:type="character" w:customStyle="1" w:styleId="93">
    <w:name w:val="point_normal1"/>
    <w:qFormat/>
    <w:uiPriority w:val="0"/>
    <w:rPr>
      <w:rFonts w:hint="default" w:ascii="Arial" w:hAnsi="Arial" w:cs="Arial"/>
      <w:sz w:val="16"/>
      <w:szCs w:val="16"/>
    </w:rPr>
  </w:style>
  <w:style w:type="character" w:customStyle="1" w:styleId="94">
    <w:name w:val="font41"/>
    <w:basedOn w:val="39"/>
    <w:qFormat/>
    <w:uiPriority w:val="0"/>
    <w:rPr>
      <w:rFonts w:hint="eastAsia" w:ascii="宋体" w:hAnsi="宋体" w:eastAsia="宋体" w:cs="宋体"/>
      <w:color w:val="000000"/>
      <w:sz w:val="21"/>
      <w:szCs w:val="21"/>
      <w:u w:val="none"/>
    </w:rPr>
  </w:style>
  <w:style w:type="character" w:customStyle="1" w:styleId="95">
    <w:name w:val="标题 4 Char1"/>
    <w:qFormat/>
    <w:uiPriority w:val="0"/>
    <w:rPr>
      <w:rFonts w:ascii="Arial" w:hAnsi="Arial" w:eastAsia="黑体"/>
      <w:b/>
      <w:bCs/>
      <w:kern w:val="2"/>
      <w:sz w:val="28"/>
      <w:szCs w:val="28"/>
      <w:lang w:val="en-US" w:eastAsia="zh-CN" w:bidi="ar-SA"/>
    </w:rPr>
  </w:style>
  <w:style w:type="character" w:customStyle="1" w:styleId="96">
    <w:name w:val="列表段落 字符1"/>
    <w:link w:val="97"/>
    <w:qFormat/>
    <w:locked/>
    <w:uiPriority w:val="99"/>
  </w:style>
  <w:style w:type="paragraph" w:styleId="97">
    <w:name w:val="List Paragraph"/>
    <w:basedOn w:val="1"/>
    <w:link w:val="96"/>
    <w:qFormat/>
    <w:uiPriority w:val="99"/>
    <w:pPr>
      <w:ind w:firstLine="420" w:firstLineChars="200"/>
    </w:pPr>
    <w:rPr>
      <w:kern w:val="0"/>
      <w:sz w:val="20"/>
      <w:szCs w:val="20"/>
    </w:rPr>
  </w:style>
  <w:style w:type="character" w:customStyle="1" w:styleId="98">
    <w:name w:val="hover"/>
    <w:qFormat/>
    <w:uiPriority w:val="0"/>
    <w:rPr>
      <w:color w:val="FFFFFF"/>
    </w:rPr>
  </w:style>
  <w:style w:type="character" w:customStyle="1" w:styleId="99">
    <w:name w:val="ssss Char1"/>
    <w:link w:val="100"/>
    <w:qFormat/>
    <w:uiPriority w:val="0"/>
    <w:rPr>
      <w:rFonts w:ascii="Times New Roman" w:hAnsi="Times New Roman" w:eastAsia="宋体" w:cs="Times New Roman"/>
      <w:sz w:val="24"/>
      <w:szCs w:val="24"/>
    </w:rPr>
  </w:style>
  <w:style w:type="paragraph" w:customStyle="1" w:styleId="100">
    <w:name w:val="ssss"/>
    <w:basedOn w:val="1"/>
    <w:link w:val="99"/>
    <w:qFormat/>
    <w:uiPriority w:val="0"/>
    <w:pPr>
      <w:spacing w:line="360" w:lineRule="auto"/>
      <w:ind w:firstLine="480" w:firstLineChars="200"/>
    </w:pPr>
    <w:rPr>
      <w:kern w:val="0"/>
      <w:sz w:val="24"/>
    </w:rPr>
  </w:style>
  <w:style w:type="character" w:customStyle="1" w:styleId="101">
    <w:name w:val="first-child"/>
    <w:qFormat/>
    <w:uiPriority w:val="0"/>
  </w:style>
  <w:style w:type="character" w:customStyle="1" w:styleId="102">
    <w:name w:val="批注框文本 Char1"/>
    <w:semiHidden/>
    <w:qFormat/>
    <w:uiPriority w:val="99"/>
    <w:rPr>
      <w:rFonts w:ascii="Times New Roman" w:hAnsi="Times New Roman" w:eastAsia="宋体" w:cs="Times New Roman"/>
      <w:sz w:val="18"/>
      <w:szCs w:val="18"/>
    </w:rPr>
  </w:style>
  <w:style w:type="character" w:customStyle="1" w:styleId="103">
    <w:name w:val="layui-this"/>
    <w:qFormat/>
    <w:uiPriority w:val="0"/>
    <w:rPr>
      <w:bdr w:val="single" w:color="EEEEEE" w:sz="6" w:space="0"/>
      <w:shd w:val="clear" w:color="auto" w:fill="FFFFFF"/>
    </w:rPr>
  </w:style>
  <w:style w:type="character" w:customStyle="1" w:styleId="104">
    <w:name w:val="样式 ssss + 宋体 五号1 Char"/>
    <w:link w:val="105"/>
    <w:qFormat/>
    <w:uiPriority w:val="0"/>
    <w:rPr>
      <w:rFonts w:ascii="宋体" w:hAnsi="宋体" w:eastAsia="宋体" w:cs="Times New Roman"/>
      <w:sz w:val="24"/>
      <w:szCs w:val="24"/>
    </w:rPr>
  </w:style>
  <w:style w:type="paragraph" w:customStyle="1" w:styleId="105">
    <w:name w:val="样式 ssss + 宋体 五号1"/>
    <w:basedOn w:val="100"/>
    <w:link w:val="104"/>
    <w:qFormat/>
    <w:uiPriority w:val="0"/>
    <w:rPr>
      <w:rFonts w:ascii="宋体" w:hAnsi="宋体"/>
    </w:rPr>
  </w:style>
  <w:style w:type="character" w:customStyle="1" w:styleId="106">
    <w:name w:val="列表段落 字符"/>
    <w:qFormat/>
    <w:uiPriority w:val="34"/>
    <w:rPr>
      <w:rFonts w:ascii="Calibri" w:hAnsi="Calibri"/>
      <w:kern w:val="2"/>
      <w:sz w:val="21"/>
      <w:szCs w:val="22"/>
    </w:rPr>
  </w:style>
  <w:style w:type="character" w:customStyle="1" w:styleId="107">
    <w:name w:val="正文文本缩进 Char"/>
    <w:qFormat/>
    <w:uiPriority w:val="0"/>
    <w:rPr>
      <w:rFonts w:ascii="仿宋_GB2312" w:hAnsi="Times New Roman" w:eastAsia="仿宋_GB2312" w:cs="Times New Roman"/>
      <w:sz w:val="28"/>
      <w:szCs w:val="20"/>
    </w:rPr>
  </w:style>
  <w:style w:type="paragraph" w:customStyle="1" w:styleId="108">
    <w:name w:val="Char Char Char"/>
    <w:basedOn w:val="1"/>
    <w:qFormat/>
    <w:uiPriority w:val="0"/>
    <w:rPr>
      <w:rFonts w:ascii="Tahoma" w:hAnsi="Tahoma"/>
      <w:sz w:val="24"/>
      <w:szCs w:val="20"/>
    </w:rPr>
  </w:style>
  <w:style w:type="paragraph" w:customStyle="1" w:styleId="109">
    <w:name w:val="_Style 2"/>
    <w:basedOn w:val="1"/>
    <w:qFormat/>
    <w:uiPriority w:val="0"/>
    <w:pPr>
      <w:ind w:firstLine="420" w:firstLineChars="200"/>
    </w:pPr>
    <w:rPr>
      <w:rFonts w:ascii="Calibri" w:hAnsi="Calibri"/>
    </w:rPr>
  </w:style>
  <w:style w:type="paragraph" w:customStyle="1" w:styleId="110">
    <w:name w:val="Char Char Char Char"/>
    <w:basedOn w:val="1"/>
    <w:qFormat/>
    <w:uiPriority w:val="0"/>
    <w:rPr>
      <w:rFonts w:ascii="Tahoma" w:hAnsi="Tahoma"/>
      <w:sz w:val="24"/>
      <w:szCs w:val="20"/>
    </w:rPr>
  </w:style>
  <w:style w:type="paragraph" w:customStyle="1" w:styleId="111">
    <w:name w:val="正文样式1"/>
    <w:basedOn w:val="1"/>
    <w:qFormat/>
    <w:uiPriority w:val="0"/>
    <w:pPr>
      <w:spacing w:before="120" w:after="120" w:line="360" w:lineRule="auto"/>
      <w:ind w:firstLine="480" w:firstLineChars="200"/>
    </w:pPr>
    <w:rPr>
      <w:sz w:val="24"/>
      <w:szCs w:val="20"/>
    </w:rPr>
  </w:style>
  <w:style w:type="paragraph" w:customStyle="1" w:styleId="112">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13">
    <w:name w:val="标题-----3"/>
    <w:basedOn w:val="4"/>
    <w:qFormat/>
    <w:uiPriority w:val="0"/>
    <w:pPr>
      <w:spacing w:before="0" w:after="0" w:line="240" w:lineRule="auto"/>
      <w:outlineLvl w:val="0"/>
    </w:pPr>
    <w:rPr>
      <w:rFonts w:ascii="宋体" w:hAnsi="宋体"/>
      <w:b w:val="0"/>
      <w:bCs w:val="0"/>
      <w:sz w:val="28"/>
      <w:szCs w:val="28"/>
    </w:rPr>
  </w:style>
  <w:style w:type="paragraph" w:customStyle="1" w:styleId="114">
    <w:name w:val="_Style 144"/>
    <w:basedOn w:val="9"/>
    <w:next w:val="36"/>
    <w:unhideWhenUsed/>
    <w:qFormat/>
    <w:uiPriority w:val="99"/>
    <w:pPr>
      <w:ind w:firstLine="420" w:firstLineChars="200"/>
    </w:pPr>
  </w:style>
  <w:style w:type="paragraph" w:customStyle="1" w:styleId="115">
    <w:name w:val="正文缩进11"/>
    <w:basedOn w:val="1"/>
    <w:qFormat/>
    <w:uiPriority w:val="0"/>
    <w:pPr>
      <w:ind w:firstLine="420"/>
    </w:pPr>
    <w:rPr>
      <w:b/>
      <w:szCs w:val="20"/>
    </w:rPr>
  </w:style>
  <w:style w:type="paragraph" w:customStyle="1" w:styleId="116">
    <w:name w:val="样式 标题 2标题 1.1编号标题2Reset numberingh2MVA2ERMH2 + 宋体 四号 行距:..."/>
    <w:basedOn w:val="2"/>
    <w:qFormat/>
    <w:uiPriority w:val="0"/>
    <w:pPr>
      <w:overflowPunct w:val="0"/>
      <w:adjustRightInd w:val="0"/>
      <w:spacing w:line="320" w:lineRule="exact"/>
      <w:jc w:val="center"/>
    </w:pPr>
    <w:rPr>
      <w:rFonts w:ascii="宋体" w:hAnsi="宋体" w:eastAsia="楷体_GB2312" w:cs="宋体"/>
      <w:szCs w:val="20"/>
    </w:rPr>
  </w:style>
  <w:style w:type="paragraph" w:customStyle="1" w:styleId="117">
    <w:name w:val="Char Char Char Char Char Char Char Char Char Char Char Char Char"/>
    <w:basedOn w:val="1"/>
    <w:qFormat/>
    <w:uiPriority w:val="0"/>
  </w:style>
  <w:style w:type="paragraph" w:customStyle="1" w:styleId="118">
    <w:name w:val="样式 ssss + 宋体 五号"/>
    <w:basedOn w:val="100"/>
    <w:qFormat/>
    <w:uiPriority w:val="0"/>
    <w:pPr>
      <w:ind w:firstLine="420"/>
    </w:pPr>
    <w:rPr>
      <w:rFonts w:ascii="宋体" w:hAnsi="宋体" w:cs="宋体"/>
      <w:szCs w:val="20"/>
    </w:rPr>
  </w:style>
  <w:style w:type="paragraph" w:customStyle="1" w:styleId="119">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_Style 116"/>
    <w:unhideWhenUsed/>
    <w:qFormat/>
    <w:uiPriority w:val="99"/>
    <w:rPr>
      <w:rFonts w:ascii="Times New Roman" w:hAnsi="Times New Roman" w:eastAsia="宋体" w:cs="Times New Roman"/>
      <w:kern w:val="2"/>
      <w:sz w:val="21"/>
      <w:szCs w:val="24"/>
      <w:lang w:val="en-US" w:eastAsia="zh-CN" w:bidi="ar-SA"/>
    </w:rPr>
  </w:style>
  <w:style w:type="paragraph" w:customStyle="1" w:styleId="121">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22">
    <w:name w:val="样式 正文文本缩进 3 + 四号"/>
    <w:basedOn w:val="29"/>
    <w:qFormat/>
    <w:uiPriority w:val="0"/>
    <w:pPr>
      <w:spacing w:after="0" w:line="360" w:lineRule="auto"/>
      <w:ind w:left="0" w:leftChars="0" w:firstLine="437"/>
    </w:pPr>
    <w:rPr>
      <w:sz w:val="24"/>
      <w:szCs w:val="21"/>
    </w:rPr>
  </w:style>
  <w:style w:type="paragraph" w:customStyle="1" w:styleId="123">
    <w:name w:val="Char"/>
    <w:basedOn w:val="1"/>
    <w:qFormat/>
    <w:uiPriority w:val="0"/>
    <w:pPr>
      <w:tabs>
        <w:tab w:val="left" w:pos="360"/>
      </w:tabs>
    </w:pPr>
    <w:rPr>
      <w:sz w:val="24"/>
    </w:rPr>
  </w:style>
  <w:style w:type="paragraph" w:customStyle="1" w:styleId="124">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25">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标题2"/>
    <w:basedOn w:val="2"/>
    <w:qFormat/>
    <w:uiPriority w:val="0"/>
    <w:pPr>
      <w:keepNext w:val="0"/>
      <w:keepLines w:val="0"/>
      <w:spacing w:before="0" w:after="0" w:line="360" w:lineRule="auto"/>
    </w:pPr>
    <w:rPr>
      <w:rFonts w:ascii="Times New Roman" w:hAnsi="Times New Roman" w:eastAsia="宋体"/>
      <w:snapToGrid w:val="0"/>
      <w:sz w:val="24"/>
    </w:rPr>
  </w:style>
  <w:style w:type="paragraph" w:customStyle="1" w:styleId="127">
    <w:name w:val="表格正文"/>
    <w:basedOn w:val="1"/>
    <w:qFormat/>
    <w:uiPriority w:val="0"/>
    <w:pPr>
      <w:spacing w:line="360" w:lineRule="auto"/>
      <w:jc w:val="left"/>
    </w:pPr>
    <w:rPr>
      <w:rFonts w:ascii="Calibri" w:hAnsi="Calibri"/>
      <w:color w:val="000000"/>
      <w:szCs w:val="28"/>
    </w:rPr>
  </w:style>
  <w:style w:type="paragraph" w:customStyle="1" w:styleId="128">
    <w:name w:val="表格"/>
    <w:basedOn w:val="1"/>
    <w:qFormat/>
    <w:uiPriority w:val="0"/>
    <w:rPr>
      <w:rFonts w:ascii="Arial" w:hAnsi="Arial"/>
      <w:sz w:val="24"/>
    </w:rPr>
  </w:style>
  <w:style w:type="paragraph" w:customStyle="1" w:styleId="129">
    <w:name w:val="Char Char Char Char Char Char Char Char Char Char Char Char Char1"/>
    <w:basedOn w:val="1"/>
    <w:qFormat/>
    <w:uiPriority w:val="0"/>
    <w:rPr>
      <w:sz w:val="24"/>
    </w:rPr>
  </w:style>
  <w:style w:type="paragraph" w:customStyle="1" w:styleId="130">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3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
    <w:name w:val="列出段落2"/>
    <w:basedOn w:val="1"/>
    <w:qFormat/>
    <w:uiPriority w:val="34"/>
    <w:pPr>
      <w:widowControl/>
      <w:spacing w:line="360" w:lineRule="auto"/>
      <w:ind w:left="708" w:leftChars="150" w:firstLine="420" w:firstLineChars="200"/>
      <w:jc w:val="left"/>
    </w:pPr>
    <w:rPr>
      <w:szCs w:val="21"/>
    </w:rPr>
  </w:style>
  <w:style w:type="paragraph" w:customStyle="1" w:styleId="133">
    <w:name w:val="Char Char Char Char1"/>
    <w:basedOn w:val="1"/>
    <w:qFormat/>
    <w:uiPriority w:val="0"/>
    <w:rPr>
      <w:rFonts w:ascii="Tahoma" w:hAnsi="Tahoma"/>
      <w:sz w:val="24"/>
      <w:szCs w:val="20"/>
    </w:rPr>
  </w:style>
  <w:style w:type="paragraph" w:customStyle="1" w:styleId="134">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5">
    <w:name w:val="Char Char 字元 字元 字元 Char Char Char Char"/>
    <w:basedOn w:val="1"/>
    <w:qFormat/>
    <w:uiPriority w:val="0"/>
    <w:pPr>
      <w:adjustRightInd w:val="0"/>
      <w:spacing w:line="360" w:lineRule="auto"/>
    </w:pPr>
    <w:rPr>
      <w:kern w:val="0"/>
      <w:sz w:val="24"/>
      <w:szCs w:val="20"/>
    </w:rPr>
  </w:style>
  <w:style w:type="paragraph" w:customStyle="1" w:styleId="13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37">
    <w:name w:val="文档正文"/>
    <w:basedOn w:val="1"/>
    <w:qFormat/>
    <w:uiPriority w:val="0"/>
    <w:pPr>
      <w:adjustRightInd w:val="0"/>
      <w:spacing w:line="312" w:lineRule="atLeast"/>
      <w:ind w:firstLine="567"/>
      <w:textAlignment w:val="baseline"/>
    </w:pPr>
    <w:rPr>
      <w:rFonts w:ascii="微软雅黑" w:eastAsia="微软雅黑"/>
      <w:kern w:val="0"/>
      <w:sz w:val="28"/>
      <w:szCs w:val="20"/>
    </w:rPr>
  </w:style>
  <w:style w:type="paragraph" w:customStyle="1" w:styleId="138">
    <w:name w:val="样式 ssss + 居中"/>
    <w:basedOn w:val="100"/>
    <w:qFormat/>
    <w:uiPriority w:val="0"/>
    <w:pPr>
      <w:jc w:val="center"/>
    </w:pPr>
    <w:rPr>
      <w:rFonts w:cs="宋体"/>
      <w:szCs w:val="20"/>
    </w:rPr>
  </w:style>
  <w:style w:type="paragraph" w:customStyle="1" w:styleId="139">
    <w:name w:val="Char1"/>
    <w:basedOn w:val="1"/>
    <w:qFormat/>
    <w:uiPriority w:val="0"/>
    <w:rPr>
      <w:rFonts w:ascii="Tahoma" w:hAnsi="Tahoma"/>
      <w:sz w:val="24"/>
      <w:szCs w:val="20"/>
    </w:rPr>
  </w:style>
  <w:style w:type="paragraph" w:customStyle="1" w:styleId="140">
    <w:name w:val="Char Char Char Char Char Char Char Char Char Char"/>
    <w:basedOn w:val="1"/>
    <w:qFormat/>
    <w:uiPriority w:val="0"/>
    <w:rPr>
      <w:rFonts w:ascii="Tahoma" w:hAnsi="Tahoma"/>
      <w:sz w:val="24"/>
      <w:szCs w:val="20"/>
    </w:rPr>
  </w:style>
  <w:style w:type="paragraph" w:customStyle="1" w:styleId="141">
    <w:name w:val="Table Paragraph"/>
    <w:basedOn w:val="1"/>
    <w:qFormat/>
    <w:uiPriority w:val="1"/>
  </w:style>
  <w:style w:type="paragraph" w:customStyle="1" w:styleId="14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3">
    <w:name w:val="样式 样式 ssss + 宋体 五号 + 首行缩进:  2 字符"/>
    <w:basedOn w:val="118"/>
    <w:qFormat/>
    <w:uiPriority w:val="0"/>
    <w:pPr>
      <w:ind w:firstLine="480"/>
    </w:pPr>
  </w:style>
  <w:style w:type="paragraph" w:customStyle="1" w:styleId="1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5">
    <w:name w:val="Header2"/>
    <w:basedOn w:val="1"/>
    <w:qFormat/>
    <w:uiPriority w:val="0"/>
    <w:pPr>
      <w:numPr>
        <w:ilvl w:val="0"/>
        <w:numId w:val="1"/>
      </w:numPr>
    </w:pPr>
  </w:style>
  <w:style w:type="paragraph" w:customStyle="1" w:styleId="146">
    <w:name w:val="WPSOffice手动目录 1"/>
    <w:qFormat/>
    <w:uiPriority w:val="0"/>
    <w:rPr>
      <w:rFonts w:ascii="Times New Roman" w:hAnsi="Times New Roman" w:eastAsia="宋体" w:cs="Times New Roman"/>
      <w:lang w:val="en-US" w:eastAsia="zh-CN" w:bidi="ar-SA"/>
    </w:rPr>
  </w:style>
  <w:style w:type="paragraph" w:customStyle="1" w:styleId="147">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4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4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50">
    <w:name w:val="Blockquote"/>
    <w:basedOn w:val="1"/>
    <w:qFormat/>
    <w:uiPriority w:val="0"/>
    <w:pPr>
      <w:autoSpaceDE w:val="0"/>
      <w:autoSpaceDN w:val="0"/>
      <w:adjustRightInd w:val="0"/>
      <w:spacing w:before="100" w:after="100"/>
      <w:ind w:left="360" w:right="360"/>
      <w:jc w:val="left"/>
    </w:pPr>
    <w:rPr>
      <w:kern w:val="0"/>
      <w:sz w:val="24"/>
    </w:rPr>
  </w:style>
  <w:style w:type="table" w:customStyle="1" w:styleId="151">
    <w:name w:val="Table Normal"/>
    <w:unhideWhenUsed/>
    <w:qFormat/>
    <w:uiPriority w:val="0"/>
    <w:tblPr>
      <w:tblCellMar>
        <w:top w:w="0" w:type="dxa"/>
        <w:left w:w="0" w:type="dxa"/>
        <w:bottom w:w="0" w:type="dxa"/>
        <w:right w:w="0" w:type="dxa"/>
      </w:tblCellMar>
    </w:tblPr>
  </w:style>
  <w:style w:type="character" w:customStyle="1" w:styleId="152">
    <w:name w:val="mini-tree-nodetext3"/>
    <w:basedOn w:val="39"/>
    <w:qFormat/>
    <w:uiPriority w:val="0"/>
  </w:style>
  <w:style w:type="character" w:customStyle="1" w:styleId="153">
    <w:name w:val="mini-tree-nodetext2"/>
    <w:basedOn w:val="39"/>
    <w:qFormat/>
    <w:uiPriority w:val="0"/>
  </w:style>
  <w:style w:type="paragraph" w:customStyle="1" w:styleId="154">
    <w:name w:val="2级标题"/>
    <w:basedOn w:val="1"/>
    <w:qFormat/>
    <w:uiPriority w:val="0"/>
    <w:pPr>
      <w:tabs>
        <w:tab w:val="left" w:pos="567"/>
      </w:tabs>
      <w:snapToGrid w:val="0"/>
      <w:spacing w:line="360" w:lineRule="auto"/>
      <w:ind w:left="567" w:hanging="567"/>
      <w:outlineLvl w:val="1"/>
    </w:pPr>
  </w:style>
  <w:style w:type="paragraph" w:customStyle="1" w:styleId="155">
    <w:name w:val="样式10"/>
    <w:basedOn w:val="1"/>
    <w:qFormat/>
    <w:uiPriority w:val="0"/>
    <w:pPr>
      <w:tabs>
        <w:tab w:val="left" w:pos="360"/>
      </w:tabs>
      <w:spacing w:line="360" w:lineRule="auto"/>
    </w:pPr>
    <w:rPr>
      <w:b/>
      <w:sz w:val="24"/>
    </w:rPr>
  </w:style>
  <w:style w:type="paragraph" w:customStyle="1" w:styleId="156">
    <w:name w:val="样式9"/>
    <w:basedOn w:val="1"/>
    <w:qFormat/>
    <w:uiPriority w:val="0"/>
    <w:pPr>
      <w:adjustRightInd w:val="0"/>
      <w:spacing w:line="480" w:lineRule="exact"/>
      <w:ind w:firstLine="480" w:firstLineChars="200"/>
      <w:jc w:val="left"/>
      <w:textAlignment w:val="baseline"/>
    </w:pPr>
    <w:rPr>
      <w:rFonts w:ascii="宋体" w:hAnsi="宋体"/>
      <w:kern w:val="0"/>
      <w:sz w:val="24"/>
    </w:rPr>
  </w:style>
  <w:style w:type="paragraph" w:customStyle="1" w:styleId="157">
    <w:name w:val="正文会展"/>
    <w:basedOn w:val="1"/>
    <w:qFormat/>
    <w:uiPriority w:val="0"/>
    <w:pPr>
      <w:ind w:firstLine="480"/>
    </w:pPr>
    <w:rPr>
      <w:rFonts w:ascii="Calibri" w:hAnsi="Calibri" w:cs="宋体"/>
    </w:rPr>
  </w:style>
  <w:style w:type="paragraph" w:customStyle="1" w:styleId="158">
    <w:name w:val="列出段落11"/>
    <w:basedOn w:val="1"/>
    <w:qFormat/>
    <w:uiPriority w:val="34"/>
    <w:pPr>
      <w:ind w:firstLine="420" w:firstLineChars="200"/>
    </w:pPr>
    <w:rPr>
      <w:rFonts w:ascii="Calibri" w:hAnsi="Calibri"/>
    </w:rPr>
  </w:style>
  <w:style w:type="character" w:customStyle="1" w:styleId="159">
    <w:name w:val="font51"/>
    <w:basedOn w:val="39"/>
    <w:qFormat/>
    <w:uiPriority w:val="0"/>
    <w:rPr>
      <w:rFonts w:hint="eastAsia" w:ascii="宋体" w:hAnsi="宋体" w:eastAsia="宋体" w:cs="宋体"/>
      <w:color w:val="000000"/>
      <w:sz w:val="24"/>
      <w:szCs w:val="24"/>
      <w:u w:val="none"/>
    </w:rPr>
  </w:style>
  <w:style w:type="character" w:customStyle="1" w:styleId="160">
    <w:name w:val="font81"/>
    <w:basedOn w:val="39"/>
    <w:qFormat/>
    <w:uiPriority w:val="0"/>
    <w:rPr>
      <w:rFonts w:hint="eastAsia" w:ascii="宋体" w:hAnsi="宋体" w:eastAsia="宋体" w:cs="宋体"/>
      <w:color w:val="000000"/>
      <w:sz w:val="21"/>
      <w:szCs w:val="21"/>
      <w:u w:val="none"/>
    </w:rPr>
  </w:style>
  <w:style w:type="character" w:customStyle="1" w:styleId="161">
    <w:name w:val="font131"/>
    <w:basedOn w:val="39"/>
    <w:qFormat/>
    <w:uiPriority w:val="0"/>
    <w:rPr>
      <w:rFonts w:hint="eastAsia" w:ascii="宋体" w:hAnsi="宋体" w:eastAsia="宋体" w:cs="宋体"/>
      <w:color w:val="000000"/>
      <w:sz w:val="28"/>
      <w:szCs w:val="28"/>
      <w:u w:val="none"/>
    </w:rPr>
  </w:style>
  <w:style w:type="character" w:customStyle="1" w:styleId="162">
    <w:name w:val="font101"/>
    <w:basedOn w:val="39"/>
    <w:qFormat/>
    <w:uiPriority w:val="0"/>
    <w:rPr>
      <w:rFonts w:ascii="Arial" w:hAnsi="Arial" w:cs="Arial"/>
      <w:color w:val="000000"/>
      <w:sz w:val="18"/>
      <w:szCs w:val="18"/>
      <w:u w:val="none"/>
    </w:rPr>
  </w:style>
  <w:style w:type="character" w:customStyle="1" w:styleId="163">
    <w:name w:val="font61"/>
    <w:basedOn w:val="39"/>
    <w:qFormat/>
    <w:uiPriority w:val="0"/>
    <w:rPr>
      <w:rFonts w:ascii="Arial" w:hAnsi="Arial" w:cs="Arial"/>
      <w:color w:val="000000"/>
      <w:sz w:val="18"/>
      <w:szCs w:val="18"/>
      <w:u w:val="none"/>
    </w:rPr>
  </w:style>
  <w:style w:type="paragraph" w:customStyle="1" w:styleId="164">
    <w:name w:val="正文文本首行缩进1"/>
    <w:basedOn w:val="19"/>
    <w:qFormat/>
    <w:uiPriority w:val="0"/>
    <w:pPr>
      <w:ind w:firstLine="420" w:firstLineChars="10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71</Pages>
  <Words>26169</Words>
  <Characters>28163</Characters>
  <Lines>1498</Lines>
  <Paragraphs>1575</Paragraphs>
  <TotalTime>30</TotalTime>
  <ScaleCrop>false</ScaleCrop>
  <LinksUpToDate>false</LinksUpToDate>
  <CharactersWithSpaces>28804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2017-10-20T07:53:00Z</dcterms:created>
  <dc:creator>User</dc:creator>
  <cp:lastModifiedBy>玩世大仙</cp:lastModifiedBy>
  <cp:lastPrinted>2024-05-20T08:53:00Z</cp:lastPrinted>
  <dcterms:modified xsi:type="dcterms:W3CDTF">2025-10-31T03:13:32Z</dcterms:modified>
  <dc:title>南通市Ⅹ项目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4C2B8EEA5FDE4464BAF22E76627AC405_13</vt:lpwstr>
  </property>
  <property fmtid="{D5CDD505-2E9C-101B-9397-08002B2CF9AE}" pid="4" name="KSOTemplateDocerSaveRecord">
    <vt:lpwstr>eyJoZGlkIjoiYmE5OTM3NjNjNDRmYzMyMTg2MWRiNGRmNmJlZmQ0NTYiLCJ1c2VySWQiOiI1MzA5NzI0NTAifQ==</vt:lpwstr>
  </property>
</Properties>
</file>