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07CD3">
      <w:pPr>
        <w:tabs>
          <w:tab w:val="left" w:pos="6300"/>
        </w:tabs>
        <w:snapToGrid w:val="0"/>
        <w:spacing w:line="440" w:lineRule="exact"/>
        <w:ind w:right="-941" w:rightChars="-448"/>
        <w:jc w:val="center"/>
        <w:rPr>
          <w:rFonts w:hint="eastAsia" w:ascii="宋体" w:hAnsi="宋体" w:eastAsia="宋体" w:cs="宋体"/>
          <w:b/>
          <w:sz w:val="52"/>
          <w:szCs w:val="52"/>
          <w:highlight w:val="none"/>
          <w:lang w:val="en-US" w:eastAsia="zh-CN"/>
        </w:rPr>
      </w:pPr>
    </w:p>
    <w:p w14:paraId="6018E3BF">
      <w:pPr>
        <w:tabs>
          <w:tab w:val="left" w:pos="6300"/>
        </w:tabs>
        <w:snapToGrid w:val="0"/>
        <w:spacing w:line="360" w:lineRule="auto"/>
        <w:ind w:right="-941" w:rightChars="-448"/>
        <w:jc w:val="both"/>
        <w:rPr>
          <w:rFonts w:hint="eastAsia" w:ascii="宋体" w:hAnsi="宋体" w:eastAsia="宋体" w:cs="宋体"/>
          <w:b/>
          <w:sz w:val="52"/>
          <w:szCs w:val="52"/>
          <w:highlight w:val="none"/>
        </w:rPr>
      </w:pPr>
    </w:p>
    <w:p w14:paraId="465B16D6">
      <w:pPr>
        <w:keepNext w:val="0"/>
        <w:keepLines w:val="0"/>
        <w:pageBreakBefore w:val="0"/>
        <w:widowControl w:val="0"/>
        <w:kinsoku/>
        <w:wordWrap/>
        <w:overflowPunct/>
        <w:topLinePunct w:val="0"/>
        <w:autoSpaceDE/>
        <w:autoSpaceDN/>
        <w:bidi w:val="0"/>
        <w:adjustRightInd/>
        <w:snapToGrid/>
        <w:spacing w:before="300" w:after="300" w:line="360" w:lineRule="auto"/>
        <w:ind w:right="-101" w:rightChars="-48"/>
        <w:jc w:val="center"/>
        <w:textAlignment w:val="auto"/>
        <w:rPr>
          <w:rFonts w:hint="eastAsia" w:ascii="宋体" w:hAnsi="宋体" w:eastAsia="宋体" w:cs="宋体"/>
          <w:b/>
          <w:sz w:val="48"/>
          <w:szCs w:val="48"/>
          <w:highlight w:val="none"/>
          <w:lang w:eastAsia="zh-CN"/>
        </w:rPr>
      </w:pPr>
      <w:r>
        <w:rPr>
          <w:rFonts w:hint="eastAsia" w:ascii="宋体" w:hAnsi="宋体" w:eastAsia="宋体" w:cs="宋体"/>
          <w:b/>
          <w:sz w:val="48"/>
          <w:szCs w:val="48"/>
          <w:highlight w:val="none"/>
          <w:lang w:eastAsia="zh-CN"/>
        </w:rPr>
        <w:t>南通轨道1号线公安通信系统维保项目</w:t>
      </w:r>
    </w:p>
    <w:p w14:paraId="6350B300">
      <w:pPr>
        <w:spacing w:line="360" w:lineRule="auto"/>
        <w:ind w:right="-941" w:rightChars="-448"/>
        <w:jc w:val="center"/>
        <w:rPr>
          <w:rFonts w:hint="eastAsia" w:ascii="宋体" w:hAnsi="宋体" w:eastAsia="宋体" w:cs="宋体"/>
          <w:b/>
          <w:sz w:val="100"/>
          <w:szCs w:val="100"/>
          <w:highlight w:val="none"/>
        </w:rPr>
      </w:pPr>
    </w:p>
    <w:p w14:paraId="23F93406">
      <w:pPr>
        <w:spacing w:line="360" w:lineRule="auto"/>
        <w:ind w:right="-101" w:rightChars="-48"/>
        <w:jc w:val="center"/>
        <w:rPr>
          <w:rFonts w:hint="eastAsia" w:ascii="宋体" w:hAnsi="宋体" w:eastAsia="宋体" w:cs="宋体"/>
          <w:b/>
          <w:sz w:val="100"/>
          <w:szCs w:val="100"/>
          <w:highlight w:val="none"/>
        </w:rPr>
      </w:pPr>
      <w:r>
        <w:rPr>
          <w:rFonts w:hint="eastAsia" w:ascii="宋体" w:hAnsi="宋体" w:eastAsia="宋体" w:cs="宋体"/>
          <w:b/>
          <w:sz w:val="100"/>
          <w:szCs w:val="100"/>
          <w:highlight w:val="none"/>
          <w:lang w:val="en-US" w:eastAsia="zh-CN"/>
        </w:rPr>
        <w:t>比选</w:t>
      </w:r>
      <w:r>
        <w:rPr>
          <w:rFonts w:hint="eastAsia" w:ascii="宋体" w:hAnsi="宋体" w:eastAsia="宋体" w:cs="宋体"/>
          <w:b/>
          <w:sz w:val="100"/>
          <w:szCs w:val="100"/>
          <w:highlight w:val="none"/>
        </w:rPr>
        <w:t>文件</w:t>
      </w:r>
    </w:p>
    <w:p w14:paraId="17A85642">
      <w:pPr>
        <w:spacing w:line="360" w:lineRule="auto"/>
        <w:ind w:right="-941" w:rightChars="-448"/>
        <w:rPr>
          <w:rFonts w:hint="eastAsia" w:ascii="宋体" w:hAnsi="宋体" w:eastAsia="宋体" w:cs="宋体"/>
          <w:highlight w:val="none"/>
        </w:rPr>
      </w:pPr>
    </w:p>
    <w:p w14:paraId="2F87628B">
      <w:pPr>
        <w:keepNext/>
        <w:spacing w:line="360" w:lineRule="auto"/>
        <w:ind w:right="-941" w:rightChars="-448"/>
        <w:jc w:val="center"/>
        <w:rPr>
          <w:rFonts w:hint="eastAsia" w:ascii="宋体" w:hAnsi="宋体" w:eastAsia="宋体" w:cs="宋体"/>
          <w:sz w:val="36"/>
          <w:szCs w:val="36"/>
          <w:highlight w:val="none"/>
        </w:rPr>
      </w:pPr>
    </w:p>
    <w:p w14:paraId="6DA11E25">
      <w:pPr>
        <w:spacing w:line="440" w:lineRule="exact"/>
        <w:ind w:right="-941" w:rightChars="-448"/>
        <w:jc w:val="center"/>
        <w:rPr>
          <w:rFonts w:hint="eastAsia" w:ascii="宋体" w:hAnsi="宋体" w:eastAsia="宋体" w:cs="宋体"/>
          <w:b/>
          <w:sz w:val="36"/>
          <w:highlight w:val="none"/>
        </w:rPr>
      </w:pPr>
    </w:p>
    <w:p w14:paraId="40619F1F">
      <w:pPr>
        <w:spacing w:line="440" w:lineRule="exact"/>
        <w:ind w:right="-941" w:rightChars="-448"/>
        <w:jc w:val="center"/>
        <w:rPr>
          <w:rFonts w:hint="eastAsia" w:ascii="宋体" w:hAnsi="宋体" w:eastAsia="宋体" w:cs="宋体"/>
          <w:b/>
          <w:sz w:val="36"/>
          <w:highlight w:val="none"/>
        </w:rPr>
      </w:pPr>
    </w:p>
    <w:p w14:paraId="17B2E3A9">
      <w:pPr>
        <w:spacing w:line="440" w:lineRule="exact"/>
        <w:ind w:right="-941" w:rightChars="-448"/>
        <w:jc w:val="center"/>
        <w:rPr>
          <w:rFonts w:hint="eastAsia" w:ascii="宋体" w:hAnsi="宋体" w:eastAsia="宋体" w:cs="宋体"/>
          <w:b/>
          <w:sz w:val="36"/>
          <w:highlight w:val="none"/>
        </w:rPr>
      </w:pPr>
    </w:p>
    <w:p w14:paraId="06B11F9D">
      <w:pPr>
        <w:spacing w:line="440" w:lineRule="exact"/>
        <w:ind w:right="-941" w:rightChars="-448"/>
        <w:rPr>
          <w:rFonts w:hint="eastAsia" w:ascii="宋体" w:hAnsi="宋体" w:eastAsia="宋体" w:cs="宋体"/>
          <w:highlight w:val="none"/>
        </w:rPr>
      </w:pPr>
    </w:p>
    <w:p w14:paraId="3A7AD7DB">
      <w:pPr>
        <w:spacing w:line="440" w:lineRule="exact"/>
        <w:ind w:right="-941" w:rightChars="-448"/>
        <w:jc w:val="center"/>
        <w:rPr>
          <w:rFonts w:hint="eastAsia" w:ascii="宋体" w:hAnsi="宋体" w:eastAsia="宋体" w:cs="宋体"/>
          <w:sz w:val="32"/>
          <w:highlight w:val="none"/>
        </w:rPr>
      </w:pPr>
    </w:p>
    <w:p w14:paraId="47144F4A">
      <w:pPr>
        <w:spacing w:line="440" w:lineRule="exact"/>
        <w:ind w:right="-941" w:rightChars="-448"/>
        <w:jc w:val="center"/>
        <w:rPr>
          <w:rFonts w:hint="eastAsia" w:ascii="宋体" w:hAnsi="宋体" w:eastAsia="宋体" w:cs="宋体"/>
          <w:sz w:val="32"/>
          <w:highlight w:val="none"/>
        </w:rPr>
      </w:pPr>
    </w:p>
    <w:p w14:paraId="20850443">
      <w:pPr>
        <w:snapToGrid w:val="0"/>
        <w:spacing w:line="440" w:lineRule="exact"/>
        <w:ind w:right="-941" w:rightChars="-448"/>
        <w:rPr>
          <w:rFonts w:hint="eastAsia" w:ascii="宋体" w:hAnsi="宋体" w:eastAsia="宋体" w:cs="宋体"/>
          <w:b/>
          <w:sz w:val="36"/>
          <w:highlight w:val="none"/>
        </w:rPr>
      </w:pPr>
    </w:p>
    <w:p w14:paraId="08E2C80A">
      <w:pPr>
        <w:spacing w:line="360" w:lineRule="auto"/>
        <w:ind w:left="0" w:leftChars="0" w:right="-101" w:rightChars="-48" w:firstLine="0" w:firstLineChars="0"/>
        <w:jc w:val="center"/>
        <w:rPr>
          <w:rFonts w:hint="eastAsia" w:ascii="宋体" w:hAnsi="宋体" w:eastAsia="宋体" w:cs="宋体"/>
          <w:b/>
          <w:color w:val="auto"/>
          <w:sz w:val="30"/>
          <w:szCs w:val="30"/>
          <w:highlight w:val="none"/>
          <w:lang w:val="en-US" w:eastAsia="zh-CN"/>
        </w:rPr>
      </w:pPr>
    </w:p>
    <w:p w14:paraId="41E1CF50">
      <w:pPr>
        <w:spacing w:line="360" w:lineRule="auto"/>
        <w:ind w:left="0" w:leftChars="0" w:right="-101" w:rightChars="-48" w:firstLine="0" w:firstLineChars="0"/>
        <w:jc w:val="center"/>
        <w:rPr>
          <w:rFonts w:hint="eastAsia" w:ascii="宋体" w:hAnsi="宋体" w:eastAsia="宋体" w:cs="宋体"/>
          <w:b/>
          <w:color w:val="auto"/>
          <w:sz w:val="30"/>
          <w:szCs w:val="30"/>
          <w:highlight w:val="none"/>
          <w:lang w:val="en-US" w:eastAsia="zh-CN"/>
        </w:rPr>
      </w:pPr>
    </w:p>
    <w:p w14:paraId="66417B8E">
      <w:pPr>
        <w:spacing w:line="360" w:lineRule="auto"/>
        <w:ind w:left="0" w:leftChars="0" w:right="-101" w:rightChars="-48" w:firstLine="0" w:firstLineChars="0"/>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比选人：南通轨道建设发展有限公司</w:t>
      </w:r>
    </w:p>
    <w:p w14:paraId="198F0768">
      <w:pPr>
        <w:spacing w:line="360" w:lineRule="auto"/>
        <w:ind w:left="0" w:leftChars="0" w:right="-101" w:rightChars="-48" w:firstLine="0" w:firstLineChars="0"/>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招标代理机构：山东国盛项目管理有限公司</w:t>
      </w:r>
    </w:p>
    <w:p w14:paraId="783CD3DC">
      <w:pPr>
        <w:spacing w:line="360" w:lineRule="auto"/>
        <w:ind w:left="0" w:leftChars="0" w:right="-101" w:rightChars="-48"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202</w:t>
      </w:r>
      <w:r>
        <w:rPr>
          <w:rFonts w:hint="eastAsia" w:ascii="宋体" w:hAnsi="宋体" w:cs="宋体"/>
          <w:b/>
          <w:color w:val="auto"/>
          <w:sz w:val="30"/>
          <w:szCs w:val="30"/>
          <w:highlight w:val="none"/>
          <w:lang w:val="en-US" w:eastAsia="zh-CN"/>
        </w:rPr>
        <w:t>6</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rPr>
        <w:t>月</w:t>
      </w:r>
    </w:p>
    <w:p w14:paraId="6C7036AE">
      <w:pPr>
        <w:spacing w:line="440" w:lineRule="exact"/>
        <w:ind w:right="-101" w:rightChars="-48"/>
        <w:jc w:val="center"/>
        <w:rPr>
          <w:rFonts w:hint="eastAsia" w:ascii="宋体" w:hAnsi="宋体" w:eastAsia="宋体" w:cs="宋体"/>
          <w:b/>
          <w:bCs/>
          <w:color w:val="auto"/>
          <w:sz w:val="44"/>
          <w:szCs w:val="44"/>
          <w:highlight w:val="none"/>
        </w:rPr>
        <w:sectPr>
          <w:pgSz w:w="11905" w:h="16838"/>
          <w:pgMar w:top="1440" w:right="1803" w:bottom="1440" w:left="1803" w:header="850" w:footer="992" w:gutter="0"/>
          <w:pgBorders>
            <w:top w:val="none" w:sz="0" w:space="0"/>
            <w:left w:val="none" w:sz="0" w:space="0"/>
            <w:bottom w:val="none" w:sz="0" w:space="0"/>
            <w:right w:val="none" w:sz="0" w:space="0"/>
          </w:pgBorders>
          <w:cols w:space="720" w:num="1"/>
          <w:rtlGutter w:val="0"/>
          <w:docGrid w:type="lines" w:linePitch="325" w:charSpace="0"/>
        </w:sectPr>
      </w:pPr>
    </w:p>
    <w:p w14:paraId="70370A4C">
      <w:pPr>
        <w:spacing w:line="440" w:lineRule="exact"/>
        <w:ind w:right="-319" w:rightChars="-152"/>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目录</w:t>
      </w:r>
    </w:p>
    <w:p w14:paraId="2F4D1A6B">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highlight w:val="none"/>
        </w:rPr>
      </w:pPr>
    </w:p>
    <w:p w14:paraId="587DF01D">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TOC \o "1-3" \h \u </w:instrText>
      </w:r>
      <w:r>
        <w:rPr>
          <w:rFonts w:hint="eastAsia" w:ascii="宋体" w:hAnsi="宋体" w:eastAsia="宋体" w:cs="宋体"/>
          <w:b/>
          <w:sz w:val="21"/>
          <w:szCs w:val="21"/>
          <w:highlight w:val="none"/>
        </w:rPr>
        <w:fldChar w:fldCharType="separate"/>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_Toc31217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 xml:space="preserve">第一章  </w:t>
      </w:r>
      <w:r>
        <w:rPr>
          <w:rFonts w:hint="eastAsia" w:ascii="宋体" w:hAnsi="宋体" w:eastAsia="宋体" w:cs="宋体"/>
          <w:bCs/>
          <w:sz w:val="21"/>
          <w:szCs w:val="21"/>
          <w:highlight w:val="none"/>
          <w:lang w:eastAsia="zh-CN"/>
        </w:rPr>
        <w:t>比选公告</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_Toc31217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976FA8A">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_Toc21037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一、项目基本情况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_Toc21037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FEE08CD">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_Toc30000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二、</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的资格要求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_Toc30000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FC695DB">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三、获取</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2F6946C">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_Toc23423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四、提交</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截止时间、</w:t>
      </w:r>
      <w:r>
        <w:rPr>
          <w:rFonts w:hint="eastAsia" w:ascii="宋体" w:hAnsi="宋体" w:eastAsia="宋体" w:cs="宋体"/>
          <w:sz w:val="21"/>
          <w:szCs w:val="21"/>
          <w:highlight w:val="none"/>
          <w:lang w:eastAsia="zh-CN"/>
        </w:rPr>
        <w:t>比选时间</w:t>
      </w:r>
      <w:r>
        <w:rPr>
          <w:rFonts w:hint="eastAsia" w:ascii="宋体" w:hAnsi="宋体" w:eastAsia="宋体" w:cs="宋体"/>
          <w:sz w:val="21"/>
          <w:szCs w:val="21"/>
          <w:highlight w:val="none"/>
        </w:rPr>
        <w:t>和地点</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_Toc23423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3D8F9F8">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_Toc1749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rPr>
        <w:t>、对本次</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提出询问，请按以下方式联系</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_Toc1749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7593ACC">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_Toc30340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en-US" w:eastAsia="zh-CN"/>
        </w:rPr>
        <w:t>六、异议处理方式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_Toc30340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F0BAB98">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_Toc7383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 xml:space="preserve">第二章  </w:t>
      </w:r>
      <w:r>
        <w:rPr>
          <w:rFonts w:hint="eastAsia" w:ascii="宋体" w:hAnsi="宋体" w:eastAsia="宋体" w:cs="宋体"/>
          <w:bCs/>
          <w:sz w:val="21"/>
          <w:szCs w:val="21"/>
          <w:highlight w:val="none"/>
          <w:lang w:eastAsia="zh-CN"/>
        </w:rPr>
        <w:t>参选须知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_Toc7383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8AC1CBB">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_Toc10861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一、总则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_Toc10861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2606524">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_Toc7663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二、</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构成</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_Toc7663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D744184">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_Toc21708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三、</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由</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解释</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_Toc21708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F2B9923">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四、</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的澄清、修改</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_Toc2423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A7EF1BE">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_Toc30561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五、</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组成、编制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密封</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_Toc30561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ED975F7">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_Toc727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六、</w:t>
      </w:r>
      <w:r>
        <w:rPr>
          <w:rFonts w:hint="eastAsia" w:ascii="宋体" w:hAnsi="宋体" w:eastAsia="宋体" w:cs="宋体"/>
          <w:sz w:val="21"/>
          <w:szCs w:val="21"/>
          <w:highlight w:val="none"/>
          <w:lang w:eastAsia="zh-CN"/>
        </w:rPr>
        <w:t>参选报价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_Toc727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14AFA8E">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_Toc13833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七、</w:t>
      </w:r>
      <w:r>
        <w:rPr>
          <w:rFonts w:hint="eastAsia" w:ascii="宋体" w:hAnsi="宋体" w:eastAsia="宋体" w:cs="宋体"/>
          <w:sz w:val="21"/>
          <w:szCs w:val="21"/>
          <w:highlight w:val="none"/>
          <w:lang w:eastAsia="zh-CN"/>
        </w:rPr>
        <w:t>参选有效期</w:t>
      </w:r>
      <w:r>
        <w:rPr>
          <w:rFonts w:hint="eastAsia" w:ascii="宋体" w:hAnsi="宋体" w:eastAsia="宋体" w:cs="宋体"/>
          <w:sz w:val="21"/>
          <w:szCs w:val="21"/>
          <w:highlight w:val="none"/>
        </w:rPr>
        <w:t>和</w:t>
      </w:r>
      <w:r>
        <w:rPr>
          <w:rFonts w:hint="eastAsia" w:ascii="宋体" w:hAnsi="宋体" w:eastAsia="宋体" w:cs="宋体"/>
          <w:sz w:val="21"/>
          <w:szCs w:val="21"/>
          <w:highlight w:val="none"/>
          <w:lang w:eastAsia="zh-CN"/>
        </w:rPr>
        <w:t>参选保证金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_Toc13833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1C617EF">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_Toc23586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八、</w:t>
      </w:r>
      <w:r>
        <w:rPr>
          <w:rFonts w:hint="eastAsia" w:ascii="宋体" w:hAnsi="宋体" w:eastAsia="宋体" w:cs="宋体"/>
          <w:sz w:val="21"/>
          <w:szCs w:val="21"/>
          <w:highlight w:val="none"/>
          <w:lang w:eastAsia="zh-CN"/>
        </w:rPr>
        <w:t>参选费用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_Toc23586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1BF97B8">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_Toc10616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九、开标与评标流程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_Toc10616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B021DBF">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_Toc18052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第</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章</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用户需求书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_Toc18052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292DE68">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_Toc31664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第四章</w:t>
      </w:r>
      <w:r>
        <w:rPr>
          <w:rFonts w:hint="eastAsia" w:ascii="宋体" w:hAnsi="宋体" w:eastAsia="宋体" w:cs="宋体"/>
          <w:sz w:val="21"/>
          <w:szCs w:val="21"/>
          <w:highlight w:val="none"/>
        </w:rPr>
        <w:t xml:space="preserve">  评标办法与评标标准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_Toc31664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810C75F">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_Toc3304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第五章</w:t>
      </w:r>
      <w:r>
        <w:rPr>
          <w:rFonts w:hint="eastAsia" w:ascii="宋体" w:hAnsi="宋体" w:eastAsia="宋体" w:cs="宋体"/>
          <w:sz w:val="21"/>
          <w:szCs w:val="21"/>
          <w:highlight w:val="none"/>
        </w:rPr>
        <w:t xml:space="preserve">  合同条款</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_Toc3304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4E31E53">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_Toc24818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zh-CN"/>
        </w:rPr>
        <w:t>第六章  质疑提出和处理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_Toc24818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ECB1B91">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_Toc18051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zh-CN"/>
        </w:rPr>
        <w:t>第七章  参选文件组成</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_Toc18051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3577E02">
      <w:pPr>
        <w:keepNext w:val="0"/>
        <w:keepLines w:val="0"/>
        <w:pageBreakBefore w:val="0"/>
        <w:widowControl w:val="0"/>
        <w:kinsoku/>
        <w:wordWrap/>
        <w:overflowPunct/>
        <w:topLinePunct w:val="0"/>
        <w:autoSpaceDE/>
        <w:autoSpaceDN/>
        <w:bidi w:val="0"/>
        <w:adjustRightInd/>
        <w:snapToGrid/>
        <w:spacing w:line="440" w:lineRule="exact"/>
        <w:ind w:right="-941" w:rightChars="-448"/>
        <w:textAlignment w:val="auto"/>
        <w:rPr>
          <w:rFonts w:hint="eastAsia" w:ascii="宋体" w:hAnsi="宋体" w:eastAsia="宋体" w:cs="宋体"/>
          <w:sz w:val="24"/>
          <w:highlight w:val="none"/>
        </w:rPr>
        <w:sectPr>
          <w:footerReference r:id="rId3" w:type="default"/>
          <w:pgSz w:w="11905" w:h="16838"/>
          <w:pgMar w:top="1440" w:right="1803" w:bottom="1440" w:left="1803" w:header="850" w:footer="992" w:gutter="0"/>
          <w:pgBorders>
            <w:top w:val="none" w:sz="0" w:space="0"/>
            <w:left w:val="none" w:sz="0" w:space="0"/>
            <w:bottom w:val="none" w:sz="0" w:space="0"/>
            <w:right w:val="none" w:sz="0" w:space="0"/>
          </w:pgBorders>
          <w:pgNumType w:start="1"/>
          <w:cols w:space="720" w:num="1"/>
          <w:rtlGutter w:val="0"/>
          <w:docGrid w:type="lines" w:linePitch="325" w:charSpace="0"/>
        </w:sectPr>
      </w:pPr>
      <w:r>
        <w:rPr>
          <w:rFonts w:hint="eastAsia" w:ascii="宋体" w:hAnsi="宋体" w:eastAsia="宋体" w:cs="宋体"/>
          <w:sz w:val="21"/>
          <w:szCs w:val="21"/>
          <w:highlight w:val="none"/>
        </w:rPr>
        <w:fldChar w:fldCharType="end"/>
      </w:r>
    </w:p>
    <w:p w14:paraId="225581EA">
      <w:pPr>
        <w:spacing w:line="440" w:lineRule="exact"/>
        <w:ind w:right="-260" w:rightChars="-124"/>
        <w:jc w:val="center"/>
        <w:outlineLvl w:val="0"/>
        <w:rPr>
          <w:rFonts w:hint="eastAsia" w:ascii="宋体" w:hAnsi="宋体" w:eastAsia="宋体" w:cs="宋体"/>
          <w:b/>
          <w:bCs/>
          <w:sz w:val="32"/>
          <w:szCs w:val="32"/>
          <w:highlight w:val="none"/>
          <w:lang w:eastAsia="zh-CN"/>
        </w:rPr>
      </w:pPr>
      <w:bookmarkStart w:id="0" w:name="_Toc16151"/>
      <w:bookmarkStart w:id="1" w:name="_Toc6432"/>
      <w:bookmarkStart w:id="2" w:name="_Toc25670"/>
      <w:bookmarkStart w:id="3" w:name="_Toc8150"/>
      <w:bookmarkStart w:id="4" w:name="_Toc31217"/>
      <w:r>
        <w:rPr>
          <w:rFonts w:hint="eastAsia" w:ascii="宋体" w:hAnsi="宋体" w:eastAsia="宋体" w:cs="宋体"/>
          <w:b/>
          <w:bCs/>
          <w:sz w:val="32"/>
          <w:szCs w:val="32"/>
          <w:highlight w:val="none"/>
        </w:rPr>
        <w:t xml:space="preserve">第一章 </w:t>
      </w:r>
      <w:bookmarkStart w:id="5" w:name="OLE_LINK5"/>
      <w:bookmarkStart w:id="6" w:name="OLE_LINK7"/>
      <w:r>
        <w:rPr>
          <w:rFonts w:hint="eastAsia" w:ascii="宋体" w:hAnsi="宋体" w:eastAsia="宋体" w:cs="宋体"/>
          <w:b/>
          <w:bCs/>
          <w:sz w:val="32"/>
          <w:szCs w:val="32"/>
          <w:highlight w:val="none"/>
        </w:rPr>
        <w:t xml:space="preserve"> </w:t>
      </w:r>
      <w:bookmarkEnd w:id="0"/>
      <w:bookmarkEnd w:id="1"/>
      <w:bookmarkEnd w:id="2"/>
      <w:bookmarkEnd w:id="3"/>
      <w:r>
        <w:rPr>
          <w:rFonts w:hint="eastAsia" w:ascii="宋体" w:hAnsi="宋体" w:eastAsia="宋体" w:cs="宋体"/>
          <w:b/>
          <w:bCs/>
          <w:sz w:val="32"/>
          <w:szCs w:val="32"/>
          <w:highlight w:val="none"/>
          <w:lang w:eastAsia="zh-CN"/>
        </w:rPr>
        <w:t>比选公告</w:t>
      </w:r>
      <w:bookmarkEnd w:id="4"/>
    </w:p>
    <w:p w14:paraId="7904814E">
      <w:pPr>
        <w:spacing w:line="440" w:lineRule="exact"/>
        <w:ind w:right="-260" w:rightChars="-124" w:firstLine="480" w:firstLineChars="200"/>
        <w:rPr>
          <w:rFonts w:hint="eastAsia" w:ascii="宋体" w:hAnsi="宋体" w:eastAsia="宋体" w:cs="宋体"/>
          <w:kern w:val="58"/>
          <w:sz w:val="24"/>
          <w:szCs w:val="24"/>
          <w:highlight w:val="none"/>
          <w:u w:val="single"/>
        </w:rPr>
      </w:pPr>
      <w:bookmarkStart w:id="7" w:name="OLE_LINK6"/>
    </w:p>
    <w:p w14:paraId="58E99C2D">
      <w:pPr>
        <w:spacing w:line="440" w:lineRule="exact"/>
        <w:ind w:right="-260" w:rightChars="-124" w:firstLine="420" w:firstLineChars="200"/>
        <w:rPr>
          <w:rFonts w:hint="eastAsia" w:ascii="宋体" w:hAnsi="宋体" w:eastAsia="宋体" w:cs="宋体"/>
          <w:color w:val="auto"/>
          <w:sz w:val="21"/>
          <w:szCs w:val="21"/>
          <w:highlight w:val="none"/>
        </w:rPr>
      </w:pPr>
      <w:bookmarkStart w:id="8" w:name="_Toc17556"/>
      <w:r>
        <w:rPr>
          <w:rFonts w:hint="eastAsia" w:ascii="宋体" w:hAnsi="宋体" w:eastAsia="宋体" w:cs="宋体"/>
          <w:color w:val="auto"/>
          <w:kern w:val="58"/>
          <w:sz w:val="21"/>
          <w:szCs w:val="21"/>
          <w:highlight w:val="none"/>
          <w:u w:val="single"/>
          <w:lang w:val="en-US" w:eastAsia="zh-CN"/>
        </w:rPr>
        <w:t>山东国盛项目管理有限公司</w:t>
      </w:r>
      <w:r>
        <w:rPr>
          <w:rFonts w:hint="eastAsia" w:ascii="宋体" w:hAnsi="宋体" w:eastAsia="宋体" w:cs="宋体"/>
          <w:color w:val="auto"/>
          <w:kern w:val="58"/>
          <w:sz w:val="21"/>
          <w:szCs w:val="21"/>
          <w:highlight w:val="none"/>
        </w:rPr>
        <w:t>受</w:t>
      </w:r>
      <w:r>
        <w:rPr>
          <w:rFonts w:hint="eastAsia" w:ascii="宋体" w:hAnsi="宋体" w:eastAsia="宋体" w:cs="宋体"/>
          <w:color w:val="auto"/>
          <w:kern w:val="58"/>
          <w:sz w:val="21"/>
          <w:szCs w:val="21"/>
          <w:highlight w:val="none"/>
          <w:u w:val="single"/>
          <w:lang w:eastAsia="zh-CN"/>
        </w:rPr>
        <w:t>南通轨道建设发展有限公司</w:t>
      </w:r>
      <w:r>
        <w:rPr>
          <w:rFonts w:hint="eastAsia" w:ascii="宋体" w:hAnsi="宋体" w:eastAsia="宋体" w:cs="宋体"/>
          <w:color w:val="auto"/>
          <w:kern w:val="58"/>
          <w:sz w:val="21"/>
          <w:szCs w:val="21"/>
          <w:highlight w:val="none"/>
        </w:rPr>
        <w:t>委托，依据相关法律、法规及规章的规定，现对</w:t>
      </w:r>
      <w:r>
        <w:rPr>
          <w:rFonts w:hint="eastAsia" w:ascii="宋体" w:hAnsi="宋体" w:eastAsia="宋体" w:cs="宋体"/>
          <w:color w:val="auto"/>
          <w:kern w:val="58"/>
          <w:sz w:val="21"/>
          <w:szCs w:val="21"/>
          <w:highlight w:val="none"/>
          <w:u w:val="single"/>
          <w:lang w:eastAsia="zh-CN"/>
        </w:rPr>
        <w:t>南通轨道1号线公安通信系统维保项目</w:t>
      </w:r>
      <w:r>
        <w:rPr>
          <w:rFonts w:hint="eastAsia" w:ascii="宋体" w:hAnsi="宋体" w:eastAsia="宋体" w:cs="宋体"/>
          <w:color w:val="auto"/>
          <w:kern w:val="58"/>
          <w:sz w:val="21"/>
          <w:szCs w:val="21"/>
          <w:highlight w:val="none"/>
        </w:rPr>
        <w:t>进行公开</w:t>
      </w:r>
      <w:r>
        <w:rPr>
          <w:rFonts w:hint="eastAsia" w:ascii="宋体" w:hAnsi="宋体" w:eastAsia="宋体" w:cs="宋体"/>
          <w:color w:val="auto"/>
          <w:kern w:val="58"/>
          <w:sz w:val="21"/>
          <w:szCs w:val="21"/>
          <w:highlight w:val="none"/>
          <w:lang w:val="en-US" w:eastAsia="zh-CN"/>
        </w:rPr>
        <w:t>比选</w:t>
      </w:r>
      <w:r>
        <w:rPr>
          <w:rFonts w:hint="eastAsia" w:ascii="宋体" w:hAnsi="宋体" w:eastAsia="宋体" w:cs="宋体"/>
          <w:color w:val="auto"/>
          <w:kern w:val="58"/>
          <w:sz w:val="21"/>
          <w:szCs w:val="21"/>
          <w:highlight w:val="none"/>
        </w:rPr>
        <w:t>。</w:t>
      </w:r>
    </w:p>
    <w:p w14:paraId="268E8C0C">
      <w:pPr>
        <w:spacing w:line="440" w:lineRule="exact"/>
        <w:ind w:right="-260" w:rightChars="-124" w:firstLine="422" w:firstLineChars="200"/>
        <w:outlineLvl w:val="1"/>
        <w:rPr>
          <w:rFonts w:hint="eastAsia" w:ascii="宋体" w:hAnsi="宋体" w:eastAsia="宋体" w:cs="宋体"/>
          <w:b/>
          <w:sz w:val="21"/>
          <w:szCs w:val="21"/>
          <w:highlight w:val="none"/>
        </w:rPr>
      </w:pPr>
      <w:bookmarkStart w:id="9" w:name="_Toc21037"/>
      <w:r>
        <w:rPr>
          <w:rFonts w:hint="eastAsia" w:ascii="宋体" w:hAnsi="宋体" w:eastAsia="宋体" w:cs="宋体"/>
          <w:b/>
          <w:sz w:val="21"/>
          <w:szCs w:val="21"/>
          <w:highlight w:val="none"/>
        </w:rPr>
        <w:t>一、项目基本情况</w:t>
      </w:r>
      <w:bookmarkEnd w:id="8"/>
      <w:bookmarkEnd w:id="9"/>
    </w:p>
    <w:p w14:paraId="236EC802">
      <w:pPr>
        <w:spacing w:line="440" w:lineRule="exact"/>
        <w:ind w:right="-260" w:rightChars="-124"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lang w:eastAsia="zh-CN"/>
        </w:rPr>
        <w:t>南通轨道1号线公安通信系统维保项目</w:t>
      </w:r>
    </w:p>
    <w:p w14:paraId="0C357CB1">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标段划分：</w:t>
      </w:r>
      <w:r>
        <w:rPr>
          <w:rFonts w:hint="eastAsia" w:ascii="宋体" w:hAnsi="宋体" w:eastAsia="宋体" w:cs="宋体"/>
          <w:sz w:val="21"/>
          <w:szCs w:val="21"/>
          <w:highlight w:val="none"/>
          <w:lang w:eastAsia="zh-CN"/>
        </w:rPr>
        <w:t>不划分</w:t>
      </w:r>
      <w:r>
        <w:rPr>
          <w:rFonts w:hint="eastAsia" w:ascii="宋体" w:hAnsi="宋体" w:eastAsia="宋体" w:cs="宋体"/>
          <w:sz w:val="21"/>
          <w:szCs w:val="21"/>
          <w:highlight w:val="none"/>
        </w:rPr>
        <w:t>标段</w:t>
      </w:r>
    </w:p>
    <w:p w14:paraId="52CC9F8A">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val="en-US" w:eastAsia="zh-CN"/>
        </w:rPr>
        <w:t>（含税）</w:t>
      </w:r>
      <w:r>
        <w:rPr>
          <w:rFonts w:hint="eastAsia" w:ascii="宋体" w:hAnsi="宋体" w:eastAsia="宋体" w:cs="宋体"/>
          <w:sz w:val="21"/>
          <w:szCs w:val="21"/>
          <w:highlight w:val="none"/>
        </w:rPr>
        <w:t>：</w:t>
      </w:r>
    </w:p>
    <w:p w14:paraId="43D448DF">
      <w:pPr>
        <w:spacing w:line="440" w:lineRule="exact"/>
        <w:ind w:right="-260" w:rightChars="-124"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①维保费用：32万元/年，合计64万元，不满1年的按月折算；</w:t>
      </w:r>
    </w:p>
    <w:p w14:paraId="514E09EA">
      <w:pPr>
        <w:spacing w:line="440" w:lineRule="exact"/>
        <w:ind w:right="-260" w:rightChars="-124" w:firstLine="420" w:firstLineChars="200"/>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②备品备件费用：每年合同期内备件采购费用累计不超过10万元的，由比选人审核后实报实销；每年合同期内备件采购费用累计超过10万元的部分，由参选人自行承担。</w:t>
      </w:r>
    </w:p>
    <w:p w14:paraId="71D62A8F">
      <w:pPr>
        <w:spacing w:line="440" w:lineRule="exact"/>
        <w:ind w:right="-260" w:rightChars="-124"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服务期限：合同期限为2年。参选人按年度报价，中选后签1年合同，价格锁定，首年服务评价合格后按中选价格续签下一年合同。</w:t>
      </w:r>
    </w:p>
    <w:p w14:paraId="545FCDF6">
      <w:pPr>
        <w:spacing w:line="440" w:lineRule="exact"/>
        <w:ind w:right="-260" w:rightChars="-124"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比选范围：</w:t>
      </w:r>
      <w:bookmarkStart w:id="10" w:name="OLE_LINK1"/>
      <w:r>
        <w:rPr>
          <w:rFonts w:hint="eastAsia" w:ascii="宋体" w:hAnsi="宋体" w:eastAsia="宋体" w:cs="宋体"/>
          <w:sz w:val="21"/>
          <w:szCs w:val="21"/>
          <w:highlight w:val="none"/>
          <w:lang w:val="en-US" w:eastAsia="zh-CN"/>
        </w:rPr>
        <w:t>正线28座车站、1座控制中心及区间隧道所属的南通轨道1号线公安通信系统设备设施维保</w:t>
      </w:r>
      <w:r>
        <w:rPr>
          <w:rFonts w:hint="eastAsia" w:ascii="宋体" w:hAnsi="宋体" w:eastAsia="宋体" w:cs="宋体"/>
          <w:sz w:val="21"/>
          <w:szCs w:val="21"/>
          <w:highlight w:val="none"/>
        </w:rPr>
        <w:t>。</w:t>
      </w:r>
      <w:bookmarkEnd w:id="10"/>
      <w:r>
        <w:rPr>
          <w:rFonts w:hint="eastAsia" w:ascii="宋体" w:hAnsi="宋体" w:eastAsia="宋体" w:cs="宋体"/>
          <w:sz w:val="21"/>
          <w:szCs w:val="21"/>
          <w:highlight w:val="none"/>
          <w:lang w:val="en-US" w:eastAsia="zh-CN"/>
        </w:rPr>
        <w:t>具体内容详见《用户需求书》。</w:t>
      </w:r>
    </w:p>
    <w:p w14:paraId="007DDF87">
      <w:pPr>
        <w:spacing w:line="440" w:lineRule="exact"/>
        <w:ind w:right="-260" w:rightChars="-124" w:firstLine="422" w:firstLineChars="200"/>
        <w:outlineLvl w:val="1"/>
        <w:rPr>
          <w:rFonts w:hint="eastAsia" w:ascii="宋体" w:hAnsi="宋体" w:eastAsia="宋体" w:cs="宋体"/>
          <w:b/>
          <w:sz w:val="21"/>
          <w:szCs w:val="21"/>
          <w:highlight w:val="none"/>
        </w:rPr>
      </w:pPr>
      <w:bookmarkStart w:id="11" w:name="_Toc27384"/>
      <w:bookmarkStart w:id="12" w:name="_Toc30000"/>
      <w:r>
        <w:rPr>
          <w:rFonts w:hint="eastAsia" w:ascii="宋体" w:hAnsi="宋体" w:eastAsia="宋体" w:cs="宋体"/>
          <w:b/>
          <w:sz w:val="21"/>
          <w:szCs w:val="21"/>
          <w:highlight w:val="none"/>
        </w:rPr>
        <w:t>二、</w:t>
      </w:r>
      <w:r>
        <w:rPr>
          <w:rFonts w:hint="eastAsia" w:ascii="宋体" w:hAnsi="宋体" w:eastAsia="宋体" w:cs="宋体"/>
          <w:b/>
          <w:sz w:val="21"/>
          <w:szCs w:val="21"/>
          <w:highlight w:val="none"/>
          <w:lang w:eastAsia="zh-CN"/>
        </w:rPr>
        <w:t>参选人</w:t>
      </w:r>
      <w:r>
        <w:rPr>
          <w:rFonts w:hint="eastAsia" w:ascii="宋体" w:hAnsi="宋体" w:eastAsia="宋体" w:cs="宋体"/>
          <w:b/>
          <w:sz w:val="21"/>
          <w:szCs w:val="21"/>
          <w:highlight w:val="none"/>
        </w:rPr>
        <w:t>的资格要求</w:t>
      </w:r>
      <w:bookmarkEnd w:id="11"/>
      <w:bookmarkEnd w:id="12"/>
    </w:p>
    <w:p w14:paraId="1D4336EE">
      <w:pPr>
        <w:spacing w:line="440" w:lineRule="exact"/>
        <w:ind w:right="-260" w:rightChars="-124"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lang w:eastAsia="zh-CN"/>
        </w:rPr>
        <w:t>参选人</w:t>
      </w:r>
      <w:r>
        <w:rPr>
          <w:rFonts w:hint="eastAsia" w:ascii="宋体" w:hAnsi="宋体" w:eastAsia="宋体" w:cs="宋体"/>
          <w:b/>
          <w:bCs/>
          <w:sz w:val="21"/>
          <w:szCs w:val="21"/>
          <w:highlight w:val="none"/>
        </w:rPr>
        <w:t>应具备的资质条件要求：</w:t>
      </w:r>
    </w:p>
    <w:p w14:paraId="3A732E24">
      <w:pPr>
        <w:spacing w:line="440" w:lineRule="exact"/>
        <w:ind w:right="-260" w:rightChars="-124"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1.1参选人须是在中华人民共和国境内注册且具有独立法人资格的企事业单位。</w:t>
      </w:r>
    </w:p>
    <w:p w14:paraId="3F821C51">
      <w:pPr>
        <w:spacing w:line="440" w:lineRule="exact"/>
        <w:ind w:right="-260" w:rightChars="-124"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1.2自2021年1月1日至今，参选人至少须具有1项城市轨道交通弱电相关设备（至少包含通信、信号、综合监控、火灾自动报警、自动售检票中的一项）安装、调试或维护项目业绩。</w:t>
      </w:r>
    </w:p>
    <w:p w14:paraId="72BF2D52">
      <w:pPr>
        <w:spacing w:line="440" w:lineRule="exact"/>
        <w:ind w:right="-260" w:rightChars="-124"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1.3与比选人存在利害关系可能影响采购公正性的法人、其他组织或者个人，不得参加本项目比选；单位负责人为同一人或者存在控股、管理关系的不同单位，不得参加本项目比选。</w:t>
      </w:r>
    </w:p>
    <w:p w14:paraId="176440E8">
      <w:pPr>
        <w:spacing w:line="440" w:lineRule="exact"/>
        <w:ind w:right="-260" w:rightChars="-124"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1.4参选人没有处于被责令停业，或投标资格被暂停或取消，或财产被接管、冻结、破产状态。</w:t>
      </w:r>
    </w:p>
    <w:p w14:paraId="26584B0C">
      <w:pPr>
        <w:spacing w:line="440" w:lineRule="exact"/>
        <w:ind w:right="-260" w:rightChars="-124"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1.5根据《关于在公共资源交易领域的招标投标活动中建立对失信被执行人联合惩戒的实施意见》（苏信用办[2018]23号文），参选人未被“信用中国”列入失信被执行人名单。</w:t>
      </w:r>
    </w:p>
    <w:p w14:paraId="30C60A01">
      <w:pPr>
        <w:spacing w:line="440" w:lineRule="exact"/>
        <w:ind w:right="-260" w:rightChars="-124"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1.6参选人未被国家企业信用信息公示系统列入严重违法失信企业名单。</w:t>
      </w:r>
    </w:p>
    <w:p w14:paraId="5741478C">
      <w:pPr>
        <w:spacing w:line="440" w:lineRule="exact"/>
        <w:ind w:right="-260" w:rightChars="-124"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2、项目负责人要求：</w:t>
      </w:r>
    </w:p>
    <w:p w14:paraId="409C84A0">
      <w:pPr>
        <w:spacing w:line="440" w:lineRule="exact"/>
        <w:ind w:right="-260" w:rightChars="-124"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项目负责人为参选人正式员工，大专及以上学历，年龄40周岁以下，具有3年及以上城市轨道交通弱电相关设备(至少包含通信、信号、综合监控、火灾自动报警、自动售检票中的一项)安装</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调试或维护工作经验，具备低压电工作业证、高处作业操作证。</w:t>
      </w:r>
    </w:p>
    <w:p w14:paraId="2B9EAB89">
      <w:pPr>
        <w:spacing w:line="440" w:lineRule="exact"/>
        <w:ind w:right="-260" w:rightChars="-124"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本项目</w:t>
      </w:r>
      <w:r>
        <w:rPr>
          <w:rFonts w:hint="eastAsia" w:ascii="宋体" w:hAnsi="宋体" w:eastAsia="宋体" w:cs="宋体"/>
          <w:b/>
          <w:bCs/>
          <w:sz w:val="21"/>
          <w:szCs w:val="21"/>
          <w:highlight w:val="none"/>
          <w:lang w:val="en-US" w:eastAsia="zh-CN"/>
        </w:rPr>
        <w:t>不</w:t>
      </w:r>
      <w:r>
        <w:rPr>
          <w:rFonts w:hint="eastAsia" w:ascii="宋体" w:hAnsi="宋体" w:eastAsia="宋体" w:cs="宋体"/>
          <w:b/>
          <w:bCs/>
          <w:sz w:val="21"/>
          <w:szCs w:val="21"/>
          <w:highlight w:val="none"/>
        </w:rPr>
        <w:t>接受联合体</w:t>
      </w:r>
      <w:r>
        <w:rPr>
          <w:rFonts w:hint="eastAsia" w:ascii="宋体" w:hAnsi="宋体" w:eastAsia="宋体" w:cs="宋体"/>
          <w:b/>
          <w:bCs/>
          <w:sz w:val="21"/>
          <w:szCs w:val="21"/>
          <w:highlight w:val="none"/>
          <w:lang w:eastAsia="zh-CN"/>
        </w:rPr>
        <w:t>参选</w:t>
      </w:r>
      <w:r>
        <w:rPr>
          <w:rFonts w:hint="eastAsia" w:ascii="宋体" w:hAnsi="宋体" w:eastAsia="宋体" w:cs="宋体"/>
          <w:b/>
          <w:bCs/>
          <w:sz w:val="21"/>
          <w:szCs w:val="21"/>
          <w:highlight w:val="none"/>
        </w:rPr>
        <w:t>。</w:t>
      </w:r>
    </w:p>
    <w:p w14:paraId="075D8FF0">
      <w:pPr>
        <w:spacing w:line="440" w:lineRule="exact"/>
        <w:ind w:right="-260" w:rightChars="-124" w:firstLine="422" w:firstLineChars="200"/>
        <w:outlineLvl w:val="1"/>
        <w:rPr>
          <w:rFonts w:hint="eastAsia" w:ascii="宋体" w:hAnsi="宋体" w:eastAsia="宋体" w:cs="宋体"/>
          <w:b/>
          <w:sz w:val="21"/>
          <w:szCs w:val="21"/>
          <w:highlight w:val="none"/>
          <w:lang w:eastAsia="zh-CN"/>
        </w:rPr>
      </w:pPr>
      <w:bookmarkStart w:id="13" w:name="_Toc21654"/>
      <w:bookmarkStart w:id="14" w:name="_Toc113"/>
      <w:r>
        <w:rPr>
          <w:rFonts w:hint="eastAsia" w:ascii="宋体" w:hAnsi="宋体" w:eastAsia="宋体" w:cs="宋体"/>
          <w:b/>
          <w:sz w:val="21"/>
          <w:szCs w:val="21"/>
          <w:highlight w:val="none"/>
        </w:rPr>
        <w:t>三、获取</w:t>
      </w:r>
      <w:bookmarkEnd w:id="13"/>
      <w:r>
        <w:rPr>
          <w:rFonts w:hint="eastAsia" w:ascii="宋体" w:hAnsi="宋体" w:eastAsia="宋体" w:cs="宋体"/>
          <w:b/>
          <w:sz w:val="21"/>
          <w:szCs w:val="21"/>
          <w:highlight w:val="none"/>
          <w:lang w:eastAsia="zh-CN"/>
        </w:rPr>
        <w:t>比选文件</w:t>
      </w:r>
      <w:bookmarkEnd w:id="14"/>
    </w:p>
    <w:p w14:paraId="6B5624F7">
      <w:pPr>
        <w:spacing w:line="440" w:lineRule="exact"/>
        <w:ind w:right="-260" w:rightChars="-124" w:firstLine="420" w:firstLineChars="200"/>
        <w:rPr>
          <w:rFonts w:hint="eastAsia" w:ascii="宋体" w:hAnsi="宋体" w:eastAsia="宋体" w:cs="宋体"/>
          <w:sz w:val="21"/>
          <w:szCs w:val="21"/>
          <w:highlight w:val="none"/>
          <w:lang w:val="en-US" w:eastAsia="zh-CN"/>
        </w:rPr>
      </w:pPr>
      <w:bookmarkStart w:id="15" w:name="_Toc10576"/>
      <w:r>
        <w:rPr>
          <w:rFonts w:hint="eastAsia" w:ascii="宋体" w:hAnsi="宋体" w:eastAsia="宋体" w:cs="宋体"/>
          <w:sz w:val="21"/>
          <w:szCs w:val="21"/>
          <w:highlight w:val="none"/>
          <w:lang w:val="en-US" w:eastAsia="zh-CN"/>
        </w:rPr>
        <w:t>本次公告在南通轨道交通集团有限公司官网（https://www.ntrailway.com/）（发布公告的媒介名称）上发布。有意参加本项目比选的单位，请在南通轨道交通集团有限公司官网直接下载获取电子比选文件。</w:t>
      </w:r>
    </w:p>
    <w:p w14:paraId="29C03EF8">
      <w:pPr>
        <w:spacing w:line="440" w:lineRule="exact"/>
        <w:ind w:right="-260" w:rightChars="-124" w:firstLine="422" w:firstLineChars="200"/>
        <w:outlineLvl w:val="1"/>
        <w:rPr>
          <w:rFonts w:hint="eastAsia" w:ascii="宋体" w:hAnsi="宋体" w:eastAsia="宋体" w:cs="宋体"/>
          <w:b/>
          <w:sz w:val="21"/>
          <w:szCs w:val="21"/>
          <w:highlight w:val="none"/>
        </w:rPr>
      </w:pPr>
      <w:bookmarkStart w:id="16" w:name="_Toc23423"/>
      <w:r>
        <w:rPr>
          <w:rFonts w:hint="eastAsia" w:ascii="宋体" w:hAnsi="宋体" w:eastAsia="宋体" w:cs="宋体"/>
          <w:b/>
          <w:sz w:val="21"/>
          <w:szCs w:val="21"/>
          <w:highlight w:val="none"/>
        </w:rPr>
        <w:t>四、提交</w:t>
      </w:r>
      <w:r>
        <w:rPr>
          <w:rFonts w:hint="eastAsia" w:ascii="宋体" w:hAnsi="宋体" w:eastAsia="宋体" w:cs="宋体"/>
          <w:b/>
          <w:sz w:val="21"/>
          <w:szCs w:val="21"/>
          <w:highlight w:val="none"/>
          <w:lang w:eastAsia="zh-CN"/>
        </w:rPr>
        <w:t>参选文件</w:t>
      </w:r>
      <w:r>
        <w:rPr>
          <w:rFonts w:hint="eastAsia" w:ascii="宋体" w:hAnsi="宋体" w:eastAsia="宋体" w:cs="宋体"/>
          <w:b/>
          <w:sz w:val="21"/>
          <w:szCs w:val="21"/>
          <w:highlight w:val="none"/>
        </w:rPr>
        <w:t>截止时间、</w:t>
      </w:r>
      <w:r>
        <w:rPr>
          <w:rFonts w:hint="eastAsia" w:ascii="宋体" w:hAnsi="宋体" w:eastAsia="宋体" w:cs="宋体"/>
          <w:b/>
          <w:sz w:val="21"/>
          <w:szCs w:val="21"/>
          <w:highlight w:val="none"/>
          <w:lang w:eastAsia="zh-CN"/>
        </w:rPr>
        <w:t>比选时间</w:t>
      </w:r>
      <w:r>
        <w:rPr>
          <w:rFonts w:hint="eastAsia" w:ascii="宋体" w:hAnsi="宋体" w:eastAsia="宋体" w:cs="宋体"/>
          <w:b/>
          <w:sz w:val="21"/>
          <w:szCs w:val="21"/>
          <w:highlight w:val="none"/>
        </w:rPr>
        <w:t>和地点</w:t>
      </w:r>
      <w:bookmarkEnd w:id="15"/>
      <w:bookmarkEnd w:id="16"/>
    </w:p>
    <w:p w14:paraId="5CF96E78">
      <w:pPr>
        <w:spacing w:line="440" w:lineRule="exact"/>
        <w:ind w:right="-260" w:rightChars="-124"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参选</w:t>
      </w:r>
      <w:r>
        <w:rPr>
          <w:rFonts w:hint="eastAsia" w:ascii="宋体" w:hAnsi="宋体" w:eastAsia="宋体" w:cs="宋体"/>
          <w:sz w:val="21"/>
          <w:szCs w:val="21"/>
          <w:highlight w:val="none"/>
          <w:lang w:eastAsia="zh-CN"/>
        </w:rPr>
        <w:t>文件递交起止时间：202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eastAsia="zh-CN"/>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eastAsia="zh-CN"/>
        </w:rPr>
        <w:t>月</w:t>
      </w:r>
      <w:r>
        <w:rPr>
          <w:rFonts w:hint="eastAsia" w:ascii="宋体" w:hAnsi="宋体" w:cs="宋体"/>
          <w:sz w:val="21"/>
          <w:szCs w:val="21"/>
          <w:highlight w:val="none"/>
          <w:lang w:val="en-US" w:eastAsia="zh-CN"/>
        </w:rPr>
        <w:t>14</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lang w:eastAsia="zh-CN"/>
        </w:rPr>
        <w:t>时</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0分</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lang w:eastAsia="zh-CN"/>
        </w:rPr>
        <w:t>时</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lang w:eastAsia="zh-CN"/>
        </w:rPr>
        <w:t>0分（北京时间，下同）</w:t>
      </w:r>
    </w:p>
    <w:p w14:paraId="7DD9925A">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参选截止时间</w:t>
      </w:r>
      <w:r>
        <w:rPr>
          <w:rFonts w:hint="eastAsia" w:ascii="宋体" w:hAnsi="宋体" w:eastAsia="宋体" w:cs="宋体"/>
          <w:sz w:val="21"/>
          <w:szCs w:val="21"/>
          <w:highlight w:val="none"/>
        </w:rPr>
        <w:t>为：</w:t>
      </w:r>
      <w:r>
        <w:rPr>
          <w:rFonts w:hint="eastAsia" w:ascii="宋体" w:hAnsi="宋体" w:eastAsia="宋体" w:cs="宋体"/>
          <w:sz w:val="21"/>
          <w:szCs w:val="21"/>
          <w:highlight w:val="none"/>
          <w:lang w:eastAsia="zh-CN"/>
        </w:rPr>
        <w:t>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eastAsia="zh-CN"/>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eastAsia="zh-CN"/>
        </w:rPr>
        <w:t>月</w:t>
      </w:r>
      <w:r>
        <w:rPr>
          <w:rFonts w:hint="eastAsia" w:ascii="宋体" w:hAnsi="宋体" w:cs="宋体"/>
          <w:sz w:val="21"/>
          <w:szCs w:val="21"/>
          <w:highlight w:val="none"/>
          <w:lang w:val="en-US" w:eastAsia="zh-CN"/>
        </w:rPr>
        <w:t>14</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分</w:t>
      </w:r>
    </w:p>
    <w:p w14:paraId="245FE041">
      <w:pPr>
        <w:spacing w:line="440" w:lineRule="exact"/>
        <w:ind w:right="-260" w:rightChars="-124"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比选时间</w:t>
      </w:r>
      <w:r>
        <w:rPr>
          <w:rFonts w:hint="eastAsia" w:ascii="宋体" w:hAnsi="宋体" w:eastAsia="宋体" w:cs="宋体"/>
          <w:sz w:val="21"/>
          <w:szCs w:val="21"/>
          <w:highlight w:val="none"/>
        </w:rPr>
        <w:t>：同</w:t>
      </w:r>
      <w:r>
        <w:rPr>
          <w:rFonts w:hint="eastAsia" w:ascii="宋体" w:hAnsi="宋体" w:eastAsia="宋体" w:cs="宋体"/>
          <w:sz w:val="21"/>
          <w:szCs w:val="21"/>
          <w:highlight w:val="none"/>
          <w:lang w:eastAsia="zh-CN"/>
        </w:rPr>
        <w:t>参选截止时间</w:t>
      </w:r>
    </w:p>
    <w:p w14:paraId="7353A397">
      <w:pPr>
        <w:spacing w:line="440" w:lineRule="exact"/>
        <w:ind w:right="-260" w:rightChars="-124" w:firstLine="420" w:firstLineChars="200"/>
        <w:rPr>
          <w:rFonts w:hint="eastAsia" w:ascii="宋体" w:hAnsi="宋体" w:eastAsia="宋体" w:cs="宋体"/>
          <w:sz w:val="21"/>
          <w:szCs w:val="21"/>
          <w:highlight w:val="none"/>
          <w:lang w:val="en-US"/>
        </w:rPr>
      </w:pPr>
      <w:bookmarkStart w:id="17" w:name="_Toc11233"/>
      <w:r>
        <w:rPr>
          <w:rFonts w:hint="eastAsia" w:ascii="宋体" w:hAnsi="宋体" w:eastAsia="宋体" w:cs="宋体"/>
          <w:sz w:val="21"/>
          <w:szCs w:val="21"/>
          <w:highlight w:val="none"/>
          <w:lang w:eastAsia="zh-CN"/>
        </w:rPr>
        <w:t>比选地点</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rPr>
        <w:t>南通市崇川区崇川路158号</w:t>
      </w:r>
      <w:r>
        <w:rPr>
          <w:rFonts w:hint="eastAsia" w:ascii="宋体" w:hAnsi="宋体" w:eastAsia="宋体" w:cs="宋体"/>
          <w:color w:val="auto"/>
          <w:sz w:val="21"/>
          <w:szCs w:val="21"/>
          <w:highlight w:val="none"/>
          <w:lang w:val="en-US" w:eastAsia="zh-CN"/>
        </w:rPr>
        <w:t>15楼1506开标室</w:t>
      </w:r>
    </w:p>
    <w:p w14:paraId="6361A928">
      <w:pPr>
        <w:spacing w:line="440" w:lineRule="exact"/>
        <w:ind w:right="-260" w:rightChars="-124" w:firstLine="422" w:firstLineChars="200"/>
        <w:outlineLvl w:val="1"/>
        <w:rPr>
          <w:rFonts w:hint="eastAsia" w:ascii="宋体" w:hAnsi="宋体" w:eastAsia="宋体" w:cs="宋体"/>
          <w:b/>
          <w:sz w:val="21"/>
          <w:szCs w:val="21"/>
          <w:highlight w:val="none"/>
        </w:rPr>
      </w:pPr>
      <w:bookmarkStart w:id="18" w:name="_Toc1749"/>
      <w:r>
        <w:rPr>
          <w:rFonts w:hint="eastAsia" w:ascii="宋体" w:hAnsi="宋体" w:eastAsia="宋体" w:cs="宋体"/>
          <w:b/>
          <w:sz w:val="21"/>
          <w:szCs w:val="21"/>
          <w:highlight w:val="none"/>
          <w:lang w:val="en-US" w:eastAsia="zh-CN"/>
        </w:rPr>
        <w:t>五</w:t>
      </w:r>
      <w:r>
        <w:rPr>
          <w:rFonts w:hint="eastAsia" w:ascii="宋体" w:hAnsi="宋体" w:eastAsia="宋体" w:cs="宋体"/>
          <w:b/>
          <w:sz w:val="21"/>
          <w:szCs w:val="21"/>
          <w:highlight w:val="none"/>
        </w:rPr>
        <w:t>、对本次</w:t>
      </w:r>
      <w:r>
        <w:rPr>
          <w:rFonts w:hint="eastAsia" w:ascii="宋体" w:hAnsi="宋体" w:eastAsia="宋体" w:cs="宋体"/>
          <w:b/>
          <w:sz w:val="21"/>
          <w:szCs w:val="21"/>
          <w:highlight w:val="none"/>
          <w:lang w:eastAsia="zh-CN"/>
        </w:rPr>
        <w:t>比选</w:t>
      </w:r>
      <w:r>
        <w:rPr>
          <w:rFonts w:hint="eastAsia" w:ascii="宋体" w:hAnsi="宋体" w:eastAsia="宋体" w:cs="宋体"/>
          <w:b/>
          <w:sz w:val="21"/>
          <w:szCs w:val="21"/>
          <w:highlight w:val="none"/>
        </w:rPr>
        <w:t>提出询问，请按以下方式联系</w:t>
      </w:r>
      <w:bookmarkEnd w:id="17"/>
      <w:bookmarkEnd w:id="18"/>
    </w:p>
    <w:p w14:paraId="3E88D0BD">
      <w:pPr>
        <w:spacing w:line="440" w:lineRule="exact"/>
        <w:ind w:right="-260" w:rightChars="-124" w:firstLine="420" w:firstLineChars="200"/>
        <w:rPr>
          <w:rFonts w:hint="eastAsia" w:ascii="宋体" w:hAnsi="宋体" w:eastAsia="宋体" w:cs="宋体"/>
          <w:sz w:val="21"/>
          <w:szCs w:val="21"/>
          <w:highlight w:val="none"/>
        </w:rPr>
      </w:pPr>
      <w:bookmarkStart w:id="19" w:name="_Toc11164"/>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信息</w:t>
      </w:r>
      <w:bookmarkEnd w:id="19"/>
    </w:p>
    <w:p w14:paraId="4D8B90AE">
      <w:pPr>
        <w:spacing w:line="440" w:lineRule="exact"/>
        <w:ind w:right="-941" w:rightChars="-448"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南通轨道建设发展有限公司</w:t>
      </w:r>
      <w:r>
        <w:rPr>
          <w:rFonts w:hint="eastAsia" w:ascii="宋体" w:hAnsi="宋体" w:eastAsia="宋体" w:cs="宋体"/>
          <w:color w:val="auto"/>
          <w:sz w:val="21"/>
          <w:szCs w:val="21"/>
          <w:highlight w:val="none"/>
        </w:rPr>
        <w:t xml:space="preserve"> </w:t>
      </w:r>
    </w:p>
    <w:p w14:paraId="4F689ADF">
      <w:pPr>
        <w:spacing w:line="440" w:lineRule="exact"/>
        <w:ind w:right="-941" w:rightChars="-448" w:firstLine="735" w:firstLineChars="3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址：南通市崇川区崇川路158号</w:t>
      </w:r>
      <w:r>
        <w:rPr>
          <w:rFonts w:hint="eastAsia" w:ascii="宋体" w:hAnsi="宋体" w:eastAsia="宋体" w:cs="宋体"/>
          <w:color w:val="auto"/>
          <w:sz w:val="21"/>
          <w:szCs w:val="21"/>
          <w:highlight w:val="none"/>
          <w:lang w:val="en-US" w:eastAsia="zh-CN"/>
        </w:rPr>
        <w:t>19楼</w:t>
      </w:r>
    </w:p>
    <w:p w14:paraId="035304C8">
      <w:pPr>
        <w:spacing w:line="440" w:lineRule="exact"/>
        <w:ind w:right="-941" w:rightChars="-448" w:firstLine="735" w:firstLineChars="350"/>
        <w:rPr>
          <w:rFonts w:hint="eastAsia" w:ascii="宋体" w:hAnsi="宋体" w:eastAsia="宋体" w:cs="宋体"/>
          <w:color w:val="auto"/>
          <w:sz w:val="21"/>
          <w:szCs w:val="21"/>
          <w:highlight w:val="none"/>
          <w:lang w:val="en-US" w:eastAsia="zh-CN"/>
        </w:rPr>
      </w:pPr>
      <w:bookmarkStart w:id="20" w:name="_Toc24651"/>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韩先生，0513-80813981</w:t>
      </w:r>
    </w:p>
    <w:p w14:paraId="5F11E9E6">
      <w:pPr>
        <w:spacing w:line="440" w:lineRule="exact"/>
        <w:ind w:right="-941" w:rightChars="-448"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招标代理机构信息</w:t>
      </w:r>
      <w:bookmarkEnd w:id="20"/>
    </w:p>
    <w:p w14:paraId="3578271E">
      <w:pPr>
        <w:spacing w:line="440" w:lineRule="exact"/>
        <w:ind w:right="-941" w:rightChars="-448"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val="en-US" w:eastAsia="zh-CN"/>
        </w:rPr>
        <w:t>山东国盛项目管理有限公司</w:t>
      </w:r>
      <w:r>
        <w:rPr>
          <w:rFonts w:hint="eastAsia" w:ascii="宋体" w:hAnsi="宋体" w:eastAsia="宋体" w:cs="宋体"/>
          <w:color w:val="auto"/>
          <w:sz w:val="21"/>
          <w:szCs w:val="21"/>
          <w:highlight w:val="none"/>
        </w:rPr>
        <w:t xml:space="preserve"> </w:t>
      </w:r>
    </w:p>
    <w:p w14:paraId="186177C3">
      <w:pPr>
        <w:spacing w:line="440" w:lineRule="exact"/>
        <w:ind w:right="-941" w:rightChars="-448" w:firstLine="735" w:firstLineChars="35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联系方式：李先生，</w:t>
      </w:r>
      <w:r>
        <w:rPr>
          <w:rFonts w:hint="eastAsia" w:ascii="宋体" w:hAnsi="宋体" w:eastAsia="宋体" w:cs="宋体"/>
          <w:color w:val="auto"/>
          <w:sz w:val="21"/>
          <w:szCs w:val="21"/>
          <w:highlight w:val="none"/>
          <w:lang w:val="en-US" w:eastAsia="zh-CN"/>
        </w:rPr>
        <w:t>15151361032</w:t>
      </w:r>
    </w:p>
    <w:p w14:paraId="78709ADF">
      <w:pPr>
        <w:spacing w:line="440" w:lineRule="exact"/>
        <w:ind w:right="-260" w:rightChars="-124" w:firstLine="422" w:firstLineChars="200"/>
        <w:outlineLvl w:val="1"/>
        <w:rPr>
          <w:rFonts w:hint="eastAsia" w:ascii="宋体" w:hAnsi="宋体" w:eastAsia="宋体" w:cs="宋体"/>
          <w:b/>
          <w:sz w:val="21"/>
          <w:szCs w:val="21"/>
          <w:highlight w:val="none"/>
          <w:lang w:val="en-US" w:eastAsia="zh-CN"/>
        </w:rPr>
      </w:pPr>
      <w:bookmarkStart w:id="21" w:name="_Toc30340"/>
      <w:r>
        <w:rPr>
          <w:rFonts w:hint="eastAsia" w:ascii="宋体" w:hAnsi="宋体" w:eastAsia="宋体" w:cs="宋体"/>
          <w:b/>
          <w:sz w:val="21"/>
          <w:szCs w:val="21"/>
          <w:highlight w:val="none"/>
          <w:lang w:val="en-US" w:eastAsia="zh-CN"/>
        </w:rPr>
        <w:t>六、异议处理方式</w:t>
      </w:r>
      <w:bookmarkEnd w:id="21"/>
    </w:p>
    <w:p w14:paraId="1A0E666A">
      <w:pPr>
        <w:spacing w:line="440" w:lineRule="exact"/>
        <w:ind w:right="-260" w:rightChars="-124"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参选人或者其他利害关系人对比选文件有异议的，应当向比选人提出。受理异议人：周先生，电话：0513-69900161（请在工作时间上午9：00－11：30，下午13：30－17：30联系）；通信地址：南通市崇川区崇川路158号19楼。</w:t>
      </w:r>
    </w:p>
    <w:p w14:paraId="6F3D77DC">
      <w:pPr>
        <w:spacing w:line="440" w:lineRule="exact"/>
        <w:ind w:right="-260" w:rightChars="-124"/>
        <w:jc w:val="right"/>
        <w:rPr>
          <w:rFonts w:hint="eastAsia" w:ascii="宋体" w:hAnsi="宋体" w:eastAsia="宋体" w:cs="宋体"/>
          <w:bCs/>
          <w:sz w:val="24"/>
          <w:highlight w:val="none"/>
        </w:rPr>
      </w:pPr>
    </w:p>
    <w:p w14:paraId="1E80E722">
      <w:pPr>
        <w:spacing w:line="440" w:lineRule="exact"/>
        <w:ind w:right="-260" w:rightChars="-124"/>
        <w:jc w:val="both"/>
        <w:rPr>
          <w:rFonts w:hint="eastAsia" w:ascii="宋体" w:hAnsi="宋体" w:eastAsia="宋体" w:cs="宋体"/>
          <w:bCs/>
          <w:sz w:val="24"/>
          <w:highlight w:val="none"/>
        </w:rPr>
      </w:pPr>
    </w:p>
    <w:p w14:paraId="3AA63D16">
      <w:pPr>
        <w:spacing w:line="440" w:lineRule="exact"/>
        <w:ind w:right="-260" w:rightChars="-124"/>
        <w:jc w:val="right"/>
        <w:rPr>
          <w:rFonts w:hint="eastAsia" w:ascii="宋体" w:hAnsi="宋体" w:eastAsia="宋体" w:cs="宋体"/>
          <w:bCs/>
          <w:sz w:val="24"/>
          <w:highlight w:val="none"/>
        </w:rPr>
      </w:pPr>
    </w:p>
    <w:p w14:paraId="2D367DEB">
      <w:pPr>
        <w:rPr>
          <w:rFonts w:hint="eastAsia" w:ascii="宋体" w:hAnsi="宋体" w:eastAsia="宋体" w:cs="宋体"/>
          <w:b/>
          <w:bCs/>
          <w:sz w:val="32"/>
          <w:szCs w:val="32"/>
          <w:highlight w:val="none"/>
        </w:rPr>
      </w:pPr>
      <w:bookmarkStart w:id="22" w:name="_Toc26213"/>
      <w:bookmarkStart w:id="23" w:name="_Toc27473"/>
      <w:bookmarkStart w:id="24" w:name="_Toc32507"/>
      <w:bookmarkStart w:id="25" w:name="_Toc11734"/>
      <w:r>
        <w:rPr>
          <w:rFonts w:hint="eastAsia" w:ascii="宋体" w:hAnsi="宋体" w:eastAsia="宋体" w:cs="宋体"/>
          <w:b/>
          <w:bCs/>
          <w:sz w:val="32"/>
          <w:szCs w:val="32"/>
          <w:highlight w:val="none"/>
        </w:rPr>
        <w:br w:type="page"/>
      </w:r>
    </w:p>
    <w:p w14:paraId="7404E4FD">
      <w:pPr>
        <w:spacing w:line="440" w:lineRule="exact"/>
        <w:ind w:right="-260" w:rightChars="-124"/>
        <w:jc w:val="center"/>
        <w:outlineLvl w:val="0"/>
        <w:rPr>
          <w:rFonts w:hint="eastAsia" w:ascii="宋体" w:hAnsi="宋体" w:eastAsia="宋体" w:cs="宋体"/>
          <w:b/>
          <w:bCs/>
          <w:sz w:val="32"/>
          <w:szCs w:val="32"/>
          <w:highlight w:val="none"/>
          <w:lang w:eastAsia="zh-CN"/>
        </w:rPr>
      </w:pPr>
      <w:bookmarkStart w:id="26" w:name="_Toc7383"/>
      <w:r>
        <w:rPr>
          <w:rFonts w:hint="eastAsia" w:ascii="宋体" w:hAnsi="宋体" w:eastAsia="宋体" w:cs="宋体"/>
          <w:b/>
          <w:bCs/>
          <w:sz w:val="32"/>
          <w:szCs w:val="32"/>
          <w:highlight w:val="none"/>
        </w:rPr>
        <w:t xml:space="preserve">第二章  </w:t>
      </w:r>
      <w:bookmarkEnd w:id="22"/>
      <w:bookmarkEnd w:id="23"/>
      <w:bookmarkEnd w:id="24"/>
      <w:bookmarkEnd w:id="25"/>
      <w:r>
        <w:rPr>
          <w:rFonts w:hint="eastAsia" w:ascii="宋体" w:hAnsi="宋体" w:eastAsia="宋体" w:cs="宋体"/>
          <w:b/>
          <w:bCs/>
          <w:sz w:val="32"/>
          <w:szCs w:val="32"/>
          <w:highlight w:val="none"/>
          <w:lang w:eastAsia="zh-CN"/>
        </w:rPr>
        <w:t>参选须知</w:t>
      </w:r>
      <w:bookmarkEnd w:id="26"/>
    </w:p>
    <w:p w14:paraId="0674C0B6">
      <w:pPr>
        <w:spacing w:line="440" w:lineRule="exact"/>
        <w:ind w:right="-260" w:rightChars="-124" w:firstLine="480" w:firstLineChars="200"/>
        <w:rPr>
          <w:rFonts w:hint="eastAsia" w:ascii="宋体" w:hAnsi="宋体" w:eastAsia="宋体" w:cs="宋体"/>
          <w:kern w:val="58"/>
          <w:sz w:val="24"/>
          <w:szCs w:val="24"/>
          <w:highlight w:val="none"/>
          <w:u w:val="single"/>
        </w:rPr>
      </w:pPr>
      <w:bookmarkStart w:id="27" w:name="_Toc21125"/>
      <w:bookmarkStart w:id="28" w:name="_Toc27566"/>
    </w:p>
    <w:p w14:paraId="1453E3EF">
      <w:pPr>
        <w:spacing w:line="440" w:lineRule="exact"/>
        <w:ind w:right="-260" w:rightChars="-124" w:firstLine="422" w:firstLineChars="200"/>
        <w:outlineLvl w:val="1"/>
        <w:rPr>
          <w:rFonts w:hint="eastAsia" w:ascii="宋体" w:hAnsi="宋体" w:eastAsia="宋体" w:cs="宋体"/>
          <w:b/>
          <w:sz w:val="21"/>
          <w:szCs w:val="21"/>
          <w:highlight w:val="none"/>
        </w:rPr>
      </w:pPr>
      <w:bookmarkStart w:id="29" w:name="_Toc10861"/>
      <w:r>
        <w:rPr>
          <w:rFonts w:hint="eastAsia" w:ascii="宋体" w:hAnsi="宋体" w:eastAsia="宋体" w:cs="宋体"/>
          <w:b/>
          <w:sz w:val="21"/>
          <w:szCs w:val="21"/>
          <w:highlight w:val="none"/>
        </w:rPr>
        <w:t>一、总则</w:t>
      </w:r>
      <w:bookmarkEnd w:id="27"/>
      <w:bookmarkEnd w:id="29"/>
    </w:p>
    <w:p w14:paraId="112BB77C">
      <w:pPr>
        <w:spacing w:line="440" w:lineRule="exact"/>
        <w:ind w:right="-260" w:rightChars="-124" w:firstLine="420" w:firstLineChars="200"/>
        <w:rPr>
          <w:rFonts w:hint="eastAsia" w:ascii="宋体" w:hAnsi="宋体" w:eastAsia="宋体" w:cs="宋体"/>
          <w:sz w:val="21"/>
          <w:szCs w:val="21"/>
          <w:highlight w:val="none"/>
        </w:rPr>
      </w:pPr>
      <w:bookmarkStart w:id="30" w:name="_Hlt16619475"/>
      <w:bookmarkEnd w:id="30"/>
      <w:bookmarkStart w:id="31" w:name="_Toc458694821"/>
      <w:bookmarkStart w:id="32" w:name="_Toc29623"/>
      <w:bookmarkStart w:id="33" w:name="_Toc20823276"/>
      <w:bookmarkStart w:id="34" w:name="_Toc16938520"/>
      <w:bookmarkStart w:id="35" w:name="_Toc513029204"/>
      <w:r>
        <w:rPr>
          <w:rFonts w:hint="eastAsia" w:ascii="宋体" w:hAnsi="宋体" w:eastAsia="宋体" w:cs="宋体"/>
          <w:sz w:val="21"/>
          <w:szCs w:val="21"/>
          <w:highlight w:val="none"/>
        </w:rPr>
        <w:t>1</w:t>
      </w:r>
      <w:bookmarkEnd w:id="31"/>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方式</w:t>
      </w:r>
      <w:bookmarkEnd w:id="32"/>
      <w:bookmarkEnd w:id="33"/>
      <w:bookmarkEnd w:id="34"/>
      <w:bookmarkEnd w:id="35"/>
    </w:p>
    <w:p w14:paraId="6C6A1C02">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采取</w:t>
      </w:r>
      <w:r>
        <w:rPr>
          <w:rFonts w:hint="eastAsia" w:ascii="宋体" w:hAnsi="宋体" w:eastAsia="宋体" w:cs="宋体"/>
          <w:sz w:val="21"/>
          <w:szCs w:val="21"/>
          <w:highlight w:val="none"/>
          <w:lang w:eastAsia="zh-CN"/>
        </w:rPr>
        <w:t>公开比选</w:t>
      </w:r>
      <w:r>
        <w:rPr>
          <w:rFonts w:hint="eastAsia" w:ascii="宋体" w:hAnsi="宋体" w:eastAsia="宋体" w:cs="宋体"/>
          <w:sz w:val="21"/>
          <w:szCs w:val="21"/>
          <w:highlight w:val="none"/>
        </w:rPr>
        <w:t>方式，本</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仅适用于</w:t>
      </w:r>
      <w:r>
        <w:rPr>
          <w:rFonts w:hint="eastAsia" w:ascii="宋体" w:hAnsi="宋体" w:eastAsia="宋体" w:cs="宋体"/>
          <w:sz w:val="21"/>
          <w:szCs w:val="21"/>
          <w:highlight w:val="none"/>
          <w:lang w:eastAsia="zh-CN"/>
        </w:rPr>
        <w:t>比选公告</w:t>
      </w:r>
      <w:r>
        <w:rPr>
          <w:rFonts w:hint="eastAsia" w:ascii="宋体" w:hAnsi="宋体" w:eastAsia="宋体" w:cs="宋体"/>
          <w:sz w:val="21"/>
          <w:szCs w:val="21"/>
          <w:highlight w:val="none"/>
        </w:rPr>
        <w:t>中所述项目。</w:t>
      </w:r>
    </w:p>
    <w:p w14:paraId="16B4EB2C">
      <w:pPr>
        <w:spacing w:line="440" w:lineRule="exact"/>
        <w:ind w:right="-260" w:rightChars="-124" w:firstLine="420" w:firstLineChars="200"/>
        <w:rPr>
          <w:rFonts w:hint="eastAsia" w:ascii="宋体" w:hAnsi="宋体" w:eastAsia="宋体" w:cs="宋体"/>
          <w:sz w:val="21"/>
          <w:szCs w:val="21"/>
          <w:highlight w:val="none"/>
        </w:rPr>
      </w:pPr>
      <w:bookmarkStart w:id="36" w:name="_Toc513029205"/>
      <w:bookmarkStart w:id="37" w:name="_Toc16938521"/>
      <w:bookmarkStart w:id="38" w:name="_Toc20823277"/>
      <w:bookmarkStart w:id="39" w:name="_Toc30478"/>
      <w:r>
        <w:rPr>
          <w:rFonts w:hint="eastAsia" w:ascii="宋体" w:hAnsi="宋体" w:eastAsia="宋体" w:cs="宋体"/>
          <w:sz w:val="21"/>
          <w:szCs w:val="21"/>
          <w:highlight w:val="none"/>
        </w:rPr>
        <w:t>2、</w:t>
      </w:r>
      <w:bookmarkEnd w:id="36"/>
      <w:bookmarkEnd w:id="37"/>
      <w:bookmarkEnd w:id="38"/>
      <w:bookmarkStart w:id="40" w:name="_Toc513029206"/>
      <w:bookmarkStart w:id="41" w:name="_Toc16938522"/>
      <w:bookmarkStart w:id="42" w:name="_Toc20823278"/>
      <w:r>
        <w:rPr>
          <w:rFonts w:hint="eastAsia" w:ascii="宋体" w:hAnsi="宋体" w:eastAsia="宋体" w:cs="宋体"/>
          <w:sz w:val="21"/>
          <w:szCs w:val="21"/>
          <w:highlight w:val="none"/>
        </w:rPr>
        <w:t>适用法律</w:t>
      </w:r>
      <w:bookmarkEnd w:id="39"/>
      <w:bookmarkEnd w:id="40"/>
      <w:bookmarkEnd w:id="41"/>
      <w:bookmarkEnd w:id="42"/>
    </w:p>
    <w:p w14:paraId="733B728A">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本次</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及由此产生的合同受中华人民共和国有关的法律法规制约和保护。</w:t>
      </w:r>
    </w:p>
    <w:p w14:paraId="430970E9">
      <w:pPr>
        <w:spacing w:line="440" w:lineRule="exact"/>
        <w:ind w:right="-260" w:rightChars="-124" w:firstLine="422" w:firstLineChars="200"/>
        <w:outlineLvl w:val="1"/>
        <w:rPr>
          <w:rFonts w:hint="eastAsia" w:ascii="宋体" w:hAnsi="宋体" w:eastAsia="宋体" w:cs="宋体"/>
          <w:b/>
          <w:sz w:val="21"/>
          <w:szCs w:val="21"/>
          <w:highlight w:val="none"/>
        </w:rPr>
      </w:pPr>
      <w:bookmarkStart w:id="43" w:name="_Toc4689"/>
      <w:bookmarkStart w:id="44" w:name="_Toc7663"/>
      <w:r>
        <w:rPr>
          <w:rFonts w:hint="eastAsia" w:ascii="宋体" w:hAnsi="宋体" w:eastAsia="宋体" w:cs="宋体"/>
          <w:b/>
          <w:sz w:val="21"/>
          <w:szCs w:val="21"/>
          <w:highlight w:val="none"/>
        </w:rPr>
        <w:t>二、</w:t>
      </w:r>
      <w:r>
        <w:rPr>
          <w:rFonts w:hint="eastAsia" w:ascii="宋体" w:hAnsi="宋体" w:eastAsia="宋体" w:cs="宋体"/>
          <w:b/>
          <w:sz w:val="21"/>
          <w:szCs w:val="21"/>
          <w:highlight w:val="none"/>
          <w:lang w:eastAsia="zh-CN"/>
        </w:rPr>
        <w:t>比选文件</w:t>
      </w:r>
      <w:r>
        <w:rPr>
          <w:rFonts w:hint="eastAsia" w:ascii="宋体" w:hAnsi="宋体" w:eastAsia="宋体" w:cs="宋体"/>
          <w:b/>
          <w:sz w:val="21"/>
          <w:szCs w:val="21"/>
          <w:highlight w:val="none"/>
        </w:rPr>
        <w:t>构成</w:t>
      </w:r>
      <w:bookmarkEnd w:id="43"/>
      <w:bookmarkEnd w:id="44"/>
    </w:p>
    <w:p w14:paraId="1954D0B5">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由以下部分组成：</w:t>
      </w:r>
    </w:p>
    <w:p w14:paraId="74CE9E46">
      <w:pPr>
        <w:spacing w:line="440" w:lineRule="exact"/>
        <w:ind w:right="-260" w:rightChars="-124"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比选公告</w:t>
      </w:r>
    </w:p>
    <w:p w14:paraId="028816AE">
      <w:pPr>
        <w:spacing w:line="440" w:lineRule="exact"/>
        <w:ind w:right="-260" w:rightChars="-124"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参选须知</w:t>
      </w:r>
    </w:p>
    <w:p w14:paraId="3780A0C9">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（3）用户需求书</w:t>
      </w:r>
    </w:p>
    <w:p w14:paraId="1E2F3BFF">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（4）评标方法与评标标准</w:t>
      </w:r>
    </w:p>
    <w:p w14:paraId="17E3590B">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（5）合同条款</w:t>
      </w:r>
    </w:p>
    <w:p w14:paraId="584390CC">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（6）质疑提出和处理</w:t>
      </w:r>
    </w:p>
    <w:p w14:paraId="2520FF7B">
      <w:pPr>
        <w:spacing w:line="440" w:lineRule="exact"/>
        <w:ind w:right="-260" w:rightChars="-124"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lang w:val="en-US" w:eastAsia="zh-CN"/>
        </w:rPr>
        <w:t>组成</w:t>
      </w:r>
    </w:p>
    <w:p w14:paraId="6B374D06">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对</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所作的澄清、修改，构成</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的组成部分。</w:t>
      </w:r>
    </w:p>
    <w:p w14:paraId="4E7DA625">
      <w:pPr>
        <w:spacing w:line="440" w:lineRule="exact"/>
        <w:ind w:right="-260" w:rightChars="-124" w:firstLine="422" w:firstLineChars="200"/>
        <w:outlineLvl w:val="1"/>
        <w:rPr>
          <w:rFonts w:hint="eastAsia" w:ascii="宋体" w:hAnsi="宋体" w:eastAsia="宋体" w:cs="宋体"/>
          <w:b/>
          <w:sz w:val="21"/>
          <w:szCs w:val="21"/>
          <w:highlight w:val="none"/>
        </w:rPr>
      </w:pPr>
      <w:bookmarkStart w:id="45" w:name="_Toc21708"/>
      <w:bookmarkStart w:id="46" w:name="_Toc217"/>
      <w:r>
        <w:rPr>
          <w:rFonts w:hint="eastAsia" w:ascii="宋体" w:hAnsi="宋体" w:eastAsia="宋体" w:cs="宋体"/>
          <w:b/>
          <w:sz w:val="21"/>
          <w:szCs w:val="21"/>
          <w:highlight w:val="none"/>
        </w:rPr>
        <w:t>三、</w:t>
      </w:r>
      <w:r>
        <w:rPr>
          <w:rFonts w:hint="eastAsia" w:ascii="宋体" w:hAnsi="宋体" w:eastAsia="宋体" w:cs="宋体"/>
          <w:b/>
          <w:sz w:val="21"/>
          <w:szCs w:val="21"/>
          <w:highlight w:val="none"/>
          <w:lang w:eastAsia="zh-CN"/>
        </w:rPr>
        <w:t>比选文件</w:t>
      </w:r>
      <w:r>
        <w:rPr>
          <w:rFonts w:hint="eastAsia" w:ascii="宋体" w:hAnsi="宋体" w:eastAsia="宋体" w:cs="宋体"/>
          <w:b/>
          <w:sz w:val="21"/>
          <w:szCs w:val="21"/>
          <w:highlight w:val="none"/>
        </w:rPr>
        <w:t>由</w:t>
      </w:r>
      <w:r>
        <w:rPr>
          <w:rFonts w:hint="eastAsia" w:ascii="宋体" w:hAnsi="宋体" w:eastAsia="宋体" w:cs="宋体"/>
          <w:b/>
          <w:sz w:val="21"/>
          <w:szCs w:val="21"/>
          <w:highlight w:val="none"/>
          <w:lang w:eastAsia="zh-CN"/>
        </w:rPr>
        <w:t>比选人</w:t>
      </w:r>
      <w:r>
        <w:rPr>
          <w:rFonts w:hint="eastAsia" w:ascii="宋体" w:hAnsi="宋体" w:eastAsia="宋体" w:cs="宋体"/>
          <w:b/>
          <w:sz w:val="21"/>
          <w:szCs w:val="21"/>
          <w:highlight w:val="none"/>
        </w:rPr>
        <w:t>解释</w:t>
      </w:r>
      <w:bookmarkEnd w:id="45"/>
      <w:bookmarkEnd w:id="46"/>
    </w:p>
    <w:p w14:paraId="32CE58E0">
      <w:pPr>
        <w:spacing w:line="440" w:lineRule="exact"/>
        <w:ind w:right="-260" w:rightChars="-124"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下载</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后，应仔细检查</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的所有内容，如对采购活动事项有疑问的，</w:t>
      </w:r>
      <w:r>
        <w:rPr>
          <w:rFonts w:hint="eastAsia" w:ascii="宋体" w:hAnsi="宋体" w:eastAsia="宋体" w:cs="宋体"/>
          <w:color w:val="auto"/>
          <w:sz w:val="21"/>
          <w:szCs w:val="21"/>
          <w:highlight w:val="none"/>
        </w:rPr>
        <w:t>应当在</w:t>
      </w:r>
      <w:r>
        <w:rPr>
          <w:rFonts w:hint="eastAsia" w:ascii="宋体" w:hAnsi="宋体" w:eastAsia="宋体" w:cs="宋体"/>
          <w:sz w:val="21"/>
          <w:szCs w:val="21"/>
          <w:highlight w:val="none"/>
          <w:lang w:eastAsia="zh-CN"/>
        </w:rPr>
        <w:t>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eastAsia="zh-CN"/>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eastAsia="zh-CN"/>
        </w:rPr>
        <w:t>月</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eastAsia="zh-CN"/>
        </w:rPr>
        <w:t>日</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val="en-US" w:eastAsia="zh-CN"/>
        </w:rPr>
        <w:t>前</w:t>
      </w:r>
      <w:r>
        <w:rPr>
          <w:rFonts w:hint="eastAsia" w:ascii="宋体" w:hAnsi="宋体" w:eastAsia="宋体" w:cs="宋体"/>
          <w:color w:val="auto"/>
          <w:sz w:val="21"/>
          <w:szCs w:val="21"/>
          <w:highlight w:val="none"/>
        </w:rPr>
        <w:t>以电子邮件形式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Word版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提出询问或疑问（邮箱为</w:t>
      </w:r>
      <w:r>
        <w:rPr>
          <w:rFonts w:hint="eastAsia" w:ascii="宋体" w:hAnsi="宋体" w:eastAsia="宋体" w:cs="宋体"/>
          <w:b/>
          <w:bCs/>
          <w:color w:val="auto"/>
          <w:sz w:val="21"/>
          <w:szCs w:val="21"/>
          <w:highlight w:val="none"/>
          <w:lang w:val="en-US" w:eastAsia="zh-CN"/>
        </w:rPr>
        <w:t>3257573920@qq.com</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，未在规定时间内提出询问或疑问的，视同</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理解并接受本</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所有内容，并由此引起的损失自负。</w:t>
      </w:r>
      <w:r>
        <w:rPr>
          <w:rFonts w:hint="eastAsia" w:ascii="宋体" w:hAnsi="宋体" w:eastAsia="宋体" w:cs="宋体"/>
          <w:b/>
          <w:bCs/>
          <w:color w:val="auto"/>
          <w:sz w:val="21"/>
          <w:szCs w:val="21"/>
          <w:highlight w:val="none"/>
          <w:lang w:val="en-US" w:eastAsia="zh-CN"/>
        </w:rPr>
        <w:t>答疑文件会在南通轨道交通集团有限公司官网发布，参选人应及时查看，因参选人错看漏看引起的一切问题由参选人自行承担。</w:t>
      </w:r>
    </w:p>
    <w:p w14:paraId="50024351">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应认真审阅</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中所有的事项、格式、条款和规范要求等，如果</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没有按照</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要求提交</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，或者</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没有对</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做出实质性响应，其</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将被拒绝，</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自行承担责任。</w:t>
      </w:r>
    </w:p>
    <w:bookmarkEnd w:id="28"/>
    <w:p w14:paraId="54FDEDF0">
      <w:pPr>
        <w:spacing w:line="440" w:lineRule="exact"/>
        <w:ind w:right="-260" w:rightChars="-124" w:firstLine="422" w:firstLineChars="200"/>
        <w:outlineLvl w:val="1"/>
        <w:rPr>
          <w:rFonts w:hint="eastAsia" w:ascii="宋体" w:hAnsi="宋体" w:eastAsia="宋体" w:cs="宋体"/>
          <w:b/>
          <w:sz w:val="21"/>
          <w:szCs w:val="21"/>
          <w:highlight w:val="none"/>
        </w:rPr>
      </w:pPr>
      <w:bookmarkStart w:id="47" w:name="_Toc15402"/>
      <w:bookmarkStart w:id="48" w:name="_Toc2423"/>
      <w:bookmarkStart w:id="49" w:name="_Toc25909"/>
      <w:r>
        <w:rPr>
          <w:rFonts w:hint="eastAsia" w:ascii="宋体" w:hAnsi="宋体" w:eastAsia="宋体" w:cs="宋体"/>
          <w:b/>
          <w:sz w:val="21"/>
          <w:szCs w:val="21"/>
          <w:highlight w:val="none"/>
        </w:rPr>
        <w:t>四、</w:t>
      </w:r>
      <w:r>
        <w:rPr>
          <w:rFonts w:hint="eastAsia" w:ascii="宋体" w:hAnsi="宋体" w:eastAsia="宋体" w:cs="宋体"/>
          <w:b/>
          <w:sz w:val="21"/>
          <w:szCs w:val="21"/>
          <w:highlight w:val="none"/>
          <w:lang w:eastAsia="zh-CN"/>
        </w:rPr>
        <w:t>比选文件</w:t>
      </w:r>
      <w:r>
        <w:rPr>
          <w:rFonts w:hint="eastAsia" w:ascii="宋体" w:hAnsi="宋体" w:eastAsia="宋体" w:cs="宋体"/>
          <w:b/>
          <w:sz w:val="21"/>
          <w:szCs w:val="21"/>
          <w:highlight w:val="none"/>
        </w:rPr>
        <w:t>的澄清、修改</w:t>
      </w:r>
      <w:bookmarkEnd w:id="47"/>
      <w:bookmarkEnd w:id="48"/>
    </w:p>
    <w:bookmarkEnd w:id="49"/>
    <w:p w14:paraId="785D17D0">
      <w:pPr>
        <w:spacing w:line="440" w:lineRule="exact"/>
        <w:ind w:right="-260" w:rightChars="-124"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有权对发出的</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进行必要的澄清或修改。修改</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的时间距</w:t>
      </w:r>
      <w:r>
        <w:rPr>
          <w:rFonts w:hint="eastAsia" w:ascii="宋体" w:hAnsi="宋体" w:eastAsia="宋体" w:cs="宋体"/>
          <w:sz w:val="21"/>
          <w:szCs w:val="21"/>
          <w:highlight w:val="none"/>
          <w:lang w:eastAsia="zh-CN"/>
        </w:rPr>
        <w:t>参选截止时间</w:t>
      </w:r>
      <w:r>
        <w:rPr>
          <w:rFonts w:hint="eastAsia" w:ascii="宋体" w:hAnsi="宋体" w:eastAsia="宋体" w:cs="宋体"/>
          <w:sz w:val="21"/>
          <w:szCs w:val="21"/>
          <w:highlight w:val="none"/>
        </w:rPr>
        <w:t>不足</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日的，并且修改内容可能影响</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编制的，将相应延长</w:t>
      </w:r>
      <w:r>
        <w:rPr>
          <w:rFonts w:hint="eastAsia" w:ascii="宋体" w:hAnsi="宋体" w:eastAsia="宋体" w:cs="宋体"/>
          <w:sz w:val="21"/>
          <w:szCs w:val="21"/>
          <w:highlight w:val="none"/>
          <w:lang w:eastAsia="zh-CN"/>
        </w:rPr>
        <w:t>参选截止时间</w:t>
      </w:r>
      <w:r>
        <w:rPr>
          <w:rFonts w:hint="eastAsia" w:ascii="宋体" w:hAnsi="宋体" w:eastAsia="宋体" w:cs="宋体"/>
          <w:sz w:val="21"/>
          <w:szCs w:val="21"/>
          <w:highlight w:val="none"/>
        </w:rPr>
        <w:t>。</w:t>
      </w:r>
      <w:r>
        <w:rPr>
          <w:rFonts w:hint="eastAsia" w:ascii="宋体" w:hAnsi="宋体" w:eastAsia="宋体" w:cs="宋体"/>
          <w:b/>
          <w:bCs/>
          <w:color w:val="auto"/>
          <w:sz w:val="21"/>
          <w:szCs w:val="21"/>
          <w:highlight w:val="none"/>
          <w:lang w:val="en-US" w:eastAsia="zh-CN"/>
        </w:rPr>
        <w:t>澄清文件会在南通轨道交通集团有限公司官网发布，参选人应及时查看，因参选人错看漏看引起的一切问题由参选人自行承担。</w:t>
      </w:r>
    </w:p>
    <w:p w14:paraId="090F1E96">
      <w:pPr>
        <w:pStyle w:val="10"/>
        <w:spacing w:line="440" w:lineRule="exact"/>
        <w:ind w:left="0"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对</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的澄清、修改将构成</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的一部分，对</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具有约束力。</w:t>
      </w:r>
    </w:p>
    <w:p w14:paraId="30722E4C">
      <w:pPr>
        <w:spacing w:line="440" w:lineRule="exact"/>
        <w:ind w:right="-260" w:rightChars="-124" w:firstLine="422" w:firstLineChars="200"/>
        <w:outlineLvl w:val="1"/>
        <w:rPr>
          <w:rFonts w:hint="eastAsia" w:ascii="宋体" w:hAnsi="宋体" w:eastAsia="宋体" w:cs="宋体"/>
          <w:b/>
          <w:sz w:val="21"/>
          <w:szCs w:val="21"/>
          <w:highlight w:val="none"/>
          <w:lang w:val="en-US" w:eastAsia="zh-CN"/>
        </w:rPr>
      </w:pPr>
      <w:bookmarkStart w:id="50" w:name="_Toc873"/>
      <w:bookmarkStart w:id="51" w:name="_Toc30561"/>
      <w:bookmarkStart w:id="52" w:name="_Toc10876"/>
      <w:r>
        <w:rPr>
          <w:rFonts w:hint="eastAsia" w:ascii="宋体" w:hAnsi="宋体" w:eastAsia="宋体" w:cs="宋体"/>
          <w:b/>
          <w:sz w:val="21"/>
          <w:szCs w:val="21"/>
          <w:highlight w:val="none"/>
        </w:rPr>
        <w:t>五、</w:t>
      </w:r>
      <w:r>
        <w:rPr>
          <w:rFonts w:hint="eastAsia" w:ascii="宋体" w:hAnsi="宋体" w:eastAsia="宋体" w:cs="宋体"/>
          <w:b/>
          <w:sz w:val="21"/>
          <w:szCs w:val="21"/>
          <w:highlight w:val="none"/>
          <w:lang w:eastAsia="zh-CN"/>
        </w:rPr>
        <w:t>参选文件</w:t>
      </w:r>
      <w:r>
        <w:rPr>
          <w:rFonts w:hint="eastAsia" w:ascii="宋体" w:hAnsi="宋体" w:eastAsia="宋体" w:cs="宋体"/>
          <w:b/>
          <w:sz w:val="21"/>
          <w:szCs w:val="21"/>
          <w:highlight w:val="none"/>
        </w:rPr>
        <w:t>的</w:t>
      </w:r>
      <w:r>
        <w:rPr>
          <w:rFonts w:hint="eastAsia" w:ascii="宋体" w:hAnsi="宋体" w:eastAsia="宋体" w:cs="宋体"/>
          <w:b/>
          <w:sz w:val="21"/>
          <w:szCs w:val="21"/>
          <w:highlight w:val="none"/>
          <w:lang w:val="en-US" w:eastAsia="zh-CN"/>
        </w:rPr>
        <w:t>组成、</w:t>
      </w:r>
      <w:bookmarkEnd w:id="50"/>
      <w:r>
        <w:rPr>
          <w:rFonts w:hint="eastAsia" w:ascii="宋体" w:hAnsi="宋体" w:eastAsia="宋体" w:cs="宋体"/>
          <w:b/>
          <w:sz w:val="21"/>
          <w:szCs w:val="21"/>
          <w:highlight w:val="none"/>
          <w:lang w:val="en-US" w:eastAsia="zh-CN"/>
        </w:rPr>
        <w:t>编制</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密封</w:t>
      </w:r>
      <w:bookmarkEnd w:id="51"/>
    </w:p>
    <w:bookmarkEnd w:id="52"/>
    <w:p w14:paraId="7EF2C001">
      <w:pPr>
        <w:pStyle w:val="10"/>
        <w:spacing w:line="440" w:lineRule="exact"/>
        <w:ind w:left="0" w:right="-260" w:rightChars="-124" w:firstLine="422" w:firstLineChars="200"/>
        <w:contextualSpacing/>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eastAsia="zh-CN"/>
        </w:rPr>
        <w:t>参选文件</w:t>
      </w:r>
      <w:r>
        <w:rPr>
          <w:rFonts w:hint="eastAsia" w:ascii="宋体" w:hAnsi="宋体" w:eastAsia="宋体" w:cs="宋体"/>
          <w:b/>
          <w:bCs/>
          <w:sz w:val="21"/>
          <w:szCs w:val="21"/>
          <w:highlight w:val="none"/>
        </w:rPr>
        <w:t>的</w:t>
      </w:r>
      <w:r>
        <w:rPr>
          <w:rFonts w:hint="eastAsia" w:ascii="宋体" w:hAnsi="宋体" w:eastAsia="宋体" w:cs="宋体"/>
          <w:b/>
          <w:bCs/>
          <w:sz w:val="21"/>
          <w:szCs w:val="21"/>
          <w:highlight w:val="none"/>
          <w:lang w:val="en-US" w:eastAsia="zh-CN"/>
        </w:rPr>
        <w:t>组成</w:t>
      </w:r>
    </w:p>
    <w:p w14:paraId="2CBAC46C">
      <w:pPr>
        <w:pStyle w:val="10"/>
        <w:spacing w:line="440" w:lineRule="exact"/>
        <w:ind w:left="0" w:right="-260" w:rightChars="-124" w:firstLine="420" w:firstLineChars="200"/>
        <w:contextualSpacing/>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由资格审查文件、商务</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、报价</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、电子</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（电子U盘）组成。</w:t>
      </w:r>
      <w:r>
        <w:rPr>
          <w:rFonts w:hint="eastAsia" w:ascii="宋体" w:hAnsi="宋体" w:eastAsia="宋体" w:cs="宋体"/>
          <w:color w:val="auto"/>
          <w:sz w:val="21"/>
          <w:szCs w:val="21"/>
          <w:highlight w:val="none"/>
        </w:rPr>
        <w:t>资格审查文件、商务</w:t>
      </w:r>
      <w:r>
        <w:rPr>
          <w:rFonts w:hint="eastAsia" w:ascii="宋体" w:hAnsi="宋体" w:eastAsia="宋体" w:cs="宋体"/>
          <w:sz w:val="21"/>
          <w:szCs w:val="21"/>
          <w:highlight w:val="none"/>
          <w:lang w:val="en-US" w:eastAsia="zh-CN"/>
        </w:rPr>
        <w:t>参选</w:t>
      </w:r>
      <w:r>
        <w:rPr>
          <w:rFonts w:hint="eastAsia" w:ascii="宋体" w:hAnsi="宋体" w:eastAsia="宋体" w:cs="宋体"/>
          <w:color w:val="auto"/>
          <w:sz w:val="21"/>
          <w:szCs w:val="21"/>
          <w:highlight w:val="none"/>
        </w:rPr>
        <w:t>文件、技术</w:t>
      </w:r>
      <w:r>
        <w:rPr>
          <w:rFonts w:hint="eastAsia" w:ascii="宋体" w:hAnsi="宋体" w:eastAsia="宋体" w:cs="宋体"/>
          <w:sz w:val="21"/>
          <w:szCs w:val="21"/>
          <w:highlight w:val="none"/>
          <w:lang w:val="en-US" w:eastAsia="zh-CN"/>
        </w:rPr>
        <w:t>参选</w:t>
      </w:r>
      <w:r>
        <w:rPr>
          <w:rFonts w:hint="eastAsia" w:ascii="宋体" w:hAnsi="宋体" w:eastAsia="宋体" w:cs="宋体"/>
          <w:color w:val="auto"/>
          <w:sz w:val="21"/>
          <w:szCs w:val="21"/>
          <w:highlight w:val="none"/>
        </w:rPr>
        <w:t>文件、报价</w:t>
      </w:r>
      <w:r>
        <w:rPr>
          <w:rFonts w:hint="eastAsia" w:ascii="宋体" w:hAnsi="宋体" w:eastAsia="宋体" w:cs="宋体"/>
          <w:sz w:val="21"/>
          <w:szCs w:val="21"/>
          <w:highlight w:val="none"/>
          <w:lang w:val="en-US" w:eastAsia="zh-CN"/>
        </w:rPr>
        <w:t>参选</w:t>
      </w:r>
      <w:r>
        <w:rPr>
          <w:rFonts w:hint="eastAsia" w:ascii="宋体" w:hAnsi="宋体" w:eastAsia="宋体" w:cs="宋体"/>
          <w:color w:val="auto"/>
          <w:sz w:val="21"/>
          <w:szCs w:val="21"/>
          <w:highlight w:val="none"/>
        </w:rPr>
        <w:t>文件具体内容</w:t>
      </w:r>
      <w:r>
        <w:rPr>
          <w:rFonts w:hint="eastAsia" w:ascii="宋体" w:hAnsi="宋体" w:eastAsia="宋体" w:cs="宋体"/>
          <w:color w:val="auto"/>
          <w:sz w:val="21"/>
          <w:szCs w:val="21"/>
          <w:highlight w:val="none"/>
          <w:lang w:val="en-US" w:eastAsia="zh-CN"/>
        </w:rPr>
        <w:t>详见第七章，</w:t>
      </w:r>
      <w:r>
        <w:rPr>
          <w:rFonts w:hint="eastAsia" w:ascii="宋体" w:hAnsi="宋体" w:eastAsia="宋体" w:cs="宋体"/>
          <w:b/>
          <w:bCs/>
          <w:color w:val="auto"/>
          <w:sz w:val="21"/>
          <w:szCs w:val="21"/>
          <w:highlight w:val="none"/>
        </w:rPr>
        <w:t>电子</w:t>
      </w:r>
      <w:r>
        <w:rPr>
          <w:rFonts w:hint="eastAsia" w:ascii="宋体" w:hAnsi="宋体" w:eastAsia="宋体" w:cs="宋体"/>
          <w:b/>
          <w:bCs/>
          <w:color w:val="auto"/>
          <w:sz w:val="21"/>
          <w:szCs w:val="21"/>
          <w:highlight w:val="none"/>
          <w:lang w:val="en-US" w:eastAsia="zh-CN"/>
        </w:rPr>
        <w:t>参选</w:t>
      </w:r>
      <w:r>
        <w:rPr>
          <w:rFonts w:hint="eastAsia" w:ascii="宋体" w:hAnsi="宋体" w:eastAsia="宋体" w:cs="宋体"/>
          <w:b/>
          <w:bCs/>
          <w:color w:val="auto"/>
          <w:sz w:val="21"/>
          <w:szCs w:val="21"/>
          <w:highlight w:val="none"/>
        </w:rPr>
        <w:t>文件</w:t>
      </w:r>
      <w:r>
        <w:rPr>
          <w:rFonts w:hint="eastAsia" w:ascii="宋体" w:hAnsi="宋体" w:eastAsia="宋体" w:cs="宋体"/>
          <w:b/>
          <w:bCs/>
          <w:color w:val="auto"/>
          <w:sz w:val="21"/>
          <w:szCs w:val="21"/>
          <w:highlight w:val="none"/>
          <w:lang w:val="en-US" w:eastAsia="zh-CN"/>
        </w:rPr>
        <w:t>须含</w:t>
      </w:r>
      <w:r>
        <w:rPr>
          <w:rFonts w:hint="eastAsia" w:ascii="宋体" w:hAnsi="宋体" w:eastAsia="宋体" w:cs="宋体"/>
          <w:b/>
          <w:bCs/>
          <w:color w:val="auto"/>
          <w:sz w:val="21"/>
          <w:szCs w:val="21"/>
          <w:highlight w:val="none"/>
        </w:rPr>
        <w:t>资格审查文件、商务</w:t>
      </w:r>
      <w:r>
        <w:rPr>
          <w:rFonts w:hint="eastAsia" w:ascii="宋体" w:hAnsi="宋体" w:eastAsia="宋体" w:cs="宋体"/>
          <w:b/>
          <w:bCs/>
          <w:color w:val="auto"/>
          <w:sz w:val="21"/>
          <w:szCs w:val="21"/>
          <w:highlight w:val="none"/>
          <w:lang w:val="en-US" w:eastAsia="zh-CN"/>
        </w:rPr>
        <w:t>参选</w:t>
      </w:r>
      <w:r>
        <w:rPr>
          <w:rFonts w:hint="eastAsia" w:ascii="宋体" w:hAnsi="宋体" w:eastAsia="宋体" w:cs="宋体"/>
          <w:b/>
          <w:bCs/>
          <w:color w:val="auto"/>
          <w:sz w:val="21"/>
          <w:szCs w:val="21"/>
          <w:highlight w:val="none"/>
        </w:rPr>
        <w:t>文件、技术</w:t>
      </w:r>
      <w:r>
        <w:rPr>
          <w:rFonts w:hint="eastAsia" w:ascii="宋体" w:hAnsi="宋体" w:eastAsia="宋体" w:cs="宋体"/>
          <w:b/>
          <w:bCs/>
          <w:color w:val="auto"/>
          <w:sz w:val="21"/>
          <w:szCs w:val="21"/>
          <w:highlight w:val="none"/>
          <w:lang w:val="en-US" w:eastAsia="zh-CN"/>
        </w:rPr>
        <w:t>参选</w:t>
      </w:r>
      <w:r>
        <w:rPr>
          <w:rFonts w:hint="eastAsia" w:ascii="宋体" w:hAnsi="宋体" w:eastAsia="宋体" w:cs="宋体"/>
          <w:b/>
          <w:bCs/>
          <w:color w:val="auto"/>
          <w:sz w:val="21"/>
          <w:szCs w:val="21"/>
          <w:highlight w:val="none"/>
        </w:rPr>
        <w:t>文件、报价</w:t>
      </w:r>
      <w:r>
        <w:rPr>
          <w:rFonts w:hint="eastAsia" w:ascii="宋体" w:hAnsi="宋体" w:eastAsia="宋体" w:cs="宋体"/>
          <w:b/>
          <w:bCs/>
          <w:color w:val="auto"/>
          <w:sz w:val="21"/>
          <w:szCs w:val="21"/>
          <w:highlight w:val="none"/>
          <w:lang w:val="en-US" w:eastAsia="zh-CN"/>
        </w:rPr>
        <w:t>参选</w:t>
      </w:r>
      <w:r>
        <w:rPr>
          <w:rFonts w:hint="eastAsia" w:ascii="宋体" w:hAnsi="宋体" w:eastAsia="宋体" w:cs="宋体"/>
          <w:b/>
          <w:bCs/>
          <w:color w:val="auto"/>
          <w:sz w:val="21"/>
          <w:szCs w:val="21"/>
          <w:highlight w:val="none"/>
        </w:rPr>
        <w:t>文件</w:t>
      </w:r>
      <w:r>
        <w:rPr>
          <w:rFonts w:hint="eastAsia" w:ascii="宋体" w:hAnsi="宋体" w:eastAsia="宋体" w:cs="宋体"/>
          <w:b/>
          <w:bCs/>
          <w:color w:val="auto"/>
          <w:sz w:val="21"/>
          <w:szCs w:val="21"/>
          <w:highlight w:val="none"/>
          <w:lang w:val="en-US" w:eastAsia="zh-CN"/>
        </w:rPr>
        <w:t>的全部内容，格式为.doc</w:t>
      </w:r>
      <w:r>
        <w:rPr>
          <w:rFonts w:hint="eastAsia" w:ascii="宋体" w:hAnsi="宋体" w:eastAsia="宋体" w:cs="宋体"/>
          <w:color w:val="auto"/>
          <w:sz w:val="21"/>
          <w:szCs w:val="21"/>
          <w:highlight w:val="none"/>
          <w:lang w:val="en-US" w:eastAsia="zh-CN"/>
        </w:rPr>
        <w:t>。</w:t>
      </w:r>
    </w:p>
    <w:p w14:paraId="7CB9B6D8">
      <w:pPr>
        <w:pStyle w:val="10"/>
        <w:spacing w:line="440" w:lineRule="exact"/>
        <w:ind w:left="0" w:right="-260" w:rightChars="-124" w:firstLine="422" w:firstLineChars="200"/>
        <w:contextualSpacing/>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eastAsia="zh-CN"/>
        </w:rPr>
        <w:t>参选文件</w:t>
      </w:r>
      <w:r>
        <w:rPr>
          <w:rFonts w:hint="eastAsia" w:ascii="宋体" w:hAnsi="宋体" w:eastAsia="宋体" w:cs="宋体"/>
          <w:b/>
          <w:bCs/>
          <w:sz w:val="21"/>
          <w:szCs w:val="21"/>
          <w:highlight w:val="none"/>
        </w:rPr>
        <w:t>的</w:t>
      </w:r>
      <w:r>
        <w:rPr>
          <w:rFonts w:hint="eastAsia" w:ascii="宋体" w:hAnsi="宋体" w:eastAsia="宋体" w:cs="宋体"/>
          <w:b/>
          <w:bCs/>
          <w:sz w:val="21"/>
          <w:szCs w:val="21"/>
          <w:highlight w:val="none"/>
          <w:lang w:val="en-US" w:eastAsia="zh-CN"/>
        </w:rPr>
        <w:t>编制</w:t>
      </w:r>
    </w:p>
    <w:p w14:paraId="3961F351">
      <w:pPr>
        <w:pStyle w:val="10"/>
        <w:spacing w:line="440" w:lineRule="exact"/>
        <w:ind w:left="0" w:right="-260" w:rightChars="-124"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应按</w:t>
      </w:r>
      <w:r>
        <w:rPr>
          <w:rFonts w:hint="eastAsia" w:ascii="宋体" w:hAnsi="宋体" w:eastAsia="宋体" w:cs="宋体"/>
          <w:sz w:val="21"/>
          <w:szCs w:val="21"/>
          <w:highlight w:val="none"/>
          <w:lang w:eastAsia="zh-CN"/>
        </w:rPr>
        <w:t>第七章</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参选文件组成</w:t>
      </w:r>
      <w:r>
        <w:rPr>
          <w:rFonts w:hint="eastAsia" w:ascii="宋体" w:hAnsi="宋体" w:eastAsia="宋体" w:cs="宋体"/>
          <w:sz w:val="21"/>
          <w:szCs w:val="21"/>
          <w:highlight w:val="none"/>
        </w:rPr>
        <w:t>”进行编写，如有必要，可以增加附页，作为</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的组成部分。</w:t>
      </w:r>
    </w:p>
    <w:p w14:paraId="5E9C686C">
      <w:pPr>
        <w:pStyle w:val="10"/>
        <w:spacing w:line="440" w:lineRule="exact"/>
        <w:ind w:left="0" w:right="-260" w:rightChars="-124"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2.2</w:t>
      </w:r>
      <w:r>
        <w:rPr>
          <w:rFonts w:hint="eastAsia" w:ascii="宋体" w:hAnsi="宋体" w:eastAsia="宋体" w:cs="宋体"/>
          <w:sz w:val="21"/>
          <w:szCs w:val="21"/>
          <w:highlight w:val="none"/>
        </w:rPr>
        <w:t>纸质</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应用不褪色的材料书写或打印，并由</w:t>
      </w:r>
      <w:r>
        <w:rPr>
          <w:rFonts w:hint="eastAsia" w:ascii="宋体" w:hAnsi="宋体" w:eastAsia="宋体" w:cs="宋体"/>
          <w:sz w:val="21"/>
          <w:szCs w:val="21"/>
          <w:highlight w:val="none"/>
          <w:lang w:val="en-US" w:eastAsia="zh-CN"/>
        </w:rPr>
        <w:t>参选人</w:t>
      </w:r>
      <w:r>
        <w:rPr>
          <w:rFonts w:hint="eastAsia" w:ascii="宋体" w:hAnsi="宋体" w:eastAsia="宋体" w:cs="宋体"/>
          <w:sz w:val="21"/>
          <w:szCs w:val="21"/>
          <w:highlight w:val="none"/>
        </w:rPr>
        <w:t>的法定代表人或其委托代理人签字或盖单位公章。委托代理人签字的，</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应附法定代表人签署的授权委托书。</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应尽量避免涂改、行间插字或删除。如果出现上述情况，改动之处应加盖单位章或由</w:t>
      </w:r>
      <w:r>
        <w:rPr>
          <w:rFonts w:hint="eastAsia" w:ascii="宋体" w:hAnsi="宋体" w:eastAsia="宋体" w:cs="宋体"/>
          <w:sz w:val="21"/>
          <w:szCs w:val="21"/>
          <w:highlight w:val="none"/>
          <w:lang w:val="en-US" w:eastAsia="zh-CN"/>
        </w:rPr>
        <w:t>参选人</w:t>
      </w:r>
      <w:r>
        <w:rPr>
          <w:rFonts w:hint="eastAsia" w:ascii="宋体" w:hAnsi="宋体" w:eastAsia="宋体" w:cs="宋体"/>
          <w:sz w:val="21"/>
          <w:szCs w:val="21"/>
          <w:highlight w:val="none"/>
        </w:rPr>
        <w:t>的法定代表人或其授权的代理人签字确认。</w:t>
      </w:r>
    </w:p>
    <w:p w14:paraId="1D966E27">
      <w:pPr>
        <w:pStyle w:val="10"/>
        <w:spacing w:line="440" w:lineRule="exact"/>
        <w:ind w:left="0" w:right="-260" w:rightChars="-124"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2.3参选文件</w:t>
      </w:r>
      <w:r>
        <w:rPr>
          <w:rFonts w:hint="eastAsia" w:ascii="宋体" w:hAnsi="宋体" w:eastAsia="宋体" w:cs="宋体"/>
          <w:sz w:val="21"/>
          <w:szCs w:val="21"/>
          <w:highlight w:val="none"/>
        </w:rPr>
        <w:t>纸质正本一份，纸质副本</w:t>
      </w:r>
      <w:r>
        <w:rPr>
          <w:rFonts w:hint="eastAsia" w:ascii="宋体" w:hAnsi="宋体" w:eastAsia="宋体" w:cs="宋体"/>
          <w:sz w:val="21"/>
          <w:szCs w:val="21"/>
          <w:highlight w:val="none"/>
          <w:lang w:val="en-US" w:eastAsia="zh-CN"/>
        </w:rPr>
        <w:t>四份，</w:t>
      </w:r>
      <w:r>
        <w:rPr>
          <w:rFonts w:hint="eastAsia" w:ascii="宋体" w:hAnsi="宋体" w:eastAsia="宋体" w:cs="宋体"/>
          <w:sz w:val="21"/>
          <w:szCs w:val="21"/>
          <w:highlight w:val="none"/>
        </w:rPr>
        <w:t>电子文本</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份。正本和副本的封面上应清楚地标记“正本”或“副本”的字样。当副本和正本不一致时，以正本为准。</w:t>
      </w:r>
    </w:p>
    <w:p w14:paraId="6D0E8B60">
      <w:pPr>
        <w:pStyle w:val="10"/>
        <w:spacing w:line="440" w:lineRule="exact"/>
        <w:ind w:left="0" w:right="-260" w:rightChars="-124"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2.4参选文件</w:t>
      </w:r>
      <w:r>
        <w:rPr>
          <w:rFonts w:hint="eastAsia" w:ascii="宋体" w:hAnsi="宋体" w:eastAsia="宋体" w:cs="宋体"/>
          <w:sz w:val="21"/>
          <w:szCs w:val="21"/>
          <w:highlight w:val="none"/>
        </w:rPr>
        <w:t>的正本与副本应分别装订成册，并编制目录。</w:t>
      </w:r>
    </w:p>
    <w:p w14:paraId="0C3A78DE">
      <w:pPr>
        <w:pStyle w:val="10"/>
        <w:spacing w:line="440" w:lineRule="exact"/>
        <w:ind w:left="0" w:right="-260" w:rightChars="-124" w:firstLine="422" w:firstLineChars="200"/>
        <w:contextualSpacing/>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2.5技术参选文件总页码（不包括封面、封底、目录）须控制在100页（含）内，双面打印。若不按此要求编制，评标委员会可在技术部分酌情扣分。</w:t>
      </w:r>
    </w:p>
    <w:p w14:paraId="2CE2DA38">
      <w:pPr>
        <w:pStyle w:val="10"/>
        <w:spacing w:line="440" w:lineRule="exact"/>
        <w:ind w:left="0" w:right="-260" w:rightChars="-124" w:firstLine="422" w:firstLineChars="200"/>
        <w:contextualSpacing/>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eastAsia="zh-CN"/>
        </w:rPr>
        <w:t>参选文件</w:t>
      </w:r>
      <w:r>
        <w:rPr>
          <w:rFonts w:hint="eastAsia" w:ascii="宋体" w:hAnsi="宋体" w:eastAsia="宋体" w:cs="宋体"/>
          <w:b/>
          <w:bCs/>
          <w:sz w:val="21"/>
          <w:szCs w:val="21"/>
          <w:highlight w:val="none"/>
        </w:rPr>
        <w:t>的</w:t>
      </w:r>
      <w:r>
        <w:rPr>
          <w:rFonts w:hint="eastAsia" w:ascii="宋体" w:hAnsi="宋体" w:eastAsia="宋体" w:cs="宋体"/>
          <w:b/>
          <w:bCs/>
          <w:sz w:val="21"/>
          <w:szCs w:val="21"/>
          <w:highlight w:val="none"/>
          <w:lang w:val="en-US" w:eastAsia="zh-CN"/>
        </w:rPr>
        <w:t>密封</w:t>
      </w:r>
    </w:p>
    <w:p w14:paraId="10D5A4FC">
      <w:pPr>
        <w:pStyle w:val="10"/>
        <w:spacing w:line="440" w:lineRule="exact"/>
        <w:ind w:left="0" w:right="-260" w:rightChars="-124"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资格审查文件、商务</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、报价</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、电子</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（电子U盘）应分别密封。封袋上（最外面）都应写明</w:t>
      </w:r>
      <w:r>
        <w:rPr>
          <w:rFonts w:hint="eastAsia" w:ascii="宋体" w:hAnsi="宋体" w:eastAsia="宋体" w:cs="宋体"/>
          <w:sz w:val="21"/>
          <w:szCs w:val="21"/>
          <w:highlight w:val="none"/>
          <w:lang w:val="en-US" w:eastAsia="zh-CN"/>
        </w:rPr>
        <w:t>参选</w:t>
      </w:r>
      <w:r>
        <w:rPr>
          <w:rFonts w:hint="eastAsia" w:ascii="宋体" w:hAnsi="宋体" w:eastAsia="宋体" w:cs="宋体"/>
          <w:sz w:val="21"/>
          <w:szCs w:val="21"/>
          <w:highlight w:val="none"/>
        </w:rPr>
        <w:t>单位名称、项目名称，并于封袋上加盖</w:t>
      </w:r>
      <w:r>
        <w:rPr>
          <w:rFonts w:hint="eastAsia" w:ascii="宋体" w:hAnsi="宋体" w:eastAsia="宋体" w:cs="宋体"/>
          <w:sz w:val="21"/>
          <w:szCs w:val="21"/>
          <w:highlight w:val="none"/>
          <w:lang w:val="en-US" w:eastAsia="zh-CN"/>
        </w:rPr>
        <w:t>参选</w:t>
      </w:r>
      <w:r>
        <w:rPr>
          <w:rFonts w:hint="eastAsia" w:ascii="宋体" w:hAnsi="宋体" w:eastAsia="宋体" w:cs="宋体"/>
          <w:sz w:val="21"/>
          <w:szCs w:val="21"/>
          <w:highlight w:val="none"/>
        </w:rPr>
        <w:t>单位公章。</w:t>
      </w:r>
    </w:p>
    <w:p w14:paraId="1725773F">
      <w:pPr>
        <w:pStyle w:val="10"/>
        <w:spacing w:line="440" w:lineRule="exact"/>
        <w:ind w:left="0" w:right="-260" w:rightChars="-124"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r>
        <w:rPr>
          <w:rFonts w:hint="eastAsia" w:ascii="宋体" w:hAnsi="宋体" w:eastAsia="宋体" w:cs="宋体"/>
          <w:sz w:val="21"/>
          <w:szCs w:val="21"/>
          <w:highlight w:val="none"/>
        </w:rPr>
        <w:t>未按本章第</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.1项要求密封和加写标记的</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比选人</w:t>
      </w:r>
      <w:r>
        <w:rPr>
          <w:rFonts w:hint="eastAsia" w:ascii="宋体" w:hAnsi="宋体" w:eastAsia="宋体" w:cs="宋体"/>
          <w:sz w:val="21"/>
          <w:szCs w:val="21"/>
          <w:highlight w:val="none"/>
        </w:rPr>
        <w:t>不予受理。</w:t>
      </w:r>
    </w:p>
    <w:p w14:paraId="51A39036">
      <w:pPr>
        <w:spacing w:line="440" w:lineRule="exact"/>
        <w:ind w:right="-260" w:rightChars="-124" w:firstLine="422" w:firstLineChars="200"/>
        <w:outlineLvl w:val="1"/>
        <w:rPr>
          <w:rFonts w:hint="eastAsia" w:ascii="宋体" w:hAnsi="宋体" w:eastAsia="宋体" w:cs="宋体"/>
          <w:b/>
          <w:sz w:val="21"/>
          <w:szCs w:val="21"/>
          <w:highlight w:val="none"/>
          <w:lang w:eastAsia="zh-CN"/>
        </w:rPr>
      </w:pPr>
      <w:bookmarkStart w:id="53" w:name="_Toc22603"/>
      <w:bookmarkStart w:id="54" w:name="_Toc727"/>
      <w:bookmarkStart w:id="55" w:name="_Toc8201"/>
      <w:r>
        <w:rPr>
          <w:rFonts w:hint="eastAsia" w:ascii="宋体" w:hAnsi="宋体" w:eastAsia="宋体" w:cs="宋体"/>
          <w:b/>
          <w:sz w:val="21"/>
          <w:szCs w:val="21"/>
          <w:highlight w:val="none"/>
        </w:rPr>
        <w:t>六、</w:t>
      </w:r>
      <w:bookmarkEnd w:id="53"/>
      <w:r>
        <w:rPr>
          <w:rFonts w:hint="eastAsia" w:ascii="宋体" w:hAnsi="宋体" w:eastAsia="宋体" w:cs="宋体"/>
          <w:b/>
          <w:sz w:val="21"/>
          <w:szCs w:val="21"/>
          <w:highlight w:val="none"/>
          <w:lang w:eastAsia="zh-CN"/>
        </w:rPr>
        <w:t>参选报价</w:t>
      </w:r>
      <w:bookmarkEnd w:id="54"/>
    </w:p>
    <w:bookmarkEnd w:id="55"/>
    <w:p w14:paraId="20CF15D2">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260" w:rightChars="-124" w:firstLine="422" w:firstLineChars="200"/>
        <w:textAlignment w:val="auto"/>
        <w:outlineLvl w:val="9"/>
        <w:rPr>
          <w:rFonts w:hint="eastAsia" w:ascii="宋体" w:hAnsi="宋体" w:eastAsia="宋体" w:cs="宋体"/>
          <w:b/>
          <w:bCs w:val="0"/>
          <w:sz w:val="21"/>
          <w:szCs w:val="21"/>
          <w:highlight w:val="none"/>
          <w:lang w:val="en-US" w:eastAsia="zh-CN"/>
        </w:rPr>
      </w:pPr>
      <w:bookmarkStart w:id="56" w:name="_Toc7787"/>
      <w:r>
        <w:rPr>
          <w:rFonts w:hint="eastAsia" w:ascii="宋体" w:hAnsi="宋体" w:eastAsia="宋体" w:cs="宋体"/>
          <w:b/>
          <w:bCs w:val="0"/>
          <w:sz w:val="21"/>
          <w:szCs w:val="21"/>
          <w:highlight w:val="none"/>
          <w:lang w:val="en-US" w:eastAsia="zh-CN"/>
        </w:rPr>
        <w:t>①维保费用：</w:t>
      </w:r>
      <w:r>
        <w:rPr>
          <w:rFonts w:hint="eastAsia" w:ascii="宋体" w:hAnsi="宋体" w:eastAsia="宋体" w:cs="宋体"/>
          <w:sz w:val="21"/>
          <w:szCs w:val="21"/>
          <w:highlight w:val="none"/>
          <w:lang w:val="en-US" w:eastAsia="zh-CN"/>
        </w:rPr>
        <w:t>32万</w:t>
      </w:r>
      <w:r>
        <w:rPr>
          <w:rFonts w:hint="eastAsia" w:ascii="宋体" w:hAnsi="宋体" w:cs="宋体"/>
          <w:sz w:val="21"/>
          <w:szCs w:val="21"/>
          <w:highlight w:val="none"/>
          <w:lang w:val="en-US" w:eastAsia="zh-CN"/>
        </w:rPr>
        <w:t>元</w:t>
      </w:r>
      <w:r>
        <w:rPr>
          <w:rFonts w:hint="eastAsia" w:ascii="宋体" w:hAnsi="宋体" w:eastAsia="宋体" w:cs="宋体"/>
          <w:sz w:val="21"/>
          <w:szCs w:val="21"/>
          <w:highlight w:val="none"/>
          <w:lang w:val="en-US" w:eastAsia="zh-CN"/>
        </w:rPr>
        <w:t>/年，合计64万</w:t>
      </w:r>
      <w:r>
        <w:rPr>
          <w:rFonts w:hint="eastAsia" w:ascii="宋体" w:hAnsi="宋体" w:cs="宋体"/>
          <w:sz w:val="21"/>
          <w:szCs w:val="21"/>
          <w:highlight w:val="none"/>
          <w:lang w:val="en-US" w:eastAsia="zh-CN"/>
        </w:rPr>
        <w:t>元，不满1年的按月折算</w:t>
      </w:r>
      <w:r>
        <w:rPr>
          <w:rFonts w:hint="eastAsia" w:ascii="宋体" w:hAnsi="宋体" w:eastAsia="宋体" w:cs="宋体"/>
          <w:b/>
          <w:bCs w:val="0"/>
          <w:sz w:val="21"/>
          <w:szCs w:val="21"/>
          <w:highlight w:val="none"/>
          <w:lang w:val="en-US" w:eastAsia="zh-CN"/>
        </w:rPr>
        <w:t>；维保费用为含税全包价，包含完成服务内容所需的全部费用（工、料、机、管理费、利润、各种相关规费、一切税金及合同明示或暗示的所有责任、义务和风险等）。</w:t>
      </w:r>
    </w:p>
    <w:p w14:paraId="2F5EC4C2">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260" w:rightChars="-124" w:firstLine="420" w:firstLineChars="200"/>
        <w:textAlignment w:val="auto"/>
        <w:outlineLvl w:val="9"/>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eastAsia="zh-CN"/>
        </w:rPr>
        <w:t>参选报价</w:t>
      </w:r>
      <w:r>
        <w:rPr>
          <w:rFonts w:hint="eastAsia" w:ascii="宋体" w:hAnsi="宋体" w:eastAsia="宋体" w:cs="宋体"/>
          <w:b w:val="0"/>
          <w:bCs/>
          <w:sz w:val="21"/>
          <w:szCs w:val="21"/>
          <w:highlight w:val="none"/>
        </w:rPr>
        <w:t>由</w:t>
      </w:r>
      <w:r>
        <w:rPr>
          <w:rFonts w:hint="eastAsia" w:ascii="宋体" w:hAnsi="宋体" w:eastAsia="宋体" w:cs="宋体"/>
          <w:b w:val="0"/>
          <w:bCs/>
          <w:sz w:val="21"/>
          <w:szCs w:val="21"/>
          <w:highlight w:val="none"/>
          <w:lang w:eastAsia="zh-CN"/>
        </w:rPr>
        <w:t>参选人</w:t>
      </w:r>
      <w:r>
        <w:rPr>
          <w:rFonts w:hint="eastAsia" w:ascii="宋体" w:hAnsi="宋体" w:eastAsia="宋体" w:cs="宋体"/>
          <w:b w:val="0"/>
          <w:bCs/>
          <w:sz w:val="21"/>
          <w:szCs w:val="21"/>
          <w:highlight w:val="none"/>
        </w:rPr>
        <w:t>在</w:t>
      </w:r>
      <w:r>
        <w:rPr>
          <w:rFonts w:hint="eastAsia" w:ascii="宋体" w:hAnsi="宋体" w:eastAsia="宋体" w:cs="宋体"/>
          <w:b w:val="0"/>
          <w:bCs/>
          <w:sz w:val="21"/>
          <w:szCs w:val="21"/>
          <w:highlight w:val="none"/>
          <w:lang w:eastAsia="zh-CN"/>
        </w:rPr>
        <w:t>比选控制价</w:t>
      </w:r>
      <w:r>
        <w:rPr>
          <w:rFonts w:hint="eastAsia" w:ascii="宋体" w:hAnsi="宋体" w:eastAsia="宋体" w:cs="宋体"/>
          <w:b w:val="0"/>
          <w:bCs/>
          <w:sz w:val="21"/>
          <w:szCs w:val="21"/>
          <w:highlight w:val="none"/>
        </w:rPr>
        <w:t>范围内自行报价。</w:t>
      </w:r>
      <w:r>
        <w:rPr>
          <w:rFonts w:hint="eastAsia" w:ascii="宋体" w:hAnsi="宋体" w:eastAsia="宋体" w:cs="宋体"/>
          <w:b w:val="0"/>
          <w:bCs/>
          <w:sz w:val="21"/>
          <w:szCs w:val="21"/>
          <w:highlight w:val="none"/>
          <w:lang w:eastAsia="zh-CN"/>
        </w:rPr>
        <w:t>参选报价</w:t>
      </w:r>
      <w:r>
        <w:rPr>
          <w:rFonts w:hint="eastAsia" w:ascii="宋体" w:hAnsi="宋体" w:eastAsia="宋体" w:cs="宋体"/>
          <w:b w:val="0"/>
          <w:bCs/>
          <w:sz w:val="21"/>
          <w:szCs w:val="21"/>
          <w:highlight w:val="none"/>
        </w:rPr>
        <w:t>不得超过</w:t>
      </w:r>
      <w:r>
        <w:rPr>
          <w:rFonts w:hint="eastAsia" w:ascii="宋体" w:hAnsi="宋体" w:eastAsia="宋体" w:cs="宋体"/>
          <w:b w:val="0"/>
          <w:bCs/>
          <w:sz w:val="21"/>
          <w:szCs w:val="21"/>
          <w:highlight w:val="none"/>
          <w:lang w:eastAsia="zh-CN"/>
        </w:rPr>
        <w:t>比选控制价</w:t>
      </w:r>
      <w:r>
        <w:rPr>
          <w:rFonts w:hint="eastAsia" w:ascii="宋体" w:hAnsi="宋体" w:eastAsia="宋体" w:cs="宋体"/>
          <w:b w:val="0"/>
          <w:bCs/>
          <w:sz w:val="21"/>
          <w:szCs w:val="21"/>
          <w:highlight w:val="none"/>
        </w:rPr>
        <w:t>，若</w:t>
      </w:r>
      <w:r>
        <w:rPr>
          <w:rFonts w:hint="eastAsia" w:ascii="宋体" w:hAnsi="宋体" w:eastAsia="宋体" w:cs="宋体"/>
          <w:b w:val="0"/>
          <w:bCs/>
          <w:sz w:val="21"/>
          <w:szCs w:val="21"/>
          <w:highlight w:val="none"/>
          <w:lang w:eastAsia="zh-CN"/>
        </w:rPr>
        <w:t>参选报价</w:t>
      </w:r>
      <w:r>
        <w:rPr>
          <w:rFonts w:hint="eastAsia" w:ascii="宋体" w:hAnsi="宋体" w:eastAsia="宋体" w:cs="宋体"/>
          <w:b w:val="0"/>
          <w:bCs/>
          <w:sz w:val="21"/>
          <w:szCs w:val="21"/>
          <w:highlight w:val="none"/>
        </w:rPr>
        <w:t>超过</w:t>
      </w:r>
      <w:r>
        <w:rPr>
          <w:rFonts w:hint="eastAsia" w:ascii="宋体" w:hAnsi="宋体" w:eastAsia="宋体" w:cs="宋体"/>
          <w:b w:val="0"/>
          <w:bCs/>
          <w:sz w:val="21"/>
          <w:szCs w:val="21"/>
          <w:highlight w:val="none"/>
          <w:lang w:eastAsia="zh-CN"/>
        </w:rPr>
        <w:t>比选控制价</w:t>
      </w:r>
      <w:r>
        <w:rPr>
          <w:rFonts w:hint="eastAsia" w:ascii="宋体" w:hAnsi="宋体" w:eastAsia="宋体" w:cs="宋体"/>
          <w:b w:val="0"/>
          <w:bCs/>
          <w:sz w:val="21"/>
          <w:szCs w:val="21"/>
          <w:highlight w:val="none"/>
        </w:rPr>
        <w:t>，其</w:t>
      </w:r>
      <w:r>
        <w:rPr>
          <w:rFonts w:hint="eastAsia" w:ascii="宋体" w:hAnsi="宋体" w:eastAsia="宋体" w:cs="宋体"/>
          <w:b w:val="0"/>
          <w:bCs/>
          <w:sz w:val="21"/>
          <w:szCs w:val="21"/>
          <w:highlight w:val="none"/>
          <w:lang w:eastAsia="zh-CN"/>
        </w:rPr>
        <w:t>参选</w:t>
      </w:r>
      <w:r>
        <w:rPr>
          <w:rFonts w:hint="eastAsia" w:ascii="宋体" w:hAnsi="宋体" w:eastAsia="宋体" w:cs="宋体"/>
          <w:b w:val="0"/>
          <w:bCs/>
          <w:sz w:val="21"/>
          <w:szCs w:val="21"/>
          <w:highlight w:val="none"/>
        </w:rPr>
        <w:t>将予以否决。报价表中的</w:t>
      </w:r>
      <w:r>
        <w:rPr>
          <w:rFonts w:hint="eastAsia" w:ascii="宋体" w:hAnsi="宋体" w:eastAsia="宋体" w:cs="宋体"/>
          <w:b w:val="0"/>
          <w:bCs/>
          <w:sz w:val="21"/>
          <w:szCs w:val="21"/>
          <w:highlight w:val="none"/>
          <w:lang w:eastAsia="zh-CN"/>
        </w:rPr>
        <w:t>参选报价</w:t>
      </w:r>
      <w:r>
        <w:rPr>
          <w:rFonts w:hint="eastAsia" w:ascii="宋体" w:hAnsi="宋体" w:eastAsia="宋体" w:cs="宋体"/>
          <w:b w:val="0"/>
          <w:bCs/>
          <w:sz w:val="21"/>
          <w:szCs w:val="21"/>
          <w:highlight w:val="none"/>
        </w:rPr>
        <w:t>为</w:t>
      </w:r>
      <w:r>
        <w:rPr>
          <w:rFonts w:hint="eastAsia" w:ascii="宋体" w:hAnsi="宋体" w:eastAsia="宋体" w:cs="宋体"/>
          <w:b w:val="0"/>
          <w:bCs/>
          <w:sz w:val="21"/>
          <w:szCs w:val="21"/>
          <w:highlight w:val="none"/>
          <w:lang w:eastAsia="zh-CN"/>
        </w:rPr>
        <w:t>参选人</w:t>
      </w:r>
      <w:r>
        <w:rPr>
          <w:rFonts w:hint="eastAsia" w:ascii="宋体" w:hAnsi="宋体" w:eastAsia="宋体" w:cs="宋体"/>
          <w:b w:val="0"/>
          <w:bCs/>
          <w:sz w:val="21"/>
          <w:szCs w:val="21"/>
          <w:highlight w:val="none"/>
        </w:rPr>
        <w:t>的最终报价，</w:t>
      </w:r>
      <w:r>
        <w:rPr>
          <w:rFonts w:hint="eastAsia" w:ascii="宋体" w:hAnsi="宋体" w:eastAsia="宋体" w:cs="宋体"/>
          <w:b w:val="0"/>
          <w:bCs/>
          <w:sz w:val="21"/>
          <w:szCs w:val="21"/>
          <w:highlight w:val="none"/>
          <w:lang w:eastAsia="zh-CN"/>
        </w:rPr>
        <w:t>比选人</w:t>
      </w:r>
      <w:r>
        <w:rPr>
          <w:rFonts w:hint="eastAsia" w:ascii="宋体" w:hAnsi="宋体" w:eastAsia="宋体" w:cs="宋体"/>
          <w:b w:val="0"/>
          <w:bCs/>
          <w:sz w:val="21"/>
          <w:szCs w:val="21"/>
          <w:highlight w:val="none"/>
        </w:rPr>
        <w:t>不接受</w:t>
      </w:r>
      <w:r>
        <w:rPr>
          <w:rFonts w:hint="eastAsia" w:ascii="宋体" w:hAnsi="宋体" w:eastAsia="宋体" w:cs="宋体"/>
          <w:b w:val="0"/>
          <w:bCs/>
          <w:sz w:val="21"/>
          <w:szCs w:val="21"/>
          <w:highlight w:val="none"/>
          <w:lang w:eastAsia="zh-CN"/>
        </w:rPr>
        <w:t>参选人</w:t>
      </w:r>
      <w:r>
        <w:rPr>
          <w:rFonts w:hint="eastAsia" w:ascii="宋体" w:hAnsi="宋体" w:eastAsia="宋体" w:cs="宋体"/>
          <w:b w:val="0"/>
          <w:bCs/>
          <w:sz w:val="21"/>
          <w:szCs w:val="21"/>
          <w:highlight w:val="none"/>
        </w:rPr>
        <w:t>递交的降价函、调价函及按比例优惠等任何其他形式的报价，只允许一个</w:t>
      </w:r>
      <w:r>
        <w:rPr>
          <w:rFonts w:hint="eastAsia" w:ascii="宋体" w:hAnsi="宋体" w:eastAsia="宋体" w:cs="宋体"/>
          <w:b w:val="0"/>
          <w:bCs/>
          <w:sz w:val="21"/>
          <w:szCs w:val="21"/>
          <w:highlight w:val="none"/>
          <w:lang w:eastAsia="zh-CN"/>
        </w:rPr>
        <w:t>参选报价</w:t>
      </w: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eastAsia="zh-CN"/>
        </w:rPr>
        <w:t>参选</w:t>
      </w:r>
      <w:r>
        <w:rPr>
          <w:rFonts w:hint="eastAsia" w:ascii="宋体" w:hAnsi="宋体" w:eastAsia="宋体" w:cs="宋体"/>
          <w:b w:val="0"/>
          <w:bCs/>
          <w:sz w:val="21"/>
          <w:szCs w:val="21"/>
          <w:highlight w:val="none"/>
        </w:rPr>
        <w:t>币种为人民币。</w:t>
      </w:r>
    </w:p>
    <w:p w14:paraId="0C6BDF53">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260" w:rightChars="-124" w:firstLine="420" w:firstLineChars="200"/>
        <w:textAlignment w:val="auto"/>
        <w:outlineLvl w:val="9"/>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参选人</w:t>
      </w:r>
      <w:r>
        <w:rPr>
          <w:rFonts w:hint="eastAsia" w:ascii="宋体" w:hAnsi="宋体" w:eastAsia="宋体" w:cs="宋体"/>
          <w:b w:val="0"/>
          <w:bCs/>
          <w:sz w:val="21"/>
          <w:szCs w:val="21"/>
          <w:highlight w:val="none"/>
        </w:rPr>
        <w:t>应依据国家的有关费用标准和企业自身状况，并对报价的各项因素进行了充分了解和考虑后编制</w:t>
      </w:r>
      <w:r>
        <w:rPr>
          <w:rFonts w:hint="eastAsia" w:ascii="宋体" w:hAnsi="宋体" w:eastAsia="宋体" w:cs="宋体"/>
          <w:b w:val="0"/>
          <w:bCs/>
          <w:sz w:val="21"/>
          <w:szCs w:val="21"/>
          <w:highlight w:val="none"/>
          <w:lang w:val="en-US" w:eastAsia="zh-CN"/>
        </w:rPr>
        <w:t>参选报价</w:t>
      </w:r>
      <w:r>
        <w:rPr>
          <w:rFonts w:hint="eastAsia" w:ascii="宋体" w:hAnsi="宋体" w:eastAsia="宋体" w:cs="宋体"/>
          <w:b w:val="0"/>
          <w:bCs/>
          <w:sz w:val="21"/>
          <w:szCs w:val="21"/>
          <w:highlight w:val="none"/>
        </w:rPr>
        <w:t>，并对此报价负责，</w:t>
      </w:r>
      <w:r>
        <w:rPr>
          <w:rFonts w:hint="eastAsia" w:ascii="宋体" w:hAnsi="宋体" w:eastAsia="宋体" w:cs="宋体"/>
          <w:b w:val="0"/>
          <w:bCs/>
          <w:sz w:val="21"/>
          <w:szCs w:val="21"/>
          <w:highlight w:val="none"/>
          <w:lang w:val="en-US" w:eastAsia="zh-CN"/>
        </w:rPr>
        <w:t>参选人</w:t>
      </w:r>
      <w:r>
        <w:rPr>
          <w:rFonts w:hint="eastAsia" w:ascii="宋体" w:hAnsi="宋体" w:eastAsia="宋体" w:cs="宋体"/>
          <w:b w:val="0"/>
          <w:bCs/>
          <w:sz w:val="21"/>
          <w:szCs w:val="21"/>
          <w:highlight w:val="none"/>
        </w:rPr>
        <w:t>未报、漏报的内容</w:t>
      </w:r>
      <w:r>
        <w:rPr>
          <w:rFonts w:hint="eastAsia" w:ascii="宋体" w:hAnsi="宋体" w:eastAsia="宋体" w:cs="宋体"/>
          <w:b w:val="0"/>
          <w:bCs/>
          <w:sz w:val="21"/>
          <w:szCs w:val="21"/>
          <w:highlight w:val="none"/>
          <w:lang w:val="en-US" w:eastAsia="zh-CN"/>
        </w:rPr>
        <w:t>比选人</w:t>
      </w:r>
      <w:r>
        <w:rPr>
          <w:rFonts w:hint="eastAsia" w:ascii="宋体" w:hAnsi="宋体" w:eastAsia="宋体" w:cs="宋体"/>
          <w:b w:val="0"/>
          <w:bCs/>
          <w:sz w:val="21"/>
          <w:szCs w:val="21"/>
          <w:highlight w:val="none"/>
        </w:rPr>
        <w:t>将认为已包含在</w:t>
      </w:r>
      <w:r>
        <w:rPr>
          <w:rFonts w:hint="eastAsia" w:ascii="宋体" w:hAnsi="宋体" w:eastAsia="宋体" w:cs="宋体"/>
          <w:b w:val="0"/>
          <w:bCs/>
          <w:sz w:val="21"/>
          <w:szCs w:val="21"/>
          <w:highlight w:val="none"/>
          <w:lang w:val="en-US" w:eastAsia="zh-CN"/>
        </w:rPr>
        <w:t>参选报价</w:t>
      </w:r>
      <w:r>
        <w:rPr>
          <w:rFonts w:hint="eastAsia" w:ascii="宋体" w:hAnsi="宋体" w:eastAsia="宋体" w:cs="宋体"/>
          <w:b w:val="0"/>
          <w:bCs/>
          <w:sz w:val="21"/>
          <w:szCs w:val="21"/>
          <w:highlight w:val="none"/>
        </w:rPr>
        <w:t>内。在合同履行过程中，</w:t>
      </w:r>
      <w:r>
        <w:rPr>
          <w:rFonts w:hint="eastAsia" w:ascii="宋体" w:hAnsi="宋体" w:eastAsia="宋体" w:cs="宋体"/>
          <w:b w:val="0"/>
          <w:bCs/>
          <w:sz w:val="21"/>
          <w:szCs w:val="21"/>
          <w:highlight w:val="none"/>
          <w:lang w:eastAsia="zh-CN"/>
        </w:rPr>
        <w:t>中选</w:t>
      </w:r>
      <w:r>
        <w:rPr>
          <w:rFonts w:hint="eastAsia" w:ascii="宋体" w:hAnsi="宋体" w:eastAsia="宋体" w:cs="宋体"/>
          <w:b w:val="0"/>
          <w:bCs/>
          <w:sz w:val="21"/>
          <w:szCs w:val="21"/>
          <w:highlight w:val="none"/>
        </w:rPr>
        <w:t>价不进行调整。</w:t>
      </w:r>
    </w:p>
    <w:p w14:paraId="0AB2EBF6">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260" w:rightChars="-124" w:firstLine="422" w:firstLineChars="200"/>
        <w:textAlignment w:val="auto"/>
        <w:outlineLvl w:val="9"/>
        <w:rPr>
          <w:rFonts w:hint="eastAsia" w:ascii="宋体" w:hAnsi="宋体" w:eastAsia="宋体" w:cs="宋体"/>
          <w:b w:val="0"/>
          <w:bCs/>
          <w:sz w:val="21"/>
          <w:szCs w:val="21"/>
          <w:highlight w:val="none"/>
        </w:rPr>
      </w:pPr>
      <w:r>
        <w:rPr>
          <w:rFonts w:hint="eastAsia" w:ascii="宋体" w:hAnsi="宋体" w:eastAsia="宋体" w:cs="宋体"/>
          <w:b/>
          <w:bCs w:val="0"/>
          <w:sz w:val="21"/>
          <w:szCs w:val="21"/>
          <w:highlight w:val="none"/>
          <w:lang w:val="en-US" w:eastAsia="zh-CN"/>
        </w:rPr>
        <w:t>②备品备件费用：每年合同期内备件采购费用累计不超过10万元的，由比选人审核后实报实销；</w:t>
      </w:r>
      <w:r>
        <w:rPr>
          <w:rFonts w:hint="eastAsia" w:ascii="宋体" w:hAnsi="宋体" w:cs="宋体"/>
          <w:b/>
          <w:bCs w:val="0"/>
          <w:sz w:val="21"/>
          <w:szCs w:val="21"/>
          <w:highlight w:val="none"/>
          <w:lang w:val="en-US" w:eastAsia="zh-CN"/>
        </w:rPr>
        <w:t>每年</w:t>
      </w:r>
      <w:r>
        <w:rPr>
          <w:rFonts w:hint="eastAsia" w:ascii="宋体" w:hAnsi="宋体" w:eastAsia="宋体" w:cs="宋体"/>
          <w:b/>
          <w:bCs w:val="0"/>
          <w:sz w:val="21"/>
          <w:szCs w:val="21"/>
          <w:highlight w:val="none"/>
          <w:lang w:val="en-US" w:eastAsia="zh-CN"/>
        </w:rPr>
        <w:t>合同期内备件采购费用累计超过10万元的部分，由参选人自行承担。</w:t>
      </w:r>
    </w:p>
    <w:p w14:paraId="19AFDCAA">
      <w:pPr>
        <w:spacing w:line="440" w:lineRule="exact"/>
        <w:ind w:right="-260" w:rightChars="-124" w:firstLine="422" w:firstLineChars="200"/>
        <w:outlineLvl w:val="1"/>
        <w:rPr>
          <w:rFonts w:hint="eastAsia" w:ascii="宋体" w:hAnsi="宋体" w:eastAsia="宋体" w:cs="宋体"/>
          <w:b/>
          <w:sz w:val="21"/>
          <w:szCs w:val="21"/>
          <w:highlight w:val="none"/>
          <w:lang w:eastAsia="zh-CN"/>
        </w:rPr>
      </w:pPr>
      <w:bookmarkStart w:id="57" w:name="_Toc22324"/>
      <w:bookmarkStart w:id="58" w:name="_Toc13833"/>
      <w:r>
        <w:rPr>
          <w:rFonts w:hint="eastAsia" w:ascii="宋体" w:hAnsi="宋体" w:eastAsia="宋体" w:cs="宋体"/>
          <w:b/>
          <w:sz w:val="21"/>
          <w:szCs w:val="21"/>
          <w:highlight w:val="none"/>
        </w:rPr>
        <w:t>七、</w:t>
      </w:r>
      <w:r>
        <w:rPr>
          <w:rFonts w:hint="eastAsia" w:ascii="宋体" w:hAnsi="宋体" w:eastAsia="宋体" w:cs="宋体"/>
          <w:b/>
          <w:sz w:val="21"/>
          <w:szCs w:val="21"/>
          <w:highlight w:val="none"/>
          <w:lang w:eastAsia="zh-CN"/>
        </w:rPr>
        <w:t>参选有效期</w:t>
      </w:r>
      <w:r>
        <w:rPr>
          <w:rFonts w:hint="eastAsia" w:ascii="宋体" w:hAnsi="宋体" w:eastAsia="宋体" w:cs="宋体"/>
          <w:b/>
          <w:sz w:val="21"/>
          <w:szCs w:val="21"/>
          <w:highlight w:val="none"/>
        </w:rPr>
        <w:t>和</w:t>
      </w:r>
      <w:bookmarkEnd w:id="57"/>
      <w:r>
        <w:rPr>
          <w:rFonts w:hint="eastAsia" w:ascii="宋体" w:hAnsi="宋体" w:eastAsia="宋体" w:cs="宋体"/>
          <w:b/>
          <w:sz w:val="21"/>
          <w:szCs w:val="21"/>
          <w:highlight w:val="none"/>
          <w:lang w:eastAsia="zh-CN"/>
        </w:rPr>
        <w:t>参选保证金</w:t>
      </w:r>
      <w:bookmarkEnd w:id="58"/>
    </w:p>
    <w:p w14:paraId="2824F3C9">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参选有效期</w:t>
      </w:r>
      <w:r>
        <w:rPr>
          <w:rFonts w:hint="eastAsia" w:ascii="宋体" w:hAnsi="宋体" w:eastAsia="宋体" w:cs="宋体"/>
          <w:sz w:val="21"/>
          <w:szCs w:val="21"/>
          <w:highlight w:val="none"/>
        </w:rPr>
        <w:t>为本项目开标之日后九十天，在</w:t>
      </w:r>
      <w:r>
        <w:rPr>
          <w:rFonts w:hint="eastAsia" w:ascii="宋体" w:hAnsi="宋体" w:eastAsia="宋体" w:cs="宋体"/>
          <w:sz w:val="21"/>
          <w:szCs w:val="21"/>
          <w:highlight w:val="none"/>
          <w:lang w:eastAsia="zh-CN"/>
        </w:rPr>
        <w:t>参选有效期</w:t>
      </w:r>
      <w:r>
        <w:rPr>
          <w:rFonts w:hint="eastAsia" w:ascii="宋体" w:hAnsi="宋体" w:eastAsia="宋体" w:cs="宋体"/>
          <w:sz w:val="21"/>
          <w:szCs w:val="21"/>
          <w:highlight w:val="none"/>
        </w:rPr>
        <w:t>内</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不得要求撤销或修改其</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w:t>
      </w:r>
    </w:p>
    <w:p w14:paraId="58F7B9E1">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2、出现特殊情况需要延长</w:t>
      </w:r>
      <w:r>
        <w:rPr>
          <w:rFonts w:hint="eastAsia" w:ascii="宋体" w:hAnsi="宋体" w:eastAsia="宋体" w:cs="宋体"/>
          <w:sz w:val="21"/>
          <w:szCs w:val="21"/>
          <w:highlight w:val="none"/>
          <w:lang w:eastAsia="zh-CN"/>
        </w:rPr>
        <w:t>参选有效期</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以书面形式通知所有</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延长</w:t>
      </w:r>
      <w:r>
        <w:rPr>
          <w:rFonts w:hint="eastAsia" w:ascii="宋体" w:hAnsi="宋体" w:eastAsia="宋体" w:cs="宋体"/>
          <w:sz w:val="21"/>
          <w:szCs w:val="21"/>
          <w:highlight w:val="none"/>
          <w:lang w:eastAsia="zh-CN"/>
        </w:rPr>
        <w:t>参选有效期</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同意延长的，应相应延长其</w:t>
      </w:r>
      <w:r>
        <w:rPr>
          <w:rFonts w:hint="eastAsia" w:ascii="宋体" w:hAnsi="宋体" w:eastAsia="宋体" w:cs="宋体"/>
          <w:sz w:val="21"/>
          <w:szCs w:val="21"/>
          <w:highlight w:val="none"/>
          <w:lang w:eastAsia="zh-CN"/>
        </w:rPr>
        <w:t>参选保证金</w:t>
      </w:r>
      <w:r>
        <w:rPr>
          <w:rFonts w:hint="eastAsia" w:ascii="宋体" w:hAnsi="宋体" w:eastAsia="宋体" w:cs="宋体"/>
          <w:sz w:val="21"/>
          <w:szCs w:val="21"/>
          <w:highlight w:val="none"/>
        </w:rPr>
        <w:t>的有效期，但不得要求或被允许修改或撤销其</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拒绝延长的，其</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失效，但</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有权收回其</w:t>
      </w:r>
      <w:r>
        <w:rPr>
          <w:rFonts w:hint="eastAsia" w:ascii="宋体" w:hAnsi="宋体" w:eastAsia="宋体" w:cs="宋体"/>
          <w:sz w:val="21"/>
          <w:szCs w:val="21"/>
          <w:highlight w:val="none"/>
          <w:lang w:eastAsia="zh-CN"/>
        </w:rPr>
        <w:t>参选保证金</w:t>
      </w:r>
      <w:r>
        <w:rPr>
          <w:rFonts w:hint="eastAsia" w:ascii="宋体" w:hAnsi="宋体" w:eastAsia="宋体" w:cs="宋体"/>
          <w:sz w:val="21"/>
          <w:szCs w:val="21"/>
          <w:highlight w:val="none"/>
        </w:rPr>
        <w:t>。</w:t>
      </w:r>
    </w:p>
    <w:p w14:paraId="176C339E">
      <w:pPr>
        <w:spacing w:line="440" w:lineRule="exact"/>
        <w:ind w:right="-260" w:rightChars="-124"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参选保证金</w:t>
      </w:r>
    </w:p>
    <w:p w14:paraId="0FF9BD89">
      <w:pPr>
        <w:spacing w:line="440" w:lineRule="exact"/>
        <w:ind w:right="-260" w:rightChars="-124" w:firstLine="420" w:firstLineChars="200"/>
        <w:rPr>
          <w:rFonts w:hint="eastAsia" w:ascii="宋体" w:hAnsi="宋体" w:eastAsia="宋体" w:cs="宋体"/>
          <w:sz w:val="21"/>
          <w:szCs w:val="21"/>
          <w:highlight w:val="none"/>
        </w:rPr>
      </w:pPr>
      <w:bookmarkStart w:id="59" w:name="_Toc10623"/>
      <w:r>
        <w:rPr>
          <w:rFonts w:hint="eastAsia" w:ascii="宋体" w:hAnsi="宋体" w:eastAsia="宋体" w:cs="宋体"/>
          <w:sz w:val="21"/>
          <w:szCs w:val="21"/>
          <w:highlight w:val="none"/>
        </w:rPr>
        <w:t>免收。</w:t>
      </w:r>
    </w:p>
    <w:p w14:paraId="2F181C54">
      <w:pPr>
        <w:spacing w:line="440" w:lineRule="exact"/>
        <w:ind w:right="-260" w:rightChars="-124" w:firstLine="422" w:firstLineChars="200"/>
        <w:outlineLvl w:val="1"/>
        <w:rPr>
          <w:rFonts w:hint="eastAsia" w:ascii="宋体" w:hAnsi="宋体" w:eastAsia="宋体" w:cs="宋体"/>
          <w:b/>
          <w:sz w:val="21"/>
          <w:szCs w:val="21"/>
          <w:highlight w:val="none"/>
          <w:lang w:eastAsia="zh-CN"/>
        </w:rPr>
      </w:pPr>
      <w:bookmarkStart w:id="60" w:name="_Toc23586"/>
      <w:r>
        <w:rPr>
          <w:rFonts w:hint="eastAsia" w:ascii="宋体" w:hAnsi="宋体" w:eastAsia="宋体" w:cs="宋体"/>
          <w:b/>
          <w:sz w:val="21"/>
          <w:szCs w:val="21"/>
          <w:highlight w:val="none"/>
        </w:rPr>
        <w:t>八、</w:t>
      </w:r>
      <w:bookmarkEnd w:id="59"/>
      <w:r>
        <w:rPr>
          <w:rFonts w:hint="eastAsia" w:ascii="宋体" w:hAnsi="宋体" w:eastAsia="宋体" w:cs="宋体"/>
          <w:b/>
          <w:sz w:val="21"/>
          <w:szCs w:val="21"/>
          <w:highlight w:val="none"/>
          <w:lang w:eastAsia="zh-CN"/>
        </w:rPr>
        <w:t>参选费用</w:t>
      </w:r>
      <w:bookmarkEnd w:id="60"/>
    </w:p>
    <w:bookmarkEnd w:id="56"/>
    <w:p w14:paraId="55F7DA16">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承担参与</w:t>
      </w:r>
      <w:r>
        <w:rPr>
          <w:rFonts w:hint="eastAsia" w:ascii="宋体" w:hAnsi="宋体" w:eastAsia="宋体" w:cs="宋体"/>
          <w:sz w:val="21"/>
          <w:szCs w:val="21"/>
          <w:highlight w:val="none"/>
          <w:lang w:val="en-US" w:eastAsia="zh-CN"/>
        </w:rPr>
        <w:t>比选</w:t>
      </w:r>
      <w:r>
        <w:rPr>
          <w:rFonts w:hint="eastAsia" w:ascii="宋体" w:hAnsi="宋体" w:eastAsia="宋体" w:cs="宋体"/>
          <w:sz w:val="21"/>
          <w:szCs w:val="21"/>
          <w:highlight w:val="none"/>
        </w:rPr>
        <w:t>可能发生的全部费用，</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在任何情况下均无义务和责任承担这些费用。</w:t>
      </w:r>
    </w:p>
    <w:p w14:paraId="3CFFAAF0">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不收取任何费用。</w:t>
      </w:r>
    </w:p>
    <w:p w14:paraId="0AF570B8">
      <w:pPr>
        <w:spacing w:line="440" w:lineRule="exact"/>
        <w:ind w:right="-260" w:rightChars="-124" w:firstLine="422" w:firstLineChars="200"/>
        <w:outlineLvl w:val="1"/>
        <w:rPr>
          <w:rFonts w:hint="eastAsia" w:ascii="宋体" w:hAnsi="宋体" w:eastAsia="宋体" w:cs="宋体"/>
          <w:b/>
          <w:sz w:val="21"/>
          <w:szCs w:val="21"/>
          <w:highlight w:val="none"/>
        </w:rPr>
      </w:pPr>
      <w:bookmarkStart w:id="61" w:name="_Toc11900"/>
      <w:bookmarkStart w:id="62" w:name="_Toc10616"/>
      <w:bookmarkStart w:id="63" w:name="_Toc14486"/>
      <w:r>
        <w:rPr>
          <w:rFonts w:hint="eastAsia" w:ascii="宋体" w:hAnsi="宋体" w:eastAsia="宋体" w:cs="宋体"/>
          <w:b/>
          <w:sz w:val="21"/>
          <w:szCs w:val="21"/>
          <w:highlight w:val="none"/>
        </w:rPr>
        <w:t>九、开标与评标流程</w:t>
      </w:r>
      <w:bookmarkEnd w:id="61"/>
      <w:bookmarkEnd w:id="62"/>
    </w:p>
    <w:bookmarkEnd w:id="63"/>
    <w:p w14:paraId="5163161C">
      <w:pPr>
        <w:spacing w:line="440" w:lineRule="exact"/>
        <w:ind w:right="-260" w:rightChars="-124" w:firstLine="420" w:firstLineChars="200"/>
        <w:rPr>
          <w:rFonts w:hint="eastAsia" w:ascii="宋体" w:hAnsi="宋体" w:eastAsia="宋体" w:cs="宋体"/>
          <w:sz w:val="21"/>
          <w:szCs w:val="21"/>
          <w:highlight w:val="none"/>
        </w:rPr>
      </w:pPr>
      <w:bookmarkStart w:id="64" w:name="_Toc17626"/>
      <w:r>
        <w:rPr>
          <w:rFonts w:hint="eastAsia" w:ascii="宋体" w:hAnsi="宋体" w:eastAsia="宋体" w:cs="宋体"/>
          <w:sz w:val="21"/>
          <w:szCs w:val="21"/>
          <w:highlight w:val="none"/>
        </w:rPr>
        <w:t>1、</w:t>
      </w:r>
      <w:bookmarkEnd w:id="64"/>
      <w:bookmarkStart w:id="65" w:name="_Toc13869"/>
      <w:r>
        <w:rPr>
          <w:rFonts w:hint="eastAsia" w:ascii="宋体" w:hAnsi="宋体" w:eastAsia="宋体" w:cs="宋体"/>
          <w:sz w:val="21"/>
          <w:szCs w:val="21"/>
          <w:highlight w:val="none"/>
        </w:rPr>
        <w:t>开标程序</w:t>
      </w:r>
      <w:bookmarkEnd w:id="65"/>
    </w:p>
    <w:p w14:paraId="170BD039">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公布在</w:t>
      </w:r>
      <w:r>
        <w:rPr>
          <w:rFonts w:hint="eastAsia" w:ascii="宋体" w:hAnsi="宋体" w:eastAsia="宋体" w:cs="宋体"/>
          <w:sz w:val="21"/>
          <w:szCs w:val="21"/>
          <w:highlight w:val="none"/>
          <w:lang w:val="en-US" w:eastAsia="zh-CN"/>
        </w:rPr>
        <w:t>参选截止时间</w:t>
      </w:r>
      <w:r>
        <w:rPr>
          <w:rFonts w:hint="eastAsia" w:ascii="宋体" w:hAnsi="宋体" w:eastAsia="宋体" w:cs="宋体"/>
          <w:sz w:val="21"/>
          <w:szCs w:val="21"/>
          <w:highlight w:val="none"/>
        </w:rPr>
        <w:t>前递交</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参选人</w:t>
      </w:r>
      <w:r>
        <w:rPr>
          <w:rFonts w:hint="eastAsia" w:ascii="宋体" w:hAnsi="宋体" w:eastAsia="宋体" w:cs="宋体"/>
          <w:sz w:val="21"/>
          <w:szCs w:val="21"/>
          <w:highlight w:val="none"/>
        </w:rPr>
        <w:t>名称，点名确认是否按</w:t>
      </w:r>
      <w:r>
        <w:rPr>
          <w:rFonts w:hint="eastAsia" w:ascii="宋体" w:hAnsi="宋体" w:eastAsia="宋体" w:cs="宋体"/>
          <w:sz w:val="21"/>
          <w:szCs w:val="21"/>
          <w:highlight w:val="none"/>
          <w:lang w:val="en-US" w:eastAsia="zh-CN"/>
        </w:rPr>
        <w:t>比选文件</w:t>
      </w:r>
      <w:r>
        <w:rPr>
          <w:rFonts w:hint="eastAsia" w:ascii="宋体" w:hAnsi="宋体" w:eastAsia="宋体" w:cs="宋体"/>
          <w:sz w:val="21"/>
          <w:szCs w:val="21"/>
          <w:highlight w:val="none"/>
        </w:rPr>
        <w:t>要求派人到场；</w:t>
      </w:r>
    </w:p>
    <w:p w14:paraId="54341052">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由</w:t>
      </w:r>
      <w:r>
        <w:rPr>
          <w:rFonts w:hint="eastAsia" w:ascii="宋体" w:hAnsi="宋体" w:eastAsia="宋体" w:cs="宋体"/>
          <w:sz w:val="21"/>
          <w:szCs w:val="21"/>
          <w:highlight w:val="none"/>
          <w:lang w:val="en-US" w:eastAsia="zh-CN"/>
        </w:rPr>
        <w:t>参选人</w:t>
      </w:r>
      <w:r>
        <w:rPr>
          <w:rFonts w:hint="eastAsia" w:ascii="宋体" w:hAnsi="宋体" w:eastAsia="宋体" w:cs="宋体"/>
          <w:sz w:val="21"/>
          <w:szCs w:val="21"/>
          <w:highlight w:val="none"/>
        </w:rPr>
        <w:t>代表相互检查</w:t>
      </w:r>
      <w:r>
        <w:rPr>
          <w:rFonts w:hint="eastAsia" w:ascii="宋体" w:hAnsi="宋体" w:eastAsia="宋体" w:cs="宋体"/>
          <w:sz w:val="21"/>
          <w:szCs w:val="21"/>
          <w:highlight w:val="none"/>
          <w:lang w:val="en-US" w:eastAsia="zh-CN"/>
        </w:rPr>
        <w:t>参选文件</w:t>
      </w:r>
      <w:r>
        <w:rPr>
          <w:rFonts w:hint="eastAsia" w:ascii="宋体" w:hAnsi="宋体" w:eastAsia="宋体" w:cs="宋体"/>
          <w:sz w:val="21"/>
          <w:szCs w:val="21"/>
          <w:highlight w:val="none"/>
        </w:rPr>
        <w:t>密封情况；</w:t>
      </w:r>
    </w:p>
    <w:p w14:paraId="47BB2152">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评标委员会进行资格审查文件评审；</w:t>
      </w:r>
    </w:p>
    <w:p w14:paraId="074A1C08">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评标委员会进行商务和技术标书评审；</w:t>
      </w:r>
    </w:p>
    <w:p w14:paraId="5A22733B">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对商务和技术标书详细评审结束后，进入下一阶段报价评审；</w:t>
      </w:r>
    </w:p>
    <w:p w14:paraId="4E25071D">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当众开启报价文件，进行唱标，并记录在案； </w:t>
      </w:r>
    </w:p>
    <w:p w14:paraId="4D7BCFF3">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汇总商务、技术、报价三部分得分，形成评审结果；</w:t>
      </w:r>
    </w:p>
    <w:p w14:paraId="063A3609">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宣布</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lang w:val="en-US" w:eastAsia="zh-CN"/>
        </w:rPr>
        <w:t>候选人</w:t>
      </w:r>
      <w:r>
        <w:rPr>
          <w:rFonts w:hint="eastAsia" w:ascii="宋体" w:hAnsi="宋体" w:eastAsia="宋体" w:cs="宋体"/>
          <w:sz w:val="21"/>
          <w:szCs w:val="21"/>
          <w:highlight w:val="none"/>
        </w:rPr>
        <w:t>；</w:t>
      </w:r>
    </w:p>
    <w:p w14:paraId="73C8719B">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开标</w:t>
      </w:r>
      <w:r>
        <w:rPr>
          <w:rFonts w:hint="eastAsia" w:ascii="宋体" w:hAnsi="宋体" w:eastAsia="宋体" w:cs="宋体"/>
          <w:sz w:val="21"/>
          <w:szCs w:val="21"/>
          <w:highlight w:val="none"/>
        </w:rPr>
        <w:t>会议结束。</w:t>
      </w:r>
    </w:p>
    <w:p w14:paraId="3CA1C876">
      <w:pPr>
        <w:spacing w:line="440" w:lineRule="exact"/>
        <w:ind w:right="-260" w:rightChars="-124" w:firstLine="420" w:firstLineChars="200"/>
        <w:rPr>
          <w:rFonts w:hint="eastAsia" w:ascii="宋体" w:hAnsi="宋体" w:eastAsia="宋体" w:cs="宋体"/>
          <w:sz w:val="21"/>
          <w:szCs w:val="21"/>
          <w:highlight w:val="none"/>
        </w:rPr>
      </w:pPr>
      <w:bookmarkStart w:id="66" w:name="_Toc19329"/>
      <w:bookmarkStart w:id="67" w:name="_Toc21198"/>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、评标委员会</w:t>
      </w:r>
      <w:bookmarkEnd w:id="66"/>
    </w:p>
    <w:p w14:paraId="6A1B4BB6">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评标由</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依法组建的评标委员会负责，评标委员会由</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熟悉相关业务的代表，以及有关技术、经济等方面的专家组成，评委委员构成为5人及以上的单数。</w:t>
      </w:r>
    </w:p>
    <w:p w14:paraId="62416962">
      <w:pPr>
        <w:spacing w:line="440" w:lineRule="exact"/>
        <w:ind w:right="-260" w:rightChars="-124" w:firstLine="420" w:firstLineChars="200"/>
        <w:rPr>
          <w:rFonts w:hint="eastAsia" w:ascii="宋体" w:hAnsi="宋体" w:eastAsia="宋体" w:cs="宋体"/>
          <w:sz w:val="21"/>
          <w:szCs w:val="21"/>
          <w:highlight w:val="none"/>
        </w:rPr>
      </w:pPr>
      <w:bookmarkStart w:id="68" w:name="_Toc1289"/>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、评标</w:t>
      </w:r>
      <w:bookmarkEnd w:id="68"/>
    </w:p>
    <w:p w14:paraId="226DCFB8">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评标活动遵循公平、公正、科学和择优的原则。评标委员会按照</w:t>
      </w:r>
      <w:r>
        <w:rPr>
          <w:rFonts w:hint="eastAsia" w:ascii="宋体" w:hAnsi="宋体" w:eastAsia="宋体" w:cs="宋体"/>
          <w:sz w:val="21"/>
          <w:szCs w:val="21"/>
          <w:highlight w:val="none"/>
          <w:lang w:eastAsia="zh-CN"/>
        </w:rPr>
        <w:t>第四章</w:t>
      </w:r>
      <w:r>
        <w:rPr>
          <w:rFonts w:hint="eastAsia" w:ascii="宋体" w:hAnsi="宋体" w:eastAsia="宋体" w:cs="宋体"/>
          <w:sz w:val="21"/>
          <w:szCs w:val="21"/>
          <w:highlight w:val="none"/>
        </w:rPr>
        <w:t>“评标办法与评标标准”规定的方法、评审因素、标准和程序对</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进行评审。</w:t>
      </w:r>
      <w:r>
        <w:rPr>
          <w:rFonts w:hint="eastAsia" w:ascii="宋体" w:hAnsi="宋体" w:eastAsia="宋体" w:cs="宋体"/>
          <w:sz w:val="21"/>
          <w:szCs w:val="21"/>
          <w:highlight w:val="none"/>
          <w:lang w:eastAsia="zh-CN"/>
        </w:rPr>
        <w:t>第四章</w:t>
      </w:r>
      <w:r>
        <w:rPr>
          <w:rFonts w:hint="eastAsia" w:ascii="宋体" w:hAnsi="宋体" w:eastAsia="宋体" w:cs="宋体"/>
          <w:sz w:val="21"/>
          <w:szCs w:val="21"/>
          <w:highlight w:val="none"/>
        </w:rPr>
        <w:t>“评标办法与评标标准”没有规定的方法、评审因素和标准，不作为评标依据。</w:t>
      </w:r>
    </w:p>
    <w:p w14:paraId="27A0344C">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对</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中含义不明确、同类问题表述不一致或者有明显文字和计算错误的内容，评标委员会可以要求</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做出必要的澄清、说明或者纠正。</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的澄清、说明或者补正应当采用书面形式，由其授权的代表签字，并不得超出</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的范围或者改变</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的实质性内容。</w:t>
      </w:r>
    </w:p>
    <w:p w14:paraId="5B0AE8E5">
      <w:pPr>
        <w:spacing w:line="440" w:lineRule="exact"/>
        <w:ind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若某标段</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人放弃</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或者因被投诉且已查实的，不影响其他标段结果，</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将组织该标段重新</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w:t>
      </w:r>
    </w:p>
    <w:bookmarkEnd w:id="67"/>
    <w:p w14:paraId="04DFDACE">
      <w:pPr>
        <w:snapToGrid w:val="0"/>
        <w:spacing w:line="440" w:lineRule="exact"/>
        <w:ind w:right="-260" w:rightChars="-124"/>
        <w:jc w:val="center"/>
        <w:outlineLvl w:val="0"/>
        <w:rPr>
          <w:rFonts w:hint="eastAsia" w:ascii="宋体" w:hAnsi="宋体" w:eastAsia="宋体" w:cs="宋体"/>
          <w:b/>
          <w:sz w:val="32"/>
          <w:szCs w:val="32"/>
          <w:highlight w:val="none"/>
          <w:lang w:val="en-US" w:eastAsia="zh-CN"/>
        </w:rPr>
      </w:pPr>
      <w:r>
        <w:rPr>
          <w:rFonts w:hint="eastAsia" w:ascii="宋体" w:hAnsi="宋体" w:eastAsia="宋体" w:cs="宋体"/>
          <w:b/>
          <w:bCs/>
          <w:sz w:val="24"/>
          <w:highlight w:val="none"/>
          <w:lang w:val="zh-CN"/>
        </w:rPr>
        <w:br w:type="page"/>
      </w:r>
      <w:bookmarkEnd w:id="5"/>
      <w:bookmarkEnd w:id="6"/>
      <w:bookmarkEnd w:id="7"/>
      <w:bookmarkStart w:id="69" w:name="_Toc18052"/>
      <w:bookmarkStart w:id="70" w:name="_Toc15053"/>
      <w:bookmarkStart w:id="71" w:name="_Toc14593"/>
      <w:bookmarkStart w:id="72" w:name="_Toc12936"/>
      <w:bookmarkStart w:id="73" w:name="_Toc1207"/>
      <w:r>
        <w:rPr>
          <w:rFonts w:hint="eastAsia" w:ascii="宋体" w:hAnsi="宋体" w:eastAsia="宋体" w:cs="宋体"/>
          <w:b/>
          <w:sz w:val="32"/>
          <w:szCs w:val="32"/>
          <w:highlight w:val="none"/>
          <w:lang w:eastAsia="zh-CN"/>
        </w:rPr>
        <w:t>第</w:t>
      </w:r>
      <w:r>
        <w:rPr>
          <w:rFonts w:hint="eastAsia" w:ascii="宋体" w:hAnsi="宋体" w:eastAsia="宋体" w:cs="宋体"/>
          <w:b/>
          <w:sz w:val="32"/>
          <w:szCs w:val="32"/>
          <w:highlight w:val="none"/>
          <w:lang w:val="en-US" w:eastAsia="zh-CN"/>
        </w:rPr>
        <w:t>三</w:t>
      </w:r>
      <w:r>
        <w:rPr>
          <w:rFonts w:hint="eastAsia" w:ascii="宋体" w:hAnsi="宋体" w:eastAsia="宋体" w:cs="宋体"/>
          <w:b/>
          <w:sz w:val="32"/>
          <w:szCs w:val="32"/>
          <w:highlight w:val="none"/>
          <w:lang w:eastAsia="zh-CN"/>
        </w:rPr>
        <w:t>章</w:t>
      </w:r>
      <w:r>
        <w:rPr>
          <w:rFonts w:hint="eastAsia" w:ascii="宋体" w:hAnsi="宋体" w:eastAsia="宋体" w:cs="宋体"/>
          <w:b/>
          <w:sz w:val="32"/>
          <w:szCs w:val="32"/>
          <w:highlight w:val="none"/>
        </w:rPr>
        <w:t xml:space="preserve">  </w:t>
      </w:r>
      <w:r>
        <w:rPr>
          <w:rFonts w:hint="eastAsia" w:ascii="宋体" w:hAnsi="宋体" w:eastAsia="宋体" w:cs="宋体"/>
          <w:b/>
          <w:sz w:val="32"/>
          <w:szCs w:val="32"/>
          <w:highlight w:val="none"/>
          <w:lang w:val="en-US" w:eastAsia="zh-CN"/>
        </w:rPr>
        <w:t>用户需求书</w:t>
      </w:r>
      <w:bookmarkEnd w:id="69"/>
    </w:p>
    <w:p w14:paraId="6D296E80">
      <w:pPr>
        <w:spacing w:line="440" w:lineRule="exact"/>
        <w:ind w:right="-260" w:rightChars="-124" w:firstLine="480" w:firstLineChars="200"/>
        <w:rPr>
          <w:rFonts w:hint="eastAsia" w:ascii="宋体" w:hAnsi="宋体" w:eastAsia="宋体" w:cs="宋体"/>
          <w:kern w:val="58"/>
          <w:sz w:val="24"/>
          <w:szCs w:val="24"/>
          <w:highlight w:val="none"/>
          <w:u w:val="single"/>
        </w:rPr>
      </w:pPr>
    </w:p>
    <w:p w14:paraId="66EFD6E8">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74" w:name="_Toc476733505"/>
      <w:bookmarkStart w:id="75" w:name="_Toc21603"/>
      <w:r>
        <w:rPr>
          <w:rFonts w:hint="eastAsia" w:ascii="宋体" w:hAnsi="宋体" w:eastAsia="宋体" w:cs="宋体"/>
          <w:b/>
          <w:sz w:val="21"/>
          <w:szCs w:val="21"/>
          <w:highlight w:val="none"/>
        </w:rPr>
        <w:t>1</w:t>
      </w:r>
      <w:r>
        <w:rPr>
          <w:rFonts w:hint="eastAsia" w:ascii="宋体" w:hAnsi="宋体" w:eastAsia="宋体" w:cs="宋体"/>
          <w:b/>
          <w:sz w:val="21"/>
          <w:szCs w:val="21"/>
          <w:highlight w:val="none"/>
          <w:lang w:val="en-US" w:eastAsia="zh-CN"/>
        </w:rPr>
        <w:t>项目</w:t>
      </w:r>
      <w:r>
        <w:rPr>
          <w:rFonts w:hint="eastAsia" w:ascii="宋体" w:hAnsi="宋体" w:eastAsia="宋体" w:cs="宋体"/>
          <w:b/>
          <w:sz w:val="21"/>
          <w:szCs w:val="21"/>
          <w:highlight w:val="none"/>
        </w:rPr>
        <w:t>概况</w:t>
      </w:r>
      <w:bookmarkEnd w:id="74"/>
      <w:bookmarkEnd w:id="75"/>
    </w:p>
    <w:p w14:paraId="64884F03">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南通市轨道交通1号线一期工程为一条串联南北方向的骨干线，正线全长</w:t>
      </w:r>
      <w:r>
        <w:rPr>
          <w:rFonts w:hint="eastAsia" w:ascii="宋体" w:hAnsi="宋体" w:eastAsia="宋体" w:cs="宋体"/>
          <w:color w:val="000000"/>
          <w:kern w:val="0"/>
          <w:sz w:val="21"/>
          <w:szCs w:val="21"/>
          <w:highlight w:val="none"/>
          <w:lang w:val="en-US" w:eastAsia="zh-CN"/>
        </w:rPr>
        <w:t>约</w:t>
      </w:r>
      <w:r>
        <w:rPr>
          <w:rFonts w:hint="eastAsia"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lang w:val="en-US" w:eastAsia="zh-CN"/>
        </w:rPr>
        <w:t>9</w:t>
      </w:r>
      <w:r>
        <w:rPr>
          <w:rFonts w:hint="eastAsia" w:ascii="宋体" w:hAnsi="宋体" w:eastAsia="宋体" w:cs="宋体"/>
          <w:color w:val="000000"/>
          <w:kern w:val="0"/>
          <w:sz w:val="21"/>
          <w:szCs w:val="21"/>
          <w:highlight w:val="none"/>
        </w:rPr>
        <w:t>km，全部为地下线，共设车站28座（其中</w:t>
      </w:r>
      <w:r>
        <w:rPr>
          <w:rFonts w:hint="eastAsia" w:ascii="宋体" w:hAnsi="宋体" w:eastAsia="宋体" w:cs="宋体"/>
          <w:color w:val="000000"/>
          <w:kern w:val="0"/>
          <w:sz w:val="21"/>
          <w:szCs w:val="21"/>
          <w:highlight w:val="none"/>
          <w:lang w:val="en-US" w:eastAsia="zh-CN"/>
        </w:rPr>
        <w:t>与2号线</w:t>
      </w:r>
      <w:r>
        <w:rPr>
          <w:rFonts w:hint="eastAsia" w:ascii="宋体" w:hAnsi="宋体" w:eastAsia="宋体" w:cs="宋体"/>
          <w:color w:val="000000"/>
          <w:kern w:val="0"/>
          <w:sz w:val="21"/>
          <w:szCs w:val="21"/>
          <w:highlight w:val="none"/>
        </w:rPr>
        <w:t>换乘站</w:t>
      </w: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座）</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控制中心1座、平东车辆段1座、小海停车场1座</w:t>
      </w:r>
      <w:r>
        <w:rPr>
          <w:rFonts w:hint="eastAsia" w:ascii="宋体" w:hAnsi="宋体" w:eastAsia="宋体" w:cs="宋体"/>
          <w:color w:val="000000"/>
          <w:kern w:val="0"/>
          <w:sz w:val="21"/>
          <w:szCs w:val="21"/>
          <w:highlight w:val="none"/>
        </w:rPr>
        <w:t>。平均站间距1427.4m，最大站间距2917.0m，为</w:t>
      </w:r>
      <w:r>
        <w:rPr>
          <w:rFonts w:hint="eastAsia" w:ascii="宋体" w:hAnsi="宋体" w:eastAsia="宋体" w:cs="宋体"/>
          <w:color w:val="000000"/>
          <w:kern w:val="0"/>
          <w:sz w:val="21"/>
          <w:szCs w:val="21"/>
          <w:highlight w:val="none"/>
          <w:lang w:val="en-US" w:eastAsia="zh-CN"/>
        </w:rPr>
        <w:t>紫琅湖</w:t>
      </w:r>
      <w:r>
        <w:rPr>
          <w:rFonts w:hint="eastAsia" w:ascii="宋体" w:hAnsi="宋体" w:eastAsia="宋体" w:cs="宋体"/>
          <w:color w:val="000000"/>
          <w:kern w:val="0"/>
          <w:sz w:val="21"/>
          <w:szCs w:val="21"/>
          <w:highlight w:val="none"/>
        </w:rPr>
        <w:t>站～</w:t>
      </w:r>
      <w:r>
        <w:rPr>
          <w:rFonts w:hint="eastAsia" w:ascii="宋体" w:hAnsi="宋体" w:eastAsia="宋体" w:cs="宋体"/>
          <w:color w:val="000000"/>
          <w:kern w:val="0"/>
          <w:sz w:val="21"/>
          <w:szCs w:val="21"/>
          <w:highlight w:val="none"/>
          <w:lang w:val="en-US" w:eastAsia="zh-CN"/>
        </w:rPr>
        <w:t>能达商务区</w:t>
      </w:r>
      <w:r>
        <w:rPr>
          <w:rFonts w:hint="eastAsia" w:ascii="宋体" w:hAnsi="宋体" w:eastAsia="宋体" w:cs="宋体"/>
          <w:color w:val="000000"/>
          <w:kern w:val="0"/>
          <w:sz w:val="21"/>
          <w:szCs w:val="21"/>
          <w:highlight w:val="none"/>
        </w:rPr>
        <w:t>站区间；最小站间距836.289m，为</w:t>
      </w:r>
      <w:r>
        <w:rPr>
          <w:rFonts w:hint="eastAsia" w:ascii="宋体" w:hAnsi="宋体" w:eastAsia="宋体" w:cs="宋体"/>
          <w:color w:val="000000"/>
          <w:kern w:val="0"/>
          <w:sz w:val="21"/>
          <w:szCs w:val="21"/>
          <w:highlight w:val="none"/>
          <w:lang w:val="en-US" w:eastAsia="zh-CN"/>
        </w:rPr>
        <w:t>平潮</w:t>
      </w:r>
      <w:r>
        <w:rPr>
          <w:rFonts w:hint="eastAsia" w:ascii="宋体" w:hAnsi="宋体" w:eastAsia="宋体" w:cs="宋体"/>
          <w:color w:val="000000"/>
          <w:kern w:val="0"/>
          <w:sz w:val="21"/>
          <w:szCs w:val="21"/>
          <w:highlight w:val="none"/>
        </w:rPr>
        <w:t>站～南通西站站区间。</w:t>
      </w:r>
    </w:p>
    <w:p w14:paraId="43D39427">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76" w:name="_Toc294444973"/>
      <w:bookmarkStart w:id="77" w:name="_Toc289521920"/>
      <w:bookmarkStart w:id="78" w:name="_Toc24368"/>
      <w:bookmarkStart w:id="79" w:name="_Toc476733506"/>
      <w:bookmarkStart w:id="80" w:name="_Toc292373147"/>
      <w:bookmarkStart w:id="81" w:name="_Toc290547324"/>
      <w:r>
        <w:rPr>
          <w:rFonts w:hint="eastAsia" w:ascii="宋体" w:hAnsi="宋体" w:eastAsia="宋体" w:cs="宋体"/>
          <w:b/>
          <w:sz w:val="21"/>
          <w:szCs w:val="21"/>
          <w:highlight w:val="none"/>
        </w:rPr>
        <w:t>2项目范围</w:t>
      </w:r>
      <w:bookmarkEnd w:id="76"/>
      <w:bookmarkEnd w:id="77"/>
      <w:bookmarkEnd w:id="78"/>
      <w:bookmarkEnd w:id="79"/>
      <w:bookmarkEnd w:id="80"/>
      <w:bookmarkEnd w:id="81"/>
    </w:p>
    <w:p w14:paraId="54F6A72F">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正线2</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座车站、</w:t>
      </w:r>
      <w:r>
        <w:rPr>
          <w:rFonts w:hint="eastAsia" w:ascii="宋体" w:hAnsi="宋体" w:eastAsia="宋体" w:cs="宋体"/>
          <w:sz w:val="21"/>
          <w:szCs w:val="21"/>
          <w:highlight w:val="none"/>
          <w:lang w:val="en-US" w:eastAsia="zh-CN"/>
        </w:rPr>
        <w:t>1座控制中心</w:t>
      </w:r>
      <w:r>
        <w:rPr>
          <w:rFonts w:hint="eastAsia" w:ascii="宋体" w:hAnsi="宋体" w:eastAsia="宋体" w:cs="宋体"/>
          <w:sz w:val="21"/>
          <w:szCs w:val="21"/>
          <w:highlight w:val="none"/>
        </w:rPr>
        <w:t>及区间隧道所属的</w:t>
      </w:r>
      <w:r>
        <w:rPr>
          <w:rFonts w:hint="eastAsia" w:ascii="宋体" w:hAnsi="宋体" w:eastAsia="宋体" w:cs="宋体"/>
          <w:sz w:val="21"/>
          <w:szCs w:val="21"/>
          <w:highlight w:val="none"/>
          <w:lang w:val="en-US" w:eastAsia="zh-CN"/>
        </w:rPr>
        <w:t>南通轨道1</w:t>
      </w:r>
      <w:r>
        <w:rPr>
          <w:rFonts w:hint="eastAsia" w:ascii="宋体" w:hAnsi="宋体" w:eastAsia="宋体" w:cs="宋体"/>
          <w:sz w:val="21"/>
          <w:szCs w:val="21"/>
          <w:highlight w:val="none"/>
        </w:rPr>
        <w:t>号线公安通信系统设备设施，设备清单详见附录1。</w:t>
      </w:r>
      <w:r>
        <w:rPr>
          <w:rFonts w:hint="eastAsia" w:ascii="宋体" w:hAnsi="宋体" w:eastAsia="宋体" w:cs="宋体"/>
          <w:sz w:val="21"/>
          <w:szCs w:val="21"/>
          <w:highlight w:val="none"/>
          <w:lang w:val="en-US" w:eastAsia="zh-CN"/>
        </w:rPr>
        <w:t>注：沿</w:t>
      </w:r>
      <w:r>
        <w:rPr>
          <w:rFonts w:hint="eastAsia" w:ascii="宋体" w:hAnsi="宋体" w:eastAsia="宋体" w:cs="宋体"/>
          <w:sz w:val="21"/>
          <w:szCs w:val="21"/>
          <w:highlight w:val="none"/>
        </w:rPr>
        <w:t>线派出所、</w:t>
      </w:r>
      <w:r>
        <w:rPr>
          <w:rFonts w:hint="eastAsia" w:ascii="宋体" w:hAnsi="宋体" w:eastAsia="宋体" w:cs="宋体"/>
          <w:sz w:val="21"/>
          <w:szCs w:val="21"/>
          <w:highlight w:val="none"/>
          <w:lang w:val="en-US" w:eastAsia="zh-CN"/>
        </w:rPr>
        <w:t>南通市公交分局</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南通</w:t>
      </w:r>
      <w:r>
        <w:rPr>
          <w:rFonts w:hint="eastAsia" w:ascii="宋体" w:hAnsi="宋体" w:eastAsia="宋体" w:cs="宋体"/>
          <w:sz w:val="21"/>
          <w:szCs w:val="21"/>
          <w:highlight w:val="none"/>
        </w:rPr>
        <w:t>市公安局</w:t>
      </w:r>
      <w:r>
        <w:rPr>
          <w:rFonts w:hint="eastAsia" w:ascii="宋体" w:hAnsi="宋体" w:eastAsia="宋体" w:cs="宋体"/>
          <w:sz w:val="21"/>
          <w:szCs w:val="21"/>
          <w:highlight w:val="none"/>
          <w:lang w:val="en-US" w:eastAsia="zh-CN"/>
        </w:rPr>
        <w:t>及公安租赁机房</w:t>
      </w:r>
      <w:r>
        <w:rPr>
          <w:rFonts w:hint="eastAsia" w:ascii="宋体" w:hAnsi="宋体" w:eastAsia="宋体" w:cs="宋体"/>
          <w:sz w:val="21"/>
          <w:szCs w:val="21"/>
          <w:highlight w:val="none"/>
        </w:rPr>
        <w:t>所属的</w:t>
      </w:r>
      <w:r>
        <w:rPr>
          <w:rFonts w:hint="eastAsia" w:ascii="宋体" w:hAnsi="宋体" w:eastAsia="宋体" w:cs="宋体"/>
          <w:sz w:val="21"/>
          <w:szCs w:val="21"/>
          <w:highlight w:val="none"/>
          <w:lang w:val="en-US" w:eastAsia="zh-CN"/>
        </w:rPr>
        <w:t>南通轨道1</w:t>
      </w:r>
      <w:r>
        <w:rPr>
          <w:rFonts w:hint="eastAsia" w:ascii="宋体" w:hAnsi="宋体" w:eastAsia="宋体" w:cs="宋体"/>
          <w:sz w:val="21"/>
          <w:szCs w:val="21"/>
          <w:highlight w:val="none"/>
        </w:rPr>
        <w:t>号线公安通信系统设备设施</w:t>
      </w:r>
      <w:r>
        <w:rPr>
          <w:rFonts w:hint="eastAsia" w:ascii="宋体" w:hAnsi="宋体" w:eastAsia="宋体" w:cs="宋体"/>
          <w:sz w:val="21"/>
          <w:szCs w:val="21"/>
          <w:highlight w:val="none"/>
          <w:lang w:val="en-US" w:eastAsia="zh-CN"/>
        </w:rPr>
        <w:t>不在此次维保范围内。</w:t>
      </w:r>
    </w:p>
    <w:p w14:paraId="3DE62833">
      <w:pPr>
        <w:keepNext w:val="0"/>
        <w:keepLines w:val="0"/>
        <w:pageBreakBefore w:val="0"/>
        <w:kinsoku/>
        <w:wordWrap/>
        <w:overflowPunct/>
        <w:topLinePunct w:val="0"/>
        <w:autoSpaceDE/>
        <w:autoSpaceDN/>
        <w:bidi w:val="0"/>
        <w:adjustRightInd/>
        <w:snapToGrid/>
        <w:spacing w:line="420" w:lineRule="exact"/>
        <w:ind w:right="-260" w:rightChars="-124" w:firstLine="422"/>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2.1维保系统说明</w:t>
      </w:r>
    </w:p>
    <w:p w14:paraId="7159B102">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2.1.1公安通信系统由公安计算机网络系统、公安电话系统、公安视频监视系统、公安/消防无线覆盖系统、公安高清可视指挥系统、公安电源及接地等6个子系统组成，设备主要分布在地铁车站、沿线派出所、</w:t>
      </w:r>
      <w:r>
        <w:rPr>
          <w:rFonts w:hint="eastAsia" w:ascii="宋体" w:hAnsi="宋体" w:eastAsia="宋体" w:cs="宋体"/>
          <w:sz w:val="21"/>
          <w:szCs w:val="21"/>
          <w:highlight w:val="none"/>
          <w:lang w:val="en-US" w:eastAsia="zh-CN"/>
        </w:rPr>
        <w:t>南通市公交分局</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南通</w:t>
      </w:r>
      <w:r>
        <w:rPr>
          <w:rFonts w:hint="eastAsia" w:ascii="宋体" w:hAnsi="宋体" w:eastAsia="宋体" w:cs="宋体"/>
          <w:sz w:val="21"/>
          <w:szCs w:val="21"/>
          <w:highlight w:val="none"/>
        </w:rPr>
        <w:t>市公安局</w:t>
      </w:r>
      <w:r>
        <w:rPr>
          <w:rFonts w:hint="eastAsia" w:ascii="宋体" w:hAnsi="宋体" w:eastAsia="宋体" w:cs="宋体"/>
          <w:sz w:val="21"/>
          <w:szCs w:val="21"/>
          <w:highlight w:val="none"/>
          <w:lang w:val="en-US" w:eastAsia="zh-CN"/>
        </w:rPr>
        <w:t>及租赁机房</w:t>
      </w:r>
      <w:r>
        <w:rPr>
          <w:rFonts w:hint="eastAsia" w:ascii="宋体" w:hAnsi="宋体" w:eastAsia="宋体" w:cs="宋体"/>
          <w:sz w:val="21"/>
          <w:szCs w:val="21"/>
          <w:highlight w:val="none"/>
        </w:rPr>
        <w:t>等区域。</w:t>
      </w:r>
    </w:p>
    <w:p w14:paraId="6C83AD4A">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公安计算机网络系统在</w:t>
      </w:r>
      <w:r>
        <w:rPr>
          <w:rFonts w:hint="eastAsia" w:ascii="宋体" w:hAnsi="宋体" w:eastAsia="宋体" w:cs="宋体"/>
          <w:sz w:val="21"/>
          <w:szCs w:val="21"/>
          <w:highlight w:val="none"/>
          <w:lang w:val="en-US" w:eastAsia="zh-CN"/>
        </w:rPr>
        <w:t>公交</w:t>
      </w:r>
      <w:r>
        <w:rPr>
          <w:rFonts w:hint="eastAsia" w:ascii="宋体" w:hAnsi="宋体" w:eastAsia="宋体" w:cs="宋体"/>
          <w:sz w:val="21"/>
          <w:szCs w:val="21"/>
          <w:highlight w:val="none"/>
        </w:rPr>
        <w:t>分局、派出所、车站警务室统一综合布线，并</w:t>
      </w:r>
      <w:r>
        <w:rPr>
          <w:rFonts w:hint="eastAsia" w:ascii="宋体" w:hAnsi="宋体" w:eastAsia="宋体" w:cs="宋体"/>
          <w:sz w:val="21"/>
          <w:szCs w:val="21"/>
          <w:highlight w:val="none"/>
          <w:lang w:val="en-US" w:eastAsia="zh-CN"/>
        </w:rPr>
        <w:t>在市局</w:t>
      </w:r>
      <w:r>
        <w:rPr>
          <w:rFonts w:hint="eastAsia" w:ascii="宋体" w:hAnsi="宋体" w:eastAsia="宋体" w:cs="宋体"/>
          <w:sz w:val="21"/>
          <w:szCs w:val="21"/>
          <w:highlight w:val="none"/>
        </w:rPr>
        <w:t>配置相关的网络安全设备，采用分局、派出所及车站</w:t>
      </w:r>
      <w:r>
        <w:rPr>
          <w:rFonts w:hint="eastAsia" w:ascii="宋体" w:hAnsi="宋体" w:eastAsia="宋体" w:cs="宋体"/>
          <w:sz w:val="21"/>
          <w:szCs w:val="21"/>
          <w:highlight w:val="none"/>
          <w:lang w:val="en-US" w:eastAsia="zh-CN"/>
        </w:rPr>
        <w:t>分别汇聚</w:t>
      </w:r>
      <w:r>
        <w:rPr>
          <w:rFonts w:hint="eastAsia" w:ascii="宋体" w:hAnsi="宋体" w:eastAsia="宋体" w:cs="宋体"/>
          <w:sz w:val="21"/>
          <w:szCs w:val="21"/>
          <w:highlight w:val="none"/>
        </w:rPr>
        <w:t>接入</w:t>
      </w:r>
      <w:r>
        <w:rPr>
          <w:rFonts w:hint="eastAsia" w:ascii="宋体" w:hAnsi="宋体" w:eastAsia="宋体" w:cs="宋体"/>
          <w:sz w:val="21"/>
          <w:szCs w:val="21"/>
          <w:highlight w:val="none"/>
          <w:lang w:val="en-US" w:eastAsia="zh-CN"/>
        </w:rPr>
        <w:t>市局的</w:t>
      </w:r>
      <w:r>
        <w:rPr>
          <w:rFonts w:hint="eastAsia" w:ascii="宋体" w:hAnsi="宋体" w:eastAsia="宋体" w:cs="宋体"/>
          <w:sz w:val="21"/>
          <w:szCs w:val="21"/>
          <w:highlight w:val="none"/>
        </w:rPr>
        <w:t>架构组网方式，实现地铁公安各管理部门的办公自动化。</w:t>
      </w:r>
    </w:p>
    <w:p w14:paraId="1DB1658E">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公安电话系统是地铁公安管理部门的内线电话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系统</w:t>
      </w:r>
      <w:r>
        <w:rPr>
          <w:rFonts w:hint="eastAsia" w:ascii="宋体" w:hAnsi="宋体" w:eastAsia="宋体" w:cs="宋体"/>
          <w:sz w:val="21"/>
          <w:szCs w:val="21"/>
          <w:highlight w:val="none"/>
        </w:rPr>
        <w:t>接入市公安局公安电话系统平台，并实现互联互通。</w:t>
      </w:r>
      <w:r>
        <w:rPr>
          <w:rFonts w:hint="eastAsia" w:ascii="宋体" w:hAnsi="宋体" w:eastAsia="宋体" w:cs="宋体"/>
          <w:sz w:val="21"/>
          <w:szCs w:val="21"/>
          <w:highlight w:val="none"/>
          <w:lang w:val="en-US" w:eastAsia="zh-CN"/>
        </w:rPr>
        <w:t>本项目采用</w:t>
      </w:r>
      <w:r>
        <w:rPr>
          <w:rFonts w:hint="eastAsia" w:ascii="宋体" w:hAnsi="宋体" w:eastAsia="宋体" w:cs="宋体"/>
          <w:sz w:val="21"/>
          <w:szCs w:val="21"/>
          <w:highlight w:val="none"/>
        </w:rPr>
        <w:t>塔迪兰Aeonix</w:t>
      </w:r>
      <w:r>
        <w:rPr>
          <w:rFonts w:hint="eastAsia" w:ascii="宋体" w:hAnsi="宋体" w:eastAsia="宋体" w:cs="宋体"/>
          <w:sz w:val="21"/>
          <w:szCs w:val="21"/>
          <w:highlight w:val="none"/>
          <w:lang w:val="en-US" w:eastAsia="zh-CN"/>
        </w:rPr>
        <w:t>软交换系统，在市局租赁机房设一套软交换设备作为交换核心，在地铁分局、派出所及28个车站分别设置接入网关，并配置电话机，实现公交分局、派出所及各车站警务室之间的有线通话。</w:t>
      </w:r>
    </w:p>
    <w:p w14:paraId="71519B6D">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2.1.4公安视频</w:t>
      </w:r>
      <w:r>
        <w:rPr>
          <w:rFonts w:hint="eastAsia" w:ascii="宋体" w:hAnsi="宋体" w:eastAsia="宋体" w:cs="宋体"/>
          <w:sz w:val="21"/>
          <w:szCs w:val="21"/>
          <w:highlight w:val="none"/>
          <w:lang w:val="en-US" w:eastAsia="zh-CN"/>
        </w:rPr>
        <w:t>监视</w:t>
      </w:r>
      <w:r>
        <w:rPr>
          <w:rFonts w:hint="eastAsia" w:ascii="宋体" w:hAnsi="宋体" w:eastAsia="宋体" w:cs="宋体"/>
          <w:sz w:val="21"/>
          <w:szCs w:val="21"/>
          <w:highlight w:val="none"/>
        </w:rPr>
        <w:t>系统采用高清技术方案</w:t>
      </w:r>
      <w:r>
        <w:rPr>
          <w:rFonts w:hint="eastAsia" w:ascii="宋体" w:hAnsi="宋体" w:eastAsia="宋体" w:cs="宋体"/>
          <w:sz w:val="21"/>
          <w:szCs w:val="21"/>
          <w:highlight w:val="none"/>
          <w:lang w:eastAsia="zh-CN"/>
        </w:rPr>
        <w:t>，由本地车站警务室监视、异地监视（</w:t>
      </w:r>
      <w:r>
        <w:rPr>
          <w:rFonts w:hint="eastAsia" w:ascii="宋体" w:hAnsi="宋体" w:eastAsia="宋体" w:cs="宋体"/>
          <w:sz w:val="21"/>
          <w:szCs w:val="21"/>
          <w:highlight w:val="none"/>
          <w:lang w:val="en-US" w:eastAsia="zh-CN"/>
        </w:rPr>
        <w:t>公交分局</w:t>
      </w:r>
      <w:r>
        <w:rPr>
          <w:rFonts w:hint="eastAsia" w:ascii="宋体" w:hAnsi="宋体" w:eastAsia="宋体" w:cs="宋体"/>
          <w:sz w:val="21"/>
          <w:szCs w:val="21"/>
          <w:highlight w:val="none"/>
          <w:lang w:eastAsia="zh-CN"/>
        </w:rPr>
        <w:t>、派出所监视全线）两部分构成，组成一个统一的视频监控网络。在车站出入口、安检区域设置人像采集摄像机，摄像机具有WIFI、手机MAC地址采集功能，统一接入公安市局平台，由市局市局平台实现对人像采集摄像机的图像存储及管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同时，车站专用通信视频监视系统将车站站台、站厅及自动扶梯、自动售检票设备、进出站口及通道等公共区的上述视频图像提供给公安视频监视系统，满足地铁公安部门视频图像监视的需要。</w:t>
      </w:r>
    </w:p>
    <w:p w14:paraId="748D1785">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公安及消防无线系统用于将地面市公安局和消防支队的PDT集群无线调度系统信号引入地下车站和区间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本</w:t>
      </w:r>
      <w:r>
        <w:rPr>
          <w:rFonts w:hint="eastAsia" w:ascii="宋体" w:hAnsi="宋体" w:eastAsia="宋体" w:cs="宋体"/>
          <w:sz w:val="21"/>
          <w:szCs w:val="21"/>
          <w:highlight w:val="none"/>
        </w:rPr>
        <w:t>项目采用与地面公安同品牌同型号的</w:t>
      </w:r>
      <w:r>
        <w:rPr>
          <w:rFonts w:hint="eastAsia" w:ascii="宋体" w:hAnsi="宋体" w:eastAsia="宋体" w:cs="宋体"/>
          <w:sz w:val="21"/>
          <w:szCs w:val="21"/>
          <w:highlight w:val="none"/>
          <w:lang w:val="en-US" w:eastAsia="zh-CN"/>
        </w:rPr>
        <w:t>海能达</w:t>
      </w:r>
      <w:r>
        <w:rPr>
          <w:rFonts w:hint="eastAsia" w:ascii="宋体" w:hAnsi="宋体" w:eastAsia="宋体" w:cs="宋体"/>
          <w:sz w:val="21"/>
          <w:szCs w:val="21"/>
          <w:highlight w:val="none"/>
        </w:rPr>
        <w:t>350M PDT数字集群系统</w:t>
      </w:r>
      <w:r>
        <w:rPr>
          <w:rFonts w:hint="eastAsia" w:ascii="宋体" w:hAnsi="宋体" w:eastAsia="宋体" w:cs="宋体"/>
          <w:sz w:val="21"/>
          <w:szCs w:val="21"/>
          <w:highlight w:val="none"/>
          <w:lang w:eastAsia="zh-CN"/>
        </w:rPr>
        <w:t>，与地面公安350M PDT数字集群系统形成异地冗余热备关系，系统功能和使用方式完全一致</w:t>
      </w:r>
      <w:r>
        <w:rPr>
          <w:rFonts w:hint="eastAsia" w:ascii="宋体" w:hAnsi="宋体" w:eastAsia="宋体" w:cs="宋体"/>
          <w:sz w:val="21"/>
          <w:szCs w:val="21"/>
          <w:highlight w:val="none"/>
        </w:rPr>
        <w:t>。</w:t>
      </w:r>
    </w:p>
    <w:p w14:paraId="6190A137">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公安</w:t>
      </w:r>
      <w:r>
        <w:rPr>
          <w:rFonts w:hint="eastAsia" w:ascii="宋体" w:hAnsi="宋体" w:eastAsia="宋体" w:cs="宋体"/>
          <w:sz w:val="21"/>
          <w:szCs w:val="21"/>
          <w:highlight w:val="none"/>
          <w:lang w:val="en-US" w:eastAsia="zh-CN"/>
        </w:rPr>
        <w:t>高清可视指挥</w:t>
      </w:r>
      <w:r>
        <w:rPr>
          <w:rFonts w:hint="eastAsia" w:ascii="宋体" w:hAnsi="宋体" w:eastAsia="宋体" w:cs="宋体"/>
          <w:sz w:val="21"/>
          <w:szCs w:val="21"/>
          <w:highlight w:val="none"/>
        </w:rPr>
        <w:t>系统选用科达系列产品，采用市局至</w:t>
      </w:r>
      <w:r>
        <w:rPr>
          <w:rFonts w:hint="eastAsia" w:ascii="宋体" w:hAnsi="宋体" w:eastAsia="宋体" w:cs="宋体"/>
          <w:sz w:val="21"/>
          <w:szCs w:val="21"/>
          <w:highlight w:val="none"/>
          <w:lang w:val="en-US" w:eastAsia="zh-CN"/>
        </w:rPr>
        <w:t>公交</w:t>
      </w:r>
      <w:r>
        <w:rPr>
          <w:rFonts w:hint="eastAsia" w:ascii="宋体" w:hAnsi="宋体" w:eastAsia="宋体" w:cs="宋体"/>
          <w:sz w:val="21"/>
          <w:szCs w:val="21"/>
          <w:highlight w:val="none"/>
        </w:rPr>
        <w:t>分局、派出所的方式组网方式，通过公安计算机网络系统提供的以太网业务通道承载相应的视频会议信息，实现派出所与分局及市局的视频交互。</w:t>
      </w:r>
    </w:p>
    <w:p w14:paraId="594224B2">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公安电源</w:t>
      </w:r>
      <w:r>
        <w:rPr>
          <w:rFonts w:hint="eastAsia" w:ascii="宋体" w:hAnsi="宋体" w:eastAsia="宋体" w:cs="宋体"/>
          <w:sz w:val="21"/>
          <w:szCs w:val="21"/>
          <w:highlight w:val="none"/>
          <w:lang w:val="en-US" w:eastAsia="zh-CN"/>
        </w:rPr>
        <w:t>及接地</w:t>
      </w:r>
      <w:r>
        <w:rPr>
          <w:rFonts w:hint="eastAsia" w:ascii="宋体" w:hAnsi="宋体" w:eastAsia="宋体" w:cs="宋体"/>
          <w:sz w:val="21"/>
          <w:szCs w:val="21"/>
          <w:highlight w:val="none"/>
        </w:rPr>
        <w:t>系统由</w:t>
      </w:r>
      <w:r>
        <w:rPr>
          <w:rFonts w:hint="eastAsia" w:ascii="宋体" w:hAnsi="宋体" w:eastAsia="宋体" w:cs="宋体"/>
          <w:sz w:val="21"/>
          <w:szCs w:val="21"/>
          <w:highlight w:val="none"/>
          <w:lang w:val="en-US" w:eastAsia="zh-CN"/>
        </w:rPr>
        <w:t>公交</w:t>
      </w:r>
      <w:r>
        <w:rPr>
          <w:rFonts w:hint="eastAsia" w:ascii="宋体" w:hAnsi="宋体" w:eastAsia="宋体" w:cs="宋体"/>
          <w:sz w:val="21"/>
          <w:szCs w:val="21"/>
          <w:highlight w:val="none"/>
        </w:rPr>
        <w:t>分局、派出所、车站的UPS 交流不间断电源设备（含蓄电池组）、交流配电柜及</w:t>
      </w:r>
      <w:r>
        <w:rPr>
          <w:rFonts w:hint="eastAsia" w:ascii="宋体" w:hAnsi="宋体" w:eastAsia="宋体" w:cs="宋体"/>
          <w:sz w:val="21"/>
          <w:szCs w:val="21"/>
          <w:highlight w:val="none"/>
          <w:lang w:val="en-US" w:eastAsia="zh-CN"/>
        </w:rPr>
        <w:t>蓄电池在线监测</w:t>
      </w:r>
      <w:r>
        <w:rPr>
          <w:rFonts w:hint="eastAsia" w:ascii="宋体" w:hAnsi="宋体" w:eastAsia="宋体" w:cs="宋体"/>
          <w:sz w:val="21"/>
          <w:szCs w:val="21"/>
          <w:highlight w:val="none"/>
        </w:rPr>
        <w:t>设备组成，为公安通信各子系统供电。</w:t>
      </w:r>
    </w:p>
    <w:p w14:paraId="77073AA8">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82" w:name="_Toc289521922"/>
      <w:bookmarkStart w:id="83" w:name="_Toc476733507"/>
      <w:bookmarkStart w:id="84" w:name="_Toc292373149"/>
      <w:bookmarkStart w:id="85" w:name="_Toc14140"/>
      <w:bookmarkStart w:id="86" w:name="_Toc290547326"/>
      <w:bookmarkStart w:id="87" w:name="_Toc294444975"/>
      <w:r>
        <w:rPr>
          <w:rFonts w:hint="eastAsia" w:ascii="宋体" w:hAnsi="宋体" w:eastAsia="宋体" w:cs="宋体"/>
          <w:b/>
          <w:sz w:val="21"/>
          <w:szCs w:val="21"/>
          <w:highlight w:val="none"/>
        </w:rPr>
        <w:t>3项目期限及工作内容</w:t>
      </w:r>
      <w:bookmarkEnd w:id="82"/>
      <w:bookmarkEnd w:id="83"/>
      <w:bookmarkEnd w:id="84"/>
      <w:bookmarkEnd w:id="85"/>
      <w:bookmarkEnd w:id="86"/>
      <w:bookmarkEnd w:id="87"/>
    </w:p>
    <w:p w14:paraId="4BCE3442">
      <w:pPr>
        <w:keepNext w:val="0"/>
        <w:keepLines w:val="0"/>
        <w:pageBreakBefore w:val="0"/>
        <w:kinsoku/>
        <w:wordWrap/>
        <w:overflowPunct/>
        <w:topLinePunct w:val="0"/>
        <w:autoSpaceDE/>
        <w:autoSpaceDN/>
        <w:bidi w:val="0"/>
        <w:adjustRightInd/>
        <w:snapToGrid/>
        <w:spacing w:line="420" w:lineRule="exact"/>
        <w:ind w:right="-260" w:rightChars="-124" w:firstLine="482"/>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3.1项目期限</w:t>
      </w:r>
    </w:p>
    <w:p w14:paraId="1A9ED993">
      <w:pPr>
        <w:pStyle w:val="6"/>
        <w:keepNext w:val="0"/>
        <w:keepLines w:val="0"/>
        <w:pageBreakBefore w:val="0"/>
        <w:tabs>
          <w:tab w:val="left" w:pos="6120"/>
        </w:tabs>
        <w:kinsoku/>
        <w:wordWrap/>
        <w:overflowPunct/>
        <w:topLinePunct w:val="0"/>
        <w:autoSpaceDE/>
        <w:autoSpaceDN/>
        <w:bidi w:val="0"/>
        <w:adjustRightInd/>
        <w:snapToGrid/>
        <w:spacing w:line="420" w:lineRule="exact"/>
        <w:ind w:right="-260" w:rightChars="-124"/>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项目期限为</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年，暂定为2</w:t>
      </w:r>
      <w:r>
        <w:rPr>
          <w:rFonts w:hint="eastAsia" w:ascii="宋体" w:hAnsi="宋体" w:eastAsia="宋体" w:cs="宋体"/>
          <w:sz w:val="21"/>
          <w:szCs w:val="21"/>
          <w:highlight w:val="none"/>
          <w:lang w:val="en-US" w:eastAsia="zh-CN"/>
        </w:rPr>
        <w:t>026</w:t>
      </w:r>
      <w:r>
        <w:rPr>
          <w:rFonts w:hint="eastAsia" w:ascii="宋体" w:hAnsi="宋体" w:eastAsia="宋体" w:cs="宋体"/>
          <w:sz w:val="21"/>
          <w:szCs w:val="21"/>
          <w:highlight w:val="none"/>
        </w:rPr>
        <w:t>年1月16日至20</w:t>
      </w: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年1月1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日，具体执行时间以进场通知书时间为准。项目期内合同每年一签，</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根据上一年度的服务执行情况及考核情况确定是否进行续签。</w:t>
      </w:r>
    </w:p>
    <w:p w14:paraId="09BD6014">
      <w:pPr>
        <w:keepNext w:val="0"/>
        <w:keepLines w:val="0"/>
        <w:pageBreakBefore w:val="0"/>
        <w:kinsoku/>
        <w:wordWrap/>
        <w:overflowPunct/>
        <w:topLinePunct w:val="0"/>
        <w:autoSpaceDE/>
        <w:autoSpaceDN/>
        <w:bidi w:val="0"/>
        <w:adjustRightInd/>
        <w:snapToGrid/>
        <w:spacing w:line="420" w:lineRule="exact"/>
        <w:ind w:right="-260" w:rightChars="-124" w:firstLine="482"/>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3.2工作内容</w:t>
      </w:r>
    </w:p>
    <w:p w14:paraId="600D5CE1">
      <w:pPr>
        <w:keepNext w:val="0"/>
        <w:keepLines w:val="0"/>
        <w:pageBreakBefore w:val="0"/>
        <w:kinsoku/>
        <w:wordWrap/>
        <w:overflowPunct/>
        <w:topLinePunct w:val="0"/>
        <w:autoSpaceDE/>
        <w:autoSpaceDN/>
        <w:bidi w:val="0"/>
        <w:adjustRightInd/>
        <w:snapToGrid/>
        <w:spacing w:line="420" w:lineRule="exact"/>
        <w:ind w:right="-260" w:rightChars="-124" w:firstLine="422"/>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3.2.1维保工作内容</w:t>
      </w:r>
    </w:p>
    <w:p w14:paraId="5AC6D20A">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3.2.1.1提供设备现场巡检服务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每月至少巡检一</w:t>
      </w:r>
      <w:r>
        <w:rPr>
          <w:rFonts w:hint="eastAsia" w:ascii="宋体" w:hAnsi="宋体" w:eastAsia="宋体" w:cs="宋体"/>
          <w:sz w:val="21"/>
          <w:szCs w:val="21"/>
          <w:highlight w:val="none"/>
          <w:lang w:val="en-US" w:eastAsia="zh-CN"/>
        </w:rPr>
        <w:t>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对设备进行细致全面的监视和检查，检查的内容包括硬件、软件、机房环境等，做好相关记录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提供月度巡检报告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针对存在的问题隐患提出建设性的日常维护建议</w:t>
      </w:r>
      <w:r>
        <w:rPr>
          <w:rFonts w:hint="eastAsia" w:ascii="宋体" w:hAnsi="宋体" w:eastAsia="宋体" w:cs="宋体"/>
          <w:sz w:val="21"/>
          <w:szCs w:val="21"/>
          <w:highlight w:val="none"/>
          <w:lang w:eastAsia="zh-CN"/>
        </w:rPr>
        <w:t>。</w:t>
      </w:r>
    </w:p>
    <w:p w14:paraId="1FDCD6CE">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3.2.1.2提供应急响应服务。参选人全天候（7天*24小时）实时电话响应，如遇重大活动期间，参选人须根据比选人安排，无条件配合做好服务保障工作。</w:t>
      </w:r>
    </w:p>
    <w:p w14:paraId="2B1ACA4C">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3.2.1.3提供系统或硬件故障诊断维护服务。提供远程诊断支持，远程诊断支持包括电话、网络支持；针对不能远程诊断的故障的，在1小时内到达现场，根据诊断结果提供处理方案；无法自行解决时，须在4小时内联系设备原厂协助处理，因此产生的费用由参选人自行承担。</w:t>
      </w:r>
    </w:p>
    <w:p w14:paraId="2BE741B5">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3.2.1.4提供硬件设备维修服务。对设备列表中的硬件提供维修服务，一旦这些设备出现故障，参选人负责维修处理；需要更换硬件的，由参选人先行采购，并保证在24小时内备件抵达现场完成备件更换。合同期内（一年）备件采购费用累计不超过10万元的，由比选人审核后实报实销；</w:t>
      </w:r>
      <w:r>
        <w:rPr>
          <w:rFonts w:hint="eastAsia" w:ascii="宋体" w:hAnsi="宋体" w:cs="宋体"/>
          <w:sz w:val="21"/>
          <w:szCs w:val="21"/>
          <w:highlight w:val="none"/>
          <w:lang w:val="en-US" w:eastAsia="zh-CN"/>
        </w:rPr>
        <w:t>每年</w:t>
      </w:r>
      <w:r>
        <w:rPr>
          <w:rFonts w:hint="eastAsia" w:ascii="宋体" w:hAnsi="宋体" w:eastAsia="宋体" w:cs="宋体"/>
          <w:sz w:val="21"/>
          <w:szCs w:val="21"/>
          <w:highlight w:val="none"/>
          <w:lang w:val="en-US" w:eastAsia="zh-CN"/>
        </w:rPr>
        <w:t>合同期内备件采购费用累计超过10万元的部分，由参选人自行承担。</w:t>
      </w:r>
    </w:p>
    <w:p w14:paraId="11AAAF29">
      <w:pPr>
        <w:keepNext w:val="0"/>
        <w:keepLines w:val="0"/>
        <w:pageBreakBefore w:val="0"/>
        <w:kinsoku/>
        <w:wordWrap/>
        <w:overflowPunct/>
        <w:topLinePunct w:val="0"/>
        <w:autoSpaceDE/>
        <w:autoSpaceDN/>
        <w:bidi w:val="0"/>
        <w:adjustRightInd/>
        <w:snapToGrid/>
        <w:spacing w:line="420" w:lineRule="exact"/>
        <w:ind w:right="-260" w:rightChars="-124" w:firstLine="422"/>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3.2.2配合工作内容</w:t>
      </w:r>
    </w:p>
    <w:p w14:paraId="67D848AC">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3.2.2.1</w:t>
      </w:r>
      <w:r>
        <w:rPr>
          <w:rFonts w:hint="eastAsia" w:ascii="宋体" w:hAnsi="宋体" w:eastAsia="宋体" w:cs="宋体"/>
          <w:sz w:val="21"/>
          <w:szCs w:val="21"/>
          <w:highlight w:val="none"/>
        </w:rPr>
        <w:t>对于不属于本项目的设备,应现场配合用户及其他厂商,提供必要的辅助服务</w:t>
      </w:r>
      <w:r>
        <w:rPr>
          <w:rFonts w:hint="eastAsia" w:ascii="宋体" w:hAnsi="宋体" w:eastAsia="宋体" w:cs="宋体"/>
          <w:kern w:val="0"/>
          <w:sz w:val="21"/>
          <w:szCs w:val="21"/>
          <w:highlight w:val="none"/>
        </w:rPr>
        <w:t>。</w:t>
      </w:r>
    </w:p>
    <w:p w14:paraId="3856BE18">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3.2.2.2无论由于硬件、系统软件、数据库软件、应用软件哪一方产生的问题而使系统发生不正常情况时，无论是否是属于该维护范围内的问题，在得到用户通知要求后，</w:t>
      </w:r>
      <w:r>
        <w:rPr>
          <w:rFonts w:hint="eastAsia" w:ascii="宋体" w:hAnsi="宋体" w:eastAsia="宋体" w:cs="宋体"/>
          <w:sz w:val="21"/>
          <w:szCs w:val="21"/>
          <w:highlight w:val="none"/>
          <w:lang w:val="en-US" w:eastAsia="zh-CN"/>
        </w:rPr>
        <w:t>参选人</w:t>
      </w:r>
      <w:r>
        <w:rPr>
          <w:rFonts w:hint="eastAsia" w:ascii="宋体" w:hAnsi="宋体" w:eastAsia="宋体" w:cs="宋体"/>
          <w:sz w:val="21"/>
          <w:szCs w:val="21"/>
          <w:highlight w:val="none"/>
        </w:rPr>
        <w:t>必须立即派工程师到场，全力协助用户，使系统尽快恢复正常，不得推诿。</w:t>
      </w:r>
    </w:p>
    <w:p w14:paraId="1C83EE0D">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3.2.2.3</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安排的其他配合工作。</w:t>
      </w:r>
    </w:p>
    <w:p w14:paraId="15AE711B">
      <w:pPr>
        <w:keepNext w:val="0"/>
        <w:keepLines w:val="0"/>
        <w:pageBreakBefore w:val="0"/>
        <w:kinsoku/>
        <w:wordWrap/>
        <w:overflowPunct/>
        <w:topLinePunct w:val="0"/>
        <w:autoSpaceDE/>
        <w:autoSpaceDN/>
        <w:bidi w:val="0"/>
        <w:adjustRightInd/>
        <w:snapToGrid/>
        <w:spacing w:line="420" w:lineRule="exact"/>
        <w:ind w:right="-260" w:rightChars="-124" w:firstLine="422"/>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3.2.3应急抢修</w:t>
      </w:r>
    </w:p>
    <w:p w14:paraId="614D051F">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3.2.3.1涉及本专业及配合其它专业的故障抢修作业。</w:t>
      </w:r>
    </w:p>
    <w:p w14:paraId="106EB1AB">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3.2.3.2其他影响行车安全的故障抢修。</w:t>
      </w:r>
    </w:p>
    <w:p w14:paraId="3ADAD70D">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88" w:name="_Toc294444974"/>
      <w:bookmarkStart w:id="89" w:name="_Toc289521921"/>
      <w:bookmarkStart w:id="90" w:name="_Toc476733508"/>
      <w:bookmarkStart w:id="91" w:name="_Toc292373148"/>
      <w:bookmarkStart w:id="92" w:name="_Toc290547325"/>
      <w:bookmarkStart w:id="93" w:name="_Toc17584"/>
      <w:r>
        <w:rPr>
          <w:rFonts w:hint="eastAsia" w:ascii="宋体" w:hAnsi="宋体" w:eastAsia="宋体" w:cs="宋体"/>
          <w:b/>
          <w:sz w:val="21"/>
          <w:szCs w:val="21"/>
          <w:highlight w:val="none"/>
        </w:rPr>
        <w:t>4维保标准技术规范</w:t>
      </w:r>
      <w:bookmarkEnd w:id="88"/>
      <w:bookmarkEnd w:id="89"/>
      <w:bookmarkEnd w:id="90"/>
      <w:bookmarkEnd w:id="91"/>
      <w:bookmarkEnd w:id="92"/>
      <w:bookmarkEnd w:id="93"/>
    </w:p>
    <w:p w14:paraId="34D5D86A">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本委外维保项目应按下述规程、规则、预案、技术文件、管理文件等组织施工（检修）、维保，包括但不限于：</w:t>
      </w:r>
    </w:p>
    <w:p w14:paraId="17A3EFF3">
      <w:pPr>
        <w:keepNext w:val="0"/>
        <w:keepLines w:val="0"/>
        <w:pageBreakBefore w:val="0"/>
        <w:kinsoku/>
        <w:wordWrap/>
        <w:overflowPunct/>
        <w:topLinePunct w:val="0"/>
        <w:autoSpaceDE/>
        <w:autoSpaceDN/>
        <w:bidi w:val="0"/>
        <w:adjustRightInd/>
        <w:snapToGrid/>
        <w:spacing w:line="420" w:lineRule="exact"/>
        <w:ind w:right="-260" w:rightChars="-124" w:firstLine="482"/>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4.1维保制度</w:t>
      </w:r>
    </w:p>
    <w:p w14:paraId="53E93DAE">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4.1.1</w:t>
      </w:r>
      <w:r>
        <w:rPr>
          <w:rFonts w:hint="eastAsia" w:ascii="宋体" w:hAnsi="宋体" w:eastAsia="宋体" w:cs="宋体"/>
          <w:sz w:val="21"/>
          <w:szCs w:val="21"/>
          <w:highlight w:val="none"/>
          <w:lang w:val="en-US" w:eastAsia="zh-CN"/>
        </w:rPr>
        <w:t>参选人</w:t>
      </w:r>
      <w:r>
        <w:rPr>
          <w:rFonts w:hint="eastAsia" w:ascii="宋体" w:hAnsi="宋体" w:eastAsia="宋体" w:cs="宋体"/>
          <w:sz w:val="21"/>
          <w:szCs w:val="21"/>
          <w:highlight w:val="none"/>
        </w:rPr>
        <w:t>须遵</w:t>
      </w:r>
      <w:r>
        <w:rPr>
          <w:rFonts w:hint="eastAsia" w:ascii="宋体" w:hAnsi="宋体" w:eastAsia="宋体" w:cs="宋体"/>
          <w:sz w:val="21"/>
          <w:szCs w:val="21"/>
          <w:highlight w:val="none"/>
          <w:lang w:val="en-US" w:eastAsia="zh-CN"/>
        </w:rPr>
        <w:t>严格</w:t>
      </w:r>
      <w:r>
        <w:rPr>
          <w:rFonts w:hint="eastAsia" w:ascii="宋体" w:hAnsi="宋体" w:eastAsia="宋体" w:cs="宋体"/>
          <w:sz w:val="21"/>
          <w:szCs w:val="21"/>
          <w:highlight w:val="none"/>
        </w:rPr>
        <w:t>守</w:t>
      </w:r>
      <w:r>
        <w:rPr>
          <w:rFonts w:hint="eastAsia" w:ascii="宋体" w:hAnsi="宋体" w:eastAsia="宋体" w:cs="宋体"/>
          <w:sz w:val="21"/>
          <w:szCs w:val="21"/>
          <w:highlight w:val="none"/>
          <w:lang w:val="en-US" w:eastAsia="zh-CN"/>
        </w:rPr>
        <w:t>比选人及公交分局</w:t>
      </w:r>
      <w:r>
        <w:rPr>
          <w:rFonts w:hint="eastAsia" w:ascii="宋体" w:hAnsi="宋体" w:eastAsia="宋体" w:cs="宋体"/>
          <w:sz w:val="21"/>
          <w:szCs w:val="21"/>
          <w:highlight w:val="none"/>
        </w:rPr>
        <w:t>所有的检修制度及相关管理规定。</w:t>
      </w:r>
    </w:p>
    <w:p w14:paraId="09477993">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4.1.2</w:t>
      </w:r>
      <w:r>
        <w:rPr>
          <w:rFonts w:hint="eastAsia" w:ascii="宋体" w:hAnsi="宋体" w:eastAsia="宋体" w:cs="宋体"/>
          <w:sz w:val="21"/>
          <w:szCs w:val="21"/>
          <w:highlight w:val="none"/>
          <w:lang w:val="en-US" w:eastAsia="zh-CN"/>
        </w:rPr>
        <w:t>参选人须严格遵守属地管理单位的</w:t>
      </w:r>
      <w:r>
        <w:rPr>
          <w:rFonts w:hint="eastAsia" w:ascii="宋体" w:hAnsi="宋体" w:eastAsia="宋体" w:cs="宋体"/>
          <w:sz w:val="21"/>
          <w:szCs w:val="21"/>
          <w:highlight w:val="none"/>
        </w:rPr>
        <w:t>《施工管理规则》《行车组织规则》《委外管理办法》《安全管理办法》</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相关管理制度及规定。</w:t>
      </w:r>
    </w:p>
    <w:p w14:paraId="142CDB1B">
      <w:pPr>
        <w:keepNext w:val="0"/>
        <w:keepLines w:val="0"/>
        <w:pageBreakBefore w:val="0"/>
        <w:kinsoku/>
        <w:wordWrap/>
        <w:overflowPunct/>
        <w:topLinePunct w:val="0"/>
        <w:autoSpaceDE/>
        <w:autoSpaceDN/>
        <w:bidi w:val="0"/>
        <w:adjustRightInd/>
        <w:snapToGrid/>
        <w:spacing w:line="420" w:lineRule="exact"/>
        <w:ind w:right="-260" w:rightChars="-124" w:firstLine="482"/>
        <w:textAlignment w:val="auto"/>
        <w:rPr>
          <w:rFonts w:hint="eastAsia" w:ascii="宋体" w:hAnsi="宋体" w:eastAsia="宋体" w:cs="宋体"/>
          <w:b/>
          <w:sz w:val="21"/>
          <w:szCs w:val="21"/>
          <w:highlight w:val="none"/>
        </w:rPr>
      </w:pPr>
      <w:bookmarkStart w:id="94" w:name="_Toc286909921"/>
      <w:r>
        <w:rPr>
          <w:rFonts w:hint="eastAsia" w:ascii="宋体" w:hAnsi="宋体" w:eastAsia="宋体" w:cs="宋体"/>
          <w:b/>
          <w:sz w:val="21"/>
          <w:szCs w:val="21"/>
          <w:highlight w:val="none"/>
        </w:rPr>
        <w:t>4.2相关技术规范</w:t>
      </w:r>
      <w:bookmarkEnd w:id="94"/>
    </w:p>
    <w:p w14:paraId="4244CD83">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4.2.1《地铁设计规范》（GB50157-2013）</w:t>
      </w:r>
    </w:p>
    <w:p w14:paraId="598B0C5C">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3.2.2《城市轨道交通通信工程质量验收规范》（GB50382-2006）</w:t>
      </w:r>
    </w:p>
    <w:p w14:paraId="498B16C7">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4.2.3《城市轨道交通技术规范》（GB50490-2009）</w:t>
      </w:r>
    </w:p>
    <w:p w14:paraId="25309207">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4.2.4《城市轨道交通运营管理规范》（GBT30012-2013）</w:t>
      </w:r>
    </w:p>
    <w:p w14:paraId="2BC63355">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4.2.5《城市轨道交通试运营基本条件》（GB30013-2013）</w:t>
      </w:r>
    </w:p>
    <w:p w14:paraId="67D2CD21">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4.2.6《城市轨道交通工程项目建设标准》（建标104-2008）</w:t>
      </w:r>
    </w:p>
    <w:p w14:paraId="743C31C6">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4.2.7《电子信息系统机房设计规范》（GB50174-2008）</w:t>
      </w:r>
    </w:p>
    <w:p w14:paraId="40D53C59">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4.2.8《地下铁道工程施工及验收规范》（GB50299-1999）</w:t>
      </w:r>
    </w:p>
    <w:p w14:paraId="12D14736">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4.2.</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 xml:space="preserve"> 公安部门关于公安通信设备的相关安全规定</w:t>
      </w:r>
    </w:p>
    <w:p w14:paraId="2F9F4A55">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以上技术规范如有最新版本，以最新版本执行。</w:t>
      </w:r>
    </w:p>
    <w:p w14:paraId="0441C35C">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95" w:name="_Toc476733509"/>
      <w:bookmarkStart w:id="96" w:name="_Toc292373150"/>
      <w:bookmarkStart w:id="97" w:name="_Toc290547327"/>
      <w:bookmarkStart w:id="98" w:name="_Toc7869"/>
      <w:bookmarkStart w:id="99" w:name="_Toc289521923"/>
      <w:bookmarkStart w:id="100" w:name="_Toc294444976"/>
      <w:r>
        <w:rPr>
          <w:rFonts w:hint="eastAsia" w:ascii="宋体" w:hAnsi="宋体" w:eastAsia="宋体" w:cs="宋体"/>
          <w:b/>
          <w:sz w:val="21"/>
          <w:szCs w:val="21"/>
          <w:highlight w:val="none"/>
        </w:rPr>
        <w:t>5维保设备清单和工作量</w:t>
      </w:r>
      <w:bookmarkEnd w:id="95"/>
      <w:bookmarkEnd w:id="96"/>
      <w:bookmarkEnd w:id="97"/>
      <w:bookmarkEnd w:id="98"/>
      <w:bookmarkEnd w:id="99"/>
      <w:bookmarkEnd w:id="100"/>
    </w:p>
    <w:p w14:paraId="74AEE854">
      <w:pPr>
        <w:keepNext w:val="0"/>
        <w:keepLines w:val="0"/>
        <w:pageBreakBefore w:val="0"/>
        <w:kinsoku/>
        <w:wordWrap/>
        <w:overflowPunct/>
        <w:topLinePunct w:val="0"/>
        <w:autoSpaceDE/>
        <w:autoSpaceDN/>
        <w:bidi w:val="0"/>
        <w:adjustRightInd/>
        <w:snapToGrid/>
        <w:spacing w:line="420" w:lineRule="exact"/>
        <w:ind w:right="-260" w:rightChars="-124" w:firstLine="482"/>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5.1维保设备数量清单</w:t>
      </w:r>
    </w:p>
    <w:p w14:paraId="560D2735">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维保设备清单见附录1。</w:t>
      </w:r>
    </w:p>
    <w:p w14:paraId="5F1E82FE">
      <w:pPr>
        <w:keepNext w:val="0"/>
        <w:keepLines w:val="0"/>
        <w:pageBreakBefore w:val="0"/>
        <w:kinsoku/>
        <w:wordWrap/>
        <w:overflowPunct/>
        <w:topLinePunct w:val="0"/>
        <w:autoSpaceDE/>
        <w:autoSpaceDN/>
        <w:bidi w:val="0"/>
        <w:adjustRightInd/>
        <w:snapToGrid/>
        <w:spacing w:line="420" w:lineRule="exact"/>
        <w:ind w:right="-260" w:rightChars="-124" w:firstLine="482"/>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5.2维保工作量</w:t>
      </w:r>
    </w:p>
    <w:p w14:paraId="0D01F0DF">
      <w:pPr>
        <w:pStyle w:val="33"/>
        <w:keepNext w:val="0"/>
        <w:keepLines w:val="0"/>
        <w:pageBreakBefore w:val="0"/>
        <w:kinsoku/>
        <w:wordWrap/>
        <w:overflowPunct/>
        <w:topLinePunct w:val="0"/>
        <w:autoSpaceDE/>
        <w:autoSpaceDN/>
        <w:bidi w:val="0"/>
        <w:adjustRightInd/>
        <w:snapToGrid/>
        <w:spacing w:after="0" w:line="420" w:lineRule="exact"/>
        <w:ind w:right="-260" w:rightChars="-124"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具体工作量由</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维保</w:t>
      </w:r>
      <w:r>
        <w:rPr>
          <w:rFonts w:hint="eastAsia" w:ascii="宋体" w:hAnsi="宋体" w:eastAsia="宋体" w:cs="宋体"/>
          <w:sz w:val="21"/>
          <w:szCs w:val="21"/>
          <w:highlight w:val="none"/>
        </w:rPr>
        <w:t>设备清单及</w:t>
      </w:r>
      <w:r>
        <w:rPr>
          <w:rFonts w:hint="eastAsia" w:ascii="宋体" w:hAnsi="宋体" w:eastAsia="宋体" w:cs="宋体"/>
          <w:sz w:val="21"/>
          <w:szCs w:val="21"/>
          <w:highlight w:val="none"/>
          <w:lang w:val="en-US" w:eastAsia="zh-CN"/>
        </w:rPr>
        <w:t>维保工作内容</w:t>
      </w:r>
      <w:r>
        <w:rPr>
          <w:rFonts w:hint="eastAsia" w:ascii="宋体" w:hAnsi="宋体" w:eastAsia="宋体" w:cs="宋体"/>
          <w:sz w:val="21"/>
          <w:szCs w:val="21"/>
          <w:highlight w:val="none"/>
        </w:rPr>
        <w:t>自行测算。</w:t>
      </w:r>
    </w:p>
    <w:p w14:paraId="5DCA0822">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101" w:name="_Toc476733510"/>
      <w:bookmarkStart w:id="102" w:name="_Toc32709"/>
      <w:r>
        <w:rPr>
          <w:rFonts w:hint="eastAsia" w:ascii="宋体" w:hAnsi="宋体" w:eastAsia="宋体" w:cs="宋体"/>
          <w:b/>
          <w:sz w:val="21"/>
          <w:szCs w:val="21"/>
          <w:highlight w:val="none"/>
        </w:rPr>
        <w:t>6维保资源配备及组织要求</w:t>
      </w:r>
      <w:bookmarkEnd w:id="101"/>
      <w:bookmarkEnd w:id="102"/>
    </w:p>
    <w:p w14:paraId="1AB9ED52">
      <w:pPr>
        <w:keepNext w:val="0"/>
        <w:keepLines w:val="0"/>
        <w:pageBreakBefore w:val="0"/>
        <w:kinsoku/>
        <w:wordWrap/>
        <w:overflowPunct/>
        <w:topLinePunct w:val="0"/>
        <w:autoSpaceDE/>
        <w:autoSpaceDN/>
        <w:bidi w:val="0"/>
        <w:adjustRightInd/>
        <w:snapToGrid/>
        <w:spacing w:line="420" w:lineRule="exact"/>
        <w:ind w:right="-260" w:rightChars="-124" w:firstLine="482"/>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6.1</w:t>
      </w:r>
      <w:r>
        <w:rPr>
          <w:rFonts w:hint="eastAsia" w:ascii="宋体" w:hAnsi="宋体" w:eastAsia="宋体" w:cs="宋体"/>
          <w:b/>
          <w:sz w:val="21"/>
          <w:szCs w:val="21"/>
          <w:highlight w:val="none"/>
          <w:lang w:eastAsia="zh-CN"/>
        </w:rPr>
        <w:t>参选人</w:t>
      </w:r>
      <w:r>
        <w:rPr>
          <w:rFonts w:hint="eastAsia" w:ascii="宋体" w:hAnsi="宋体" w:eastAsia="宋体" w:cs="宋体"/>
          <w:b/>
          <w:sz w:val="21"/>
          <w:szCs w:val="21"/>
          <w:highlight w:val="none"/>
        </w:rPr>
        <w:t>需配备资源</w:t>
      </w:r>
    </w:p>
    <w:p w14:paraId="512888DC">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须在</w:t>
      </w:r>
      <w:r>
        <w:rPr>
          <w:rFonts w:hint="eastAsia" w:ascii="宋体" w:hAnsi="宋体" w:eastAsia="宋体" w:cs="宋体"/>
          <w:sz w:val="21"/>
          <w:szCs w:val="21"/>
          <w:highlight w:val="none"/>
          <w:lang w:val="en-US" w:eastAsia="zh-CN"/>
        </w:rPr>
        <w:t>1号线</w:t>
      </w:r>
      <w:r>
        <w:rPr>
          <w:rFonts w:hint="eastAsia" w:ascii="宋体" w:hAnsi="宋体" w:eastAsia="宋体" w:cs="宋体"/>
          <w:sz w:val="21"/>
          <w:szCs w:val="21"/>
          <w:highlight w:val="none"/>
        </w:rPr>
        <w:t>地铁沿线或</w:t>
      </w:r>
      <w:r>
        <w:rPr>
          <w:rFonts w:hint="eastAsia" w:ascii="宋体" w:hAnsi="宋体" w:eastAsia="宋体" w:cs="宋体"/>
          <w:sz w:val="21"/>
          <w:szCs w:val="21"/>
          <w:highlight w:val="none"/>
          <w:lang w:val="en-US" w:eastAsia="zh-CN"/>
        </w:rPr>
        <w:t>控制中心</w:t>
      </w:r>
      <w:r>
        <w:rPr>
          <w:rFonts w:hint="eastAsia" w:ascii="宋体" w:hAnsi="宋体" w:eastAsia="宋体" w:cs="宋体"/>
          <w:sz w:val="21"/>
          <w:szCs w:val="21"/>
          <w:highlight w:val="none"/>
        </w:rPr>
        <w:t>就近设置委外项目部办公场所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设有固定人员值班，保持24小时通讯畅通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以提高人员应急处理能力，办公地点须征得</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同意。</w:t>
      </w:r>
    </w:p>
    <w:p w14:paraId="52FBFC7B">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计算机、复印机及其它办公用品由</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自行配备，但须满足</w:t>
      </w:r>
      <w:r>
        <w:rPr>
          <w:rFonts w:hint="eastAsia" w:ascii="宋体" w:hAnsi="宋体" w:eastAsia="宋体" w:cs="宋体"/>
          <w:sz w:val="21"/>
          <w:szCs w:val="21"/>
          <w:highlight w:val="none"/>
          <w:lang w:val="en-US" w:eastAsia="zh-CN"/>
        </w:rPr>
        <w:t>正常</w:t>
      </w:r>
      <w:r>
        <w:rPr>
          <w:rFonts w:hint="eastAsia" w:ascii="宋体" w:hAnsi="宋体" w:eastAsia="宋体" w:cs="宋体"/>
          <w:sz w:val="21"/>
          <w:szCs w:val="21"/>
          <w:highlight w:val="none"/>
        </w:rPr>
        <w:t>办公需要。</w:t>
      </w:r>
    </w:p>
    <w:p w14:paraId="11404E02">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须自行配备日常检修和故障抢修作业所需的工器具、仪器仪表及耗材，保证满足现场需求。工器具、仪器仪表包含但不限于：地板吸、扫帚、簸箕、水桶、抹布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手电筒、人字梯、螺丝批、数字万用表、工程宝、光纤熔接机等。</w:t>
      </w:r>
    </w:p>
    <w:p w14:paraId="7FE11A5B">
      <w:pPr>
        <w:keepNext w:val="0"/>
        <w:keepLines w:val="0"/>
        <w:pageBreakBefore w:val="0"/>
        <w:kinsoku/>
        <w:wordWrap/>
        <w:overflowPunct/>
        <w:topLinePunct w:val="0"/>
        <w:autoSpaceDE/>
        <w:autoSpaceDN/>
        <w:bidi w:val="0"/>
        <w:adjustRightInd/>
        <w:snapToGrid/>
        <w:spacing w:line="420" w:lineRule="exact"/>
        <w:ind w:right="-260" w:rightChars="-124" w:firstLine="482"/>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6.2人员要求</w:t>
      </w:r>
    </w:p>
    <w:p w14:paraId="5A1D66E1">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6.2.1</w:t>
      </w:r>
      <w:r>
        <w:rPr>
          <w:rFonts w:hint="eastAsia" w:ascii="宋体" w:hAnsi="宋体" w:eastAsia="宋体" w:cs="宋体"/>
          <w:sz w:val="21"/>
          <w:szCs w:val="21"/>
          <w:highlight w:val="none"/>
          <w:u w:val="none"/>
          <w:lang w:eastAsia="zh-CN"/>
        </w:rPr>
        <w:t>参选人</w:t>
      </w:r>
      <w:r>
        <w:rPr>
          <w:rFonts w:hint="eastAsia" w:ascii="宋体" w:hAnsi="宋体" w:eastAsia="宋体" w:cs="宋体"/>
          <w:sz w:val="21"/>
          <w:szCs w:val="21"/>
          <w:highlight w:val="none"/>
          <w:u w:val="none"/>
        </w:rPr>
        <w:t>须配备</w:t>
      </w:r>
      <w:r>
        <w:rPr>
          <w:rFonts w:hint="eastAsia" w:ascii="宋体" w:hAnsi="宋体" w:eastAsia="宋体" w:cs="宋体"/>
          <w:sz w:val="21"/>
          <w:szCs w:val="21"/>
          <w:highlight w:val="none"/>
          <w:u w:val="none"/>
          <w:lang w:val="en-US" w:eastAsia="zh-CN"/>
        </w:rPr>
        <w:t>至少2名</w:t>
      </w:r>
      <w:r>
        <w:rPr>
          <w:rFonts w:hint="eastAsia" w:ascii="宋体" w:hAnsi="宋体" w:eastAsia="宋体" w:cs="宋体"/>
          <w:sz w:val="21"/>
          <w:szCs w:val="21"/>
          <w:highlight w:val="none"/>
          <w:u w:val="none"/>
        </w:rPr>
        <w:t>维保人员，</w:t>
      </w:r>
      <w:r>
        <w:rPr>
          <w:rFonts w:hint="eastAsia" w:ascii="宋体" w:hAnsi="宋体" w:eastAsia="宋体" w:cs="宋体"/>
          <w:sz w:val="21"/>
          <w:szCs w:val="21"/>
          <w:highlight w:val="none"/>
          <w:u w:val="none"/>
          <w:lang w:val="en-US" w:eastAsia="zh-CN"/>
        </w:rPr>
        <w:t>包括但不限于</w:t>
      </w:r>
      <w:r>
        <w:rPr>
          <w:rFonts w:hint="eastAsia" w:ascii="宋体" w:hAnsi="宋体" w:eastAsia="宋体" w:cs="宋体"/>
          <w:sz w:val="21"/>
          <w:szCs w:val="21"/>
          <w:highlight w:val="none"/>
          <w:u w:val="none"/>
        </w:rPr>
        <w:t>项目</w:t>
      </w:r>
      <w:r>
        <w:rPr>
          <w:rFonts w:hint="eastAsia" w:ascii="宋体" w:hAnsi="宋体" w:eastAsia="宋体" w:cs="宋体"/>
          <w:sz w:val="21"/>
          <w:szCs w:val="21"/>
          <w:highlight w:val="none"/>
          <w:u w:val="none"/>
          <w:lang w:val="en-US" w:eastAsia="zh-CN"/>
        </w:rPr>
        <w:t>负责人</w:t>
      </w:r>
      <w:r>
        <w:rPr>
          <w:rFonts w:hint="eastAsia" w:ascii="宋体" w:hAnsi="宋体" w:eastAsia="宋体" w:cs="宋体"/>
          <w:sz w:val="21"/>
          <w:szCs w:val="21"/>
          <w:highlight w:val="none"/>
          <w:u w:val="none"/>
        </w:rPr>
        <w:t>1名、</w:t>
      </w:r>
      <w:r>
        <w:rPr>
          <w:rFonts w:hint="eastAsia" w:ascii="宋体" w:hAnsi="宋体" w:eastAsia="宋体" w:cs="宋体"/>
          <w:sz w:val="21"/>
          <w:szCs w:val="21"/>
          <w:highlight w:val="none"/>
          <w:u w:val="none"/>
          <w:lang w:val="en-US" w:eastAsia="zh-CN"/>
        </w:rPr>
        <w:t>生产骨干1</w:t>
      </w:r>
      <w:r>
        <w:rPr>
          <w:rFonts w:hint="eastAsia" w:ascii="宋体" w:hAnsi="宋体" w:eastAsia="宋体" w:cs="宋体"/>
          <w:sz w:val="21"/>
          <w:szCs w:val="21"/>
          <w:highlight w:val="none"/>
          <w:u w:val="none"/>
        </w:rPr>
        <w:t>名。</w:t>
      </w:r>
    </w:p>
    <w:p w14:paraId="25BDFEC4">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人员要求具体如下：</w:t>
      </w:r>
    </w:p>
    <w:p w14:paraId="6C53FE97">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（1）项目</w:t>
      </w:r>
      <w:r>
        <w:rPr>
          <w:rFonts w:hint="eastAsia" w:ascii="宋体" w:hAnsi="宋体" w:eastAsia="宋体" w:cs="宋体"/>
          <w:sz w:val="21"/>
          <w:szCs w:val="21"/>
          <w:highlight w:val="none"/>
          <w:u w:val="none"/>
          <w:lang w:val="en-US" w:eastAsia="zh-CN"/>
        </w:rPr>
        <w:t>负责人</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none"/>
          <w:lang w:val="en-US" w:eastAsia="zh-CN"/>
        </w:rPr>
        <w:t>满足比选文件要求</w:t>
      </w:r>
      <w:r>
        <w:rPr>
          <w:rFonts w:hint="eastAsia" w:ascii="宋体" w:hAnsi="宋体" w:eastAsia="宋体" w:cs="宋体"/>
          <w:sz w:val="21"/>
          <w:szCs w:val="21"/>
          <w:highlight w:val="none"/>
          <w:u w:val="none"/>
        </w:rPr>
        <w:t>。</w:t>
      </w:r>
    </w:p>
    <w:p w14:paraId="7424E2D2">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none"/>
          <w:lang w:val="en-US" w:eastAsia="zh-CN"/>
        </w:rPr>
        <w:t>2</w:t>
      </w:r>
      <w:r>
        <w:rPr>
          <w:rFonts w:hint="eastAsia" w:ascii="宋体" w:hAnsi="宋体" w:eastAsia="宋体" w:cs="宋体"/>
          <w:sz w:val="21"/>
          <w:szCs w:val="21"/>
          <w:highlight w:val="none"/>
          <w:u w:val="none"/>
        </w:rPr>
        <w:t>）生产骨干：中专及以上学历，年龄35周岁以下，具有1年及以上轨道交通通信弱电相关设备(至少包含通信、信号、综合监控、火灾自动报警、自动售检票中的一项)安装、调试或维护工作经验，具备</w:t>
      </w:r>
      <w:r>
        <w:rPr>
          <w:rFonts w:hint="eastAsia" w:ascii="宋体" w:hAnsi="宋体" w:eastAsia="宋体" w:cs="宋体"/>
          <w:b w:val="0"/>
          <w:bCs w:val="0"/>
          <w:sz w:val="21"/>
          <w:szCs w:val="21"/>
          <w:highlight w:val="none"/>
          <w:lang w:val="en-US" w:eastAsia="zh-CN"/>
        </w:rPr>
        <w:t>低压电工作业证、高处作业操作证</w:t>
      </w:r>
      <w:r>
        <w:rPr>
          <w:rFonts w:hint="eastAsia" w:ascii="宋体" w:hAnsi="宋体" w:eastAsia="宋体" w:cs="宋体"/>
          <w:sz w:val="21"/>
          <w:szCs w:val="21"/>
          <w:highlight w:val="none"/>
          <w:u w:val="none"/>
        </w:rPr>
        <w:t>。</w:t>
      </w:r>
    </w:p>
    <w:p w14:paraId="7B77B9FC">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生产人员在正式到岗前，由</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进行专业知识和地铁相关设备认知培训，经</w:t>
      </w:r>
      <w:r>
        <w:rPr>
          <w:rFonts w:hint="eastAsia" w:ascii="宋体" w:hAnsi="宋体" w:eastAsia="宋体" w:cs="宋体"/>
          <w:sz w:val="21"/>
          <w:szCs w:val="21"/>
          <w:highlight w:val="none"/>
          <w:lang w:val="en-US" w:eastAsia="zh-CN"/>
        </w:rPr>
        <w:t>培训</w:t>
      </w:r>
      <w:r>
        <w:rPr>
          <w:rFonts w:hint="eastAsia" w:ascii="宋体" w:hAnsi="宋体" w:eastAsia="宋体" w:cs="宋体"/>
          <w:sz w:val="21"/>
          <w:szCs w:val="21"/>
          <w:highlight w:val="none"/>
        </w:rPr>
        <w:t>合格后方能正式上岗，不合格人员由</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调换。</w:t>
      </w:r>
    </w:p>
    <w:p w14:paraId="65E36D40">
      <w:pPr>
        <w:keepNext w:val="0"/>
        <w:keepLines w:val="0"/>
        <w:pageBreakBefore w:val="0"/>
        <w:kinsoku/>
        <w:wordWrap/>
        <w:overflowPunct/>
        <w:topLinePunct w:val="0"/>
        <w:autoSpaceDE/>
        <w:autoSpaceDN/>
        <w:bidi w:val="0"/>
        <w:adjustRightInd/>
        <w:snapToGrid/>
        <w:spacing w:line="420" w:lineRule="exact"/>
        <w:ind w:right="-260" w:rightChars="-124" w:firstLine="482"/>
        <w:textAlignment w:val="auto"/>
        <w:rPr>
          <w:rFonts w:hint="eastAsia" w:ascii="宋体" w:hAnsi="宋体" w:eastAsia="宋体" w:cs="宋体"/>
          <w:b/>
          <w:sz w:val="21"/>
          <w:szCs w:val="21"/>
          <w:highlight w:val="none"/>
        </w:rPr>
      </w:pPr>
      <w:bookmarkStart w:id="103" w:name="_Toc416643049"/>
      <w:bookmarkStart w:id="104" w:name="_Toc294444978"/>
      <w:bookmarkStart w:id="105" w:name="_Toc289521925"/>
      <w:bookmarkStart w:id="106" w:name="_Toc290547329"/>
      <w:bookmarkStart w:id="107" w:name="_Toc292373152"/>
      <w:r>
        <w:rPr>
          <w:rFonts w:hint="eastAsia" w:ascii="宋体" w:hAnsi="宋体" w:eastAsia="宋体" w:cs="宋体"/>
          <w:b/>
          <w:sz w:val="21"/>
          <w:szCs w:val="21"/>
          <w:highlight w:val="none"/>
        </w:rPr>
        <w:t>6.3</w:t>
      </w:r>
      <w:r>
        <w:rPr>
          <w:rFonts w:hint="eastAsia" w:ascii="宋体" w:hAnsi="宋体" w:eastAsia="宋体" w:cs="宋体"/>
          <w:b/>
          <w:sz w:val="21"/>
          <w:szCs w:val="21"/>
          <w:highlight w:val="none"/>
          <w:lang w:eastAsia="zh-CN"/>
        </w:rPr>
        <w:t>参选人</w:t>
      </w:r>
      <w:r>
        <w:rPr>
          <w:rFonts w:hint="eastAsia" w:ascii="宋体" w:hAnsi="宋体" w:eastAsia="宋体" w:cs="宋体"/>
          <w:b/>
          <w:sz w:val="21"/>
          <w:szCs w:val="21"/>
          <w:highlight w:val="none"/>
        </w:rPr>
        <w:t>组织架构及组织保证措施要求</w:t>
      </w:r>
      <w:bookmarkEnd w:id="103"/>
    </w:p>
    <w:p w14:paraId="286E4F54">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6.3.1为保证项目的顺利进行，对于所承包的维保项目，</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需成立专门机构（项目部），设有专人（项目经理）负责，并按</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规定建立相关组织。</w:t>
      </w:r>
    </w:p>
    <w:p w14:paraId="5A39900E">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6.3.2</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须向</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提供其项目组织架构图及岗位职责。</w:t>
      </w:r>
    </w:p>
    <w:p w14:paraId="3FD5423B">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6.3.3</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必须根据《劳动合同法》合法用工，与所有维保人员签订合同，将</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主要人员的具体名单、人员履历表、劳动合同、职业资格证、技术职称证书等有效原始证件及复印件报</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备案。</w:t>
      </w:r>
    </w:p>
    <w:p w14:paraId="487B72C4">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6.3.4</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应对其维修组织机构定岗、定员，维保人员素质和专业技术结构需满足各项维修要求，更换维保人员须得到</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认可，一次性更换维保人员不得超过1人。</w:t>
      </w:r>
    </w:p>
    <w:p w14:paraId="1EE7301C">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6.3.5因</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人员技术水平低、责任心差等不符合</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要求的，</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有权拒绝使用，</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须在10个工作日以内完成人员更换，并经</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安全、技术培训合格后方可上岗。</w:t>
      </w:r>
    </w:p>
    <w:p w14:paraId="658ACC4B">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应在节假日安排足够的维保人员，保证设备的日常巡检及应急抢修。</w:t>
      </w:r>
    </w:p>
    <w:p w14:paraId="7CE4D040">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应严格遵守和执行国家、地方、行业的相关法律、法规、规范、规程、标准及</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的各项管理制度及规定。</w:t>
      </w:r>
    </w:p>
    <w:p w14:paraId="3E784A01">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应密切配合</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的有关工作，有权利也有义务为</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生产及设备维保提出合理化建议。</w:t>
      </w:r>
    </w:p>
    <w:p w14:paraId="2C32DC60">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108" w:name="_Toc476733511"/>
      <w:bookmarkStart w:id="109" w:name="_Toc27600"/>
      <w:r>
        <w:rPr>
          <w:rFonts w:hint="eastAsia" w:ascii="宋体" w:hAnsi="宋体" w:eastAsia="宋体" w:cs="宋体"/>
          <w:b/>
          <w:sz w:val="21"/>
          <w:szCs w:val="21"/>
          <w:highlight w:val="none"/>
        </w:rPr>
        <w:t>7维保生产组织要求</w:t>
      </w:r>
      <w:bookmarkEnd w:id="108"/>
      <w:bookmarkEnd w:id="109"/>
    </w:p>
    <w:p w14:paraId="54CDA148">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须按照</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规定时间组织人员进场。所有维保人员进场后，需按照合同的要求开展岗前培训工作。</w:t>
      </w:r>
    </w:p>
    <w:p w14:paraId="3AC4E9E2">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7.2</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须严格按照</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维修管理模式、检修工作计划和检修方案组织实施。</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对委外管理工作进行总体领导和把关，负责对项目委外工作的具体领导。</w:t>
      </w:r>
    </w:p>
    <w:p w14:paraId="71293E7C">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7.3</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须按</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规定的检修周期制定月度检修计划，报</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审核批准后方可实施，并做好相应的台账记录。</w:t>
      </w:r>
    </w:p>
    <w:p w14:paraId="5EB6A0A7">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7.4</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须严格按</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审核的检修计划组织施工，并接受</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对进度的检查、监督。</w:t>
      </w:r>
    </w:p>
    <w:p w14:paraId="0069F08F">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7.5</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须按</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规定做好检修记录、故障记录等台账的归档工作。</w:t>
      </w:r>
    </w:p>
    <w:p w14:paraId="4B7D516A">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7.6当维保工作不能按计划完成时，</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应及时调整人力、物力或采取相应措施，并提前向</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报告，否则按未完成项目考核；当维保工作实际进度与已确认的计划不符时，</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应按</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要求提出改进措施。</w:t>
      </w:r>
    </w:p>
    <w:p w14:paraId="04C96592">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7.7针对季节性气候、节假日或可预见的大客流等情况，</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须按照</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的统一布置做好人员值班和设备检查工作。</w:t>
      </w:r>
    </w:p>
    <w:p w14:paraId="1D96E79E">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7.8</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人员离开</w:t>
      </w:r>
      <w:r>
        <w:rPr>
          <w:rFonts w:hint="eastAsia" w:ascii="宋体" w:hAnsi="宋体" w:eastAsia="宋体" w:cs="宋体"/>
          <w:sz w:val="21"/>
          <w:szCs w:val="21"/>
          <w:highlight w:val="none"/>
          <w:lang w:val="en-US" w:eastAsia="zh-CN"/>
        </w:rPr>
        <w:t>南通</w:t>
      </w:r>
      <w:r>
        <w:rPr>
          <w:rFonts w:hint="eastAsia" w:ascii="宋体" w:hAnsi="宋体" w:eastAsia="宋体" w:cs="宋体"/>
          <w:sz w:val="21"/>
          <w:szCs w:val="21"/>
          <w:highlight w:val="none"/>
        </w:rPr>
        <w:t>市，必须向</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办理请假手续。岗位缺员，</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有权另行临时聘员或工作外协，所发生的一切费用由</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支付。</w:t>
      </w:r>
    </w:p>
    <w:p w14:paraId="432D95BF">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7.9项目经理（必要时同时安排其他人员）须按要求参加</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lang w:val="en-US" w:eastAsia="zh-CN"/>
        </w:rPr>
        <w:t>组织</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有关会议</w:t>
      </w:r>
      <w:r>
        <w:rPr>
          <w:rFonts w:hint="eastAsia" w:ascii="宋体" w:hAnsi="宋体" w:eastAsia="宋体" w:cs="宋体"/>
          <w:sz w:val="21"/>
          <w:szCs w:val="21"/>
          <w:highlight w:val="none"/>
        </w:rPr>
        <w:t>，并及时向员工传达会议精神。</w:t>
      </w:r>
    </w:p>
    <w:p w14:paraId="799FB766">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7.10维保工作完工后，</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有权进行检查及验收，对于检查不合格的，将按</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相关管理制度进行考核。</w:t>
      </w:r>
    </w:p>
    <w:p w14:paraId="393517C2">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110" w:name="_Toc476733512"/>
      <w:bookmarkStart w:id="111" w:name="_Toc9273"/>
      <w:r>
        <w:rPr>
          <w:rFonts w:hint="eastAsia" w:ascii="宋体" w:hAnsi="宋体" w:eastAsia="宋体" w:cs="宋体"/>
          <w:b/>
          <w:sz w:val="21"/>
          <w:szCs w:val="21"/>
          <w:highlight w:val="none"/>
        </w:rPr>
        <w:t>8 应急处理组织要求</w:t>
      </w:r>
      <w:bookmarkEnd w:id="110"/>
      <w:bookmarkEnd w:id="111"/>
    </w:p>
    <w:p w14:paraId="69CF31C9">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8.1</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须成立以项目经理为组长的应急处理小组，组员名单和通讯方式须在</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备案，</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有权对应急处理小组进行检查、指导和指挥。</w:t>
      </w:r>
    </w:p>
    <w:p w14:paraId="2311F332">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8.2</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应明确应急处理小组组员的职责，全体组员须保证24小时通讯畅通。</w:t>
      </w:r>
    </w:p>
    <w:p w14:paraId="1B2AA417">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8.3</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须定期组织维保人员学习相关应急预案、现场处置方案及典型事故案例，并做好学习记录。</w:t>
      </w:r>
    </w:p>
    <w:p w14:paraId="7B2DAD0B">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8.4</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须制定应急演练计划，组织开展现场处置演练，并做好演练记录及总结，不断优化现场处置方案。</w:t>
      </w:r>
    </w:p>
    <w:p w14:paraId="3CCABBAE">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8.5</w:t>
      </w:r>
      <w:bookmarkStart w:id="112" w:name="OLE_LINK2"/>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有权对</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抢修人员到位、抢修物资工器具配备等情况进行检查（或抽查），发现问题</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须及时整改</w:t>
      </w:r>
      <w:bookmarkEnd w:id="112"/>
      <w:r>
        <w:rPr>
          <w:rFonts w:hint="eastAsia" w:ascii="宋体" w:hAnsi="宋体" w:eastAsia="宋体" w:cs="宋体"/>
          <w:sz w:val="21"/>
          <w:szCs w:val="21"/>
          <w:highlight w:val="none"/>
        </w:rPr>
        <w:t>。</w:t>
      </w:r>
    </w:p>
    <w:p w14:paraId="3BFDAD3D">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现场抢修应严格遵行“先通后复”的原则，避免扩大影响范围，处理过程中应做好拍照、摄像等现场记录工作，以便于后续的分析、整改。</w:t>
      </w:r>
    </w:p>
    <w:p w14:paraId="756DD2F8">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抢修处理完毕后，</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应配合</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做好故障分析，必要时项目经理、现场处理人员需参加事故分析会。</w:t>
      </w:r>
    </w:p>
    <w:p w14:paraId="5A37FAF5">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 xml:space="preserve"> 发生在委外维保范围内的故障抢险、事故抢修等工作，其费用不再单独结算。</w:t>
      </w:r>
    </w:p>
    <w:p w14:paraId="7DD05BD6">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在任何情况下均不得隐瞒事故现象和过程，如出现</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将按相关管理办法对</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考核。</w:t>
      </w:r>
    </w:p>
    <w:p w14:paraId="7E610BB2">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因</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人员响应不及时、现场处理不当而造成影响范围扩大的，所产生的一切经济损失由</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进行赔偿。</w:t>
      </w:r>
    </w:p>
    <w:p w14:paraId="6B48F57B">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113" w:name="_Toc18317"/>
      <w:bookmarkStart w:id="114" w:name="_Toc476733513"/>
      <w:r>
        <w:rPr>
          <w:rFonts w:hint="eastAsia" w:ascii="宋体" w:hAnsi="宋体" w:eastAsia="宋体" w:cs="宋体"/>
          <w:b/>
          <w:sz w:val="21"/>
          <w:szCs w:val="21"/>
          <w:highlight w:val="none"/>
        </w:rPr>
        <w:t>9安全管理要求</w:t>
      </w:r>
      <w:bookmarkEnd w:id="113"/>
      <w:bookmarkEnd w:id="114"/>
    </w:p>
    <w:p w14:paraId="6285F84D">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9.1</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须严格遵照现行国家及有关部门的安全法规、规范、规定，对本项目进行安全管理，加强现场作业和日常安全管理的检查，确保安全施工，杜绝一切人身伤亡事故。</w:t>
      </w:r>
    </w:p>
    <w:p w14:paraId="4A0F22F9">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须向</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提供本维保项目的安全控制组织架构及岗位职责，由</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备案。</w:t>
      </w:r>
    </w:p>
    <w:p w14:paraId="4B6C906D">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9.3</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须按维保项目的安全目标、安全指标进行安全管理，严格执行</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制定的各项安全管理制度。</w:t>
      </w:r>
    </w:p>
    <w:p w14:paraId="4F849544">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9.4</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人员须按照国家法律法规及</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的相关规章制度进行三级安全教育并考试合格后方可上岗作业。</w:t>
      </w:r>
    </w:p>
    <w:p w14:paraId="054D662B">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9.5</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因维保管理不善造成人员工伤的由</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自行负责办理理赔，造成第三方损失的应独立应诉并承担相关费用。</w:t>
      </w:r>
    </w:p>
    <w:p w14:paraId="2E2CC1E1">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9.6</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因维保管理不善，安全管理和技术管理缺陷造成运营重大损失的应进行责任赔偿，构成违法犯罪的移交公安机关处理。</w:t>
      </w:r>
    </w:p>
    <w:p w14:paraId="4EF7E5FB">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9.7</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须做好保密工作，不得以任何方式向外界泄露与</w:t>
      </w:r>
      <w:r>
        <w:rPr>
          <w:rFonts w:hint="eastAsia" w:ascii="宋体" w:hAnsi="宋体" w:eastAsia="宋体" w:cs="宋体"/>
          <w:sz w:val="21"/>
          <w:szCs w:val="21"/>
          <w:highlight w:val="none"/>
          <w:lang w:val="en-US" w:eastAsia="zh-CN"/>
        </w:rPr>
        <w:t>南通轨道、公交分局</w:t>
      </w:r>
      <w:r>
        <w:rPr>
          <w:rFonts w:hint="eastAsia" w:ascii="宋体" w:hAnsi="宋体" w:eastAsia="宋体" w:cs="宋体"/>
          <w:sz w:val="21"/>
          <w:szCs w:val="21"/>
          <w:highlight w:val="none"/>
        </w:rPr>
        <w:t>相关的信息，造成不良影响的，</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有权对</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进行追责。</w:t>
      </w:r>
    </w:p>
    <w:p w14:paraId="57E308E4">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115" w:name="_Toc476733514"/>
      <w:bookmarkStart w:id="116" w:name="_Toc29011"/>
      <w:r>
        <w:rPr>
          <w:rFonts w:hint="eastAsia" w:ascii="宋体" w:hAnsi="宋体" w:eastAsia="宋体" w:cs="宋体"/>
          <w:b/>
          <w:sz w:val="21"/>
          <w:szCs w:val="21"/>
          <w:highlight w:val="none"/>
        </w:rPr>
        <w:t>10 质量管理要求</w:t>
      </w:r>
      <w:bookmarkEnd w:id="115"/>
      <w:bookmarkEnd w:id="116"/>
    </w:p>
    <w:p w14:paraId="446B53D2">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10.1</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须认真贯彻执行</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质量管理体系，以“精检细修、质量为本”作为质量管理的基本原则，以“计划修为主、故障修为辅”作为设备维修模式，确保所管理的设备达到最高的性能和质量指标。</w:t>
      </w:r>
    </w:p>
    <w:p w14:paraId="475E6BDA">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10.2</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在确保安全、提高质量的基础上努力提高效率，降低成本，不断改善公安通信设备的技术状态。</w:t>
      </w:r>
    </w:p>
    <w:p w14:paraId="15C21A9D">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须保证维修管理标准化、规范化，保证所提供的服务与有关的技术要求保持一致。</w:t>
      </w:r>
    </w:p>
    <w:p w14:paraId="0A80B69F">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维保过程中发生的质量问题或质量事故，</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要及时报告</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并制定处理方案，经</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审核批准后实施。</w:t>
      </w:r>
    </w:p>
    <w:p w14:paraId="12681439">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有权对</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设备维保质量、质量管理体系等进行检查（或抽查），发现问题</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须及时整改。</w:t>
      </w:r>
    </w:p>
    <w:p w14:paraId="68C20ACC">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117" w:name="_Toc476733515"/>
      <w:bookmarkStart w:id="118" w:name="_Toc3182"/>
      <w:r>
        <w:rPr>
          <w:rFonts w:hint="eastAsia" w:ascii="宋体" w:hAnsi="宋体" w:eastAsia="宋体" w:cs="宋体"/>
          <w:b/>
          <w:sz w:val="21"/>
          <w:szCs w:val="21"/>
          <w:highlight w:val="none"/>
        </w:rPr>
        <w:t>11 物资管理要求</w:t>
      </w:r>
      <w:bookmarkEnd w:id="117"/>
      <w:bookmarkEnd w:id="118"/>
    </w:p>
    <w:p w14:paraId="71752E44">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应建立</w:t>
      </w:r>
      <w:r>
        <w:rPr>
          <w:rFonts w:hint="eastAsia" w:ascii="宋体" w:hAnsi="宋体" w:eastAsia="宋体" w:cs="宋体"/>
          <w:sz w:val="21"/>
          <w:szCs w:val="21"/>
          <w:highlight w:val="none"/>
          <w:lang w:val="en-US" w:eastAsia="zh-CN"/>
        </w:rPr>
        <w:t>常用的</w:t>
      </w:r>
      <w:r>
        <w:rPr>
          <w:rFonts w:hint="eastAsia" w:ascii="宋体" w:hAnsi="宋体" w:eastAsia="宋体" w:cs="宋体"/>
          <w:sz w:val="21"/>
          <w:szCs w:val="21"/>
          <w:highlight w:val="none"/>
        </w:rPr>
        <w:t>备品备件材料仓库，不得因备件供应不足而影响系统设备的维修保养、正常使用，应保证设备处于完整完好状态。</w:t>
      </w:r>
    </w:p>
    <w:p w14:paraId="2F6684E8">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val="en-US" w:eastAsia="zh-CN"/>
        </w:rPr>
        <w:t>2参选人</w:t>
      </w:r>
      <w:r>
        <w:rPr>
          <w:rFonts w:hint="eastAsia" w:ascii="宋体" w:hAnsi="宋体" w:eastAsia="宋体" w:cs="宋体"/>
          <w:sz w:val="21"/>
          <w:szCs w:val="21"/>
          <w:highlight w:val="none"/>
        </w:rPr>
        <w:t>提供的备件及材料应符合国家标准及制造厂家的备件质量标准，</w:t>
      </w:r>
      <w:r>
        <w:rPr>
          <w:rFonts w:hint="eastAsia" w:ascii="宋体" w:hAnsi="宋体" w:eastAsia="宋体" w:cs="宋体"/>
          <w:sz w:val="21"/>
          <w:szCs w:val="21"/>
          <w:highlight w:val="none"/>
          <w:lang w:val="en-US" w:eastAsia="zh-CN"/>
        </w:rPr>
        <w:t>参选人</w:t>
      </w:r>
      <w:r>
        <w:rPr>
          <w:rFonts w:hint="eastAsia" w:ascii="宋体" w:hAnsi="宋体" w:eastAsia="宋体" w:cs="宋体"/>
          <w:sz w:val="21"/>
          <w:szCs w:val="21"/>
          <w:highlight w:val="none"/>
        </w:rPr>
        <w:t>应</w:t>
      </w:r>
      <w:r>
        <w:rPr>
          <w:rFonts w:hint="eastAsia" w:ascii="宋体" w:hAnsi="宋体" w:eastAsia="宋体" w:cs="宋体"/>
          <w:sz w:val="21"/>
          <w:szCs w:val="21"/>
          <w:highlight w:val="none"/>
          <w:lang w:val="en-US" w:eastAsia="zh-CN"/>
        </w:rPr>
        <w:t>比选人</w:t>
      </w:r>
      <w:r>
        <w:rPr>
          <w:rFonts w:hint="eastAsia" w:ascii="宋体" w:hAnsi="宋体" w:eastAsia="宋体" w:cs="宋体"/>
          <w:sz w:val="21"/>
          <w:szCs w:val="21"/>
          <w:highlight w:val="none"/>
        </w:rPr>
        <w:t>提供书面产品合格证明。如因更换备件的质量原因造成损失的，</w:t>
      </w:r>
      <w:r>
        <w:rPr>
          <w:rFonts w:hint="eastAsia" w:ascii="宋体" w:hAnsi="宋体" w:eastAsia="宋体" w:cs="宋体"/>
          <w:sz w:val="21"/>
          <w:szCs w:val="21"/>
          <w:highlight w:val="none"/>
          <w:lang w:val="en-US" w:eastAsia="zh-CN"/>
        </w:rPr>
        <w:t>参选人</w:t>
      </w:r>
      <w:r>
        <w:rPr>
          <w:rFonts w:hint="eastAsia" w:ascii="宋体" w:hAnsi="宋体" w:eastAsia="宋体" w:cs="宋体"/>
          <w:sz w:val="21"/>
          <w:szCs w:val="21"/>
          <w:highlight w:val="none"/>
        </w:rPr>
        <w:t>承担由此产生的全部费用及损失。</w:t>
      </w:r>
    </w:p>
    <w:p w14:paraId="13B34D35">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须保证对维保工作使用的机具、设备、计量器具等严格管理，定期进行送检，确保</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在施工中使用合格有效的检验、测量、试验设备及计量器具等。</w:t>
      </w:r>
    </w:p>
    <w:p w14:paraId="3A0AD085">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对</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提供的图纸和其他技术资料要妥善保管并经常检查，确保完好。</w:t>
      </w:r>
    </w:p>
    <w:p w14:paraId="2EEDD546">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维修换下的废旧备件，在维修结束后，</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应及时回收并</w:t>
      </w:r>
      <w:r>
        <w:rPr>
          <w:rFonts w:hint="eastAsia" w:ascii="宋体" w:hAnsi="宋体" w:eastAsia="宋体" w:cs="宋体"/>
          <w:sz w:val="21"/>
          <w:szCs w:val="21"/>
          <w:highlight w:val="none"/>
          <w:lang w:val="en-US" w:eastAsia="zh-CN"/>
        </w:rPr>
        <w:t>移交至</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指定的位置。</w:t>
      </w:r>
    </w:p>
    <w:bookmarkEnd w:id="104"/>
    <w:bookmarkEnd w:id="105"/>
    <w:bookmarkEnd w:id="106"/>
    <w:bookmarkEnd w:id="107"/>
    <w:p w14:paraId="6FA679AB">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119" w:name="_Toc294444985"/>
      <w:bookmarkStart w:id="120" w:name="_Toc14024"/>
      <w:bookmarkStart w:id="121" w:name="_Toc289521937"/>
      <w:bookmarkStart w:id="122" w:name="_Toc476733516"/>
      <w:bookmarkStart w:id="123" w:name="_Toc290547336"/>
      <w:bookmarkStart w:id="124" w:name="_Toc292373159"/>
      <w:bookmarkStart w:id="125" w:name="_Toc289521932"/>
      <w:r>
        <w:rPr>
          <w:rFonts w:hint="eastAsia" w:ascii="宋体" w:hAnsi="宋体" w:eastAsia="宋体" w:cs="宋体"/>
          <w:b/>
          <w:sz w:val="21"/>
          <w:szCs w:val="21"/>
          <w:highlight w:val="none"/>
        </w:rPr>
        <w:t>12文明管理要求</w:t>
      </w:r>
      <w:bookmarkEnd w:id="119"/>
      <w:bookmarkEnd w:id="120"/>
      <w:bookmarkEnd w:id="121"/>
      <w:bookmarkEnd w:id="122"/>
      <w:bookmarkEnd w:id="123"/>
      <w:bookmarkEnd w:id="124"/>
    </w:p>
    <w:p w14:paraId="7CABB94B">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人员在地铁范围内时，对待乘客应讲文明、懂礼貌，遇事商量解决，严禁出现吸烟、打架、斗殴等行为。</w:t>
      </w:r>
    </w:p>
    <w:p w14:paraId="384F7EEF">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12.2</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人员使用地铁卡进出车站、乘车时，须严格遵守</w:t>
      </w:r>
      <w:r>
        <w:rPr>
          <w:rFonts w:hint="eastAsia" w:ascii="宋体" w:hAnsi="宋体" w:eastAsia="宋体" w:cs="宋体"/>
          <w:sz w:val="21"/>
          <w:szCs w:val="21"/>
          <w:highlight w:val="none"/>
          <w:lang w:val="en-US" w:eastAsia="zh-CN"/>
        </w:rPr>
        <w:t>运营分公司</w:t>
      </w:r>
      <w:r>
        <w:rPr>
          <w:rFonts w:hint="eastAsia" w:ascii="宋体" w:hAnsi="宋体" w:eastAsia="宋体" w:cs="宋体"/>
          <w:sz w:val="21"/>
          <w:szCs w:val="21"/>
          <w:highlight w:val="none"/>
        </w:rPr>
        <w:t>乘车卡</w:t>
      </w:r>
      <w:r>
        <w:rPr>
          <w:rFonts w:hint="eastAsia" w:ascii="宋体" w:hAnsi="宋体" w:eastAsia="宋体" w:cs="宋体"/>
          <w:sz w:val="21"/>
          <w:szCs w:val="21"/>
          <w:highlight w:val="none"/>
          <w:lang w:val="en-US" w:eastAsia="zh-CN"/>
        </w:rPr>
        <w:t>的相关</w:t>
      </w:r>
      <w:r>
        <w:rPr>
          <w:rFonts w:hint="eastAsia" w:ascii="宋体" w:hAnsi="宋体" w:eastAsia="宋体" w:cs="宋体"/>
          <w:sz w:val="21"/>
          <w:szCs w:val="21"/>
          <w:highlight w:val="none"/>
        </w:rPr>
        <w:t>管理办法。</w:t>
      </w:r>
    </w:p>
    <w:p w14:paraId="70404167">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12.3</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应保护维修区域内各种管线、配电及通信线路、控制开关、生产通道、测量标点、消防设施等，不得随意破坏、操作、占用。</w:t>
      </w:r>
    </w:p>
    <w:p w14:paraId="39EDEA2F">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12.4</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应主动维护好生产场所的门、窗、照明、水电和其他设施，不得随意破坏。</w:t>
      </w:r>
    </w:p>
    <w:p w14:paraId="2F1A88B7">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12.5</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如与其他维修主体发生冲突，应及时通报</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，由</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负责与外专业协调。</w:t>
      </w:r>
    </w:p>
    <w:p w14:paraId="158155F2">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12.6作业过程中，</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应合理地保持作业现场中无不必要的障碍，处置好作业设备及多余材料，保持现场整洁和道路畅通。</w:t>
      </w:r>
    </w:p>
    <w:p w14:paraId="0663202F">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126" w:name="_Toc476733517"/>
      <w:bookmarkStart w:id="127" w:name="_Toc13803"/>
      <w:r>
        <w:rPr>
          <w:rFonts w:hint="eastAsia" w:ascii="宋体" w:hAnsi="宋体" w:eastAsia="宋体" w:cs="宋体"/>
          <w:b/>
          <w:sz w:val="21"/>
          <w:szCs w:val="21"/>
          <w:highlight w:val="none"/>
        </w:rPr>
        <w:t>13 评定与考核的要求</w:t>
      </w:r>
      <w:bookmarkEnd w:id="126"/>
      <w:bookmarkEnd w:id="127"/>
    </w:p>
    <w:p w14:paraId="61D3FE44">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相关规定进行评定与考核。</w:t>
      </w:r>
    </w:p>
    <w:p w14:paraId="348DE5A0">
      <w:pPr>
        <w:keepNext w:val="0"/>
        <w:keepLines w:val="0"/>
        <w:pageBreakBefore w:val="0"/>
        <w:kinsoku/>
        <w:wordWrap/>
        <w:overflowPunct/>
        <w:topLinePunct w:val="0"/>
        <w:autoSpaceDE/>
        <w:autoSpaceDN/>
        <w:bidi w:val="0"/>
        <w:adjustRightInd/>
        <w:snapToGrid/>
        <w:spacing w:line="420" w:lineRule="exact"/>
        <w:ind w:right="-260" w:rightChars="-124" w:firstLine="422" w:firstLineChars="200"/>
        <w:textAlignment w:val="auto"/>
        <w:outlineLvl w:val="1"/>
        <w:rPr>
          <w:rFonts w:hint="eastAsia" w:ascii="宋体" w:hAnsi="宋体" w:eastAsia="宋体" w:cs="宋体"/>
          <w:b/>
          <w:sz w:val="21"/>
          <w:szCs w:val="21"/>
          <w:highlight w:val="none"/>
        </w:rPr>
      </w:pPr>
      <w:bookmarkStart w:id="128" w:name="_Toc10848"/>
      <w:bookmarkStart w:id="129" w:name="_Toc476733518"/>
      <w:r>
        <w:rPr>
          <w:rFonts w:hint="eastAsia" w:ascii="宋体" w:hAnsi="宋体" w:eastAsia="宋体" w:cs="宋体"/>
          <w:b/>
          <w:sz w:val="21"/>
          <w:szCs w:val="21"/>
          <w:highlight w:val="none"/>
        </w:rPr>
        <w:t>14 其他要求</w:t>
      </w:r>
      <w:bookmarkEnd w:id="128"/>
      <w:bookmarkEnd w:id="129"/>
    </w:p>
    <w:p w14:paraId="31CC6492">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14.1</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中标后，如有必要公安机关将对维保人员开展背景审查，审查未通过人员</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须无条件更换。</w:t>
      </w:r>
    </w:p>
    <w:p w14:paraId="1DF1A401">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14.2</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应依法按照国家相关法律法规聘用员工，为员工购买人身意外保险，并制定合理薪酬方案，以确保委保人员队伍的稳定。</w:t>
      </w:r>
    </w:p>
    <w:p w14:paraId="559EF19A">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14.3</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负责其员工维保工作需要的特殊工种证的取证、复审工作, 并承担相关费用。</w:t>
      </w:r>
    </w:p>
    <w:p w14:paraId="555752C7">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14.4</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应积极参加</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组织的各项活动。</w:t>
      </w:r>
    </w:p>
    <w:p w14:paraId="37216703">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14.6发生以下情况时</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有权对</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进行考核、要求调换相关人员、扣减委外维保费用：</w:t>
      </w:r>
    </w:p>
    <w:p w14:paraId="043CC24D">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14.6.1</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人员不遵守</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的规章制度。</w:t>
      </w:r>
    </w:p>
    <w:p w14:paraId="399EDCCB">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14.6.2</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人员不服从</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管理及工作安排。</w:t>
      </w:r>
    </w:p>
    <w:p w14:paraId="54009F64">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14.6.3</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人员在工作过程中不遵守</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的劳动纪律，擅自脱岗、迟到、早退。</w:t>
      </w:r>
    </w:p>
    <w:p w14:paraId="26E97D61">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14.6.4因</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人员的责任而造成事故、事件。</w:t>
      </w:r>
    </w:p>
    <w:p w14:paraId="66731BDC">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14.6.5遇有紧急情况，</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人员不服从命令。</w:t>
      </w:r>
    </w:p>
    <w:p w14:paraId="11B168F7">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14.6.6不能按时保质保量地完成检修计划及</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安排的临时任务。</w:t>
      </w:r>
    </w:p>
    <w:p w14:paraId="2CE06442">
      <w:pPr>
        <w:keepNext w:val="0"/>
        <w:keepLines w:val="0"/>
        <w:pageBreakBefore w:val="0"/>
        <w:kinsoku/>
        <w:wordWrap/>
        <w:overflowPunct/>
        <w:topLinePunct w:val="0"/>
        <w:autoSpaceDE/>
        <w:autoSpaceDN/>
        <w:bidi w:val="0"/>
        <w:adjustRightInd/>
        <w:snapToGrid/>
        <w:spacing w:line="420" w:lineRule="exact"/>
        <w:ind w:right="-260" w:rightChars="-124"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14.6.7不能按照</w:t>
      </w:r>
      <w:r>
        <w:rPr>
          <w:rFonts w:hint="eastAsia" w:ascii="宋体" w:hAnsi="宋体" w:eastAsia="宋体" w:cs="宋体"/>
          <w:sz w:val="21"/>
          <w:szCs w:val="21"/>
          <w:highlight w:val="none"/>
          <w:lang w:val="en-US" w:eastAsia="zh-CN"/>
        </w:rPr>
        <w:t>招标要求</w:t>
      </w:r>
      <w:r>
        <w:rPr>
          <w:rFonts w:hint="eastAsia" w:ascii="宋体" w:hAnsi="宋体" w:eastAsia="宋体" w:cs="宋体"/>
          <w:sz w:val="21"/>
          <w:szCs w:val="21"/>
          <w:highlight w:val="none"/>
        </w:rPr>
        <w:t>的原则及时响应、处理</w:t>
      </w:r>
      <w:r>
        <w:rPr>
          <w:rFonts w:hint="eastAsia" w:ascii="宋体" w:hAnsi="宋体" w:eastAsia="宋体" w:cs="宋体"/>
          <w:sz w:val="21"/>
          <w:szCs w:val="21"/>
          <w:highlight w:val="none"/>
          <w:lang w:val="en-US" w:eastAsia="zh-CN"/>
        </w:rPr>
        <w:t>故障</w:t>
      </w:r>
      <w:r>
        <w:rPr>
          <w:rFonts w:hint="eastAsia" w:ascii="宋体" w:hAnsi="宋体" w:eastAsia="宋体" w:cs="宋体"/>
          <w:sz w:val="21"/>
          <w:szCs w:val="21"/>
          <w:highlight w:val="none"/>
        </w:rPr>
        <w:t>的。</w:t>
      </w:r>
    </w:p>
    <w:bookmarkEnd w:id="125"/>
    <w:p w14:paraId="1D0D4483">
      <w:pPr>
        <w:ind w:firstLine="0" w:firstLineChars="0"/>
        <w:outlineLvl w:val="0"/>
        <w:rPr>
          <w:rFonts w:hint="eastAsia" w:ascii="宋体" w:hAnsi="宋体" w:eastAsia="宋体" w:cs="宋体"/>
          <w:b/>
          <w:sz w:val="24"/>
          <w:highlight w:val="none"/>
          <w:lang w:val="en-US"/>
        </w:rPr>
      </w:pPr>
      <w:bookmarkStart w:id="130" w:name="_Toc416688240"/>
      <w:r>
        <w:rPr>
          <w:rFonts w:hint="eastAsia" w:ascii="宋体" w:hAnsi="宋体" w:eastAsia="宋体" w:cs="宋体"/>
          <w:b/>
          <w:sz w:val="24"/>
          <w:highlight w:val="none"/>
        </w:rPr>
        <w:br w:type="page"/>
      </w:r>
      <w:bookmarkStart w:id="131" w:name="_Toc476733519"/>
      <w:bookmarkStart w:id="132" w:name="_Toc29204"/>
      <w:r>
        <w:rPr>
          <w:rFonts w:hint="eastAsia" w:ascii="宋体" w:hAnsi="宋体" w:eastAsia="宋体" w:cs="宋体"/>
          <w:b/>
          <w:sz w:val="24"/>
          <w:highlight w:val="none"/>
        </w:rPr>
        <w:t>附录1：</w:t>
      </w:r>
      <w:bookmarkEnd w:id="131"/>
      <w:r>
        <w:rPr>
          <w:rFonts w:hint="eastAsia" w:ascii="宋体" w:hAnsi="宋体" w:eastAsia="宋体" w:cs="宋体"/>
          <w:b/>
          <w:sz w:val="24"/>
          <w:highlight w:val="none"/>
          <w:lang w:val="en-US" w:eastAsia="zh-CN"/>
        </w:rPr>
        <w:t>维保设备清单</w:t>
      </w:r>
      <w:bookmarkEnd w:id="132"/>
    </w:p>
    <w:p w14:paraId="5C8DEE77">
      <w:pPr>
        <w:ind w:firstLine="420"/>
        <w:rPr>
          <w:rFonts w:hint="eastAsia" w:ascii="宋体" w:hAnsi="宋体" w:eastAsia="宋体" w:cs="宋体"/>
          <w:color w:val="000000"/>
          <w:highlight w:val="none"/>
        </w:rPr>
      </w:pPr>
      <w:r>
        <w:rPr>
          <w:rFonts w:hint="eastAsia" w:ascii="宋体" w:hAnsi="宋体" w:eastAsia="宋体" w:cs="宋体"/>
          <w:color w:val="000000"/>
          <w:highlight w:val="none"/>
        </w:rPr>
        <w:t>（包括但不限于以下设备，所有设施、设备数量以现场数量为准）</w:t>
      </w:r>
    </w:p>
    <w:tbl>
      <w:tblPr>
        <w:tblStyle w:val="19"/>
        <w:tblW w:w="9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0"/>
        <w:gridCol w:w="2708"/>
        <w:gridCol w:w="900"/>
        <w:gridCol w:w="1215"/>
        <w:gridCol w:w="840"/>
        <w:gridCol w:w="690"/>
        <w:gridCol w:w="825"/>
        <w:gridCol w:w="1789"/>
      </w:tblGrid>
      <w:tr w14:paraId="128E4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025634D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序号</w:t>
            </w:r>
          </w:p>
        </w:tc>
        <w:tc>
          <w:tcPr>
            <w:tcW w:w="2708" w:type="dxa"/>
            <w:vAlign w:val="center"/>
          </w:tcPr>
          <w:p w14:paraId="7E92C51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主要设备名称</w:t>
            </w:r>
          </w:p>
        </w:tc>
        <w:tc>
          <w:tcPr>
            <w:tcW w:w="900" w:type="dxa"/>
            <w:vAlign w:val="center"/>
          </w:tcPr>
          <w:p w14:paraId="64E4BA9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品牌</w:t>
            </w:r>
          </w:p>
        </w:tc>
        <w:tc>
          <w:tcPr>
            <w:tcW w:w="1215" w:type="dxa"/>
            <w:vAlign w:val="center"/>
          </w:tcPr>
          <w:p w14:paraId="5B17A04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规格型号</w:t>
            </w:r>
          </w:p>
        </w:tc>
        <w:tc>
          <w:tcPr>
            <w:tcW w:w="840" w:type="dxa"/>
            <w:vAlign w:val="center"/>
          </w:tcPr>
          <w:p w14:paraId="2A24414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数量</w:t>
            </w:r>
          </w:p>
        </w:tc>
        <w:tc>
          <w:tcPr>
            <w:tcW w:w="690" w:type="dxa"/>
            <w:vAlign w:val="center"/>
          </w:tcPr>
          <w:p w14:paraId="01F9DE8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单位</w:t>
            </w:r>
          </w:p>
        </w:tc>
        <w:tc>
          <w:tcPr>
            <w:tcW w:w="825" w:type="dxa"/>
            <w:vAlign w:val="center"/>
          </w:tcPr>
          <w:p w14:paraId="7CC3BC6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位置</w:t>
            </w:r>
          </w:p>
        </w:tc>
        <w:tc>
          <w:tcPr>
            <w:tcW w:w="1789" w:type="dxa"/>
            <w:vAlign w:val="center"/>
          </w:tcPr>
          <w:p w14:paraId="519E353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备注</w:t>
            </w:r>
          </w:p>
        </w:tc>
      </w:tr>
      <w:tr w14:paraId="27ABE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9837" w:type="dxa"/>
            <w:gridSpan w:val="8"/>
            <w:vAlign w:val="center"/>
          </w:tcPr>
          <w:p w14:paraId="702EE57B">
            <w:pPr>
              <w:pStyle w:val="34"/>
              <w:keepNext w:val="0"/>
              <w:keepLines w:val="0"/>
              <w:pageBreakBefore w:val="0"/>
              <w:kinsoku/>
              <w:wordWrap/>
              <w:overflowPunct/>
              <w:topLinePunct w:val="0"/>
              <w:autoSpaceDE/>
              <w:bidi w:val="0"/>
              <w:adjustRightInd/>
              <w:snapToGrid/>
              <w:spacing w:line="240" w:lineRule="auto"/>
              <w:jc w:val="left"/>
              <w:rPr>
                <w:rFonts w:hint="eastAsia" w:ascii="宋体" w:hAnsi="宋体" w:eastAsia="宋体" w:cs="宋体"/>
                <w:b/>
                <w:bCs w:val="0"/>
                <w:kern w:val="2"/>
                <w:sz w:val="21"/>
                <w:highlight w:val="none"/>
                <w:lang w:val="en-US" w:eastAsia="zh-CN"/>
              </w:rPr>
            </w:pPr>
            <w:bookmarkStart w:id="133" w:name="_Hlk474424639"/>
            <w:r>
              <w:rPr>
                <w:rFonts w:hint="eastAsia" w:ascii="宋体" w:hAnsi="宋体" w:eastAsia="宋体" w:cs="宋体"/>
                <w:b/>
                <w:bCs w:val="0"/>
                <w:kern w:val="2"/>
                <w:sz w:val="21"/>
                <w:highlight w:val="none"/>
                <w:lang w:val="en-US" w:eastAsia="zh-CN"/>
              </w:rPr>
              <w:t>一、公安计算机网络系统</w:t>
            </w:r>
          </w:p>
        </w:tc>
      </w:tr>
      <w:tr w14:paraId="655D5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870" w:type="dxa"/>
            <w:vAlign w:val="center"/>
          </w:tcPr>
          <w:p w14:paraId="48DE497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1</w:t>
            </w:r>
          </w:p>
        </w:tc>
        <w:tc>
          <w:tcPr>
            <w:tcW w:w="2708" w:type="dxa"/>
            <w:vAlign w:val="center"/>
          </w:tcPr>
          <w:p w14:paraId="71C3C1E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车站接入交换机</w:t>
            </w:r>
          </w:p>
        </w:tc>
        <w:tc>
          <w:tcPr>
            <w:tcW w:w="900" w:type="dxa"/>
            <w:vAlign w:val="center"/>
          </w:tcPr>
          <w:p w14:paraId="0EC45AB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1215" w:type="dxa"/>
            <w:vAlign w:val="center"/>
          </w:tcPr>
          <w:p w14:paraId="0A60EAC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840" w:type="dxa"/>
            <w:vAlign w:val="center"/>
          </w:tcPr>
          <w:p w14:paraId="5FEE0B2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690" w:type="dxa"/>
            <w:vAlign w:val="center"/>
          </w:tcPr>
          <w:p w14:paraId="1C6795C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eastAsia="zh-CN"/>
              </w:rPr>
            </w:pPr>
          </w:p>
        </w:tc>
        <w:tc>
          <w:tcPr>
            <w:tcW w:w="825" w:type="dxa"/>
            <w:vAlign w:val="center"/>
          </w:tcPr>
          <w:p w14:paraId="3519E77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1789" w:type="dxa"/>
            <w:vAlign w:val="center"/>
          </w:tcPr>
          <w:p w14:paraId="2BECE50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461BF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870" w:type="dxa"/>
            <w:vAlign w:val="center"/>
          </w:tcPr>
          <w:p w14:paraId="1C4D363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1.1</w:t>
            </w:r>
          </w:p>
        </w:tc>
        <w:tc>
          <w:tcPr>
            <w:tcW w:w="2708" w:type="dxa"/>
            <w:vAlign w:val="center"/>
          </w:tcPr>
          <w:p w14:paraId="5169876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H3C S5560X-34S-EI L3以太网交换机主机(28GE(4SFP Combo)+4SFP Plus+2QSFP Plus),(AC/DC)</w:t>
            </w:r>
          </w:p>
        </w:tc>
        <w:tc>
          <w:tcPr>
            <w:tcW w:w="900" w:type="dxa"/>
            <w:vAlign w:val="center"/>
          </w:tcPr>
          <w:p w14:paraId="62AD487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华三</w:t>
            </w:r>
          </w:p>
        </w:tc>
        <w:tc>
          <w:tcPr>
            <w:tcW w:w="1215" w:type="dxa"/>
            <w:vAlign w:val="center"/>
          </w:tcPr>
          <w:p w14:paraId="562ADB6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LS-5560X-34S-EI</w:t>
            </w:r>
          </w:p>
        </w:tc>
        <w:tc>
          <w:tcPr>
            <w:tcW w:w="840" w:type="dxa"/>
            <w:vAlign w:val="center"/>
          </w:tcPr>
          <w:p w14:paraId="2FF9F09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28</w:t>
            </w:r>
          </w:p>
        </w:tc>
        <w:tc>
          <w:tcPr>
            <w:tcW w:w="690" w:type="dxa"/>
            <w:vAlign w:val="center"/>
          </w:tcPr>
          <w:p w14:paraId="3DE125D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台</w:t>
            </w:r>
          </w:p>
        </w:tc>
        <w:tc>
          <w:tcPr>
            <w:tcW w:w="825" w:type="dxa"/>
            <w:vAlign w:val="center"/>
          </w:tcPr>
          <w:p w14:paraId="0EB1852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28个车站</w:t>
            </w:r>
          </w:p>
        </w:tc>
        <w:tc>
          <w:tcPr>
            <w:tcW w:w="1789" w:type="dxa"/>
            <w:vAlign w:val="center"/>
          </w:tcPr>
          <w:p w14:paraId="636F21A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bookmarkEnd w:id="133"/>
      <w:tr w14:paraId="52BB2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53993D7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1.</w:t>
            </w:r>
            <w:r>
              <w:rPr>
                <w:rFonts w:hint="eastAsia" w:ascii="宋体" w:hAnsi="宋体" w:eastAsia="宋体" w:cs="宋体"/>
                <w:kern w:val="2"/>
                <w:sz w:val="21"/>
                <w:highlight w:val="none"/>
              </w:rPr>
              <w:t>2</w:t>
            </w:r>
          </w:p>
        </w:tc>
        <w:tc>
          <w:tcPr>
            <w:tcW w:w="2708" w:type="dxa"/>
            <w:vAlign w:val="center"/>
          </w:tcPr>
          <w:p w14:paraId="44BEB9DE">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rPr>
            </w:pPr>
            <w:r>
              <w:rPr>
                <w:rFonts w:hint="eastAsia" w:ascii="宋体" w:hAnsi="宋体" w:eastAsia="宋体" w:cs="宋体"/>
                <w:bCs/>
                <w:szCs w:val="28"/>
                <w:highlight w:val="none"/>
              </w:rPr>
              <w:t>光模块-SFP-GE-单模模块-(1310nm,10km,LC)</w:t>
            </w:r>
          </w:p>
        </w:tc>
        <w:tc>
          <w:tcPr>
            <w:tcW w:w="900" w:type="dxa"/>
            <w:vAlign w:val="center"/>
          </w:tcPr>
          <w:p w14:paraId="47BF3B0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华三</w:t>
            </w:r>
          </w:p>
        </w:tc>
        <w:tc>
          <w:tcPr>
            <w:tcW w:w="1215" w:type="dxa"/>
            <w:vAlign w:val="center"/>
          </w:tcPr>
          <w:p w14:paraId="2302B41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SFP-GE-LX-SM1310-D</w:t>
            </w:r>
          </w:p>
        </w:tc>
        <w:tc>
          <w:tcPr>
            <w:tcW w:w="840" w:type="dxa"/>
            <w:vAlign w:val="center"/>
          </w:tcPr>
          <w:p w14:paraId="7564720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224</w:t>
            </w:r>
          </w:p>
        </w:tc>
        <w:tc>
          <w:tcPr>
            <w:tcW w:w="690" w:type="dxa"/>
            <w:vAlign w:val="center"/>
          </w:tcPr>
          <w:p w14:paraId="6F45A8D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eastAsia="zh-CN"/>
              </w:rPr>
            </w:pPr>
            <w:r>
              <w:rPr>
                <w:rFonts w:hint="eastAsia" w:ascii="宋体" w:hAnsi="宋体" w:eastAsia="宋体" w:cs="宋体"/>
                <w:kern w:val="2"/>
                <w:sz w:val="21"/>
                <w:highlight w:val="none"/>
                <w:lang w:val="en-US" w:eastAsia="zh-CN"/>
              </w:rPr>
              <w:t>台</w:t>
            </w:r>
          </w:p>
        </w:tc>
        <w:tc>
          <w:tcPr>
            <w:tcW w:w="825" w:type="dxa"/>
            <w:vAlign w:val="center"/>
          </w:tcPr>
          <w:p w14:paraId="64EA847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28个车站</w:t>
            </w:r>
          </w:p>
        </w:tc>
        <w:tc>
          <w:tcPr>
            <w:tcW w:w="1789" w:type="dxa"/>
            <w:vAlign w:val="center"/>
          </w:tcPr>
          <w:p w14:paraId="0E3440D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76FA4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29A853A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2</w:t>
            </w:r>
          </w:p>
        </w:tc>
        <w:tc>
          <w:tcPr>
            <w:tcW w:w="2708" w:type="dxa"/>
            <w:vAlign w:val="center"/>
          </w:tcPr>
          <w:p w14:paraId="6FC499F5">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lang w:eastAsia="zh-CN"/>
              </w:rPr>
            </w:pPr>
            <w:r>
              <w:rPr>
                <w:rFonts w:hint="eastAsia" w:ascii="宋体" w:hAnsi="宋体" w:eastAsia="宋体" w:cs="宋体"/>
                <w:bCs/>
                <w:szCs w:val="28"/>
                <w:highlight w:val="none"/>
                <w:lang w:val="en-US" w:eastAsia="zh-CN"/>
              </w:rPr>
              <w:t>计算机终端（含鼠标、键盘）</w:t>
            </w:r>
          </w:p>
        </w:tc>
        <w:tc>
          <w:tcPr>
            <w:tcW w:w="900" w:type="dxa"/>
            <w:vAlign w:val="center"/>
          </w:tcPr>
          <w:p w14:paraId="6D8FEB4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联想</w:t>
            </w:r>
          </w:p>
        </w:tc>
        <w:tc>
          <w:tcPr>
            <w:tcW w:w="1215" w:type="dxa"/>
            <w:vAlign w:val="center"/>
          </w:tcPr>
          <w:p w14:paraId="4D558CA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P340</w:t>
            </w:r>
          </w:p>
        </w:tc>
        <w:tc>
          <w:tcPr>
            <w:tcW w:w="840" w:type="dxa"/>
            <w:vAlign w:val="center"/>
          </w:tcPr>
          <w:p w14:paraId="0EBA0D4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rPr>
              <w:t>2</w:t>
            </w:r>
            <w:r>
              <w:rPr>
                <w:rFonts w:hint="eastAsia" w:ascii="宋体" w:hAnsi="宋体" w:eastAsia="宋体" w:cs="宋体"/>
                <w:kern w:val="2"/>
                <w:sz w:val="21"/>
                <w:highlight w:val="none"/>
                <w:lang w:val="en-US" w:eastAsia="zh-CN"/>
              </w:rPr>
              <w:t>8</w:t>
            </w:r>
          </w:p>
        </w:tc>
        <w:tc>
          <w:tcPr>
            <w:tcW w:w="690" w:type="dxa"/>
            <w:vAlign w:val="center"/>
          </w:tcPr>
          <w:p w14:paraId="20EE7B9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台</w:t>
            </w:r>
          </w:p>
        </w:tc>
        <w:tc>
          <w:tcPr>
            <w:tcW w:w="825" w:type="dxa"/>
            <w:vAlign w:val="center"/>
          </w:tcPr>
          <w:p w14:paraId="1384EAA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28个车站</w:t>
            </w:r>
          </w:p>
        </w:tc>
        <w:tc>
          <w:tcPr>
            <w:tcW w:w="1789" w:type="dxa"/>
            <w:vAlign w:val="center"/>
          </w:tcPr>
          <w:p w14:paraId="29696AC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提供给专用CCTV复试终端使用</w:t>
            </w:r>
          </w:p>
        </w:tc>
      </w:tr>
      <w:tr w14:paraId="25681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00700E0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3</w:t>
            </w:r>
          </w:p>
        </w:tc>
        <w:tc>
          <w:tcPr>
            <w:tcW w:w="2708" w:type="dxa"/>
            <w:vAlign w:val="center"/>
          </w:tcPr>
          <w:p w14:paraId="5B9255AE">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lang w:val="en-US" w:eastAsia="zh-CN"/>
              </w:rPr>
            </w:pPr>
            <w:r>
              <w:rPr>
                <w:rFonts w:hint="eastAsia" w:ascii="宋体" w:hAnsi="宋体" w:eastAsia="宋体" w:cs="宋体"/>
                <w:bCs/>
                <w:szCs w:val="28"/>
                <w:highlight w:val="none"/>
                <w:lang w:val="en-US" w:eastAsia="zh-CN"/>
              </w:rPr>
              <w:t>云桌面</w:t>
            </w:r>
          </w:p>
        </w:tc>
        <w:tc>
          <w:tcPr>
            <w:tcW w:w="900" w:type="dxa"/>
            <w:vAlign w:val="center"/>
          </w:tcPr>
          <w:p w14:paraId="5BC4DCE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1215" w:type="dxa"/>
            <w:vAlign w:val="center"/>
          </w:tcPr>
          <w:p w14:paraId="57CF087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840" w:type="dxa"/>
            <w:vAlign w:val="center"/>
          </w:tcPr>
          <w:p w14:paraId="77FCCE8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690" w:type="dxa"/>
            <w:vAlign w:val="center"/>
          </w:tcPr>
          <w:p w14:paraId="4CD3E11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825" w:type="dxa"/>
            <w:vAlign w:val="center"/>
          </w:tcPr>
          <w:p w14:paraId="558B235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p>
        </w:tc>
        <w:tc>
          <w:tcPr>
            <w:tcW w:w="1789" w:type="dxa"/>
            <w:vAlign w:val="center"/>
          </w:tcPr>
          <w:p w14:paraId="720F039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7C947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16BDA3B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3.1</w:t>
            </w:r>
          </w:p>
        </w:tc>
        <w:tc>
          <w:tcPr>
            <w:tcW w:w="2708" w:type="dxa"/>
            <w:vAlign w:val="center"/>
          </w:tcPr>
          <w:p w14:paraId="648C7B0D">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lang w:val="en-US" w:eastAsia="zh-CN"/>
              </w:rPr>
            </w:pPr>
            <w:r>
              <w:rPr>
                <w:rFonts w:hint="eastAsia" w:ascii="宋体" w:hAnsi="宋体" w:eastAsia="宋体" w:cs="宋体"/>
                <w:bCs/>
                <w:szCs w:val="28"/>
                <w:highlight w:val="none"/>
                <w:lang w:val="en-US" w:eastAsia="zh-CN"/>
              </w:rPr>
              <w:t>桌面云终端</w:t>
            </w:r>
          </w:p>
        </w:tc>
        <w:tc>
          <w:tcPr>
            <w:tcW w:w="900" w:type="dxa"/>
            <w:vAlign w:val="center"/>
          </w:tcPr>
          <w:p w14:paraId="686BA73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深信服</w:t>
            </w:r>
          </w:p>
        </w:tc>
        <w:tc>
          <w:tcPr>
            <w:tcW w:w="1215" w:type="dxa"/>
            <w:vAlign w:val="center"/>
          </w:tcPr>
          <w:p w14:paraId="17BD8A5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aDesk-STD-200H-s</w:t>
            </w:r>
          </w:p>
        </w:tc>
        <w:tc>
          <w:tcPr>
            <w:tcW w:w="840" w:type="dxa"/>
            <w:vAlign w:val="center"/>
          </w:tcPr>
          <w:p w14:paraId="4A7B95E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28</w:t>
            </w:r>
          </w:p>
        </w:tc>
        <w:tc>
          <w:tcPr>
            <w:tcW w:w="690" w:type="dxa"/>
            <w:shd w:val="clear" w:color="auto" w:fill="auto"/>
            <w:vAlign w:val="center"/>
          </w:tcPr>
          <w:p w14:paraId="3C1121C4">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台</w:t>
            </w:r>
          </w:p>
        </w:tc>
        <w:tc>
          <w:tcPr>
            <w:tcW w:w="825" w:type="dxa"/>
            <w:shd w:val="clear" w:color="auto" w:fill="auto"/>
            <w:vAlign w:val="center"/>
          </w:tcPr>
          <w:p w14:paraId="03FA9BCF">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3D915AD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565A7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5D102CA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3.2</w:t>
            </w:r>
          </w:p>
        </w:tc>
        <w:tc>
          <w:tcPr>
            <w:tcW w:w="2708" w:type="dxa"/>
            <w:vAlign w:val="center"/>
          </w:tcPr>
          <w:p w14:paraId="50787C8C">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lang w:val="en-US" w:eastAsia="zh-CN"/>
              </w:rPr>
            </w:pPr>
            <w:r>
              <w:rPr>
                <w:rFonts w:hint="eastAsia" w:ascii="宋体" w:hAnsi="宋体" w:eastAsia="宋体" w:cs="宋体"/>
                <w:bCs/>
                <w:szCs w:val="28"/>
                <w:highlight w:val="none"/>
                <w:lang w:val="en-US" w:eastAsia="zh-CN"/>
              </w:rPr>
              <w:t>显示器</w:t>
            </w:r>
          </w:p>
        </w:tc>
        <w:tc>
          <w:tcPr>
            <w:tcW w:w="900" w:type="dxa"/>
            <w:vAlign w:val="center"/>
          </w:tcPr>
          <w:p w14:paraId="226C93E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联想</w:t>
            </w:r>
          </w:p>
        </w:tc>
        <w:tc>
          <w:tcPr>
            <w:tcW w:w="1215" w:type="dxa"/>
            <w:vAlign w:val="center"/>
          </w:tcPr>
          <w:p w14:paraId="4FC248F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T2224D</w:t>
            </w:r>
          </w:p>
        </w:tc>
        <w:tc>
          <w:tcPr>
            <w:tcW w:w="840" w:type="dxa"/>
            <w:shd w:val="clear" w:color="auto" w:fill="auto"/>
            <w:vAlign w:val="center"/>
          </w:tcPr>
          <w:p w14:paraId="15FE08FE">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w:t>
            </w:r>
          </w:p>
        </w:tc>
        <w:tc>
          <w:tcPr>
            <w:tcW w:w="690" w:type="dxa"/>
            <w:shd w:val="clear" w:color="auto" w:fill="auto"/>
            <w:vAlign w:val="center"/>
          </w:tcPr>
          <w:p w14:paraId="2DDBBB12">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台</w:t>
            </w:r>
          </w:p>
        </w:tc>
        <w:tc>
          <w:tcPr>
            <w:tcW w:w="825" w:type="dxa"/>
            <w:shd w:val="clear" w:color="auto" w:fill="auto"/>
            <w:vAlign w:val="center"/>
          </w:tcPr>
          <w:p w14:paraId="36AC1D10">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59FB588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4CE9F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1DC091E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3.3</w:t>
            </w:r>
          </w:p>
        </w:tc>
        <w:tc>
          <w:tcPr>
            <w:tcW w:w="2708" w:type="dxa"/>
            <w:vAlign w:val="center"/>
          </w:tcPr>
          <w:p w14:paraId="3D78BF45">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lang w:val="en-US" w:eastAsia="zh-CN"/>
              </w:rPr>
            </w:pPr>
            <w:r>
              <w:rPr>
                <w:rFonts w:hint="eastAsia" w:ascii="宋体" w:hAnsi="宋体" w:eastAsia="宋体" w:cs="宋体"/>
                <w:bCs/>
                <w:szCs w:val="28"/>
                <w:highlight w:val="none"/>
                <w:lang w:val="en-US" w:eastAsia="zh-CN"/>
              </w:rPr>
              <w:t>鼠标、键盘</w:t>
            </w:r>
          </w:p>
        </w:tc>
        <w:tc>
          <w:tcPr>
            <w:tcW w:w="900" w:type="dxa"/>
            <w:vAlign w:val="center"/>
          </w:tcPr>
          <w:p w14:paraId="1941FD5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联想</w:t>
            </w:r>
          </w:p>
        </w:tc>
        <w:tc>
          <w:tcPr>
            <w:tcW w:w="1215" w:type="dxa"/>
            <w:vAlign w:val="center"/>
          </w:tcPr>
          <w:p w14:paraId="27E6B22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KM4800S</w:t>
            </w:r>
          </w:p>
        </w:tc>
        <w:tc>
          <w:tcPr>
            <w:tcW w:w="840" w:type="dxa"/>
            <w:vAlign w:val="center"/>
          </w:tcPr>
          <w:p w14:paraId="3C37833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28</w:t>
            </w:r>
          </w:p>
        </w:tc>
        <w:tc>
          <w:tcPr>
            <w:tcW w:w="690" w:type="dxa"/>
            <w:vAlign w:val="center"/>
          </w:tcPr>
          <w:p w14:paraId="2332A9D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套</w:t>
            </w:r>
          </w:p>
        </w:tc>
        <w:tc>
          <w:tcPr>
            <w:tcW w:w="825" w:type="dxa"/>
            <w:vAlign w:val="center"/>
          </w:tcPr>
          <w:p w14:paraId="0FDD800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28个车站</w:t>
            </w:r>
          </w:p>
        </w:tc>
        <w:tc>
          <w:tcPr>
            <w:tcW w:w="1789" w:type="dxa"/>
            <w:vAlign w:val="center"/>
          </w:tcPr>
          <w:p w14:paraId="2B4E0D7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6D132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31A7727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4</w:t>
            </w:r>
          </w:p>
        </w:tc>
        <w:tc>
          <w:tcPr>
            <w:tcW w:w="2708" w:type="dxa"/>
            <w:vAlign w:val="center"/>
          </w:tcPr>
          <w:p w14:paraId="6192E080">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rPr>
            </w:pPr>
            <w:r>
              <w:rPr>
                <w:rFonts w:hint="eastAsia" w:ascii="宋体" w:hAnsi="宋体" w:eastAsia="宋体" w:cs="宋体"/>
                <w:bCs/>
                <w:szCs w:val="28"/>
                <w:highlight w:val="none"/>
              </w:rPr>
              <w:t>智能PDU设备</w:t>
            </w:r>
          </w:p>
        </w:tc>
        <w:tc>
          <w:tcPr>
            <w:tcW w:w="900" w:type="dxa"/>
            <w:vAlign w:val="center"/>
          </w:tcPr>
          <w:p w14:paraId="6B72FD5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克莱沃</w:t>
            </w:r>
          </w:p>
        </w:tc>
        <w:tc>
          <w:tcPr>
            <w:tcW w:w="1215" w:type="dxa"/>
            <w:vAlign w:val="center"/>
          </w:tcPr>
          <w:p w14:paraId="130A13B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MD-D08-NTOYGA</w:t>
            </w:r>
          </w:p>
        </w:tc>
        <w:tc>
          <w:tcPr>
            <w:tcW w:w="840" w:type="dxa"/>
            <w:shd w:val="clear" w:color="auto" w:fill="auto"/>
            <w:vAlign w:val="center"/>
          </w:tcPr>
          <w:p w14:paraId="598F170C">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2</w:t>
            </w:r>
            <w:r>
              <w:rPr>
                <w:rFonts w:hint="eastAsia" w:ascii="宋体" w:hAnsi="宋体" w:eastAsia="宋体" w:cs="宋体"/>
                <w:kern w:val="2"/>
                <w:sz w:val="21"/>
                <w:highlight w:val="none"/>
                <w:lang w:val="en-US" w:eastAsia="zh-CN"/>
              </w:rPr>
              <w:t>8</w:t>
            </w:r>
          </w:p>
        </w:tc>
        <w:tc>
          <w:tcPr>
            <w:tcW w:w="690" w:type="dxa"/>
            <w:shd w:val="clear" w:color="auto" w:fill="auto"/>
            <w:vAlign w:val="center"/>
          </w:tcPr>
          <w:p w14:paraId="77268B4A">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台</w:t>
            </w:r>
          </w:p>
        </w:tc>
        <w:tc>
          <w:tcPr>
            <w:tcW w:w="825" w:type="dxa"/>
            <w:shd w:val="clear" w:color="auto" w:fill="auto"/>
            <w:vAlign w:val="center"/>
          </w:tcPr>
          <w:p w14:paraId="1ECCF0BC">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3B8A96E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4F820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9837" w:type="dxa"/>
            <w:gridSpan w:val="8"/>
            <w:shd w:val="clear" w:color="auto" w:fill="auto"/>
            <w:vAlign w:val="center"/>
          </w:tcPr>
          <w:p w14:paraId="35118253">
            <w:pPr>
              <w:pStyle w:val="34"/>
              <w:keepNext w:val="0"/>
              <w:keepLines w:val="0"/>
              <w:pageBreakBefore w:val="0"/>
              <w:kinsoku/>
              <w:wordWrap/>
              <w:overflowPunct/>
              <w:topLinePunct w:val="0"/>
              <w:autoSpaceDE/>
              <w:bidi w:val="0"/>
              <w:adjustRightInd/>
              <w:snapToGrid/>
              <w:spacing w:line="240" w:lineRule="auto"/>
              <w:jc w:val="left"/>
              <w:rPr>
                <w:rFonts w:hint="eastAsia" w:ascii="宋体" w:hAnsi="宋体" w:eastAsia="宋体" w:cs="宋体"/>
                <w:kern w:val="2"/>
                <w:sz w:val="21"/>
                <w:highlight w:val="none"/>
              </w:rPr>
            </w:pPr>
            <w:r>
              <w:rPr>
                <w:rFonts w:hint="eastAsia" w:ascii="宋体" w:hAnsi="宋体" w:eastAsia="宋体" w:cs="宋体"/>
                <w:b/>
                <w:bCs w:val="0"/>
                <w:kern w:val="2"/>
                <w:sz w:val="21"/>
                <w:highlight w:val="none"/>
                <w:lang w:val="en-US" w:eastAsia="zh-CN"/>
              </w:rPr>
              <w:t>二、公安电话系统</w:t>
            </w:r>
          </w:p>
        </w:tc>
      </w:tr>
      <w:tr w14:paraId="05D2E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4864D64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1</w:t>
            </w:r>
          </w:p>
        </w:tc>
        <w:tc>
          <w:tcPr>
            <w:tcW w:w="2708" w:type="dxa"/>
            <w:vAlign w:val="center"/>
          </w:tcPr>
          <w:p w14:paraId="2D6667D2">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rPr>
            </w:pPr>
            <w:r>
              <w:rPr>
                <w:rFonts w:hint="eastAsia" w:ascii="宋体" w:hAnsi="宋体" w:eastAsia="宋体" w:cs="宋体"/>
                <w:bCs/>
                <w:szCs w:val="28"/>
                <w:highlight w:val="none"/>
              </w:rPr>
              <w:t>语音接入网关</w:t>
            </w:r>
          </w:p>
        </w:tc>
        <w:tc>
          <w:tcPr>
            <w:tcW w:w="900" w:type="dxa"/>
            <w:vAlign w:val="center"/>
          </w:tcPr>
          <w:p w14:paraId="50C9CD9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塔迪兰</w:t>
            </w:r>
          </w:p>
        </w:tc>
        <w:tc>
          <w:tcPr>
            <w:tcW w:w="1215" w:type="dxa"/>
            <w:vAlign w:val="center"/>
          </w:tcPr>
          <w:p w14:paraId="4139C49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TGW4S，4线</w:t>
            </w:r>
          </w:p>
        </w:tc>
        <w:tc>
          <w:tcPr>
            <w:tcW w:w="840" w:type="dxa"/>
            <w:shd w:val="clear" w:color="auto" w:fill="auto"/>
            <w:vAlign w:val="center"/>
          </w:tcPr>
          <w:p w14:paraId="4DA671EA">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2</w:t>
            </w:r>
            <w:r>
              <w:rPr>
                <w:rFonts w:hint="eastAsia" w:ascii="宋体" w:hAnsi="宋体" w:eastAsia="宋体" w:cs="宋体"/>
                <w:kern w:val="2"/>
                <w:sz w:val="21"/>
                <w:highlight w:val="none"/>
                <w:lang w:val="en-US" w:eastAsia="zh-CN"/>
              </w:rPr>
              <w:t>8</w:t>
            </w:r>
          </w:p>
        </w:tc>
        <w:tc>
          <w:tcPr>
            <w:tcW w:w="690" w:type="dxa"/>
            <w:shd w:val="clear" w:color="auto" w:fill="auto"/>
            <w:vAlign w:val="center"/>
          </w:tcPr>
          <w:p w14:paraId="388DF77B">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台</w:t>
            </w:r>
          </w:p>
        </w:tc>
        <w:tc>
          <w:tcPr>
            <w:tcW w:w="825" w:type="dxa"/>
            <w:shd w:val="clear" w:color="auto" w:fill="auto"/>
            <w:vAlign w:val="center"/>
          </w:tcPr>
          <w:p w14:paraId="315ACF0A">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025BC8E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41FD9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0878BAE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w:t>
            </w:r>
          </w:p>
        </w:tc>
        <w:tc>
          <w:tcPr>
            <w:tcW w:w="2708" w:type="dxa"/>
            <w:vAlign w:val="center"/>
          </w:tcPr>
          <w:p w14:paraId="150E1098">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rPr>
            </w:pPr>
            <w:r>
              <w:rPr>
                <w:rFonts w:hint="eastAsia" w:ascii="宋体" w:hAnsi="宋体" w:eastAsia="宋体" w:cs="宋体"/>
                <w:bCs/>
                <w:szCs w:val="28"/>
                <w:highlight w:val="none"/>
              </w:rPr>
              <w:t>普通话机</w:t>
            </w:r>
          </w:p>
        </w:tc>
        <w:tc>
          <w:tcPr>
            <w:tcW w:w="900" w:type="dxa"/>
            <w:vAlign w:val="center"/>
          </w:tcPr>
          <w:p w14:paraId="48C17B8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肯特</w:t>
            </w:r>
          </w:p>
        </w:tc>
        <w:tc>
          <w:tcPr>
            <w:tcW w:w="1215" w:type="dxa"/>
            <w:shd w:val="clear" w:color="auto" w:fill="auto"/>
            <w:vAlign w:val="center"/>
          </w:tcPr>
          <w:p w14:paraId="7EBA7B2C">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CA701D</w:t>
            </w:r>
          </w:p>
        </w:tc>
        <w:tc>
          <w:tcPr>
            <w:tcW w:w="840" w:type="dxa"/>
            <w:shd w:val="clear" w:color="auto" w:fill="auto"/>
            <w:vAlign w:val="center"/>
          </w:tcPr>
          <w:p w14:paraId="28D97896">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188</w:t>
            </w:r>
          </w:p>
        </w:tc>
        <w:tc>
          <w:tcPr>
            <w:tcW w:w="690" w:type="dxa"/>
            <w:shd w:val="clear" w:color="auto" w:fill="auto"/>
            <w:vAlign w:val="center"/>
          </w:tcPr>
          <w:p w14:paraId="49CD0BF8">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台</w:t>
            </w:r>
          </w:p>
        </w:tc>
        <w:tc>
          <w:tcPr>
            <w:tcW w:w="825" w:type="dxa"/>
            <w:shd w:val="clear" w:color="auto" w:fill="auto"/>
            <w:vAlign w:val="center"/>
          </w:tcPr>
          <w:p w14:paraId="00B28BAD">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68D363E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57323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9837" w:type="dxa"/>
            <w:gridSpan w:val="8"/>
            <w:vAlign w:val="center"/>
          </w:tcPr>
          <w:p w14:paraId="3DF9A973">
            <w:pPr>
              <w:pStyle w:val="34"/>
              <w:keepNext w:val="0"/>
              <w:keepLines w:val="0"/>
              <w:pageBreakBefore w:val="0"/>
              <w:kinsoku/>
              <w:wordWrap/>
              <w:overflowPunct/>
              <w:topLinePunct w:val="0"/>
              <w:autoSpaceDE/>
              <w:bidi w:val="0"/>
              <w:adjustRightInd/>
              <w:snapToGrid/>
              <w:spacing w:line="240" w:lineRule="auto"/>
              <w:jc w:val="left"/>
              <w:rPr>
                <w:rFonts w:hint="eastAsia" w:ascii="宋体" w:hAnsi="宋体" w:eastAsia="宋体" w:cs="宋体"/>
                <w:kern w:val="2"/>
                <w:sz w:val="21"/>
                <w:highlight w:val="none"/>
                <w:lang w:val="en-US" w:eastAsia="zh-CN"/>
              </w:rPr>
            </w:pPr>
            <w:r>
              <w:rPr>
                <w:rFonts w:hint="eastAsia" w:ascii="宋体" w:hAnsi="宋体" w:eastAsia="宋体" w:cs="宋体"/>
                <w:b/>
                <w:bCs w:val="0"/>
                <w:kern w:val="2"/>
                <w:sz w:val="21"/>
                <w:highlight w:val="none"/>
                <w:lang w:val="en-US" w:eastAsia="zh-CN"/>
              </w:rPr>
              <w:t>三、公安视频监视系统</w:t>
            </w:r>
          </w:p>
        </w:tc>
      </w:tr>
      <w:tr w14:paraId="153E4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39D2C11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1</w:t>
            </w:r>
          </w:p>
        </w:tc>
        <w:tc>
          <w:tcPr>
            <w:tcW w:w="2708" w:type="dxa"/>
            <w:vAlign w:val="center"/>
          </w:tcPr>
          <w:p w14:paraId="525BC58F">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rPr>
            </w:pPr>
            <w:r>
              <w:rPr>
                <w:rFonts w:hint="eastAsia" w:ascii="宋体" w:hAnsi="宋体" w:eastAsia="宋体" w:cs="宋体"/>
                <w:bCs/>
                <w:szCs w:val="28"/>
                <w:highlight w:val="none"/>
              </w:rPr>
              <w:t>接入以太网交换机</w:t>
            </w:r>
          </w:p>
        </w:tc>
        <w:tc>
          <w:tcPr>
            <w:tcW w:w="900" w:type="dxa"/>
            <w:vAlign w:val="center"/>
          </w:tcPr>
          <w:p w14:paraId="1F5ACF2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1215" w:type="dxa"/>
            <w:vAlign w:val="center"/>
          </w:tcPr>
          <w:p w14:paraId="488B011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840" w:type="dxa"/>
            <w:vAlign w:val="center"/>
          </w:tcPr>
          <w:p w14:paraId="69195AC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690" w:type="dxa"/>
            <w:vAlign w:val="center"/>
          </w:tcPr>
          <w:p w14:paraId="124B00F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825" w:type="dxa"/>
            <w:vAlign w:val="center"/>
          </w:tcPr>
          <w:p w14:paraId="5BE2892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1789" w:type="dxa"/>
            <w:vAlign w:val="center"/>
          </w:tcPr>
          <w:p w14:paraId="7F0A51B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3F370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29898B8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1.1</w:t>
            </w:r>
          </w:p>
        </w:tc>
        <w:tc>
          <w:tcPr>
            <w:tcW w:w="2708" w:type="dxa"/>
            <w:vAlign w:val="center"/>
          </w:tcPr>
          <w:p w14:paraId="1A1CCBC1">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rPr>
            </w:pPr>
            <w:r>
              <w:rPr>
                <w:rFonts w:hint="eastAsia" w:ascii="宋体" w:hAnsi="宋体" w:eastAsia="宋体" w:cs="宋体"/>
                <w:bCs/>
                <w:szCs w:val="28"/>
                <w:highlight w:val="none"/>
              </w:rPr>
              <w:t>H3C S5560X-54F-EI L3以太网交换机主机,支持48*100/1000 Base-X SFP端口,支持4*10G Base-X SFP+端口,支持1个Slot,无电源</w:t>
            </w:r>
          </w:p>
        </w:tc>
        <w:tc>
          <w:tcPr>
            <w:tcW w:w="900" w:type="dxa"/>
            <w:vAlign w:val="center"/>
          </w:tcPr>
          <w:p w14:paraId="01CFD1D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华三</w:t>
            </w:r>
          </w:p>
        </w:tc>
        <w:tc>
          <w:tcPr>
            <w:tcW w:w="1215" w:type="dxa"/>
            <w:vAlign w:val="center"/>
          </w:tcPr>
          <w:p w14:paraId="2B75216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LS-5560X-54F-EI</w:t>
            </w:r>
          </w:p>
        </w:tc>
        <w:tc>
          <w:tcPr>
            <w:tcW w:w="840" w:type="dxa"/>
            <w:shd w:val="clear" w:color="auto" w:fill="auto"/>
            <w:vAlign w:val="center"/>
          </w:tcPr>
          <w:p w14:paraId="601D60F0">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2</w:t>
            </w:r>
            <w:r>
              <w:rPr>
                <w:rFonts w:hint="eastAsia" w:ascii="宋体" w:hAnsi="宋体" w:eastAsia="宋体" w:cs="宋体"/>
                <w:kern w:val="2"/>
                <w:sz w:val="21"/>
                <w:highlight w:val="none"/>
                <w:lang w:val="en-US" w:eastAsia="zh-CN"/>
              </w:rPr>
              <w:t>8</w:t>
            </w:r>
          </w:p>
        </w:tc>
        <w:tc>
          <w:tcPr>
            <w:tcW w:w="690" w:type="dxa"/>
            <w:shd w:val="clear" w:color="auto" w:fill="auto"/>
            <w:vAlign w:val="center"/>
          </w:tcPr>
          <w:p w14:paraId="48E72999">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台</w:t>
            </w:r>
          </w:p>
        </w:tc>
        <w:tc>
          <w:tcPr>
            <w:tcW w:w="825" w:type="dxa"/>
            <w:shd w:val="clear" w:color="auto" w:fill="auto"/>
            <w:vAlign w:val="center"/>
          </w:tcPr>
          <w:p w14:paraId="28CD0A17">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0146263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2C613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5557E78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1.2</w:t>
            </w:r>
          </w:p>
        </w:tc>
        <w:tc>
          <w:tcPr>
            <w:tcW w:w="2708" w:type="dxa"/>
            <w:vAlign w:val="center"/>
          </w:tcPr>
          <w:p w14:paraId="09053D19">
            <w:pPr>
              <w:keepNext w:val="0"/>
              <w:keepLines w:val="0"/>
              <w:pageBreakBefore w:val="0"/>
              <w:kinsoku/>
              <w:wordWrap/>
              <w:overflowPunct/>
              <w:topLinePunct w:val="0"/>
              <w:autoSpaceDE/>
              <w:bidi w:val="0"/>
              <w:adjustRightInd/>
              <w:snapToGrid/>
              <w:spacing w:line="240" w:lineRule="auto"/>
              <w:ind w:firstLine="420"/>
              <w:jc w:val="center"/>
              <w:rPr>
                <w:rFonts w:hint="eastAsia" w:ascii="宋体" w:hAnsi="宋体" w:eastAsia="宋体" w:cs="宋体"/>
                <w:bCs/>
                <w:szCs w:val="28"/>
                <w:highlight w:val="none"/>
              </w:rPr>
            </w:pPr>
            <w:r>
              <w:rPr>
                <w:rFonts w:hint="eastAsia" w:ascii="宋体" w:hAnsi="宋体" w:eastAsia="宋体" w:cs="宋体"/>
                <w:bCs/>
                <w:szCs w:val="28"/>
                <w:highlight w:val="none"/>
              </w:rPr>
              <w:t>4端口千兆电口+6端口SFP（2*Combo）接口模块</w:t>
            </w:r>
          </w:p>
        </w:tc>
        <w:tc>
          <w:tcPr>
            <w:tcW w:w="900" w:type="dxa"/>
            <w:vAlign w:val="center"/>
          </w:tcPr>
          <w:p w14:paraId="76CF807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华三</w:t>
            </w:r>
          </w:p>
        </w:tc>
        <w:tc>
          <w:tcPr>
            <w:tcW w:w="1215" w:type="dxa"/>
            <w:vAlign w:val="center"/>
          </w:tcPr>
          <w:p w14:paraId="095CDAB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LSPM4G4T6P</w:t>
            </w:r>
          </w:p>
        </w:tc>
        <w:tc>
          <w:tcPr>
            <w:tcW w:w="840" w:type="dxa"/>
            <w:shd w:val="clear" w:color="auto" w:fill="auto"/>
            <w:vAlign w:val="center"/>
          </w:tcPr>
          <w:p w14:paraId="3CC1F3CF">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2</w:t>
            </w:r>
            <w:r>
              <w:rPr>
                <w:rFonts w:hint="eastAsia" w:ascii="宋体" w:hAnsi="宋体" w:eastAsia="宋体" w:cs="宋体"/>
                <w:kern w:val="2"/>
                <w:sz w:val="21"/>
                <w:highlight w:val="none"/>
                <w:lang w:val="en-US" w:eastAsia="zh-CN"/>
              </w:rPr>
              <w:t>8</w:t>
            </w:r>
          </w:p>
        </w:tc>
        <w:tc>
          <w:tcPr>
            <w:tcW w:w="690" w:type="dxa"/>
            <w:shd w:val="clear" w:color="auto" w:fill="auto"/>
            <w:vAlign w:val="center"/>
          </w:tcPr>
          <w:p w14:paraId="6B62378D">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台</w:t>
            </w:r>
          </w:p>
        </w:tc>
        <w:tc>
          <w:tcPr>
            <w:tcW w:w="825" w:type="dxa"/>
            <w:shd w:val="clear" w:color="auto" w:fill="auto"/>
            <w:vAlign w:val="center"/>
          </w:tcPr>
          <w:p w14:paraId="17663737">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0571F9B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32149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4383C02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1.3</w:t>
            </w:r>
          </w:p>
        </w:tc>
        <w:tc>
          <w:tcPr>
            <w:tcW w:w="2708" w:type="dxa"/>
            <w:vAlign w:val="center"/>
          </w:tcPr>
          <w:p w14:paraId="24DFB42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电模块-SFP-GE-(RJ45)</w:t>
            </w:r>
          </w:p>
        </w:tc>
        <w:tc>
          <w:tcPr>
            <w:tcW w:w="900" w:type="dxa"/>
            <w:vAlign w:val="center"/>
          </w:tcPr>
          <w:p w14:paraId="6F5E94E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华三</w:t>
            </w:r>
          </w:p>
        </w:tc>
        <w:tc>
          <w:tcPr>
            <w:tcW w:w="1215" w:type="dxa"/>
            <w:vAlign w:val="center"/>
          </w:tcPr>
          <w:p w14:paraId="0DE4144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SFP-GE-T</w:t>
            </w:r>
          </w:p>
        </w:tc>
        <w:tc>
          <w:tcPr>
            <w:tcW w:w="840" w:type="dxa"/>
            <w:vAlign w:val="center"/>
          </w:tcPr>
          <w:p w14:paraId="0BE4763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560</w:t>
            </w:r>
          </w:p>
        </w:tc>
        <w:tc>
          <w:tcPr>
            <w:tcW w:w="690" w:type="dxa"/>
            <w:shd w:val="clear" w:color="auto" w:fill="auto"/>
            <w:vAlign w:val="center"/>
          </w:tcPr>
          <w:p w14:paraId="59B564C4">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台</w:t>
            </w:r>
          </w:p>
        </w:tc>
        <w:tc>
          <w:tcPr>
            <w:tcW w:w="825" w:type="dxa"/>
            <w:shd w:val="clear" w:color="auto" w:fill="auto"/>
            <w:vAlign w:val="center"/>
          </w:tcPr>
          <w:p w14:paraId="5A57AB45">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67D0266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1DFA8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012BC56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1.4</w:t>
            </w:r>
          </w:p>
        </w:tc>
        <w:tc>
          <w:tcPr>
            <w:tcW w:w="2708" w:type="dxa"/>
            <w:vAlign w:val="center"/>
          </w:tcPr>
          <w:p w14:paraId="176222A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150W 资产管理交流电源模块</w:t>
            </w:r>
          </w:p>
        </w:tc>
        <w:tc>
          <w:tcPr>
            <w:tcW w:w="900" w:type="dxa"/>
            <w:vAlign w:val="center"/>
          </w:tcPr>
          <w:p w14:paraId="070248B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华三</w:t>
            </w:r>
          </w:p>
        </w:tc>
        <w:tc>
          <w:tcPr>
            <w:tcW w:w="1215" w:type="dxa"/>
            <w:vAlign w:val="center"/>
          </w:tcPr>
          <w:p w14:paraId="7F5DFD2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LSPM2150A</w:t>
            </w:r>
          </w:p>
        </w:tc>
        <w:tc>
          <w:tcPr>
            <w:tcW w:w="840" w:type="dxa"/>
            <w:shd w:val="clear" w:color="auto" w:fill="auto"/>
            <w:vAlign w:val="center"/>
          </w:tcPr>
          <w:p w14:paraId="44AFE8F2">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56</w:t>
            </w:r>
          </w:p>
        </w:tc>
        <w:tc>
          <w:tcPr>
            <w:tcW w:w="690" w:type="dxa"/>
            <w:shd w:val="clear" w:color="auto" w:fill="auto"/>
            <w:vAlign w:val="center"/>
          </w:tcPr>
          <w:p w14:paraId="2C867545">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台</w:t>
            </w:r>
          </w:p>
        </w:tc>
        <w:tc>
          <w:tcPr>
            <w:tcW w:w="825" w:type="dxa"/>
            <w:shd w:val="clear" w:color="auto" w:fill="auto"/>
            <w:vAlign w:val="center"/>
          </w:tcPr>
          <w:p w14:paraId="54BF2B01">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29ED7B6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7CD5A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073F186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1.5</w:t>
            </w:r>
          </w:p>
        </w:tc>
        <w:tc>
          <w:tcPr>
            <w:tcW w:w="2708" w:type="dxa"/>
            <w:vAlign w:val="center"/>
          </w:tcPr>
          <w:p w14:paraId="6D71FCC1">
            <w:pPr>
              <w:keepNext w:val="0"/>
              <w:keepLines w:val="0"/>
              <w:pageBreakBefore w:val="0"/>
              <w:widowControl/>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rPr>
            </w:pPr>
            <w:r>
              <w:rPr>
                <w:rFonts w:hint="eastAsia" w:ascii="宋体" w:hAnsi="宋体" w:eastAsia="宋体" w:cs="宋体"/>
                <w:bCs/>
                <w:szCs w:val="28"/>
                <w:highlight w:val="none"/>
              </w:rPr>
              <w:t>风扇模块(SW，4028,风扇面板侧出风)</w:t>
            </w:r>
          </w:p>
        </w:tc>
        <w:tc>
          <w:tcPr>
            <w:tcW w:w="900" w:type="dxa"/>
            <w:vAlign w:val="center"/>
          </w:tcPr>
          <w:p w14:paraId="4D92E5C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华三</w:t>
            </w:r>
          </w:p>
        </w:tc>
        <w:tc>
          <w:tcPr>
            <w:tcW w:w="1215" w:type="dxa"/>
            <w:vAlign w:val="center"/>
          </w:tcPr>
          <w:p w14:paraId="22F2446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LSPM1FANSB</w:t>
            </w:r>
          </w:p>
        </w:tc>
        <w:tc>
          <w:tcPr>
            <w:tcW w:w="840" w:type="dxa"/>
            <w:vAlign w:val="center"/>
          </w:tcPr>
          <w:p w14:paraId="3CFB14A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56</w:t>
            </w:r>
          </w:p>
        </w:tc>
        <w:tc>
          <w:tcPr>
            <w:tcW w:w="690" w:type="dxa"/>
            <w:shd w:val="clear" w:color="auto" w:fill="auto"/>
            <w:vAlign w:val="center"/>
          </w:tcPr>
          <w:p w14:paraId="545598C1">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台</w:t>
            </w:r>
          </w:p>
        </w:tc>
        <w:tc>
          <w:tcPr>
            <w:tcW w:w="825" w:type="dxa"/>
            <w:shd w:val="clear" w:color="auto" w:fill="auto"/>
            <w:vAlign w:val="center"/>
          </w:tcPr>
          <w:p w14:paraId="4320D861">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07D5E7F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465C5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7B30D73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1.6</w:t>
            </w:r>
          </w:p>
        </w:tc>
        <w:tc>
          <w:tcPr>
            <w:tcW w:w="2708" w:type="dxa"/>
            <w:vAlign w:val="center"/>
          </w:tcPr>
          <w:p w14:paraId="638E0DDE">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rPr>
            </w:pPr>
            <w:r>
              <w:rPr>
                <w:rFonts w:hint="eastAsia" w:ascii="宋体" w:hAnsi="宋体" w:eastAsia="宋体" w:cs="宋体"/>
                <w:bCs/>
                <w:szCs w:val="28"/>
                <w:highlight w:val="none"/>
              </w:rPr>
              <w:t>光模块-SFP-GE-单模模块-(1310nm,10km,LC)</w:t>
            </w:r>
          </w:p>
        </w:tc>
        <w:tc>
          <w:tcPr>
            <w:tcW w:w="900" w:type="dxa"/>
            <w:vAlign w:val="center"/>
          </w:tcPr>
          <w:p w14:paraId="175C596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华三</w:t>
            </w:r>
          </w:p>
        </w:tc>
        <w:tc>
          <w:tcPr>
            <w:tcW w:w="1215" w:type="dxa"/>
            <w:vAlign w:val="center"/>
          </w:tcPr>
          <w:p w14:paraId="30F6091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SFP-GE-LX-SM1310-D</w:t>
            </w:r>
          </w:p>
        </w:tc>
        <w:tc>
          <w:tcPr>
            <w:tcW w:w="840" w:type="dxa"/>
            <w:vAlign w:val="center"/>
          </w:tcPr>
          <w:p w14:paraId="5413306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896</w:t>
            </w:r>
          </w:p>
        </w:tc>
        <w:tc>
          <w:tcPr>
            <w:tcW w:w="690" w:type="dxa"/>
            <w:shd w:val="clear" w:color="auto" w:fill="auto"/>
            <w:vAlign w:val="center"/>
          </w:tcPr>
          <w:p w14:paraId="6DCC2031">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rPr>
              <w:t>台</w:t>
            </w:r>
          </w:p>
        </w:tc>
        <w:tc>
          <w:tcPr>
            <w:tcW w:w="825" w:type="dxa"/>
            <w:shd w:val="clear" w:color="auto" w:fill="auto"/>
            <w:vAlign w:val="center"/>
          </w:tcPr>
          <w:p w14:paraId="7C806DF0">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493335D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196DC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708BF0B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w:t>
            </w:r>
          </w:p>
        </w:tc>
        <w:tc>
          <w:tcPr>
            <w:tcW w:w="2708" w:type="dxa"/>
            <w:vAlign w:val="center"/>
          </w:tcPr>
          <w:p w14:paraId="2714705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视频监视终端</w:t>
            </w:r>
          </w:p>
        </w:tc>
        <w:tc>
          <w:tcPr>
            <w:tcW w:w="900" w:type="dxa"/>
            <w:vAlign w:val="center"/>
          </w:tcPr>
          <w:p w14:paraId="002F05E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1215" w:type="dxa"/>
            <w:vAlign w:val="center"/>
          </w:tcPr>
          <w:p w14:paraId="7FAA858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840" w:type="dxa"/>
            <w:vAlign w:val="center"/>
          </w:tcPr>
          <w:p w14:paraId="5D1C013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690" w:type="dxa"/>
            <w:vAlign w:val="center"/>
          </w:tcPr>
          <w:p w14:paraId="7C4708D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825" w:type="dxa"/>
            <w:vAlign w:val="center"/>
          </w:tcPr>
          <w:p w14:paraId="10C2BEB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1789" w:type="dxa"/>
            <w:vAlign w:val="center"/>
          </w:tcPr>
          <w:p w14:paraId="67D34AF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6A8D3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79E0515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2.1</w:t>
            </w:r>
          </w:p>
        </w:tc>
        <w:tc>
          <w:tcPr>
            <w:tcW w:w="2708" w:type="dxa"/>
            <w:vAlign w:val="center"/>
          </w:tcPr>
          <w:p w14:paraId="33A19D6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PC终端（含显示器）</w:t>
            </w:r>
          </w:p>
        </w:tc>
        <w:tc>
          <w:tcPr>
            <w:tcW w:w="900" w:type="dxa"/>
            <w:vAlign w:val="center"/>
          </w:tcPr>
          <w:p w14:paraId="04FE376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联想</w:t>
            </w:r>
          </w:p>
        </w:tc>
        <w:tc>
          <w:tcPr>
            <w:tcW w:w="1215" w:type="dxa"/>
            <w:vAlign w:val="center"/>
          </w:tcPr>
          <w:p w14:paraId="7D41A90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P340</w:t>
            </w:r>
          </w:p>
        </w:tc>
        <w:tc>
          <w:tcPr>
            <w:tcW w:w="840" w:type="dxa"/>
            <w:vAlign w:val="center"/>
          </w:tcPr>
          <w:p w14:paraId="07DAAFB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28</w:t>
            </w:r>
          </w:p>
        </w:tc>
        <w:tc>
          <w:tcPr>
            <w:tcW w:w="690" w:type="dxa"/>
            <w:vAlign w:val="center"/>
          </w:tcPr>
          <w:p w14:paraId="667C153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台</w:t>
            </w:r>
          </w:p>
        </w:tc>
        <w:tc>
          <w:tcPr>
            <w:tcW w:w="825" w:type="dxa"/>
            <w:vAlign w:val="center"/>
          </w:tcPr>
          <w:p w14:paraId="3C1958C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28个车站</w:t>
            </w:r>
          </w:p>
        </w:tc>
        <w:tc>
          <w:tcPr>
            <w:tcW w:w="1789" w:type="dxa"/>
            <w:vAlign w:val="center"/>
          </w:tcPr>
          <w:p w14:paraId="0F4B786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3E57F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491EFC1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2.2</w:t>
            </w:r>
          </w:p>
        </w:tc>
        <w:tc>
          <w:tcPr>
            <w:tcW w:w="2708" w:type="dxa"/>
            <w:vAlign w:val="center"/>
          </w:tcPr>
          <w:p w14:paraId="1E43324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视频监视终端软件</w:t>
            </w:r>
          </w:p>
        </w:tc>
        <w:tc>
          <w:tcPr>
            <w:tcW w:w="900" w:type="dxa"/>
            <w:vAlign w:val="center"/>
          </w:tcPr>
          <w:p w14:paraId="055D44D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警视达</w:t>
            </w:r>
          </w:p>
        </w:tc>
        <w:tc>
          <w:tcPr>
            <w:tcW w:w="1215" w:type="dxa"/>
            <w:vAlign w:val="center"/>
          </w:tcPr>
          <w:p w14:paraId="47F5C31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JSD-GUI</w:t>
            </w:r>
          </w:p>
        </w:tc>
        <w:tc>
          <w:tcPr>
            <w:tcW w:w="840" w:type="dxa"/>
            <w:vAlign w:val="center"/>
          </w:tcPr>
          <w:p w14:paraId="2CAB937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28</w:t>
            </w:r>
          </w:p>
        </w:tc>
        <w:tc>
          <w:tcPr>
            <w:tcW w:w="690" w:type="dxa"/>
            <w:vAlign w:val="center"/>
          </w:tcPr>
          <w:p w14:paraId="2E80333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套</w:t>
            </w:r>
          </w:p>
        </w:tc>
        <w:tc>
          <w:tcPr>
            <w:tcW w:w="825" w:type="dxa"/>
            <w:vAlign w:val="center"/>
          </w:tcPr>
          <w:p w14:paraId="149B73A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28个车站</w:t>
            </w:r>
          </w:p>
        </w:tc>
        <w:tc>
          <w:tcPr>
            <w:tcW w:w="1789" w:type="dxa"/>
            <w:vAlign w:val="center"/>
          </w:tcPr>
          <w:p w14:paraId="497DC07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7022E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3E3DD6E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3</w:t>
            </w:r>
          </w:p>
        </w:tc>
        <w:tc>
          <w:tcPr>
            <w:tcW w:w="2708" w:type="dxa"/>
            <w:vAlign w:val="center"/>
          </w:tcPr>
          <w:p w14:paraId="594E4D0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电源控制器</w:t>
            </w:r>
          </w:p>
        </w:tc>
        <w:tc>
          <w:tcPr>
            <w:tcW w:w="900" w:type="dxa"/>
            <w:vAlign w:val="center"/>
          </w:tcPr>
          <w:p w14:paraId="3EBAEB9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警视达</w:t>
            </w:r>
          </w:p>
        </w:tc>
        <w:tc>
          <w:tcPr>
            <w:tcW w:w="1215" w:type="dxa"/>
            <w:vAlign w:val="center"/>
          </w:tcPr>
          <w:p w14:paraId="0532278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JSD-DTDY</w:t>
            </w:r>
          </w:p>
        </w:tc>
        <w:tc>
          <w:tcPr>
            <w:tcW w:w="840" w:type="dxa"/>
            <w:shd w:val="clear" w:color="auto" w:fill="auto"/>
            <w:vAlign w:val="center"/>
          </w:tcPr>
          <w:p w14:paraId="15ED2E26">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w:t>
            </w:r>
          </w:p>
        </w:tc>
        <w:tc>
          <w:tcPr>
            <w:tcW w:w="690" w:type="dxa"/>
            <w:shd w:val="clear" w:color="auto" w:fill="auto"/>
            <w:vAlign w:val="center"/>
          </w:tcPr>
          <w:p w14:paraId="6FEAB87F">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台</w:t>
            </w:r>
          </w:p>
        </w:tc>
        <w:tc>
          <w:tcPr>
            <w:tcW w:w="825" w:type="dxa"/>
            <w:shd w:val="clear" w:color="auto" w:fill="auto"/>
            <w:vAlign w:val="center"/>
          </w:tcPr>
          <w:p w14:paraId="46371651">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2AFFEE3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1A14F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60BBBF9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4</w:t>
            </w:r>
          </w:p>
        </w:tc>
        <w:tc>
          <w:tcPr>
            <w:tcW w:w="2708" w:type="dxa"/>
            <w:vAlign w:val="center"/>
          </w:tcPr>
          <w:p w14:paraId="3F3A7CA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摄像机供电单元</w:t>
            </w:r>
          </w:p>
        </w:tc>
        <w:tc>
          <w:tcPr>
            <w:tcW w:w="900" w:type="dxa"/>
            <w:vAlign w:val="center"/>
          </w:tcPr>
          <w:p w14:paraId="440BA20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警视达</w:t>
            </w:r>
          </w:p>
        </w:tc>
        <w:tc>
          <w:tcPr>
            <w:tcW w:w="1215" w:type="dxa"/>
            <w:vAlign w:val="center"/>
          </w:tcPr>
          <w:p w14:paraId="3AF5ECF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定制</w:t>
            </w:r>
          </w:p>
        </w:tc>
        <w:tc>
          <w:tcPr>
            <w:tcW w:w="840" w:type="dxa"/>
            <w:shd w:val="clear" w:color="auto" w:fill="auto"/>
            <w:vAlign w:val="center"/>
          </w:tcPr>
          <w:p w14:paraId="6E81F5A9">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w:t>
            </w:r>
          </w:p>
        </w:tc>
        <w:tc>
          <w:tcPr>
            <w:tcW w:w="690" w:type="dxa"/>
            <w:shd w:val="clear" w:color="auto" w:fill="auto"/>
            <w:vAlign w:val="center"/>
          </w:tcPr>
          <w:p w14:paraId="572D98B7">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台</w:t>
            </w:r>
          </w:p>
        </w:tc>
        <w:tc>
          <w:tcPr>
            <w:tcW w:w="825" w:type="dxa"/>
            <w:shd w:val="clear" w:color="auto" w:fill="auto"/>
            <w:vAlign w:val="center"/>
          </w:tcPr>
          <w:p w14:paraId="1A21F603">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5F601DD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72F2D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3E67D26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5</w:t>
            </w:r>
          </w:p>
        </w:tc>
        <w:tc>
          <w:tcPr>
            <w:tcW w:w="2708" w:type="dxa"/>
            <w:vAlign w:val="center"/>
          </w:tcPr>
          <w:p w14:paraId="74C88C5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智能PDU设备</w:t>
            </w:r>
          </w:p>
        </w:tc>
        <w:tc>
          <w:tcPr>
            <w:tcW w:w="900" w:type="dxa"/>
            <w:vAlign w:val="center"/>
          </w:tcPr>
          <w:p w14:paraId="73E88B1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克莱沃</w:t>
            </w:r>
          </w:p>
        </w:tc>
        <w:tc>
          <w:tcPr>
            <w:tcW w:w="1215" w:type="dxa"/>
            <w:vAlign w:val="center"/>
          </w:tcPr>
          <w:p w14:paraId="7C668CF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MD-D08-NTOYGA</w:t>
            </w:r>
          </w:p>
        </w:tc>
        <w:tc>
          <w:tcPr>
            <w:tcW w:w="840" w:type="dxa"/>
            <w:vAlign w:val="center"/>
          </w:tcPr>
          <w:p w14:paraId="5EE9928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56</w:t>
            </w:r>
          </w:p>
        </w:tc>
        <w:tc>
          <w:tcPr>
            <w:tcW w:w="690" w:type="dxa"/>
            <w:shd w:val="clear" w:color="auto" w:fill="auto"/>
            <w:vAlign w:val="center"/>
          </w:tcPr>
          <w:p w14:paraId="2B5F7BBC">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台</w:t>
            </w:r>
          </w:p>
        </w:tc>
        <w:tc>
          <w:tcPr>
            <w:tcW w:w="825" w:type="dxa"/>
            <w:shd w:val="clear" w:color="auto" w:fill="auto"/>
            <w:vAlign w:val="center"/>
          </w:tcPr>
          <w:p w14:paraId="054AC502">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1859761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6D6A4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017469A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6</w:t>
            </w:r>
          </w:p>
        </w:tc>
        <w:tc>
          <w:tcPr>
            <w:tcW w:w="2708" w:type="dxa"/>
            <w:vAlign w:val="center"/>
          </w:tcPr>
          <w:p w14:paraId="0470BE8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数字高清固定人像采集彩色摄像机</w:t>
            </w:r>
          </w:p>
        </w:tc>
        <w:tc>
          <w:tcPr>
            <w:tcW w:w="900" w:type="dxa"/>
            <w:vAlign w:val="center"/>
          </w:tcPr>
          <w:p w14:paraId="41E45D8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1215" w:type="dxa"/>
            <w:vAlign w:val="center"/>
          </w:tcPr>
          <w:p w14:paraId="7EBEDCB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840" w:type="dxa"/>
            <w:vAlign w:val="center"/>
          </w:tcPr>
          <w:p w14:paraId="0C5F67A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690" w:type="dxa"/>
            <w:vAlign w:val="center"/>
          </w:tcPr>
          <w:p w14:paraId="1DEEA14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825" w:type="dxa"/>
            <w:vAlign w:val="center"/>
          </w:tcPr>
          <w:p w14:paraId="518B617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1789" w:type="dxa"/>
            <w:vAlign w:val="center"/>
          </w:tcPr>
          <w:p w14:paraId="03E7BA5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6CF7A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0" w:hRule="atLeast"/>
          <w:jc w:val="center"/>
        </w:trPr>
        <w:tc>
          <w:tcPr>
            <w:tcW w:w="870" w:type="dxa"/>
            <w:vAlign w:val="center"/>
          </w:tcPr>
          <w:p w14:paraId="7C28553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6.1</w:t>
            </w:r>
          </w:p>
        </w:tc>
        <w:tc>
          <w:tcPr>
            <w:tcW w:w="2708" w:type="dxa"/>
            <w:vAlign w:val="center"/>
          </w:tcPr>
          <w:p w14:paraId="58EA7C2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800万超星光宽动态深度智能护罩一体型网络摄像机（含护罩）</w:t>
            </w:r>
          </w:p>
        </w:tc>
        <w:tc>
          <w:tcPr>
            <w:tcW w:w="900" w:type="dxa"/>
            <w:vAlign w:val="center"/>
          </w:tcPr>
          <w:p w14:paraId="7B3F4AE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宇视</w:t>
            </w:r>
          </w:p>
        </w:tc>
        <w:tc>
          <w:tcPr>
            <w:tcW w:w="1215" w:type="dxa"/>
            <w:vAlign w:val="center"/>
          </w:tcPr>
          <w:p w14:paraId="799E13F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HIC2981-WH@WSGB-RDWD-VC</w:t>
            </w:r>
          </w:p>
        </w:tc>
        <w:tc>
          <w:tcPr>
            <w:tcW w:w="840" w:type="dxa"/>
            <w:vAlign w:val="center"/>
          </w:tcPr>
          <w:p w14:paraId="7172C6C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300</w:t>
            </w:r>
          </w:p>
        </w:tc>
        <w:tc>
          <w:tcPr>
            <w:tcW w:w="690" w:type="dxa"/>
            <w:shd w:val="clear" w:color="auto" w:fill="auto"/>
            <w:vAlign w:val="center"/>
          </w:tcPr>
          <w:p w14:paraId="0CF23774">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台</w:t>
            </w:r>
          </w:p>
        </w:tc>
        <w:tc>
          <w:tcPr>
            <w:tcW w:w="825" w:type="dxa"/>
            <w:shd w:val="clear" w:color="auto" w:fill="auto"/>
            <w:vAlign w:val="center"/>
          </w:tcPr>
          <w:p w14:paraId="3D249F10">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60F5F39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4A3A2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11BF9FA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6.2</w:t>
            </w:r>
          </w:p>
        </w:tc>
        <w:tc>
          <w:tcPr>
            <w:tcW w:w="2708" w:type="dxa"/>
            <w:vAlign w:val="center"/>
          </w:tcPr>
          <w:p w14:paraId="1770536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变焦镜头</w:t>
            </w:r>
          </w:p>
        </w:tc>
        <w:tc>
          <w:tcPr>
            <w:tcW w:w="900" w:type="dxa"/>
            <w:vAlign w:val="center"/>
          </w:tcPr>
          <w:p w14:paraId="400D5B1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宇视</w:t>
            </w:r>
          </w:p>
        </w:tc>
        <w:tc>
          <w:tcPr>
            <w:tcW w:w="1215" w:type="dxa"/>
            <w:vAlign w:val="center"/>
          </w:tcPr>
          <w:p w14:paraId="5F41828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 xml:space="preserve">LENS-DM3816-8M </w:t>
            </w:r>
          </w:p>
        </w:tc>
        <w:tc>
          <w:tcPr>
            <w:tcW w:w="840" w:type="dxa"/>
            <w:shd w:val="clear" w:color="auto" w:fill="auto"/>
            <w:vAlign w:val="center"/>
          </w:tcPr>
          <w:p w14:paraId="32633A0E">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300</w:t>
            </w:r>
          </w:p>
        </w:tc>
        <w:tc>
          <w:tcPr>
            <w:tcW w:w="690" w:type="dxa"/>
            <w:shd w:val="clear" w:color="auto" w:fill="auto"/>
            <w:vAlign w:val="center"/>
          </w:tcPr>
          <w:p w14:paraId="0D7E96BC">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台</w:t>
            </w:r>
          </w:p>
        </w:tc>
        <w:tc>
          <w:tcPr>
            <w:tcW w:w="825" w:type="dxa"/>
            <w:shd w:val="clear" w:color="auto" w:fill="auto"/>
            <w:vAlign w:val="center"/>
          </w:tcPr>
          <w:p w14:paraId="205DE369">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238CE17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2499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44D0D72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6.3</w:t>
            </w:r>
          </w:p>
        </w:tc>
        <w:tc>
          <w:tcPr>
            <w:tcW w:w="2708" w:type="dxa"/>
            <w:vAlign w:val="center"/>
          </w:tcPr>
          <w:p w14:paraId="48609B5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SFP百兆单模单纤光模块</w:t>
            </w:r>
          </w:p>
        </w:tc>
        <w:tc>
          <w:tcPr>
            <w:tcW w:w="900" w:type="dxa"/>
            <w:vAlign w:val="center"/>
          </w:tcPr>
          <w:p w14:paraId="2227279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宇视</w:t>
            </w:r>
          </w:p>
        </w:tc>
        <w:tc>
          <w:tcPr>
            <w:tcW w:w="1215" w:type="dxa"/>
            <w:vAlign w:val="center"/>
          </w:tcPr>
          <w:p w14:paraId="2B37E6A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SFP-FE-TX1310/RX1550</w:t>
            </w:r>
          </w:p>
        </w:tc>
        <w:tc>
          <w:tcPr>
            <w:tcW w:w="840" w:type="dxa"/>
            <w:shd w:val="clear" w:color="auto" w:fill="auto"/>
            <w:vAlign w:val="center"/>
          </w:tcPr>
          <w:p w14:paraId="7B295932">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300</w:t>
            </w:r>
          </w:p>
        </w:tc>
        <w:tc>
          <w:tcPr>
            <w:tcW w:w="690" w:type="dxa"/>
            <w:shd w:val="clear" w:color="auto" w:fill="auto"/>
            <w:vAlign w:val="center"/>
          </w:tcPr>
          <w:p w14:paraId="7FA72687">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个</w:t>
            </w:r>
          </w:p>
        </w:tc>
        <w:tc>
          <w:tcPr>
            <w:tcW w:w="825" w:type="dxa"/>
            <w:shd w:val="clear" w:color="auto" w:fill="auto"/>
            <w:vAlign w:val="center"/>
          </w:tcPr>
          <w:p w14:paraId="6BB53E2E">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5D50CA5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4F316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0DDC0F9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6.4</w:t>
            </w:r>
          </w:p>
        </w:tc>
        <w:tc>
          <w:tcPr>
            <w:tcW w:w="2708" w:type="dxa"/>
            <w:vAlign w:val="center"/>
          </w:tcPr>
          <w:p w14:paraId="5C91E55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存储卡</w:t>
            </w:r>
          </w:p>
        </w:tc>
        <w:tc>
          <w:tcPr>
            <w:tcW w:w="900" w:type="dxa"/>
            <w:vAlign w:val="center"/>
          </w:tcPr>
          <w:p w14:paraId="6F98755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宇视</w:t>
            </w:r>
          </w:p>
        </w:tc>
        <w:tc>
          <w:tcPr>
            <w:tcW w:w="1215" w:type="dxa"/>
            <w:vAlign w:val="center"/>
          </w:tcPr>
          <w:p w14:paraId="26E9E9E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64G</w:t>
            </w:r>
          </w:p>
        </w:tc>
        <w:tc>
          <w:tcPr>
            <w:tcW w:w="840" w:type="dxa"/>
            <w:shd w:val="clear" w:color="auto" w:fill="auto"/>
            <w:vAlign w:val="center"/>
          </w:tcPr>
          <w:p w14:paraId="6E6550EE">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300</w:t>
            </w:r>
          </w:p>
        </w:tc>
        <w:tc>
          <w:tcPr>
            <w:tcW w:w="690" w:type="dxa"/>
            <w:shd w:val="clear" w:color="auto" w:fill="auto"/>
            <w:vAlign w:val="center"/>
          </w:tcPr>
          <w:p w14:paraId="043EA0C7">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张</w:t>
            </w:r>
          </w:p>
        </w:tc>
        <w:tc>
          <w:tcPr>
            <w:tcW w:w="825" w:type="dxa"/>
            <w:shd w:val="clear" w:color="auto" w:fill="auto"/>
            <w:vAlign w:val="center"/>
          </w:tcPr>
          <w:p w14:paraId="15CC50F6">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vAlign w:val="center"/>
          </w:tcPr>
          <w:p w14:paraId="66EE075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53657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1F5C5E3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6.5</w:t>
            </w:r>
          </w:p>
        </w:tc>
        <w:tc>
          <w:tcPr>
            <w:tcW w:w="2708" w:type="dxa"/>
            <w:vAlign w:val="center"/>
          </w:tcPr>
          <w:p w14:paraId="266F467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前端设备箱</w:t>
            </w:r>
          </w:p>
        </w:tc>
        <w:tc>
          <w:tcPr>
            <w:tcW w:w="900" w:type="dxa"/>
            <w:vAlign w:val="center"/>
          </w:tcPr>
          <w:p w14:paraId="40DB9A5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宇视</w:t>
            </w:r>
          </w:p>
        </w:tc>
        <w:tc>
          <w:tcPr>
            <w:tcW w:w="1215" w:type="dxa"/>
            <w:vAlign w:val="center"/>
          </w:tcPr>
          <w:p w14:paraId="74B1B56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定制</w:t>
            </w:r>
          </w:p>
        </w:tc>
        <w:tc>
          <w:tcPr>
            <w:tcW w:w="840" w:type="dxa"/>
            <w:vAlign w:val="center"/>
          </w:tcPr>
          <w:p w14:paraId="7DA3A81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300</w:t>
            </w:r>
          </w:p>
        </w:tc>
        <w:tc>
          <w:tcPr>
            <w:tcW w:w="690" w:type="dxa"/>
            <w:vAlign w:val="center"/>
          </w:tcPr>
          <w:p w14:paraId="428CB79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套</w:t>
            </w:r>
          </w:p>
        </w:tc>
        <w:tc>
          <w:tcPr>
            <w:tcW w:w="825" w:type="dxa"/>
            <w:vAlign w:val="center"/>
          </w:tcPr>
          <w:p w14:paraId="41AB073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28个车站</w:t>
            </w:r>
          </w:p>
        </w:tc>
        <w:tc>
          <w:tcPr>
            <w:tcW w:w="1789" w:type="dxa"/>
            <w:vAlign w:val="center"/>
          </w:tcPr>
          <w:p w14:paraId="78518E3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3F793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24BD032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6.6</w:t>
            </w:r>
          </w:p>
        </w:tc>
        <w:tc>
          <w:tcPr>
            <w:tcW w:w="2708" w:type="dxa"/>
            <w:vAlign w:val="center"/>
          </w:tcPr>
          <w:p w14:paraId="79B691C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摄像机电源</w:t>
            </w:r>
          </w:p>
        </w:tc>
        <w:tc>
          <w:tcPr>
            <w:tcW w:w="900" w:type="dxa"/>
            <w:vAlign w:val="center"/>
          </w:tcPr>
          <w:p w14:paraId="6B49C7B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宇视</w:t>
            </w:r>
          </w:p>
        </w:tc>
        <w:tc>
          <w:tcPr>
            <w:tcW w:w="1215" w:type="dxa"/>
            <w:vAlign w:val="center"/>
          </w:tcPr>
          <w:p w14:paraId="568FEC5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定制，AC24V</w:t>
            </w:r>
          </w:p>
        </w:tc>
        <w:tc>
          <w:tcPr>
            <w:tcW w:w="840" w:type="dxa"/>
            <w:vAlign w:val="center"/>
          </w:tcPr>
          <w:p w14:paraId="73A01F4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300</w:t>
            </w:r>
          </w:p>
        </w:tc>
        <w:tc>
          <w:tcPr>
            <w:tcW w:w="690" w:type="dxa"/>
            <w:vAlign w:val="center"/>
          </w:tcPr>
          <w:p w14:paraId="2B8DFE9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个</w:t>
            </w:r>
          </w:p>
        </w:tc>
        <w:tc>
          <w:tcPr>
            <w:tcW w:w="825" w:type="dxa"/>
            <w:vAlign w:val="center"/>
          </w:tcPr>
          <w:p w14:paraId="51F1D0C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28个车站</w:t>
            </w:r>
          </w:p>
        </w:tc>
        <w:tc>
          <w:tcPr>
            <w:tcW w:w="1789" w:type="dxa"/>
            <w:vAlign w:val="center"/>
          </w:tcPr>
          <w:p w14:paraId="52F327D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51910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1CB704B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6.7</w:t>
            </w:r>
          </w:p>
        </w:tc>
        <w:tc>
          <w:tcPr>
            <w:tcW w:w="2708" w:type="dxa"/>
            <w:vAlign w:val="center"/>
          </w:tcPr>
          <w:p w14:paraId="627A525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伸缩吊杆</w:t>
            </w:r>
          </w:p>
        </w:tc>
        <w:tc>
          <w:tcPr>
            <w:tcW w:w="900" w:type="dxa"/>
            <w:vAlign w:val="center"/>
          </w:tcPr>
          <w:p w14:paraId="1A98E7F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宇视</w:t>
            </w:r>
          </w:p>
        </w:tc>
        <w:tc>
          <w:tcPr>
            <w:tcW w:w="1215" w:type="dxa"/>
            <w:vAlign w:val="center"/>
          </w:tcPr>
          <w:p w14:paraId="0369B18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定制</w:t>
            </w:r>
          </w:p>
        </w:tc>
        <w:tc>
          <w:tcPr>
            <w:tcW w:w="840" w:type="dxa"/>
            <w:vAlign w:val="center"/>
          </w:tcPr>
          <w:p w14:paraId="3DEDBCF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300</w:t>
            </w:r>
          </w:p>
        </w:tc>
        <w:tc>
          <w:tcPr>
            <w:tcW w:w="690" w:type="dxa"/>
            <w:vAlign w:val="center"/>
          </w:tcPr>
          <w:p w14:paraId="0898C00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套</w:t>
            </w:r>
          </w:p>
        </w:tc>
        <w:tc>
          <w:tcPr>
            <w:tcW w:w="825" w:type="dxa"/>
            <w:vAlign w:val="center"/>
          </w:tcPr>
          <w:p w14:paraId="0C162D8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28个车站</w:t>
            </w:r>
          </w:p>
        </w:tc>
        <w:tc>
          <w:tcPr>
            <w:tcW w:w="1789" w:type="dxa"/>
            <w:vAlign w:val="center"/>
          </w:tcPr>
          <w:p w14:paraId="412C51D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2B803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7C5DD99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6.8</w:t>
            </w:r>
          </w:p>
        </w:tc>
        <w:tc>
          <w:tcPr>
            <w:tcW w:w="2708" w:type="dxa"/>
            <w:vAlign w:val="center"/>
          </w:tcPr>
          <w:p w14:paraId="267BC7B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4芯光缆终端盒（含单头尾纤）</w:t>
            </w:r>
          </w:p>
        </w:tc>
        <w:tc>
          <w:tcPr>
            <w:tcW w:w="900" w:type="dxa"/>
            <w:vAlign w:val="center"/>
          </w:tcPr>
          <w:p w14:paraId="0DAC12F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宇视</w:t>
            </w:r>
          </w:p>
        </w:tc>
        <w:tc>
          <w:tcPr>
            <w:tcW w:w="1215" w:type="dxa"/>
            <w:vAlign w:val="center"/>
          </w:tcPr>
          <w:p w14:paraId="59A5448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定制</w:t>
            </w:r>
          </w:p>
        </w:tc>
        <w:tc>
          <w:tcPr>
            <w:tcW w:w="840" w:type="dxa"/>
            <w:vAlign w:val="center"/>
          </w:tcPr>
          <w:p w14:paraId="67CA9A9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300</w:t>
            </w:r>
          </w:p>
        </w:tc>
        <w:tc>
          <w:tcPr>
            <w:tcW w:w="690" w:type="dxa"/>
            <w:vAlign w:val="center"/>
          </w:tcPr>
          <w:p w14:paraId="6392DB4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套</w:t>
            </w:r>
          </w:p>
        </w:tc>
        <w:tc>
          <w:tcPr>
            <w:tcW w:w="825" w:type="dxa"/>
            <w:vAlign w:val="center"/>
          </w:tcPr>
          <w:p w14:paraId="53E649E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28个车站</w:t>
            </w:r>
          </w:p>
        </w:tc>
        <w:tc>
          <w:tcPr>
            <w:tcW w:w="1789" w:type="dxa"/>
            <w:vAlign w:val="center"/>
          </w:tcPr>
          <w:p w14:paraId="48BAD32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32108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00E3237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6.9</w:t>
            </w:r>
          </w:p>
        </w:tc>
        <w:tc>
          <w:tcPr>
            <w:tcW w:w="2708" w:type="dxa"/>
            <w:vAlign w:val="center"/>
          </w:tcPr>
          <w:p w14:paraId="7C15AAC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定向拾音器</w:t>
            </w:r>
          </w:p>
        </w:tc>
        <w:tc>
          <w:tcPr>
            <w:tcW w:w="900" w:type="dxa"/>
            <w:vAlign w:val="center"/>
          </w:tcPr>
          <w:p w14:paraId="7B26965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宇视</w:t>
            </w:r>
          </w:p>
        </w:tc>
        <w:tc>
          <w:tcPr>
            <w:tcW w:w="1215" w:type="dxa"/>
            <w:vAlign w:val="center"/>
          </w:tcPr>
          <w:p w14:paraId="3633AA9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JSD-110T-1</w:t>
            </w:r>
          </w:p>
        </w:tc>
        <w:tc>
          <w:tcPr>
            <w:tcW w:w="840" w:type="dxa"/>
            <w:vAlign w:val="center"/>
          </w:tcPr>
          <w:p w14:paraId="16B3E49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300</w:t>
            </w:r>
          </w:p>
        </w:tc>
        <w:tc>
          <w:tcPr>
            <w:tcW w:w="690" w:type="dxa"/>
            <w:vAlign w:val="center"/>
          </w:tcPr>
          <w:p w14:paraId="5E4E8E6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只</w:t>
            </w:r>
          </w:p>
        </w:tc>
        <w:tc>
          <w:tcPr>
            <w:tcW w:w="825" w:type="dxa"/>
            <w:vAlign w:val="center"/>
          </w:tcPr>
          <w:p w14:paraId="6EC8E38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28个车站</w:t>
            </w:r>
          </w:p>
        </w:tc>
        <w:tc>
          <w:tcPr>
            <w:tcW w:w="1789" w:type="dxa"/>
            <w:vAlign w:val="center"/>
          </w:tcPr>
          <w:p w14:paraId="6AEA017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586A8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72AEE04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7</w:t>
            </w:r>
          </w:p>
        </w:tc>
        <w:tc>
          <w:tcPr>
            <w:tcW w:w="2708" w:type="dxa"/>
            <w:vAlign w:val="center"/>
          </w:tcPr>
          <w:p w14:paraId="552C6E5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媒体交换服务器</w:t>
            </w:r>
          </w:p>
        </w:tc>
        <w:tc>
          <w:tcPr>
            <w:tcW w:w="900" w:type="dxa"/>
            <w:vAlign w:val="center"/>
          </w:tcPr>
          <w:p w14:paraId="237446A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宇视</w:t>
            </w:r>
          </w:p>
        </w:tc>
        <w:tc>
          <w:tcPr>
            <w:tcW w:w="1215" w:type="dxa"/>
            <w:vAlign w:val="center"/>
          </w:tcPr>
          <w:p w14:paraId="1167C61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VS-MS8800</w:t>
            </w:r>
          </w:p>
        </w:tc>
        <w:tc>
          <w:tcPr>
            <w:tcW w:w="840" w:type="dxa"/>
            <w:vAlign w:val="center"/>
          </w:tcPr>
          <w:p w14:paraId="030E1DD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w:t>
            </w:r>
          </w:p>
        </w:tc>
        <w:tc>
          <w:tcPr>
            <w:tcW w:w="690" w:type="dxa"/>
            <w:vAlign w:val="center"/>
          </w:tcPr>
          <w:p w14:paraId="48E899E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台</w:t>
            </w:r>
          </w:p>
        </w:tc>
        <w:tc>
          <w:tcPr>
            <w:tcW w:w="825" w:type="dxa"/>
            <w:vAlign w:val="center"/>
          </w:tcPr>
          <w:p w14:paraId="627C132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控制中心</w:t>
            </w:r>
          </w:p>
        </w:tc>
        <w:tc>
          <w:tcPr>
            <w:tcW w:w="1789" w:type="dxa"/>
            <w:vAlign w:val="center"/>
          </w:tcPr>
          <w:p w14:paraId="040343E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544F4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4ACAE9E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8</w:t>
            </w:r>
          </w:p>
        </w:tc>
        <w:tc>
          <w:tcPr>
            <w:tcW w:w="2708" w:type="dxa"/>
            <w:vAlign w:val="center"/>
          </w:tcPr>
          <w:p w14:paraId="3F70436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视频接入网关</w:t>
            </w:r>
          </w:p>
        </w:tc>
        <w:tc>
          <w:tcPr>
            <w:tcW w:w="900" w:type="dxa"/>
            <w:vAlign w:val="center"/>
          </w:tcPr>
          <w:p w14:paraId="4F05F34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1215" w:type="dxa"/>
            <w:vAlign w:val="center"/>
          </w:tcPr>
          <w:p w14:paraId="3F1DC89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840" w:type="dxa"/>
            <w:vAlign w:val="center"/>
          </w:tcPr>
          <w:p w14:paraId="79E4692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690" w:type="dxa"/>
            <w:vAlign w:val="center"/>
          </w:tcPr>
          <w:p w14:paraId="648B5DA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825" w:type="dxa"/>
            <w:vAlign w:val="center"/>
          </w:tcPr>
          <w:p w14:paraId="179F94D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c>
          <w:tcPr>
            <w:tcW w:w="1789" w:type="dxa"/>
            <w:vAlign w:val="center"/>
          </w:tcPr>
          <w:p w14:paraId="5AC3588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2C059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37CA831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8.1</w:t>
            </w:r>
          </w:p>
        </w:tc>
        <w:tc>
          <w:tcPr>
            <w:tcW w:w="2708" w:type="dxa"/>
            <w:vAlign w:val="center"/>
          </w:tcPr>
          <w:p w14:paraId="33F0FFE6">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rPr>
            </w:pPr>
            <w:r>
              <w:rPr>
                <w:rFonts w:hint="eastAsia" w:ascii="宋体" w:hAnsi="宋体" w:eastAsia="宋体" w:cs="宋体"/>
                <w:bCs/>
                <w:szCs w:val="28"/>
                <w:highlight w:val="none"/>
              </w:rPr>
              <w:t>视频接入网关设备</w:t>
            </w:r>
          </w:p>
        </w:tc>
        <w:tc>
          <w:tcPr>
            <w:tcW w:w="900" w:type="dxa"/>
            <w:vAlign w:val="center"/>
          </w:tcPr>
          <w:p w14:paraId="520B807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宇视</w:t>
            </w:r>
          </w:p>
        </w:tc>
        <w:tc>
          <w:tcPr>
            <w:tcW w:w="1215" w:type="dxa"/>
            <w:vAlign w:val="center"/>
          </w:tcPr>
          <w:p w14:paraId="16D4469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 xml:space="preserve">VS-VDC12504 </w:t>
            </w:r>
          </w:p>
        </w:tc>
        <w:tc>
          <w:tcPr>
            <w:tcW w:w="840" w:type="dxa"/>
            <w:vAlign w:val="center"/>
          </w:tcPr>
          <w:p w14:paraId="5B47392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1</w:t>
            </w:r>
          </w:p>
        </w:tc>
        <w:tc>
          <w:tcPr>
            <w:tcW w:w="690" w:type="dxa"/>
            <w:vAlign w:val="center"/>
          </w:tcPr>
          <w:p w14:paraId="144CECE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台</w:t>
            </w:r>
          </w:p>
        </w:tc>
        <w:tc>
          <w:tcPr>
            <w:tcW w:w="825" w:type="dxa"/>
            <w:vAlign w:val="center"/>
          </w:tcPr>
          <w:p w14:paraId="7F8C86C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控制中心</w:t>
            </w:r>
          </w:p>
        </w:tc>
        <w:tc>
          <w:tcPr>
            <w:tcW w:w="1789" w:type="dxa"/>
            <w:vAlign w:val="center"/>
          </w:tcPr>
          <w:p w14:paraId="0382C2E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025BC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vAlign w:val="center"/>
          </w:tcPr>
          <w:p w14:paraId="3C3A78B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8.2</w:t>
            </w:r>
          </w:p>
        </w:tc>
        <w:tc>
          <w:tcPr>
            <w:tcW w:w="2708" w:type="dxa"/>
            <w:vAlign w:val="center"/>
          </w:tcPr>
          <w:p w14:paraId="70642229">
            <w:pPr>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szCs w:val="28"/>
                <w:highlight w:val="none"/>
              </w:rPr>
            </w:pPr>
            <w:r>
              <w:rPr>
                <w:rFonts w:hint="eastAsia" w:ascii="宋体" w:hAnsi="宋体" w:eastAsia="宋体" w:cs="宋体"/>
                <w:bCs/>
                <w:szCs w:val="28"/>
                <w:highlight w:val="none"/>
              </w:rPr>
              <w:t>板卡</w:t>
            </w:r>
          </w:p>
        </w:tc>
        <w:tc>
          <w:tcPr>
            <w:tcW w:w="900" w:type="dxa"/>
            <w:vAlign w:val="center"/>
          </w:tcPr>
          <w:p w14:paraId="1DD2603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宇视</w:t>
            </w:r>
          </w:p>
        </w:tc>
        <w:tc>
          <w:tcPr>
            <w:tcW w:w="1215" w:type="dxa"/>
            <w:vAlign w:val="center"/>
          </w:tcPr>
          <w:p w14:paraId="5A67461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FB-GC12500-E3@W</w:t>
            </w:r>
          </w:p>
        </w:tc>
        <w:tc>
          <w:tcPr>
            <w:tcW w:w="840" w:type="dxa"/>
            <w:vAlign w:val="center"/>
          </w:tcPr>
          <w:p w14:paraId="03FA11B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2</w:t>
            </w:r>
          </w:p>
        </w:tc>
        <w:tc>
          <w:tcPr>
            <w:tcW w:w="690" w:type="dxa"/>
            <w:vAlign w:val="center"/>
          </w:tcPr>
          <w:p w14:paraId="76BC07E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套</w:t>
            </w:r>
          </w:p>
        </w:tc>
        <w:tc>
          <w:tcPr>
            <w:tcW w:w="825" w:type="dxa"/>
            <w:vAlign w:val="center"/>
          </w:tcPr>
          <w:p w14:paraId="4EFF704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控制中心</w:t>
            </w:r>
          </w:p>
        </w:tc>
        <w:tc>
          <w:tcPr>
            <w:tcW w:w="1789" w:type="dxa"/>
            <w:vAlign w:val="center"/>
          </w:tcPr>
          <w:p w14:paraId="5DDCC6A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068AB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870" w:type="dxa"/>
            <w:vAlign w:val="center"/>
          </w:tcPr>
          <w:p w14:paraId="4D03E18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8.3</w:t>
            </w:r>
          </w:p>
        </w:tc>
        <w:tc>
          <w:tcPr>
            <w:tcW w:w="2708" w:type="dxa"/>
            <w:vAlign w:val="center"/>
          </w:tcPr>
          <w:p w14:paraId="195A9F8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转码服务器软件</w:t>
            </w:r>
          </w:p>
        </w:tc>
        <w:tc>
          <w:tcPr>
            <w:tcW w:w="900" w:type="dxa"/>
            <w:vAlign w:val="center"/>
          </w:tcPr>
          <w:p w14:paraId="75AF8DD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lang w:val="en-US" w:eastAsia="zh-CN"/>
              </w:rPr>
              <w:t>宇视</w:t>
            </w:r>
          </w:p>
        </w:tc>
        <w:tc>
          <w:tcPr>
            <w:tcW w:w="1215" w:type="dxa"/>
            <w:vAlign w:val="center"/>
          </w:tcPr>
          <w:p w14:paraId="5902995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SWP-Transcode Service 5.0</w:t>
            </w:r>
          </w:p>
        </w:tc>
        <w:tc>
          <w:tcPr>
            <w:tcW w:w="840" w:type="dxa"/>
            <w:vAlign w:val="center"/>
          </w:tcPr>
          <w:p w14:paraId="3158606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4</w:t>
            </w:r>
          </w:p>
        </w:tc>
        <w:tc>
          <w:tcPr>
            <w:tcW w:w="690" w:type="dxa"/>
            <w:shd w:val="clear" w:color="auto" w:fill="auto"/>
            <w:vAlign w:val="center"/>
          </w:tcPr>
          <w:p w14:paraId="28ED1D1F">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套</w:t>
            </w:r>
          </w:p>
        </w:tc>
        <w:tc>
          <w:tcPr>
            <w:tcW w:w="825" w:type="dxa"/>
            <w:shd w:val="clear" w:color="auto" w:fill="auto"/>
            <w:vAlign w:val="center"/>
          </w:tcPr>
          <w:p w14:paraId="4E352A72">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kern w:val="2"/>
                <w:sz w:val="21"/>
                <w:szCs w:val="28"/>
                <w:highlight w:val="none"/>
                <w:lang w:val="en-US" w:eastAsia="zh-CN" w:bidi="ar-SA"/>
              </w:rPr>
            </w:pPr>
            <w:r>
              <w:rPr>
                <w:rFonts w:hint="eastAsia" w:ascii="宋体" w:hAnsi="宋体" w:eastAsia="宋体" w:cs="宋体"/>
                <w:kern w:val="2"/>
                <w:sz w:val="21"/>
                <w:highlight w:val="none"/>
                <w:lang w:val="en-US" w:eastAsia="zh-CN"/>
              </w:rPr>
              <w:t>控制中心</w:t>
            </w:r>
          </w:p>
        </w:tc>
        <w:tc>
          <w:tcPr>
            <w:tcW w:w="1789" w:type="dxa"/>
            <w:vAlign w:val="center"/>
          </w:tcPr>
          <w:p w14:paraId="5AF7F7C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kern w:val="2"/>
                <w:sz w:val="21"/>
                <w:highlight w:val="none"/>
              </w:rPr>
            </w:pPr>
          </w:p>
        </w:tc>
      </w:tr>
      <w:tr w14:paraId="2C543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17EB043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9</w:t>
            </w:r>
          </w:p>
        </w:tc>
        <w:tc>
          <w:tcPr>
            <w:tcW w:w="2708" w:type="dxa"/>
            <w:shd w:val="clear" w:color="auto" w:fill="auto"/>
            <w:vAlign w:val="center"/>
          </w:tcPr>
          <w:p w14:paraId="796AFCE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ODF配线架（96芯）</w:t>
            </w:r>
          </w:p>
        </w:tc>
        <w:tc>
          <w:tcPr>
            <w:tcW w:w="900" w:type="dxa"/>
            <w:shd w:val="clear" w:color="auto" w:fill="auto"/>
            <w:vAlign w:val="center"/>
          </w:tcPr>
          <w:p w14:paraId="5035389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牧通</w:t>
            </w:r>
          </w:p>
        </w:tc>
        <w:tc>
          <w:tcPr>
            <w:tcW w:w="1215" w:type="dxa"/>
            <w:shd w:val="clear" w:color="auto" w:fill="auto"/>
            <w:vAlign w:val="center"/>
          </w:tcPr>
          <w:p w14:paraId="1E785E3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GPX01/A96</w:t>
            </w:r>
          </w:p>
        </w:tc>
        <w:tc>
          <w:tcPr>
            <w:tcW w:w="840" w:type="dxa"/>
            <w:shd w:val="clear" w:color="auto" w:fill="auto"/>
            <w:vAlign w:val="center"/>
          </w:tcPr>
          <w:p w14:paraId="011E9D2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w:t>
            </w:r>
          </w:p>
        </w:tc>
        <w:tc>
          <w:tcPr>
            <w:tcW w:w="690" w:type="dxa"/>
            <w:shd w:val="clear" w:color="auto" w:fill="auto"/>
            <w:vAlign w:val="center"/>
          </w:tcPr>
          <w:p w14:paraId="60A4520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架</w:t>
            </w:r>
          </w:p>
        </w:tc>
        <w:tc>
          <w:tcPr>
            <w:tcW w:w="825" w:type="dxa"/>
            <w:shd w:val="clear" w:color="auto" w:fill="auto"/>
            <w:vAlign w:val="center"/>
          </w:tcPr>
          <w:p w14:paraId="1DB64C5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控制中心</w:t>
            </w:r>
          </w:p>
        </w:tc>
        <w:tc>
          <w:tcPr>
            <w:tcW w:w="1789" w:type="dxa"/>
            <w:shd w:val="clear" w:color="auto" w:fill="auto"/>
            <w:vAlign w:val="center"/>
          </w:tcPr>
          <w:p w14:paraId="65C4C4C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31E80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9837" w:type="dxa"/>
            <w:gridSpan w:val="8"/>
            <w:shd w:val="clear" w:color="auto" w:fill="auto"/>
            <w:vAlign w:val="center"/>
          </w:tcPr>
          <w:p w14:paraId="31390AF3">
            <w:pPr>
              <w:pStyle w:val="34"/>
              <w:keepNext w:val="0"/>
              <w:keepLines w:val="0"/>
              <w:pageBreakBefore w:val="0"/>
              <w:kinsoku/>
              <w:wordWrap/>
              <w:overflowPunct/>
              <w:topLinePunct w:val="0"/>
              <w:autoSpaceDE/>
              <w:bidi w:val="0"/>
              <w:adjustRightInd/>
              <w:snapToGrid/>
              <w:spacing w:line="240" w:lineRule="auto"/>
              <w:jc w:val="left"/>
              <w:rPr>
                <w:rFonts w:hint="eastAsia" w:ascii="宋体" w:hAnsi="宋体" w:eastAsia="宋体" w:cs="宋体"/>
                <w:color w:val="auto"/>
                <w:kern w:val="2"/>
                <w:sz w:val="21"/>
                <w:highlight w:val="none"/>
              </w:rPr>
            </w:pPr>
            <w:r>
              <w:rPr>
                <w:rFonts w:hint="eastAsia" w:ascii="宋体" w:hAnsi="宋体" w:eastAsia="宋体" w:cs="宋体"/>
                <w:b/>
                <w:bCs w:val="0"/>
                <w:sz w:val="21"/>
                <w:szCs w:val="21"/>
                <w:highlight w:val="none"/>
                <w:lang w:val="en-US" w:eastAsia="zh-CN"/>
              </w:rPr>
              <w:t>四、</w:t>
            </w:r>
            <w:r>
              <w:rPr>
                <w:rFonts w:hint="eastAsia" w:ascii="宋体" w:hAnsi="宋体" w:eastAsia="宋体" w:cs="宋体"/>
                <w:b/>
                <w:bCs w:val="0"/>
                <w:sz w:val="21"/>
                <w:szCs w:val="21"/>
                <w:highlight w:val="none"/>
              </w:rPr>
              <w:t>公安/消防无线覆盖系统</w:t>
            </w:r>
          </w:p>
        </w:tc>
      </w:tr>
      <w:tr w14:paraId="7163B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0E412EF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w:t>
            </w:r>
          </w:p>
        </w:tc>
        <w:tc>
          <w:tcPr>
            <w:tcW w:w="2708" w:type="dxa"/>
            <w:shd w:val="clear" w:color="auto" w:fill="auto"/>
            <w:vAlign w:val="center"/>
          </w:tcPr>
          <w:p w14:paraId="6214BCF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固定台（含稳压电源、电台主机、高增益天线和安装架、相关材料等）</w:t>
            </w:r>
          </w:p>
        </w:tc>
        <w:tc>
          <w:tcPr>
            <w:tcW w:w="900" w:type="dxa"/>
            <w:shd w:val="clear" w:color="auto" w:fill="auto"/>
            <w:vAlign w:val="center"/>
          </w:tcPr>
          <w:p w14:paraId="22361D6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1215" w:type="dxa"/>
            <w:shd w:val="clear" w:color="auto" w:fill="auto"/>
            <w:vAlign w:val="center"/>
          </w:tcPr>
          <w:p w14:paraId="07765B5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840" w:type="dxa"/>
            <w:shd w:val="clear" w:color="auto" w:fill="auto"/>
            <w:vAlign w:val="center"/>
          </w:tcPr>
          <w:p w14:paraId="3662D7D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690" w:type="dxa"/>
            <w:shd w:val="clear" w:color="auto" w:fill="auto"/>
            <w:vAlign w:val="center"/>
          </w:tcPr>
          <w:p w14:paraId="27BF984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825" w:type="dxa"/>
            <w:shd w:val="clear" w:color="auto" w:fill="auto"/>
            <w:vAlign w:val="center"/>
          </w:tcPr>
          <w:p w14:paraId="1A7BD39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1789" w:type="dxa"/>
            <w:shd w:val="clear" w:color="auto" w:fill="auto"/>
            <w:vAlign w:val="center"/>
          </w:tcPr>
          <w:p w14:paraId="4E851B8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6B0E3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1D145A9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1.1</w:t>
            </w:r>
          </w:p>
        </w:tc>
        <w:tc>
          <w:tcPr>
            <w:tcW w:w="2708" w:type="dxa"/>
            <w:shd w:val="clear" w:color="auto" w:fill="auto"/>
            <w:vAlign w:val="center"/>
          </w:tcPr>
          <w:p w14:paraId="37C118E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固定台主机</w:t>
            </w:r>
          </w:p>
        </w:tc>
        <w:tc>
          <w:tcPr>
            <w:tcW w:w="900" w:type="dxa"/>
            <w:shd w:val="clear" w:color="auto" w:fill="auto"/>
            <w:vAlign w:val="center"/>
          </w:tcPr>
          <w:p w14:paraId="0893E68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海能达</w:t>
            </w:r>
          </w:p>
        </w:tc>
        <w:tc>
          <w:tcPr>
            <w:tcW w:w="1215" w:type="dxa"/>
            <w:shd w:val="clear" w:color="auto" w:fill="auto"/>
            <w:vAlign w:val="center"/>
          </w:tcPr>
          <w:p w14:paraId="2D6E458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MD780i</w:t>
            </w:r>
          </w:p>
        </w:tc>
        <w:tc>
          <w:tcPr>
            <w:tcW w:w="840" w:type="dxa"/>
            <w:shd w:val="clear" w:color="auto" w:fill="auto"/>
            <w:vAlign w:val="center"/>
          </w:tcPr>
          <w:p w14:paraId="4662D67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09441B7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套</w:t>
            </w:r>
          </w:p>
        </w:tc>
        <w:tc>
          <w:tcPr>
            <w:tcW w:w="825" w:type="dxa"/>
            <w:shd w:val="clear" w:color="auto" w:fill="auto"/>
            <w:vAlign w:val="center"/>
          </w:tcPr>
          <w:p w14:paraId="58A0F3B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2B84B71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4D58F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270A035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1.2</w:t>
            </w:r>
          </w:p>
        </w:tc>
        <w:tc>
          <w:tcPr>
            <w:tcW w:w="2708" w:type="dxa"/>
            <w:shd w:val="clear" w:color="auto" w:fill="auto"/>
            <w:vAlign w:val="center"/>
          </w:tcPr>
          <w:p w14:paraId="3F9CEF8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固定台电源</w:t>
            </w:r>
          </w:p>
        </w:tc>
        <w:tc>
          <w:tcPr>
            <w:tcW w:w="900" w:type="dxa"/>
            <w:shd w:val="clear" w:color="auto" w:fill="auto"/>
            <w:vAlign w:val="center"/>
          </w:tcPr>
          <w:p w14:paraId="3EBE033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海能达</w:t>
            </w:r>
          </w:p>
        </w:tc>
        <w:tc>
          <w:tcPr>
            <w:tcW w:w="1215" w:type="dxa"/>
            <w:shd w:val="clear" w:color="auto" w:fill="auto"/>
            <w:vAlign w:val="center"/>
          </w:tcPr>
          <w:p w14:paraId="69D298C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PS16001</w:t>
            </w:r>
          </w:p>
        </w:tc>
        <w:tc>
          <w:tcPr>
            <w:tcW w:w="840" w:type="dxa"/>
            <w:shd w:val="clear" w:color="auto" w:fill="auto"/>
            <w:vAlign w:val="center"/>
          </w:tcPr>
          <w:p w14:paraId="646099EA">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6AB37050">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套</w:t>
            </w:r>
          </w:p>
        </w:tc>
        <w:tc>
          <w:tcPr>
            <w:tcW w:w="825" w:type="dxa"/>
            <w:shd w:val="clear" w:color="auto" w:fill="auto"/>
            <w:vAlign w:val="center"/>
          </w:tcPr>
          <w:p w14:paraId="48034DB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4247B4A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216AB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5DC67F3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1.3</w:t>
            </w:r>
          </w:p>
        </w:tc>
        <w:tc>
          <w:tcPr>
            <w:tcW w:w="2708" w:type="dxa"/>
            <w:shd w:val="clear" w:color="auto" w:fill="auto"/>
            <w:vAlign w:val="center"/>
          </w:tcPr>
          <w:p w14:paraId="3C6D40D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固定台天线</w:t>
            </w:r>
          </w:p>
        </w:tc>
        <w:tc>
          <w:tcPr>
            <w:tcW w:w="900" w:type="dxa"/>
            <w:shd w:val="clear" w:color="auto" w:fill="auto"/>
            <w:vAlign w:val="center"/>
          </w:tcPr>
          <w:p w14:paraId="6CE6EC6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海能达</w:t>
            </w:r>
          </w:p>
        </w:tc>
        <w:tc>
          <w:tcPr>
            <w:tcW w:w="1215" w:type="dxa"/>
            <w:shd w:val="clear" w:color="auto" w:fill="auto"/>
            <w:vAlign w:val="center"/>
          </w:tcPr>
          <w:p w14:paraId="7CA2B3F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AN0358M12</w:t>
            </w:r>
          </w:p>
        </w:tc>
        <w:tc>
          <w:tcPr>
            <w:tcW w:w="840" w:type="dxa"/>
            <w:shd w:val="clear" w:color="auto" w:fill="auto"/>
            <w:vAlign w:val="center"/>
          </w:tcPr>
          <w:p w14:paraId="278F19B3">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75864DC3">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套</w:t>
            </w:r>
          </w:p>
        </w:tc>
        <w:tc>
          <w:tcPr>
            <w:tcW w:w="825" w:type="dxa"/>
            <w:shd w:val="clear" w:color="auto" w:fill="auto"/>
            <w:vAlign w:val="center"/>
          </w:tcPr>
          <w:p w14:paraId="04B34F2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4EFAF77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4CCD4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26D7F0E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1.4</w:t>
            </w:r>
          </w:p>
        </w:tc>
        <w:tc>
          <w:tcPr>
            <w:tcW w:w="2708" w:type="dxa"/>
            <w:shd w:val="clear" w:color="auto" w:fill="auto"/>
            <w:vAlign w:val="center"/>
          </w:tcPr>
          <w:p w14:paraId="7A74559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射频转接头</w:t>
            </w:r>
          </w:p>
        </w:tc>
        <w:tc>
          <w:tcPr>
            <w:tcW w:w="900" w:type="dxa"/>
            <w:shd w:val="clear" w:color="auto" w:fill="auto"/>
            <w:vAlign w:val="center"/>
          </w:tcPr>
          <w:p w14:paraId="22661F6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海能达</w:t>
            </w:r>
          </w:p>
        </w:tc>
        <w:tc>
          <w:tcPr>
            <w:tcW w:w="1215" w:type="dxa"/>
            <w:shd w:val="clear" w:color="auto" w:fill="auto"/>
            <w:vAlign w:val="center"/>
          </w:tcPr>
          <w:p w14:paraId="4F21263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BNC/UHF-KJ</w:t>
            </w:r>
          </w:p>
        </w:tc>
        <w:tc>
          <w:tcPr>
            <w:tcW w:w="840" w:type="dxa"/>
            <w:shd w:val="clear" w:color="auto" w:fill="auto"/>
            <w:vAlign w:val="center"/>
          </w:tcPr>
          <w:p w14:paraId="6E42842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48DE9F0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个</w:t>
            </w:r>
          </w:p>
        </w:tc>
        <w:tc>
          <w:tcPr>
            <w:tcW w:w="825" w:type="dxa"/>
            <w:shd w:val="clear" w:color="auto" w:fill="auto"/>
            <w:vAlign w:val="center"/>
          </w:tcPr>
          <w:p w14:paraId="75F2B7D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19B9072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52CD1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56FF378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1.5</w:t>
            </w:r>
          </w:p>
        </w:tc>
        <w:tc>
          <w:tcPr>
            <w:tcW w:w="2708" w:type="dxa"/>
            <w:shd w:val="clear" w:color="auto" w:fill="auto"/>
            <w:vAlign w:val="center"/>
          </w:tcPr>
          <w:p w14:paraId="21B2A96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TF加密卡</w:t>
            </w:r>
          </w:p>
        </w:tc>
        <w:tc>
          <w:tcPr>
            <w:tcW w:w="900" w:type="dxa"/>
            <w:shd w:val="clear" w:color="auto" w:fill="auto"/>
            <w:vAlign w:val="center"/>
          </w:tcPr>
          <w:p w14:paraId="549D533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北京迅安</w:t>
            </w:r>
          </w:p>
        </w:tc>
        <w:tc>
          <w:tcPr>
            <w:tcW w:w="1215" w:type="dxa"/>
            <w:shd w:val="clear" w:color="auto" w:fill="auto"/>
            <w:vAlign w:val="center"/>
          </w:tcPr>
          <w:p w14:paraId="62A5727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XAJM-ZDTF</w:t>
            </w:r>
          </w:p>
        </w:tc>
        <w:tc>
          <w:tcPr>
            <w:tcW w:w="840" w:type="dxa"/>
            <w:shd w:val="clear" w:color="auto" w:fill="auto"/>
            <w:vAlign w:val="center"/>
          </w:tcPr>
          <w:p w14:paraId="560D510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3993300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张</w:t>
            </w:r>
          </w:p>
        </w:tc>
        <w:tc>
          <w:tcPr>
            <w:tcW w:w="825" w:type="dxa"/>
            <w:shd w:val="clear" w:color="auto" w:fill="auto"/>
            <w:vAlign w:val="center"/>
          </w:tcPr>
          <w:p w14:paraId="1356A36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468F002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7F04C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620CD83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w:t>
            </w:r>
          </w:p>
        </w:tc>
        <w:tc>
          <w:tcPr>
            <w:tcW w:w="2708" w:type="dxa"/>
            <w:shd w:val="clear" w:color="auto" w:fill="auto"/>
            <w:vAlign w:val="center"/>
          </w:tcPr>
          <w:p w14:paraId="33EA9A4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PDT数字基站（含4个PDT数字集群载频）</w:t>
            </w:r>
          </w:p>
        </w:tc>
        <w:tc>
          <w:tcPr>
            <w:tcW w:w="900" w:type="dxa"/>
            <w:shd w:val="clear" w:color="auto" w:fill="auto"/>
            <w:vAlign w:val="center"/>
          </w:tcPr>
          <w:p w14:paraId="701D7F1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1215" w:type="dxa"/>
            <w:shd w:val="clear" w:color="auto" w:fill="auto"/>
            <w:vAlign w:val="center"/>
          </w:tcPr>
          <w:p w14:paraId="1734368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840" w:type="dxa"/>
            <w:shd w:val="clear" w:color="auto" w:fill="auto"/>
            <w:vAlign w:val="center"/>
          </w:tcPr>
          <w:p w14:paraId="3CCF468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690" w:type="dxa"/>
            <w:shd w:val="clear" w:color="auto" w:fill="auto"/>
            <w:vAlign w:val="center"/>
          </w:tcPr>
          <w:p w14:paraId="153D27C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825" w:type="dxa"/>
            <w:shd w:val="clear" w:color="auto" w:fill="auto"/>
            <w:vAlign w:val="center"/>
          </w:tcPr>
          <w:p w14:paraId="1088F8F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1789" w:type="dxa"/>
            <w:shd w:val="clear" w:color="auto" w:fill="auto"/>
            <w:vAlign w:val="center"/>
          </w:tcPr>
          <w:p w14:paraId="7C4A0B1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31CCA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4DAEA86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2.1</w:t>
            </w:r>
          </w:p>
        </w:tc>
        <w:tc>
          <w:tcPr>
            <w:tcW w:w="2708" w:type="dxa"/>
            <w:shd w:val="clear" w:color="auto" w:fill="auto"/>
            <w:vAlign w:val="center"/>
          </w:tcPr>
          <w:p w14:paraId="2B99BCE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基站控制器</w:t>
            </w:r>
          </w:p>
        </w:tc>
        <w:tc>
          <w:tcPr>
            <w:tcW w:w="900" w:type="dxa"/>
            <w:shd w:val="clear" w:color="auto" w:fill="auto"/>
            <w:vAlign w:val="center"/>
          </w:tcPr>
          <w:p w14:paraId="398D553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海能达</w:t>
            </w:r>
          </w:p>
        </w:tc>
        <w:tc>
          <w:tcPr>
            <w:tcW w:w="1215" w:type="dxa"/>
            <w:shd w:val="clear" w:color="auto" w:fill="auto"/>
            <w:vAlign w:val="center"/>
          </w:tcPr>
          <w:p w14:paraId="0FB52D9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BSC-P1B00</w:t>
            </w:r>
          </w:p>
        </w:tc>
        <w:tc>
          <w:tcPr>
            <w:tcW w:w="840" w:type="dxa"/>
            <w:shd w:val="clear" w:color="auto" w:fill="auto"/>
            <w:vAlign w:val="center"/>
          </w:tcPr>
          <w:p w14:paraId="674C0EE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3EA443B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块</w:t>
            </w:r>
          </w:p>
        </w:tc>
        <w:tc>
          <w:tcPr>
            <w:tcW w:w="825" w:type="dxa"/>
            <w:shd w:val="clear" w:color="auto" w:fill="auto"/>
            <w:vAlign w:val="center"/>
          </w:tcPr>
          <w:p w14:paraId="2009C37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274C0B4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17443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1ADFE49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2.2</w:t>
            </w:r>
          </w:p>
        </w:tc>
        <w:tc>
          <w:tcPr>
            <w:tcW w:w="2708" w:type="dxa"/>
            <w:shd w:val="clear" w:color="auto" w:fill="auto"/>
            <w:vAlign w:val="center"/>
          </w:tcPr>
          <w:p w14:paraId="35D6481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BSCU基站控制软件</w:t>
            </w:r>
          </w:p>
        </w:tc>
        <w:tc>
          <w:tcPr>
            <w:tcW w:w="900" w:type="dxa"/>
            <w:shd w:val="clear" w:color="auto" w:fill="auto"/>
            <w:vAlign w:val="center"/>
          </w:tcPr>
          <w:p w14:paraId="456CB21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海能达</w:t>
            </w:r>
          </w:p>
        </w:tc>
        <w:tc>
          <w:tcPr>
            <w:tcW w:w="1215" w:type="dxa"/>
            <w:shd w:val="clear" w:color="auto" w:fill="auto"/>
            <w:vAlign w:val="center"/>
          </w:tcPr>
          <w:p w14:paraId="0FEBF53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BSC624-A</w:t>
            </w:r>
          </w:p>
        </w:tc>
        <w:tc>
          <w:tcPr>
            <w:tcW w:w="840" w:type="dxa"/>
            <w:shd w:val="clear" w:color="auto" w:fill="auto"/>
            <w:vAlign w:val="center"/>
          </w:tcPr>
          <w:p w14:paraId="661F674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3FEAF9B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套</w:t>
            </w:r>
          </w:p>
        </w:tc>
        <w:tc>
          <w:tcPr>
            <w:tcW w:w="825" w:type="dxa"/>
            <w:shd w:val="clear" w:color="auto" w:fill="auto"/>
            <w:vAlign w:val="center"/>
          </w:tcPr>
          <w:p w14:paraId="0AE6682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6DBE50E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46115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463E256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2.3</w:t>
            </w:r>
          </w:p>
        </w:tc>
        <w:tc>
          <w:tcPr>
            <w:tcW w:w="2708" w:type="dxa"/>
            <w:shd w:val="clear" w:color="auto" w:fill="auto"/>
            <w:vAlign w:val="center"/>
          </w:tcPr>
          <w:p w14:paraId="1960BD6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信道机</w:t>
            </w:r>
          </w:p>
        </w:tc>
        <w:tc>
          <w:tcPr>
            <w:tcW w:w="900" w:type="dxa"/>
            <w:shd w:val="clear" w:color="auto" w:fill="auto"/>
            <w:vAlign w:val="center"/>
          </w:tcPr>
          <w:p w14:paraId="21AAA35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海能达</w:t>
            </w:r>
          </w:p>
        </w:tc>
        <w:tc>
          <w:tcPr>
            <w:tcW w:w="1215" w:type="dxa"/>
            <w:shd w:val="clear" w:color="auto" w:fill="auto"/>
            <w:vAlign w:val="center"/>
          </w:tcPr>
          <w:p w14:paraId="5ECBA5E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CHU621U3</w:t>
            </w:r>
          </w:p>
        </w:tc>
        <w:tc>
          <w:tcPr>
            <w:tcW w:w="840" w:type="dxa"/>
            <w:shd w:val="clear" w:color="auto" w:fill="auto"/>
            <w:vAlign w:val="center"/>
          </w:tcPr>
          <w:p w14:paraId="630D8E5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112</w:t>
            </w:r>
          </w:p>
        </w:tc>
        <w:tc>
          <w:tcPr>
            <w:tcW w:w="690" w:type="dxa"/>
            <w:shd w:val="clear" w:color="auto" w:fill="auto"/>
            <w:vAlign w:val="center"/>
          </w:tcPr>
          <w:p w14:paraId="65F2971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台</w:t>
            </w:r>
          </w:p>
        </w:tc>
        <w:tc>
          <w:tcPr>
            <w:tcW w:w="825" w:type="dxa"/>
            <w:shd w:val="clear" w:color="auto" w:fill="auto"/>
            <w:vAlign w:val="center"/>
          </w:tcPr>
          <w:p w14:paraId="7711F1E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779187C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57D67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31127F5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2.4</w:t>
            </w:r>
          </w:p>
        </w:tc>
        <w:tc>
          <w:tcPr>
            <w:tcW w:w="2708" w:type="dxa"/>
            <w:shd w:val="clear" w:color="auto" w:fill="auto"/>
            <w:vAlign w:val="center"/>
          </w:tcPr>
          <w:p w14:paraId="3F97ED1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信道单元插箱（（3个走线架，支持电源备份）</w:t>
            </w:r>
          </w:p>
        </w:tc>
        <w:tc>
          <w:tcPr>
            <w:tcW w:w="900" w:type="dxa"/>
            <w:shd w:val="clear" w:color="auto" w:fill="auto"/>
            <w:vAlign w:val="center"/>
          </w:tcPr>
          <w:p w14:paraId="0845C7A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海能达</w:t>
            </w:r>
          </w:p>
        </w:tc>
        <w:tc>
          <w:tcPr>
            <w:tcW w:w="1215" w:type="dxa"/>
            <w:shd w:val="clear" w:color="auto" w:fill="auto"/>
            <w:vAlign w:val="center"/>
          </w:tcPr>
          <w:p w14:paraId="2BFD83B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CAS-P1201</w:t>
            </w:r>
          </w:p>
        </w:tc>
        <w:tc>
          <w:tcPr>
            <w:tcW w:w="840" w:type="dxa"/>
            <w:shd w:val="clear" w:color="auto" w:fill="auto"/>
            <w:vAlign w:val="center"/>
          </w:tcPr>
          <w:p w14:paraId="4C9EACF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7317064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台</w:t>
            </w:r>
          </w:p>
        </w:tc>
        <w:tc>
          <w:tcPr>
            <w:tcW w:w="825" w:type="dxa"/>
            <w:shd w:val="clear" w:color="auto" w:fill="auto"/>
            <w:vAlign w:val="center"/>
          </w:tcPr>
          <w:p w14:paraId="10790C5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6CADD05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5E693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1045CB1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2.5</w:t>
            </w:r>
          </w:p>
        </w:tc>
        <w:tc>
          <w:tcPr>
            <w:tcW w:w="2708" w:type="dxa"/>
            <w:shd w:val="clear" w:color="auto" w:fill="auto"/>
            <w:vAlign w:val="center"/>
          </w:tcPr>
          <w:p w14:paraId="4E9886F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PSU热备供电单元(AC)</w:t>
            </w:r>
          </w:p>
        </w:tc>
        <w:tc>
          <w:tcPr>
            <w:tcW w:w="900" w:type="dxa"/>
            <w:shd w:val="clear" w:color="auto" w:fill="auto"/>
            <w:vAlign w:val="center"/>
          </w:tcPr>
          <w:p w14:paraId="630F5EA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海能达</w:t>
            </w:r>
          </w:p>
        </w:tc>
        <w:tc>
          <w:tcPr>
            <w:tcW w:w="1215" w:type="dxa"/>
            <w:shd w:val="clear" w:color="auto" w:fill="auto"/>
            <w:vAlign w:val="center"/>
          </w:tcPr>
          <w:p w14:paraId="3EBEDA2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PSU-PAA100</w:t>
            </w:r>
          </w:p>
        </w:tc>
        <w:tc>
          <w:tcPr>
            <w:tcW w:w="840" w:type="dxa"/>
            <w:shd w:val="clear" w:color="auto" w:fill="auto"/>
            <w:vAlign w:val="center"/>
          </w:tcPr>
          <w:p w14:paraId="796CE6E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56</w:t>
            </w:r>
          </w:p>
        </w:tc>
        <w:tc>
          <w:tcPr>
            <w:tcW w:w="690" w:type="dxa"/>
            <w:shd w:val="clear" w:color="auto" w:fill="auto"/>
            <w:vAlign w:val="center"/>
          </w:tcPr>
          <w:p w14:paraId="3D091C8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块</w:t>
            </w:r>
          </w:p>
        </w:tc>
        <w:tc>
          <w:tcPr>
            <w:tcW w:w="825" w:type="dxa"/>
            <w:shd w:val="clear" w:color="auto" w:fill="auto"/>
            <w:vAlign w:val="center"/>
          </w:tcPr>
          <w:p w14:paraId="118790D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5758F03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58C7B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68D20D9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2.6</w:t>
            </w:r>
          </w:p>
        </w:tc>
        <w:tc>
          <w:tcPr>
            <w:tcW w:w="2708" w:type="dxa"/>
            <w:shd w:val="clear" w:color="auto" w:fill="auto"/>
            <w:vAlign w:val="center"/>
          </w:tcPr>
          <w:p w14:paraId="7157A4D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FAN风扇单元</w:t>
            </w:r>
          </w:p>
        </w:tc>
        <w:tc>
          <w:tcPr>
            <w:tcW w:w="900" w:type="dxa"/>
            <w:shd w:val="clear" w:color="auto" w:fill="auto"/>
            <w:vAlign w:val="center"/>
          </w:tcPr>
          <w:p w14:paraId="5FC3728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海能达</w:t>
            </w:r>
          </w:p>
        </w:tc>
        <w:tc>
          <w:tcPr>
            <w:tcW w:w="1215" w:type="dxa"/>
            <w:shd w:val="clear" w:color="auto" w:fill="auto"/>
            <w:vAlign w:val="center"/>
          </w:tcPr>
          <w:p w14:paraId="0353118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FAN-P1101</w:t>
            </w:r>
          </w:p>
        </w:tc>
        <w:tc>
          <w:tcPr>
            <w:tcW w:w="840" w:type="dxa"/>
            <w:shd w:val="clear" w:color="auto" w:fill="auto"/>
            <w:vAlign w:val="center"/>
          </w:tcPr>
          <w:p w14:paraId="51F8B3A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1FC7297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组</w:t>
            </w:r>
          </w:p>
        </w:tc>
        <w:tc>
          <w:tcPr>
            <w:tcW w:w="825" w:type="dxa"/>
            <w:shd w:val="clear" w:color="auto" w:fill="auto"/>
            <w:vAlign w:val="center"/>
          </w:tcPr>
          <w:p w14:paraId="42047C8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7ABB595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0B455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43C57CD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2.7</w:t>
            </w:r>
          </w:p>
        </w:tc>
        <w:tc>
          <w:tcPr>
            <w:tcW w:w="2708" w:type="dxa"/>
            <w:shd w:val="clear" w:color="auto" w:fill="auto"/>
            <w:vAlign w:val="center"/>
          </w:tcPr>
          <w:p w14:paraId="3693CB1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四信道射频分配系统</w:t>
            </w:r>
          </w:p>
        </w:tc>
        <w:tc>
          <w:tcPr>
            <w:tcW w:w="900" w:type="dxa"/>
            <w:shd w:val="clear" w:color="auto" w:fill="auto"/>
            <w:vAlign w:val="center"/>
          </w:tcPr>
          <w:p w14:paraId="3C731B0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海能达</w:t>
            </w:r>
          </w:p>
        </w:tc>
        <w:tc>
          <w:tcPr>
            <w:tcW w:w="1215" w:type="dxa"/>
            <w:shd w:val="clear" w:color="auto" w:fill="auto"/>
            <w:vAlign w:val="center"/>
          </w:tcPr>
          <w:p w14:paraId="671D62F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RFDS-PA6400</w:t>
            </w:r>
          </w:p>
        </w:tc>
        <w:tc>
          <w:tcPr>
            <w:tcW w:w="840" w:type="dxa"/>
            <w:shd w:val="clear" w:color="auto" w:fill="auto"/>
            <w:vAlign w:val="center"/>
          </w:tcPr>
          <w:p w14:paraId="61D388F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3E80568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台</w:t>
            </w:r>
          </w:p>
        </w:tc>
        <w:tc>
          <w:tcPr>
            <w:tcW w:w="825" w:type="dxa"/>
            <w:shd w:val="clear" w:color="auto" w:fill="auto"/>
            <w:vAlign w:val="center"/>
          </w:tcPr>
          <w:p w14:paraId="6BEC285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3B997F7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03268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2119E94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2708" w:type="dxa"/>
            <w:shd w:val="clear" w:color="auto" w:fill="auto"/>
            <w:vAlign w:val="center"/>
          </w:tcPr>
          <w:p w14:paraId="44FB841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线材包</w:t>
            </w:r>
          </w:p>
        </w:tc>
        <w:tc>
          <w:tcPr>
            <w:tcW w:w="900" w:type="dxa"/>
            <w:shd w:val="clear" w:color="auto" w:fill="auto"/>
            <w:vAlign w:val="center"/>
          </w:tcPr>
          <w:p w14:paraId="646D416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海能达</w:t>
            </w:r>
          </w:p>
        </w:tc>
        <w:tc>
          <w:tcPr>
            <w:tcW w:w="1215" w:type="dxa"/>
            <w:shd w:val="clear" w:color="auto" w:fill="auto"/>
            <w:vAlign w:val="center"/>
          </w:tcPr>
          <w:p w14:paraId="262319D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DS6210-4</w:t>
            </w:r>
          </w:p>
        </w:tc>
        <w:tc>
          <w:tcPr>
            <w:tcW w:w="840" w:type="dxa"/>
            <w:shd w:val="clear" w:color="auto" w:fill="auto"/>
            <w:vAlign w:val="center"/>
          </w:tcPr>
          <w:p w14:paraId="60CB54C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358D421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套</w:t>
            </w:r>
          </w:p>
        </w:tc>
        <w:tc>
          <w:tcPr>
            <w:tcW w:w="825" w:type="dxa"/>
            <w:shd w:val="clear" w:color="auto" w:fill="auto"/>
            <w:vAlign w:val="center"/>
          </w:tcPr>
          <w:p w14:paraId="6084251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195733A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0CE12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29E0F40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w:t>
            </w:r>
          </w:p>
        </w:tc>
        <w:tc>
          <w:tcPr>
            <w:tcW w:w="2708" w:type="dxa"/>
            <w:shd w:val="clear" w:color="auto" w:fill="auto"/>
            <w:vAlign w:val="center"/>
          </w:tcPr>
          <w:p w14:paraId="67A5EE7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以太网交换机</w:t>
            </w:r>
          </w:p>
        </w:tc>
        <w:tc>
          <w:tcPr>
            <w:tcW w:w="900" w:type="dxa"/>
            <w:shd w:val="clear" w:color="auto" w:fill="auto"/>
            <w:vAlign w:val="center"/>
          </w:tcPr>
          <w:p w14:paraId="640E396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1215" w:type="dxa"/>
            <w:shd w:val="clear" w:color="auto" w:fill="auto"/>
            <w:vAlign w:val="center"/>
          </w:tcPr>
          <w:p w14:paraId="3714A76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840" w:type="dxa"/>
            <w:shd w:val="clear" w:color="auto" w:fill="auto"/>
            <w:vAlign w:val="center"/>
          </w:tcPr>
          <w:p w14:paraId="20460B0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690" w:type="dxa"/>
            <w:shd w:val="clear" w:color="auto" w:fill="auto"/>
            <w:vAlign w:val="center"/>
          </w:tcPr>
          <w:p w14:paraId="6C1CBF2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825" w:type="dxa"/>
            <w:shd w:val="clear" w:color="auto" w:fill="auto"/>
            <w:vAlign w:val="center"/>
          </w:tcPr>
          <w:p w14:paraId="532DC3D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1789" w:type="dxa"/>
            <w:shd w:val="clear" w:color="auto" w:fill="auto"/>
            <w:vAlign w:val="center"/>
          </w:tcPr>
          <w:p w14:paraId="39CF525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05B19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6F7F5DC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3.1</w:t>
            </w:r>
          </w:p>
        </w:tc>
        <w:tc>
          <w:tcPr>
            <w:tcW w:w="2708" w:type="dxa"/>
            <w:shd w:val="clear" w:color="auto" w:fill="auto"/>
            <w:vAlign w:val="center"/>
          </w:tcPr>
          <w:p w14:paraId="4D0318F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H3C S7503E-M以太网交换机主机</w:t>
            </w:r>
          </w:p>
        </w:tc>
        <w:tc>
          <w:tcPr>
            <w:tcW w:w="900" w:type="dxa"/>
            <w:shd w:val="clear" w:color="auto" w:fill="auto"/>
            <w:vAlign w:val="center"/>
          </w:tcPr>
          <w:p w14:paraId="7AD0BB1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华三</w:t>
            </w:r>
          </w:p>
        </w:tc>
        <w:tc>
          <w:tcPr>
            <w:tcW w:w="1215" w:type="dxa"/>
            <w:shd w:val="clear" w:color="auto" w:fill="auto"/>
            <w:vAlign w:val="center"/>
          </w:tcPr>
          <w:p w14:paraId="5CA37DE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LS-7503E-M</w:t>
            </w:r>
          </w:p>
        </w:tc>
        <w:tc>
          <w:tcPr>
            <w:tcW w:w="840" w:type="dxa"/>
            <w:shd w:val="clear" w:color="auto" w:fill="auto"/>
            <w:vAlign w:val="center"/>
          </w:tcPr>
          <w:p w14:paraId="2F9A948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10DBD74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台</w:t>
            </w:r>
          </w:p>
        </w:tc>
        <w:tc>
          <w:tcPr>
            <w:tcW w:w="825" w:type="dxa"/>
            <w:shd w:val="clear" w:color="auto" w:fill="auto"/>
            <w:vAlign w:val="center"/>
          </w:tcPr>
          <w:p w14:paraId="2877FB8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424B9C7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624BF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01A40B3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3.2</w:t>
            </w:r>
          </w:p>
        </w:tc>
        <w:tc>
          <w:tcPr>
            <w:tcW w:w="2708" w:type="dxa"/>
            <w:shd w:val="clear" w:color="auto" w:fill="auto"/>
            <w:vAlign w:val="center"/>
          </w:tcPr>
          <w:p w14:paraId="283779D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H3C S7503E-M交换路由引擎模块,24端口千兆以太网电接口(RJ45)+4端口万兆以太网光接口(SFP+,LC)(SC)</w:t>
            </w:r>
          </w:p>
        </w:tc>
        <w:tc>
          <w:tcPr>
            <w:tcW w:w="900" w:type="dxa"/>
            <w:shd w:val="clear" w:color="auto" w:fill="auto"/>
            <w:vAlign w:val="center"/>
          </w:tcPr>
          <w:p w14:paraId="124FAED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华三</w:t>
            </w:r>
          </w:p>
        </w:tc>
        <w:tc>
          <w:tcPr>
            <w:tcW w:w="1215" w:type="dxa"/>
            <w:shd w:val="clear" w:color="auto" w:fill="auto"/>
            <w:vAlign w:val="center"/>
          </w:tcPr>
          <w:p w14:paraId="63083C5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LSQM1CGT24TSSC0</w:t>
            </w:r>
          </w:p>
        </w:tc>
        <w:tc>
          <w:tcPr>
            <w:tcW w:w="840" w:type="dxa"/>
            <w:shd w:val="clear" w:color="auto" w:fill="auto"/>
            <w:vAlign w:val="center"/>
          </w:tcPr>
          <w:p w14:paraId="59494F9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4FACB13F">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台</w:t>
            </w:r>
          </w:p>
        </w:tc>
        <w:tc>
          <w:tcPr>
            <w:tcW w:w="825" w:type="dxa"/>
            <w:shd w:val="clear" w:color="auto" w:fill="auto"/>
            <w:vAlign w:val="center"/>
          </w:tcPr>
          <w:p w14:paraId="77299125">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12EB586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33E6D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02DF39F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3.3</w:t>
            </w:r>
          </w:p>
        </w:tc>
        <w:tc>
          <w:tcPr>
            <w:tcW w:w="2708" w:type="dxa"/>
            <w:shd w:val="clear" w:color="auto" w:fill="auto"/>
            <w:vAlign w:val="center"/>
          </w:tcPr>
          <w:p w14:paraId="3328393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交流电源模块,300W</w:t>
            </w:r>
          </w:p>
        </w:tc>
        <w:tc>
          <w:tcPr>
            <w:tcW w:w="900" w:type="dxa"/>
            <w:shd w:val="clear" w:color="auto" w:fill="auto"/>
            <w:vAlign w:val="center"/>
          </w:tcPr>
          <w:p w14:paraId="3F3F642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华三</w:t>
            </w:r>
          </w:p>
        </w:tc>
        <w:tc>
          <w:tcPr>
            <w:tcW w:w="1215" w:type="dxa"/>
            <w:shd w:val="clear" w:color="auto" w:fill="auto"/>
            <w:vAlign w:val="center"/>
          </w:tcPr>
          <w:p w14:paraId="54F2B7A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LSQM1AC300</w:t>
            </w:r>
          </w:p>
        </w:tc>
        <w:tc>
          <w:tcPr>
            <w:tcW w:w="840" w:type="dxa"/>
            <w:shd w:val="clear" w:color="auto" w:fill="auto"/>
            <w:vAlign w:val="center"/>
          </w:tcPr>
          <w:p w14:paraId="14B8C37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56</w:t>
            </w:r>
          </w:p>
        </w:tc>
        <w:tc>
          <w:tcPr>
            <w:tcW w:w="690" w:type="dxa"/>
            <w:shd w:val="clear" w:color="auto" w:fill="auto"/>
            <w:vAlign w:val="center"/>
          </w:tcPr>
          <w:p w14:paraId="7CC1967B">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台</w:t>
            </w:r>
          </w:p>
        </w:tc>
        <w:tc>
          <w:tcPr>
            <w:tcW w:w="825" w:type="dxa"/>
            <w:shd w:val="clear" w:color="auto" w:fill="auto"/>
            <w:vAlign w:val="center"/>
          </w:tcPr>
          <w:p w14:paraId="76AF2628">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33DD5BD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5579B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5011088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w:t>
            </w:r>
          </w:p>
        </w:tc>
        <w:tc>
          <w:tcPr>
            <w:tcW w:w="2708" w:type="dxa"/>
            <w:shd w:val="clear" w:color="auto" w:fill="auto"/>
            <w:vAlign w:val="center"/>
          </w:tcPr>
          <w:p w14:paraId="329F842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光模块-SFP-GE-单模模块-(1310nm,10km,LC)</w:t>
            </w:r>
          </w:p>
        </w:tc>
        <w:tc>
          <w:tcPr>
            <w:tcW w:w="900" w:type="dxa"/>
            <w:shd w:val="clear" w:color="auto" w:fill="auto"/>
            <w:vAlign w:val="center"/>
          </w:tcPr>
          <w:p w14:paraId="7C009E0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华三</w:t>
            </w:r>
          </w:p>
        </w:tc>
        <w:tc>
          <w:tcPr>
            <w:tcW w:w="1215" w:type="dxa"/>
            <w:shd w:val="clear" w:color="auto" w:fill="auto"/>
            <w:vAlign w:val="center"/>
          </w:tcPr>
          <w:p w14:paraId="118B99E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SFP-GE-LX-SM1310-D</w:t>
            </w:r>
          </w:p>
        </w:tc>
        <w:tc>
          <w:tcPr>
            <w:tcW w:w="840" w:type="dxa"/>
            <w:shd w:val="clear" w:color="auto" w:fill="auto"/>
            <w:vAlign w:val="center"/>
          </w:tcPr>
          <w:p w14:paraId="0FA4798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112</w:t>
            </w:r>
          </w:p>
        </w:tc>
        <w:tc>
          <w:tcPr>
            <w:tcW w:w="690" w:type="dxa"/>
            <w:shd w:val="clear" w:color="auto" w:fill="auto"/>
            <w:vAlign w:val="center"/>
          </w:tcPr>
          <w:p w14:paraId="491D3A65">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台</w:t>
            </w:r>
          </w:p>
        </w:tc>
        <w:tc>
          <w:tcPr>
            <w:tcW w:w="825" w:type="dxa"/>
            <w:shd w:val="clear" w:color="auto" w:fill="auto"/>
            <w:vAlign w:val="center"/>
          </w:tcPr>
          <w:p w14:paraId="355B4E44">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226361D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0BFAE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55D9A50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4</w:t>
            </w:r>
          </w:p>
        </w:tc>
        <w:tc>
          <w:tcPr>
            <w:tcW w:w="2708" w:type="dxa"/>
            <w:shd w:val="clear" w:color="auto" w:fill="auto"/>
            <w:vAlign w:val="center"/>
          </w:tcPr>
          <w:p w14:paraId="5E9689F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光纤直放站（1近2远）</w:t>
            </w:r>
          </w:p>
        </w:tc>
        <w:tc>
          <w:tcPr>
            <w:tcW w:w="900" w:type="dxa"/>
            <w:shd w:val="clear" w:color="auto" w:fill="auto"/>
            <w:vAlign w:val="center"/>
          </w:tcPr>
          <w:p w14:paraId="7DD0BF2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1215" w:type="dxa"/>
            <w:shd w:val="clear" w:color="auto" w:fill="auto"/>
            <w:vAlign w:val="center"/>
          </w:tcPr>
          <w:p w14:paraId="796523F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840" w:type="dxa"/>
            <w:shd w:val="clear" w:color="auto" w:fill="auto"/>
            <w:vAlign w:val="center"/>
          </w:tcPr>
          <w:p w14:paraId="7195F9F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690" w:type="dxa"/>
            <w:shd w:val="clear" w:color="auto" w:fill="auto"/>
            <w:vAlign w:val="center"/>
          </w:tcPr>
          <w:p w14:paraId="0094BEB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825" w:type="dxa"/>
            <w:shd w:val="clear" w:color="auto" w:fill="auto"/>
            <w:vAlign w:val="center"/>
          </w:tcPr>
          <w:p w14:paraId="233C4FE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1789" w:type="dxa"/>
            <w:shd w:val="clear" w:color="auto" w:fill="auto"/>
            <w:vAlign w:val="center"/>
          </w:tcPr>
          <w:p w14:paraId="52306DB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1AD5A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4A76BEB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4.1</w:t>
            </w:r>
          </w:p>
        </w:tc>
        <w:tc>
          <w:tcPr>
            <w:tcW w:w="2708" w:type="dxa"/>
            <w:shd w:val="clear" w:color="auto" w:fill="auto"/>
            <w:vAlign w:val="center"/>
          </w:tcPr>
          <w:p w14:paraId="614D5C7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光纤直放站近端机</w:t>
            </w:r>
          </w:p>
        </w:tc>
        <w:tc>
          <w:tcPr>
            <w:tcW w:w="900" w:type="dxa"/>
            <w:shd w:val="clear" w:color="auto" w:fill="auto"/>
            <w:vAlign w:val="center"/>
          </w:tcPr>
          <w:p w14:paraId="47BF9DD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京信</w:t>
            </w:r>
          </w:p>
        </w:tc>
        <w:tc>
          <w:tcPr>
            <w:tcW w:w="1215" w:type="dxa"/>
            <w:shd w:val="clear" w:color="auto" w:fill="auto"/>
            <w:vAlign w:val="center"/>
          </w:tcPr>
          <w:p w14:paraId="7788FA1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RA-5087GF-L,S2</w:t>
            </w:r>
          </w:p>
        </w:tc>
        <w:tc>
          <w:tcPr>
            <w:tcW w:w="840" w:type="dxa"/>
            <w:shd w:val="clear" w:color="auto" w:fill="auto"/>
            <w:vAlign w:val="center"/>
          </w:tcPr>
          <w:p w14:paraId="4C2A496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4</w:t>
            </w:r>
          </w:p>
        </w:tc>
        <w:tc>
          <w:tcPr>
            <w:tcW w:w="690" w:type="dxa"/>
            <w:shd w:val="clear" w:color="auto" w:fill="auto"/>
            <w:vAlign w:val="center"/>
          </w:tcPr>
          <w:p w14:paraId="44C3152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套</w:t>
            </w:r>
          </w:p>
        </w:tc>
        <w:tc>
          <w:tcPr>
            <w:tcW w:w="825" w:type="dxa"/>
            <w:shd w:val="clear" w:color="auto" w:fill="auto"/>
            <w:vAlign w:val="center"/>
          </w:tcPr>
          <w:p w14:paraId="280EC98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296D595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6BFC7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544249E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4.2</w:t>
            </w:r>
          </w:p>
        </w:tc>
        <w:tc>
          <w:tcPr>
            <w:tcW w:w="2708" w:type="dxa"/>
            <w:shd w:val="clear" w:color="auto" w:fill="auto"/>
            <w:vAlign w:val="center"/>
          </w:tcPr>
          <w:p w14:paraId="06F5A4C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光纤直放站远端机</w:t>
            </w:r>
          </w:p>
        </w:tc>
        <w:tc>
          <w:tcPr>
            <w:tcW w:w="900" w:type="dxa"/>
            <w:shd w:val="clear" w:color="auto" w:fill="auto"/>
            <w:vAlign w:val="center"/>
          </w:tcPr>
          <w:p w14:paraId="632297F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京信</w:t>
            </w:r>
          </w:p>
        </w:tc>
        <w:tc>
          <w:tcPr>
            <w:tcW w:w="1215" w:type="dxa"/>
            <w:shd w:val="clear" w:color="auto" w:fill="auto"/>
            <w:vAlign w:val="center"/>
          </w:tcPr>
          <w:p w14:paraId="1E2F6B5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RA-5087GF-R,S2</w:t>
            </w:r>
          </w:p>
        </w:tc>
        <w:tc>
          <w:tcPr>
            <w:tcW w:w="840" w:type="dxa"/>
            <w:shd w:val="clear" w:color="auto" w:fill="auto"/>
            <w:vAlign w:val="center"/>
          </w:tcPr>
          <w:p w14:paraId="2DEC7DE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8</w:t>
            </w:r>
          </w:p>
        </w:tc>
        <w:tc>
          <w:tcPr>
            <w:tcW w:w="690" w:type="dxa"/>
            <w:shd w:val="clear" w:color="auto" w:fill="auto"/>
            <w:vAlign w:val="center"/>
          </w:tcPr>
          <w:p w14:paraId="06A0DA1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套</w:t>
            </w:r>
          </w:p>
        </w:tc>
        <w:tc>
          <w:tcPr>
            <w:tcW w:w="825" w:type="dxa"/>
            <w:shd w:val="clear" w:color="auto" w:fill="auto"/>
            <w:vAlign w:val="center"/>
          </w:tcPr>
          <w:p w14:paraId="54792D7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57B5282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3AD93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40C68CC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4.3</w:t>
            </w:r>
          </w:p>
        </w:tc>
        <w:tc>
          <w:tcPr>
            <w:tcW w:w="2708" w:type="dxa"/>
            <w:shd w:val="clear" w:color="auto" w:fill="auto"/>
            <w:vAlign w:val="center"/>
          </w:tcPr>
          <w:p w14:paraId="45A0444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尾纤</w:t>
            </w:r>
          </w:p>
        </w:tc>
        <w:tc>
          <w:tcPr>
            <w:tcW w:w="900" w:type="dxa"/>
            <w:shd w:val="clear" w:color="auto" w:fill="auto"/>
            <w:vAlign w:val="center"/>
          </w:tcPr>
          <w:p w14:paraId="7FE0251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京信</w:t>
            </w:r>
          </w:p>
        </w:tc>
        <w:tc>
          <w:tcPr>
            <w:tcW w:w="1215" w:type="dxa"/>
            <w:shd w:val="clear" w:color="auto" w:fill="auto"/>
            <w:vAlign w:val="center"/>
          </w:tcPr>
          <w:p w14:paraId="225E4FA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FC/APC-FC/UPC/SM/Φ3-10M,光纤跳线</w:t>
            </w:r>
          </w:p>
        </w:tc>
        <w:tc>
          <w:tcPr>
            <w:tcW w:w="840" w:type="dxa"/>
            <w:shd w:val="clear" w:color="auto" w:fill="auto"/>
            <w:vAlign w:val="center"/>
          </w:tcPr>
          <w:p w14:paraId="6A8C64D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16</w:t>
            </w:r>
          </w:p>
        </w:tc>
        <w:tc>
          <w:tcPr>
            <w:tcW w:w="690" w:type="dxa"/>
            <w:shd w:val="clear" w:color="auto" w:fill="auto"/>
            <w:vAlign w:val="center"/>
          </w:tcPr>
          <w:p w14:paraId="19A0D2B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w:t>
            </w:r>
          </w:p>
        </w:tc>
        <w:tc>
          <w:tcPr>
            <w:tcW w:w="825" w:type="dxa"/>
            <w:shd w:val="clear" w:color="auto" w:fill="auto"/>
            <w:vAlign w:val="center"/>
          </w:tcPr>
          <w:p w14:paraId="595088D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52B2D5F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736C8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1FBCDED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5</w:t>
            </w:r>
          </w:p>
        </w:tc>
        <w:tc>
          <w:tcPr>
            <w:tcW w:w="2708" w:type="dxa"/>
            <w:shd w:val="clear" w:color="auto" w:fill="auto"/>
            <w:vAlign w:val="center"/>
          </w:tcPr>
          <w:p w14:paraId="4C827AD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室内全向天线</w:t>
            </w:r>
          </w:p>
        </w:tc>
        <w:tc>
          <w:tcPr>
            <w:tcW w:w="900" w:type="dxa"/>
            <w:shd w:val="clear" w:color="auto" w:fill="auto"/>
            <w:vAlign w:val="center"/>
          </w:tcPr>
          <w:p w14:paraId="3885745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健博通</w:t>
            </w:r>
          </w:p>
        </w:tc>
        <w:tc>
          <w:tcPr>
            <w:tcW w:w="1215" w:type="dxa"/>
            <w:shd w:val="clear" w:color="auto" w:fill="auto"/>
            <w:vAlign w:val="center"/>
          </w:tcPr>
          <w:p w14:paraId="5D3EB1B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TQJ-350XTS1</w:t>
            </w:r>
          </w:p>
        </w:tc>
        <w:tc>
          <w:tcPr>
            <w:tcW w:w="840" w:type="dxa"/>
            <w:shd w:val="clear" w:color="auto" w:fill="auto"/>
            <w:vAlign w:val="center"/>
          </w:tcPr>
          <w:p w14:paraId="36AC133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334</w:t>
            </w:r>
          </w:p>
        </w:tc>
        <w:tc>
          <w:tcPr>
            <w:tcW w:w="690" w:type="dxa"/>
            <w:shd w:val="clear" w:color="auto" w:fill="auto"/>
            <w:vAlign w:val="center"/>
          </w:tcPr>
          <w:p w14:paraId="33EAF3F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付</w:t>
            </w:r>
          </w:p>
        </w:tc>
        <w:tc>
          <w:tcPr>
            <w:tcW w:w="825" w:type="dxa"/>
            <w:shd w:val="clear" w:color="auto" w:fill="auto"/>
            <w:vAlign w:val="center"/>
          </w:tcPr>
          <w:p w14:paraId="1D17394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28个车站</w:t>
            </w:r>
          </w:p>
        </w:tc>
        <w:tc>
          <w:tcPr>
            <w:tcW w:w="1789" w:type="dxa"/>
            <w:shd w:val="clear" w:color="auto" w:fill="auto"/>
            <w:vAlign w:val="center"/>
          </w:tcPr>
          <w:p w14:paraId="532A3F8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5F119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66F328E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6</w:t>
            </w:r>
          </w:p>
        </w:tc>
        <w:tc>
          <w:tcPr>
            <w:tcW w:w="2708" w:type="dxa"/>
            <w:shd w:val="clear" w:color="auto" w:fill="auto"/>
            <w:vAlign w:val="center"/>
          </w:tcPr>
          <w:p w14:paraId="002E02B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1/2成品软跳线</w:t>
            </w:r>
          </w:p>
        </w:tc>
        <w:tc>
          <w:tcPr>
            <w:tcW w:w="900" w:type="dxa"/>
            <w:shd w:val="clear" w:color="auto" w:fill="auto"/>
            <w:vAlign w:val="center"/>
          </w:tcPr>
          <w:p w14:paraId="6F38021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中天射频</w:t>
            </w:r>
          </w:p>
        </w:tc>
        <w:tc>
          <w:tcPr>
            <w:tcW w:w="1215" w:type="dxa"/>
            <w:shd w:val="clear" w:color="auto" w:fill="auto"/>
            <w:vAlign w:val="center"/>
          </w:tcPr>
          <w:p w14:paraId="239F251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rPr>
              <w:t>NM-NM-9Z×1</w:t>
            </w:r>
            <w:r>
              <w:rPr>
                <w:rFonts w:hint="eastAsia" w:ascii="宋体" w:hAnsi="宋体" w:eastAsia="宋体" w:cs="宋体"/>
                <w:color w:val="auto"/>
                <w:kern w:val="2"/>
                <w:sz w:val="21"/>
                <w:highlight w:val="none"/>
                <w:lang w:val="en-US" w:eastAsia="zh-CN"/>
              </w:rPr>
              <w:t>/2/5</w:t>
            </w:r>
          </w:p>
        </w:tc>
        <w:tc>
          <w:tcPr>
            <w:tcW w:w="840" w:type="dxa"/>
            <w:shd w:val="clear" w:color="auto" w:fill="auto"/>
            <w:vAlign w:val="center"/>
          </w:tcPr>
          <w:p w14:paraId="2750619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w:t>
            </w:r>
          </w:p>
        </w:tc>
        <w:tc>
          <w:tcPr>
            <w:tcW w:w="690" w:type="dxa"/>
            <w:shd w:val="clear" w:color="auto" w:fill="auto"/>
            <w:vAlign w:val="center"/>
          </w:tcPr>
          <w:p w14:paraId="58DC6F0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批</w:t>
            </w:r>
          </w:p>
        </w:tc>
        <w:tc>
          <w:tcPr>
            <w:tcW w:w="825" w:type="dxa"/>
            <w:shd w:val="clear" w:color="auto" w:fill="auto"/>
            <w:vAlign w:val="center"/>
          </w:tcPr>
          <w:p w14:paraId="6DD1702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430F814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51214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6DDD8B9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7</w:t>
            </w:r>
          </w:p>
        </w:tc>
        <w:tc>
          <w:tcPr>
            <w:tcW w:w="2708" w:type="dxa"/>
            <w:shd w:val="clear" w:color="auto" w:fill="auto"/>
            <w:vAlign w:val="center"/>
          </w:tcPr>
          <w:p w14:paraId="04FEF21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各类耦合器</w:t>
            </w:r>
          </w:p>
        </w:tc>
        <w:tc>
          <w:tcPr>
            <w:tcW w:w="900" w:type="dxa"/>
            <w:shd w:val="clear" w:color="auto" w:fill="auto"/>
            <w:vAlign w:val="center"/>
          </w:tcPr>
          <w:p w14:paraId="1649E6F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鸿富胜</w:t>
            </w:r>
          </w:p>
        </w:tc>
        <w:tc>
          <w:tcPr>
            <w:tcW w:w="1215" w:type="dxa"/>
            <w:shd w:val="clear" w:color="auto" w:fill="auto"/>
            <w:vAlign w:val="center"/>
          </w:tcPr>
          <w:p w14:paraId="67EC6CA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6dB、10dB、15dB、30dB等规格</w:t>
            </w:r>
          </w:p>
        </w:tc>
        <w:tc>
          <w:tcPr>
            <w:tcW w:w="840" w:type="dxa"/>
            <w:shd w:val="clear" w:color="auto" w:fill="auto"/>
            <w:vAlign w:val="center"/>
          </w:tcPr>
          <w:p w14:paraId="35AFF9D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w:t>
            </w:r>
          </w:p>
        </w:tc>
        <w:tc>
          <w:tcPr>
            <w:tcW w:w="690" w:type="dxa"/>
            <w:shd w:val="clear" w:color="auto" w:fill="auto"/>
            <w:vAlign w:val="center"/>
          </w:tcPr>
          <w:p w14:paraId="1F7C0BAE">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批</w:t>
            </w:r>
          </w:p>
        </w:tc>
        <w:tc>
          <w:tcPr>
            <w:tcW w:w="825" w:type="dxa"/>
            <w:shd w:val="clear" w:color="auto" w:fill="auto"/>
            <w:vAlign w:val="center"/>
          </w:tcPr>
          <w:p w14:paraId="11773661">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5F93D64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09EFB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0770E32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8</w:t>
            </w:r>
          </w:p>
        </w:tc>
        <w:tc>
          <w:tcPr>
            <w:tcW w:w="2708" w:type="dxa"/>
            <w:shd w:val="clear" w:color="auto" w:fill="auto"/>
            <w:vAlign w:val="center"/>
          </w:tcPr>
          <w:p w14:paraId="185A497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各类功分器</w:t>
            </w:r>
          </w:p>
        </w:tc>
        <w:tc>
          <w:tcPr>
            <w:tcW w:w="900" w:type="dxa"/>
            <w:shd w:val="clear" w:color="auto" w:fill="auto"/>
            <w:vAlign w:val="center"/>
          </w:tcPr>
          <w:p w14:paraId="237DE6A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鸿富胜</w:t>
            </w:r>
          </w:p>
        </w:tc>
        <w:tc>
          <w:tcPr>
            <w:tcW w:w="1215" w:type="dxa"/>
            <w:shd w:val="clear" w:color="auto" w:fill="auto"/>
            <w:vAlign w:val="center"/>
          </w:tcPr>
          <w:p w14:paraId="3B976E3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二功分、四功分等规格</w:t>
            </w:r>
          </w:p>
        </w:tc>
        <w:tc>
          <w:tcPr>
            <w:tcW w:w="840" w:type="dxa"/>
            <w:shd w:val="clear" w:color="auto" w:fill="auto"/>
            <w:vAlign w:val="center"/>
          </w:tcPr>
          <w:p w14:paraId="14CC091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w:t>
            </w:r>
          </w:p>
        </w:tc>
        <w:tc>
          <w:tcPr>
            <w:tcW w:w="690" w:type="dxa"/>
            <w:shd w:val="clear" w:color="auto" w:fill="auto"/>
            <w:vAlign w:val="center"/>
          </w:tcPr>
          <w:p w14:paraId="03E5562C">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批</w:t>
            </w:r>
          </w:p>
        </w:tc>
        <w:tc>
          <w:tcPr>
            <w:tcW w:w="825" w:type="dxa"/>
            <w:shd w:val="clear" w:color="auto" w:fill="auto"/>
            <w:vAlign w:val="center"/>
          </w:tcPr>
          <w:p w14:paraId="4C7B1C4B">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5E612F3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155AD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276E947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9</w:t>
            </w:r>
          </w:p>
        </w:tc>
        <w:tc>
          <w:tcPr>
            <w:tcW w:w="2708" w:type="dxa"/>
            <w:shd w:val="clear" w:color="auto" w:fill="auto"/>
            <w:vAlign w:val="center"/>
          </w:tcPr>
          <w:p w14:paraId="6692263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1/2射频电缆</w:t>
            </w:r>
          </w:p>
        </w:tc>
        <w:tc>
          <w:tcPr>
            <w:tcW w:w="900" w:type="dxa"/>
            <w:shd w:val="clear" w:color="auto" w:fill="auto"/>
            <w:vAlign w:val="center"/>
          </w:tcPr>
          <w:p w14:paraId="6A3E060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中天射频</w:t>
            </w:r>
          </w:p>
        </w:tc>
        <w:tc>
          <w:tcPr>
            <w:tcW w:w="1215" w:type="dxa"/>
            <w:shd w:val="clear" w:color="auto" w:fill="auto"/>
            <w:vAlign w:val="center"/>
          </w:tcPr>
          <w:p w14:paraId="5B1C04A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w:t>
            </w:r>
          </w:p>
        </w:tc>
        <w:tc>
          <w:tcPr>
            <w:tcW w:w="840" w:type="dxa"/>
            <w:shd w:val="clear" w:color="auto" w:fill="auto"/>
            <w:vAlign w:val="center"/>
          </w:tcPr>
          <w:p w14:paraId="09738BF0">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1</w:t>
            </w:r>
          </w:p>
        </w:tc>
        <w:tc>
          <w:tcPr>
            <w:tcW w:w="690" w:type="dxa"/>
            <w:shd w:val="clear" w:color="auto" w:fill="auto"/>
            <w:vAlign w:val="center"/>
          </w:tcPr>
          <w:p w14:paraId="205F4745">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批</w:t>
            </w:r>
          </w:p>
        </w:tc>
        <w:tc>
          <w:tcPr>
            <w:tcW w:w="825" w:type="dxa"/>
            <w:shd w:val="clear" w:color="auto" w:fill="auto"/>
            <w:vAlign w:val="center"/>
          </w:tcPr>
          <w:p w14:paraId="73BC4E22">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28E4565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45FD9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2F907C0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10</w:t>
            </w:r>
          </w:p>
        </w:tc>
        <w:tc>
          <w:tcPr>
            <w:tcW w:w="2708" w:type="dxa"/>
            <w:shd w:val="clear" w:color="auto" w:fill="auto"/>
            <w:vAlign w:val="center"/>
          </w:tcPr>
          <w:p w14:paraId="0294BD4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7/8射频电缆</w:t>
            </w:r>
          </w:p>
        </w:tc>
        <w:tc>
          <w:tcPr>
            <w:tcW w:w="900" w:type="dxa"/>
            <w:shd w:val="clear" w:color="auto" w:fill="auto"/>
            <w:vAlign w:val="center"/>
          </w:tcPr>
          <w:p w14:paraId="4168C61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中天射频</w:t>
            </w:r>
          </w:p>
        </w:tc>
        <w:tc>
          <w:tcPr>
            <w:tcW w:w="1215" w:type="dxa"/>
            <w:shd w:val="clear" w:color="auto" w:fill="auto"/>
            <w:vAlign w:val="center"/>
          </w:tcPr>
          <w:p w14:paraId="28FB1D7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w:t>
            </w:r>
          </w:p>
        </w:tc>
        <w:tc>
          <w:tcPr>
            <w:tcW w:w="840" w:type="dxa"/>
            <w:shd w:val="clear" w:color="auto" w:fill="auto"/>
            <w:vAlign w:val="center"/>
          </w:tcPr>
          <w:p w14:paraId="65BD7456">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1</w:t>
            </w:r>
          </w:p>
        </w:tc>
        <w:tc>
          <w:tcPr>
            <w:tcW w:w="690" w:type="dxa"/>
            <w:shd w:val="clear" w:color="auto" w:fill="auto"/>
            <w:vAlign w:val="center"/>
          </w:tcPr>
          <w:p w14:paraId="1BE968EA">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批</w:t>
            </w:r>
          </w:p>
        </w:tc>
        <w:tc>
          <w:tcPr>
            <w:tcW w:w="825" w:type="dxa"/>
            <w:shd w:val="clear" w:color="auto" w:fill="auto"/>
            <w:vAlign w:val="center"/>
          </w:tcPr>
          <w:p w14:paraId="42F18CC0">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6F1F78C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0BF81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392B3E3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11</w:t>
            </w:r>
          </w:p>
        </w:tc>
        <w:tc>
          <w:tcPr>
            <w:tcW w:w="2708" w:type="dxa"/>
            <w:shd w:val="clear" w:color="auto" w:fill="auto"/>
            <w:vAlign w:val="center"/>
          </w:tcPr>
          <w:p w14:paraId="4FF1CEB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1-5/8＂漏泄电缆</w:t>
            </w:r>
          </w:p>
        </w:tc>
        <w:tc>
          <w:tcPr>
            <w:tcW w:w="900" w:type="dxa"/>
            <w:shd w:val="clear" w:color="auto" w:fill="auto"/>
            <w:vAlign w:val="center"/>
          </w:tcPr>
          <w:p w14:paraId="32D2DCB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中天射频</w:t>
            </w:r>
          </w:p>
        </w:tc>
        <w:tc>
          <w:tcPr>
            <w:tcW w:w="1215" w:type="dxa"/>
            <w:shd w:val="clear" w:color="auto" w:fill="auto"/>
            <w:vAlign w:val="center"/>
          </w:tcPr>
          <w:p w14:paraId="51DC2A2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w:t>
            </w:r>
          </w:p>
        </w:tc>
        <w:tc>
          <w:tcPr>
            <w:tcW w:w="840" w:type="dxa"/>
            <w:shd w:val="clear" w:color="auto" w:fill="auto"/>
            <w:vAlign w:val="center"/>
          </w:tcPr>
          <w:p w14:paraId="07C3FA9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w:t>
            </w:r>
          </w:p>
        </w:tc>
        <w:tc>
          <w:tcPr>
            <w:tcW w:w="690" w:type="dxa"/>
            <w:shd w:val="clear" w:color="auto" w:fill="auto"/>
            <w:vAlign w:val="center"/>
          </w:tcPr>
          <w:p w14:paraId="3ACBFF3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批</w:t>
            </w:r>
          </w:p>
        </w:tc>
        <w:tc>
          <w:tcPr>
            <w:tcW w:w="825" w:type="dxa"/>
            <w:shd w:val="clear" w:color="auto" w:fill="auto"/>
            <w:vAlign w:val="center"/>
          </w:tcPr>
          <w:p w14:paraId="786CD01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正线区间</w:t>
            </w:r>
          </w:p>
        </w:tc>
        <w:tc>
          <w:tcPr>
            <w:tcW w:w="1789" w:type="dxa"/>
            <w:shd w:val="clear" w:color="auto" w:fill="auto"/>
            <w:vAlign w:val="center"/>
          </w:tcPr>
          <w:p w14:paraId="09F5D73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2679E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12D29DF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12</w:t>
            </w:r>
          </w:p>
        </w:tc>
        <w:tc>
          <w:tcPr>
            <w:tcW w:w="2708" w:type="dxa"/>
            <w:shd w:val="clear" w:color="auto" w:fill="auto"/>
            <w:vAlign w:val="center"/>
          </w:tcPr>
          <w:p w14:paraId="3EBAF01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直流隔断器</w:t>
            </w:r>
          </w:p>
        </w:tc>
        <w:tc>
          <w:tcPr>
            <w:tcW w:w="900" w:type="dxa"/>
            <w:shd w:val="clear" w:color="auto" w:fill="auto"/>
            <w:vAlign w:val="center"/>
          </w:tcPr>
          <w:p w14:paraId="2AC1ACF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中天射频</w:t>
            </w:r>
          </w:p>
        </w:tc>
        <w:tc>
          <w:tcPr>
            <w:tcW w:w="1215" w:type="dxa"/>
            <w:shd w:val="clear" w:color="auto" w:fill="auto"/>
            <w:vAlign w:val="center"/>
          </w:tcPr>
          <w:p w14:paraId="3BB98D6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DB3-N-JK2</w:t>
            </w:r>
          </w:p>
        </w:tc>
        <w:tc>
          <w:tcPr>
            <w:tcW w:w="840" w:type="dxa"/>
            <w:shd w:val="clear" w:color="auto" w:fill="auto"/>
            <w:vAlign w:val="center"/>
          </w:tcPr>
          <w:p w14:paraId="36A0388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112</w:t>
            </w:r>
          </w:p>
        </w:tc>
        <w:tc>
          <w:tcPr>
            <w:tcW w:w="690" w:type="dxa"/>
            <w:shd w:val="clear" w:color="auto" w:fill="auto"/>
            <w:vAlign w:val="center"/>
          </w:tcPr>
          <w:p w14:paraId="7E070C3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套</w:t>
            </w:r>
          </w:p>
        </w:tc>
        <w:tc>
          <w:tcPr>
            <w:tcW w:w="825" w:type="dxa"/>
            <w:shd w:val="clear" w:color="auto" w:fill="auto"/>
            <w:vAlign w:val="center"/>
          </w:tcPr>
          <w:p w14:paraId="4F83E42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正线区间</w:t>
            </w:r>
          </w:p>
        </w:tc>
        <w:tc>
          <w:tcPr>
            <w:tcW w:w="1789" w:type="dxa"/>
            <w:shd w:val="clear" w:color="auto" w:fill="auto"/>
            <w:vAlign w:val="center"/>
          </w:tcPr>
          <w:p w14:paraId="32AF11E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276F6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22AA25E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13</w:t>
            </w:r>
          </w:p>
        </w:tc>
        <w:tc>
          <w:tcPr>
            <w:tcW w:w="2708" w:type="dxa"/>
            <w:shd w:val="clear" w:color="auto" w:fill="auto"/>
            <w:vAlign w:val="center"/>
          </w:tcPr>
          <w:p w14:paraId="48286C4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终端负载</w:t>
            </w:r>
          </w:p>
        </w:tc>
        <w:tc>
          <w:tcPr>
            <w:tcW w:w="900" w:type="dxa"/>
            <w:shd w:val="clear" w:color="auto" w:fill="auto"/>
            <w:vAlign w:val="center"/>
          </w:tcPr>
          <w:p w14:paraId="3FDEA90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中天射频</w:t>
            </w:r>
          </w:p>
        </w:tc>
        <w:tc>
          <w:tcPr>
            <w:tcW w:w="1215" w:type="dxa"/>
            <w:shd w:val="clear" w:color="auto" w:fill="auto"/>
            <w:vAlign w:val="center"/>
          </w:tcPr>
          <w:p w14:paraId="74872AD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TFE5-4</w:t>
            </w:r>
          </w:p>
        </w:tc>
        <w:tc>
          <w:tcPr>
            <w:tcW w:w="840" w:type="dxa"/>
            <w:shd w:val="clear" w:color="auto" w:fill="auto"/>
            <w:vAlign w:val="center"/>
          </w:tcPr>
          <w:p w14:paraId="76EADF8D">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20</w:t>
            </w:r>
          </w:p>
        </w:tc>
        <w:tc>
          <w:tcPr>
            <w:tcW w:w="690" w:type="dxa"/>
            <w:shd w:val="clear" w:color="auto" w:fill="auto"/>
            <w:vAlign w:val="center"/>
          </w:tcPr>
          <w:p w14:paraId="28F66991">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套</w:t>
            </w:r>
          </w:p>
        </w:tc>
        <w:tc>
          <w:tcPr>
            <w:tcW w:w="825" w:type="dxa"/>
            <w:shd w:val="clear" w:color="auto" w:fill="auto"/>
            <w:vAlign w:val="center"/>
          </w:tcPr>
          <w:p w14:paraId="42C43026">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正线区间</w:t>
            </w:r>
          </w:p>
        </w:tc>
        <w:tc>
          <w:tcPr>
            <w:tcW w:w="1789" w:type="dxa"/>
            <w:shd w:val="clear" w:color="auto" w:fill="auto"/>
            <w:vAlign w:val="center"/>
          </w:tcPr>
          <w:p w14:paraId="5BE7D01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40100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0F8B537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14</w:t>
            </w:r>
          </w:p>
        </w:tc>
        <w:tc>
          <w:tcPr>
            <w:tcW w:w="2708" w:type="dxa"/>
            <w:shd w:val="clear" w:color="auto" w:fill="auto"/>
            <w:vAlign w:val="center"/>
          </w:tcPr>
          <w:p w14:paraId="2A22DA8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衰减器</w:t>
            </w:r>
          </w:p>
        </w:tc>
        <w:tc>
          <w:tcPr>
            <w:tcW w:w="900" w:type="dxa"/>
            <w:shd w:val="clear" w:color="auto" w:fill="auto"/>
            <w:vAlign w:val="center"/>
          </w:tcPr>
          <w:p w14:paraId="5730D87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上海华湘</w:t>
            </w:r>
          </w:p>
        </w:tc>
        <w:tc>
          <w:tcPr>
            <w:tcW w:w="1215" w:type="dxa"/>
            <w:shd w:val="clear" w:color="auto" w:fill="auto"/>
            <w:vAlign w:val="center"/>
          </w:tcPr>
          <w:p w14:paraId="2297F11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DTS10（含6dB、8dB、10dB、12dB等）</w:t>
            </w:r>
          </w:p>
        </w:tc>
        <w:tc>
          <w:tcPr>
            <w:tcW w:w="840" w:type="dxa"/>
            <w:shd w:val="clear" w:color="auto" w:fill="auto"/>
            <w:vAlign w:val="center"/>
          </w:tcPr>
          <w:p w14:paraId="09E54046">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1</w:t>
            </w:r>
          </w:p>
        </w:tc>
        <w:tc>
          <w:tcPr>
            <w:tcW w:w="690" w:type="dxa"/>
            <w:shd w:val="clear" w:color="auto" w:fill="auto"/>
            <w:vAlign w:val="center"/>
          </w:tcPr>
          <w:p w14:paraId="151717B7">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批</w:t>
            </w:r>
          </w:p>
        </w:tc>
        <w:tc>
          <w:tcPr>
            <w:tcW w:w="825" w:type="dxa"/>
            <w:shd w:val="clear" w:color="auto" w:fill="auto"/>
            <w:vAlign w:val="center"/>
          </w:tcPr>
          <w:p w14:paraId="62755FAD">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正线区间</w:t>
            </w:r>
          </w:p>
        </w:tc>
        <w:tc>
          <w:tcPr>
            <w:tcW w:w="1789" w:type="dxa"/>
            <w:shd w:val="clear" w:color="auto" w:fill="auto"/>
            <w:vAlign w:val="center"/>
          </w:tcPr>
          <w:p w14:paraId="2187C30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7CB5F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0FA70CD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15</w:t>
            </w:r>
          </w:p>
        </w:tc>
        <w:tc>
          <w:tcPr>
            <w:tcW w:w="2708" w:type="dxa"/>
            <w:shd w:val="clear" w:color="auto" w:fill="auto"/>
            <w:vAlign w:val="center"/>
          </w:tcPr>
          <w:p w14:paraId="16E183D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eastAsia="zh-CN"/>
              </w:rPr>
            </w:pPr>
            <w:r>
              <w:rPr>
                <w:rFonts w:hint="eastAsia" w:ascii="宋体" w:hAnsi="宋体" w:eastAsia="宋体" w:cs="宋体"/>
                <w:color w:val="auto"/>
                <w:kern w:val="2"/>
                <w:sz w:val="21"/>
                <w:highlight w:val="none"/>
                <w:lang w:eastAsia="zh-CN"/>
              </w:rPr>
              <w:t>智能PDU</w:t>
            </w:r>
          </w:p>
        </w:tc>
        <w:tc>
          <w:tcPr>
            <w:tcW w:w="900" w:type="dxa"/>
            <w:shd w:val="clear" w:color="auto" w:fill="auto"/>
            <w:vAlign w:val="center"/>
          </w:tcPr>
          <w:p w14:paraId="06090B2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克莱沃</w:t>
            </w:r>
          </w:p>
        </w:tc>
        <w:tc>
          <w:tcPr>
            <w:tcW w:w="1215" w:type="dxa"/>
            <w:shd w:val="clear" w:color="auto" w:fill="auto"/>
            <w:vAlign w:val="center"/>
          </w:tcPr>
          <w:p w14:paraId="32F2BA1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MD-D08-NTOYGA</w:t>
            </w:r>
          </w:p>
        </w:tc>
        <w:tc>
          <w:tcPr>
            <w:tcW w:w="840" w:type="dxa"/>
            <w:shd w:val="clear" w:color="auto" w:fill="auto"/>
            <w:vAlign w:val="center"/>
          </w:tcPr>
          <w:p w14:paraId="39B84FB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56</w:t>
            </w:r>
          </w:p>
        </w:tc>
        <w:tc>
          <w:tcPr>
            <w:tcW w:w="690" w:type="dxa"/>
            <w:shd w:val="clear" w:color="auto" w:fill="auto"/>
            <w:vAlign w:val="center"/>
          </w:tcPr>
          <w:p w14:paraId="0EB8062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台</w:t>
            </w:r>
          </w:p>
        </w:tc>
        <w:tc>
          <w:tcPr>
            <w:tcW w:w="825" w:type="dxa"/>
            <w:shd w:val="clear" w:color="auto" w:fill="auto"/>
            <w:vAlign w:val="center"/>
          </w:tcPr>
          <w:p w14:paraId="77AFC0E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2185797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3021D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837" w:type="dxa"/>
            <w:gridSpan w:val="8"/>
            <w:shd w:val="clear" w:color="auto" w:fill="auto"/>
            <w:vAlign w:val="center"/>
          </w:tcPr>
          <w:p w14:paraId="0B86596B">
            <w:pPr>
              <w:pStyle w:val="34"/>
              <w:keepNext w:val="0"/>
              <w:keepLines w:val="0"/>
              <w:pageBreakBefore w:val="0"/>
              <w:kinsoku/>
              <w:wordWrap/>
              <w:overflowPunct/>
              <w:topLinePunct w:val="0"/>
              <w:autoSpaceDE/>
              <w:bidi w:val="0"/>
              <w:adjustRightInd/>
              <w:snapToGrid/>
              <w:spacing w:line="240" w:lineRule="auto"/>
              <w:jc w:val="left"/>
              <w:rPr>
                <w:rFonts w:hint="eastAsia" w:ascii="宋体" w:hAnsi="宋体" w:eastAsia="宋体" w:cs="宋体"/>
                <w:color w:val="auto"/>
                <w:kern w:val="2"/>
                <w:sz w:val="21"/>
                <w:highlight w:val="none"/>
              </w:rPr>
            </w:pPr>
            <w:r>
              <w:rPr>
                <w:rFonts w:hint="eastAsia" w:ascii="宋体" w:hAnsi="宋体" w:eastAsia="宋体" w:cs="宋体"/>
                <w:b/>
                <w:bCs w:val="0"/>
                <w:sz w:val="21"/>
                <w:szCs w:val="21"/>
                <w:highlight w:val="none"/>
                <w:lang w:val="en-US" w:eastAsia="zh-CN"/>
              </w:rPr>
              <w:t>五、</w:t>
            </w:r>
            <w:r>
              <w:rPr>
                <w:rFonts w:hint="eastAsia" w:ascii="宋体" w:hAnsi="宋体" w:eastAsia="宋体" w:cs="宋体"/>
                <w:b/>
                <w:bCs w:val="0"/>
                <w:sz w:val="21"/>
                <w:szCs w:val="21"/>
                <w:highlight w:val="none"/>
              </w:rPr>
              <w:t>公安</w:t>
            </w:r>
            <w:r>
              <w:rPr>
                <w:rFonts w:hint="eastAsia" w:ascii="宋体" w:hAnsi="宋体" w:eastAsia="宋体" w:cs="宋体"/>
                <w:b/>
                <w:bCs w:val="0"/>
                <w:sz w:val="21"/>
                <w:szCs w:val="21"/>
                <w:highlight w:val="none"/>
                <w:lang w:val="en-US" w:eastAsia="zh-CN"/>
              </w:rPr>
              <w:t>电源及接地</w:t>
            </w:r>
            <w:r>
              <w:rPr>
                <w:rFonts w:hint="eastAsia" w:ascii="宋体" w:hAnsi="宋体" w:eastAsia="宋体" w:cs="宋体"/>
                <w:b/>
                <w:bCs w:val="0"/>
                <w:sz w:val="21"/>
                <w:szCs w:val="21"/>
                <w:highlight w:val="none"/>
              </w:rPr>
              <w:t>系统</w:t>
            </w:r>
          </w:p>
        </w:tc>
      </w:tr>
      <w:tr w14:paraId="6F737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4E6AC35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w:t>
            </w:r>
          </w:p>
        </w:tc>
        <w:tc>
          <w:tcPr>
            <w:tcW w:w="2708" w:type="dxa"/>
            <w:shd w:val="clear" w:color="auto" w:fill="auto"/>
            <w:vAlign w:val="center"/>
          </w:tcPr>
          <w:p w14:paraId="3CDFF32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车站20KVA UPS电源设备，含机柜</w:t>
            </w:r>
          </w:p>
        </w:tc>
        <w:tc>
          <w:tcPr>
            <w:tcW w:w="900" w:type="dxa"/>
            <w:shd w:val="clear" w:color="auto" w:fill="auto"/>
            <w:vAlign w:val="center"/>
          </w:tcPr>
          <w:p w14:paraId="70E9986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中达</w:t>
            </w:r>
          </w:p>
        </w:tc>
        <w:tc>
          <w:tcPr>
            <w:tcW w:w="1215" w:type="dxa"/>
            <w:shd w:val="clear" w:color="auto" w:fill="auto"/>
            <w:vAlign w:val="center"/>
          </w:tcPr>
          <w:p w14:paraId="11AF6DF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NT-20K</w:t>
            </w:r>
          </w:p>
        </w:tc>
        <w:tc>
          <w:tcPr>
            <w:tcW w:w="840" w:type="dxa"/>
            <w:shd w:val="clear" w:color="auto" w:fill="auto"/>
            <w:vAlign w:val="center"/>
          </w:tcPr>
          <w:p w14:paraId="0EE7CAF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0644C7E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台</w:t>
            </w:r>
          </w:p>
        </w:tc>
        <w:tc>
          <w:tcPr>
            <w:tcW w:w="825" w:type="dxa"/>
            <w:shd w:val="clear" w:color="auto" w:fill="auto"/>
            <w:vAlign w:val="center"/>
          </w:tcPr>
          <w:p w14:paraId="5935281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7FF46B5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0FBB2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2BCDF8B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w:t>
            </w:r>
          </w:p>
        </w:tc>
        <w:tc>
          <w:tcPr>
            <w:tcW w:w="2708" w:type="dxa"/>
            <w:shd w:val="clear" w:color="auto" w:fill="auto"/>
            <w:vAlign w:val="center"/>
          </w:tcPr>
          <w:p w14:paraId="4F52FDE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站警用通信设备室20KVA UPS配套蓄电池</w:t>
            </w:r>
          </w:p>
        </w:tc>
        <w:tc>
          <w:tcPr>
            <w:tcW w:w="900" w:type="dxa"/>
            <w:shd w:val="clear" w:color="auto" w:fill="auto"/>
            <w:vAlign w:val="center"/>
          </w:tcPr>
          <w:p w14:paraId="24063C1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德克</w:t>
            </w:r>
          </w:p>
        </w:tc>
        <w:tc>
          <w:tcPr>
            <w:tcW w:w="1215" w:type="dxa"/>
            <w:shd w:val="clear" w:color="auto" w:fill="auto"/>
            <w:vAlign w:val="center"/>
          </w:tcPr>
          <w:p w14:paraId="6F6FEB3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8G4DA</w:t>
            </w:r>
          </w:p>
        </w:tc>
        <w:tc>
          <w:tcPr>
            <w:tcW w:w="840" w:type="dxa"/>
            <w:shd w:val="clear" w:color="auto" w:fill="auto"/>
            <w:vAlign w:val="center"/>
          </w:tcPr>
          <w:p w14:paraId="27BF998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784</w:t>
            </w:r>
          </w:p>
        </w:tc>
        <w:tc>
          <w:tcPr>
            <w:tcW w:w="690" w:type="dxa"/>
            <w:shd w:val="clear" w:color="auto" w:fill="auto"/>
            <w:vAlign w:val="center"/>
          </w:tcPr>
          <w:p w14:paraId="58DAEE8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节</w:t>
            </w:r>
          </w:p>
        </w:tc>
        <w:tc>
          <w:tcPr>
            <w:tcW w:w="825" w:type="dxa"/>
            <w:shd w:val="clear" w:color="auto" w:fill="auto"/>
            <w:vAlign w:val="center"/>
          </w:tcPr>
          <w:p w14:paraId="64E72BF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7EACC53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72C7B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6746092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w:t>
            </w:r>
          </w:p>
        </w:tc>
        <w:tc>
          <w:tcPr>
            <w:tcW w:w="2708" w:type="dxa"/>
            <w:shd w:val="clear" w:color="auto" w:fill="auto"/>
            <w:vAlign w:val="center"/>
          </w:tcPr>
          <w:p w14:paraId="2D2B09E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车站公安通信设备室交流配电柜</w:t>
            </w:r>
          </w:p>
        </w:tc>
        <w:tc>
          <w:tcPr>
            <w:tcW w:w="900" w:type="dxa"/>
            <w:shd w:val="clear" w:color="auto" w:fill="auto"/>
            <w:vAlign w:val="center"/>
          </w:tcPr>
          <w:p w14:paraId="2DDCE0E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1215" w:type="dxa"/>
            <w:shd w:val="clear" w:color="auto" w:fill="auto"/>
            <w:vAlign w:val="center"/>
          </w:tcPr>
          <w:p w14:paraId="4730893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840" w:type="dxa"/>
            <w:shd w:val="clear" w:color="auto" w:fill="auto"/>
            <w:vAlign w:val="center"/>
          </w:tcPr>
          <w:p w14:paraId="02449D3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690" w:type="dxa"/>
            <w:shd w:val="clear" w:color="auto" w:fill="auto"/>
            <w:vAlign w:val="center"/>
          </w:tcPr>
          <w:p w14:paraId="53AE20B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825" w:type="dxa"/>
            <w:shd w:val="clear" w:color="auto" w:fill="auto"/>
            <w:vAlign w:val="center"/>
          </w:tcPr>
          <w:p w14:paraId="4BFED67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195E0D3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5E159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6359382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3.1</w:t>
            </w:r>
          </w:p>
        </w:tc>
        <w:tc>
          <w:tcPr>
            <w:tcW w:w="2708" w:type="dxa"/>
            <w:shd w:val="clear" w:color="auto" w:fill="auto"/>
            <w:vAlign w:val="center"/>
          </w:tcPr>
          <w:p w14:paraId="1954876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ATS切换箱</w:t>
            </w:r>
          </w:p>
        </w:tc>
        <w:tc>
          <w:tcPr>
            <w:tcW w:w="900" w:type="dxa"/>
            <w:shd w:val="clear" w:color="auto" w:fill="auto"/>
            <w:vAlign w:val="center"/>
          </w:tcPr>
          <w:p w14:paraId="3A72B44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安华电气</w:t>
            </w:r>
          </w:p>
        </w:tc>
        <w:tc>
          <w:tcPr>
            <w:tcW w:w="1215" w:type="dxa"/>
            <w:shd w:val="clear" w:color="auto" w:fill="auto"/>
            <w:vAlign w:val="center"/>
          </w:tcPr>
          <w:p w14:paraId="78A926E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JXF</w:t>
            </w:r>
          </w:p>
        </w:tc>
        <w:tc>
          <w:tcPr>
            <w:tcW w:w="840" w:type="dxa"/>
            <w:shd w:val="clear" w:color="auto" w:fill="auto"/>
            <w:vAlign w:val="center"/>
          </w:tcPr>
          <w:p w14:paraId="7421136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0FEB52D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台</w:t>
            </w:r>
          </w:p>
        </w:tc>
        <w:tc>
          <w:tcPr>
            <w:tcW w:w="825" w:type="dxa"/>
            <w:shd w:val="clear" w:color="auto" w:fill="auto"/>
            <w:vAlign w:val="center"/>
          </w:tcPr>
          <w:p w14:paraId="6736601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5EBC44A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3E49C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0D63879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3.2</w:t>
            </w:r>
          </w:p>
        </w:tc>
        <w:tc>
          <w:tcPr>
            <w:tcW w:w="2708" w:type="dxa"/>
            <w:shd w:val="clear" w:color="auto" w:fill="auto"/>
            <w:vAlign w:val="center"/>
          </w:tcPr>
          <w:p w14:paraId="6D31871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交流配电柜</w:t>
            </w:r>
          </w:p>
        </w:tc>
        <w:tc>
          <w:tcPr>
            <w:tcW w:w="900" w:type="dxa"/>
            <w:shd w:val="clear" w:color="auto" w:fill="auto"/>
            <w:vAlign w:val="center"/>
          </w:tcPr>
          <w:p w14:paraId="424E1BB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安华电气</w:t>
            </w:r>
          </w:p>
        </w:tc>
        <w:tc>
          <w:tcPr>
            <w:tcW w:w="1215" w:type="dxa"/>
            <w:shd w:val="clear" w:color="auto" w:fill="auto"/>
            <w:vAlign w:val="center"/>
          </w:tcPr>
          <w:p w14:paraId="525CEB5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JXF</w:t>
            </w:r>
          </w:p>
        </w:tc>
        <w:tc>
          <w:tcPr>
            <w:tcW w:w="840" w:type="dxa"/>
            <w:shd w:val="clear" w:color="auto" w:fill="auto"/>
            <w:vAlign w:val="center"/>
          </w:tcPr>
          <w:p w14:paraId="2B4181E9">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04EAB590">
            <w:pPr>
              <w:pStyle w:val="34"/>
              <w:keepNext w:val="0"/>
              <w:keepLines w:val="0"/>
              <w:pageBreakBefore w:val="0"/>
              <w:kinsoku/>
              <w:wordWrap/>
              <w:overflowPunct/>
              <w:topLinePunct w:val="0"/>
              <w:autoSpaceDE/>
              <w:bidi w:val="0"/>
              <w:adjustRightInd/>
              <w:snapToGrid/>
              <w:spacing w:line="240" w:lineRule="auto"/>
              <w:ind w:firstLine="0" w:firstLineChars="0"/>
              <w:jc w:val="center"/>
              <w:rPr>
                <w:rFonts w:hint="eastAsia" w:ascii="宋体" w:hAnsi="宋体" w:eastAsia="宋体" w:cs="宋体"/>
                <w:bCs/>
                <w:color w:val="auto"/>
                <w:kern w:val="2"/>
                <w:sz w:val="21"/>
                <w:szCs w:val="28"/>
                <w:highlight w:val="none"/>
                <w:lang w:val="en-US" w:eastAsia="zh-CN" w:bidi="ar-SA"/>
              </w:rPr>
            </w:pPr>
            <w:r>
              <w:rPr>
                <w:rFonts w:hint="eastAsia" w:ascii="宋体" w:hAnsi="宋体" w:eastAsia="宋体" w:cs="宋体"/>
                <w:color w:val="auto"/>
                <w:kern w:val="2"/>
                <w:sz w:val="21"/>
                <w:highlight w:val="none"/>
                <w:lang w:val="en-US" w:eastAsia="zh-CN"/>
              </w:rPr>
              <w:t>台</w:t>
            </w:r>
          </w:p>
        </w:tc>
        <w:tc>
          <w:tcPr>
            <w:tcW w:w="825" w:type="dxa"/>
            <w:shd w:val="clear" w:color="auto" w:fill="auto"/>
            <w:vAlign w:val="center"/>
          </w:tcPr>
          <w:p w14:paraId="406F7ED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1275902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25C77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5EAFC9C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4</w:t>
            </w:r>
          </w:p>
        </w:tc>
        <w:tc>
          <w:tcPr>
            <w:tcW w:w="2708" w:type="dxa"/>
            <w:shd w:val="clear" w:color="auto" w:fill="auto"/>
            <w:vAlign w:val="center"/>
          </w:tcPr>
          <w:p w14:paraId="63562F5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网络交换机</w:t>
            </w:r>
          </w:p>
        </w:tc>
        <w:tc>
          <w:tcPr>
            <w:tcW w:w="900" w:type="dxa"/>
            <w:shd w:val="clear" w:color="auto" w:fill="auto"/>
            <w:vAlign w:val="center"/>
          </w:tcPr>
          <w:p w14:paraId="378D4CE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1215" w:type="dxa"/>
            <w:shd w:val="clear" w:color="auto" w:fill="auto"/>
            <w:vAlign w:val="center"/>
          </w:tcPr>
          <w:p w14:paraId="1F4D12E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840" w:type="dxa"/>
            <w:shd w:val="clear" w:color="auto" w:fill="auto"/>
            <w:vAlign w:val="center"/>
          </w:tcPr>
          <w:p w14:paraId="3635FC9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690" w:type="dxa"/>
            <w:shd w:val="clear" w:color="auto" w:fill="auto"/>
            <w:vAlign w:val="center"/>
          </w:tcPr>
          <w:p w14:paraId="21FD11D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c>
          <w:tcPr>
            <w:tcW w:w="825" w:type="dxa"/>
            <w:shd w:val="clear" w:color="auto" w:fill="auto"/>
            <w:vAlign w:val="center"/>
          </w:tcPr>
          <w:p w14:paraId="533A3D9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0799AA9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2E71D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43FCDFF5">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4.1</w:t>
            </w:r>
          </w:p>
        </w:tc>
        <w:tc>
          <w:tcPr>
            <w:tcW w:w="2708" w:type="dxa"/>
            <w:shd w:val="clear" w:color="auto" w:fill="auto"/>
            <w:vAlign w:val="center"/>
          </w:tcPr>
          <w:p w14:paraId="037F049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H3C S5560X-34S-EI L3以太网交换机主机(28GE(4SFP Combo)+4SFP Plus+2QSFP Plus),(AC/DC)</w:t>
            </w:r>
          </w:p>
        </w:tc>
        <w:tc>
          <w:tcPr>
            <w:tcW w:w="900" w:type="dxa"/>
            <w:shd w:val="clear" w:color="auto" w:fill="auto"/>
            <w:vAlign w:val="center"/>
          </w:tcPr>
          <w:p w14:paraId="234B290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华三</w:t>
            </w:r>
          </w:p>
        </w:tc>
        <w:tc>
          <w:tcPr>
            <w:tcW w:w="1215" w:type="dxa"/>
            <w:shd w:val="clear" w:color="auto" w:fill="auto"/>
            <w:vAlign w:val="center"/>
          </w:tcPr>
          <w:p w14:paraId="27D4DE1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LS-5560X-34S-EI</w:t>
            </w:r>
          </w:p>
        </w:tc>
        <w:tc>
          <w:tcPr>
            <w:tcW w:w="840" w:type="dxa"/>
            <w:shd w:val="clear" w:color="auto" w:fill="auto"/>
            <w:vAlign w:val="center"/>
          </w:tcPr>
          <w:p w14:paraId="4C786B4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5C83C5F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台</w:t>
            </w:r>
          </w:p>
        </w:tc>
        <w:tc>
          <w:tcPr>
            <w:tcW w:w="825" w:type="dxa"/>
            <w:shd w:val="clear" w:color="auto" w:fill="auto"/>
            <w:vAlign w:val="center"/>
          </w:tcPr>
          <w:p w14:paraId="6EE8F77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21468B22">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1C683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2D44C22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4.2</w:t>
            </w:r>
          </w:p>
        </w:tc>
        <w:tc>
          <w:tcPr>
            <w:tcW w:w="2708" w:type="dxa"/>
            <w:shd w:val="clear" w:color="auto" w:fill="auto"/>
            <w:vAlign w:val="center"/>
          </w:tcPr>
          <w:p w14:paraId="4C46993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光模块-SFP-GE-单模模块-(1310nm,10km,LC)</w:t>
            </w:r>
          </w:p>
        </w:tc>
        <w:tc>
          <w:tcPr>
            <w:tcW w:w="900" w:type="dxa"/>
            <w:shd w:val="clear" w:color="auto" w:fill="auto"/>
            <w:vAlign w:val="center"/>
          </w:tcPr>
          <w:p w14:paraId="4F3B098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华三</w:t>
            </w:r>
          </w:p>
        </w:tc>
        <w:tc>
          <w:tcPr>
            <w:tcW w:w="1215" w:type="dxa"/>
            <w:shd w:val="clear" w:color="auto" w:fill="auto"/>
            <w:vAlign w:val="center"/>
          </w:tcPr>
          <w:p w14:paraId="5BFE26F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SFP-GE-LX-SM1310-D</w:t>
            </w:r>
          </w:p>
        </w:tc>
        <w:tc>
          <w:tcPr>
            <w:tcW w:w="840" w:type="dxa"/>
            <w:shd w:val="clear" w:color="auto" w:fill="auto"/>
            <w:vAlign w:val="center"/>
          </w:tcPr>
          <w:p w14:paraId="330D7B1C">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224</w:t>
            </w:r>
          </w:p>
        </w:tc>
        <w:tc>
          <w:tcPr>
            <w:tcW w:w="690" w:type="dxa"/>
            <w:shd w:val="clear" w:color="auto" w:fill="auto"/>
            <w:vAlign w:val="center"/>
          </w:tcPr>
          <w:p w14:paraId="305A5FC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台</w:t>
            </w:r>
          </w:p>
        </w:tc>
        <w:tc>
          <w:tcPr>
            <w:tcW w:w="825" w:type="dxa"/>
            <w:shd w:val="clear" w:color="auto" w:fill="auto"/>
            <w:vAlign w:val="center"/>
          </w:tcPr>
          <w:p w14:paraId="00FE0DF0">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04B8F61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3C8B7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67F1B49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5</w:t>
            </w:r>
          </w:p>
        </w:tc>
        <w:tc>
          <w:tcPr>
            <w:tcW w:w="2708" w:type="dxa"/>
            <w:shd w:val="clear" w:color="auto" w:fill="auto"/>
            <w:vAlign w:val="center"/>
          </w:tcPr>
          <w:p w14:paraId="0C76C50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车站公安通信设备室电源及环境监控设备（含蓄电池检测、温度、湿度采集模块、水浸漏水检测模块、协议转换模块等）</w:t>
            </w:r>
          </w:p>
        </w:tc>
        <w:tc>
          <w:tcPr>
            <w:tcW w:w="900" w:type="dxa"/>
            <w:shd w:val="clear" w:color="auto" w:fill="auto"/>
            <w:vAlign w:val="center"/>
          </w:tcPr>
          <w:p w14:paraId="380BC08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kern w:val="2"/>
                <w:sz w:val="21"/>
                <w:highlight w:val="none"/>
                <w:lang w:val="en-US" w:eastAsia="zh-CN"/>
              </w:rPr>
              <w:t>华三</w:t>
            </w:r>
          </w:p>
        </w:tc>
        <w:tc>
          <w:tcPr>
            <w:tcW w:w="1215" w:type="dxa"/>
            <w:shd w:val="clear" w:color="auto" w:fill="auto"/>
            <w:vAlign w:val="center"/>
          </w:tcPr>
          <w:p w14:paraId="72B3B74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w:t>
            </w:r>
          </w:p>
        </w:tc>
        <w:tc>
          <w:tcPr>
            <w:tcW w:w="840" w:type="dxa"/>
            <w:shd w:val="clear" w:color="auto" w:fill="auto"/>
            <w:vAlign w:val="center"/>
          </w:tcPr>
          <w:p w14:paraId="33B4BE6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7A99E87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套</w:t>
            </w:r>
          </w:p>
        </w:tc>
        <w:tc>
          <w:tcPr>
            <w:tcW w:w="825" w:type="dxa"/>
            <w:shd w:val="clear" w:color="auto" w:fill="auto"/>
            <w:vAlign w:val="center"/>
          </w:tcPr>
          <w:p w14:paraId="776B34A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5AE683A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40D15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188B6F2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6</w:t>
            </w:r>
          </w:p>
        </w:tc>
        <w:tc>
          <w:tcPr>
            <w:tcW w:w="2708" w:type="dxa"/>
            <w:shd w:val="clear" w:color="auto" w:fill="auto"/>
            <w:vAlign w:val="center"/>
          </w:tcPr>
          <w:p w14:paraId="6A81B88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ATS切换箱进线端防雷器</w:t>
            </w:r>
          </w:p>
        </w:tc>
        <w:tc>
          <w:tcPr>
            <w:tcW w:w="900" w:type="dxa"/>
            <w:shd w:val="clear" w:color="auto" w:fill="auto"/>
            <w:vAlign w:val="center"/>
          </w:tcPr>
          <w:p w14:paraId="691353C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上海群安</w:t>
            </w:r>
          </w:p>
        </w:tc>
        <w:tc>
          <w:tcPr>
            <w:tcW w:w="1215" w:type="dxa"/>
            <w:shd w:val="clear" w:color="auto" w:fill="auto"/>
            <w:vAlign w:val="center"/>
          </w:tcPr>
          <w:p w14:paraId="0381607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SP-M40-385-4PL</w:t>
            </w:r>
          </w:p>
        </w:tc>
        <w:tc>
          <w:tcPr>
            <w:tcW w:w="840" w:type="dxa"/>
            <w:shd w:val="clear" w:color="auto" w:fill="auto"/>
            <w:vAlign w:val="center"/>
          </w:tcPr>
          <w:p w14:paraId="50C8A1D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56</w:t>
            </w:r>
          </w:p>
        </w:tc>
        <w:tc>
          <w:tcPr>
            <w:tcW w:w="690" w:type="dxa"/>
            <w:shd w:val="clear" w:color="auto" w:fill="auto"/>
            <w:vAlign w:val="center"/>
          </w:tcPr>
          <w:p w14:paraId="5B413E5A">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个</w:t>
            </w:r>
          </w:p>
        </w:tc>
        <w:tc>
          <w:tcPr>
            <w:tcW w:w="825" w:type="dxa"/>
            <w:shd w:val="clear" w:color="auto" w:fill="auto"/>
            <w:vAlign w:val="center"/>
          </w:tcPr>
          <w:p w14:paraId="1063664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07249C1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04948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105C080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7</w:t>
            </w:r>
          </w:p>
        </w:tc>
        <w:tc>
          <w:tcPr>
            <w:tcW w:w="2708" w:type="dxa"/>
            <w:shd w:val="clear" w:color="auto" w:fill="auto"/>
            <w:vAlign w:val="center"/>
          </w:tcPr>
          <w:p w14:paraId="3AD689C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交流配电屏进线端防雷器</w:t>
            </w:r>
          </w:p>
        </w:tc>
        <w:tc>
          <w:tcPr>
            <w:tcW w:w="900" w:type="dxa"/>
            <w:shd w:val="clear" w:color="auto" w:fill="auto"/>
            <w:vAlign w:val="center"/>
          </w:tcPr>
          <w:p w14:paraId="323ACF6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上海群安</w:t>
            </w:r>
          </w:p>
        </w:tc>
        <w:tc>
          <w:tcPr>
            <w:tcW w:w="1215" w:type="dxa"/>
            <w:shd w:val="clear" w:color="auto" w:fill="auto"/>
            <w:vAlign w:val="center"/>
          </w:tcPr>
          <w:p w14:paraId="523ED47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SP-M40-385-4PL</w:t>
            </w:r>
          </w:p>
        </w:tc>
        <w:tc>
          <w:tcPr>
            <w:tcW w:w="840" w:type="dxa"/>
            <w:shd w:val="clear" w:color="auto" w:fill="auto"/>
            <w:vAlign w:val="center"/>
          </w:tcPr>
          <w:p w14:paraId="0997C32E">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15317167">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个</w:t>
            </w:r>
          </w:p>
        </w:tc>
        <w:tc>
          <w:tcPr>
            <w:tcW w:w="825" w:type="dxa"/>
            <w:shd w:val="clear" w:color="auto" w:fill="auto"/>
            <w:vAlign w:val="center"/>
          </w:tcPr>
          <w:p w14:paraId="1BCB5926">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59E3ACA1">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tr w14:paraId="0B3E9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0" w:type="dxa"/>
            <w:shd w:val="clear" w:color="auto" w:fill="auto"/>
            <w:vAlign w:val="center"/>
          </w:tcPr>
          <w:p w14:paraId="4AFF8AC3">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8</w:t>
            </w:r>
          </w:p>
        </w:tc>
        <w:tc>
          <w:tcPr>
            <w:tcW w:w="2708" w:type="dxa"/>
            <w:shd w:val="clear" w:color="auto" w:fill="auto"/>
            <w:vAlign w:val="center"/>
          </w:tcPr>
          <w:p w14:paraId="2D0B7CB9">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交流配电屏出线端防雷器</w:t>
            </w:r>
          </w:p>
        </w:tc>
        <w:tc>
          <w:tcPr>
            <w:tcW w:w="900" w:type="dxa"/>
            <w:shd w:val="clear" w:color="auto" w:fill="auto"/>
            <w:vAlign w:val="center"/>
          </w:tcPr>
          <w:p w14:paraId="68BA9A2B">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上海群安</w:t>
            </w:r>
          </w:p>
        </w:tc>
        <w:tc>
          <w:tcPr>
            <w:tcW w:w="1215" w:type="dxa"/>
            <w:shd w:val="clear" w:color="auto" w:fill="auto"/>
            <w:vAlign w:val="center"/>
          </w:tcPr>
          <w:p w14:paraId="3218C8F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SP-M40-385-4PL</w:t>
            </w:r>
          </w:p>
        </w:tc>
        <w:tc>
          <w:tcPr>
            <w:tcW w:w="840" w:type="dxa"/>
            <w:shd w:val="clear" w:color="auto" w:fill="auto"/>
            <w:vAlign w:val="center"/>
          </w:tcPr>
          <w:p w14:paraId="68032408">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w:t>
            </w:r>
          </w:p>
        </w:tc>
        <w:tc>
          <w:tcPr>
            <w:tcW w:w="690" w:type="dxa"/>
            <w:shd w:val="clear" w:color="auto" w:fill="auto"/>
            <w:vAlign w:val="center"/>
          </w:tcPr>
          <w:p w14:paraId="7B2C747F">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个</w:t>
            </w:r>
          </w:p>
        </w:tc>
        <w:tc>
          <w:tcPr>
            <w:tcW w:w="825" w:type="dxa"/>
            <w:shd w:val="clear" w:color="auto" w:fill="auto"/>
            <w:vAlign w:val="center"/>
          </w:tcPr>
          <w:p w14:paraId="1D597E6D">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28个车站</w:t>
            </w:r>
          </w:p>
        </w:tc>
        <w:tc>
          <w:tcPr>
            <w:tcW w:w="1789" w:type="dxa"/>
            <w:shd w:val="clear" w:color="auto" w:fill="auto"/>
            <w:vAlign w:val="center"/>
          </w:tcPr>
          <w:p w14:paraId="1AEB7704">
            <w:pPr>
              <w:pStyle w:val="34"/>
              <w:keepNext w:val="0"/>
              <w:keepLines w:val="0"/>
              <w:pageBreakBefore w:val="0"/>
              <w:kinsoku/>
              <w:wordWrap/>
              <w:overflowPunct/>
              <w:topLinePunct w:val="0"/>
              <w:autoSpaceDE/>
              <w:bidi w:val="0"/>
              <w:adjustRightInd/>
              <w:snapToGrid/>
              <w:spacing w:line="240" w:lineRule="auto"/>
              <w:jc w:val="center"/>
              <w:rPr>
                <w:rFonts w:hint="eastAsia" w:ascii="宋体" w:hAnsi="宋体" w:eastAsia="宋体" w:cs="宋体"/>
                <w:color w:val="auto"/>
                <w:kern w:val="2"/>
                <w:sz w:val="21"/>
                <w:highlight w:val="none"/>
              </w:rPr>
            </w:pPr>
          </w:p>
        </w:tc>
      </w:tr>
      <w:bookmarkEnd w:id="130"/>
    </w:tbl>
    <w:p w14:paraId="467B211F">
      <w:pPr>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br w:type="page"/>
      </w:r>
    </w:p>
    <w:p w14:paraId="6FBAEAE8">
      <w:pPr>
        <w:snapToGrid w:val="0"/>
        <w:spacing w:line="440" w:lineRule="exact"/>
        <w:ind w:right="-260" w:rightChars="-124"/>
        <w:jc w:val="center"/>
        <w:outlineLvl w:val="0"/>
        <w:rPr>
          <w:rFonts w:hint="eastAsia" w:ascii="宋体" w:hAnsi="宋体" w:eastAsia="宋体" w:cs="宋体"/>
          <w:b/>
          <w:sz w:val="32"/>
          <w:szCs w:val="32"/>
          <w:highlight w:val="none"/>
        </w:rPr>
      </w:pPr>
      <w:bookmarkStart w:id="134" w:name="_Toc31664"/>
      <w:r>
        <w:rPr>
          <w:rFonts w:hint="eastAsia" w:ascii="宋体" w:hAnsi="宋体" w:eastAsia="宋体" w:cs="宋体"/>
          <w:b/>
          <w:sz w:val="32"/>
          <w:szCs w:val="32"/>
          <w:highlight w:val="none"/>
          <w:lang w:eastAsia="zh-CN"/>
        </w:rPr>
        <w:t>第四章</w:t>
      </w:r>
      <w:r>
        <w:rPr>
          <w:rFonts w:hint="eastAsia" w:ascii="宋体" w:hAnsi="宋体" w:eastAsia="宋体" w:cs="宋体"/>
          <w:b/>
          <w:sz w:val="32"/>
          <w:szCs w:val="32"/>
          <w:highlight w:val="none"/>
        </w:rPr>
        <w:t xml:space="preserve">  </w:t>
      </w:r>
      <w:bookmarkEnd w:id="70"/>
      <w:r>
        <w:rPr>
          <w:rFonts w:hint="eastAsia" w:ascii="宋体" w:hAnsi="宋体" w:eastAsia="宋体" w:cs="宋体"/>
          <w:b/>
          <w:sz w:val="32"/>
          <w:szCs w:val="32"/>
          <w:highlight w:val="none"/>
        </w:rPr>
        <w:t>评标办法与评标标准</w:t>
      </w:r>
      <w:bookmarkEnd w:id="71"/>
      <w:bookmarkEnd w:id="72"/>
      <w:bookmarkEnd w:id="73"/>
      <w:bookmarkEnd w:id="134"/>
    </w:p>
    <w:p w14:paraId="09A785F4">
      <w:pPr>
        <w:spacing w:line="440" w:lineRule="exact"/>
        <w:ind w:right="-260" w:rightChars="-124" w:firstLine="480" w:firstLineChars="200"/>
        <w:rPr>
          <w:rFonts w:hint="eastAsia" w:ascii="宋体" w:hAnsi="宋体" w:eastAsia="宋体" w:cs="宋体"/>
          <w:kern w:val="58"/>
          <w:sz w:val="24"/>
          <w:szCs w:val="24"/>
          <w:highlight w:val="none"/>
          <w:u w:val="single"/>
        </w:rPr>
      </w:pPr>
    </w:p>
    <w:p w14:paraId="073F9C7C">
      <w:pPr>
        <w:spacing w:line="440" w:lineRule="exact"/>
        <w:ind w:right="-260" w:rightChars="-124" w:firstLine="57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bCs/>
          <w:sz w:val="21"/>
          <w:szCs w:val="21"/>
          <w:highlight w:val="none"/>
          <w:lang w:eastAsia="zh-CN"/>
        </w:rPr>
        <w:t>比选人</w:t>
      </w:r>
      <w:r>
        <w:rPr>
          <w:rFonts w:hint="eastAsia" w:ascii="宋体" w:hAnsi="宋体" w:eastAsia="宋体" w:cs="宋体"/>
          <w:b/>
          <w:bCs/>
          <w:sz w:val="21"/>
          <w:szCs w:val="21"/>
          <w:highlight w:val="none"/>
        </w:rPr>
        <w:t>组织开标。</w:t>
      </w:r>
    </w:p>
    <w:p w14:paraId="4BE6338A">
      <w:pPr>
        <w:spacing w:line="440" w:lineRule="exact"/>
        <w:ind w:right="-260" w:rightChars="-124" w:firstLine="57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二、评委会由有关专家和</w:t>
      </w:r>
      <w:r>
        <w:rPr>
          <w:rFonts w:hint="eastAsia" w:ascii="宋体" w:hAnsi="宋体" w:eastAsia="宋体" w:cs="宋体"/>
          <w:b/>
          <w:sz w:val="21"/>
          <w:szCs w:val="21"/>
          <w:highlight w:val="none"/>
          <w:lang w:eastAsia="zh-CN"/>
        </w:rPr>
        <w:t>比选人</w:t>
      </w:r>
      <w:r>
        <w:rPr>
          <w:rFonts w:hint="eastAsia" w:ascii="宋体" w:hAnsi="宋体" w:eastAsia="宋体" w:cs="宋体"/>
          <w:b/>
          <w:sz w:val="21"/>
          <w:szCs w:val="21"/>
          <w:highlight w:val="none"/>
        </w:rPr>
        <w:t>代表</w:t>
      </w:r>
      <w:r>
        <w:rPr>
          <w:rFonts w:hint="eastAsia" w:ascii="宋体" w:hAnsi="宋体" w:eastAsia="宋体" w:cs="宋体"/>
          <w:b/>
          <w:bCs/>
          <w:sz w:val="21"/>
          <w:szCs w:val="21"/>
          <w:highlight w:val="none"/>
        </w:rPr>
        <w:t>组成</w:t>
      </w:r>
      <w:r>
        <w:rPr>
          <w:rFonts w:hint="eastAsia" w:ascii="宋体" w:hAnsi="宋体" w:eastAsia="宋体" w:cs="宋体"/>
          <w:b/>
          <w:sz w:val="21"/>
          <w:szCs w:val="21"/>
          <w:highlight w:val="none"/>
        </w:rPr>
        <w:t>，按照</w:t>
      </w:r>
      <w:r>
        <w:rPr>
          <w:rFonts w:hint="eastAsia" w:ascii="宋体" w:hAnsi="宋体" w:eastAsia="宋体" w:cs="宋体"/>
          <w:b/>
          <w:bCs/>
          <w:sz w:val="21"/>
          <w:szCs w:val="21"/>
          <w:highlight w:val="none"/>
        </w:rPr>
        <w:t>公平、公正、择优的原则进行</w:t>
      </w:r>
      <w:r>
        <w:rPr>
          <w:rFonts w:hint="eastAsia" w:ascii="宋体" w:hAnsi="宋体" w:eastAsia="宋体" w:cs="宋体"/>
          <w:b/>
          <w:sz w:val="21"/>
          <w:szCs w:val="21"/>
          <w:highlight w:val="none"/>
        </w:rPr>
        <w:t>独立</w:t>
      </w:r>
      <w:r>
        <w:rPr>
          <w:rFonts w:hint="eastAsia" w:ascii="宋体" w:hAnsi="宋体" w:eastAsia="宋体" w:cs="宋体"/>
          <w:b/>
          <w:bCs/>
          <w:sz w:val="21"/>
          <w:szCs w:val="21"/>
          <w:highlight w:val="none"/>
        </w:rPr>
        <w:t>评标。</w:t>
      </w:r>
    </w:p>
    <w:p w14:paraId="299ACB6D">
      <w:pPr>
        <w:spacing w:line="440" w:lineRule="exact"/>
        <w:ind w:right="-260" w:rightChars="-124" w:firstLine="570"/>
        <w:rPr>
          <w:rFonts w:hint="eastAsia" w:ascii="宋体" w:hAnsi="宋体" w:eastAsia="宋体" w:cs="宋体"/>
          <w:bCs/>
          <w:sz w:val="21"/>
          <w:szCs w:val="21"/>
          <w:highlight w:val="none"/>
        </w:rPr>
      </w:pPr>
      <w:r>
        <w:rPr>
          <w:rFonts w:hint="eastAsia" w:ascii="宋体" w:hAnsi="宋体" w:eastAsia="宋体" w:cs="宋体"/>
          <w:bCs/>
          <w:sz w:val="21"/>
          <w:szCs w:val="21"/>
          <w:highlight w:val="none"/>
        </w:rPr>
        <w:t>由评标委员会对</w:t>
      </w:r>
      <w:r>
        <w:rPr>
          <w:rFonts w:hint="eastAsia" w:ascii="宋体" w:hAnsi="宋体" w:eastAsia="宋体" w:cs="宋体"/>
          <w:bCs/>
          <w:sz w:val="21"/>
          <w:szCs w:val="21"/>
          <w:highlight w:val="none"/>
          <w:lang w:eastAsia="zh-CN"/>
        </w:rPr>
        <w:t>参选人</w:t>
      </w:r>
      <w:r>
        <w:rPr>
          <w:rFonts w:hint="eastAsia" w:ascii="宋体" w:hAnsi="宋体" w:eastAsia="宋体" w:cs="宋体"/>
          <w:bCs/>
          <w:sz w:val="21"/>
          <w:szCs w:val="21"/>
          <w:highlight w:val="none"/>
        </w:rPr>
        <w:t>资格性、符合性审查，对未通过审查的</w:t>
      </w:r>
      <w:r>
        <w:rPr>
          <w:rFonts w:hint="eastAsia" w:ascii="宋体" w:hAnsi="宋体" w:eastAsia="宋体" w:cs="宋体"/>
          <w:bCs/>
          <w:sz w:val="21"/>
          <w:szCs w:val="21"/>
          <w:highlight w:val="none"/>
          <w:lang w:eastAsia="zh-CN"/>
        </w:rPr>
        <w:t>参选人</w:t>
      </w:r>
      <w:r>
        <w:rPr>
          <w:rFonts w:hint="eastAsia" w:ascii="宋体" w:hAnsi="宋体" w:eastAsia="宋体" w:cs="宋体"/>
          <w:bCs/>
          <w:sz w:val="21"/>
          <w:szCs w:val="21"/>
          <w:highlight w:val="none"/>
        </w:rPr>
        <w:t>，现场告知原因。评标委员会对合格</w:t>
      </w:r>
      <w:r>
        <w:rPr>
          <w:rFonts w:hint="eastAsia" w:ascii="宋体" w:hAnsi="宋体" w:eastAsia="宋体" w:cs="宋体"/>
          <w:bCs/>
          <w:sz w:val="21"/>
          <w:szCs w:val="21"/>
          <w:highlight w:val="none"/>
          <w:lang w:eastAsia="zh-CN"/>
        </w:rPr>
        <w:t>参选人</w:t>
      </w:r>
      <w:r>
        <w:rPr>
          <w:rFonts w:hint="eastAsia" w:ascii="宋体" w:hAnsi="宋体" w:eastAsia="宋体" w:cs="宋体"/>
          <w:bCs/>
          <w:sz w:val="21"/>
          <w:szCs w:val="21"/>
          <w:highlight w:val="none"/>
        </w:rPr>
        <w:t>的</w:t>
      </w:r>
      <w:r>
        <w:rPr>
          <w:rFonts w:hint="eastAsia" w:ascii="宋体" w:hAnsi="宋体" w:eastAsia="宋体" w:cs="宋体"/>
          <w:bCs/>
          <w:sz w:val="21"/>
          <w:szCs w:val="21"/>
          <w:highlight w:val="none"/>
          <w:lang w:eastAsia="zh-CN"/>
        </w:rPr>
        <w:t>参选文件</w:t>
      </w:r>
      <w:r>
        <w:rPr>
          <w:rFonts w:hint="eastAsia" w:ascii="宋体" w:hAnsi="宋体" w:eastAsia="宋体" w:cs="宋体"/>
          <w:bCs/>
          <w:sz w:val="21"/>
          <w:szCs w:val="21"/>
          <w:highlight w:val="none"/>
        </w:rPr>
        <w:t>进行评审。</w:t>
      </w:r>
    </w:p>
    <w:p w14:paraId="36515A29">
      <w:pPr>
        <w:spacing w:line="440" w:lineRule="exact"/>
        <w:ind w:right="-260" w:rightChars="-124" w:firstLine="57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（一）评审内容</w:t>
      </w:r>
    </w:p>
    <w:p w14:paraId="4D7D2F75">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资格是否符合；</w:t>
      </w:r>
    </w:p>
    <w:p w14:paraId="6CF3B0A1">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是否完整；</w:t>
      </w:r>
    </w:p>
    <w:p w14:paraId="49F440FA">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是否恰当地签署；</w:t>
      </w:r>
    </w:p>
    <w:p w14:paraId="0DFB3300">
      <w:pPr>
        <w:spacing w:line="440" w:lineRule="exact"/>
        <w:ind w:right="-260" w:rightChars="-124" w:firstLine="57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4、是否作出实质性响应（是否有实质性响应，只根据参选文件本身，而不寻求外部证据）；</w:t>
      </w:r>
    </w:p>
    <w:p w14:paraId="54BC567A">
      <w:pPr>
        <w:spacing w:line="440" w:lineRule="exact"/>
        <w:ind w:right="-260" w:rightChars="-124" w:firstLine="57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5、是否有计算错误。</w:t>
      </w:r>
    </w:p>
    <w:p w14:paraId="34B2F0B0">
      <w:pPr>
        <w:spacing w:line="440" w:lineRule="exact"/>
        <w:ind w:right="-260" w:rightChars="-124"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（二）相应的规定</w:t>
      </w:r>
    </w:p>
    <w:p w14:paraId="7996CF6E">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1、如果单价汇总金额与总价金额有出入，以单价金额计算结果为准；</w:t>
      </w:r>
    </w:p>
    <w:p w14:paraId="26ACC1CF">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2、单价金额小数点有明显错位的，应以总价为准；</w:t>
      </w:r>
    </w:p>
    <w:p w14:paraId="3CFD7A67">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3、若文件大写表示的数据与数字表示的有差别，以大写表示的数据为准；</w:t>
      </w:r>
    </w:p>
    <w:p w14:paraId="152B790D">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中</w:t>
      </w:r>
      <w:r>
        <w:rPr>
          <w:rFonts w:hint="eastAsia" w:ascii="宋体" w:hAnsi="宋体" w:eastAsia="宋体" w:cs="宋体"/>
          <w:sz w:val="21"/>
          <w:szCs w:val="21"/>
          <w:highlight w:val="none"/>
          <w:lang w:eastAsia="zh-CN"/>
        </w:rPr>
        <w:t>参选报价</w:t>
      </w:r>
      <w:r>
        <w:rPr>
          <w:rFonts w:hint="eastAsia" w:ascii="宋体" w:hAnsi="宋体" w:eastAsia="宋体" w:cs="宋体"/>
          <w:sz w:val="21"/>
          <w:szCs w:val="21"/>
          <w:highlight w:val="none"/>
        </w:rPr>
        <w:t>表内容与</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中其他内容不一致的，以</w:t>
      </w:r>
      <w:r>
        <w:rPr>
          <w:rFonts w:hint="eastAsia" w:ascii="宋体" w:hAnsi="宋体" w:eastAsia="宋体" w:cs="宋体"/>
          <w:sz w:val="21"/>
          <w:szCs w:val="21"/>
          <w:highlight w:val="none"/>
          <w:lang w:eastAsia="zh-CN"/>
        </w:rPr>
        <w:t>参选报价</w:t>
      </w:r>
      <w:r>
        <w:rPr>
          <w:rFonts w:hint="eastAsia" w:ascii="宋体" w:hAnsi="宋体" w:eastAsia="宋体" w:cs="宋体"/>
          <w:sz w:val="21"/>
          <w:szCs w:val="21"/>
          <w:highlight w:val="none"/>
        </w:rPr>
        <w:t>表为准。</w:t>
      </w:r>
    </w:p>
    <w:p w14:paraId="5528E439">
      <w:pPr>
        <w:spacing w:line="440" w:lineRule="exact"/>
        <w:ind w:right="-260" w:rightChars="-124" w:firstLine="57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三、陈述、演示、答疑、澄清</w:t>
      </w:r>
    </w:p>
    <w:p w14:paraId="7541BFB1">
      <w:pPr>
        <w:spacing w:line="440" w:lineRule="exact"/>
        <w:ind w:right="-260" w:rightChars="-124" w:firstLine="570"/>
        <w:rPr>
          <w:rFonts w:hint="eastAsia" w:ascii="宋体" w:hAnsi="宋体" w:eastAsia="宋体" w:cs="宋体"/>
          <w:b/>
          <w:sz w:val="21"/>
          <w:szCs w:val="21"/>
          <w:highlight w:val="none"/>
        </w:rPr>
      </w:pPr>
      <w:r>
        <w:rPr>
          <w:rFonts w:hint="eastAsia" w:ascii="宋体" w:hAnsi="宋体" w:eastAsia="宋体" w:cs="宋体"/>
          <w:sz w:val="21"/>
          <w:szCs w:val="21"/>
          <w:highlight w:val="none"/>
          <w:shd w:val="clear" w:color="auto" w:fill="FFFFFF"/>
        </w:rPr>
        <w:t>如评委会认为有必要，</w:t>
      </w:r>
      <w:r>
        <w:rPr>
          <w:rFonts w:hint="eastAsia" w:ascii="宋体" w:hAnsi="宋体" w:eastAsia="宋体" w:cs="宋体"/>
          <w:sz w:val="21"/>
          <w:szCs w:val="21"/>
          <w:highlight w:val="none"/>
          <w:shd w:val="clear" w:color="auto" w:fill="FFFFFF"/>
          <w:lang w:eastAsia="zh-CN"/>
        </w:rPr>
        <w:t>参选人</w:t>
      </w:r>
      <w:r>
        <w:rPr>
          <w:rFonts w:hint="eastAsia" w:ascii="宋体" w:hAnsi="宋体" w:eastAsia="宋体" w:cs="宋体"/>
          <w:sz w:val="21"/>
          <w:szCs w:val="21"/>
          <w:highlight w:val="none"/>
          <w:shd w:val="clear" w:color="auto" w:fill="FFFFFF"/>
        </w:rPr>
        <w:t>按评委会的要求作陈述、演示、</w:t>
      </w:r>
      <w:r>
        <w:rPr>
          <w:rFonts w:hint="eastAsia" w:ascii="宋体" w:hAnsi="宋体" w:eastAsia="宋体" w:cs="宋体"/>
          <w:sz w:val="21"/>
          <w:szCs w:val="21"/>
          <w:highlight w:val="none"/>
        </w:rPr>
        <w:t>答疑及澄清其</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内容。时间由评委会掌握。</w:t>
      </w:r>
    </w:p>
    <w:p w14:paraId="216093BF">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重要澄清答复应是书面的，但不得对</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内容进行实质性修改。</w:t>
      </w:r>
    </w:p>
    <w:p w14:paraId="172E3DA1">
      <w:pPr>
        <w:spacing w:line="440" w:lineRule="exact"/>
        <w:ind w:right="-260" w:rightChars="-124" w:firstLine="57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w:t>
      </w:r>
      <w:r>
        <w:rPr>
          <w:rFonts w:hint="eastAsia" w:ascii="宋体" w:hAnsi="宋体" w:eastAsia="宋体" w:cs="宋体"/>
          <w:b/>
          <w:bCs/>
          <w:sz w:val="21"/>
          <w:szCs w:val="21"/>
          <w:highlight w:val="none"/>
          <w:lang w:eastAsia="zh-CN"/>
        </w:rPr>
        <w:t>参选人</w:t>
      </w:r>
      <w:r>
        <w:rPr>
          <w:rFonts w:hint="eastAsia" w:ascii="宋体" w:hAnsi="宋体" w:eastAsia="宋体" w:cs="宋体"/>
          <w:b/>
          <w:bCs/>
          <w:sz w:val="21"/>
          <w:szCs w:val="21"/>
          <w:highlight w:val="none"/>
        </w:rPr>
        <w:t>不得存在下列情形之一：</w:t>
      </w:r>
    </w:p>
    <w:p w14:paraId="2BEA16E2">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1、与</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存在利害关系且可能影响</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公正性；</w:t>
      </w:r>
    </w:p>
    <w:p w14:paraId="0D379047">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2、与本</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项目的其他</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为同一个单位负责人；</w:t>
      </w:r>
    </w:p>
    <w:p w14:paraId="6496CD60">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3、与本</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项目的其他</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存在控股、管理关系；</w:t>
      </w:r>
    </w:p>
    <w:p w14:paraId="475104BD">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4、被依法暂停或者取消</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资格；</w:t>
      </w:r>
    </w:p>
    <w:p w14:paraId="1E746DB6">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、被责令停产停业、暂扣或者吊销许可证、暂扣或者吊销执照；</w:t>
      </w:r>
    </w:p>
    <w:p w14:paraId="46AD3129">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、进入清算程序，或被宣告破产，或其他丧失履约能力的情形；</w:t>
      </w:r>
    </w:p>
    <w:p w14:paraId="4C83CEF5">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、在最近三年内有骗取</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或严重违约或重大工程质量、环境、安全问题的；</w:t>
      </w:r>
    </w:p>
    <w:p w14:paraId="215EC556">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、被最高人民法院在“信用中国”网站（www.creditchina.gov.cn）或各级信用信息共享平台中列入失信被执行人名单；</w:t>
      </w:r>
    </w:p>
    <w:p w14:paraId="719E1C0A">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、法律法规或</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须知前附表规定的其他情形。</w:t>
      </w:r>
    </w:p>
    <w:p w14:paraId="1A5FE21F">
      <w:pPr>
        <w:spacing w:line="440" w:lineRule="exact"/>
        <w:ind w:right="-260" w:rightChars="-124" w:firstLine="57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五、出现下列情形之一的，作无效</w:t>
      </w:r>
      <w:r>
        <w:rPr>
          <w:rFonts w:hint="eastAsia" w:ascii="宋体" w:hAnsi="宋体" w:eastAsia="宋体" w:cs="宋体"/>
          <w:b/>
          <w:bCs/>
          <w:sz w:val="21"/>
          <w:szCs w:val="21"/>
          <w:highlight w:val="none"/>
          <w:lang w:eastAsia="zh-CN"/>
        </w:rPr>
        <w:t>参选</w:t>
      </w:r>
      <w:r>
        <w:rPr>
          <w:rFonts w:hint="eastAsia" w:ascii="宋体" w:hAnsi="宋体" w:eastAsia="宋体" w:cs="宋体"/>
          <w:b/>
          <w:bCs/>
          <w:sz w:val="21"/>
          <w:szCs w:val="21"/>
          <w:highlight w:val="none"/>
        </w:rPr>
        <w:t>处理：</w:t>
      </w:r>
    </w:p>
    <w:p w14:paraId="482F0C9F">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1、未按照</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规定要求签署、签章的；</w:t>
      </w:r>
    </w:p>
    <w:p w14:paraId="43C5DAF6">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、不具备</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中规定的资格要求的；</w:t>
      </w:r>
    </w:p>
    <w:p w14:paraId="5C2D1D4D">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、报价超过</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中规定的预算金额或者最高限价的；</w:t>
      </w:r>
    </w:p>
    <w:p w14:paraId="62AD8E6C">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含有</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不能接受的附加条件的；</w:t>
      </w:r>
    </w:p>
    <w:p w14:paraId="7CA1E010">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、不符合法律、法规和</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中规定的其他实质性要求的。</w:t>
      </w:r>
    </w:p>
    <w:p w14:paraId="7E73EBE7">
      <w:pPr>
        <w:spacing w:line="440" w:lineRule="exact"/>
        <w:ind w:right="-260" w:rightChars="-124" w:firstLine="57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六、出现下列情形之一的，作</w:t>
      </w:r>
      <w:r>
        <w:rPr>
          <w:rFonts w:hint="eastAsia" w:ascii="宋体" w:hAnsi="宋体" w:eastAsia="宋体" w:cs="宋体"/>
          <w:b/>
          <w:bCs/>
          <w:sz w:val="21"/>
          <w:szCs w:val="21"/>
          <w:highlight w:val="none"/>
          <w:lang w:val="en-US" w:eastAsia="zh-CN"/>
        </w:rPr>
        <w:t>流标或</w:t>
      </w:r>
      <w:r>
        <w:rPr>
          <w:rFonts w:hint="eastAsia" w:ascii="宋体" w:hAnsi="宋体" w:eastAsia="宋体" w:cs="宋体"/>
          <w:b/>
          <w:bCs/>
          <w:sz w:val="21"/>
          <w:szCs w:val="21"/>
          <w:highlight w:val="none"/>
        </w:rPr>
        <w:t>废标处理：</w:t>
      </w:r>
    </w:p>
    <w:p w14:paraId="4B691D38">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1、符合专业条件的</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或者对</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作实质响应的</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不足3家的；</w:t>
      </w:r>
    </w:p>
    <w:p w14:paraId="60DBFC43">
      <w:pPr>
        <w:spacing w:line="440" w:lineRule="exact"/>
        <w:ind w:right="-260" w:rightChars="-124"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2、出现影响</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公正的违法违规行为的；</w:t>
      </w:r>
    </w:p>
    <w:p w14:paraId="0850D804">
      <w:pPr>
        <w:spacing w:line="440" w:lineRule="exact"/>
        <w:ind w:right="-260" w:rightChars="-124"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的报价均超过了采购预算，</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不能支付的；</w:t>
      </w:r>
    </w:p>
    <w:p w14:paraId="419C865C">
      <w:pPr>
        <w:spacing w:line="440" w:lineRule="exact"/>
        <w:ind w:right="-260" w:rightChars="-124"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4、因重大变故，</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任务取消的。</w:t>
      </w:r>
    </w:p>
    <w:p w14:paraId="053C39E3">
      <w:pPr>
        <w:spacing w:line="440" w:lineRule="exact"/>
        <w:ind w:right="-260" w:rightChars="-124"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上述均保留评委会认定可以确定为无效</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或废标的其他情况。</w:t>
      </w:r>
    </w:p>
    <w:p w14:paraId="1EFD5BC1">
      <w:pPr>
        <w:spacing w:line="440" w:lineRule="exact"/>
        <w:ind w:right="-260" w:rightChars="-124" w:firstLine="57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七、不再</w:t>
      </w:r>
      <w:r>
        <w:rPr>
          <w:rFonts w:hint="eastAsia" w:ascii="宋体" w:hAnsi="宋体" w:eastAsia="宋体" w:cs="宋体"/>
          <w:b/>
          <w:bCs/>
          <w:sz w:val="21"/>
          <w:szCs w:val="21"/>
          <w:highlight w:val="none"/>
          <w:lang w:eastAsia="zh-CN"/>
        </w:rPr>
        <w:t>比选</w:t>
      </w:r>
      <w:r>
        <w:rPr>
          <w:rFonts w:hint="eastAsia" w:ascii="宋体" w:hAnsi="宋体" w:eastAsia="宋体" w:cs="宋体"/>
          <w:b/>
          <w:bCs/>
          <w:sz w:val="21"/>
          <w:szCs w:val="21"/>
          <w:highlight w:val="none"/>
        </w:rPr>
        <w:t>和重新</w:t>
      </w:r>
      <w:r>
        <w:rPr>
          <w:rFonts w:hint="eastAsia" w:ascii="宋体" w:hAnsi="宋体" w:eastAsia="宋体" w:cs="宋体"/>
          <w:b/>
          <w:bCs/>
          <w:sz w:val="21"/>
          <w:szCs w:val="21"/>
          <w:highlight w:val="none"/>
          <w:lang w:eastAsia="zh-CN"/>
        </w:rPr>
        <w:t>比选</w:t>
      </w:r>
    </w:p>
    <w:p w14:paraId="49F90284">
      <w:pPr>
        <w:spacing w:line="440" w:lineRule="exact"/>
        <w:ind w:right="-260" w:rightChars="-124"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1、有下列情形之一的，</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可重新组织某标段的</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w:t>
      </w:r>
    </w:p>
    <w:p w14:paraId="5DFDAECD">
      <w:pPr>
        <w:spacing w:line="440" w:lineRule="exact"/>
        <w:ind w:right="-260" w:rightChars="-124"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参选截止时间</w:t>
      </w:r>
      <w:r>
        <w:rPr>
          <w:rFonts w:hint="eastAsia" w:ascii="宋体" w:hAnsi="宋体" w:eastAsia="宋体" w:cs="宋体"/>
          <w:sz w:val="21"/>
          <w:szCs w:val="21"/>
          <w:highlight w:val="none"/>
        </w:rPr>
        <w:t>止，某标段的</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少于3个的；</w:t>
      </w:r>
    </w:p>
    <w:p w14:paraId="1302D3C6">
      <w:pPr>
        <w:spacing w:line="440" w:lineRule="exact"/>
        <w:ind w:right="-260" w:rightChars="-124"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（2）经评标委员会评审后否决某标段所有</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的；</w:t>
      </w:r>
    </w:p>
    <w:p w14:paraId="608A593B">
      <w:pPr>
        <w:spacing w:line="440" w:lineRule="exact"/>
        <w:ind w:right="-260" w:rightChars="-124"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人放弃</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或者因被投诉且已查实的，</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决定重新</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的；</w:t>
      </w:r>
    </w:p>
    <w:p w14:paraId="173EE1F5">
      <w:pPr>
        <w:spacing w:line="440" w:lineRule="exact"/>
        <w:ind w:right="-260" w:rightChars="-124"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（4）评标委员会或主管部门认定的其他原因。</w:t>
      </w:r>
    </w:p>
    <w:p w14:paraId="7EDB478A">
      <w:pPr>
        <w:spacing w:line="440" w:lineRule="exact"/>
        <w:ind w:right="-260" w:rightChars="-124"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2、某标段重新</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后</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仍少于3个或者所有</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被否决的，属于必须审批或核准的项目，经原审批或核准部门批准后可不再进行</w:t>
      </w:r>
      <w:r>
        <w:rPr>
          <w:rFonts w:hint="eastAsia" w:ascii="宋体" w:hAnsi="宋体" w:eastAsia="宋体" w:cs="宋体"/>
          <w:sz w:val="21"/>
          <w:szCs w:val="21"/>
          <w:highlight w:val="none"/>
          <w:lang w:eastAsia="zh-CN"/>
        </w:rPr>
        <w:t>比选</w:t>
      </w:r>
      <w:r>
        <w:rPr>
          <w:rFonts w:hint="eastAsia" w:ascii="宋体" w:hAnsi="宋体" w:eastAsia="宋体" w:cs="宋体"/>
          <w:sz w:val="21"/>
          <w:szCs w:val="21"/>
          <w:highlight w:val="none"/>
        </w:rPr>
        <w:t>。</w:t>
      </w:r>
    </w:p>
    <w:p w14:paraId="2305AE37">
      <w:pPr>
        <w:spacing w:line="440" w:lineRule="exact"/>
        <w:ind w:right="-260" w:rightChars="-124" w:firstLine="57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八、评标方法</w:t>
      </w:r>
    </w:p>
    <w:p w14:paraId="610FE123">
      <w:pPr>
        <w:spacing w:line="440" w:lineRule="exact"/>
        <w:ind w:right="-260" w:rightChars="-124"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采用综合评分法。分资格审查、商务技术标、价格标三部分评审，总分值为100分。</w:t>
      </w:r>
    </w:p>
    <w:p w14:paraId="50B72D22">
      <w:pPr>
        <w:spacing w:line="440" w:lineRule="exact"/>
        <w:ind w:right="-260" w:rightChars="-124"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首先由评标委员会评审</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资格性、符合性，对合格的</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由评委会评审商务技术标，待商务技术标评审结束后，再开启价格标。</w:t>
      </w:r>
    </w:p>
    <w:p w14:paraId="0A84ED8F">
      <w:pPr>
        <w:spacing w:line="440" w:lineRule="exact"/>
        <w:ind w:right="-260" w:rightChars="-124"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评委在认真审阅</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的基础上，根据各</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的商务、技术部分的响应情况，对各评分项目进行评分，不得统一打分。</w:t>
      </w:r>
    </w:p>
    <w:p w14:paraId="0FA76CF8">
      <w:pPr>
        <w:spacing w:line="440" w:lineRule="exact"/>
        <w:ind w:right="-260" w:rightChars="-124" w:firstLine="422" w:firstLineChars="200"/>
        <w:jc w:val="left"/>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（一）评标委员会对参选人资格性、符合性审查。</w:t>
      </w:r>
    </w:p>
    <w:p w14:paraId="7B2FBDF8">
      <w:pPr>
        <w:pStyle w:val="28"/>
        <w:spacing w:line="440" w:lineRule="exact"/>
        <w:ind w:right="-260" w:rightChars="-124" w:firstLine="494"/>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资格性、符合性不合格的，其</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判定为无效</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。合格的，评委对其</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继续评审。</w:t>
      </w:r>
    </w:p>
    <w:tbl>
      <w:tblPr>
        <w:tblStyle w:val="19"/>
        <w:tblW w:w="956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307"/>
        <w:gridCol w:w="4916"/>
        <w:gridCol w:w="2662"/>
      </w:tblGrid>
      <w:tr w14:paraId="6FF67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09" w:hRule="atLeast"/>
        </w:trPr>
        <w:tc>
          <w:tcPr>
            <w:tcW w:w="676" w:type="dxa"/>
            <w:tcBorders>
              <w:tl2br w:val="nil"/>
              <w:tr2bl w:val="nil"/>
            </w:tcBorders>
            <w:noWrap w:val="0"/>
            <w:vAlign w:val="center"/>
          </w:tcPr>
          <w:p w14:paraId="65D111C6">
            <w:pPr>
              <w:widowControl/>
              <w:spacing w:line="440" w:lineRule="exact"/>
              <w:jc w:val="center"/>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 w:val="21"/>
                <w:szCs w:val="21"/>
                <w:highlight w:val="none"/>
                <w:lang w:val="en-US" w:eastAsia="zh-CN" w:bidi="he-IL"/>
              </w:rPr>
              <w:t>序号</w:t>
            </w:r>
          </w:p>
        </w:tc>
        <w:tc>
          <w:tcPr>
            <w:tcW w:w="1307" w:type="dxa"/>
            <w:tcBorders>
              <w:tl2br w:val="nil"/>
              <w:tr2bl w:val="nil"/>
            </w:tcBorders>
            <w:noWrap w:val="0"/>
            <w:vAlign w:val="center"/>
          </w:tcPr>
          <w:p w14:paraId="28E84358">
            <w:pPr>
              <w:widowControl/>
              <w:spacing w:line="440" w:lineRule="exact"/>
              <w:jc w:val="center"/>
              <w:rPr>
                <w:rFonts w:hint="eastAsia" w:ascii="宋体" w:hAnsi="宋体" w:eastAsia="宋体" w:cs="宋体"/>
                <w:kern w:val="0"/>
                <w:sz w:val="21"/>
                <w:szCs w:val="21"/>
                <w:highlight w:val="none"/>
                <w:lang w:bidi="he-IL"/>
              </w:rPr>
            </w:pPr>
            <w:r>
              <w:rPr>
                <w:rFonts w:hint="eastAsia" w:ascii="宋体" w:hAnsi="宋体" w:eastAsia="宋体" w:cs="宋体"/>
                <w:kern w:val="0"/>
                <w:sz w:val="21"/>
                <w:szCs w:val="21"/>
                <w:highlight w:val="none"/>
                <w:lang w:bidi="he-IL"/>
              </w:rPr>
              <w:t>项目内容</w:t>
            </w:r>
          </w:p>
        </w:tc>
        <w:tc>
          <w:tcPr>
            <w:tcW w:w="4916" w:type="dxa"/>
            <w:tcBorders>
              <w:tl2br w:val="nil"/>
              <w:tr2bl w:val="nil"/>
            </w:tcBorders>
            <w:noWrap w:val="0"/>
            <w:vAlign w:val="center"/>
          </w:tcPr>
          <w:p w14:paraId="67B10837">
            <w:pPr>
              <w:widowControl/>
              <w:spacing w:line="440" w:lineRule="exact"/>
              <w:jc w:val="center"/>
              <w:rPr>
                <w:rFonts w:hint="eastAsia" w:ascii="宋体" w:hAnsi="宋体" w:eastAsia="宋体" w:cs="宋体"/>
                <w:kern w:val="0"/>
                <w:sz w:val="21"/>
                <w:szCs w:val="21"/>
                <w:highlight w:val="none"/>
                <w:lang w:bidi="he-IL"/>
              </w:rPr>
            </w:pPr>
            <w:r>
              <w:rPr>
                <w:rFonts w:hint="eastAsia" w:ascii="宋体" w:hAnsi="宋体" w:eastAsia="宋体" w:cs="宋体"/>
                <w:kern w:val="0"/>
                <w:sz w:val="21"/>
                <w:szCs w:val="21"/>
                <w:highlight w:val="none"/>
                <w:lang w:bidi="he-IL"/>
              </w:rPr>
              <w:t>合格条件</w:t>
            </w:r>
          </w:p>
        </w:tc>
        <w:tc>
          <w:tcPr>
            <w:tcW w:w="2662" w:type="dxa"/>
            <w:tcBorders>
              <w:tl2br w:val="nil"/>
              <w:tr2bl w:val="nil"/>
            </w:tcBorders>
            <w:noWrap w:val="0"/>
            <w:vAlign w:val="center"/>
          </w:tcPr>
          <w:p w14:paraId="0D4E1AB4">
            <w:pPr>
              <w:widowControl/>
              <w:spacing w:line="440" w:lineRule="exact"/>
              <w:jc w:val="center"/>
              <w:rPr>
                <w:rFonts w:hint="eastAsia" w:ascii="宋体" w:hAnsi="宋体" w:eastAsia="宋体" w:cs="宋体"/>
                <w:kern w:val="0"/>
                <w:sz w:val="21"/>
                <w:szCs w:val="21"/>
                <w:highlight w:val="none"/>
                <w:lang w:bidi="he-IL"/>
              </w:rPr>
            </w:pPr>
            <w:r>
              <w:rPr>
                <w:rFonts w:hint="eastAsia" w:ascii="宋体" w:hAnsi="宋体" w:eastAsia="宋体" w:cs="宋体"/>
                <w:kern w:val="0"/>
                <w:sz w:val="21"/>
                <w:szCs w:val="21"/>
                <w:highlight w:val="none"/>
                <w:lang w:bidi="he-IL"/>
              </w:rPr>
              <w:t>需提供的证明材料</w:t>
            </w:r>
            <w:r>
              <w:rPr>
                <w:rFonts w:hint="eastAsia" w:ascii="宋体" w:hAnsi="宋体" w:eastAsia="宋体" w:cs="宋体"/>
                <w:sz w:val="21"/>
                <w:szCs w:val="21"/>
                <w:highlight w:val="none"/>
              </w:rPr>
              <w:t>复印件（或扫描件）</w:t>
            </w:r>
          </w:p>
        </w:tc>
      </w:tr>
      <w:tr w14:paraId="6BF3D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76" w:type="dxa"/>
            <w:tcBorders>
              <w:tl2br w:val="nil"/>
              <w:tr2bl w:val="nil"/>
            </w:tcBorders>
            <w:noWrap w:val="0"/>
            <w:vAlign w:val="center"/>
          </w:tcPr>
          <w:p w14:paraId="1A5AAA89">
            <w:pPr>
              <w:widowControl/>
              <w:spacing w:line="440" w:lineRule="exact"/>
              <w:jc w:val="center"/>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 w:val="21"/>
                <w:szCs w:val="21"/>
                <w:highlight w:val="none"/>
                <w:lang w:val="en-US" w:eastAsia="zh-CN" w:bidi="he-IL"/>
              </w:rPr>
              <w:t>1</w:t>
            </w:r>
          </w:p>
        </w:tc>
        <w:tc>
          <w:tcPr>
            <w:tcW w:w="1307" w:type="dxa"/>
            <w:vMerge w:val="restart"/>
            <w:tcBorders>
              <w:tl2br w:val="nil"/>
              <w:tr2bl w:val="nil"/>
            </w:tcBorders>
            <w:noWrap w:val="0"/>
            <w:vAlign w:val="center"/>
          </w:tcPr>
          <w:p w14:paraId="6C7923BE">
            <w:pPr>
              <w:widowControl/>
              <w:spacing w:line="440" w:lineRule="exact"/>
              <w:jc w:val="center"/>
              <w:rPr>
                <w:rFonts w:hint="eastAsia" w:ascii="宋体" w:hAnsi="宋体" w:eastAsia="宋体" w:cs="宋体"/>
                <w:kern w:val="0"/>
                <w:sz w:val="21"/>
                <w:szCs w:val="21"/>
                <w:highlight w:val="none"/>
                <w:lang w:bidi="he-IL"/>
              </w:rPr>
            </w:pPr>
            <w:r>
              <w:rPr>
                <w:rFonts w:hint="eastAsia" w:ascii="宋体" w:hAnsi="宋体" w:eastAsia="宋体" w:cs="宋体"/>
                <w:kern w:val="0"/>
                <w:sz w:val="21"/>
                <w:szCs w:val="21"/>
                <w:highlight w:val="none"/>
                <w:lang w:eastAsia="zh-CN" w:bidi="he-IL"/>
              </w:rPr>
              <w:t>参选人</w:t>
            </w:r>
            <w:r>
              <w:rPr>
                <w:rFonts w:hint="eastAsia" w:ascii="宋体" w:hAnsi="宋体" w:eastAsia="宋体" w:cs="宋体"/>
                <w:kern w:val="0"/>
                <w:sz w:val="21"/>
                <w:szCs w:val="21"/>
                <w:highlight w:val="none"/>
                <w:lang w:bidi="he-IL"/>
              </w:rPr>
              <w:t>应具备的资质条件要求</w:t>
            </w:r>
          </w:p>
        </w:tc>
        <w:tc>
          <w:tcPr>
            <w:tcW w:w="4916" w:type="dxa"/>
            <w:tcBorders>
              <w:tl2br w:val="nil"/>
              <w:tr2bl w:val="nil"/>
            </w:tcBorders>
            <w:noWrap w:val="0"/>
            <w:vAlign w:val="center"/>
          </w:tcPr>
          <w:p w14:paraId="7DE8BA27">
            <w:pPr>
              <w:widowControl/>
              <w:spacing w:line="440" w:lineRule="exact"/>
              <w:rPr>
                <w:rFonts w:hint="eastAsia" w:ascii="宋体" w:hAnsi="宋体" w:eastAsia="宋体" w:cs="宋体"/>
                <w:kern w:val="0"/>
                <w:sz w:val="21"/>
                <w:szCs w:val="21"/>
                <w:highlight w:val="none"/>
                <w:lang w:bidi="he-IL"/>
              </w:rPr>
            </w:pPr>
            <w:r>
              <w:rPr>
                <w:rFonts w:hint="eastAsia" w:ascii="宋体" w:hAnsi="宋体" w:eastAsia="宋体" w:cs="宋体"/>
                <w:kern w:val="0"/>
                <w:sz w:val="21"/>
                <w:szCs w:val="21"/>
                <w:highlight w:val="none"/>
                <w:lang w:val="en-US" w:eastAsia="zh-CN" w:bidi="he-IL"/>
              </w:rPr>
              <w:t>参选人须是在中华人民共和国境内注册且具有独立法人资格的企事业单位。</w:t>
            </w:r>
          </w:p>
        </w:tc>
        <w:tc>
          <w:tcPr>
            <w:tcW w:w="2662" w:type="dxa"/>
            <w:tcBorders>
              <w:tl2br w:val="nil"/>
              <w:tr2bl w:val="nil"/>
            </w:tcBorders>
            <w:noWrap w:val="0"/>
            <w:vAlign w:val="center"/>
          </w:tcPr>
          <w:p w14:paraId="3FB831BD">
            <w:pPr>
              <w:widowControl/>
              <w:spacing w:line="440" w:lineRule="exact"/>
              <w:rPr>
                <w:rFonts w:hint="eastAsia" w:ascii="宋体" w:hAnsi="宋体" w:eastAsia="宋体" w:cs="宋体"/>
                <w:kern w:val="0"/>
                <w:sz w:val="21"/>
                <w:szCs w:val="21"/>
                <w:highlight w:val="none"/>
                <w:lang w:bidi="he-IL"/>
              </w:rPr>
            </w:pPr>
            <w:r>
              <w:rPr>
                <w:rFonts w:hint="eastAsia" w:ascii="宋体" w:hAnsi="宋体" w:eastAsia="宋体" w:cs="宋体"/>
                <w:sz w:val="21"/>
                <w:szCs w:val="21"/>
                <w:highlight w:val="none"/>
              </w:rPr>
              <w:t>营业执照；</w:t>
            </w:r>
            <w:r>
              <w:rPr>
                <w:rFonts w:hint="eastAsia" w:ascii="宋体" w:hAnsi="宋体" w:eastAsia="宋体" w:cs="宋体"/>
                <w:sz w:val="21"/>
                <w:szCs w:val="21"/>
                <w:highlight w:val="none"/>
                <w:lang w:val="en-US" w:eastAsia="zh-CN"/>
              </w:rPr>
              <w:t>参选</w:t>
            </w:r>
            <w:r>
              <w:rPr>
                <w:rFonts w:hint="eastAsia" w:ascii="宋体" w:hAnsi="宋体" w:eastAsia="宋体" w:cs="宋体"/>
                <w:sz w:val="21"/>
                <w:szCs w:val="21"/>
                <w:highlight w:val="none"/>
              </w:rPr>
              <w:t>人若为事业法人单位须提供事业单位法人证书</w:t>
            </w:r>
          </w:p>
        </w:tc>
      </w:tr>
      <w:tr w14:paraId="43BAB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676" w:type="dxa"/>
            <w:tcBorders>
              <w:tl2br w:val="nil"/>
              <w:tr2bl w:val="nil"/>
            </w:tcBorders>
            <w:noWrap w:val="0"/>
            <w:vAlign w:val="center"/>
          </w:tcPr>
          <w:p w14:paraId="3116E1D5">
            <w:pPr>
              <w:widowControl/>
              <w:spacing w:line="440" w:lineRule="exact"/>
              <w:jc w:val="center"/>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 w:val="21"/>
                <w:szCs w:val="21"/>
                <w:highlight w:val="none"/>
                <w:lang w:val="en-US" w:eastAsia="zh-CN" w:bidi="he-IL"/>
              </w:rPr>
              <w:t>2</w:t>
            </w:r>
          </w:p>
        </w:tc>
        <w:tc>
          <w:tcPr>
            <w:tcW w:w="1307" w:type="dxa"/>
            <w:vMerge w:val="continue"/>
            <w:tcBorders>
              <w:tl2br w:val="nil"/>
              <w:tr2bl w:val="nil"/>
            </w:tcBorders>
            <w:noWrap w:val="0"/>
            <w:vAlign w:val="center"/>
          </w:tcPr>
          <w:p w14:paraId="531CF669">
            <w:pPr>
              <w:widowControl/>
              <w:spacing w:line="440" w:lineRule="exact"/>
              <w:jc w:val="center"/>
              <w:rPr>
                <w:rFonts w:hint="eastAsia" w:ascii="宋体" w:hAnsi="宋体" w:eastAsia="宋体" w:cs="宋体"/>
                <w:kern w:val="0"/>
                <w:sz w:val="21"/>
                <w:szCs w:val="21"/>
                <w:highlight w:val="none"/>
                <w:lang w:bidi="he-IL"/>
              </w:rPr>
            </w:pPr>
          </w:p>
        </w:tc>
        <w:tc>
          <w:tcPr>
            <w:tcW w:w="4916" w:type="dxa"/>
            <w:tcBorders>
              <w:tl2br w:val="nil"/>
              <w:tr2bl w:val="nil"/>
            </w:tcBorders>
            <w:shd w:val="clear" w:color="auto" w:fill="auto"/>
            <w:noWrap w:val="0"/>
            <w:vAlign w:val="center"/>
          </w:tcPr>
          <w:p w14:paraId="4604031F">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自2021年1月1日至今，参选人至少须具有1项城市轨道交通弱电相关设备（至少包含通信、信号、综合监控、火灾自动报警、自动售检票中的一项）安装、调试或维护项目业绩。</w:t>
            </w:r>
          </w:p>
        </w:tc>
        <w:tc>
          <w:tcPr>
            <w:tcW w:w="2662" w:type="dxa"/>
            <w:tcBorders>
              <w:tl2br w:val="nil"/>
              <w:tr2bl w:val="nil"/>
            </w:tcBorders>
            <w:shd w:val="clear" w:color="auto" w:fill="auto"/>
            <w:noWrap w:val="0"/>
            <w:vAlign w:val="center"/>
          </w:tcPr>
          <w:p w14:paraId="6A13492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bidi="he-IL"/>
              </w:rPr>
            </w:pPr>
            <w:r>
              <w:rPr>
                <w:rFonts w:hint="eastAsia" w:ascii="宋体" w:hAnsi="宋体" w:eastAsia="宋体" w:cs="宋体"/>
                <w:color w:val="auto"/>
                <w:kern w:val="0"/>
                <w:sz w:val="21"/>
                <w:szCs w:val="21"/>
                <w:highlight w:val="none"/>
                <w:lang w:val="en-US" w:eastAsia="zh-CN" w:bidi="he-IL"/>
              </w:rPr>
              <w:t>须同时提供：</w:t>
            </w:r>
          </w:p>
          <w:p w14:paraId="5CDC70A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bidi="he-IL"/>
              </w:rPr>
            </w:pPr>
            <w:r>
              <w:rPr>
                <w:rFonts w:hint="eastAsia" w:ascii="宋体" w:hAnsi="宋体" w:eastAsia="宋体" w:cs="宋体"/>
                <w:color w:val="auto"/>
                <w:kern w:val="0"/>
                <w:sz w:val="21"/>
                <w:szCs w:val="21"/>
                <w:highlight w:val="none"/>
                <w:lang w:val="en-US" w:eastAsia="zh-CN" w:bidi="he-IL"/>
              </w:rPr>
              <w:t>①合同；</w:t>
            </w:r>
          </w:p>
          <w:p w14:paraId="512C281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lang w:val="en-US" w:eastAsia="zh-CN" w:bidi="he-IL"/>
              </w:rPr>
            </w:pPr>
            <w:r>
              <w:rPr>
                <w:rFonts w:hint="eastAsia" w:ascii="宋体" w:hAnsi="宋体" w:eastAsia="宋体" w:cs="宋体"/>
                <w:color w:val="auto"/>
                <w:kern w:val="0"/>
                <w:sz w:val="21"/>
                <w:szCs w:val="21"/>
                <w:highlight w:val="none"/>
                <w:lang w:val="en-US" w:eastAsia="zh-CN" w:bidi="he-IL"/>
              </w:rPr>
              <w:t>②验收报告或业主证明（需合同签订单位出具）</w:t>
            </w:r>
          </w:p>
          <w:p w14:paraId="1B59FC7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以合同签订时间为准。</w:t>
            </w:r>
          </w:p>
        </w:tc>
      </w:tr>
      <w:tr w14:paraId="5F6F3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76" w:type="dxa"/>
            <w:tcBorders>
              <w:tl2br w:val="nil"/>
              <w:tr2bl w:val="nil"/>
            </w:tcBorders>
            <w:noWrap w:val="0"/>
            <w:vAlign w:val="center"/>
          </w:tcPr>
          <w:p w14:paraId="2E8F3D09">
            <w:pPr>
              <w:widowControl/>
              <w:spacing w:line="440" w:lineRule="exact"/>
              <w:jc w:val="center"/>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 w:val="21"/>
                <w:szCs w:val="21"/>
                <w:highlight w:val="none"/>
                <w:lang w:val="en-US" w:eastAsia="zh-CN" w:bidi="he-IL"/>
              </w:rPr>
              <w:t>3</w:t>
            </w:r>
          </w:p>
        </w:tc>
        <w:tc>
          <w:tcPr>
            <w:tcW w:w="1307" w:type="dxa"/>
            <w:vMerge w:val="continue"/>
            <w:tcBorders>
              <w:tl2br w:val="nil"/>
              <w:tr2bl w:val="nil"/>
            </w:tcBorders>
            <w:noWrap w:val="0"/>
            <w:vAlign w:val="center"/>
          </w:tcPr>
          <w:p w14:paraId="76F43E27">
            <w:pPr>
              <w:widowControl/>
              <w:spacing w:line="440" w:lineRule="exact"/>
              <w:jc w:val="center"/>
              <w:rPr>
                <w:rFonts w:hint="eastAsia" w:ascii="宋体" w:hAnsi="宋体" w:eastAsia="宋体" w:cs="宋体"/>
                <w:kern w:val="0"/>
                <w:sz w:val="21"/>
                <w:szCs w:val="21"/>
                <w:highlight w:val="none"/>
                <w:lang w:bidi="he-IL"/>
              </w:rPr>
            </w:pPr>
          </w:p>
        </w:tc>
        <w:tc>
          <w:tcPr>
            <w:tcW w:w="4916" w:type="dxa"/>
            <w:tcBorders>
              <w:tl2br w:val="nil"/>
              <w:tr2bl w:val="nil"/>
            </w:tcBorders>
            <w:shd w:val="clear" w:color="auto" w:fill="auto"/>
            <w:noWrap w:val="0"/>
            <w:vAlign w:val="center"/>
          </w:tcPr>
          <w:p w14:paraId="18D006B3">
            <w:pPr>
              <w:widowControl/>
              <w:spacing w:line="440" w:lineRule="exact"/>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 w:val="21"/>
                <w:szCs w:val="21"/>
                <w:highlight w:val="none"/>
                <w:lang w:val="en-US" w:eastAsia="zh-CN" w:bidi="he-IL"/>
              </w:rPr>
              <w:t>与比选人存在利害关系可能影响采购公正性的法人、其他组织或者个人，不得参加本项目比选；单位负责人为同一人或者存在控股、管理关系的不同单位，不得参加本项目比选。</w:t>
            </w:r>
          </w:p>
          <w:p w14:paraId="66AF5778">
            <w:pPr>
              <w:widowControl/>
              <w:spacing w:line="440" w:lineRule="exact"/>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 w:val="21"/>
                <w:szCs w:val="21"/>
                <w:highlight w:val="none"/>
                <w:lang w:val="en-US" w:eastAsia="zh-CN" w:bidi="he-IL"/>
              </w:rPr>
              <w:t>参选人没有处于被责令停业，或投标资格被暂停或取消，或财产被接管、冻结、破产状态。</w:t>
            </w:r>
          </w:p>
          <w:p w14:paraId="62A3D83F">
            <w:pPr>
              <w:widowControl/>
              <w:spacing w:line="440" w:lineRule="exact"/>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 w:val="21"/>
                <w:szCs w:val="21"/>
                <w:highlight w:val="none"/>
                <w:lang w:val="en-US" w:eastAsia="zh-CN" w:bidi="he-IL"/>
              </w:rPr>
              <w:t>根据《关于在公共资源交易领域的招标投标活动中建立对失信被执行人联合惩戒的实施意见》（苏信用办[2018]23号文），参选人未被“信用中国”列入失信被执行人名单。</w:t>
            </w:r>
          </w:p>
          <w:p w14:paraId="1A84D94C">
            <w:pPr>
              <w:widowControl/>
              <w:spacing w:line="440" w:lineRule="exact"/>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 w:val="21"/>
                <w:szCs w:val="21"/>
                <w:highlight w:val="none"/>
                <w:lang w:val="en-US" w:eastAsia="zh-CN" w:bidi="he-IL"/>
              </w:rPr>
              <w:t>参选人未被国家企业信用信息公示系统列入严重违法失信企业名单。</w:t>
            </w:r>
          </w:p>
        </w:tc>
        <w:tc>
          <w:tcPr>
            <w:tcW w:w="2662" w:type="dxa"/>
            <w:tcBorders>
              <w:tl2br w:val="nil"/>
              <w:tr2bl w:val="nil"/>
            </w:tcBorders>
            <w:shd w:val="clear" w:color="auto" w:fill="auto"/>
            <w:noWrap w:val="0"/>
            <w:vAlign w:val="center"/>
          </w:tcPr>
          <w:p w14:paraId="1A7EB62D">
            <w:pPr>
              <w:widowControl/>
              <w:spacing w:line="44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参选承诺书</w:t>
            </w:r>
          </w:p>
        </w:tc>
      </w:tr>
      <w:tr w14:paraId="3CEB6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76" w:type="dxa"/>
            <w:tcBorders>
              <w:tl2br w:val="nil"/>
              <w:tr2bl w:val="nil"/>
            </w:tcBorders>
            <w:noWrap w:val="0"/>
            <w:vAlign w:val="center"/>
          </w:tcPr>
          <w:p w14:paraId="440EDFE1">
            <w:pPr>
              <w:widowControl/>
              <w:spacing w:line="440" w:lineRule="exact"/>
              <w:jc w:val="center"/>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 w:val="21"/>
                <w:szCs w:val="21"/>
                <w:highlight w:val="none"/>
                <w:lang w:val="en-US" w:eastAsia="zh-CN" w:bidi="he-IL"/>
              </w:rPr>
              <w:t>4</w:t>
            </w:r>
          </w:p>
        </w:tc>
        <w:tc>
          <w:tcPr>
            <w:tcW w:w="1307" w:type="dxa"/>
            <w:tcBorders>
              <w:tl2br w:val="nil"/>
              <w:tr2bl w:val="nil"/>
            </w:tcBorders>
            <w:noWrap w:val="0"/>
            <w:vAlign w:val="center"/>
          </w:tcPr>
          <w:p w14:paraId="1231722C">
            <w:pPr>
              <w:widowControl/>
              <w:spacing w:line="440" w:lineRule="exact"/>
              <w:jc w:val="center"/>
              <w:rPr>
                <w:rFonts w:hint="eastAsia" w:ascii="宋体" w:hAnsi="宋体" w:eastAsia="宋体" w:cs="宋体"/>
                <w:kern w:val="0"/>
                <w:sz w:val="21"/>
                <w:szCs w:val="21"/>
                <w:highlight w:val="none"/>
                <w:lang w:bidi="he-IL"/>
              </w:rPr>
            </w:pPr>
            <w:r>
              <w:rPr>
                <w:rFonts w:hint="eastAsia" w:ascii="宋体" w:hAnsi="宋体" w:eastAsia="宋体" w:cs="宋体"/>
                <w:kern w:val="0"/>
                <w:sz w:val="21"/>
                <w:szCs w:val="21"/>
                <w:highlight w:val="none"/>
                <w:lang w:bidi="he-IL"/>
              </w:rPr>
              <w:t>项目负责人要求</w:t>
            </w:r>
          </w:p>
        </w:tc>
        <w:tc>
          <w:tcPr>
            <w:tcW w:w="4916" w:type="dxa"/>
            <w:tcBorders>
              <w:tl2br w:val="nil"/>
              <w:tr2bl w:val="nil"/>
            </w:tcBorders>
            <w:shd w:val="clear" w:color="auto" w:fill="auto"/>
            <w:noWrap w:val="0"/>
            <w:vAlign w:val="center"/>
          </w:tcPr>
          <w:p w14:paraId="517D404E">
            <w:pPr>
              <w:widowControl/>
              <w:spacing w:line="440" w:lineRule="exact"/>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 w:val="21"/>
                <w:szCs w:val="21"/>
                <w:highlight w:val="none"/>
                <w:lang w:val="en-US" w:eastAsia="zh-CN" w:bidi="he-IL"/>
              </w:rPr>
              <w:t>项目负责人为参选人正式员工，大专及以上学历，年龄40周岁以下，具有3年及以上城市轨道交通弱电相关设备(至少包含通信、信号、综合监控、火灾自动报警、自动售检票中的一项)安装、调试或维护工作经验，具备低压电工作业证、高处作业操作证。</w:t>
            </w:r>
          </w:p>
        </w:tc>
        <w:tc>
          <w:tcPr>
            <w:tcW w:w="2662" w:type="dxa"/>
            <w:tcBorders>
              <w:tl2br w:val="nil"/>
              <w:tr2bl w:val="nil"/>
            </w:tcBorders>
            <w:shd w:val="clear" w:color="auto" w:fill="auto"/>
            <w:noWrap w:val="0"/>
            <w:vAlign w:val="center"/>
          </w:tcPr>
          <w:p w14:paraId="1C70FBD6">
            <w:pPr>
              <w:pStyle w:val="28"/>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须同时提供：</w:t>
            </w:r>
          </w:p>
          <w:p w14:paraId="0836218E">
            <w:pPr>
              <w:pStyle w:val="28"/>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劳动合同</w:t>
            </w:r>
            <w:r>
              <w:rPr>
                <w:rFonts w:hint="eastAsia" w:ascii="宋体" w:hAnsi="宋体" w:eastAsia="宋体" w:cs="宋体"/>
                <w:color w:val="auto"/>
                <w:sz w:val="21"/>
                <w:szCs w:val="21"/>
                <w:highlight w:val="none"/>
                <w:lang w:val="en-US" w:eastAsia="zh-CN"/>
              </w:rPr>
              <w:t>或近三个月中任一一个月社保缴纳证明</w:t>
            </w:r>
            <w:r>
              <w:rPr>
                <w:rFonts w:hint="eastAsia" w:ascii="宋体" w:hAnsi="宋体" w:eastAsia="宋体" w:cs="宋体"/>
                <w:color w:val="auto"/>
                <w:sz w:val="21"/>
                <w:szCs w:val="21"/>
                <w:highlight w:val="none"/>
              </w:rPr>
              <w:t>；</w:t>
            </w:r>
          </w:p>
          <w:p w14:paraId="2B8855E2">
            <w:pPr>
              <w:pStyle w:val="2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②毕业证书或学位证书；</w:t>
            </w:r>
          </w:p>
          <w:p w14:paraId="585AB862">
            <w:pPr>
              <w:pStyle w:val="2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③身份证；</w:t>
            </w:r>
          </w:p>
          <w:p w14:paraId="1367824A">
            <w:pPr>
              <w:pStyle w:val="2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④工作经验</w:t>
            </w:r>
            <w:r>
              <w:rPr>
                <w:rFonts w:hint="eastAsia" w:ascii="宋体" w:eastAsia="宋体" w:cs="宋体"/>
                <w:color w:val="auto"/>
                <w:sz w:val="21"/>
                <w:szCs w:val="21"/>
                <w:highlight w:val="none"/>
                <w:lang w:val="en-US" w:eastAsia="zh-CN"/>
              </w:rPr>
              <w:t>由参选人自行承诺并加盖公章</w:t>
            </w:r>
            <w:r>
              <w:rPr>
                <w:rFonts w:hint="eastAsia" w:ascii="宋体" w:hAnsi="宋体" w:eastAsia="宋体" w:cs="宋体"/>
                <w:color w:val="auto"/>
                <w:sz w:val="21"/>
                <w:szCs w:val="21"/>
                <w:highlight w:val="none"/>
                <w:lang w:val="en-US" w:eastAsia="zh-CN"/>
              </w:rPr>
              <w:t>；</w:t>
            </w:r>
          </w:p>
          <w:p w14:paraId="2E0B562D">
            <w:pPr>
              <w:pStyle w:val="2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0"/>
                <w:sz w:val="21"/>
                <w:szCs w:val="21"/>
                <w:highlight w:val="none"/>
                <w:lang w:val="en-US" w:eastAsia="zh-CN" w:bidi="he-IL"/>
              </w:rPr>
            </w:pPr>
            <w:r>
              <w:rPr>
                <w:rFonts w:hint="eastAsia" w:ascii="宋体" w:hAnsi="宋体" w:eastAsia="宋体" w:cs="宋体"/>
                <w:color w:val="auto"/>
                <w:sz w:val="21"/>
                <w:szCs w:val="21"/>
                <w:highlight w:val="none"/>
                <w:lang w:val="en-US" w:eastAsia="zh-CN"/>
              </w:rPr>
              <w:t>⑤低压电工作业证和高处作业操作证</w:t>
            </w:r>
          </w:p>
        </w:tc>
      </w:tr>
      <w:tr w14:paraId="7F109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76" w:type="dxa"/>
            <w:tcBorders>
              <w:tl2br w:val="nil"/>
              <w:tr2bl w:val="nil"/>
            </w:tcBorders>
            <w:noWrap w:val="0"/>
            <w:vAlign w:val="center"/>
          </w:tcPr>
          <w:p w14:paraId="131EEFBD">
            <w:pPr>
              <w:widowControl/>
              <w:spacing w:line="440" w:lineRule="exact"/>
              <w:jc w:val="center"/>
              <w:rPr>
                <w:rFonts w:hint="eastAsia" w:ascii="宋体" w:hAnsi="宋体" w:eastAsia="宋体" w:cs="宋体"/>
                <w:kern w:val="0"/>
                <w:sz w:val="21"/>
                <w:szCs w:val="21"/>
                <w:highlight w:val="none"/>
                <w:lang w:eastAsia="zh-CN" w:bidi="he-IL"/>
              </w:rPr>
            </w:pPr>
            <w:r>
              <w:rPr>
                <w:rFonts w:hint="eastAsia" w:ascii="宋体" w:hAnsi="宋体" w:eastAsia="宋体" w:cs="宋体"/>
                <w:kern w:val="0"/>
                <w:sz w:val="21"/>
                <w:szCs w:val="21"/>
                <w:highlight w:val="none"/>
                <w:lang w:val="en-US" w:eastAsia="zh-CN" w:bidi="he-IL"/>
              </w:rPr>
              <w:t>5</w:t>
            </w:r>
          </w:p>
        </w:tc>
        <w:tc>
          <w:tcPr>
            <w:tcW w:w="1307" w:type="dxa"/>
            <w:tcBorders>
              <w:tl2br w:val="nil"/>
              <w:tr2bl w:val="nil"/>
            </w:tcBorders>
            <w:noWrap w:val="0"/>
            <w:vAlign w:val="center"/>
          </w:tcPr>
          <w:p w14:paraId="41B4A75A">
            <w:pPr>
              <w:widowControl/>
              <w:spacing w:line="440" w:lineRule="exact"/>
              <w:jc w:val="center"/>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 w:val="21"/>
                <w:szCs w:val="21"/>
                <w:highlight w:val="none"/>
                <w:lang w:val="en-US" w:eastAsia="zh-CN" w:bidi="he-IL"/>
              </w:rPr>
              <w:t>其他</w:t>
            </w:r>
          </w:p>
        </w:tc>
        <w:tc>
          <w:tcPr>
            <w:tcW w:w="4916" w:type="dxa"/>
            <w:tcBorders>
              <w:tl2br w:val="nil"/>
              <w:tr2bl w:val="nil"/>
            </w:tcBorders>
            <w:noWrap w:val="0"/>
            <w:vAlign w:val="center"/>
          </w:tcPr>
          <w:p w14:paraId="0CCE32C1">
            <w:pPr>
              <w:widowControl/>
              <w:spacing w:line="440" w:lineRule="exact"/>
              <w:rPr>
                <w:rFonts w:hint="eastAsia" w:ascii="宋体" w:hAnsi="宋体" w:eastAsia="宋体" w:cs="宋体"/>
                <w:kern w:val="0"/>
                <w:sz w:val="21"/>
                <w:szCs w:val="21"/>
                <w:highlight w:val="none"/>
                <w:lang w:bidi="he-IL"/>
              </w:rPr>
            </w:pPr>
            <w:r>
              <w:rPr>
                <w:rFonts w:hint="eastAsia" w:ascii="宋体" w:hAnsi="宋体" w:eastAsia="宋体" w:cs="宋体"/>
                <w:sz w:val="21"/>
                <w:szCs w:val="21"/>
                <w:highlight w:val="none"/>
              </w:rPr>
              <w:t>本项目不接受联合体</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w:t>
            </w:r>
          </w:p>
        </w:tc>
        <w:tc>
          <w:tcPr>
            <w:tcW w:w="2662" w:type="dxa"/>
            <w:tcBorders>
              <w:tl2br w:val="nil"/>
              <w:tr2bl w:val="nil"/>
            </w:tcBorders>
            <w:noWrap w:val="0"/>
            <w:vAlign w:val="center"/>
          </w:tcPr>
          <w:p w14:paraId="0835C01F">
            <w:pPr>
              <w:widowControl/>
              <w:spacing w:line="440" w:lineRule="exact"/>
              <w:jc w:val="left"/>
              <w:rPr>
                <w:rFonts w:hint="eastAsia" w:ascii="宋体" w:hAnsi="宋体" w:eastAsia="宋体" w:cs="宋体"/>
                <w:kern w:val="0"/>
                <w:sz w:val="21"/>
                <w:szCs w:val="21"/>
                <w:highlight w:val="none"/>
                <w:lang w:bidi="he-IL"/>
              </w:rPr>
            </w:pPr>
            <w:r>
              <w:rPr>
                <w:rFonts w:hint="eastAsia" w:ascii="宋体" w:hAnsi="宋体" w:eastAsia="宋体" w:cs="宋体"/>
                <w:sz w:val="21"/>
                <w:szCs w:val="21"/>
                <w:highlight w:val="none"/>
              </w:rPr>
              <w:t>/</w:t>
            </w:r>
          </w:p>
        </w:tc>
      </w:tr>
    </w:tbl>
    <w:p w14:paraId="77946806">
      <w:pPr>
        <w:spacing w:line="440" w:lineRule="exact"/>
        <w:ind w:firstLine="422" w:firstLineChars="200"/>
        <w:jc w:val="left"/>
        <w:rPr>
          <w:rFonts w:hint="eastAsia" w:ascii="宋体" w:hAnsi="宋体" w:eastAsia="宋体" w:cs="宋体"/>
          <w:sz w:val="21"/>
          <w:szCs w:val="21"/>
          <w:highlight w:val="none"/>
          <w:lang w:val="zh-CN"/>
        </w:rPr>
      </w:pPr>
      <w:r>
        <w:rPr>
          <w:rFonts w:hint="eastAsia" w:ascii="宋体" w:hAnsi="宋体" w:eastAsia="宋体" w:cs="宋体"/>
          <w:b/>
          <w:sz w:val="21"/>
          <w:szCs w:val="21"/>
          <w:highlight w:val="none"/>
          <w:lang w:val="zh-CN"/>
        </w:rPr>
        <w:t xml:space="preserve"> (二)评审因素和标准（总分100分）</w:t>
      </w:r>
    </w:p>
    <w:tbl>
      <w:tblPr>
        <w:tblStyle w:val="19"/>
        <w:tblW w:w="9640" w:type="dxa"/>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255"/>
        <w:gridCol w:w="6587"/>
        <w:gridCol w:w="740"/>
      </w:tblGrid>
      <w:tr w14:paraId="1C8FF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84" w:hRule="atLeast"/>
        </w:trPr>
        <w:tc>
          <w:tcPr>
            <w:tcW w:w="2313" w:type="dxa"/>
            <w:gridSpan w:val="2"/>
            <w:noWrap w:val="0"/>
            <w:vAlign w:val="center"/>
          </w:tcPr>
          <w:p w14:paraId="18EDBBA9">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分值构成</w:t>
            </w:r>
          </w:p>
          <w:p w14:paraId="53F6C1B9">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(总分100分)</w:t>
            </w:r>
          </w:p>
        </w:tc>
        <w:tc>
          <w:tcPr>
            <w:tcW w:w="7327" w:type="dxa"/>
            <w:gridSpan w:val="2"/>
            <w:noWrap w:val="0"/>
            <w:vAlign w:val="center"/>
          </w:tcPr>
          <w:p w14:paraId="0B949DC6">
            <w:pPr>
              <w:autoSpaceDE/>
              <w:autoSpaceDN/>
              <w:spacing w:before="0" w:after="0" w:line="440" w:lineRule="exact"/>
              <w:ind w:left="0" w:right="0"/>
              <w:jc w:val="both"/>
              <w:rPr>
                <w:rFonts w:hint="eastAsia" w:ascii="宋体" w:hAnsi="宋体" w:eastAsia="宋体" w:cs="宋体"/>
                <w:color w:val="auto"/>
                <w:kern w:val="2"/>
                <w:sz w:val="21"/>
                <w:szCs w:val="21"/>
                <w:highlight w:val="none"/>
                <w:u w:val="single"/>
                <w:lang w:val="en-US" w:bidi="ar-SA"/>
              </w:rPr>
            </w:pPr>
            <w:r>
              <w:rPr>
                <w:rFonts w:hint="eastAsia" w:ascii="宋体" w:hAnsi="宋体" w:eastAsia="宋体" w:cs="宋体"/>
                <w:color w:val="auto"/>
                <w:kern w:val="2"/>
                <w:sz w:val="21"/>
                <w:szCs w:val="21"/>
                <w:highlight w:val="none"/>
                <w:lang w:val="en-US" w:bidi="ar-SA"/>
              </w:rPr>
              <w:t>商务：</w:t>
            </w:r>
            <w:r>
              <w:rPr>
                <w:rFonts w:hint="eastAsia" w:ascii="宋体" w:hAnsi="宋体" w:eastAsia="宋体" w:cs="宋体"/>
                <w:color w:val="auto"/>
                <w:kern w:val="2"/>
                <w:sz w:val="21"/>
                <w:szCs w:val="21"/>
                <w:highlight w:val="none"/>
                <w:u w:val="single"/>
                <w:lang w:val="en-US" w:eastAsia="zh-CN" w:bidi="ar-SA"/>
              </w:rPr>
              <w:t>10</w:t>
            </w:r>
            <w:r>
              <w:rPr>
                <w:rFonts w:hint="eastAsia" w:ascii="宋体" w:hAnsi="宋体" w:eastAsia="宋体" w:cs="宋体"/>
                <w:color w:val="auto"/>
                <w:kern w:val="2"/>
                <w:sz w:val="21"/>
                <w:szCs w:val="21"/>
                <w:highlight w:val="none"/>
                <w:lang w:val="en-US" w:bidi="ar-SA"/>
              </w:rPr>
              <w:t>分；技术：</w:t>
            </w:r>
            <w:r>
              <w:rPr>
                <w:rFonts w:hint="eastAsia" w:ascii="宋体" w:hAnsi="宋体" w:eastAsia="宋体" w:cs="宋体"/>
                <w:color w:val="auto"/>
                <w:kern w:val="2"/>
                <w:sz w:val="21"/>
                <w:szCs w:val="21"/>
                <w:highlight w:val="none"/>
                <w:u w:val="single"/>
                <w:lang w:val="en-US" w:eastAsia="zh-CN" w:bidi="ar-SA"/>
              </w:rPr>
              <w:t>55</w:t>
            </w:r>
            <w:r>
              <w:rPr>
                <w:rFonts w:hint="eastAsia" w:ascii="宋体" w:hAnsi="宋体" w:eastAsia="宋体" w:cs="宋体"/>
                <w:color w:val="auto"/>
                <w:kern w:val="2"/>
                <w:sz w:val="21"/>
                <w:szCs w:val="21"/>
                <w:highlight w:val="none"/>
                <w:lang w:val="en-US" w:bidi="ar-SA"/>
              </w:rPr>
              <w:t>分；报价：</w:t>
            </w:r>
            <w:r>
              <w:rPr>
                <w:rFonts w:hint="eastAsia" w:ascii="宋体" w:hAnsi="宋体" w:eastAsia="宋体" w:cs="宋体"/>
                <w:color w:val="auto"/>
                <w:kern w:val="2"/>
                <w:sz w:val="21"/>
                <w:szCs w:val="21"/>
                <w:highlight w:val="none"/>
                <w:u w:val="single"/>
                <w:lang w:val="en-US" w:eastAsia="zh-CN" w:bidi="ar-SA"/>
              </w:rPr>
              <w:t>35</w:t>
            </w:r>
            <w:r>
              <w:rPr>
                <w:rFonts w:hint="eastAsia" w:ascii="宋体" w:hAnsi="宋体" w:eastAsia="宋体" w:cs="宋体"/>
                <w:color w:val="auto"/>
                <w:kern w:val="2"/>
                <w:sz w:val="21"/>
                <w:szCs w:val="21"/>
                <w:highlight w:val="none"/>
                <w:lang w:val="en-US" w:bidi="ar-SA"/>
              </w:rPr>
              <w:t>分</w:t>
            </w:r>
          </w:p>
        </w:tc>
      </w:tr>
      <w:tr w14:paraId="21D33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58" w:type="dxa"/>
            <w:noWrap w:val="0"/>
            <w:vAlign w:val="center"/>
          </w:tcPr>
          <w:p w14:paraId="679A7C50">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条款号</w:t>
            </w:r>
          </w:p>
        </w:tc>
        <w:tc>
          <w:tcPr>
            <w:tcW w:w="1255" w:type="dxa"/>
            <w:noWrap w:val="0"/>
            <w:vAlign w:val="center"/>
          </w:tcPr>
          <w:p w14:paraId="0513999E">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评分因素</w:t>
            </w:r>
          </w:p>
        </w:tc>
        <w:tc>
          <w:tcPr>
            <w:tcW w:w="6587" w:type="dxa"/>
            <w:noWrap w:val="0"/>
            <w:vAlign w:val="center"/>
          </w:tcPr>
          <w:p w14:paraId="219EA95A">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评分标准</w:t>
            </w:r>
          </w:p>
        </w:tc>
        <w:tc>
          <w:tcPr>
            <w:tcW w:w="740" w:type="dxa"/>
            <w:noWrap w:val="0"/>
            <w:vAlign w:val="center"/>
          </w:tcPr>
          <w:p w14:paraId="36797BB5">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分值</w:t>
            </w:r>
          </w:p>
        </w:tc>
      </w:tr>
      <w:tr w14:paraId="0BAD0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vMerge w:val="restart"/>
            <w:noWrap w:val="0"/>
            <w:vAlign w:val="center"/>
          </w:tcPr>
          <w:p w14:paraId="16B555E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p w14:paraId="6F4CA78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0E37D09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255" w:type="dxa"/>
            <w:noWrap w:val="0"/>
            <w:vAlign w:val="center"/>
          </w:tcPr>
          <w:p w14:paraId="48EF1AB0">
            <w:pPr>
              <w:pStyle w:val="17"/>
              <w:keepNext w:val="0"/>
              <w:keepLines w:val="0"/>
              <w:pageBreakBefore w:val="0"/>
              <w:kinsoku/>
              <w:wordWrap/>
              <w:overflowPunct/>
              <w:topLinePunct w:val="0"/>
              <w:autoSpaceDE/>
              <w:autoSpaceDN/>
              <w:bidi w:val="0"/>
              <w:adjustRightInd/>
              <w:snapToGrid w:val="0"/>
              <w:spacing w:before="0" w:beforeAutospacing="0" w:after="0" w:afterAutospacing="0" w:line="400" w:lineRule="exact"/>
              <w:jc w:val="center"/>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rPr>
              <w:t>参选</w:t>
            </w:r>
            <w:r>
              <w:rPr>
                <w:rFonts w:hint="eastAsia" w:ascii="宋体" w:hAnsi="宋体" w:eastAsia="宋体" w:cs="宋体"/>
                <w:color w:val="auto"/>
                <w:kern w:val="2"/>
                <w:sz w:val="21"/>
                <w:szCs w:val="21"/>
                <w:highlight w:val="none"/>
              </w:rPr>
              <w:t>人业绩</w:t>
            </w:r>
          </w:p>
        </w:tc>
        <w:tc>
          <w:tcPr>
            <w:tcW w:w="6587" w:type="dxa"/>
            <w:noWrap w:val="0"/>
            <w:vAlign w:val="center"/>
          </w:tcPr>
          <w:p w14:paraId="1F9805F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2021年1月1日至今（以合同签订时间为准），参选人具有城市轨道交通弱电相关设备（至少包含通信、信号、综合监控、火灾自动报警、自动售检票中的一项）安装、调试或维护项目业绩，每提供一个得2分，最高得6分。</w:t>
            </w:r>
          </w:p>
          <w:p w14:paraId="3D2E04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须同时提供以下资料复印件（或扫描件）：</w:t>
            </w:r>
          </w:p>
          <w:p w14:paraId="1ACB078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①合同；②验收报告或业主证明（需合同签订单位出具）</w:t>
            </w:r>
          </w:p>
        </w:tc>
        <w:tc>
          <w:tcPr>
            <w:tcW w:w="740" w:type="dxa"/>
            <w:noWrap w:val="0"/>
            <w:vAlign w:val="center"/>
          </w:tcPr>
          <w:p w14:paraId="01A4642B">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6</w:t>
            </w:r>
          </w:p>
        </w:tc>
      </w:tr>
      <w:tr w14:paraId="2EB0C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vMerge w:val="continue"/>
            <w:noWrap w:val="0"/>
            <w:vAlign w:val="center"/>
          </w:tcPr>
          <w:p w14:paraId="5630CCE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bidi="ar-SA"/>
              </w:rPr>
            </w:pPr>
          </w:p>
        </w:tc>
        <w:tc>
          <w:tcPr>
            <w:tcW w:w="1255" w:type="dxa"/>
            <w:noWrap w:val="0"/>
            <w:vAlign w:val="center"/>
          </w:tcPr>
          <w:p w14:paraId="2E4D221B">
            <w:pPr>
              <w:pStyle w:val="17"/>
              <w:keepNext w:val="0"/>
              <w:keepLines w:val="0"/>
              <w:pageBreakBefore w:val="0"/>
              <w:kinsoku/>
              <w:wordWrap/>
              <w:overflowPunct/>
              <w:topLinePunct w:val="0"/>
              <w:autoSpaceDE/>
              <w:autoSpaceDN/>
              <w:bidi w:val="0"/>
              <w:adjustRightInd/>
              <w:spacing w:before="0" w:beforeAutospacing="0" w:after="0" w:afterAutospacing="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项目负责人业绩</w:t>
            </w:r>
          </w:p>
        </w:tc>
        <w:tc>
          <w:tcPr>
            <w:tcW w:w="6587" w:type="dxa"/>
            <w:noWrap w:val="0"/>
            <w:vAlign w:val="center"/>
          </w:tcPr>
          <w:p w14:paraId="0ED59EA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自2021年1月1日至今（以合同签订时间为准），</w:t>
            </w:r>
            <w:r>
              <w:rPr>
                <w:rFonts w:hint="eastAsia" w:ascii="宋体" w:hAnsi="宋体" w:eastAsia="宋体" w:cs="宋体"/>
                <w:b w:val="0"/>
                <w:bCs/>
                <w:color w:val="auto"/>
                <w:sz w:val="21"/>
                <w:szCs w:val="21"/>
                <w:highlight w:val="none"/>
                <w:lang w:val="en-US" w:eastAsia="zh-CN"/>
              </w:rPr>
              <w:t>拟派项目负责人作为项目负责人承担过</w:t>
            </w:r>
            <w:r>
              <w:rPr>
                <w:rFonts w:hint="eastAsia" w:ascii="宋体" w:hAnsi="宋体" w:eastAsia="宋体" w:cs="宋体"/>
                <w:color w:val="auto"/>
                <w:sz w:val="21"/>
                <w:szCs w:val="21"/>
                <w:highlight w:val="none"/>
                <w:lang w:val="en-US" w:eastAsia="zh-CN"/>
              </w:rPr>
              <w:t>城市轨道交通弱电相关设备（至少包含通信、信号、综合监控、火灾自动报警、自动售检票中的一项）安装、调试或维护项目业绩</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每提供一个得2分，最高得4分。</w:t>
            </w:r>
          </w:p>
          <w:p w14:paraId="1B7109A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须同时提供以下资料复印件（或扫描件）：</w:t>
            </w:r>
          </w:p>
          <w:p w14:paraId="13B9A8B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①合同；②验收报告或业主证明（需合同签订单位出具）。</w:t>
            </w:r>
          </w:p>
          <w:p w14:paraId="1F11247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kern w:val="2"/>
                <w:sz w:val="21"/>
                <w:szCs w:val="21"/>
                <w:highlight w:val="none"/>
                <w:lang w:val="en-US" w:bidi="ar-SA"/>
              </w:rPr>
            </w:pPr>
            <w:r>
              <w:rPr>
                <w:rFonts w:hint="eastAsia" w:ascii="宋体" w:hAnsi="宋体" w:eastAsia="宋体" w:cs="宋体"/>
                <w:b w:val="0"/>
                <w:bCs/>
                <w:color w:val="auto"/>
                <w:kern w:val="2"/>
                <w:sz w:val="21"/>
                <w:szCs w:val="21"/>
                <w:highlight w:val="none"/>
                <w:lang w:val="en-US" w:eastAsia="zh-CN" w:bidi="ar-SA"/>
              </w:rPr>
              <w:t>若以上资料无法体现项目负责人姓名，另须提供中标通知书或加盖业主单位公章的业主证明；若以上资料中项目负责人不一致，以第②项资料为准。</w:t>
            </w:r>
          </w:p>
        </w:tc>
        <w:tc>
          <w:tcPr>
            <w:tcW w:w="740" w:type="dxa"/>
            <w:noWrap w:val="0"/>
            <w:vAlign w:val="center"/>
          </w:tcPr>
          <w:p w14:paraId="4ECAC1F4">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r>
      <w:tr w14:paraId="4015A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vMerge w:val="restart"/>
            <w:noWrap w:val="0"/>
            <w:vAlign w:val="center"/>
          </w:tcPr>
          <w:p w14:paraId="2F06B313">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技术部分（55分）</w:t>
            </w:r>
          </w:p>
        </w:tc>
        <w:tc>
          <w:tcPr>
            <w:tcW w:w="1255" w:type="dxa"/>
            <w:shd w:val="clear" w:color="auto" w:fill="auto"/>
            <w:noWrap w:val="0"/>
            <w:vAlign w:val="center"/>
          </w:tcPr>
          <w:p w14:paraId="58A8E200">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rPr>
              <w:t>总体方案</w:t>
            </w:r>
          </w:p>
        </w:tc>
        <w:tc>
          <w:tcPr>
            <w:tcW w:w="6587" w:type="dxa"/>
            <w:shd w:val="clear" w:color="auto" w:fill="auto"/>
            <w:noWrap w:val="0"/>
            <w:vAlign w:val="center"/>
          </w:tcPr>
          <w:p w14:paraId="17E5605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根据参选人对本项目的理解和总体实施思路制定的总体方案进行打分，科学可行，针对性强在[4.2,6]区间内评分，缺少相应内容的评审要点不得分。</w:t>
            </w:r>
          </w:p>
        </w:tc>
        <w:tc>
          <w:tcPr>
            <w:tcW w:w="740" w:type="dxa"/>
            <w:shd w:val="clear" w:color="auto" w:fill="auto"/>
            <w:noWrap w:val="0"/>
            <w:vAlign w:val="center"/>
          </w:tcPr>
          <w:p w14:paraId="3A596793">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rPr>
              <w:t>6</w:t>
            </w:r>
          </w:p>
        </w:tc>
      </w:tr>
      <w:tr w14:paraId="1230E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vMerge w:val="continue"/>
            <w:noWrap w:val="0"/>
            <w:vAlign w:val="center"/>
          </w:tcPr>
          <w:p w14:paraId="6B357950">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eastAsia="zh-CN" w:bidi="ar-SA"/>
              </w:rPr>
            </w:pPr>
          </w:p>
        </w:tc>
        <w:tc>
          <w:tcPr>
            <w:tcW w:w="1255" w:type="dxa"/>
            <w:shd w:val="clear" w:color="auto" w:fill="auto"/>
            <w:noWrap w:val="0"/>
            <w:vAlign w:val="center"/>
          </w:tcPr>
          <w:p w14:paraId="02E4C37E">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rPr>
              <w:t>维保方案</w:t>
            </w:r>
          </w:p>
        </w:tc>
        <w:tc>
          <w:tcPr>
            <w:tcW w:w="6587" w:type="dxa"/>
            <w:shd w:val="clear" w:color="auto" w:fill="auto"/>
            <w:noWrap w:val="0"/>
            <w:vAlign w:val="center"/>
          </w:tcPr>
          <w:p w14:paraId="0D852C4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根据参选人针对本项目特点编制的维保实施方案（包含但不限于项目部建设、日常维护管理、项目实施组织方案、检修工艺流程、故障维修、物料管理等）进行打分，技术方案详细可行有针对性，操作性强在[7,10]区间内评分，缺少相应内容的评审要点不得分。</w:t>
            </w:r>
          </w:p>
        </w:tc>
        <w:tc>
          <w:tcPr>
            <w:tcW w:w="740" w:type="dxa"/>
            <w:shd w:val="clear" w:color="auto" w:fill="auto"/>
            <w:noWrap w:val="0"/>
            <w:vAlign w:val="center"/>
          </w:tcPr>
          <w:p w14:paraId="47E1D951">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rPr>
              <w:t>10</w:t>
            </w:r>
          </w:p>
        </w:tc>
      </w:tr>
      <w:tr w14:paraId="517A2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58" w:type="dxa"/>
            <w:vMerge w:val="continue"/>
            <w:noWrap w:val="0"/>
            <w:vAlign w:val="center"/>
          </w:tcPr>
          <w:p w14:paraId="77AC8AFE">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eastAsia="zh-CN" w:bidi="ar-SA"/>
              </w:rPr>
            </w:pPr>
          </w:p>
        </w:tc>
        <w:tc>
          <w:tcPr>
            <w:tcW w:w="1255" w:type="dxa"/>
            <w:shd w:val="clear" w:color="auto" w:fill="auto"/>
            <w:noWrap w:val="0"/>
            <w:vAlign w:val="center"/>
          </w:tcPr>
          <w:p w14:paraId="027DA4E7">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rPr>
              <w:t>拟投入的设备配置</w:t>
            </w:r>
          </w:p>
        </w:tc>
        <w:tc>
          <w:tcPr>
            <w:tcW w:w="6587" w:type="dxa"/>
            <w:shd w:val="clear" w:color="auto" w:fill="auto"/>
            <w:noWrap w:val="0"/>
            <w:vAlign w:val="center"/>
          </w:tcPr>
          <w:p w14:paraId="401A4D5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项目部的设备资源配置满足用户需求书和日常工作要求，参选人提供的工器具、办公用品和其他物资满足用户需求书要求在[4.2,6]区间内评分，缺少相应内容的评审要点不得分。</w:t>
            </w:r>
          </w:p>
        </w:tc>
        <w:tc>
          <w:tcPr>
            <w:tcW w:w="740" w:type="dxa"/>
            <w:shd w:val="clear" w:color="auto" w:fill="auto"/>
            <w:noWrap w:val="0"/>
            <w:vAlign w:val="center"/>
          </w:tcPr>
          <w:p w14:paraId="44BBADF7">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rPr>
              <w:t>6</w:t>
            </w:r>
          </w:p>
        </w:tc>
      </w:tr>
      <w:tr w14:paraId="38557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58" w:type="dxa"/>
            <w:vMerge w:val="continue"/>
            <w:noWrap w:val="0"/>
            <w:vAlign w:val="center"/>
          </w:tcPr>
          <w:p w14:paraId="50A238A1">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eastAsia="zh-CN" w:bidi="ar-SA"/>
              </w:rPr>
            </w:pPr>
          </w:p>
        </w:tc>
        <w:tc>
          <w:tcPr>
            <w:tcW w:w="1255" w:type="dxa"/>
            <w:shd w:val="clear" w:color="auto" w:fill="auto"/>
            <w:noWrap w:val="0"/>
            <w:vAlign w:val="center"/>
          </w:tcPr>
          <w:p w14:paraId="6CA88DDD">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rPr>
              <w:t>本项目重难点分析</w:t>
            </w:r>
          </w:p>
        </w:tc>
        <w:tc>
          <w:tcPr>
            <w:tcW w:w="6587" w:type="dxa"/>
            <w:shd w:val="clear" w:color="auto" w:fill="auto"/>
            <w:noWrap w:val="0"/>
            <w:vAlign w:val="center"/>
          </w:tcPr>
          <w:p w14:paraId="7494A0B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重点和难点分析透彻，拟采取的措施针对性强并具有实际操作性在[4.2,6]区间内评分，缺少相应内容的评审要点不得分。</w:t>
            </w:r>
          </w:p>
        </w:tc>
        <w:tc>
          <w:tcPr>
            <w:tcW w:w="740" w:type="dxa"/>
            <w:shd w:val="clear" w:color="auto" w:fill="auto"/>
            <w:noWrap w:val="0"/>
            <w:vAlign w:val="center"/>
          </w:tcPr>
          <w:p w14:paraId="795F0485">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rPr>
              <w:t>6</w:t>
            </w:r>
          </w:p>
        </w:tc>
      </w:tr>
      <w:tr w14:paraId="1D9B6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58" w:type="dxa"/>
            <w:vMerge w:val="continue"/>
            <w:noWrap w:val="0"/>
            <w:vAlign w:val="center"/>
          </w:tcPr>
          <w:p w14:paraId="3DCACFBD">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eastAsia="zh-CN" w:bidi="ar-SA"/>
              </w:rPr>
            </w:pPr>
          </w:p>
        </w:tc>
        <w:tc>
          <w:tcPr>
            <w:tcW w:w="1255" w:type="dxa"/>
            <w:shd w:val="clear" w:color="auto" w:fill="auto"/>
            <w:noWrap w:val="0"/>
            <w:vAlign w:val="center"/>
          </w:tcPr>
          <w:p w14:paraId="71C86DBD">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rPr>
              <w:t>应急抢修保证措施</w:t>
            </w:r>
          </w:p>
        </w:tc>
        <w:tc>
          <w:tcPr>
            <w:tcW w:w="6587" w:type="dxa"/>
            <w:shd w:val="clear" w:color="auto" w:fill="auto"/>
            <w:noWrap w:val="0"/>
            <w:vAlign w:val="center"/>
          </w:tcPr>
          <w:p w14:paraId="61C375B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根据参选人针对本项目特点编制的应急抢修保证方案进行评分，能响应招标人因工作需要安排的各类应急保障任务，应急保障措施针对性强在[7,10]区间内评分，缺少相应内容的评审要点不得分。</w:t>
            </w:r>
          </w:p>
        </w:tc>
        <w:tc>
          <w:tcPr>
            <w:tcW w:w="740" w:type="dxa"/>
            <w:shd w:val="clear" w:color="auto" w:fill="auto"/>
            <w:noWrap w:val="0"/>
            <w:vAlign w:val="center"/>
          </w:tcPr>
          <w:p w14:paraId="74554C8E">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rPr>
              <w:t>10</w:t>
            </w:r>
          </w:p>
        </w:tc>
      </w:tr>
      <w:tr w14:paraId="77C7E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8" w:type="dxa"/>
            <w:vMerge w:val="continue"/>
            <w:noWrap w:val="0"/>
            <w:vAlign w:val="center"/>
          </w:tcPr>
          <w:p w14:paraId="55282CAB">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eastAsia="zh-CN" w:bidi="ar-SA"/>
              </w:rPr>
            </w:pPr>
          </w:p>
        </w:tc>
        <w:tc>
          <w:tcPr>
            <w:tcW w:w="1255" w:type="dxa"/>
            <w:shd w:val="clear" w:color="auto" w:fill="auto"/>
            <w:noWrap w:val="0"/>
            <w:vAlign w:val="center"/>
          </w:tcPr>
          <w:p w14:paraId="5DC04D15">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rPr>
              <w:t>项目安全保证措施</w:t>
            </w:r>
          </w:p>
        </w:tc>
        <w:tc>
          <w:tcPr>
            <w:tcW w:w="6587" w:type="dxa"/>
            <w:shd w:val="clear" w:color="auto" w:fill="auto"/>
            <w:noWrap w:val="0"/>
            <w:vAlign w:val="center"/>
          </w:tcPr>
          <w:p w14:paraId="7973215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根据参选人针对本项目编制的项目安全保证方案进行评分，安全管理制度健全，安全保证方案科学完善、针对性强在[5.6,8]区间内评分，缺少相应内容的评审要点不得分。</w:t>
            </w:r>
          </w:p>
        </w:tc>
        <w:tc>
          <w:tcPr>
            <w:tcW w:w="740" w:type="dxa"/>
            <w:shd w:val="clear" w:color="auto" w:fill="auto"/>
            <w:noWrap w:val="0"/>
            <w:vAlign w:val="center"/>
          </w:tcPr>
          <w:p w14:paraId="461F3599">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rPr>
              <w:t>8</w:t>
            </w:r>
          </w:p>
        </w:tc>
      </w:tr>
      <w:tr w14:paraId="117D4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58" w:type="dxa"/>
            <w:vMerge w:val="continue"/>
            <w:noWrap w:val="0"/>
            <w:vAlign w:val="center"/>
          </w:tcPr>
          <w:p w14:paraId="7C91D563">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eastAsia="zh-CN" w:bidi="ar-SA"/>
              </w:rPr>
            </w:pPr>
          </w:p>
        </w:tc>
        <w:tc>
          <w:tcPr>
            <w:tcW w:w="1255" w:type="dxa"/>
            <w:shd w:val="clear" w:color="auto" w:fill="auto"/>
            <w:noWrap w:val="0"/>
            <w:vAlign w:val="center"/>
          </w:tcPr>
          <w:p w14:paraId="7DFA5FEB">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rPr>
              <w:t>服务质量保证体系和措施</w:t>
            </w:r>
          </w:p>
        </w:tc>
        <w:tc>
          <w:tcPr>
            <w:tcW w:w="6587" w:type="dxa"/>
            <w:shd w:val="clear" w:color="auto" w:fill="auto"/>
            <w:noWrap w:val="0"/>
            <w:vAlign w:val="center"/>
          </w:tcPr>
          <w:p w14:paraId="2BF2D92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根据参选人针对本项目特点制定的服务质量保障体系和措施进行打分，描述准确详尽，措施可靠具体，能切实保障优质服务在[4.2,6]区间内评分，缺少相应内容的评审要点不得分。</w:t>
            </w:r>
          </w:p>
        </w:tc>
        <w:tc>
          <w:tcPr>
            <w:tcW w:w="740" w:type="dxa"/>
            <w:shd w:val="clear" w:color="auto" w:fill="auto"/>
            <w:noWrap w:val="0"/>
            <w:vAlign w:val="center"/>
          </w:tcPr>
          <w:p w14:paraId="08AA7D61">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rPr>
              <w:t>6</w:t>
            </w:r>
          </w:p>
        </w:tc>
      </w:tr>
      <w:tr w14:paraId="321F4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8" w:type="dxa"/>
            <w:vMerge w:val="continue"/>
            <w:noWrap w:val="0"/>
            <w:vAlign w:val="center"/>
          </w:tcPr>
          <w:p w14:paraId="1D1E66AC">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eastAsia="zh-CN" w:bidi="ar-SA"/>
              </w:rPr>
            </w:pPr>
          </w:p>
        </w:tc>
        <w:tc>
          <w:tcPr>
            <w:tcW w:w="1255" w:type="dxa"/>
            <w:shd w:val="clear" w:color="auto" w:fill="auto"/>
            <w:noWrap w:val="0"/>
            <w:vAlign w:val="center"/>
          </w:tcPr>
          <w:p w14:paraId="5F839034">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rPr>
              <w:t>相关承诺</w:t>
            </w:r>
          </w:p>
        </w:tc>
        <w:tc>
          <w:tcPr>
            <w:tcW w:w="6587" w:type="dxa"/>
            <w:shd w:val="clear" w:color="auto" w:fill="auto"/>
            <w:noWrap w:val="0"/>
            <w:vAlign w:val="center"/>
          </w:tcPr>
          <w:p w14:paraId="77922C3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参选人承诺本项目中选后按比选文件要求配置项目部人员，满足用户需求书关于提前派技术骨干人员进场配合的要求得3分，不承诺不得分。</w:t>
            </w:r>
          </w:p>
        </w:tc>
        <w:tc>
          <w:tcPr>
            <w:tcW w:w="740" w:type="dxa"/>
            <w:shd w:val="clear" w:color="auto" w:fill="auto"/>
            <w:noWrap w:val="0"/>
            <w:vAlign w:val="center"/>
          </w:tcPr>
          <w:p w14:paraId="3824673D">
            <w:pPr>
              <w:pStyle w:val="17"/>
              <w:widowControl/>
              <w:spacing w:beforeAutospacing="0" w:afterAutospacing="0" w:line="40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rPr>
              <w:t>3</w:t>
            </w:r>
          </w:p>
        </w:tc>
      </w:tr>
      <w:tr w14:paraId="6A24C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7" w:hRule="atLeast"/>
        </w:trPr>
        <w:tc>
          <w:tcPr>
            <w:tcW w:w="1058" w:type="dxa"/>
            <w:noWrap w:val="0"/>
            <w:vAlign w:val="center"/>
          </w:tcPr>
          <w:p w14:paraId="6E326CFF">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报价部分</w:t>
            </w:r>
          </w:p>
          <w:p w14:paraId="50CB88D3">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（35</w:t>
            </w:r>
            <w:r>
              <w:rPr>
                <w:rFonts w:hint="eastAsia" w:ascii="宋体" w:hAnsi="宋体" w:eastAsia="宋体" w:cs="宋体"/>
                <w:color w:val="auto"/>
                <w:kern w:val="2"/>
                <w:sz w:val="21"/>
                <w:szCs w:val="21"/>
                <w:highlight w:val="none"/>
                <w:lang w:val="en-US" w:bidi="ar-SA"/>
              </w:rPr>
              <w:t>分</w:t>
            </w:r>
            <w:r>
              <w:rPr>
                <w:rFonts w:hint="eastAsia" w:ascii="宋体" w:hAnsi="宋体" w:eastAsia="宋体" w:cs="宋体"/>
                <w:color w:val="auto"/>
                <w:kern w:val="2"/>
                <w:sz w:val="21"/>
                <w:szCs w:val="21"/>
                <w:highlight w:val="none"/>
                <w:lang w:val="en-US" w:eastAsia="zh-CN" w:bidi="ar-SA"/>
              </w:rPr>
              <w:t>）</w:t>
            </w:r>
          </w:p>
        </w:tc>
        <w:tc>
          <w:tcPr>
            <w:tcW w:w="1255" w:type="dxa"/>
            <w:noWrap w:val="0"/>
            <w:vAlign w:val="center"/>
          </w:tcPr>
          <w:p w14:paraId="408D7FFB">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参选报价</w:t>
            </w:r>
          </w:p>
        </w:tc>
        <w:tc>
          <w:tcPr>
            <w:tcW w:w="7327" w:type="dxa"/>
            <w:gridSpan w:val="2"/>
            <w:noWrap w:val="0"/>
            <w:vAlign w:val="center"/>
          </w:tcPr>
          <w:p w14:paraId="725AA18E">
            <w:pPr>
              <w:autoSpaceDE/>
              <w:autoSpaceDN/>
              <w:spacing w:before="0" w:after="0" w:line="440" w:lineRule="exact"/>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计算评标基准价</w:t>
            </w:r>
          </w:p>
          <w:p w14:paraId="27BE2F5D">
            <w:pPr>
              <w:autoSpaceDE/>
              <w:autoSpaceDN/>
              <w:spacing w:before="0" w:after="0" w:line="440" w:lineRule="exact"/>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以有效参选文件的有效评标价</w:t>
            </w:r>
            <w:r>
              <w:rPr>
                <w:rFonts w:hint="eastAsia" w:ascii="宋体" w:hAnsi="宋体" w:eastAsia="宋体" w:cs="宋体"/>
                <w:color w:val="auto"/>
                <w:kern w:val="2"/>
                <w:sz w:val="21"/>
                <w:szCs w:val="21"/>
                <w:highlight w:val="none"/>
                <w:lang w:val="en-US" w:eastAsia="zh-CN" w:bidi="ar-SA"/>
              </w:rPr>
              <w:t>（即“维保费用</w:t>
            </w:r>
            <w:r>
              <w:rPr>
                <w:rFonts w:hint="eastAsia" w:ascii="宋体" w:hAnsi="宋体" w:eastAsia="宋体" w:cs="宋体"/>
                <w:bCs/>
                <w:kern w:val="2"/>
                <w:sz w:val="21"/>
                <w:szCs w:val="21"/>
                <w:highlight w:val="none"/>
                <w:lang w:eastAsia="zh-CN"/>
              </w:rPr>
              <w:t>报价</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bidi="ar-SA"/>
              </w:rPr>
              <w:t>算术平均值为A，评标基准价=A。</w:t>
            </w:r>
          </w:p>
          <w:p w14:paraId="5BC8A6F4">
            <w:pPr>
              <w:autoSpaceDE/>
              <w:autoSpaceDN/>
              <w:spacing w:before="0" w:after="0" w:line="440" w:lineRule="exact"/>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计算算术平均值A时，所有有效评标价数量＜5家时，取所有有效评标价的算术平均值；若所有有效评标价数量≥5家时，去掉其中的一个最高价和一个最低价后取算术平均值；若所有有效评标价数量≥9家时，去掉两个最高和两个最低的四个报价取平均值得出评标基准价。</w:t>
            </w:r>
          </w:p>
          <w:p w14:paraId="3AF22032">
            <w:pPr>
              <w:autoSpaceDE/>
              <w:autoSpaceDN/>
              <w:spacing w:before="0" w:after="0" w:line="440" w:lineRule="exact"/>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除确认存在计算错误外，评标基准价不因招投标当事人质疑、投诉、复议以及其它任何情形而改变。</w:t>
            </w:r>
          </w:p>
          <w:p w14:paraId="6CF638C0">
            <w:pPr>
              <w:autoSpaceDE/>
              <w:autoSpaceDN/>
              <w:spacing w:before="0" w:after="0" w:line="440" w:lineRule="exact"/>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参选报价等于评标基准价的得</w:t>
            </w:r>
            <w:r>
              <w:rPr>
                <w:rFonts w:hint="eastAsia" w:ascii="宋体" w:hAnsi="宋体" w:eastAsia="宋体" w:cs="宋体"/>
                <w:color w:val="auto"/>
                <w:kern w:val="2"/>
                <w:sz w:val="21"/>
                <w:szCs w:val="21"/>
                <w:highlight w:val="none"/>
                <w:lang w:val="en-US" w:eastAsia="zh-CN" w:bidi="ar-SA"/>
              </w:rPr>
              <w:t>35</w:t>
            </w:r>
            <w:r>
              <w:rPr>
                <w:rFonts w:hint="eastAsia" w:ascii="宋体" w:hAnsi="宋体" w:eastAsia="宋体" w:cs="宋体"/>
                <w:color w:val="auto"/>
                <w:kern w:val="2"/>
                <w:sz w:val="21"/>
                <w:szCs w:val="21"/>
                <w:highlight w:val="none"/>
                <w:lang w:val="en-US" w:bidi="ar-SA"/>
              </w:rPr>
              <w:t>分，参选报价相对评标基准价每低1%扣0.6分，每高1%扣0.9分；偏离不足1%的，按照插入法计算得分。分值计算结果均保留两位小数，第三位四舍五入。</w:t>
            </w:r>
          </w:p>
        </w:tc>
      </w:tr>
      <w:tr w14:paraId="49995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58" w:type="dxa"/>
            <w:noWrap w:val="0"/>
            <w:vAlign w:val="center"/>
          </w:tcPr>
          <w:p w14:paraId="53E036D2">
            <w:pPr>
              <w:autoSpaceDE/>
              <w:autoSpaceDN/>
              <w:spacing w:before="0" w:after="0" w:line="440" w:lineRule="exact"/>
              <w:ind w:left="0" w:right="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备注</w:t>
            </w:r>
          </w:p>
        </w:tc>
        <w:tc>
          <w:tcPr>
            <w:tcW w:w="8582" w:type="dxa"/>
            <w:gridSpan w:val="3"/>
            <w:noWrap w:val="0"/>
            <w:vAlign w:val="center"/>
          </w:tcPr>
          <w:p w14:paraId="68FEFF59">
            <w:pPr>
              <w:autoSpaceDE/>
              <w:autoSpaceDN/>
              <w:spacing w:before="0" w:after="0" w:line="440" w:lineRule="exact"/>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技术部分打分：</w:t>
            </w:r>
          </w:p>
          <w:p w14:paraId="0AD4CD5A">
            <w:pPr>
              <w:autoSpaceDE/>
              <w:autoSpaceDN/>
              <w:spacing w:before="0" w:after="0" w:line="440" w:lineRule="exact"/>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1、评标委员会需根据标书阐述情况在规定分值内打分</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bidi="ar-SA"/>
              </w:rPr>
              <w:t>打分最多保留一位小数</w:t>
            </w:r>
            <w:r>
              <w:rPr>
                <w:rFonts w:hint="eastAsia" w:ascii="宋体" w:hAnsi="宋体" w:eastAsia="宋体" w:cs="宋体"/>
                <w:color w:val="auto"/>
                <w:kern w:val="2"/>
                <w:sz w:val="21"/>
                <w:szCs w:val="21"/>
                <w:highlight w:val="none"/>
                <w:lang w:val="en-US" w:bidi="ar-SA"/>
              </w:rPr>
              <w:t>。</w:t>
            </w:r>
          </w:p>
          <w:p w14:paraId="37A5250E">
            <w:pPr>
              <w:autoSpaceDE/>
              <w:autoSpaceDN/>
              <w:spacing w:before="0" w:after="0" w:line="440" w:lineRule="exact"/>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2、各参选人技术部分得分为评委打分的平均值，平均值“四舍五入”保留小数点后两位。</w:t>
            </w:r>
          </w:p>
        </w:tc>
      </w:tr>
    </w:tbl>
    <w:p w14:paraId="55D54DBE">
      <w:pPr>
        <w:spacing w:line="440" w:lineRule="exact"/>
        <w:ind w:right="-260" w:rightChars="-124" w:firstLine="57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w:t>
      </w:r>
      <w:r>
        <w:rPr>
          <w:rFonts w:hint="eastAsia" w:ascii="宋体" w:hAnsi="宋体" w:eastAsia="宋体" w:cs="宋体"/>
          <w:b/>
          <w:bCs/>
          <w:sz w:val="21"/>
          <w:szCs w:val="21"/>
          <w:highlight w:val="none"/>
          <w:lang w:eastAsia="zh-CN"/>
        </w:rPr>
        <w:t>中选</w:t>
      </w:r>
      <w:r>
        <w:rPr>
          <w:rFonts w:hint="eastAsia" w:ascii="宋体" w:hAnsi="宋体" w:eastAsia="宋体" w:cs="宋体"/>
          <w:b/>
          <w:bCs/>
          <w:sz w:val="21"/>
          <w:szCs w:val="21"/>
          <w:highlight w:val="none"/>
          <w:lang w:val="en-US" w:eastAsia="zh-CN"/>
        </w:rPr>
        <w:t>候选</w:t>
      </w:r>
      <w:r>
        <w:rPr>
          <w:rFonts w:hint="eastAsia" w:ascii="宋体" w:hAnsi="宋体" w:eastAsia="宋体" w:cs="宋体"/>
          <w:b/>
          <w:bCs/>
          <w:sz w:val="21"/>
          <w:szCs w:val="21"/>
          <w:highlight w:val="none"/>
        </w:rPr>
        <w:t>人的确定</w:t>
      </w:r>
    </w:p>
    <w:p w14:paraId="7BE40053">
      <w:pPr>
        <w:spacing w:line="440" w:lineRule="exact"/>
        <w:ind w:right="-260" w:rightChars="-124" w:firstLine="570"/>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评委会认为</w:t>
      </w:r>
      <w:r>
        <w:rPr>
          <w:rFonts w:hint="eastAsia" w:ascii="宋体" w:hAnsi="宋体" w:eastAsia="宋体" w:cs="宋体"/>
          <w:bCs/>
          <w:sz w:val="21"/>
          <w:szCs w:val="21"/>
          <w:highlight w:val="none"/>
          <w:lang w:eastAsia="zh-CN"/>
        </w:rPr>
        <w:t>参选人</w:t>
      </w:r>
      <w:r>
        <w:rPr>
          <w:rFonts w:hint="eastAsia" w:ascii="宋体" w:hAnsi="宋体" w:eastAsia="宋体" w:cs="宋体"/>
          <w:bCs/>
          <w:sz w:val="21"/>
          <w:szCs w:val="21"/>
          <w:highlight w:val="none"/>
        </w:rPr>
        <w:t>的报价明显低于其他通过符合性审查</w:t>
      </w:r>
      <w:r>
        <w:rPr>
          <w:rFonts w:hint="eastAsia" w:ascii="宋体" w:hAnsi="宋体" w:eastAsia="宋体" w:cs="宋体"/>
          <w:bCs/>
          <w:sz w:val="21"/>
          <w:szCs w:val="21"/>
          <w:highlight w:val="none"/>
          <w:lang w:eastAsia="zh-CN"/>
        </w:rPr>
        <w:t>参选人</w:t>
      </w:r>
      <w:r>
        <w:rPr>
          <w:rFonts w:hint="eastAsia" w:ascii="宋体" w:hAnsi="宋体" w:eastAsia="宋体" w:cs="宋体"/>
          <w:bCs/>
          <w:sz w:val="21"/>
          <w:szCs w:val="21"/>
          <w:highlight w:val="none"/>
        </w:rPr>
        <w:t>的报价，有可能影响产品质量或者不能诚信履约的，应当要求其在合理的时间内提供书面说明，必要时提交相关证明材料；</w:t>
      </w:r>
      <w:r>
        <w:rPr>
          <w:rFonts w:hint="eastAsia" w:ascii="宋体" w:hAnsi="宋体" w:eastAsia="宋体" w:cs="宋体"/>
          <w:bCs/>
          <w:sz w:val="21"/>
          <w:szCs w:val="21"/>
          <w:highlight w:val="none"/>
          <w:lang w:eastAsia="zh-CN"/>
        </w:rPr>
        <w:t>参选人</w:t>
      </w:r>
      <w:r>
        <w:rPr>
          <w:rFonts w:hint="eastAsia" w:ascii="宋体" w:hAnsi="宋体" w:eastAsia="宋体" w:cs="宋体"/>
          <w:bCs/>
          <w:sz w:val="21"/>
          <w:szCs w:val="21"/>
          <w:highlight w:val="none"/>
        </w:rPr>
        <w:t>不能证明其报价合理性的，评委会应当将其作为无效</w:t>
      </w:r>
      <w:r>
        <w:rPr>
          <w:rFonts w:hint="eastAsia" w:ascii="宋体" w:hAnsi="宋体" w:eastAsia="宋体" w:cs="宋体"/>
          <w:bCs/>
          <w:sz w:val="21"/>
          <w:szCs w:val="21"/>
          <w:highlight w:val="none"/>
          <w:lang w:eastAsia="zh-CN"/>
        </w:rPr>
        <w:t>参选</w:t>
      </w:r>
      <w:r>
        <w:rPr>
          <w:rFonts w:hint="eastAsia" w:ascii="宋体" w:hAnsi="宋体" w:eastAsia="宋体" w:cs="宋体"/>
          <w:bCs/>
          <w:sz w:val="21"/>
          <w:szCs w:val="21"/>
          <w:highlight w:val="none"/>
        </w:rPr>
        <w:t>处理。</w:t>
      </w:r>
    </w:p>
    <w:p w14:paraId="5F462FB9">
      <w:pPr>
        <w:spacing w:line="440" w:lineRule="exact"/>
        <w:ind w:right="-260" w:rightChars="-124" w:firstLine="570"/>
        <w:rPr>
          <w:rFonts w:hint="eastAsia" w:ascii="宋体" w:hAnsi="宋体" w:eastAsia="宋体" w:cs="宋体"/>
          <w:b/>
          <w:sz w:val="21"/>
          <w:szCs w:val="21"/>
          <w:highlight w:val="none"/>
        </w:rPr>
      </w:pPr>
      <w:r>
        <w:rPr>
          <w:rFonts w:hint="eastAsia" w:ascii="宋体" w:hAnsi="宋体" w:eastAsia="宋体" w:cs="宋体"/>
          <w:sz w:val="21"/>
          <w:szCs w:val="21"/>
          <w:highlight w:val="none"/>
        </w:rPr>
        <w:t>评委会汇总各评委评分后，推荐得分最高的参选人为中选候选人。如出现相同最高分，按参选报价低的推荐为中选候选人；如得分且参选报价相同的，由评委会根据技术指标优劣，优者推荐为中选候选人；如得分、投标报价且技术指标优劣均相同的，抽签确定中选候选人。抽签道具为乒乓球，在监管人员监督下，比选人根据得分、投标报价且技术指标优劣相同的参选人数量准备好同等数量且数值不同的乒乓球，并宣布抽到乒乓球数值最小的即为中选候选人。抽签代表为本项目参选文件中注明的法定代表人或授权代理人，抽签顺序为参选单位递交参选文件登记的先后顺序。</w:t>
      </w:r>
    </w:p>
    <w:p w14:paraId="3288EF3A">
      <w:pPr>
        <w:spacing w:line="440" w:lineRule="exact"/>
        <w:ind w:right="-260" w:rightChars="-124" w:firstLine="57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十、注意事项</w:t>
      </w:r>
    </w:p>
    <w:p w14:paraId="5C591394">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1、在</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比选时间</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不得向评委询问情况，不得进行旨在影响评标结果的活动。</w:t>
      </w:r>
    </w:p>
    <w:p w14:paraId="445CBEFB">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2、评委会不得向</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解释落标原因。</w:t>
      </w:r>
    </w:p>
    <w:p w14:paraId="051A2D27">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3、在</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、评标过程中，如果</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联合故意抬高报价或出现其他不正当行为，</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有权中止</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或评标。</w:t>
      </w:r>
    </w:p>
    <w:p w14:paraId="4F97DE6C">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4、凡在</w:t>
      </w:r>
      <w:r>
        <w:rPr>
          <w:rFonts w:hint="eastAsia" w:ascii="宋体" w:hAnsi="宋体" w:eastAsia="宋体" w:cs="宋体"/>
          <w:sz w:val="21"/>
          <w:szCs w:val="21"/>
          <w:highlight w:val="none"/>
          <w:lang w:eastAsia="zh-CN"/>
        </w:rPr>
        <w:t>参选</w:t>
      </w:r>
      <w:r>
        <w:rPr>
          <w:rFonts w:hint="eastAsia" w:ascii="宋体" w:hAnsi="宋体" w:eastAsia="宋体" w:cs="宋体"/>
          <w:sz w:val="21"/>
          <w:szCs w:val="21"/>
          <w:highlight w:val="none"/>
        </w:rPr>
        <w:t>、开标过程中，</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已提示是否异议的事项，</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当时没有提出异议的，事后</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不得针对上述事项提出质疑。比如：</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在开标中提示评委是否回避，</w:t>
      </w: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现场未提出异议的，事后不得针对评委回避事项提出质疑。</w:t>
      </w:r>
    </w:p>
    <w:p w14:paraId="1B406F4D">
      <w:pPr>
        <w:spacing w:line="440" w:lineRule="exact"/>
        <w:ind w:right="-260" w:rightChars="-124" w:firstLine="57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十一、合同授予</w:t>
      </w:r>
    </w:p>
    <w:p w14:paraId="7E148FBD">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候选人公示</w:t>
      </w:r>
    </w:p>
    <w:p w14:paraId="06170ABB">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在收到评标报告之日起3日内，在南通</w:t>
      </w:r>
      <w:r>
        <w:rPr>
          <w:rFonts w:hint="eastAsia" w:ascii="宋体" w:hAnsi="宋体" w:eastAsia="宋体" w:cs="宋体"/>
          <w:sz w:val="21"/>
          <w:szCs w:val="21"/>
          <w:highlight w:val="none"/>
          <w:lang w:val="en-US" w:eastAsia="zh-CN"/>
        </w:rPr>
        <w:t>城市轨道交通有限公司网站</w:t>
      </w:r>
      <w:r>
        <w:rPr>
          <w:rFonts w:hint="eastAsia" w:ascii="宋体" w:hAnsi="宋体" w:eastAsia="宋体" w:cs="宋体"/>
          <w:sz w:val="21"/>
          <w:szCs w:val="21"/>
          <w:highlight w:val="none"/>
        </w:rPr>
        <w:t>公示</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候选人，公示期不得少于3天。</w:t>
      </w:r>
    </w:p>
    <w:p w14:paraId="7F1E5266">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2、评标结果异议</w:t>
      </w:r>
    </w:p>
    <w:p w14:paraId="3381530A">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参选人</w:t>
      </w:r>
      <w:r>
        <w:rPr>
          <w:rFonts w:hint="eastAsia" w:ascii="宋体" w:hAnsi="宋体" w:eastAsia="宋体" w:cs="宋体"/>
          <w:sz w:val="21"/>
          <w:szCs w:val="21"/>
          <w:highlight w:val="none"/>
        </w:rPr>
        <w:t>或者其他利害关系人对评标结果有异议的，应当在</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候选人公示期间提出。</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将在收到异议之日起 3 日内作出答复；作出答复前，将暂停</w:t>
      </w:r>
      <w:r>
        <w:rPr>
          <w:rFonts w:hint="eastAsia" w:ascii="宋体" w:hAnsi="宋体" w:eastAsia="宋体" w:cs="宋体"/>
          <w:sz w:val="21"/>
          <w:szCs w:val="21"/>
          <w:highlight w:val="none"/>
          <w:lang w:eastAsia="zh-CN"/>
        </w:rPr>
        <w:t>比选参选</w:t>
      </w:r>
      <w:r>
        <w:rPr>
          <w:rFonts w:hint="eastAsia" w:ascii="宋体" w:hAnsi="宋体" w:eastAsia="宋体" w:cs="宋体"/>
          <w:sz w:val="21"/>
          <w:szCs w:val="21"/>
          <w:highlight w:val="none"/>
        </w:rPr>
        <w:t>活动。</w:t>
      </w:r>
    </w:p>
    <w:p w14:paraId="1497E4F7">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通知书</w:t>
      </w:r>
    </w:p>
    <w:p w14:paraId="29E113C4">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在本项目的</w:t>
      </w:r>
      <w:r>
        <w:rPr>
          <w:rFonts w:hint="eastAsia" w:ascii="宋体" w:hAnsi="宋体" w:eastAsia="宋体" w:cs="宋体"/>
          <w:sz w:val="21"/>
          <w:szCs w:val="21"/>
          <w:highlight w:val="none"/>
          <w:lang w:eastAsia="zh-CN"/>
        </w:rPr>
        <w:t>参选有效期</w:t>
      </w:r>
      <w:r>
        <w:rPr>
          <w:rFonts w:hint="eastAsia" w:ascii="宋体" w:hAnsi="宋体" w:eastAsia="宋体" w:cs="宋体"/>
          <w:sz w:val="21"/>
          <w:szCs w:val="21"/>
          <w:highlight w:val="none"/>
        </w:rPr>
        <w:t>内，</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以书面形式向</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人发出</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通知书。</w:t>
      </w:r>
    </w:p>
    <w:p w14:paraId="34B26468">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4、履约保证金</w:t>
      </w:r>
    </w:p>
    <w:p w14:paraId="3F9F5396">
      <w:pPr>
        <w:spacing w:line="440" w:lineRule="exact"/>
        <w:ind w:right="-260" w:rightChars="-124" w:firstLine="57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中选人在接到中选通知书10日内，签订合同之前提交履约保证金，履约保证金采用银行转账或银行保函，银行转账须从企业基本户银行出具（格式详见比选文件第</w:t>
      </w:r>
      <w:r>
        <w:rPr>
          <w:rFonts w:hint="eastAsia" w:ascii="宋体" w:hAnsi="宋体" w:cs="宋体"/>
          <w:sz w:val="21"/>
          <w:szCs w:val="21"/>
          <w:highlight w:val="none"/>
          <w:lang w:val="en-US" w:eastAsia="zh-CN"/>
        </w:rPr>
        <w:t>五</w:t>
      </w:r>
      <w:r>
        <w:rPr>
          <w:rFonts w:hint="eastAsia" w:ascii="宋体" w:hAnsi="宋体" w:eastAsia="宋体" w:cs="宋体"/>
          <w:sz w:val="21"/>
          <w:szCs w:val="21"/>
          <w:highlight w:val="none"/>
          <w:lang w:eastAsia="zh-CN"/>
        </w:rPr>
        <w:t>章附件），履约保证金为合同</w:t>
      </w:r>
      <w:r>
        <w:rPr>
          <w:rFonts w:hint="eastAsia" w:ascii="宋体" w:hAnsi="宋体" w:eastAsia="宋体" w:cs="宋体"/>
          <w:sz w:val="21"/>
          <w:szCs w:val="21"/>
          <w:highlight w:val="none"/>
          <w:lang w:val="en-US" w:eastAsia="zh-CN"/>
        </w:rPr>
        <w:t>价的</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eastAsia="zh-CN"/>
        </w:rPr>
        <w:t>。</w:t>
      </w:r>
    </w:p>
    <w:p w14:paraId="0CEE058F">
      <w:pPr>
        <w:spacing w:line="440" w:lineRule="exact"/>
        <w:ind w:right="-260" w:rightChars="-124" w:firstLine="57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未按比选文件规定提交履约保证金，比选人将取消其中选资格。</w:t>
      </w:r>
    </w:p>
    <w:p w14:paraId="6A3063B9">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5、签订合同</w:t>
      </w:r>
    </w:p>
    <w:p w14:paraId="0B491B1A">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和</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人应当自</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通知书发出之日起30天内，根据</w:t>
      </w:r>
      <w:r>
        <w:rPr>
          <w:rFonts w:hint="eastAsia" w:ascii="宋体" w:hAnsi="宋体" w:eastAsia="宋体" w:cs="宋体"/>
          <w:sz w:val="21"/>
          <w:szCs w:val="21"/>
          <w:highlight w:val="none"/>
          <w:lang w:eastAsia="zh-CN"/>
        </w:rPr>
        <w:t>比选文件</w:t>
      </w:r>
      <w:r>
        <w:rPr>
          <w:rFonts w:hint="eastAsia" w:ascii="宋体" w:hAnsi="宋体" w:eastAsia="宋体" w:cs="宋体"/>
          <w:sz w:val="21"/>
          <w:szCs w:val="21"/>
          <w:highlight w:val="none"/>
        </w:rPr>
        <w:t>和</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人的</w:t>
      </w:r>
      <w:r>
        <w:rPr>
          <w:rFonts w:hint="eastAsia" w:ascii="宋体" w:hAnsi="宋体" w:eastAsia="宋体" w:cs="宋体"/>
          <w:sz w:val="21"/>
          <w:szCs w:val="21"/>
          <w:highlight w:val="none"/>
          <w:lang w:eastAsia="zh-CN"/>
        </w:rPr>
        <w:t>参选文件</w:t>
      </w:r>
      <w:r>
        <w:rPr>
          <w:rFonts w:hint="eastAsia" w:ascii="宋体" w:hAnsi="宋体" w:eastAsia="宋体" w:cs="宋体"/>
          <w:sz w:val="21"/>
          <w:szCs w:val="21"/>
          <w:highlight w:val="none"/>
        </w:rPr>
        <w:t>订立书面合同。</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人无正当理由拒签合同的，</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取消其</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资格；给</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造成的损失的，</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人还应当予以赔偿。</w:t>
      </w:r>
    </w:p>
    <w:p w14:paraId="5EC75737">
      <w:pPr>
        <w:spacing w:line="440" w:lineRule="exact"/>
        <w:ind w:right="-260" w:rightChars="-124" w:firstLine="570"/>
        <w:rPr>
          <w:rFonts w:hint="eastAsia" w:ascii="宋体" w:hAnsi="宋体" w:eastAsia="宋体" w:cs="宋体"/>
          <w:sz w:val="21"/>
          <w:szCs w:val="21"/>
          <w:highlight w:val="none"/>
        </w:rPr>
      </w:pPr>
      <w:r>
        <w:rPr>
          <w:rFonts w:hint="eastAsia" w:ascii="宋体" w:hAnsi="宋体" w:eastAsia="宋体" w:cs="宋体"/>
          <w:sz w:val="21"/>
          <w:szCs w:val="21"/>
          <w:highlight w:val="none"/>
        </w:rPr>
        <w:t>发出</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通知书后，</w:t>
      </w:r>
      <w:r>
        <w:rPr>
          <w:rFonts w:hint="eastAsia" w:ascii="宋体" w:hAnsi="宋体" w:eastAsia="宋体" w:cs="宋体"/>
          <w:sz w:val="21"/>
          <w:szCs w:val="21"/>
          <w:highlight w:val="none"/>
          <w:lang w:eastAsia="zh-CN"/>
        </w:rPr>
        <w:t>比选人</w:t>
      </w:r>
      <w:r>
        <w:rPr>
          <w:rFonts w:hint="eastAsia" w:ascii="宋体" w:hAnsi="宋体" w:eastAsia="宋体" w:cs="宋体"/>
          <w:sz w:val="21"/>
          <w:szCs w:val="21"/>
          <w:highlight w:val="none"/>
        </w:rPr>
        <w:t>无正当理由拒签合同，或者在签订合同时向</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人提出附加条件的，给</w:t>
      </w:r>
      <w:r>
        <w:rPr>
          <w:rFonts w:hint="eastAsia" w:ascii="宋体" w:hAnsi="宋体" w:eastAsia="宋体" w:cs="宋体"/>
          <w:sz w:val="21"/>
          <w:szCs w:val="21"/>
          <w:highlight w:val="none"/>
          <w:lang w:eastAsia="zh-CN"/>
        </w:rPr>
        <w:t>中选</w:t>
      </w:r>
      <w:r>
        <w:rPr>
          <w:rFonts w:hint="eastAsia" w:ascii="宋体" w:hAnsi="宋体" w:eastAsia="宋体" w:cs="宋体"/>
          <w:sz w:val="21"/>
          <w:szCs w:val="21"/>
          <w:highlight w:val="none"/>
        </w:rPr>
        <w:t>人造成损失的，应当赔偿损失。</w:t>
      </w:r>
    </w:p>
    <w:p w14:paraId="40DECEC7">
      <w:pPr>
        <w:spacing w:line="440" w:lineRule="exact"/>
        <w:ind w:right="-260" w:rightChars="-124"/>
        <w:jc w:val="center"/>
        <w:outlineLvl w:val="0"/>
        <w:rPr>
          <w:rFonts w:hint="eastAsia" w:ascii="宋体" w:hAnsi="宋体" w:eastAsia="宋体" w:cs="宋体"/>
          <w:b/>
          <w:bCs/>
          <w:kern w:val="0"/>
          <w:sz w:val="52"/>
          <w:szCs w:val="52"/>
          <w:highlight w:val="none"/>
        </w:rPr>
      </w:pPr>
      <w:bookmarkStart w:id="135" w:name="_Toc2576"/>
      <w:bookmarkStart w:id="136" w:name="_Toc26394"/>
      <w:bookmarkStart w:id="137" w:name="_Toc30950"/>
      <w:bookmarkStart w:id="138" w:name="_Toc26011"/>
      <w:bookmarkStart w:id="139" w:name="_Toc3304"/>
      <w:r>
        <w:rPr>
          <w:rFonts w:hint="eastAsia" w:ascii="宋体" w:hAnsi="宋体" w:eastAsia="宋体" w:cs="宋体"/>
          <w:b/>
          <w:sz w:val="32"/>
          <w:szCs w:val="32"/>
          <w:highlight w:val="none"/>
          <w:lang w:eastAsia="zh-CN"/>
        </w:rPr>
        <w:t>第五章</w:t>
      </w:r>
      <w:r>
        <w:rPr>
          <w:rFonts w:hint="eastAsia" w:ascii="宋体" w:hAnsi="宋体" w:eastAsia="宋体" w:cs="宋体"/>
          <w:b/>
          <w:sz w:val="32"/>
          <w:szCs w:val="32"/>
          <w:highlight w:val="none"/>
        </w:rPr>
        <w:t xml:space="preserve">  合同条款</w:t>
      </w:r>
      <w:bookmarkEnd w:id="135"/>
      <w:bookmarkEnd w:id="136"/>
      <w:bookmarkEnd w:id="137"/>
      <w:bookmarkEnd w:id="138"/>
      <w:bookmarkEnd w:id="139"/>
      <w:bookmarkStart w:id="140" w:name="_Toc28124"/>
      <w:bookmarkStart w:id="141" w:name="_Toc11740"/>
      <w:bookmarkStart w:id="142" w:name="_Toc11580"/>
      <w:bookmarkStart w:id="143" w:name="_Toc23323"/>
    </w:p>
    <w:p w14:paraId="440E30BF">
      <w:pPr>
        <w:spacing w:before="200" w:after="200" w:line="360" w:lineRule="auto"/>
        <w:ind w:right="-260" w:rightChars="-124"/>
        <w:jc w:val="center"/>
        <w:rPr>
          <w:rFonts w:hint="eastAsia" w:ascii="宋体" w:hAnsi="宋体" w:eastAsia="宋体" w:cs="宋体"/>
          <w:b/>
          <w:bCs/>
          <w:sz w:val="48"/>
          <w:szCs w:val="48"/>
          <w:highlight w:val="none"/>
        </w:rPr>
      </w:pPr>
    </w:p>
    <w:p w14:paraId="6794D708">
      <w:pPr>
        <w:pStyle w:val="11"/>
        <w:ind w:right="-260" w:rightChars="-124"/>
        <w:rPr>
          <w:rFonts w:hint="eastAsia" w:ascii="宋体" w:hAnsi="宋体" w:eastAsia="宋体" w:cs="宋体"/>
          <w:highlight w:val="none"/>
        </w:rPr>
      </w:pPr>
    </w:p>
    <w:p w14:paraId="0921B5C7">
      <w:pPr>
        <w:spacing w:before="200" w:after="200" w:line="360" w:lineRule="auto"/>
        <w:ind w:right="-260" w:rightChars="-124"/>
        <w:jc w:val="center"/>
        <w:rPr>
          <w:rFonts w:hint="eastAsia" w:ascii="宋体" w:hAnsi="宋体" w:eastAsia="宋体" w:cs="宋体"/>
          <w:b/>
          <w:bCs/>
          <w:sz w:val="48"/>
          <w:szCs w:val="48"/>
          <w:highlight w:val="none"/>
        </w:rPr>
      </w:pPr>
      <w:r>
        <w:rPr>
          <w:rFonts w:hint="eastAsia" w:ascii="宋体" w:hAnsi="宋体" w:eastAsia="宋体" w:cs="宋体"/>
          <w:b/>
          <w:bCs/>
          <w:sz w:val="48"/>
          <w:szCs w:val="48"/>
          <w:highlight w:val="none"/>
          <w:lang w:eastAsia="zh-CN"/>
        </w:rPr>
        <w:t>南通轨道1号线公安通信系统维保项目</w:t>
      </w:r>
      <w:r>
        <w:rPr>
          <w:rFonts w:hint="eastAsia" w:ascii="宋体" w:hAnsi="宋体" w:eastAsia="宋体" w:cs="宋体"/>
          <w:b/>
          <w:bCs/>
          <w:sz w:val="48"/>
          <w:szCs w:val="48"/>
          <w:highlight w:val="none"/>
        </w:rPr>
        <w:t>合同</w:t>
      </w:r>
    </w:p>
    <w:p w14:paraId="45C8BC25">
      <w:pPr>
        <w:autoSpaceDE w:val="0"/>
        <w:autoSpaceDN w:val="0"/>
        <w:adjustRightInd w:val="0"/>
        <w:spacing w:line="360" w:lineRule="auto"/>
        <w:ind w:right="-260" w:rightChars="-124"/>
        <w:jc w:val="center"/>
        <w:rPr>
          <w:rFonts w:hint="eastAsia" w:ascii="宋体" w:hAnsi="宋体" w:eastAsia="宋体" w:cs="宋体"/>
          <w:kern w:val="0"/>
          <w:sz w:val="48"/>
          <w:szCs w:val="48"/>
          <w:highlight w:val="none"/>
        </w:rPr>
      </w:pPr>
    </w:p>
    <w:p w14:paraId="2F5DBE46">
      <w:pPr>
        <w:spacing w:line="360" w:lineRule="auto"/>
        <w:ind w:right="-260" w:rightChars="-124"/>
        <w:jc w:val="center"/>
        <w:rPr>
          <w:rFonts w:hint="eastAsia" w:ascii="宋体" w:hAnsi="宋体" w:eastAsia="宋体" w:cs="宋体"/>
          <w:szCs w:val="21"/>
          <w:highlight w:val="none"/>
        </w:rPr>
      </w:pPr>
      <w:r>
        <w:rPr>
          <w:rFonts w:hint="eastAsia" w:ascii="宋体" w:hAnsi="宋体" w:eastAsia="宋体" w:cs="宋体"/>
          <w:szCs w:val="21"/>
          <w:highlight w:val="none"/>
        </w:rPr>
        <w:t>合同编号：</w:t>
      </w:r>
    </w:p>
    <w:p w14:paraId="3717ABE1">
      <w:pPr>
        <w:autoSpaceDE w:val="0"/>
        <w:autoSpaceDN w:val="0"/>
        <w:adjustRightInd w:val="0"/>
        <w:spacing w:line="200" w:lineRule="exact"/>
        <w:ind w:right="-260" w:rightChars="-124"/>
        <w:rPr>
          <w:rFonts w:hint="eastAsia" w:ascii="宋体" w:hAnsi="宋体" w:eastAsia="宋体" w:cs="宋体"/>
          <w:kern w:val="0"/>
          <w:sz w:val="24"/>
          <w:highlight w:val="none"/>
        </w:rPr>
      </w:pPr>
    </w:p>
    <w:p w14:paraId="6EAB733F">
      <w:pPr>
        <w:autoSpaceDE w:val="0"/>
        <w:autoSpaceDN w:val="0"/>
        <w:adjustRightInd w:val="0"/>
        <w:spacing w:line="200" w:lineRule="exact"/>
        <w:ind w:right="-260" w:rightChars="-124"/>
        <w:rPr>
          <w:rFonts w:hint="eastAsia" w:ascii="宋体" w:hAnsi="宋体" w:eastAsia="宋体" w:cs="宋体"/>
          <w:kern w:val="0"/>
          <w:sz w:val="24"/>
          <w:highlight w:val="none"/>
        </w:rPr>
      </w:pPr>
    </w:p>
    <w:p w14:paraId="4AA68FBE">
      <w:pPr>
        <w:autoSpaceDE w:val="0"/>
        <w:autoSpaceDN w:val="0"/>
        <w:adjustRightInd w:val="0"/>
        <w:spacing w:line="200" w:lineRule="exact"/>
        <w:ind w:right="-260" w:rightChars="-124"/>
        <w:rPr>
          <w:rFonts w:hint="eastAsia" w:ascii="宋体" w:hAnsi="宋体" w:eastAsia="宋体" w:cs="宋体"/>
          <w:kern w:val="0"/>
          <w:sz w:val="24"/>
          <w:highlight w:val="none"/>
        </w:rPr>
      </w:pPr>
    </w:p>
    <w:p w14:paraId="54C88018">
      <w:pPr>
        <w:autoSpaceDE w:val="0"/>
        <w:autoSpaceDN w:val="0"/>
        <w:adjustRightInd w:val="0"/>
        <w:spacing w:line="200" w:lineRule="exact"/>
        <w:ind w:right="-260" w:rightChars="-124"/>
        <w:rPr>
          <w:rFonts w:hint="eastAsia" w:ascii="宋体" w:hAnsi="宋体" w:eastAsia="宋体" w:cs="宋体"/>
          <w:kern w:val="0"/>
          <w:sz w:val="24"/>
          <w:highlight w:val="none"/>
        </w:rPr>
      </w:pPr>
    </w:p>
    <w:p w14:paraId="142F345C">
      <w:pPr>
        <w:autoSpaceDE w:val="0"/>
        <w:autoSpaceDN w:val="0"/>
        <w:adjustRightInd w:val="0"/>
        <w:spacing w:line="200" w:lineRule="exact"/>
        <w:ind w:right="-260" w:rightChars="-124"/>
        <w:rPr>
          <w:rFonts w:hint="eastAsia" w:ascii="宋体" w:hAnsi="宋体" w:eastAsia="宋体" w:cs="宋体"/>
          <w:kern w:val="0"/>
          <w:sz w:val="24"/>
          <w:highlight w:val="none"/>
        </w:rPr>
      </w:pPr>
    </w:p>
    <w:p w14:paraId="10240B37">
      <w:pPr>
        <w:autoSpaceDE w:val="0"/>
        <w:autoSpaceDN w:val="0"/>
        <w:adjustRightInd w:val="0"/>
        <w:spacing w:line="200" w:lineRule="exact"/>
        <w:ind w:right="-260" w:rightChars="-124"/>
        <w:rPr>
          <w:rFonts w:hint="eastAsia" w:ascii="宋体" w:hAnsi="宋体" w:eastAsia="宋体" w:cs="宋体"/>
          <w:kern w:val="0"/>
          <w:sz w:val="24"/>
          <w:highlight w:val="none"/>
        </w:rPr>
      </w:pPr>
    </w:p>
    <w:p w14:paraId="219E796E">
      <w:pPr>
        <w:autoSpaceDE w:val="0"/>
        <w:autoSpaceDN w:val="0"/>
        <w:adjustRightInd w:val="0"/>
        <w:spacing w:line="200" w:lineRule="exact"/>
        <w:ind w:right="-260" w:rightChars="-124"/>
        <w:rPr>
          <w:rFonts w:hint="eastAsia" w:ascii="宋体" w:hAnsi="宋体" w:eastAsia="宋体" w:cs="宋体"/>
          <w:kern w:val="0"/>
          <w:sz w:val="24"/>
          <w:highlight w:val="none"/>
        </w:rPr>
      </w:pPr>
    </w:p>
    <w:p w14:paraId="56191771">
      <w:pPr>
        <w:autoSpaceDE w:val="0"/>
        <w:autoSpaceDN w:val="0"/>
        <w:adjustRightInd w:val="0"/>
        <w:spacing w:line="200" w:lineRule="exact"/>
        <w:ind w:right="-260" w:rightChars="-124"/>
        <w:rPr>
          <w:rFonts w:hint="eastAsia" w:ascii="宋体" w:hAnsi="宋体" w:eastAsia="宋体" w:cs="宋体"/>
          <w:kern w:val="0"/>
          <w:sz w:val="24"/>
          <w:highlight w:val="none"/>
        </w:rPr>
      </w:pPr>
    </w:p>
    <w:p w14:paraId="20B90E61">
      <w:pPr>
        <w:autoSpaceDE w:val="0"/>
        <w:autoSpaceDN w:val="0"/>
        <w:adjustRightInd w:val="0"/>
        <w:spacing w:line="200" w:lineRule="exact"/>
        <w:ind w:right="-260" w:rightChars="-124"/>
        <w:rPr>
          <w:rFonts w:hint="eastAsia" w:ascii="宋体" w:hAnsi="宋体" w:eastAsia="宋体" w:cs="宋体"/>
          <w:kern w:val="0"/>
          <w:sz w:val="24"/>
          <w:highlight w:val="none"/>
        </w:rPr>
      </w:pPr>
    </w:p>
    <w:p w14:paraId="6FB026E8">
      <w:pPr>
        <w:autoSpaceDE w:val="0"/>
        <w:autoSpaceDN w:val="0"/>
        <w:adjustRightInd w:val="0"/>
        <w:spacing w:line="200" w:lineRule="exact"/>
        <w:ind w:right="-260" w:rightChars="-124"/>
        <w:rPr>
          <w:rFonts w:hint="eastAsia" w:ascii="宋体" w:hAnsi="宋体" w:eastAsia="宋体" w:cs="宋体"/>
          <w:kern w:val="0"/>
          <w:sz w:val="24"/>
          <w:highlight w:val="none"/>
        </w:rPr>
      </w:pPr>
    </w:p>
    <w:p w14:paraId="25697BEB">
      <w:pPr>
        <w:autoSpaceDE w:val="0"/>
        <w:autoSpaceDN w:val="0"/>
        <w:adjustRightInd w:val="0"/>
        <w:spacing w:line="200" w:lineRule="exact"/>
        <w:ind w:right="-260" w:rightChars="-124"/>
        <w:rPr>
          <w:rFonts w:hint="eastAsia" w:ascii="宋体" w:hAnsi="宋体" w:eastAsia="宋体" w:cs="宋体"/>
          <w:kern w:val="0"/>
          <w:sz w:val="24"/>
          <w:highlight w:val="none"/>
        </w:rPr>
      </w:pPr>
    </w:p>
    <w:p w14:paraId="06E6F76E">
      <w:pPr>
        <w:autoSpaceDE w:val="0"/>
        <w:autoSpaceDN w:val="0"/>
        <w:adjustRightInd w:val="0"/>
        <w:spacing w:line="200" w:lineRule="exact"/>
        <w:ind w:right="-260" w:rightChars="-124"/>
        <w:rPr>
          <w:rFonts w:hint="eastAsia" w:ascii="宋体" w:hAnsi="宋体" w:eastAsia="宋体" w:cs="宋体"/>
          <w:kern w:val="0"/>
          <w:sz w:val="24"/>
          <w:highlight w:val="none"/>
        </w:rPr>
      </w:pPr>
    </w:p>
    <w:p w14:paraId="734EB4AB">
      <w:pPr>
        <w:autoSpaceDE w:val="0"/>
        <w:autoSpaceDN w:val="0"/>
        <w:adjustRightInd w:val="0"/>
        <w:spacing w:line="200" w:lineRule="exact"/>
        <w:ind w:right="-260" w:rightChars="-124"/>
        <w:rPr>
          <w:rFonts w:hint="eastAsia" w:ascii="宋体" w:hAnsi="宋体" w:eastAsia="宋体" w:cs="宋体"/>
          <w:kern w:val="0"/>
          <w:sz w:val="24"/>
          <w:highlight w:val="none"/>
        </w:rPr>
      </w:pPr>
    </w:p>
    <w:p w14:paraId="1F8DD58D">
      <w:pPr>
        <w:autoSpaceDE w:val="0"/>
        <w:autoSpaceDN w:val="0"/>
        <w:adjustRightInd w:val="0"/>
        <w:spacing w:line="200" w:lineRule="exact"/>
        <w:ind w:right="-260" w:rightChars="-124"/>
        <w:rPr>
          <w:rFonts w:hint="eastAsia" w:ascii="宋体" w:hAnsi="宋体" w:eastAsia="宋体" w:cs="宋体"/>
          <w:kern w:val="0"/>
          <w:sz w:val="24"/>
          <w:highlight w:val="none"/>
        </w:rPr>
      </w:pPr>
    </w:p>
    <w:p w14:paraId="592AE747">
      <w:pPr>
        <w:autoSpaceDE w:val="0"/>
        <w:autoSpaceDN w:val="0"/>
        <w:adjustRightInd w:val="0"/>
        <w:spacing w:line="200" w:lineRule="exact"/>
        <w:ind w:right="-260" w:rightChars="-124"/>
        <w:rPr>
          <w:rFonts w:hint="eastAsia" w:ascii="宋体" w:hAnsi="宋体" w:eastAsia="宋体" w:cs="宋体"/>
          <w:kern w:val="0"/>
          <w:sz w:val="24"/>
          <w:highlight w:val="none"/>
        </w:rPr>
      </w:pPr>
    </w:p>
    <w:p w14:paraId="5D78B3FB">
      <w:pPr>
        <w:autoSpaceDE w:val="0"/>
        <w:autoSpaceDN w:val="0"/>
        <w:adjustRightInd w:val="0"/>
        <w:spacing w:line="200" w:lineRule="exact"/>
        <w:ind w:right="-260" w:rightChars="-124"/>
        <w:rPr>
          <w:rFonts w:hint="eastAsia" w:ascii="宋体" w:hAnsi="宋体" w:eastAsia="宋体" w:cs="宋体"/>
          <w:kern w:val="0"/>
          <w:sz w:val="24"/>
          <w:highlight w:val="none"/>
        </w:rPr>
      </w:pPr>
    </w:p>
    <w:p w14:paraId="4268EC4D">
      <w:pPr>
        <w:autoSpaceDE w:val="0"/>
        <w:autoSpaceDN w:val="0"/>
        <w:adjustRightInd w:val="0"/>
        <w:spacing w:line="200" w:lineRule="exact"/>
        <w:ind w:right="-260" w:rightChars="-124"/>
        <w:rPr>
          <w:rFonts w:hint="eastAsia" w:ascii="宋体" w:hAnsi="宋体" w:eastAsia="宋体" w:cs="宋体"/>
          <w:kern w:val="0"/>
          <w:sz w:val="24"/>
          <w:highlight w:val="none"/>
        </w:rPr>
      </w:pPr>
    </w:p>
    <w:p w14:paraId="0B8269AF">
      <w:pPr>
        <w:autoSpaceDE w:val="0"/>
        <w:autoSpaceDN w:val="0"/>
        <w:adjustRightInd w:val="0"/>
        <w:spacing w:line="200" w:lineRule="exact"/>
        <w:ind w:right="-260" w:rightChars="-124"/>
        <w:rPr>
          <w:rFonts w:hint="eastAsia" w:ascii="宋体" w:hAnsi="宋体" w:eastAsia="宋体" w:cs="宋体"/>
          <w:kern w:val="0"/>
          <w:sz w:val="24"/>
          <w:highlight w:val="none"/>
        </w:rPr>
      </w:pPr>
    </w:p>
    <w:p w14:paraId="05F18850">
      <w:pPr>
        <w:autoSpaceDE w:val="0"/>
        <w:autoSpaceDN w:val="0"/>
        <w:adjustRightInd w:val="0"/>
        <w:spacing w:line="200" w:lineRule="exact"/>
        <w:ind w:right="-260" w:rightChars="-124"/>
        <w:rPr>
          <w:rFonts w:hint="eastAsia" w:ascii="宋体" w:hAnsi="宋体" w:eastAsia="宋体" w:cs="宋体"/>
          <w:kern w:val="0"/>
          <w:sz w:val="24"/>
          <w:highlight w:val="none"/>
        </w:rPr>
      </w:pPr>
    </w:p>
    <w:p w14:paraId="08BB146B">
      <w:pPr>
        <w:autoSpaceDE w:val="0"/>
        <w:autoSpaceDN w:val="0"/>
        <w:adjustRightInd w:val="0"/>
        <w:spacing w:line="200" w:lineRule="exact"/>
        <w:ind w:right="-260" w:rightChars="-124"/>
        <w:rPr>
          <w:rFonts w:hint="eastAsia" w:ascii="宋体" w:hAnsi="宋体" w:eastAsia="宋体" w:cs="宋体"/>
          <w:kern w:val="0"/>
          <w:sz w:val="24"/>
          <w:highlight w:val="none"/>
        </w:rPr>
      </w:pPr>
    </w:p>
    <w:p w14:paraId="095436F1">
      <w:pPr>
        <w:autoSpaceDE w:val="0"/>
        <w:autoSpaceDN w:val="0"/>
        <w:adjustRightInd w:val="0"/>
        <w:spacing w:line="200" w:lineRule="exact"/>
        <w:ind w:right="-260" w:rightChars="-124"/>
        <w:rPr>
          <w:rFonts w:hint="eastAsia" w:ascii="宋体" w:hAnsi="宋体" w:eastAsia="宋体" w:cs="宋体"/>
          <w:kern w:val="0"/>
          <w:sz w:val="24"/>
          <w:highlight w:val="none"/>
        </w:rPr>
      </w:pPr>
    </w:p>
    <w:p w14:paraId="3E7F8ECB">
      <w:pPr>
        <w:autoSpaceDE w:val="0"/>
        <w:autoSpaceDN w:val="0"/>
        <w:adjustRightInd w:val="0"/>
        <w:spacing w:line="200" w:lineRule="exact"/>
        <w:ind w:right="-260" w:rightChars="-124"/>
        <w:rPr>
          <w:rFonts w:hint="eastAsia" w:ascii="宋体" w:hAnsi="宋体" w:eastAsia="宋体" w:cs="宋体"/>
          <w:kern w:val="0"/>
          <w:sz w:val="24"/>
          <w:highlight w:val="none"/>
        </w:rPr>
      </w:pPr>
    </w:p>
    <w:p w14:paraId="50EC321E">
      <w:pPr>
        <w:autoSpaceDE w:val="0"/>
        <w:autoSpaceDN w:val="0"/>
        <w:adjustRightInd w:val="0"/>
        <w:spacing w:line="200" w:lineRule="exact"/>
        <w:ind w:right="-260" w:rightChars="-124"/>
        <w:rPr>
          <w:rFonts w:hint="eastAsia" w:ascii="宋体" w:hAnsi="宋体" w:eastAsia="宋体" w:cs="宋体"/>
          <w:kern w:val="0"/>
          <w:sz w:val="24"/>
          <w:highlight w:val="none"/>
        </w:rPr>
      </w:pPr>
    </w:p>
    <w:p w14:paraId="5B9B3E0C">
      <w:pPr>
        <w:autoSpaceDE w:val="0"/>
        <w:autoSpaceDN w:val="0"/>
        <w:adjustRightInd w:val="0"/>
        <w:spacing w:line="236" w:lineRule="exact"/>
        <w:ind w:right="-260" w:rightChars="-124"/>
        <w:rPr>
          <w:rFonts w:hint="eastAsia" w:ascii="宋体" w:hAnsi="宋体" w:eastAsia="宋体" w:cs="宋体"/>
          <w:kern w:val="0"/>
          <w:sz w:val="24"/>
          <w:highlight w:val="none"/>
        </w:rPr>
      </w:pPr>
    </w:p>
    <w:p w14:paraId="3E949488">
      <w:pPr>
        <w:ind w:right="-260" w:rightChars="-124" w:firstLine="1263" w:firstLineChars="393"/>
        <w:rPr>
          <w:rFonts w:hint="eastAsia" w:ascii="宋体" w:hAnsi="宋体" w:eastAsia="宋体" w:cs="宋体"/>
          <w:b/>
          <w:bCs/>
          <w:kern w:val="0"/>
          <w:sz w:val="32"/>
          <w:szCs w:val="32"/>
          <w:highlight w:val="none"/>
        </w:rPr>
      </w:pPr>
    </w:p>
    <w:p w14:paraId="4FE1C74A">
      <w:pPr>
        <w:ind w:left="0" w:leftChars="0" w:right="-260" w:rightChars="-124" w:firstLine="1687" w:firstLineChars="525"/>
        <w:rPr>
          <w:rFonts w:hint="eastAsia" w:ascii="宋体" w:hAnsi="宋体" w:eastAsia="宋体" w:cs="宋体"/>
          <w:kern w:val="0"/>
          <w:sz w:val="24"/>
          <w:highlight w:val="none"/>
        </w:rPr>
      </w:pPr>
      <w:r>
        <w:rPr>
          <w:rFonts w:hint="eastAsia" w:ascii="宋体" w:hAnsi="宋体" w:eastAsia="宋体" w:cs="宋体"/>
          <w:b/>
          <w:bCs/>
          <w:kern w:val="0"/>
          <w:sz w:val="32"/>
          <w:szCs w:val="32"/>
          <w:highlight w:val="none"/>
        </w:rPr>
        <w:t>甲方：</w:t>
      </w:r>
      <w:r>
        <w:rPr>
          <w:rFonts w:hint="eastAsia" w:ascii="宋体" w:hAnsi="宋体" w:eastAsia="宋体" w:cs="宋体"/>
          <w:b/>
          <w:bCs/>
          <w:kern w:val="0"/>
          <w:sz w:val="32"/>
          <w:szCs w:val="32"/>
          <w:highlight w:val="none"/>
          <w:u w:val="single" w:color="auto"/>
          <w:lang w:eastAsia="zh-CN"/>
        </w:rPr>
        <w:t>南通轨道建设发展有限公司</w:t>
      </w:r>
    </w:p>
    <w:p w14:paraId="6A957FB1">
      <w:pPr>
        <w:ind w:left="0" w:leftChars="0" w:right="-260" w:rightChars="-124" w:firstLine="1687" w:firstLineChars="525"/>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乙方：</w:t>
      </w:r>
      <w:r>
        <w:rPr>
          <w:rFonts w:hint="eastAsia" w:ascii="宋体" w:hAnsi="宋体" w:eastAsia="宋体" w:cs="宋体"/>
          <w:b/>
          <w:bCs/>
          <w:kern w:val="0"/>
          <w:sz w:val="32"/>
          <w:szCs w:val="32"/>
          <w:highlight w:val="none"/>
          <w:u w:val="single" w:color="000000"/>
        </w:rPr>
        <w:t xml:space="preserve">                        </w:t>
      </w:r>
      <w:r>
        <w:rPr>
          <w:rFonts w:hint="eastAsia" w:ascii="宋体" w:hAnsi="宋体" w:eastAsia="宋体" w:cs="宋体"/>
          <w:b/>
          <w:bCs/>
          <w:kern w:val="0"/>
          <w:sz w:val="32"/>
          <w:szCs w:val="32"/>
          <w:highlight w:val="none"/>
        </w:rPr>
        <w:t xml:space="preserve"> </w:t>
      </w:r>
    </w:p>
    <w:p w14:paraId="14E148D1">
      <w:pPr>
        <w:autoSpaceDE w:val="0"/>
        <w:autoSpaceDN w:val="0"/>
        <w:adjustRightInd w:val="0"/>
        <w:spacing w:line="283" w:lineRule="exact"/>
        <w:ind w:right="-260" w:rightChars="-124"/>
        <w:rPr>
          <w:rFonts w:hint="eastAsia" w:ascii="宋体" w:hAnsi="宋体" w:eastAsia="宋体" w:cs="宋体"/>
          <w:kern w:val="0"/>
          <w:sz w:val="24"/>
          <w:highlight w:val="none"/>
        </w:rPr>
      </w:pPr>
    </w:p>
    <w:p w14:paraId="409F77B2">
      <w:pPr>
        <w:spacing w:line="360" w:lineRule="auto"/>
        <w:ind w:right="-260" w:rightChars="-124" w:firstLine="622" w:firstLineChars="200"/>
        <w:jc w:val="center"/>
        <w:rPr>
          <w:rFonts w:hint="eastAsia" w:ascii="宋体" w:hAnsi="宋体" w:eastAsia="宋体" w:cs="宋体"/>
          <w:b/>
          <w:bCs/>
          <w:kern w:val="0"/>
          <w:sz w:val="31"/>
          <w:szCs w:val="31"/>
          <w:highlight w:val="none"/>
        </w:rPr>
      </w:pPr>
    </w:p>
    <w:p w14:paraId="6A72528A">
      <w:pPr>
        <w:ind w:right="-260" w:rightChars="-124"/>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  月</w:t>
      </w:r>
    </w:p>
    <w:p w14:paraId="0637895F">
      <w:pPr>
        <w:spacing w:line="440" w:lineRule="exact"/>
        <w:ind w:right="-260" w:rightChars="-124" w:firstLine="479" w:firstLineChars="199"/>
        <w:rPr>
          <w:rFonts w:hint="eastAsia" w:ascii="宋体" w:hAnsi="宋体" w:eastAsia="宋体" w:cs="宋体"/>
          <w:b/>
          <w:sz w:val="24"/>
          <w:highlight w:val="none"/>
        </w:rPr>
      </w:pPr>
    </w:p>
    <w:p w14:paraId="5E821A1C">
      <w:pPr>
        <w:keepNext w:val="0"/>
        <w:keepLines w:val="0"/>
        <w:pageBreakBefore w:val="0"/>
        <w:tabs>
          <w:tab w:val="left" w:pos="360"/>
          <w:tab w:val="left" w:pos="420"/>
          <w:tab w:val="left" w:pos="567"/>
        </w:tabs>
        <w:kinsoku/>
        <w:wordWrap/>
        <w:overflowPunct/>
        <w:topLinePunct w:val="0"/>
        <w:bidi w:val="0"/>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br w:type="page"/>
      </w:r>
    </w:p>
    <w:p w14:paraId="529EF2C3">
      <w:pPr>
        <w:pStyle w:val="3"/>
        <w:keepNext/>
        <w:keepLines/>
        <w:pageBreakBefore w:val="0"/>
        <w:widowControl w:val="0"/>
        <w:kinsoku/>
        <w:wordWrap/>
        <w:overflowPunct/>
        <w:topLinePunct w:val="0"/>
        <w:autoSpaceDE/>
        <w:autoSpaceDN/>
        <w:bidi w:val="0"/>
        <w:adjustRightInd/>
        <w:snapToGrid/>
        <w:spacing w:line="440" w:lineRule="exact"/>
        <w:ind w:right="-260" w:rightChars="-124"/>
        <w:jc w:val="center"/>
        <w:textAlignment w:val="auto"/>
        <w:rPr>
          <w:rFonts w:hint="eastAsia" w:ascii="宋体" w:hAnsi="宋体" w:eastAsia="宋体" w:cs="宋体"/>
          <w:color w:val="auto"/>
          <w:sz w:val="28"/>
          <w:szCs w:val="28"/>
          <w:highlight w:val="none"/>
        </w:rPr>
      </w:pPr>
      <w:bookmarkStart w:id="144" w:name="_Toc7818"/>
      <w:r>
        <w:rPr>
          <w:rFonts w:hint="eastAsia" w:ascii="宋体" w:hAnsi="宋体" w:eastAsia="宋体" w:cs="宋体"/>
          <w:b/>
          <w:bCs/>
          <w:color w:val="auto"/>
          <w:kern w:val="0"/>
          <w:sz w:val="28"/>
          <w:szCs w:val="28"/>
          <w:highlight w:val="none"/>
          <w:lang w:bidi="ar"/>
        </w:rPr>
        <w:t>第一节 合同协议书</w:t>
      </w:r>
      <w:bookmarkEnd w:id="144"/>
    </w:p>
    <w:p w14:paraId="5196A057">
      <w:pPr>
        <w:widowControl/>
        <w:spacing w:line="440" w:lineRule="exact"/>
        <w:ind w:right="-941" w:rightChars="-448"/>
        <w:jc w:val="left"/>
        <w:rPr>
          <w:rFonts w:hint="eastAsia" w:ascii="宋体" w:hAnsi="宋体" w:eastAsia="宋体" w:cs="宋体"/>
          <w:color w:val="auto"/>
          <w:kern w:val="0"/>
          <w:szCs w:val="21"/>
          <w:highlight w:val="none"/>
          <w:lang w:bidi="ar"/>
        </w:rPr>
      </w:pPr>
    </w:p>
    <w:p w14:paraId="70BCAFEB">
      <w:pPr>
        <w:widowControl/>
        <w:spacing w:line="440" w:lineRule="exact"/>
        <w:ind w:right="-260" w:rightChars="-124"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甲方：</w:t>
      </w:r>
      <w:r>
        <w:rPr>
          <w:rFonts w:hint="eastAsia" w:ascii="宋体" w:hAnsi="宋体" w:eastAsia="宋体" w:cs="宋体"/>
          <w:color w:val="auto"/>
          <w:kern w:val="0"/>
          <w:sz w:val="21"/>
          <w:szCs w:val="21"/>
          <w:highlight w:val="none"/>
          <w:u w:val="single"/>
          <w:lang w:eastAsia="zh-CN" w:bidi="ar"/>
        </w:rPr>
        <w:t>南通轨道建设发展有限公司</w:t>
      </w:r>
      <w:r>
        <w:rPr>
          <w:rFonts w:hint="eastAsia" w:ascii="宋体" w:hAnsi="宋体" w:eastAsia="宋体" w:cs="宋体"/>
          <w:color w:val="auto"/>
          <w:kern w:val="0"/>
          <w:sz w:val="21"/>
          <w:szCs w:val="21"/>
          <w:highlight w:val="none"/>
          <w:lang w:bidi="ar"/>
        </w:rPr>
        <w:t xml:space="preserve"> </w:t>
      </w:r>
    </w:p>
    <w:p w14:paraId="39345BD8">
      <w:pPr>
        <w:widowControl/>
        <w:spacing w:line="440" w:lineRule="exact"/>
        <w:ind w:right="-260" w:rightChars="-124"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kern w:val="0"/>
          <w:sz w:val="21"/>
          <w:szCs w:val="21"/>
          <w:highlight w:val="none"/>
          <w:lang w:bidi="ar"/>
        </w:rPr>
        <w:t>乙方：</w:t>
      </w:r>
      <w:r>
        <w:rPr>
          <w:rFonts w:hint="eastAsia" w:ascii="宋体" w:hAnsi="宋体" w:eastAsia="宋体" w:cs="宋体"/>
          <w:color w:val="auto"/>
          <w:kern w:val="0"/>
          <w:sz w:val="21"/>
          <w:szCs w:val="21"/>
          <w:highlight w:val="none"/>
          <w:u w:val="single"/>
          <w:lang w:val="en-US" w:eastAsia="zh-CN" w:bidi="ar"/>
        </w:rPr>
        <w:t xml:space="preserve">                        </w:t>
      </w:r>
    </w:p>
    <w:p w14:paraId="4D317CF9">
      <w:pPr>
        <w:keepNext w:val="0"/>
        <w:keepLines w:val="0"/>
        <w:pageBreakBefore w:val="0"/>
        <w:widowControl/>
        <w:kinsoku/>
        <w:wordWrap/>
        <w:overflowPunct/>
        <w:topLinePunct w:val="0"/>
        <w:bidi w:val="0"/>
        <w:adjustRightInd/>
        <w:snapToGrid/>
        <w:spacing w:line="440" w:lineRule="exact"/>
        <w:ind w:right="-260" w:rightChars="-12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highlight w:val="none"/>
          <w:u w:val="single"/>
          <w:lang w:eastAsia="zh-CN" w:bidi="ar"/>
        </w:rPr>
        <w:t>南通轨道建设发展有限公司</w:t>
      </w:r>
      <w:r>
        <w:rPr>
          <w:rFonts w:hint="eastAsia" w:ascii="宋体" w:hAnsi="宋体" w:eastAsia="宋体" w:cs="宋体"/>
          <w:color w:val="auto"/>
          <w:kern w:val="0"/>
          <w:highlight w:val="none"/>
          <w:lang w:bidi="ar"/>
        </w:rPr>
        <w:t>（以下简称“甲方”）为实施</w:t>
      </w:r>
      <w:r>
        <w:rPr>
          <w:rFonts w:hint="eastAsia" w:ascii="宋体" w:hAnsi="宋体" w:eastAsia="宋体" w:cs="宋体"/>
          <w:color w:val="auto"/>
          <w:kern w:val="0"/>
          <w:highlight w:val="none"/>
          <w:u w:val="single"/>
          <w:lang w:eastAsia="zh-CN" w:bidi="ar"/>
        </w:rPr>
        <w:t>南通轨道1号线公安通信系统维保项目</w:t>
      </w:r>
      <w:r>
        <w:rPr>
          <w:rFonts w:hint="eastAsia" w:ascii="宋体" w:hAnsi="宋体" w:eastAsia="宋体" w:cs="宋体"/>
          <w:color w:val="auto"/>
          <w:kern w:val="0"/>
          <w:highlight w:val="none"/>
          <w:lang w:bidi="ar"/>
        </w:rPr>
        <w:t>，已接受</w:t>
      </w:r>
      <w:r>
        <w:rPr>
          <w:rFonts w:hint="eastAsia" w:ascii="宋体" w:hAnsi="宋体" w:eastAsia="宋体" w:cs="宋体"/>
          <w:color w:val="auto"/>
          <w:kern w:val="0"/>
          <w:highlight w:val="none"/>
          <w:u w:val="single"/>
          <w:lang w:bidi="ar"/>
        </w:rPr>
        <w:t xml:space="preserve">        </w:t>
      </w:r>
      <w:r>
        <w:rPr>
          <w:rFonts w:hint="eastAsia" w:ascii="宋体" w:hAnsi="宋体" w:eastAsia="宋体" w:cs="宋体"/>
          <w:color w:val="auto"/>
          <w:kern w:val="0"/>
          <w:highlight w:val="none"/>
          <w:lang w:bidi="ar"/>
        </w:rPr>
        <w:t>（以下简称“乙方”）对该项目的投标。甲方和乙方共同达成如下协议。</w:t>
      </w:r>
    </w:p>
    <w:p w14:paraId="561536FC">
      <w:pPr>
        <w:keepNext w:val="0"/>
        <w:keepLines w:val="0"/>
        <w:pageBreakBefore w:val="0"/>
        <w:widowControl/>
        <w:kinsoku/>
        <w:wordWrap/>
        <w:overflowPunct/>
        <w:topLinePunct w:val="0"/>
        <w:bidi w:val="0"/>
        <w:adjustRightInd/>
        <w:snapToGrid/>
        <w:spacing w:line="440" w:lineRule="exact"/>
        <w:ind w:right="-260" w:rightChars="-12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一、项目概况</w:t>
      </w:r>
    </w:p>
    <w:p w14:paraId="3060C295">
      <w:pPr>
        <w:keepNext w:val="0"/>
        <w:keepLines w:val="0"/>
        <w:pageBreakBefore w:val="0"/>
        <w:widowControl/>
        <w:kinsoku/>
        <w:wordWrap/>
        <w:overflowPunct/>
        <w:topLinePunct w:val="0"/>
        <w:bidi w:val="0"/>
        <w:adjustRightInd/>
        <w:snapToGrid/>
        <w:spacing w:line="440" w:lineRule="exact"/>
        <w:ind w:right="-260" w:rightChars="-124"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kern w:val="58"/>
          <w:sz w:val="21"/>
          <w:szCs w:val="21"/>
          <w:highlight w:val="none"/>
          <w:u w:val="single"/>
          <w:lang w:eastAsia="zh-CN"/>
        </w:rPr>
        <w:t>南通轨道1号线公安通信系统维保项目</w:t>
      </w:r>
      <w:r>
        <w:rPr>
          <w:rFonts w:hint="eastAsia" w:ascii="宋体" w:hAnsi="宋体" w:eastAsia="宋体" w:cs="宋体"/>
          <w:color w:val="auto"/>
          <w:sz w:val="21"/>
          <w:szCs w:val="21"/>
          <w:highlight w:val="none"/>
          <w:u w:val="none"/>
        </w:rPr>
        <w:t>；</w:t>
      </w:r>
    </w:p>
    <w:p w14:paraId="14928C0C">
      <w:pPr>
        <w:keepNext w:val="0"/>
        <w:keepLines w:val="0"/>
        <w:pageBreakBefore w:val="0"/>
        <w:widowControl/>
        <w:kinsoku/>
        <w:wordWrap/>
        <w:overflowPunct/>
        <w:topLinePunct w:val="0"/>
        <w:bidi w:val="0"/>
        <w:adjustRightInd/>
        <w:snapToGrid/>
        <w:spacing w:line="440" w:lineRule="exact"/>
        <w:ind w:right="-260" w:rightChars="-124"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sz w:val="21"/>
          <w:szCs w:val="21"/>
          <w:highlight w:val="none"/>
        </w:rPr>
        <w:t>项目地址：</w:t>
      </w:r>
      <w:r>
        <w:rPr>
          <w:rFonts w:hint="eastAsia" w:ascii="宋体" w:hAnsi="宋体" w:eastAsia="宋体" w:cs="宋体"/>
          <w:color w:val="auto"/>
          <w:sz w:val="21"/>
          <w:szCs w:val="21"/>
          <w:highlight w:val="none"/>
          <w:u w:val="single"/>
        </w:rPr>
        <w:t>江苏省南通市</w:t>
      </w:r>
      <w:r>
        <w:rPr>
          <w:rFonts w:hint="eastAsia" w:ascii="宋体" w:hAnsi="宋体" w:eastAsia="宋体" w:cs="宋体"/>
          <w:color w:val="auto"/>
          <w:sz w:val="21"/>
          <w:szCs w:val="21"/>
          <w:highlight w:val="none"/>
          <w:u w:val="none"/>
          <w:lang w:eastAsia="zh-CN"/>
        </w:rPr>
        <w:t>。</w:t>
      </w:r>
    </w:p>
    <w:p w14:paraId="0EC82115">
      <w:pPr>
        <w:keepNext w:val="0"/>
        <w:keepLines w:val="0"/>
        <w:pageBreakBefore w:val="0"/>
        <w:widowControl/>
        <w:kinsoku/>
        <w:wordWrap/>
        <w:overflowPunct/>
        <w:topLinePunct w:val="0"/>
        <w:bidi w:val="0"/>
        <w:adjustRightInd/>
        <w:snapToGrid/>
        <w:spacing w:line="440" w:lineRule="exact"/>
        <w:ind w:right="-260" w:rightChars="-124"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二、项目承揽范围</w:t>
      </w:r>
    </w:p>
    <w:p w14:paraId="0BA56269">
      <w:pPr>
        <w:keepNext w:val="0"/>
        <w:keepLines w:val="0"/>
        <w:pageBreakBefore w:val="0"/>
        <w:widowControl/>
        <w:kinsoku/>
        <w:wordWrap/>
        <w:overflowPunct/>
        <w:topLinePunct w:val="0"/>
        <w:bidi w:val="0"/>
        <w:adjustRightInd/>
        <w:snapToGrid/>
        <w:spacing w:line="440" w:lineRule="exact"/>
        <w:ind w:right="-260" w:rightChars="-124" w:firstLine="420" w:firstLineChars="200"/>
        <w:jc w:val="left"/>
        <w:textAlignment w:val="auto"/>
        <w:rPr>
          <w:rFonts w:hint="eastAsia"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u w:val="single"/>
          <w:lang w:val="en-US" w:eastAsia="zh-CN" w:bidi="ar"/>
        </w:rPr>
        <w:t>正线28座车站、1座控制中心及区间隧道所属的南通轨道1号线公安通信系统设备设施维保。具体内容详见《用户需求书》。</w:t>
      </w:r>
    </w:p>
    <w:p w14:paraId="514B53DB">
      <w:pPr>
        <w:keepNext w:val="0"/>
        <w:keepLines w:val="0"/>
        <w:pageBreakBefore w:val="0"/>
        <w:widowControl/>
        <w:kinsoku/>
        <w:wordWrap/>
        <w:overflowPunct/>
        <w:topLinePunct w:val="0"/>
        <w:bidi w:val="0"/>
        <w:adjustRightInd/>
        <w:snapToGrid/>
        <w:spacing w:line="440" w:lineRule="exact"/>
        <w:ind w:right="-260" w:rightChars="-124"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三、服务期限</w:t>
      </w:r>
    </w:p>
    <w:p w14:paraId="6CE8A3D9">
      <w:pPr>
        <w:keepNext w:val="0"/>
        <w:keepLines w:val="0"/>
        <w:pageBreakBefore w:val="0"/>
        <w:widowControl/>
        <w:kinsoku/>
        <w:wordWrap/>
        <w:overflowPunct/>
        <w:topLinePunct w:val="0"/>
        <w:bidi w:val="0"/>
        <w:adjustRightInd/>
        <w:snapToGrid/>
        <w:spacing w:line="440" w:lineRule="exact"/>
        <w:ind w:right="-260" w:rightChars="-124" w:firstLine="420" w:firstLineChars="200"/>
        <w:jc w:val="left"/>
        <w:textAlignment w:val="auto"/>
        <w:rPr>
          <w:rFonts w:hint="eastAsia" w:ascii="宋体" w:hAnsi="宋体" w:eastAsia="宋体" w:cs="宋体"/>
          <w:color w:val="auto"/>
          <w:kern w:val="0"/>
          <w:sz w:val="21"/>
          <w:szCs w:val="21"/>
          <w:highlight w:val="none"/>
          <w:u w:val="single"/>
          <w:lang w:bidi="ar"/>
        </w:rPr>
      </w:pPr>
      <w:r>
        <w:rPr>
          <w:rFonts w:hint="eastAsia" w:ascii="宋体" w:hAnsi="宋体" w:eastAsia="宋体" w:cs="宋体"/>
          <w:color w:val="auto"/>
          <w:kern w:val="0"/>
          <w:sz w:val="21"/>
          <w:szCs w:val="21"/>
          <w:highlight w:val="none"/>
          <w:u w:val="single"/>
          <w:lang w:val="en-US" w:eastAsia="zh-CN" w:bidi="ar"/>
        </w:rPr>
        <w:t>合同期限为2年。中选后签1年合同，价格锁定，首年服务评价合格后按中选价格续签下一年合同。</w:t>
      </w:r>
    </w:p>
    <w:p w14:paraId="6B8F1725">
      <w:pPr>
        <w:keepNext w:val="0"/>
        <w:keepLines w:val="0"/>
        <w:pageBreakBefore w:val="0"/>
        <w:widowControl/>
        <w:kinsoku/>
        <w:wordWrap/>
        <w:overflowPunct/>
        <w:topLinePunct w:val="0"/>
        <w:autoSpaceDE/>
        <w:autoSpaceDN/>
        <w:bidi w:val="0"/>
        <w:adjustRightInd/>
        <w:snapToGrid/>
        <w:spacing w:line="440" w:lineRule="exact"/>
        <w:ind w:right="-260" w:rightChars="-124"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四、合同价格</w:t>
      </w:r>
    </w:p>
    <w:p w14:paraId="206D0523">
      <w:pPr>
        <w:keepNext w:val="0"/>
        <w:keepLines w:val="0"/>
        <w:pageBreakBefore w:val="0"/>
        <w:widowControl/>
        <w:kinsoku/>
        <w:wordWrap/>
        <w:overflowPunct/>
        <w:topLinePunct w:val="0"/>
        <w:autoSpaceDE/>
        <w:autoSpaceDN/>
        <w:bidi w:val="0"/>
        <w:adjustRightInd/>
        <w:snapToGrid/>
        <w:spacing w:line="440" w:lineRule="exact"/>
        <w:ind w:right="-260" w:rightChars="-124" w:firstLine="420" w:firstLineChars="200"/>
        <w:jc w:val="left"/>
        <w:textAlignment w:val="auto"/>
        <w:rPr>
          <w:rFonts w:hint="eastAsia" w:ascii="宋体" w:hAnsi="宋体" w:eastAsia="宋体" w:cs="宋体"/>
          <w:color w:val="auto"/>
          <w:kern w:val="0"/>
          <w:sz w:val="21"/>
          <w:szCs w:val="21"/>
          <w:highlight w:val="none"/>
          <w:lang w:bidi="ar"/>
        </w:rPr>
      </w:pPr>
      <w:bookmarkStart w:id="145" w:name="_Hlk106127747"/>
      <w:r>
        <w:rPr>
          <w:rFonts w:hint="eastAsia" w:ascii="宋体" w:hAnsi="宋体" w:eastAsia="宋体" w:cs="宋体"/>
          <w:color w:val="auto"/>
          <w:kern w:val="0"/>
          <w:sz w:val="21"/>
          <w:szCs w:val="21"/>
          <w:highlight w:val="none"/>
          <w:lang w:bidi="ar"/>
        </w:rPr>
        <w:t>（1）本合同为</w:t>
      </w:r>
      <w:r>
        <w:rPr>
          <w:rFonts w:hint="eastAsia" w:ascii="宋体" w:hAnsi="宋体" w:eastAsia="宋体" w:cs="宋体"/>
          <w:color w:val="auto"/>
          <w:kern w:val="0"/>
          <w:sz w:val="21"/>
          <w:szCs w:val="21"/>
          <w:highlight w:val="none"/>
          <w:u w:val="single"/>
          <w:lang w:val="en-US" w:eastAsia="zh-CN" w:bidi="ar"/>
        </w:rPr>
        <w:t>固定总价+固定单价</w:t>
      </w:r>
      <w:r>
        <w:rPr>
          <w:rFonts w:hint="eastAsia" w:ascii="宋体" w:hAnsi="宋体" w:eastAsia="宋体" w:cs="宋体"/>
          <w:color w:val="auto"/>
          <w:kern w:val="0"/>
          <w:sz w:val="21"/>
          <w:szCs w:val="21"/>
          <w:highlight w:val="none"/>
          <w:u w:val="single"/>
          <w:lang w:bidi="ar"/>
        </w:rPr>
        <w:t>合同</w:t>
      </w:r>
      <w:r>
        <w:rPr>
          <w:rFonts w:hint="eastAsia" w:ascii="宋体" w:hAnsi="宋体" w:eastAsia="宋体" w:cs="宋体"/>
          <w:color w:val="auto"/>
          <w:kern w:val="0"/>
          <w:sz w:val="21"/>
          <w:szCs w:val="21"/>
          <w:highlight w:val="none"/>
          <w:lang w:bidi="ar"/>
        </w:rPr>
        <w:t>；</w:t>
      </w:r>
    </w:p>
    <w:p w14:paraId="03314731">
      <w:pPr>
        <w:keepNext w:val="0"/>
        <w:keepLines w:val="0"/>
        <w:pageBreakBefore w:val="0"/>
        <w:widowControl/>
        <w:kinsoku/>
        <w:wordWrap/>
        <w:overflowPunct/>
        <w:topLinePunct w:val="0"/>
        <w:autoSpaceDE/>
        <w:autoSpaceDN/>
        <w:bidi w:val="0"/>
        <w:adjustRightInd/>
        <w:snapToGrid/>
        <w:spacing w:line="440" w:lineRule="exact"/>
        <w:ind w:right="-260" w:rightChars="-124"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①维保费用：合同价</w:t>
      </w:r>
      <w:r>
        <w:rPr>
          <w:rFonts w:hint="eastAsia" w:ascii="宋体" w:hAnsi="宋体" w:eastAsia="宋体" w:cs="宋体"/>
          <w:color w:val="auto"/>
          <w:kern w:val="0"/>
          <w:sz w:val="21"/>
          <w:szCs w:val="21"/>
          <w:highlight w:val="none"/>
          <w:lang w:bidi="ar"/>
        </w:rPr>
        <w:t>为</w:t>
      </w:r>
      <w:r>
        <w:rPr>
          <w:rFonts w:hint="eastAsia" w:ascii="宋体" w:hAnsi="宋体" w:eastAsia="宋体" w:cs="宋体"/>
          <w:color w:val="auto"/>
          <w:kern w:val="0"/>
          <w:sz w:val="21"/>
          <w:szCs w:val="21"/>
          <w:highlight w:val="none"/>
          <w:lang w:val="en-US" w:eastAsia="zh-CN" w:bidi="ar"/>
        </w:rPr>
        <w:t>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bidi="ar"/>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bidi="ar"/>
        </w:rPr>
        <w:t>元（小写），其中不含税价格为人民币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bidi="ar"/>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bidi="ar"/>
        </w:rPr>
        <w:t>元（小写），增值税为人民币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bidi="ar"/>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bidi="ar"/>
        </w:rPr>
        <w:t>元（小写）。</w:t>
      </w:r>
      <w:bookmarkEnd w:id="145"/>
      <w:r>
        <w:rPr>
          <w:rFonts w:hint="eastAsia" w:ascii="宋体" w:hAnsi="宋体" w:eastAsia="宋体" w:cs="宋体"/>
          <w:color w:val="auto"/>
          <w:sz w:val="21"/>
          <w:szCs w:val="21"/>
          <w:highlight w:val="none"/>
          <w:u w:val="none"/>
        </w:rPr>
        <w:t>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w:t>
      </w:r>
    </w:p>
    <w:p w14:paraId="79048C13">
      <w:pPr>
        <w:keepNext w:val="0"/>
        <w:keepLines w:val="0"/>
        <w:pageBreakBefore w:val="0"/>
        <w:widowControl/>
        <w:kinsoku/>
        <w:wordWrap/>
        <w:overflowPunct/>
        <w:topLinePunct w:val="0"/>
        <w:autoSpaceDE/>
        <w:autoSpaceDN/>
        <w:bidi w:val="0"/>
        <w:adjustRightInd/>
        <w:snapToGrid/>
        <w:spacing w:line="440" w:lineRule="exact"/>
        <w:ind w:right="-260" w:rightChars="-124"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②备品备件费用：每年合同期内备件采购费用累计不超过10万元的，由甲方审核后实报实销；</w:t>
      </w:r>
      <w:r>
        <w:rPr>
          <w:rFonts w:hint="eastAsia" w:ascii="宋体" w:hAnsi="宋体" w:cs="宋体"/>
          <w:color w:val="auto"/>
          <w:sz w:val="21"/>
          <w:szCs w:val="21"/>
          <w:highlight w:val="none"/>
          <w:u w:val="none"/>
          <w:lang w:val="en-US" w:eastAsia="zh-CN"/>
        </w:rPr>
        <w:t>每年</w:t>
      </w:r>
      <w:r>
        <w:rPr>
          <w:rFonts w:hint="eastAsia" w:ascii="宋体" w:hAnsi="宋体" w:eastAsia="宋体" w:cs="宋体"/>
          <w:color w:val="auto"/>
          <w:sz w:val="21"/>
          <w:szCs w:val="21"/>
          <w:highlight w:val="none"/>
          <w:u w:val="none"/>
          <w:lang w:val="en-US" w:eastAsia="zh-CN"/>
        </w:rPr>
        <w:t>合同期内备件采购费用累计超过10万元的部分，由乙方自行承担。</w:t>
      </w:r>
    </w:p>
    <w:p w14:paraId="50064422">
      <w:pPr>
        <w:keepNext w:val="0"/>
        <w:keepLines w:val="0"/>
        <w:pageBreakBefore w:val="0"/>
        <w:widowControl/>
        <w:kinsoku/>
        <w:wordWrap/>
        <w:overflowPunct/>
        <w:topLinePunct w:val="0"/>
        <w:bidi w:val="0"/>
        <w:adjustRightInd/>
        <w:snapToGrid/>
        <w:spacing w:line="440" w:lineRule="exact"/>
        <w:ind w:right="-260" w:rightChars="-12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五、服务标准</w:t>
      </w:r>
    </w:p>
    <w:p w14:paraId="02B11B14">
      <w:pPr>
        <w:keepNext w:val="0"/>
        <w:keepLines w:val="0"/>
        <w:pageBreakBefore w:val="0"/>
        <w:widowControl/>
        <w:kinsoku/>
        <w:wordWrap/>
        <w:overflowPunct/>
        <w:topLinePunct w:val="0"/>
        <w:bidi w:val="0"/>
        <w:adjustRightInd/>
        <w:snapToGrid/>
        <w:spacing w:line="440" w:lineRule="exact"/>
        <w:ind w:right="-260" w:rightChars="-12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服务标准：满足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要求，详见</w:t>
      </w:r>
      <w:r>
        <w:rPr>
          <w:rFonts w:hint="eastAsia" w:ascii="宋体" w:hAnsi="宋体" w:eastAsia="宋体" w:cs="宋体"/>
          <w:color w:val="auto"/>
          <w:sz w:val="21"/>
          <w:szCs w:val="21"/>
          <w:highlight w:val="none"/>
          <w:lang w:val="en-US" w:eastAsia="zh-CN"/>
        </w:rPr>
        <w:t>用户</w:t>
      </w:r>
      <w:r>
        <w:rPr>
          <w:rFonts w:hint="eastAsia" w:ascii="宋体" w:hAnsi="宋体" w:eastAsia="宋体" w:cs="宋体"/>
          <w:color w:val="auto"/>
          <w:sz w:val="21"/>
          <w:szCs w:val="21"/>
          <w:highlight w:val="none"/>
        </w:rPr>
        <w:t>需求</w:t>
      </w:r>
      <w:r>
        <w:rPr>
          <w:rFonts w:hint="eastAsia" w:ascii="宋体" w:hAnsi="宋体" w:eastAsia="宋体" w:cs="宋体"/>
          <w:color w:val="auto"/>
          <w:sz w:val="21"/>
          <w:szCs w:val="21"/>
          <w:highlight w:val="none"/>
          <w:lang w:val="en-US" w:eastAsia="zh-CN"/>
        </w:rPr>
        <w:t>书</w:t>
      </w:r>
      <w:r>
        <w:rPr>
          <w:rFonts w:hint="eastAsia" w:ascii="宋体" w:hAnsi="宋体" w:eastAsia="宋体" w:cs="宋体"/>
          <w:color w:val="auto"/>
          <w:sz w:val="21"/>
          <w:szCs w:val="21"/>
          <w:highlight w:val="none"/>
        </w:rPr>
        <w:t>的要求。</w:t>
      </w:r>
    </w:p>
    <w:p w14:paraId="256F12C2">
      <w:pPr>
        <w:keepNext w:val="0"/>
        <w:keepLines w:val="0"/>
        <w:pageBreakBefore w:val="0"/>
        <w:widowControl/>
        <w:kinsoku/>
        <w:wordWrap/>
        <w:overflowPunct/>
        <w:topLinePunct w:val="0"/>
        <w:bidi w:val="0"/>
        <w:adjustRightInd/>
        <w:snapToGrid/>
        <w:spacing w:line="440" w:lineRule="exact"/>
        <w:ind w:right="-260" w:rightChars="-124"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六、组成合同的文件</w:t>
      </w:r>
    </w:p>
    <w:p w14:paraId="38A211EA">
      <w:pPr>
        <w:keepNext w:val="0"/>
        <w:keepLines w:val="0"/>
        <w:pageBreakBefore w:val="0"/>
        <w:kinsoku/>
        <w:wordWrap/>
        <w:overflowPunct/>
        <w:topLinePunct w:val="0"/>
        <w:bidi w:val="0"/>
        <w:adjustRightInd/>
        <w:snapToGrid/>
        <w:spacing w:line="440" w:lineRule="exact"/>
        <w:ind w:right="-260" w:rightChars="-12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组成本合同的文件包括：</w:t>
      </w:r>
    </w:p>
    <w:p w14:paraId="012B11A9">
      <w:pPr>
        <w:keepNext w:val="0"/>
        <w:keepLines w:val="0"/>
        <w:pageBreakBefore w:val="0"/>
        <w:kinsoku/>
        <w:wordWrap/>
        <w:overflowPunct/>
        <w:topLinePunct w:val="0"/>
        <w:bidi w:val="0"/>
        <w:adjustRightInd/>
        <w:snapToGrid/>
        <w:spacing w:line="440" w:lineRule="exact"/>
        <w:ind w:right="-260" w:rightChars="-12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w:t>
      </w:r>
    </w:p>
    <w:p w14:paraId="470D5380">
      <w:pPr>
        <w:keepNext w:val="0"/>
        <w:keepLines w:val="0"/>
        <w:pageBreakBefore w:val="0"/>
        <w:kinsoku/>
        <w:wordWrap/>
        <w:overflowPunct/>
        <w:topLinePunct w:val="0"/>
        <w:bidi w:val="0"/>
        <w:adjustRightInd/>
        <w:snapToGrid/>
        <w:spacing w:line="440" w:lineRule="exact"/>
        <w:ind w:right="-260" w:rightChars="-12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通知书；</w:t>
      </w:r>
    </w:p>
    <w:p w14:paraId="50389074">
      <w:pPr>
        <w:keepNext w:val="0"/>
        <w:keepLines w:val="0"/>
        <w:pageBreakBefore w:val="0"/>
        <w:kinsoku/>
        <w:wordWrap/>
        <w:overflowPunct/>
        <w:topLinePunct w:val="0"/>
        <w:bidi w:val="0"/>
        <w:adjustRightInd/>
        <w:snapToGrid/>
        <w:spacing w:line="440" w:lineRule="exact"/>
        <w:ind w:right="-260" w:rightChars="-12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（3）合同条款；</w:t>
      </w:r>
    </w:p>
    <w:p w14:paraId="18C1E3D0">
      <w:pPr>
        <w:keepNext w:val="0"/>
        <w:keepLines w:val="0"/>
        <w:pageBreakBefore w:val="0"/>
        <w:kinsoku/>
        <w:wordWrap/>
        <w:overflowPunct/>
        <w:topLinePunct w:val="0"/>
        <w:bidi w:val="0"/>
        <w:adjustRightInd/>
        <w:snapToGrid/>
        <w:spacing w:line="440" w:lineRule="exact"/>
        <w:ind w:right="-260" w:rightChars="-12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及其修改、补充文件；</w:t>
      </w:r>
    </w:p>
    <w:p w14:paraId="01A5BBD9">
      <w:pPr>
        <w:keepNext w:val="0"/>
        <w:keepLines w:val="0"/>
        <w:pageBreakBefore w:val="0"/>
        <w:kinsoku/>
        <w:wordWrap/>
        <w:overflowPunct/>
        <w:topLinePunct w:val="0"/>
        <w:bidi w:val="0"/>
        <w:adjustRightInd/>
        <w:snapToGrid/>
        <w:spacing w:line="440" w:lineRule="exact"/>
        <w:ind w:right="-260" w:rightChars="-12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（5）合同附件；</w:t>
      </w:r>
    </w:p>
    <w:p w14:paraId="1DC6474E">
      <w:pPr>
        <w:keepNext w:val="0"/>
        <w:keepLines w:val="0"/>
        <w:pageBreakBefore w:val="0"/>
        <w:kinsoku/>
        <w:wordWrap/>
        <w:overflowPunct/>
        <w:topLinePunct w:val="0"/>
        <w:bidi w:val="0"/>
        <w:adjustRightInd/>
        <w:snapToGrid/>
        <w:spacing w:line="440" w:lineRule="exact"/>
        <w:ind w:right="-260" w:rightChars="-12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（6）授标前质疑澄清文件及其回复文件；</w:t>
      </w:r>
    </w:p>
    <w:p w14:paraId="06AC9B1F">
      <w:pPr>
        <w:keepNext w:val="0"/>
        <w:keepLines w:val="0"/>
        <w:pageBreakBefore w:val="0"/>
        <w:kinsoku/>
        <w:wordWrap/>
        <w:overflowPunct/>
        <w:topLinePunct w:val="0"/>
        <w:bidi w:val="0"/>
        <w:adjustRightInd/>
        <w:snapToGrid/>
        <w:spacing w:line="440" w:lineRule="exact"/>
        <w:ind w:right="-260" w:rightChars="-124"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参选</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kern w:val="0"/>
          <w:sz w:val="21"/>
          <w:szCs w:val="21"/>
          <w:highlight w:val="none"/>
        </w:rPr>
        <w:t>及其修改、补充文件；</w:t>
      </w:r>
    </w:p>
    <w:p w14:paraId="310EF216">
      <w:pPr>
        <w:keepNext w:val="0"/>
        <w:keepLines w:val="0"/>
        <w:pageBreakBefore w:val="0"/>
        <w:kinsoku/>
        <w:wordWrap/>
        <w:overflowPunct/>
        <w:topLinePunct w:val="0"/>
        <w:bidi w:val="0"/>
        <w:adjustRightInd/>
        <w:snapToGrid/>
        <w:spacing w:line="440" w:lineRule="exact"/>
        <w:ind w:right="-260" w:rightChars="-12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14:paraId="24716A20">
      <w:pPr>
        <w:keepNext w:val="0"/>
        <w:keepLines w:val="0"/>
        <w:pageBreakBefore w:val="0"/>
        <w:kinsoku/>
        <w:wordWrap/>
        <w:overflowPunct/>
        <w:topLinePunct w:val="0"/>
        <w:bidi w:val="0"/>
        <w:adjustRightInd/>
        <w:snapToGrid/>
        <w:spacing w:line="440" w:lineRule="exact"/>
        <w:ind w:right="-260" w:rightChars="-12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文件相互补充和解释，如有不明确或不一致之处，以上述次序在先者为准。双方关于项目变更通知、会议纪要等书面文本视为本合同的组成部分。合同签订后，双方签订的补充协议也是本合同文件的组成部分，如补充协议与其他文件发生矛盾或歧义时，属于同一类内容的文件，应以最新签署的为准。</w:t>
      </w:r>
    </w:p>
    <w:p w14:paraId="639464F2">
      <w:pPr>
        <w:keepNext w:val="0"/>
        <w:keepLines w:val="0"/>
        <w:pageBreakBefore w:val="0"/>
        <w:kinsoku/>
        <w:wordWrap/>
        <w:overflowPunct/>
        <w:topLinePunct w:val="0"/>
        <w:bidi w:val="0"/>
        <w:adjustRightInd/>
        <w:snapToGrid/>
        <w:spacing w:line="440" w:lineRule="exact"/>
        <w:ind w:right="-260" w:rightChars="-12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七、本协议书有关词语含义与《合同条件》中分别赋予它们的定义相同。</w:t>
      </w:r>
    </w:p>
    <w:p w14:paraId="6423F2C0">
      <w:pPr>
        <w:keepNext w:val="0"/>
        <w:keepLines w:val="0"/>
        <w:pageBreakBefore w:val="0"/>
        <w:kinsoku/>
        <w:wordWrap/>
        <w:overflowPunct/>
        <w:topLinePunct w:val="0"/>
        <w:bidi w:val="0"/>
        <w:adjustRightInd/>
        <w:snapToGrid/>
        <w:spacing w:line="440" w:lineRule="exact"/>
        <w:ind w:right="-260" w:rightChars="-12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承诺按照合同约定的期限和方式支付合同价款及其他应当支付的款项。</w:t>
      </w:r>
    </w:p>
    <w:p w14:paraId="41F11C08">
      <w:pPr>
        <w:keepNext w:val="0"/>
        <w:keepLines w:val="0"/>
        <w:pageBreakBefore w:val="0"/>
        <w:kinsoku/>
        <w:wordWrap/>
        <w:overflowPunct/>
        <w:topLinePunct w:val="0"/>
        <w:autoSpaceDE w:val="0"/>
        <w:autoSpaceDN w:val="0"/>
        <w:bidi w:val="0"/>
        <w:adjustRightInd/>
        <w:snapToGrid/>
        <w:spacing w:line="440" w:lineRule="exact"/>
        <w:ind w:right="-260" w:rightChars="-12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r>
        <w:rPr>
          <w:rFonts w:hint="eastAsia" w:ascii="宋体" w:hAnsi="宋体" w:eastAsia="宋体" w:cs="宋体"/>
          <w:color w:val="auto"/>
          <w:kern w:val="0"/>
          <w:sz w:val="21"/>
          <w:szCs w:val="21"/>
          <w:highlight w:val="none"/>
          <w:lang w:bidi="ar"/>
        </w:rPr>
        <w:t>本合同正本一式贰份，双方各执壹份；副本一式肆份，甲方叁份，乙方壹份。本合同正副本具有同等法律效力，当正本和副本不一致时以正本为准。</w:t>
      </w:r>
    </w:p>
    <w:p w14:paraId="720CF40E">
      <w:pPr>
        <w:keepNext w:val="0"/>
        <w:keepLines w:val="0"/>
        <w:pageBreakBefore w:val="0"/>
        <w:kinsoku/>
        <w:wordWrap/>
        <w:overflowPunct/>
        <w:topLinePunct w:val="0"/>
        <w:bidi w:val="0"/>
        <w:adjustRightInd/>
        <w:snapToGrid/>
        <w:spacing w:line="440" w:lineRule="exact"/>
        <w:ind w:right="-260" w:rightChars="-12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十、合同生效 </w:t>
      </w:r>
    </w:p>
    <w:p w14:paraId="0CDCA73F">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1"/>
          <w:highlight w:val="none"/>
        </w:rPr>
        <w:t>本协议经双方代表签字、加盖单位公章后生效。</w:t>
      </w:r>
    </w:p>
    <w:p w14:paraId="77393CE4">
      <w:pPr>
        <w:widowControl/>
        <w:spacing w:line="440" w:lineRule="exact"/>
        <w:ind w:right="-941" w:rightChars="-448" w:firstLine="480" w:firstLineChars="200"/>
        <w:jc w:val="left"/>
        <w:rPr>
          <w:rFonts w:hint="eastAsia" w:ascii="宋体" w:hAnsi="宋体" w:eastAsia="宋体" w:cs="宋体"/>
          <w:color w:val="auto"/>
          <w:sz w:val="24"/>
          <w:highlight w:val="none"/>
        </w:rPr>
      </w:pPr>
    </w:p>
    <w:tbl>
      <w:tblPr>
        <w:tblStyle w:val="19"/>
        <w:tblW w:w="8882" w:type="dxa"/>
        <w:tblInd w:w="502" w:type="dxa"/>
        <w:tblLayout w:type="fixed"/>
        <w:tblCellMar>
          <w:top w:w="0" w:type="dxa"/>
          <w:left w:w="108" w:type="dxa"/>
          <w:bottom w:w="0" w:type="dxa"/>
          <w:right w:w="108" w:type="dxa"/>
        </w:tblCellMar>
      </w:tblPr>
      <w:tblGrid>
        <w:gridCol w:w="4548"/>
        <w:gridCol w:w="4334"/>
      </w:tblGrid>
      <w:tr w14:paraId="26EB6550">
        <w:tblPrEx>
          <w:tblCellMar>
            <w:top w:w="0" w:type="dxa"/>
            <w:left w:w="108" w:type="dxa"/>
            <w:bottom w:w="0" w:type="dxa"/>
            <w:right w:w="108" w:type="dxa"/>
          </w:tblCellMar>
        </w:tblPrEx>
        <w:tc>
          <w:tcPr>
            <w:tcW w:w="4548" w:type="dxa"/>
            <w:noWrap w:val="0"/>
            <w:vAlign w:val="top"/>
          </w:tcPr>
          <w:p w14:paraId="78324215">
            <w:pPr>
              <w:pStyle w:val="3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甲方（盖章）：_________________________</w:t>
            </w:r>
          </w:p>
          <w:p w14:paraId="250CBDE2">
            <w:pPr>
              <w:pStyle w:val="30"/>
              <w:spacing w:line="440" w:lineRule="exact"/>
              <w:rPr>
                <w:rFonts w:hint="eastAsia" w:ascii="宋体" w:hAnsi="宋体" w:eastAsia="宋体" w:cs="宋体"/>
                <w:color w:val="auto"/>
                <w:szCs w:val="21"/>
                <w:highlight w:val="none"/>
              </w:rPr>
            </w:pPr>
          </w:p>
          <w:p w14:paraId="3EBBF7D7">
            <w:pPr>
              <w:pStyle w:val="3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p>
          <w:p w14:paraId="21CBA1A7">
            <w:pPr>
              <w:pStyle w:val="3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其授权委托人（签名或盖章）：____________</w:t>
            </w:r>
          </w:p>
          <w:p w14:paraId="0F285FF3">
            <w:pPr>
              <w:pStyle w:val="3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日期：___年___月___日</w:t>
            </w:r>
          </w:p>
          <w:p w14:paraId="1069367C">
            <w:pPr>
              <w:pStyle w:val="3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南通市崇川区崇川路158号1</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楼</w:t>
            </w:r>
            <w:r>
              <w:rPr>
                <w:rFonts w:hint="eastAsia" w:ascii="宋体" w:hAnsi="宋体" w:eastAsia="宋体" w:cs="宋体"/>
                <w:color w:val="auto"/>
                <w:szCs w:val="21"/>
                <w:highlight w:val="none"/>
                <w:u w:val="single"/>
                <w:lang w:eastAsia="zh-CN"/>
              </w:rPr>
              <w:t>　　　</w:t>
            </w:r>
          </w:p>
          <w:p w14:paraId="62850502">
            <w:pPr>
              <w:pStyle w:val="3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　　　　　　　　　　　</w:t>
            </w:r>
          </w:p>
        </w:tc>
        <w:tc>
          <w:tcPr>
            <w:tcW w:w="4334" w:type="dxa"/>
            <w:noWrap w:val="0"/>
            <w:vAlign w:val="top"/>
          </w:tcPr>
          <w:p w14:paraId="1B107C16">
            <w:pPr>
              <w:pStyle w:val="3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乙方（盖章）：______________________  </w:t>
            </w:r>
          </w:p>
          <w:p w14:paraId="7FBD1694">
            <w:pPr>
              <w:pStyle w:val="30"/>
              <w:spacing w:line="440" w:lineRule="exact"/>
              <w:rPr>
                <w:rFonts w:hint="eastAsia" w:ascii="宋体" w:hAnsi="宋体" w:eastAsia="宋体" w:cs="宋体"/>
                <w:color w:val="auto"/>
                <w:szCs w:val="21"/>
                <w:highlight w:val="none"/>
              </w:rPr>
            </w:pPr>
          </w:p>
          <w:p w14:paraId="223DA3C3">
            <w:pPr>
              <w:pStyle w:val="3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p>
          <w:p w14:paraId="5B6DEDFA">
            <w:pPr>
              <w:pStyle w:val="3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其授权委托人（签名或盖章）：________</w:t>
            </w:r>
          </w:p>
          <w:p w14:paraId="5B540FD7">
            <w:pPr>
              <w:pStyle w:val="3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日期：___年__月___日</w:t>
            </w:r>
          </w:p>
          <w:p w14:paraId="42FC3791">
            <w:pPr>
              <w:pStyle w:val="3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地址：_____________________________</w:t>
            </w:r>
          </w:p>
          <w:p w14:paraId="60786B99">
            <w:pPr>
              <w:pStyle w:val="3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电话：_____________________________</w:t>
            </w:r>
          </w:p>
        </w:tc>
      </w:tr>
    </w:tbl>
    <w:p w14:paraId="581A4B58">
      <w:pPr>
        <w:widowControl/>
        <w:spacing w:line="440" w:lineRule="exact"/>
        <w:jc w:val="left"/>
        <w:rPr>
          <w:rFonts w:hint="eastAsia" w:ascii="宋体" w:hAnsi="宋体" w:eastAsia="宋体" w:cs="宋体"/>
          <w:color w:val="auto"/>
          <w:sz w:val="24"/>
          <w:highlight w:val="none"/>
        </w:rPr>
      </w:pPr>
    </w:p>
    <w:p w14:paraId="0D6DDA90">
      <w:pPr>
        <w:pStyle w:val="3"/>
        <w:keepNext/>
        <w:keepLines/>
        <w:pageBreakBefore w:val="0"/>
        <w:widowControl w:val="0"/>
        <w:kinsoku/>
        <w:wordWrap/>
        <w:overflowPunct/>
        <w:topLinePunct w:val="0"/>
        <w:autoSpaceDE/>
        <w:autoSpaceDN/>
        <w:bidi w:val="0"/>
        <w:adjustRightInd/>
        <w:snapToGrid/>
        <w:spacing w:line="440" w:lineRule="exact"/>
        <w:ind w:right="-260" w:rightChars="-124"/>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bidi="ar"/>
        </w:rPr>
        <w:br w:type="page"/>
      </w:r>
      <w:bookmarkStart w:id="146" w:name="_Toc27513"/>
      <w:r>
        <w:rPr>
          <w:rFonts w:hint="eastAsia" w:ascii="宋体" w:hAnsi="宋体" w:eastAsia="宋体" w:cs="宋体"/>
          <w:b/>
          <w:bCs/>
          <w:color w:val="auto"/>
          <w:kern w:val="0"/>
          <w:sz w:val="28"/>
          <w:szCs w:val="28"/>
          <w:highlight w:val="none"/>
          <w:lang w:bidi="ar"/>
        </w:rPr>
        <w:t>第</w:t>
      </w:r>
      <w:r>
        <w:rPr>
          <w:rFonts w:hint="eastAsia" w:ascii="宋体" w:hAnsi="宋体" w:eastAsia="宋体" w:cs="宋体"/>
          <w:b/>
          <w:bCs/>
          <w:color w:val="auto"/>
          <w:kern w:val="0"/>
          <w:sz w:val="28"/>
          <w:szCs w:val="28"/>
          <w:highlight w:val="none"/>
          <w:lang w:val="zh-CN" w:eastAsia="zh-CN" w:bidi="ar"/>
        </w:rPr>
        <w:t xml:space="preserve">二节 </w:t>
      </w:r>
      <w:r>
        <w:rPr>
          <w:rFonts w:hint="eastAsia" w:ascii="宋体" w:hAnsi="宋体" w:eastAsia="宋体" w:cs="宋体"/>
          <w:b/>
          <w:bCs/>
          <w:color w:val="auto"/>
          <w:kern w:val="0"/>
          <w:sz w:val="28"/>
          <w:szCs w:val="28"/>
          <w:highlight w:val="none"/>
          <w:lang w:val="en-US" w:eastAsia="zh-CN" w:bidi="ar"/>
        </w:rPr>
        <w:t>中标通知书</w:t>
      </w:r>
      <w:bookmarkEnd w:id="146"/>
    </w:p>
    <w:p w14:paraId="6D840123">
      <w:pPr>
        <w:widowControl/>
        <w:spacing w:line="440" w:lineRule="exact"/>
        <w:ind w:right="-260" w:rightChars="-124"/>
        <w:jc w:val="center"/>
        <w:rPr>
          <w:rFonts w:hint="eastAsia" w:ascii="宋体" w:hAnsi="宋体" w:eastAsia="宋体" w:cs="宋体"/>
          <w:b/>
          <w:bCs/>
          <w:color w:val="auto"/>
          <w:kern w:val="0"/>
          <w:sz w:val="28"/>
          <w:szCs w:val="28"/>
          <w:highlight w:val="none"/>
          <w:lang w:val="en-US" w:eastAsia="zh-CN" w:bidi="ar"/>
        </w:rPr>
      </w:pPr>
    </w:p>
    <w:p w14:paraId="39A3DF7F">
      <w:pPr>
        <w:pStyle w:val="3"/>
        <w:keepNext/>
        <w:keepLines/>
        <w:pageBreakBefore w:val="0"/>
        <w:widowControl w:val="0"/>
        <w:kinsoku/>
        <w:wordWrap/>
        <w:overflowPunct/>
        <w:topLinePunct w:val="0"/>
        <w:autoSpaceDE/>
        <w:autoSpaceDN/>
        <w:bidi w:val="0"/>
        <w:adjustRightInd/>
        <w:snapToGrid/>
        <w:spacing w:line="440" w:lineRule="exact"/>
        <w:ind w:right="-260" w:rightChars="-124"/>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bidi="ar"/>
        </w:rPr>
        <w:br w:type="page"/>
      </w:r>
      <w:bookmarkStart w:id="147" w:name="_Toc18969"/>
      <w:r>
        <w:rPr>
          <w:rFonts w:hint="eastAsia" w:ascii="宋体" w:hAnsi="宋体" w:eastAsia="宋体" w:cs="宋体"/>
          <w:b/>
          <w:bCs/>
          <w:color w:val="auto"/>
          <w:kern w:val="0"/>
          <w:sz w:val="28"/>
          <w:szCs w:val="28"/>
          <w:highlight w:val="none"/>
          <w:lang w:bidi="ar"/>
        </w:rPr>
        <w:t>第</w:t>
      </w:r>
      <w:r>
        <w:rPr>
          <w:rFonts w:hint="eastAsia" w:ascii="宋体" w:hAnsi="宋体" w:eastAsia="宋体" w:cs="宋体"/>
          <w:b/>
          <w:bCs/>
          <w:color w:val="auto"/>
          <w:kern w:val="0"/>
          <w:sz w:val="28"/>
          <w:szCs w:val="28"/>
          <w:highlight w:val="none"/>
          <w:lang w:val="en-US" w:eastAsia="zh-CN" w:bidi="ar"/>
        </w:rPr>
        <w:t xml:space="preserve">三节 </w:t>
      </w:r>
      <w:r>
        <w:rPr>
          <w:rFonts w:hint="eastAsia" w:ascii="宋体" w:hAnsi="宋体" w:eastAsia="宋体" w:cs="宋体"/>
          <w:b/>
          <w:bCs/>
          <w:color w:val="auto"/>
          <w:kern w:val="0"/>
          <w:sz w:val="28"/>
          <w:szCs w:val="28"/>
          <w:highlight w:val="none"/>
          <w:lang w:bidi="ar"/>
        </w:rPr>
        <w:t>合同条款</w:t>
      </w:r>
      <w:bookmarkEnd w:id="147"/>
    </w:p>
    <w:p w14:paraId="6D820CED">
      <w:pPr>
        <w:widowControl/>
        <w:spacing w:line="440" w:lineRule="exact"/>
        <w:ind w:right="-260" w:rightChars="-124"/>
        <w:jc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 xml:space="preserve"> </w:t>
      </w:r>
    </w:p>
    <w:p w14:paraId="0ABCD188">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sz w:val="21"/>
          <w:szCs w:val="21"/>
          <w:highlight w:val="none"/>
        </w:rPr>
      </w:pPr>
      <w:bookmarkStart w:id="148" w:name="_Toc262816557"/>
      <w:bookmarkStart w:id="149" w:name="_Toc253387896"/>
      <w:bookmarkStart w:id="150" w:name="_Toc262816132"/>
      <w:bookmarkStart w:id="151" w:name="_Toc198633203"/>
      <w:bookmarkStart w:id="152" w:name="_Toc261442505"/>
      <w:bookmarkStart w:id="153" w:name="_Toc262816087"/>
      <w:bookmarkStart w:id="154" w:name="_Toc317255464"/>
      <w:bookmarkStart w:id="155" w:name="_Toc262815639"/>
      <w:bookmarkStart w:id="156" w:name="_Toc225758044"/>
      <w:bookmarkStart w:id="157" w:name="_Toc197101483"/>
      <w:r>
        <w:rPr>
          <w:rFonts w:hint="eastAsia" w:ascii="宋体" w:hAnsi="宋体" w:eastAsia="宋体" w:cs="宋体"/>
          <w:b/>
          <w:sz w:val="21"/>
          <w:szCs w:val="21"/>
          <w:highlight w:val="none"/>
        </w:rPr>
        <w:t>1.一般约定</w:t>
      </w:r>
      <w:bookmarkEnd w:id="148"/>
      <w:bookmarkEnd w:id="149"/>
      <w:bookmarkEnd w:id="150"/>
      <w:bookmarkEnd w:id="151"/>
      <w:bookmarkEnd w:id="152"/>
      <w:bookmarkEnd w:id="153"/>
      <w:bookmarkEnd w:id="154"/>
      <w:bookmarkEnd w:id="155"/>
      <w:bookmarkEnd w:id="156"/>
    </w:p>
    <w:p w14:paraId="29D2AF3F">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sz w:val="21"/>
          <w:szCs w:val="21"/>
          <w:highlight w:val="none"/>
        </w:rPr>
      </w:pPr>
      <w:r>
        <w:rPr>
          <w:rFonts w:hint="eastAsia" w:ascii="宋体" w:hAnsi="宋体" w:eastAsia="宋体" w:cs="宋体"/>
          <w:b/>
          <w:sz w:val="21"/>
          <w:szCs w:val="21"/>
          <w:highlight w:val="none"/>
        </w:rPr>
        <w:t>1.1词语定义</w:t>
      </w:r>
    </w:p>
    <w:bookmarkEnd w:id="157"/>
    <w:p w14:paraId="707CB42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58" w:name="_Toc262815640"/>
      <w:bookmarkStart w:id="159" w:name="_Toc262816088"/>
      <w:r>
        <w:rPr>
          <w:rFonts w:hint="eastAsia" w:ascii="宋体" w:hAnsi="宋体" w:eastAsia="宋体" w:cs="宋体"/>
          <w:sz w:val="21"/>
          <w:szCs w:val="21"/>
          <w:highlight w:val="none"/>
        </w:rPr>
        <w:t>1.1.1“合同”或称“合同书”系指甲乙双方达成并签署的协议，包括合同协议书、合同条款及构成合同的所有文件。</w:t>
      </w:r>
      <w:bookmarkEnd w:id="158"/>
      <w:bookmarkEnd w:id="159"/>
    </w:p>
    <w:p w14:paraId="57256F7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60" w:name="_Toc262816089"/>
      <w:bookmarkStart w:id="161" w:name="_Toc262815641"/>
      <w:r>
        <w:rPr>
          <w:rFonts w:hint="eastAsia" w:ascii="宋体" w:hAnsi="宋体" w:eastAsia="宋体" w:cs="宋体"/>
          <w:sz w:val="21"/>
          <w:szCs w:val="21"/>
          <w:highlight w:val="none"/>
        </w:rPr>
        <w:t>1.1.2“合同价格”系指根据合同规定</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在正确、及时地完全履行合同义务后</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应支付给</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的价格。</w:t>
      </w:r>
      <w:bookmarkEnd w:id="160"/>
      <w:bookmarkEnd w:id="161"/>
      <w:bookmarkStart w:id="162" w:name="_Toc262815642"/>
      <w:bookmarkStart w:id="163" w:name="_Toc262816090"/>
    </w:p>
    <w:p w14:paraId="59ED6960">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1.1.3“服务”系指合同规定</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提供</w:t>
      </w:r>
      <w:r>
        <w:rPr>
          <w:rFonts w:hint="eastAsia" w:ascii="宋体" w:hAnsi="宋体" w:eastAsia="宋体" w:cs="宋体"/>
          <w:b/>
          <w:kern w:val="30"/>
          <w:sz w:val="21"/>
          <w:szCs w:val="21"/>
          <w:highlight w:val="none"/>
          <w:u w:val="single"/>
        </w:rPr>
        <w:t xml:space="preserve">             </w:t>
      </w:r>
      <w:r>
        <w:rPr>
          <w:rFonts w:hint="eastAsia" w:ascii="宋体" w:hAnsi="宋体" w:eastAsia="宋体" w:cs="宋体"/>
          <w:sz w:val="21"/>
          <w:szCs w:val="21"/>
          <w:highlight w:val="none"/>
        </w:rPr>
        <w:t>以及其它类似的义务。</w:t>
      </w:r>
      <w:bookmarkEnd w:id="162"/>
      <w:bookmarkEnd w:id="163"/>
    </w:p>
    <w:p w14:paraId="28B9A5AB">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64" w:name="_Toc262815643"/>
      <w:bookmarkStart w:id="165" w:name="_Toc262816091"/>
      <w:r>
        <w:rPr>
          <w:rFonts w:hint="eastAsia" w:ascii="宋体" w:hAnsi="宋体" w:eastAsia="宋体" w:cs="宋体"/>
          <w:sz w:val="21"/>
          <w:szCs w:val="21"/>
          <w:highlight w:val="none"/>
        </w:rPr>
        <w:t>1.1.4“价格清单”是指</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文件中规定的投标报价表，或其中任何部分或单个的价格表。</w:t>
      </w:r>
      <w:bookmarkEnd w:id="164"/>
      <w:bookmarkEnd w:id="165"/>
    </w:p>
    <w:p w14:paraId="71A52E8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66" w:name="_Toc262816092"/>
      <w:bookmarkStart w:id="167" w:name="_Toc262815644"/>
      <w:r>
        <w:rPr>
          <w:rFonts w:hint="eastAsia" w:ascii="宋体" w:hAnsi="宋体" w:eastAsia="宋体" w:cs="宋体"/>
          <w:sz w:val="21"/>
          <w:szCs w:val="21"/>
          <w:highlight w:val="none"/>
        </w:rPr>
        <w:t>1.1.5“</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”系指</w:t>
      </w:r>
      <w:bookmarkEnd w:id="166"/>
      <w:bookmarkEnd w:id="167"/>
      <w:r>
        <w:rPr>
          <w:rFonts w:hint="eastAsia" w:ascii="宋体" w:hAnsi="宋体" w:eastAsia="宋体" w:cs="宋体"/>
          <w:sz w:val="21"/>
          <w:szCs w:val="21"/>
          <w:highlight w:val="none"/>
        </w:rPr>
        <w:t>接受合同服务的经济实体及合法的继承人，即</w:t>
      </w:r>
      <w:r>
        <w:rPr>
          <w:rFonts w:hint="eastAsia" w:ascii="宋体" w:hAnsi="宋体" w:eastAsia="宋体" w:cs="宋体"/>
          <w:sz w:val="21"/>
          <w:szCs w:val="21"/>
          <w:highlight w:val="none"/>
          <w:lang w:eastAsia="zh-CN"/>
        </w:rPr>
        <w:t>南通轨道建设发展有限公司</w:t>
      </w:r>
      <w:r>
        <w:rPr>
          <w:rFonts w:hint="eastAsia" w:ascii="宋体" w:hAnsi="宋体" w:eastAsia="宋体" w:cs="宋体"/>
          <w:sz w:val="21"/>
          <w:szCs w:val="21"/>
          <w:highlight w:val="none"/>
        </w:rPr>
        <w:t>/授权委托的管理单位。</w:t>
      </w:r>
    </w:p>
    <w:p w14:paraId="61ADAD4E">
      <w:pPr>
        <w:pStyle w:val="32"/>
        <w:keepNext w:val="0"/>
        <w:keepLines w:val="0"/>
        <w:pageBreakBefore w:val="0"/>
        <w:tabs>
          <w:tab w:val="left" w:pos="6657"/>
        </w:tabs>
        <w:kinsoku/>
        <w:wordWrap/>
        <w:overflowPunct/>
        <w:topLinePunct w:val="0"/>
        <w:autoSpaceDE/>
        <w:autoSpaceDN/>
        <w:bidi w:val="0"/>
        <w:adjustRightInd/>
        <w:snapToGrid/>
        <w:spacing w:line="440" w:lineRule="exact"/>
        <w:ind w:left="0" w:right="-260" w:rightChars="-124" w:firstLine="420"/>
        <w:rPr>
          <w:rFonts w:hint="eastAsia" w:ascii="宋体" w:hAnsi="宋体" w:eastAsia="宋体" w:cs="宋体"/>
          <w:sz w:val="21"/>
          <w:szCs w:val="21"/>
          <w:highlight w:val="none"/>
        </w:rPr>
      </w:pPr>
      <w:bookmarkStart w:id="168" w:name="_Toc262815645"/>
      <w:bookmarkStart w:id="169" w:name="_Toc262816093"/>
      <w:r>
        <w:rPr>
          <w:rFonts w:hint="eastAsia" w:ascii="宋体" w:hAnsi="宋体" w:eastAsia="宋体" w:cs="宋体"/>
          <w:sz w:val="21"/>
          <w:szCs w:val="21"/>
          <w:highlight w:val="none"/>
        </w:rPr>
        <w:t>1.1.6“</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”系指提供合同服务的经济实体；在合同中特指中标人及其合法的继承人。</w:t>
      </w:r>
    </w:p>
    <w:bookmarkEnd w:id="168"/>
    <w:bookmarkEnd w:id="169"/>
    <w:p w14:paraId="056083A1">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70" w:name="_Toc262815646"/>
      <w:bookmarkStart w:id="171" w:name="_Toc262816094"/>
      <w:r>
        <w:rPr>
          <w:rFonts w:hint="eastAsia" w:ascii="宋体" w:hAnsi="宋体" w:eastAsia="宋体" w:cs="宋体"/>
          <w:sz w:val="21"/>
          <w:szCs w:val="21"/>
          <w:highlight w:val="none"/>
        </w:rPr>
        <w:t>1.1.7“双方”系指</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和</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w:t>
      </w:r>
      <w:bookmarkEnd w:id="170"/>
      <w:bookmarkEnd w:id="171"/>
    </w:p>
    <w:p w14:paraId="45B79FDC">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72" w:name="_Toc262816095"/>
      <w:bookmarkStart w:id="173" w:name="_Toc262815647"/>
      <w:r>
        <w:rPr>
          <w:rFonts w:hint="eastAsia" w:ascii="宋体" w:hAnsi="宋体" w:eastAsia="宋体" w:cs="宋体"/>
          <w:sz w:val="21"/>
          <w:szCs w:val="21"/>
          <w:highlight w:val="none"/>
        </w:rPr>
        <w:t>1.1.8“不可抗力”系指合同条款第17条赋予的含义。</w:t>
      </w:r>
      <w:bookmarkEnd w:id="172"/>
      <w:bookmarkEnd w:id="173"/>
    </w:p>
    <w:p w14:paraId="56719865">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74" w:name="_Toc262815648"/>
      <w:bookmarkStart w:id="175" w:name="_Toc262816096"/>
      <w:r>
        <w:rPr>
          <w:rFonts w:hint="eastAsia" w:ascii="宋体" w:hAnsi="宋体" w:eastAsia="宋体" w:cs="宋体"/>
          <w:sz w:val="21"/>
          <w:szCs w:val="21"/>
          <w:highlight w:val="none"/>
        </w:rPr>
        <w:t>1.1.9“验收”系指</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依据技术标准规定接受合同服务所依据的程序和条件。</w:t>
      </w:r>
      <w:bookmarkEnd w:id="174"/>
      <w:bookmarkEnd w:id="175"/>
    </w:p>
    <w:p w14:paraId="1F8B71AF">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76" w:name="_Toc262815649"/>
      <w:bookmarkStart w:id="177" w:name="_Toc262816097"/>
      <w:r>
        <w:rPr>
          <w:rFonts w:hint="eastAsia" w:ascii="宋体" w:hAnsi="宋体" w:eastAsia="宋体" w:cs="宋体"/>
          <w:sz w:val="21"/>
          <w:szCs w:val="21"/>
          <w:highlight w:val="none"/>
        </w:rPr>
        <w:t>1.1.10“天”、“日”系指公历日。</w:t>
      </w:r>
      <w:bookmarkEnd w:id="176"/>
      <w:bookmarkEnd w:id="177"/>
    </w:p>
    <w:p w14:paraId="135C5D0D">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78" w:name="_Toc262816098"/>
      <w:bookmarkStart w:id="179" w:name="_Toc262815650"/>
      <w:r>
        <w:rPr>
          <w:rFonts w:hint="eastAsia" w:ascii="宋体" w:hAnsi="宋体" w:eastAsia="宋体" w:cs="宋体"/>
          <w:sz w:val="21"/>
          <w:szCs w:val="21"/>
          <w:highlight w:val="none"/>
        </w:rPr>
        <w:t>1.1.11“周”系指7个公历日。</w:t>
      </w:r>
      <w:bookmarkEnd w:id="178"/>
      <w:bookmarkEnd w:id="179"/>
    </w:p>
    <w:p w14:paraId="20AF4B67">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sz w:val="21"/>
          <w:szCs w:val="21"/>
          <w:highlight w:val="none"/>
        </w:rPr>
      </w:pPr>
      <w:r>
        <w:rPr>
          <w:rFonts w:hint="eastAsia" w:ascii="宋体" w:hAnsi="宋体" w:eastAsia="宋体" w:cs="宋体"/>
          <w:b/>
          <w:sz w:val="21"/>
          <w:szCs w:val="21"/>
          <w:highlight w:val="none"/>
        </w:rPr>
        <w:t>1.2解释</w:t>
      </w:r>
    </w:p>
    <w:p w14:paraId="27A91755">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80" w:name="_Toc262816101"/>
      <w:bookmarkEnd w:id="180"/>
      <w:bookmarkStart w:id="181" w:name="_Toc262815653"/>
      <w:bookmarkEnd w:id="181"/>
      <w:bookmarkStart w:id="182" w:name="_Toc262816102"/>
      <w:bookmarkStart w:id="183" w:name="_Toc262815654"/>
      <w:r>
        <w:rPr>
          <w:rFonts w:hint="eastAsia" w:ascii="宋体" w:hAnsi="宋体" w:eastAsia="宋体" w:cs="宋体"/>
          <w:sz w:val="21"/>
          <w:szCs w:val="21"/>
          <w:highlight w:val="none"/>
        </w:rPr>
        <w:t>1.2.1除非文件另作要求，凡提及一方、对方或各方，均包括其合法继承人。</w:t>
      </w:r>
      <w:bookmarkEnd w:id="182"/>
      <w:bookmarkEnd w:id="183"/>
    </w:p>
    <w:p w14:paraId="77FF8B4B">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84" w:name="_Toc262816103"/>
      <w:bookmarkStart w:id="185" w:name="_Toc262815655"/>
      <w:r>
        <w:rPr>
          <w:rFonts w:hint="eastAsia" w:ascii="宋体" w:hAnsi="宋体" w:eastAsia="宋体" w:cs="宋体"/>
          <w:sz w:val="21"/>
          <w:szCs w:val="21"/>
          <w:highlight w:val="none"/>
        </w:rPr>
        <w:t>1.2.2凡合同中规定通讯是“书面的”或“用书面形式”，这是指任何手写的、打印的或印刷的通讯，包括但不限于电报、电传和传真发送。</w:t>
      </w:r>
      <w:bookmarkEnd w:id="184"/>
      <w:bookmarkEnd w:id="185"/>
    </w:p>
    <w:p w14:paraId="3560776E">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86" w:name="_Toc262815656"/>
      <w:bookmarkStart w:id="187" w:name="_Toc262816104"/>
      <w:r>
        <w:rPr>
          <w:rFonts w:hint="eastAsia" w:ascii="宋体" w:hAnsi="宋体" w:eastAsia="宋体" w:cs="宋体"/>
          <w:sz w:val="21"/>
          <w:szCs w:val="21"/>
          <w:highlight w:val="none"/>
        </w:rPr>
        <w:t>1.2.3凡合同规定任何人发出通知、同意、批准或确认时，该通知、同意、批准或确认不得被无故扣押，除非另有规定；该通知、同意、批准或确认应是书面形式。</w:t>
      </w:r>
      <w:bookmarkEnd w:id="186"/>
      <w:bookmarkEnd w:id="187"/>
    </w:p>
    <w:p w14:paraId="1AAD9EC6">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sz w:val="21"/>
          <w:szCs w:val="21"/>
          <w:highlight w:val="none"/>
        </w:rPr>
      </w:pPr>
      <w:r>
        <w:rPr>
          <w:rFonts w:hint="eastAsia" w:ascii="宋体" w:hAnsi="宋体" w:eastAsia="宋体" w:cs="宋体"/>
          <w:b/>
          <w:sz w:val="21"/>
          <w:szCs w:val="21"/>
          <w:highlight w:val="none"/>
        </w:rPr>
        <w:t>1.3语言文字</w:t>
      </w:r>
    </w:p>
    <w:p w14:paraId="07482180">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88" w:name="_Toc262815657"/>
      <w:bookmarkEnd w:id="188"/>
      <w:bookmarkStart w:id="189" w:name="_Toc262816105"/>
      <w:bookmarkEnd w:id="189"/>
      <w:bookmarkStart w:id="190" w:name="_Toc262816106"/>
      <w:bookmarkStart w:id="191" w:name="_Toc262815658"/>
      <w:r>
        <w:rPr>
          <w:rFonts w:hint="eastAsia" w:ascii="宋体" w:hAnsi="宋体" w:eastAsia="宋体" w:cs="宋体"/>
          <w:sz w:val="21"/>
          <w:szCs w:val="21"/>
          <w:highlight w:val="none"/>
        </w:rPr>
        <w:t>除专用术语外，合同使用的语言文字为中文。专用术语应附有中文注释。</w:t>
      </w:r>
      <w:bookmarkEnd w:id="190"/>
      <w:bookmarkEnd w:id="191"/>
    </w:p>
    <w:p w14:paraId="3E01F5F5">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sz w:val="21"/>
          <w:szCs w:val="21"/>
          <w:highlight w:val="none"/>
        </w:rPr>
      </w:pPr>
      <w:r>
        <w:rPr>
          <w:rFonts w:hint="eastAsia" w:ascii="宋体" w:hAnsi="宋体" w:eastAsia="宋体" w:cs="宋体"/>
          <w:b/>
          <w:sz w:val="21"/>
          <w:szCs w:val="21"/>
          <w:highlight w:val="none"/>
        </w:rPr>
        <w:t>1.4法律</w:t>
      </w:r>
    </w:p>
    <w:p w14:paraId="4390B32A">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192" w:name="_Toc262816107"/>
      <w:bookmarkStart w:id="193" w:name="_Toc262815659"/>
      <w:r>
        <w:rPr>
          <w:rFonts w:hint="eastAsia" w:ascii="宋体" w:hAnsi="宋体" w:eastAsia="宋体" w:cs="宋体"/>
          <w:sz w:val="21"/>
          <w:szCs w:val="21"/>
          <w:highlight w:val="none"/>
        </w:rPr>
        <w:t>本合同适用于中华人民共和国法律、行政法规、部门规章，以及项目所在地的地方法律法规、条例、规章等。</w:t>
      </w:r>
      <w:bookmarkEnd w:id="192"/>
      <w:bookmarkEnd w:id="193"/>
    </w:p>
    <w:p w14:paraId="5CE688D7">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sz w:val="21"/>
          <w:szCs w:val="21"/>
          <w:highlight w:val="none"/>
        </w:rPr>
      </w:pPr>
      <w:bookmarkStart w:id="194" w:name="_Toc197101484"/>
      <w:r>
        <w:rPr>
          <w:rFonts w:hint="eastAsia" w:ascii="宋体" w:hAnsi="宋体" w:eastAsia="宋体" w:cs="宋体"/>
          <w:b/>
          <w:sz w:val="21"/>
          <w:szCs w:val="21"/>
          <w:highlight w:val="none"/>
        </w:rPr>
        <w:t>1.5适用性</w:t>
      </w:r>
      <w:bookmarkEnd w:id="194"/>
    </w:p>
    <w:p w14:paraId="25A0CFB6">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本合同条款适用于没有被本合同其他部分的条款所取代的范围。</w:t>
      </w:r>
    </w:p>
    <w:p w14:paraId="55A3AE29">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sz w:val="21"/>
          <w:szCs w:val="21"/>
          <w:highlight w:val="none"/>
        </w:rPr>
      </w:pPr>
      <w:bookmarkStart w:id="195" w:name="_Toc199575980"/>
      <w:bookmarkStart w:id="196" w:name="_Toc193186510"/>
      <w:r>
        <w:rPr>
          <w:rFonts w:hint="eastAsia" w:ascii="宋体" w:hAnsi="宋体" w:eastAsia="宋体" w:cs="宋体"/>
          <w:b/>
          <w:sz w:val="21"/>
          <w:szCs w:val="21"/>
          <w:highlight w:val="none"/>
        </w:rPr>
        <w:t>1.6标准</w:t>
      </w:r>
      <w:bookmarkEnd w:id="195"/>
      <w:bookmarkEnd w:id="196"/>
      <w:bookmarkStart w:id="197" w:name="_Toc262815660"/>
      <w:bookmarkEnd w:id="197"/>
      <w:bookmarkStart w:id="198" w:name="_Toc262816108"/>
      <w:bookmarkEnd w:id="198"/>
      <w:bookmarkStart w:id="199" w:name="_Toc262815662"/>
      <w:bookmarkEnd w:id="199"/>
      <w:bookmarkStart w:id="200" w:name="_Toc262816110"/>
      <w:bookmarkEnd w:id="200"/>
    </w:p>
    <w:p w14:paraId="4EC93BC2">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201" w:name="_Toc262816111"/>
      <w:bookmarkStart w:id="202" w:name="_Toc262815663"/>
      <w:r>
        <w:rPr>
          <w:rFonts w:hint="eastAsia" w:ascii="宋体" w:hAnsi="宋体" w:eastAsia="宋体" w:cs="宋体"/>
          <w:sz w:val="21"/>
          <w:szCs w:val="21"/>
          <w:highlight w:val="none"/>
        </w:rPr>
        <w:t>1.6.1服务应符合合同约定的标准：如果没有提及适用标准，则应符合中华人民共和国国家标准或行业标准；如果中华人民共和国没有相关标准的，则采用国际标准或货物来源国适用的官方标准。这些标准必须是国际权威机构发布的最新版本。</w:t>
      </w:r>
      <w:bookmarkEnd w:id="201"/>
      <w:bookmarkEnd w:id="202"/>
    </w:p>
    <w:p w14:paraId="0A1D6FD1">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bookmarkStart w:id="203" w:name="_Toc262815665"/>
      <w:bookmarkStart w:id="204" w:name="_Toc262816113"/>
      <w:r>
        <w:rPr>
          <w:rFonts w:hint="eastAsia" w:ascii="宋体" w:hAnsi="宋体" w:eastAsia="宋体" w:cs="宋体"/>
          <w:sz w:val="21"/>
          <w:szCs w:val="21"/>
          <w:highlight w:val="none"/>
        </w:rPr>
        <w:t>1.6.2除非合同中另有规定，计量单位均采用中华人民共和国法定计量单位。</w:t>
      </w:r>
      <w:bookmarkEnd w:id="203"/>
      <w:bookmarkEnd w:id="204"/>
    </w:p>
    <w:p w14:paraId="03E57D68">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sz w:val="21"/>
          <w:szCs w:val="21"/>
          <w:highlight w:val="none"/>
        </w:rPr>
      </w:pPr>
      <w:r>
        <w:rPr>
          <w:rFonts w:hint="eastAsia" w:ascii="宋体" w:hAnsi="宋体" w:eastAsia="宋体" w:cs="宋体"/>
          <w:b/>
          <w:sz w:val="21"/>
          <w:szCs w:val="21"/>
          <w:highlight w:val="none"/>
        </w:rPr>
        <w:t>1.7项目管理</w:t>
      </w:r>
    </w:p>
    <w:p w14:paraId="0435835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必须接受</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的管理和协调，并执行</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有关项目管理办法和规定。</w:t>
      </w:r>
    </w:p>
    <w:p w14:paraId="6BEB0542">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sz w:val="21"/>
          <w:szCs w:val="21"/>
          <w:highlight w:val="none"/>
        </w:rPr>
      </w:pPr>
      <w:bookmarkStart w:id="205" w:name="_Toc253387897"/>
      <w:bookmarkStart w:id="206" w:name="_Toc262816558"/>
      <w:bookmarkStart w:id="207" w:name="_Toc197101485"/>
      <w:bookmarkStart w:id="208" w:name="_Toc317255465"/>
      <w:bookmarkStart w:id="209" w:name="_Toc261442506"/>
      <w:bookmarkStart w:id="210" w:name="_Toc262815666"/>
      <w:bookmarkStart w:id="211" w:name="_Toc262816133"/>
      <w:bookmarkStart w:id="212" w:name="_Toc262816114"/>
      <w:bookmarkStart w:id="213" w:name="_Toc225758045"/>
      <w:r>
        <w:rPr>
          <w:rFonts w:hint="eastAsia" w:ascii="宋体" w:hAnsi="宋体" w:eastAsia="宋体" w:cs="宋体"/>
          <w:b/>
          <w:sz w:val="21"/>
          <w:szCs w:val="21"/>
          <w:highlight w:val="none"/>
        </w:rPr>
        <w:t>2.合同标的</w:t>
      </w:r>
      <w:bookmarkEnd w:id="205"/>
      <w:bookmarkEnd w:id="206"/>
      <w:bookmarkEnd w:id="207"/>
      <w:bookmarkEnd w:id="208"/>
      <w:bookmarkEnd w:id="209"/>
      <w:bookmarkEnd w:id="210"/>
      <w:bookmarkEnd w:id="211"/>
      <w:bookmarkEnd w:id="212"/>
      <w:bookmarkEnd w:id="213"/>
    </w:p>
    <w:p w14:paraId="0C35C5D0">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2.1工作时间安排及主要工作内容，具体详见本合同的服务需求及有关要求标内容及要求。 </w:t>
      </w:r>
    </w:p>
    <w:p w14:paraId="3532C4B0">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b/>
          <w:sz w:val="21"/>
          <w:szCs w:val="21"/>
          <w:highlight w:val="none"/>
          <w:u w:val="singl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服务期限：</w:t>
      </w:r>
      <w:r>
        <w:rPr>
          <w:rFonts w:hint="eastAsia" w:ascii="宋体" w:hAnsi="宋体" w:eastAsia="宋体" w:cs="宋体"/>
          <w:color w:val="auto"/>
          <w:kern w:val="0"/>
          <w:sz w:val="21"/>
          <w:szCs w:val="21"/>
          <w:highlight w:val="none"/>
          <w:u w:val="single"/>
          <w:lang w:val="en-US" w:eastAsia="zh-CN" w:bidi="ar"/>
        </w:rPr>
        <w:t>合同期限为2年。中选后签1年合同，价格锁定，首年服务评价合格后按中选价格续签下一年合同。</w:t>
      </w:r>
    </w:p>
    <w:p w14:paraId="35E7C380">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需追加与合同标的相同的服务的，在不改变合同其他条款的前提下，可以与</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协商签订补充合同。</w:t>
      </w:r>
    </w:p>
    <w:p w14:paraId="1A0D404B">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需</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协助处理临时或突发事件的，</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应积极配合。费用结算按照单价进行单独计算。</w:t>
      </w:r>
    </w:p>
    <w:p w14:paraId="7EFE348E">
      <w:pPr>
        <w:keepNext w:val="0"/>
        <w:keepLines w:val="0"/>
        <w:pageBreakBefore w:val="0"/>
        <w:tabs>
          <w:tab w:val="left" w:pos="6105"/>
        </w:tabs>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14" w:name="_Toc262816559"/>
      <w:bookmarkStart w:id="215" w:name="_Toc262816134"/>
      <w:bookmarkStart w:id="216" w:name="_Toc262815667"/>
      <w:bookmarkStart w:id="217" w:name="_Toc253387898"/>
      <w:bookmarkStart w:id="218" w:name="_Toc317255466"/>
      <w:bookmarkStart w:id="219" w:name="_Toc262816115"/>
      <w:bookmarkStart w:id="220" w:name="_Toc225758047"/>
      <w:bookmarkStart w:id="221" w:name="_Toc261442507"/>
      <w:r>
        <w:rPr>
          <w:rFonts w:hint="eastAsia" w:ascii="宋体" w:hAnsi="宋体" w:eastAsia="宋体" w:cs="宋体"/>
          <w:b/>
          <w:color w:val="000000"/>
          <w:sz w:val="21"/>
          <w:szCs w:val="21"/>
          <w:highlight w:val="none"/>
        </w:rPr>
        <w:t>3.价格</w:t>
      </w:r>
      <w:bookmarkEnd w:id="214"/>
      <w:bookmarkEnd w:id="215"/>
      <w:bookmarkEnd w:id="216"/>
      <w:bookmarkEnd w:id="217"/>
      <w:bookmarkEnd w:id="218"/>
      <w:bookmarkEnd w:id="219"/>
      <w:bookmarkEnd w:id="220"/>
      <w:bookmarkEnd w:id="221"/>
      <w:r>
        <w:rPr>
          <w:rFonts w:hint="eastAsia" w:ascii="宋体" w:hAnsi="宋体" w:eastAsia="宋体" w:cs="宋体"/>
          <w:b/>
          <w:color w:val="000000"/>
          <w:sz w:val="21"/>
          <w:szCs w:val="21"/>
          <w:highlight w:val="none"/>
        </w:rPr>
        <w:tab/>
      </w:r>
    </w:p>
    <w:p w14:paraId="16EFADB7">
      <w:pPr>
        <w:keepNext w:val="0"/>
        <w:keepLines w:val="0"/>
        <w:pageBreakBefore w:val="0"/>
        <w:kinsoku/>
        <w:wordWrap/>
        <w:overflowPunct/>
        <w:topLinePunct w:val="0"/>
        <w:autoSpaceDE/>
        <w:autoSpaceDN/>
        <w:bidi w:val="0"/>
        <w:adjustRightInd/>
        <w:snapToGrid/>
        <w:spacing w:line="440" w:lineRule="exact"/>
        <w:ind w:left="0" w:right="-260" w:rightChars="-124" w:firstLine="424" w:firstLineChars="20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3.1本合同价格为根据合同规定</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在正确、及时地完全履行合同义务并经现场验收合格后的价格，应包括完成本项目全部工作内容所需的所有费用（包括但不限于人工费、材料费、机械费、管理费、利润、措施费、规费、税金等涉及此合同的一切费用以及政策性文件规定及合同包含的所有风险、责任等）。投标报价为最终报价，除非因特殊原因并经双方协商同意，以及政策性文件规定及合同包含的所有风险和责任。除非合同条款中另有规定，否则，</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所报价格在合同实施期间不因市场因素变化而变动，因增减人员产生的劳务或商务风险由</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承担。</w:t>
      </w:r>
    </w:p>
    <w:p w14:paraId="5FF64996">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3.2在合同执行期间除合同有明确规定的情况外，本合同价格不得以任何理由调整。</w:t>
      </w:r>
    </w:p>
    <w:p w14:paraId="23C9CFB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认为</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已完全明白本合同的所有条款，并在合同价格中充分考虑到了以下几项：</w:t>
      </w:r>
    </w:p>
    <w:p w14:paraId="20F529C2">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（1）影响合同价格的全部条件情况；</w:t>
      </w:r>
    </w:p>
    <w:p w14:paraId="17D5C385">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（2）完成合同所述服务的所有可能性；</w:t>
      </w:r>
    </w:p>
    <w:p w14:paraId="515D4680">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22" w:name="_Toc253387899"/>
      <w:bookmarkStart w:id="223" w:name="_Toc225758048"/>
      <w:bookmarkStart w:id="224" w:name="_Toc317255467"/>
      <w:bookmarkStart w:id="225" w:name="_Toc261442508"/>
      <w:bookmarkStart w:id="226" w:name="_Toc197101488"/>
      <w:r>
        <w:rPr>
          <w:rFonts w:hint="eastAsia" w:ascii="宋体" w:hAnsi="宋体" w:eastAsia="宋体" w:cs="宋体"/>
          <w:b/>
          <w:color w:val="000000"/>
          <w:sz w:val="21"/>
          <w:szCs w:val="21"/>
          <w:highlight w:val="none"/>
        </w:rPr>
        <w:t>4.服务和资料</w:t>
      </w:r>
      <w:bookmarkEnd w:id="222"/>
      <w:bookmarkEnd w:id="223"/>
      <w:bookmarkEnd w:id="224"/>
      <w:bookmarkEnd w:id="225"/>
    </w:p>
    <w:p w14:paraId="2DFCD3EA">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4.1按本合同要求的时间和地点提供所有服务。</w:t>
      </w:r>
    </w:p>
    <w:p w14:paraId="71B2703C">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4.2</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须按</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的要求和计划按时进行服务。</w:t>
      </w:r>
    </w:p>
    <w:p w14:paraId="4484E7FC">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在进场施工前应提供包括但不限于下列资料：</w:t>
      </w:r>
    </w:p>
    <w:p w14:paraId="5BB57BD2">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要求提供的其他资料。</w:t>
      </w:r>
    </w:p>
    <w:bookmarkEnd w:id="226"/>
    <w:p w14:paraId="28A8CF67">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27" w:name="_Toc317255470"/>
      <w:r>
        <w:rPr>
          <w:rFonts w:hint="eastAsia" w:ascii="宋体" w:hAnsi="宋体" w:eastAsia="宋体" w:cs="宋体"/>
          <w:b/>
          <w:color w:val="000000"/>
          <w:sz w:val="21"/>
          <w:szCs w:val="21"/>
          <w:highlight w:val="none"/>
        </w:rPr>
        <w:t>5.支付</w:t>
      </w:r>
    </w:p>
    <w:p w14:paraId="3F279E91">
      <w:pPr>
        <w:keepNext w:val="0"/>
        <w:keepLines w:val="0"/>
        <w:pageBreakBefore w:val="0"/>
        <w:kinsoku/>
        <w:wordWrap/>
        <w:overflowPunct/>
        <w:topLinePunct w:val="0"/>
        <w:autoSpaceDE/>
        <w:autoSpaceDN/>
        <w:bidi w:val="0"/>
        <w:adjustRightInd/>
        <w:snapToGrid/>
        <w:spacing w:line="440" w:lineRule="exact"/>
        <w:ind w:left="0" w:right="-260" w:rightChars="-124" w:firstLine="422" w:firstLineChars="200"/>
        <w:rPr>
          <w:rFonts w:hint="eastAsia" w:ascii="宋体" w:hAnsi="宋体" w:eastAsia="宋体" w:cs="宋体"/>
          <w:b/>
          <w:color w:val="auto"/>
          <w:sz w:val="21"/>
          <w:szCs w:val="21"/>
          <w:highlight w:val="none"/>
          <w:u w:val="single"/>
          <w:vertAlign w:val="baseline"/>
          <w:lang w:val="en-US" w:eastAsia="zh-CN"/>
        </w:rPr>
      </w:pPr>
      <w:r>
        <w:rPr>
          <w:rFonts w:hint="eastAsia" w:ascii="宋体" w:hAnsi="宋体" w:eastAsia="宋体" w:cs="宋体"/>
          <w:b/>
          <w:color w:val="auto"/>
          <w:sz w:val="21"/>
          <w:szCs w:val="21"/>
          <w:highlight w:val="none"/>
          <w:lang w:val="en-US" w:eastAsia="zh-CN"/>
        </w:rPr>
        <w:t>5.1</w:t>
      </w:r>
      <w:r>
        <w:rPr>
          <w:rFonts w:hint="eastAsia" w:ascii="宋体" w:hAnsi="宋体" w:eastAsia="宋体" w:cs="宋体"/>
          <w:b/>
          <w:color w:val="auto"/>
          <w:sz w:val="21"/>
          <w:szCs w:val="21"/>
          <w:highlight w:val="none"/>
        </w:rPr>
        <w:t>本合同价格形式为</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u w:val="single"/>
          <w:lang w:val="en-US" w:eastAsia="zh-CN"/>
        </w:rPr>
        <w:t>固定总价+固定单价合同。其中，维保</w:t>
      </w:r>
      <w:r>
        <w:rPr>
          <w:rFonts w:hint="eastAsia" w:ascii="宋体" w:hAnsi="宋体" w:cs="宋体"/>
          <w:b/>
          <w:color w:val="auto"/>
          <w:sz w:val="21"/>
          <w:szCs w:val="21"/>
          <w:highlight w:val="none"/>
          <w:u w:val="single"/>
          <w:lang w:val="en-US" w:eastAsia="zh-CN"/>
        </w:rPr>
        <w:t>部分</w:t>
      </w:r>
      <w:r>
        <w:rPr>
          <w:rFonts w:hint="eastAsia" w:ascii="宋体" w:hAnsi="宋体" w:eastAsia="宋体" w:cs="宋体"/>
          <w:b/>
          <w:color w:val="auto"/>
          <w:sz w:val="21"/>
          <w:szCs w:val="21"/>
          <w:highlight w:val="none"/>
          <w:u w:val="single"/>
          <w:lang w:val="en-US" w:eastAsia="zh-CN"/>
        </w:rPr>
        <w:t>为固定总价费用，甲方不予另行支付；备品备件</w:t>
      </w:r>
      <w:r>
        <w:rPr>
          <w:rFonts w:hint="eastAsia" w:ascii="宋体" w:hAnsi="宋体" w:cs="宋体"/>
          <w:b/>
          <w:color w:val="auto"/>
          <w:sz w:val="21"/>
          <w:szCs w:val="21"/>
          <w:highlight w:val="none"/>
          <w:u w:val="single"/>
          <w:lang w:val="en-US" w:eastAsia="zh-CN"/>
        </w:rPr>
        <w:t>部分</w:t>
      </w:r>
      <w:r>
        <w:rPr>
          <w:rFonts w:hint="eastAsia" w:ascii="宋体" w:hAnsi="宋体" w:eastAsia="宋体" w:cs="宋体"/>
          <w:b/>
          <w:color w:val="auto"/>
          <w:sz w:val="21"/>
          <w:szCs w:val="21"/>
          <w:highlight w:val="none"/>
          <w:u w:val="single"/>
          <w:lang w:val="en-US" w:eastAsia="zh-CN"/>
        </w:rPr>
        <w:t>为固定</w:t>
      </w:r>
      <w:r>
        <w:rPr>
          <w:rFonts w:hint="eastAsia" w:ascii="宋体" w:hAnsi="宋体" w:cs="宋体"/>
          <w:b/>
          <w:color w:val="auto"/>
          <w:sz w:val="21"/>
          <w:szCs w:val="21"/>
          <w:highlight w:val="none"/>
          <w:u w:val="single"/>
          <w:lang w:val="en-US" w:eastAsia="zh-CN"/>
        </w:rPr>
        <w:t>单</w:t>
      </w:r>
      <w:r>
        <w:rPr>
          <w:rFonts w:hint="eastAsia" w:ascii="宋体" w:hAnsi="宋体" w:eastAsia="宋体" w:cs="宋体"/>
          <w:b/>
          <w:color w:val="auto"/>
          <w:sz w:val="21"/>
          <w:szCs w:val="21"/>
          <w:highlight w:val="none"/>
          <w:u w:val="single"/>
          <w:lang w:val="en-US" w:eastAsia="zh-CN"/>
        </w:rPr>
        <w:t>价费用，按实结算。</w:t>
      </w:r>
    </w:p>
    <w:p w14:paraId="5681C18E">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合同项下所有付款均采用合同货币即人民币付款。</w:t>
      </w:r>
    </w:p>
    <w:p w14:paraId="74540845">
      <w:pPr>
        <w:keepNext w:val="0"/>
        <w:keepLines w:val="0"/>
        <w:pageBreakBefore w:val="0"/>
        <w:numPr>
          <w:ilvl w:val="0"/>
          <w:numId w:val="0"/>
        </w:numPr>
        <w:tabs>
          <w:tab w:val="center" w:pos="4745"/>
        </w:tabs>
        <w:kinsoku/>
        <w:wordWrap/>
        <w:overflowPunct/>
        <w:topLinePunct w:val="0"/>
        <w:autoSpaceDE/>
        <w:autoSpaceDN/>
        <w:bidi w:val="0"/>
        <w:adjustRightInd/>
        <w:snapToGrid/>
        <w:spacing w:line="440" w:lineRule="exact"/>
        <w:ind w:left="0" w:leftChars="0" w:right="-260" w:rightChars="-124"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5.3支付方式</w:t>
      </w:r>
      <w:r>
        <w:rPr>
          <w:rFonts w:hint="eastAsia" w:ascii="宋体" w:hAnsi="宋体" w:eastAsia="宋体" w:cs="宋体"/>
          <w:b/>
          <w:bCs/>
          <w:color w:val="auto"/>
          <w:kern w:val="0"/>
          <w:sz w:val="21"/>
          <w:szCs w:val="21"/>
          <w:highlight w:val="none"/>
          <w:u w:val="single"/>
        </w:rPr>
        <w:t>：</w:t>
      </w:r>
    </w:p>
    <w:p w14:paraId="68B05DE2">
      <w:pPr>
        <w:keepNext w:val="0"/>
        <w:keepLines w:val="0"/>
        <w:pageBreakBefore w:val="0"/>
        <w:numPr>
          <w:ilvl w:val="0"/>
          <w:numId w:val="0"/>
        </w:numPr>
        <w:tabs>
          <w:tab w:val="center" w:pos="4745"/>
        </w:tabs>
        <w:kinsoku/>
        <w:wordWrap/>
        <w:overflowPunct/>
        <w:topLinePunct w:val="0"/>
        <w:autoSpaceDE/>
        <w:autoSpaceDN/>
        <w:bidi w:val="0"/>
        <w:adjustRightInd/>
        <w:snapToGrid/>
        <w:spacing w:line="440" w:lineRule="exact"/>
        <w:ind w:left="0" w:leftChars="0" w:right="-260" w:rightChars="-124" w:firstLine="422" w:firstLineChars="200"/>
        <w:rPr>
          <w:rFonts w:hint="eastAsia" w:ascii="宋体" w:hAnsi="宋体" w:eastAsia="宋体" w:cs="宋体"/>
          <w:b/>
          <w:bCs/>
          <w:color w:val="auto"/>
          <w:kern w:val="0"/>
          <w:sz w:val="21"/>
          <w:szCs w:val="21"/>
          <w:highlight w:val="none"/>
          <w:u w:val="single"/>
          <w:lang w:val="en-US" w:eastAsia="zh-CN"/>
        </w:rPr>
      </w:pPr>
      <w:r>
        <w:rPr>
          <w:rFonts w:hint="eastAsia" w:ascii="宋体" w:hAnsi="宋体" w:eastAsia="宋体" w:cs="宋体"/>
          <w:b/>
          <w:bCs/>
          <w:color w:val="auto"/>
          <w:kern w:val="0"/>
          <w:sz w:val="21"/>
          <w:szCs w:val="21"/>
          <w:highlight w:val="none"/>
          <w:u w:val="single"/>
          <w:lang w:val="en-US" w:eastAsia="zh-CN"/>
        </w:rPr>
        <w:t>①维保费用以季度为周期结算；</w:t>
      </w:r>
    </w:p>
    <w:p w14:paraId="7ABF0E97">
      <w:pPr>
        <w:keepNext w:val="0"/>
        <w:keepLines w:val="0"/>
        <w:pageBreakBefore w:val="0"/>
        <w:numPr>
          <w:ilvl w:val="0"/>
          <w:numId w:val="0"/>
        </w:numPr>
        <w:tabs>
          <w:tab w:val="center" w:pos="4745"/>
        </w:tabs>
        <w:kinsoku/>
        <w:wordWrap/>
        <w:overflowPunct/>
        <w:topLinePunct w:val="0"/>
        <w:autoSpaceDE/>
        <w:autoSpaceDN/>
        <w:bidi w:val="0"/>
        <w:adjustRightInd/>
        <w:snapToGrid/>
        <w:spacing w:line="440" w:lineRule="exact"/>
        <w:ind w:left="420" w:leftChars="200" w:right="-260" w:rightChars="-124" w:firstLine="0" w:firstLineChars="0"/>
        <w:rPr>
          <w:rFonts w:hint="eastAsia" w:ascii="宋体" w:hAnsi="宋体" w:eastAsia="宋体" w:cs="宋体"/>
          <w:b/>
          <w:color w:val="000000"/>
          <w:sz w:val="21"/>
          <w:szCs w:val="21"/>
          <w:highlight w:val="none"/>
          <w:u w:val="single"/>
          <w:lang w:val="en-US" w:eastAsia="zh-CN"/>
        </w:rPr>
      </w:pPr>
      <w:r>
        <w:rPr>
          <w:rFonts w:hint="eastAsia" w:ascii="宋体" w:hAnsi="宋体" w:eastAsia="宋体" w:cs="宋体"/>
          <w:b/>
          <w:bCs/>
          <w:color w:val="auto"/>
          <w:kern w:val="0"/>
          <w:sz w:val="21"/>
          <w:szCs w:val="21"/>
          <w:highlight w:val="none"/>
          <w:u w:val="single"/>
          <w:lang w:val="en-US" w:eastAsia="zh-CN"/>
        </w:rPr>
        <w:t>每季度支付金额=维保费用</w:t>
      </w:r>
      <w:r>
        <w:rPr>
          <w:rFonts w:hint="eastAsia" w:ascii="宋体" w:hAnsi="宋体" w:eastAsia="宋体" w:cs="宋体"/>
          <w:b/>
          <w:color w:val="000000"/>
          <w:sz w:val="21"/>
          <w:szCs w:val="21"/>
          <w:highlight w:val="none"/>
          <w:u w:val="single"/>
          <w:lang w:val="en-US" w:eastAsia="zh-CN"/>
        </w:rPr>
        <w:t>合同价的1/4，不满1年的按月折算；</w:t>
      </w:r>
    </w:p>
    <w:p w14:paraId="7B8F8C42">
      <w:pPr>
        <w:keepNext w:val="0"/>
        <w:keepLines w:val="0"/>
        <w:pageBreakBefore w:val="0"/>
        <w:numPr>
          <w:ilvl w:val="0"/>
          <w:numId w:val="0"/>
        </w:numPr>
        <w:tabs>
          <w:tab w:val="center" w:pos="4745"/>
        </w:tabs>
        <w:kinsoku/>
        <w:wordWrap/>
        <w:overflowPunct/>
        <w:topLinePunct w:val="0"/>
        <w:autoSpaceDE/>
        <w:autoSpaceDN/>
        <w:bidi w:val="0"/>
        <w:adjustRightInd/>
        <w:snapToGrid/>
        <w:spacing w:line="440" w:lineRule="exact"/>
        <w:ind w:left="420" w:leftChars="200" w:right="-260" w:rightChars="-124" w:firstLine="0" w:firstLineChars="0"/>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color w:val="000000"/>
          <w:sz w:val="21"/>
          <w:szCs w:val="21"/>
          <w:highlight w:val="none"/>
          <w:u w:val="single"/>
          <w:lang w:val="en-US" w:eastAsia="zh-CN"/>
        </w:rPr>
        <w:t>②</w:t>
      </w:r>
      <w:r>
        <w:rPr>
          <w:rFonts w:hint="eastAsia" w:ascii="宋体" w:hAnsi="宋体" w:eastAsia="宋体" w:cs="宋体"/>
          <w:b/>
          <w:color w:val="auto"/>
          <w:sz w:val="21"/>
          <w:szCs w:val="21"/>
          <w:highlight w:val="none"/>
          <w:u w:val="single"/>
          <w:lang w:val="en-US" w:eastAsia="zh-CN"/>
        </w:rPr>
        <w:t>备品备件</w:t>
      </w:r>
      <w:r>
        <w:rPr>
          <w:rFonts w:hint="eastAsia" w:ascii="宋体" w:hAnsi="宋体" w:eastAsia="宋体" w:cs="宋体"/>
          <w:b/>
          <w:color w:val="000000"/>
          <w:sz w:val="21"/>
          <w:szCs w:val="21"/>
          <w:highlight w:val="none"/>
          <w:u w:val="single"/>
          <w:lang w:val="en-US" w:eastAsia="zh-CN"/>
        </w:rPr>
        <w:t>部分：按实结算；</w:t>
      </w:r>
      <w:bookmarkStart w:id="574" w:name="_GoBack"/>
      <w:bookmarkEnd w:id="574"/>
    </w:p>
    <w:p w14:paraId="7A177358">
      <w:pPr>
        <w:keepNext w:val="0"/>
        <w:keepLines w:val="0"/>
        <w:pageBreakBefore w:val="0"/>
        <w:kinsoku/>
        <w:wordWrap/>
        <w:overflowPunct/>
        <w:topLinePunct w:val="0"/>
        <w:autoSpaceDE/>
        <w:autoSpaceDN/>
        <w:bidi w:val="0"/>
        <w:adjustRightInd/>
        <w:snapToGrid/>
        <w:spacing w:line="440" w:lineRule="exact"/>
        <w:ind w:right="-260" w:rightChars="-124" w:firstLine="420" w:firstLineChars="200"/>
        <w:textAlignment w:val="auto"/>
        <w:rPr>
          <w:rFonts w:hint="eastAsia" w:ascii="宋体" w:hAnsi="宋体" w:eastAsia="宋体" w:cs="宋体"/>
          <w:highlight w:val="none"/>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根据项目实施进度进行阶段项目验收工作，阶段工作完成后的第一个月，</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提交阶段工作量清单（</w:t>
      </w:r>
      <w:r>
        <w:rPr>
          <w:rFonts w:hint="eastAsia" w:ascii="宋体" w:hAnsi="宋体" w:eastAsia="宋体" w:cs="宋体"/>
          <w:b w:val="0"/>
          <w:bCs w:val="0"/>
          <w:color w:val="auto"/>
          <w:sz w:val="21"/>
          <w:szCs w:val="21"/>
          <w:highlight w:val="none"/>
          <w:lang w:eastAsia="zh-CN"/>
        </w:rPr>
        <w:t>维修</w:t>
      </w:r>
      <w:r>
        <w:rPr>
          <w:rFonts w:hint="eastAsia" w:ascii="宋体" w:hAnsi="宋体" w:eastAsia="宋体" w:cs="宋体"/>
          <w:b w:val="0"/>
          <w:bCs w:val="0"/>
          <w:color w:val="auto"/>
          <w:sz w:val="21"/>
          <w:szCs w:val="21"/>
          <w:highlight w:val="none"/>
        </w:rPr>
        <w:t>工作量）、项目支付申请表、阶段项目考核扣款清单等表。</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确认审核无误后，依据考核标准对</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的服务质量进行考核，根据考核情况，</w:t>
      </w:r>
      <w:r>
        <w:rPr>
          <w:rFonts w:hint="eastAsia" w:ascii="宋体" w:hAnsi="宋体" w:eastAsia="宋体" w:cs="宋体"/>
          <w:color w:val="auto"/>
          <w:sz w:val="21"/>
          <w:szCs w:val="21"/>
          <w:highlight w:val="none"/>
        </w:rPr>
        <w:t>计算出考核款。按合同规定，支付金额为合同应付金额，扣除违约扣款、考核款后的部分（即支付金额＝本期合同支付金额－同期违约扣款－同期考核款）。每次支付前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需提供该次实际支付金额的增值税专用发票，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在60天内支付给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p>
    <w:p w14:paraId="57BDB78C">
      <w:pPr>
        <w:keepNext w:val="0"/>
        <w:keepLines w:val="0"/>
        <w:pageBreakBefore w:val="0"/>
        <w:tabs>
          <w:tab w:val="center" w:pos="4745"/>
        </w:tabs>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6.保险</w:t>
      </w:r>
      <w:bookmarkEnd w:id="227"/>
    </w:p>
    <w:p w14:paraId="3A5DC479">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bookmarkStart w:id="228" w:name="_Toc518199384"/>
      <w:bookmarkStart w:id="229" w:name="_Toc518210290"/>
      <w:bookmarkStart w:id="230" w:name="_Toc199904108"/>
      <w:bookmarkStart w:id="231" w:name="_Toc518200400"/>
      <w:bookmarkStart w:id="232" w:name="_Toc517603963"/>
      <w:bookmarkStart w:id="233" w:name="_Toc60288542"/>
      <w:bookmarkStart w:id="234" w:name="_Toc516998347"/>
      <w:bookmarkStart w:id="235" w:name="_Toc516906962"/>
      <w:bookmarkStart w:id="236" w:name="_Toc516973604"/>
      <w:bookmarkStart w:id="237" w:name="_Toc516977633"/>
      <w:bookmarkStart w:id="238" w:name="_Toc516906702"/>
      <w:bookmarkStart w:id="239" w:name="_Toc516972941"/>
      <w:bookmarkStart w:id="240" w:name="_Toc516907399"/>
      <w:bookmarkStart w:id="241" w:name="_Toc518201097"/>
      <w:r>
        <w:rPr>
          <w:rFonts w:hint="eastAsia" w:ascii="宋体" w:hAnsi="宋体" w:eastAsia="宋体" w:cs="宋体"/>
          <w:color w:val="000000"/>
          <w:sz w:val="21"/>
          <w:szCs w:val="21"/>
          <w:highlight w:val="none"/>
        </w:rPr>
        <w:t>6.1</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从事本项目应进行的一切保险（包括但不限于对雇员的保险）由</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自理，并处理与之有关的所有保险索赔及其他一切事项。</w:t>
      </w:r>
    </w:p>
    <w:p w14:paraId="368E9D41">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要求，出示根据合同要求应购买的保险的任何保险单或保险证明以及保险费的收据。</w:t>
      </w:r>
    </w:p>
    <w:p w14:paraId="612612AA">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6.3所需的全部保险费均已包含在合同总价中，</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不另行支付。</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14:paraId="2C366932">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42" w:name="_Toc317255471"/>
      <w:r>
        <w:rPr>
          <w:rFonts w:hint="eastAsia" w:ascii="宋体" w:hAnsi="宋体" w:eastAsia="宋体" w:cs="宋体"/>
          <w:b/>
          <w:color w:val="000000"/>
          <w:sz w:val="21"/>
          <w:szCs w:val="21"/>
          <w:highlight w:val="none"/>
        </w:rPr>
        <w:t>7.侵权和保密</w:t>
      </w:r>
      <w:bookmarkEnd w:id="242"/>
    </w:p>
    <w:p w14:paraId="70D31F2C">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bookmarkStart w:id="243" w:name="_Toc112058567"/>
      <w:r>
        <w:rPr>
          <w:rFonts w:hint="eastAsia" w:ascii="宋体" w:hAnsi="宋体" w:eastAsia="宋体" w:cs="宋体"/>
          <w:color w:val="000000"/>
          <w:sz w:val="21"/>
          <w:szCs w:val="21"/>
          <w:highlight w:val="none"/>
        </w:rPr>
        <w:t>7.1</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应保证</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免受第三方提出侵犯其任何专利或其他知识产权的起诉及索赔。任何第三方如果提出侵权指控，</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须与第三方交涉并承担由此而引起的一切法律责任和费用。</w:t>
      </w:r>
    </w:p>
    <w:p w14:paraId="0D8CA280">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7.2未经</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事先书面同意，</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不得以任何形式将本协议内容（包括但不限于合同条款、各种资料成果等）提供给与履行本协议无关的任何第三方。若</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违反本款约定，并因此产生法律纠纷，则由</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承担全部责任。</w:t>
      </w:r>
    </w:p>
    <w:p w14:paraId="27F3B46B">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44" w:name="_Toc317255472"/>
      <w:bookmarkStart w:id="245" w:name="_Toc225758061"/>
      <w:r>
        <w:rPr>
          <w:rFonts w:hint="eastAsia" w:ascii="宋体" w:hAnsi="宋体" w:eastAsia="宋体" w:cs="宋体"/>
          <w:b/>
          <w:color w:val="000000"/>
          <w:sz w:val="21"/>
          <w:szCs w:val="21"/>
          <w:highlight w:val="none"/>
        </w:rPr>
        <w:t>8.联络</w:t>
      </w:r>
      <w:bookmarkEnd w:id="244"/>
    </w:p>
    <w:p w14:paraId="1D0652BA">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本合同项下重要事项的联络应以书面方式进行。紧急事项可用电话联系，但事后须立即以书面方式确认。</w:t>
      </w:r>
    </w:p>
    <w:p w14:paraId="1276870A">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46" w:name="_Toc317255473"/>
      <w:r>
        <w:rPr>
          <w:rFonts w:hint="eastAsia" w:ascii="宋体" w:hAnsi="宋体" w:eastAsia="宋体" w:cs="宋体"/>
          <w:b/>
          <w:color w:val="000000"/>
          <w:sz w:val="21"/>
          <w:szCs w:val="21"/>
          <w:highlight w:val="none"/>
        </w:rPr>
        <w:t>9.质量保证</w:t>
      </w:r>
      <w:bookmarkEnd w:id="246"/>
    </w:p>
    <w:p w14:paraId="7859A5F5">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应确保提供优质的服务，如果</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对提供的服务不满意，可以要求更换人员和增加人员，</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应予以接受，因</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原因引起的服务延误和造成</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的损失，</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有权要求索赔。</w:t>
      </w:r>
    </w:p>
    <w:p w14:paraId="519CC5C9">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47" w:name="_Toc317255474"/>
      <w:r>
        <w:rPr>
          <w:rFonts w:hint="eastAsia" w:ascii="宋体" w:hAnsi="宋体" w:eastAsia="宋体" w:cs="宋体"/>
          <w:b/>
          <w:color w:val="000000"/>
          <w:sz w:val="21"/>
          <w:szCs w:val="21"/>
          <w:highlight w:val="none"/>
        </w:rPr>
        <w:t>10.检验、验收</w:t>
      </w:r>
      <w:bookmarkEnd w:id="247"/>
    </w:p>
    <w:p w14:paraId="49243C11">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10.1</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按照项目要求和有关说明的标准对</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完成服务进行检验、验收。</w:t>
      </w:r>
    </w:p>
    <w:p w14:paraId="245B425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10.2双方应对所有检验、验收的结果、步骤、原始数据等作妥善记录，这些记录由双方代表签字确认。</w:t>
      </w:r>
    </w:p>
    <w:p w14:paraId="7DE0BFCF">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48" w:name="_Toc317255475"/>
      <w:r>
        <w:rPr>
          <w:rFonts w:hint="eastAsia" w:ascii="宋体" w:hAnsi="宋体" w:eastAsia="宋体" w:cs="宋体"/>
          <w:b/>
          <w:color w:val="000000"/>
          <w:sz w:val="21"/>
          <w:szCs w:val="21"/>
          <w:highlight w:val="none"/>
        </w:rPr>
        <w:t>11.</w:t>
      </w:r>
      <w:bookmarkEnd w:id="245"/>
      <w:r>
        <w:rPr>
          <w:rFonts w:hint="eastAsia" w:ascii="宋体" w:hAnsi="宋体" w:eastAsia="宋体" w:cs="宋体"/>
          <w:b/>
          <w:color w:val="000000"/>
          <w:sz w:val="21"/>
          <w:szCs w:val="21"/>
          <w:highlight w:val="none"/>
        </w:rPr>
        <w:t>甲乙双方的权利与义务</w:t>
      </w:r>
      <w:bookmarkEnd w:id="248"/>
    </w:p>
    <w:p w14:paraId="59863E8A">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11.1 </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权利与义务：</w:t>
      </w:r>
    </w:p>
    <w:p w14:paraId="5698E23E">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(1)代表和维护产权人及使用人的合法权益；</w:t>
      </w:r>
    </w:p>
    <w:p w14:paraId="16BD0AD5">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(2)检查监督</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管理工作的实施及制度的执行情况，对违约情况进行处罚；</w:t>
      </w:r>
    </w:p>
    <w:p w14:paraId="28010D5D">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(3)审定</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提出的服务年、季、月度计划；</w:t>
      </w:r>
    </w:p>
    <w:p w14:paraId="1F51CF07">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(4)审定</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撰写的服务管理制度；</w:t>
      </w:r>
    </w:p>
    <w:p w14:paraId="2CB4F8C1">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对</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人员的工作情况进行监督，对工作认真负责表现突出的员工提出表扬或奖励建议，对工作懒散、有违纪违规及其他不符合</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相关管理制度要求的队员提出批评或考核意见，考核结果提交给</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，由</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落实处理；</w:t>
      </w:r>
    </w:p>
    <w:p w14:paraId="259B9CF3">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(6)必要时</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有权直接向</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人员布置工作任务，</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人员应当服从安排，配合完成</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布置的各项任务；</w:t>
      </w:r>
    </w:p>
    <w:p w14:paraId="72C133D0">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有权要求</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参加与服务内容相关的培训；</w:t>
      </w:r>
    </w:p>
    <w:p w14:paraId="4DCF7A46">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(8)按本合同相关规定对</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的违约行为进行处理；</w:t>
      </w:r>
    </w:p>
    <w:p w14:paraId="7D382A45">
      <w:pPr>
        <w:keepNext w:val="0"/>
        <w:keepLines w:val="0"/>
        <w:pageBreakBefore w:val="0"/>
        <w:kinsoku/>
        <w:wordWrap/>
        <w:overflowPunct/>
        <w:topLinePunct w:val="0"/>
        <w:autoSpaceDE/>
        <w:autoSpaceDN/>
        <w:bidi w:val="0"/>
        <w:adjustRightInd/>
        <w:snapToGrid/>
        <w:spacing w:line="440" w:lineRule="exact"/>
        <w:ind w:left="0" w:right="-260" w:rightChars="-124"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(9)</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有权对</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不合理的管理流程及人员配置进行更改，</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须服从</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的更改意见；</w:t>
      </w:r>
    </w:p>
    <w:p w14:paraId="634D92E8">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(10)督促</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做好管理工作，对未履行员工工资支付承诺书的行为，</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有权调控直接支付给</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员工，并从</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服务费中予以直接扣除；</w:t>
      </w:r>
    </w:p>
    <w:p w14:paraId="01877D90">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有权要求</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提供员工每月缴纳各项社险的单据；</w:t>
      </w:r>
    </w:p>
    <w:p w14:paraId="300B87BC">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(12)负责处理非</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原因而产生的各种纠纷；</w:t>
      </w:r>
    </w:p>
    <w:p w14:paraId="725C7FF3">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(13)按合同约定按时向</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支付合同费用。</w:t>
      </w:r>
    </w:p>
    <w:p w14:paraId="37EA9E30">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为</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提供服务区域公共设施由</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无偿使用；</w:t>
      </w:r>
    </w:p>
    <w:p w14:paraId="38475CC0">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(15)提供</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进行服务所必须的水、电等；</w:t>
      </w:r>
    </w:p>
    <w:p w14:paraId="0A888FE9">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(16)法规、政策规定由</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承担的其他责任。</w:t>
      </w:r>
    </w:p>
    <w:p w14:paraId="28C8D87B">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11.2</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的权利与义务：</w:t>
      </w:r>
    </w:p>
    <w:p w14:paraId="4544A563">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(1)根据有关法律、法规、本合同的规定及本项目的实际情况，制定服务管理制度及管理方案、计划等工作目标；</w:t>
      </w:r>
    </w:p>
    <w:p w14:paraId="7A361529">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(2)在本管理区域内设立专门机构负责本项目的工作，并委派有岗位资质的人员履行本合同；</w:t>
      </w:r>
    </w:p>
    <w:p w14:paraId="4A6F31E7">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(3)负责材料（合同中明确由</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提供的除外）、用品及易耗品的采购、存储、发放、盘点等；</w:t>
      </w:r>
    </w:p>
    <w:p w14:paraId="0AAE2CF7">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(4)自主开展各项管理活动，但不得侵害</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及他人的合法权益，不得利用提供服务的便利获取不当利益；</w:t>
      </w:r>
    </w:p>
    <w:p w14:paraId="6974794E">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(5)根据有关法律、法规的规定和本合同的规定，向</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收取服务费用，并按时足额向其人员支付费用；</w:t>
      </w:r>
    </w:p>
    <w:p w14:paraId="41102A00">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应按照国家的相关规定为其员工缴纳或购买相应的社会保险和其它商业保险，如由于未按照本条款执行产生任何后果，</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不承担任何相关责任；</w:t>
      </w:r>
    </w:p>
    <w:p w14:paraId="506AECD7">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(7)对本项目的公用设施不得擅自占用和改变使用功能，如需在本项目内改、扩建或完善配套项目，须与</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协商，经</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同意报有关部门方可实施；</w:t>
      </w:r>
    </w:p>
    <w:p w14:paraId="3B33C30F">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未按合同规定的质量要求提供服务，不能完成合同时，</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有权终止合同，由此造成</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的直接损失和间接损失</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不给予补偿和赔偿，造成</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损失时，</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有权要求</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赔偿，可从余款或履约保证金中扣除；</w:t>
      </w:r>
    </w:p>
    <w:p w14:paraId="6A85DEAA">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必须自己完成合同内容，不得转包、分包，否则，</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有权按</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 xml:space="preserve">不能完成合同处理； </w:t>
      </w:r>
    </w:p>
    <w:p w14:paraId="4D2CA1D6">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应执行国家有关规定，负责</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员工的生病、事故、伤残、死亡和劳务纠纷，</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不承担任何相关责任；</w:t>
      </w:r>
    </w:p>
    <w:p w14:paraId="57F1396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(11)因</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工作原因，造成</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人员或其他第三人伤害或财产损坏，</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应当及时赔付，</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因处理上述事件而支出的全部费用由</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承担，必要时应承担相应的法律责任；</w:t>
      </w:r>
    </w:p>
    <w:p w14:paraId="776ABF7A">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(12)合同终止时，向</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移交全部办公场所、档案资料和属</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所有的其他资产，并办理交接手续；</w:t>
      </w:r>
    </w:p>
    <w:p w14:paraId="250DA4CB">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员工在工作期间应遵守</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的相关规章制度并服从</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的进出管理；</w:t>
      </w:r>
    </w:p>
    <w:p w14:paraId="1D6EE722">
      <w:pPr>
        <w:keepNext w:val="0"/>
        <w:keepLines w:val="0"/>
        <w:pageBreakBefore w:val="0"/>
        <w:kinsoku/>
        <w:wordWrap/>
        <w:overflowPunct/>
        <w:topLinePunct w:val="0"/>
        <w:autoSpaceDE/>
        <w:autoSpaceDN/>
        <w:bidi w:val="0"/>
        <w:adjustRightInd/>
        <w:snapToGrid/>
        <w:spacing w:line="440" w:lineRule="exact"/>
        <w:ind w:left="0" w:right="-260" w:rightChars="-124"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（14）法规、政策规定由</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承担的其他责任。</w:t>
      </w:r>
    </w:p>
    <w:p w14:paraId="7FD2877B">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11.3在合同履行过程中，因下列因素所致</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的损害，不论其为直接或间接，均构成对</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的免责事由，</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均不负赔偿之责：</w:t>
      </w:r>
    </w:p>
    <w:p w14:paraId="796648EA">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(1)不可抗力的事件所致的损害（但</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自身的损害除外）；</w:t>
      </w:r>
    </w:p>
    <w:p w14:paraId="151B3BDA">
      <w:pPr>
        <w:keepNext w:val="0"/>
        <w:keepLines w:val="0"/>
        <w:pageBreakBefore w:val="0"/>
        <w:tabs>
          <w:tab w:val="left" w:pos="840"/>
        </w:tabs>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(2)爆炸、火灾、刑事犯罪等违法行为等事由所致的损害，但因</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故意或过失所致，不在此限；</w:t>
      </w:r>
    </w:p>
    <w:p w14:paraId="2042C6BA">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(3)因本合同标的物本身固有瑕疵所致的损害；</w:t>
      </w:r>
    </w:p>
    <w:p w14:paraId="26A41B0A">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(4)因</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或第三者之故意、过失所致的损害，但因</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 xml:space="preserve">故意或过失所致，不在此限； </w:t>
      </w:r>
    </w:p>
    <w:p w14:paraId="4CA38543">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(5)除上述各款外，其它不可归责于</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之事由的。</w:t>
      </w:r>
    </w:p>
    <w:p w14:paraId="19D09BD8">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11.4为维护公众、</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及项目使用人的合法利益，在不可预见情况下，如发生漏电、火灾、电梯故障、水管破裂、救助人命、协助公安机关执行任务等情况，</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应采取紧急避险措施造成财产损失的，按有关管理规定或法律相关规定处理。</w:t>
      </w:r>
    </w:p>
    <w:p w14:paraId="6D90CD85">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49" w:name="_Toc317255476"/>
      <w:r>
        <w:rPr>
          <w:rFonts w:hint="eastAsia" w:ascii="宋体" w:hAnsi="宋体" w:eastAsia="宋体" w:cs="宋体"/>
          <w:b/>
          <w:color w:val="000000"/>
          <w:sz w:val="21"/>
          <w:szCs w:val="21"/>
          <w:highlight w:val="none"/>
        </w:rPr>
        <w:t xml:space="preserve">12. </w:t>
      </w:r>
      <w:bookmarkStart w:id="250" w:name="_Toc225758062"/>
      <w:r>
        <w:rPr>
          <w:rFonts w:hint="eastAsia" w:ascii="宋体" w:hAnsi="宋体" w:eastAsia="宋体" w:cs="宋体"/>
          <w:b/>
          <w:color w:val="000000"/>
          <w:sz w:val="21"/>
          <w:szCs w:val="21"/>
          <w:highlight w:val="none"/>
        </w:rPr>
        <w:t>索赔</w:t>
      </w:r>
      <w:bookmarkEnd w:id="249"/>
      <w:bookmarkEnd w:id="250"/>
    </w:p>
    <w:p w14:paraId="1E5BD3B7">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12.1如果</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对偏差负有责任，</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应以</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同意的下列一种方式（或几种方式相结合）来解决索赔事宜：</w:t>
      </w:r>
    </w:p>
    <w:p w14:paraId="7F755F46">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1）经甲乙双方协商，</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规定时间内按</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要求更正服务偏差；</w:t>
      </w:r>
    </w:p>
    <w:p w14:paraId="1A0BA027">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更换、增加人员、设备，并承担由此发生的一切损失和费用；</w:t>
      </w:r>
    </w:p>
    <w:p w14:paraId="1011B282">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3）根据提供服务的偏差情况、</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遭受损失的金额大小，经过甲乙双方商定，扣除相应服务费用，若剩余的服务费用抵不足索赔金，差额部分由</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通过银行转账到</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指定的账户；</w:t>
      </w:r>
    </w:p>
    <w:p w14:paraId="6448386B">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12.2如果在</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发出索赔通知后15天内，</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未作答复，上述索赔被视为已被</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接受。如</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未能在</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发出索赔通知后的30天内或</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同意的延长期限内，按照</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同意的上述规定的任何一种方式（或几种方式相结合）来解决索赔事宜，</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将从</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的服务费用中扣回索赔金额，若剩余的服务费用抵不足索赔金，差额部分由</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通过银行转账到</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指定的账户；</w:t>
      </w:r>
    </w:p>
    <w:p w14:paraId="000FDFB1">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12.3如果</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在收到</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的变更通知后14日内未就根据变更事宜提出索赔，则其应被视为放弃该索赔权。</w:t>
      </w:r>
    </w:p>
    <w:p w14:paraId="3473D36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12.4索赔原则</w:t>
      </w:r>
    </w:p>
    <w:p w14:paraId="37BF1C17">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(1)对于同一事由造成的索赔，不做重复索赔。</w:t>
      </w:r>
    </w:p>
    <w:p w14:paraId="03B56732">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各项索赔金额累计计算。</w:t>
      </w:r>
    </w:p>
    <w:p w14:paraId="00FCE641">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(3)赔偿的支付不减轻或解除</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合同项下的任何责任和义务。</w:t>
      </w:r>
    </w:p>
    <w:p w14:paraId="326CB435">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12.5索赔偿还</w:t>
      </w:r>
    </w:p>
    <w:p w14:paraId="76BD3268">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对于合同中所列的索赔偿还，</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有权从以下途径获得：</w:t>
      </w:r>
    </w:p>
    <w:p w14:paraId="190F6259">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(1)从应支付给</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的金额中扣除；</w:t>
      </w:r>
    </w:p>
    <w:p w14:paraId="1167B8D2">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(2)要求</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以电汇方式向</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支付偿还。</w:t>
      </w:r>
    </w:p>
    <w:p w14:paraId="60019AD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在第（2）种情况下</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应在1个月内凭</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索赔文件以电汇方式向买</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付所有索赔偿还。</w:t>
      </w:r>
    </w:p>
    <w:p w14:paraId="6E393488">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51" w:name="_Toc317255477"/>
      <w:r>
        <w:rPr>
          <w:rFonts w:hint="eastAsia" w:ascii="宋体" w:hAnsi="宋体" w:eastAsia="宋体" w:cs="宋体"/>
          <w:b/>
          <w:color w:val="000000"/>
          <w:sz w:val="21"/>
          <w:szCs w:val="21"/>
          <w:highlight w:val="none"/>
        </w:rPr>
        <w:t xml:space="preserve">13. </w:t>
      </w:r>
      <w:bookmarkStart w:id="252" w:name="_Toc225758063"/>
      <w:r>
        <w:rPr>
          <w:rFonts w:hint="eastAsia" w:ascii="宋体" w:hAnsi="宋体" w:eastAsia="宋体" w:cs="宋体"/>
          <w:b/>
          <w:color w:val="000000"/>
          <w:sz w:val="21"/>
          <w:szCs w:val="21"/>
          <w:highlight w:val="none"/>
        </w:rPr>
        <w:t>合同暂停</w:t>
      </w:r>
      <w:bookmarkEnd w:id="251"/>
      <w:bookmarkEnd w:id="252"/>
    </w:p>
    <w:p w14:paraId="5972B9B3">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13.1</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可以在任何时候由于任何原因书面通知</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暂停合同的任何部分。</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应即时暂停，但必须继续执行未暂停的部分，并在收到</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书面恢复通知后，即时恢复。</w:t>
      </w:r>
    </w:p>
    <w:p w14:paraId="789E498F">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13.2</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如暂停履行合同或合同一部分时，</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应立即书面通知</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，并给出充分合理的解释，经</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书面同意后可暂停履行合同，对于非因</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原因导致的合同暂停履行，</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应承担相应违约责任。</w:t>
      </w:r>
    </w:p>
    <w:p w14:paraId="0CE9E67C">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53" w:name="_Toc225758064"/>
      <w:bookmarkStart w:id="254" w:name="_Toc317255478"/>
      <w:r>
        <w:rPr>
          <w:rFonts w:hint="eastAsia" w:ascii="宋体" w:hAnsi="宋体" w:eastAsia="宋体" w:cs="宋体"/>
          <w:b/>
          <w:color w:val="000000"/>
          <w:sz w:val="21"/>
          <w:szCs w:val="21"/>
          <w:highlight w:val="none"/>
        </w:rPr>
        <w:t>14.合同的变更和终止</w:t>
      </w:r>
      <w:bookmarkEnd w:id="253"/>
      <w:bookmarkEnd w:id="254"/>
    </w:p>
    <w:p w14:paraId="37767AAC">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14.1本合同一经签订，除本合同约定情形外，甲乙双方不得擅自变更、中止或终止合同。</w:t>
      </w:r>
    </w:p>
    <w:p w14:paraId="17E7BFED">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14.2甲乙双方如需要变更合同，应经双方协商一致后方可变更合同。</w:t>
      </w:r>
    </w:p>
    <w:p w14:paraId="6C57F2B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14.3</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对</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履行合同的情况进行考核，经过检查扣分后，得分低于80分，视作</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根本违约，</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有权提前解除、终止合同，</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支付由此给</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造成的损失。 同时，</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对有权对</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执行合同中对出现重大违规事项予以书面通知并在合理期限内立即改正，未按</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要求改正的将视作</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根本违约情形处理。</w:t>
      </w:r>
      <w:r>
        <w:rPr>
          <w:rFonts w:hint="eastAsia" w:ascii="宋体" w:hAnsi="宋体" w:eastAsia="宋体" w:cs="宋体"/>
          <w:color w:val="000000"/>
          <w:sz w:val="21"/>
          <w:szCs w:val="21"/>
          <w:highlight w:val="none"/>
        </w:rPr>
        <w:cr/>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14.4 本合同终止时，</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应移交管理权，撤出本项目，协助</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作好服务的交接和善后工作，移交或配合</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移交工具房、值班用房和管理的全部档案资料等。</w:t>
      </w:r>
    </w:p>
    <w:p w14:paraId="11888D88">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14.5合同终止的情形</w:t>
      </w:r>
    </w:p>
    <w:p w14:paraId="62F6DD4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14.5.1违约终止</w:t>
      </w:r>
    </w:p>
    <w:p w14:paraId="7A313186">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14.5.1.1在</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对</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违约而采取的任何补救措施不受影响的情况下，</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可向</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发出书面违约通知书，提出终止部分或全部合同：</w:t>
      </w:r>
    </w:p>
    <w:p w14:paraId="4FFFB92F">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(1)如果</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未能履行合同规定的义务；</w:t>
      </w:r>
    </w:p>
    <w:p w14:paraId="174B7147">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(2)未经</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书面同意许可，将合同内容分包出去，或将合同转让他人；</w:t>
      </w:r>
    </w:p>
    <w:p w14:paraId="3E49747C">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(3）如果</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认为</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在本合同的竞争和实施过程中有腐败和欺诈行为。为此目的，定义下述条件：</w:t>
      </w:r>
    </w:p>
    <w:p w14:paraId="66C2424F">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“腐败行为”是指提供、给予、接受或索取任何有价值的东西来影响</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在采购过程或合同实施过程中的行为。</w:t>
      </w:r>
    </w:p>
    <w:p w14:paraId="66D01A38">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“欺诈行为”是指为了影响采购过程或合同实施过程而谎报或隐瞒事实，损害</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利益的行为。</w:t>
      </w:r>
    </w:p>
    <w:p w14:paraId="6912AAC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14.5.1.2 在按14.5.1.1（1）终止合同之后，</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应支付终止合同日期前</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应得的所有款项。但在服务完成之前，</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没有义务向</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支付任何进一步的款项。服务完成后，在根据14.5.1（1）中考虑应支付给</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的任何款项中，</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有权从</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应得款项中扣除未完成服务所招致的额外费用（如果有的话）。如果没有此类额外费用，</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支付应付给</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的任何结存款项。</w:t>
      </w:r>
    </w:p>
    <w:p w14:paraId="2F801AC5">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14.5.1.3如果</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按14.5.1.1（2）、（3）终止合同，</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可以不给</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任何补偿，且该终止合同将不损害或影响</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已经采取或将要采取的任何行动或补救措施的权利。</w:t>
      </w:r>
    </w:p>
    <w:p w14:paraId="6A0CE0FC">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14.5.1.4如果</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根据14.5.1的规定，终止了全部或部分合同，</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可以依其认为适当的条件和方法重新采购与未提供的类似服务，</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应承担</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因采购类似服务而产生额外支出。但是，</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应继续执行合同中未终止的部分。</w:t>
      </w:r>
    </w:p>
    <w:p w14:paraId="1E29E721">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14.5.2因破产而终止合同</w:t>
      </w:r>
    </w:p>
    <w:p w14:paraId="3B7BEA26">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如果</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破产或无清偿能力，</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可在任何时候以书面形式通知</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，提出终止合同而不给</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补偿。该终止合同将不损害或影响</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已经采取或将要采取的任何行动或补救措施的权力。</w:t>
      </w:r>
    </w:p>
    <w:p w14:paraId="17DE5B47">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14.5.3本合同终止后，在新的企业接管本项目前，除</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要求</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提前撤离外，新老管理企业的交接过渡期最长为1个月，在此期间</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应提供过渡期管理服务，过渡期管理服务标准和服务费标准不变，由</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按交接过渡期具体天数按实计算收取；过渡期满后，未按规定进行交接、撤离的，每逾期1天</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向</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收取该年度服务总价1‰的违约金。</w:t>
      </w:r>
    </w:p>
    <w:p w14:paraId="4AE37973">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14.5.1.4</w:t>
      </w:r>
      <w:r>
        <w:rPr>
          <w:rFonts w:hint="eastAsia" w:ascii="宋体" w:hAnsi="宋体" w:eastAsia="宋体" w:cs="宋体"/>
          <w:color w:val="000000"/>
          <w:sz w:val="21"/>
          <w:szCs w:val="21"/>
          <w:highlight w:val="none"/>
        </w:rPr>
        <w:t>若</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在服务期内出现如下情形时，无需</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确认，</w:t>
      </w: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rPr>
        <w:t>有权单方终止合同，同时</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需承担合同执行过程中发生的直接扣款：</w:t>
      </w:r>
    </w:p>
    <w:p w14:paraId="114FEB2B">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①</w:t>
      </w:r>
      <w:r>
        <w:rPr>
          <w:rFonts w:hint="eastAsia" w:ascii="宋体" w:hAnsi="宋体" w:eastAsia="宋体" w:cs="宋体"/>
          <w:color w:val="000000"/>
          <w:sz w:val="21"/>
          <w:szCs w:val="21"/>
          <w:highlight w:val="none"/>
        </w:rPr>
        <w:t>月度考核单次所得分数低于60分。</w:t>
      </w:r>
      <w:r>
        <w:rPr>
          <w:rFonts w:hint="eastAsia" w:ascii="宋体" w:hAnsi="宋体" w:eastAsia="宋体" w:cs="宋体"/>
          <w:color w:val="000000"/>
          <w:sz w:val="21"/>
          <w:szCs w:val="21"/>
          <w:highlight w:val="none"/>
        </w:rPr>
        <w:tab/>
      </w:r>
    </w:p>
    <w:p w14:paraId="4EAE1271">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②</w:t>
      </w:r>
      <w:r>
        <w:rPr>
          <w:rFonts w:hint="eastAsia" w:ascii="宋体" w:hAnsi="宋体" w:eastAsia="宋体" w:cs="宋体"/>
          <w:color w:val="000000"/>
          <w:sz w:val="21"/>
          <w:szCs w:val="21"/>
          <w:highlight w:val="none"/>
        </w:rPr>
        <w:t>月度考核连续两次所得分数低于70分。</w:t>
      </w:r>
    </w:p>
    <w:p w14:paraId="79BF095A">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③</w:t>
      </w:r>
      <w:r>
        <w:rPr>
          <w:rFonts w:hint="eastAsia" w:ascii="宋体" w:hAnsi="宋体" w:eastAsia="宋体" w:cs="宋体"/>
          <w:color w:val="000000"/>
          <w:sz w:val="21"/>
          <w:szCs w:val="21"/>
          <w:highlight w:val="none"/>
        </w:rPr>
        <w:t>月度考核连续三次所得分数低于80分，或一年累计有五次考核分数低于80分时。</w:t>
      </w:r>
    </w:p>
    <w:p w14:paraId="563E4186">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④</w:t>
      </w:r>
      <w:r>
        <w:rPr>
          <w:rFonts w:hint="eastAsia" w:ascii="宋体" w:hAnsi="宋体" w:eastAsia="宋体" w:cs="宋体"/>
          <w:color w:val="000000"/>
          <w:sz w:val="21"/>
          <w:szCs w:val="21"/>
          <w:highlight w:val="none"/>
        </w:rPr>
        <w:t>年终评审时，</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出现无法胜任本项目的其他情况。</w:t>
      </w:r>
    </w:p>
    <w:p w14:paraId="43E37E6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⑤</w:t>
      </w:r>
      <w:r>
        <w:rPr>
          <w:rFonts w:hint="eastAsia" w:ascii="宋体" w:hAnsi="宋体" w:eastAsia="宋体" w:cs="宋体"/>
          <w:color w:val="000000"/>
          <w:sz w:val="21"/>
          <w:szCs w:val="21"/>
          <w:highlight w:val="none"/>
        </w:rPr>
        <w:t>合同实施过程中发生重大安全质量事故的，应随时终止合同，并由</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按照责任损失承担违约责任。</w:t>
      </w:r>
    </w:p>
    <w:p w14:paraId="704D930D">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⑥</w:t>
      </w:r>
      <w:r>
        <w:rPr>
          <w:rFonts w:hint="eastAsia" w:ascii="宋体" w:hAnsi="宋体" w:eastAsia="宋体" w:cs="宋体"/>
          <w:color w:val="000000"/>
          <w:sz w:val="21"/>
          <w:szCs w:val="21"/>
          <w:highlight w:val="none"/>
        </w:rPr>
        <w:t>若</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服务人员与</w:t>
      </w: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rPr>
        <w:t>之间发生两次及以上劳动争议事项时，</w:t>
      </w: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rPr>
        <w:t>有权与</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终止相关合同。</w:t>
      </w:r>
    </w:p>
    <w:p w14:paraId="3083DE9D">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rPr>
        <w:t>依上述情形通知</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终止本项目合同时，</w:t>
      </w: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rPr>
        <w:t>不</w:t>
      </w:r>
      <w:r>
        <w:rPr>
          <w:rFonts w:hint="eastAsia" w:ascii="宋体" w:hAnsi="宋体" w:eastAsia="宋体" w:cs="宋体"/>
          <w:color w:val="000000"/>
          <w:sz w:val="21"/>
          <w:szCs w:val="21"/>
          <w:highlight w:val="none"/>
          <w:lang w:val="en-US" w:eastAsia="zh-CN"/>
        </w:rPr>
        <w:t>需</w:t>
      </w:r>
      <w:r>
        <w:rPr>
          <w:rFonts w:hint="eastAsia" w:ascii="宋体" w:hAnsi="宋体" w:eastAsia="宋体" w:cs="宋体"/>
          <w:color w:val="000000"/>
          <w:sz w:val="21"/>
          <w:szCs w:val="21"/>
          <w:highlight w:val="none"/>
        </w:rPr>
        <w:t>承担违约责任，但应提前一个月书面</w:t>
      </w:r>
      <w:r>
        <w:rPr>
          <w:rFonts w:hint="eastAsia" w:ascii="宋体" w:hAnsi="宋体" w:eastAsia="宋体" w:cs="宋体"/>
          <w:color w:val="000000"/>
          <w:sz w:val="21"/>
          <w:szCs w:val="21"/>
          <w:highlight w:val="none"/>
          <w:lang w:eastAsia="zh-CN"/>
        </w:rPr>
        <w:t>通知</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，且终止合同并不免除</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就合同应承担的法律责任。</w:t>
      </w:r>
    </w:p>
    <w:p w14:paraId="2A9FA1F2">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55" w:name="_Toc317255479"/>
      <w:r>
        <w:rPr>
          <w:rFonts w:hint="eastAsia" w:ascii="宋体" w:hAnsi="宋体" w:eastAsia="宋体" w:cs="宋体"/>
          <w:b/>
          <w:color w:val="000000"/>
          <w:sz w:val="21"/>
          <w:szCs w:val="21"/>
          <w:highlight w:val="none"/>
        </w:rPr>
        <w:t>15.转让和分包</w:t>
      </w:r>
      <w:bookmarkEnd w:id="255"/>
    </w:p>
    <w:p w14:paraId="15FFE5FD">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bookmarkStart w:id="256" w:name="_Toc197101534"/>
      <w:bookmarkStart w:id="257" w:name="_Toc225758066"/>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必须自己完成合同内容，不得转让、分包，否则，</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有权按</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不能完成合同的违约处理。</w:t>
      </w:r>
    </w:p>
    <w:p w14:paraId="22BD275D">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58" w:name="_Toc317255480"/>
      <w:r>
        <w:rPr>
          <w:rFonts w:hint="eastAsia" w:ascii="宋体" w:hAnsi="宋体" w:eastAsia="宋体" w:cs="宋体"/>
          <w:b/>
          <w:color w:val="000000"/>
          <w:sz w:val="21"/>
          <w:szCs w:val="21"/>
          <w:highlight w:val="none"/>
        </w:rPr>
        <w:t>16.不可抗力</w:t>
      </w:r>
      <w:bookmarkEnd w:id="256"/>
      <w:bookmarkEnd w:id="257"/>
      <w:bookmarkEnd w:id="258"/>
    </w:p>
    <w:p w14:paraId="5F904A13">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16.1不可抗力事件</w:t>
      </w:r>
    </w:p>
    <w:p w14:paraId="3D0E967A">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乙双方任一方由于受不可抗力事件而不能执行合同时，履行合同的期限应予以延长，其延长的期限应与事件所影响的时间相当。不可抗力事件系指甲乙双方在缔结合同时所不可预见的，并且它的发生及其后果是无法避免和无法克服的事件，包括但不限于战争、严重火灾、洪水、台风、地震等。</w:t>
      </w:r>
    </w:p>
    <w:p w14:paraId="0FE7A08F">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16.2不可抗力事件处理</w:t>
      </w:r>
    </w:p>
    <w:p w14:paraId="56D959A2">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一旦不可抗力事件的影响持续120天以上，双方应通过友好协商在合理的时间内达成进一步履行合同的协议。</w:t>
      </w:r>
    </w:p>
    <w:p w14:paraId="52239BEB">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受不可抗力事件影响的一方应尽合理的努力减少不可抗力事件的影响，包括根据上述措施可能产生的结果支付合理的金额。双方应协商制定并实施补救计划及合理的替代措施以消除不可抗力事件带来的影响，并决定为尽量减少不可抗力事件的影响给每一方带来的损失应采取的合理的手段。</w:t>
      </w:r>
    </w:p>
    <w:p w14:paraId="4093915F">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声称受到不可抗力事件不利影响的一方在不可抗力事件消除之后应尽快恢复履行本合同下的义务。</w:t>
      </w:r>
    </w:p>
    <w:p w14:paraId="7363C050">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16.3不可抗力事件造成的终止</w:t>
      </w:r>
    </w:p>
    <w:p w14:paraId="02475CBC">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如甲乙双方就如何恢复履行本合同的义务达成一致，则双方应遵守达成一致的处理办法。</w:t>
      </w:r>
    </w:p>
    <w:p w14:paraId="04B1BBE0">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除上述情况外，如果任何不可抗力事件阻止一方履行其义务的时间自该不可抗力事件发生日起连续超过120天，双方应协商决定继续履行本合同的条件。</w:t>
      </w:r>
    </w:p>
    <w:p w14:paraId="7EF48485">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如果自不可抗力事件发生后180天之内双方不能就继续履行的条件或提前终止特许期达成一致意见，任何一方有权向另一方出终止通知，终止合同。</w:t>
      </w:r>
    </w:p>
    <w:p w14:paraId="1AA42E07">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16.4如果不可抗力的情况发生并因此根据合同法双方均被解除进一步履行合同，</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的履约保证金不被没收。</w:t>
      </w:r>
      <w:bookmarkEnd w:id="243"/>
      <w:bookmarkStart w:id="259" w:name="_Toc197101498"/>
      <w:bookmarkStart w:id="260" w:name="_Toc317255481"/>
    </w:p>
    <w:p w14:paraId="3B523474">
      <w:pPr>
        <w:keepNext w:val="0"/>
        <w:keepLines w:val="0"/>
        <w:pageBreakBefore w:val="0"/>
        <w:kinsoku/>
        <w:wordWrap/>
        <w:overflowPunct/>
        <w:topLinePunct w:val="0"/>
        <w:autoSpaceDE/>
        <w:autoSpaceDN/>
        <w:bidi w:val="0"/>
        <w:adjustRightInd/>
        <w:snapToGrid/>
        <w:spacing w:line="440" w:lineRule="exact"/>
        <w:ind w:left="0" w:right="-260" w:rightChars="-124" w:firstLine="422"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1</w:t>
      </w:r>
      <w:bookmarkEnd w:id="259"/>
      <w:bookmarkStart w:id="261" w:name="_Toc197101504"/>
      <w:r>
        <w:rPr>
          <w:rFonts w:hint="eastAsia" w:ascii="宋体" w:hAnsi="宋体" w:eastAsia="宋体" w:cs="宋体"/>
          <w:b/>
          <w:color w:val="000000"/>
          <w:sz w:val="21"/>
          <w:szCs w:val="21"/>
          <w:highlight w:val="none"/>
        </w:rPr>
        <w:t>7.安全管理</w:t>
      </w:r>
      <w:bookmarkEnd w:id="260"/>
    </w:p>
    <w:p w14:paraId="03B367F8">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须建立健全安全管理制度，遵守</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制订的安全管理制度，接受</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指导，教育员工严格遵守各项安全管理制度，每个员工须经培训后方可上岗。</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保证不发生安全事故，责任投诉不超过2起。</w:t>
      </w:r>
    </w:p>
    <w:p w14:paraId="2075AC8B">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1、发生异常情况等突发事件，</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应立即停止作业，并于第一时间向</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现场管理人员报告。</w:t>
      </w:r>
    </w:p>
    <w:p w14:paraId="3C719E3C">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2、发生安全生产事件、事故及恶劣社会影响的，</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将视情况给予</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伍仟元以上壹万元以下违约金处罚。</w:t>
      </w:r>
    </w:p>
    <w:p w14:paraId="1B70F3BE">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应为员工配备规定的劳动防护用品，做好安全防护措施；</w:t>
      </w:r>
    </w:p>
    <w:p w14:paraId="15B81F02">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4、由于员工违规操作导致发生人身伤害事故的，</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概不负责，事故造成</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设施设备损失的，由</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按价赔付；</w:t>
      </w:r>
    </w:p>
    <w:p w14:paraId="182F1454">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62" w:name="_Toc317255482"/>
      <w:r>
        <w:rPr>
          <w:rFonts w:hint="eastAsia" w:ascii="宋体" w:hAnsi="宋体" w:eastAsia="宋体" w:cs="宋体"/>
          <w:b/>
          <w:color w:val="000000"/>
          <w:sz w:val="21"/>
          <w:szCs w:val="21"/>
          <w:highlight w:val="none"/>
        </w:rPr>
        <w:t>18.违约处理</w:t>
      </w:r>
      <w:bookmarkEnd w:id="262"/>
    </w:p>
    <w:p w14:paraId="7C5DBCC3">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18.1如</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无正当理由部分或全部不履行合同时，</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同意按本合同总价的20%作为向</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的违约赔偿。</w:t>
      </w:r>
    </w:p>
    <w:p w14:paraId="47C8628A">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18.2如</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向</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提出赔偿要求不能成立时，</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应当补偿由于该索赔所导致</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的各种费用支出。</w:t>
      </w:r>
    </w:p>
    <w:p w14:paraId="6E25795C">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18.3当有证据证明</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违反相关部门规定未给普通员工缴纳社险时，也视为</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对本合同的违约，</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可直接在应付给</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的外包服务费里扣除。同时</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按未缴总额的10%作为向</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的违约赔偿。</w:t>
      </w:r>
    </w:p>
    <w:p w14:paraId="3DAFB2CB">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18.4 准时提供服务是合同履行的基本条件，若</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延迟履行本合同项下的义务，则</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应向</w:t>
      </w: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rPr>
        <w:t>支付延迟履行违约金，延迟履行违约金现约定如下：</w:t>
      </w:r>
    </w:p>
    <w:p w14:paraId="18CEABD1">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18.4</w:t>
      </w:r>
      <w:r>
        <w:rPr>
          <w:rFonts w:hint="eastAsia" w:ascii="宋体" w:hAnsi="宋体" w:eastAsia="宋体" w:cs="宋体"/>
          <w:color w:val="000000"/>
          <w:sz w:val="21"/>
          <w:szCs w:val="21"/>
          <w:highlight w:val="none"/>
        </w:rPr>
        <w:t>.1对于第一天到第四天的延迟，每一天或不到一天时间的延迟履行违约金是</w:t>
      </w:r>
      <w:r>
        <w:rPr>
          <w:rFonts w:hint="eastAsia" w:ascii="宋体" w:hAnsi="宋体" w:eastAsia="宋体" w:cs="宋体"/>
          <w:color w:val="000000"/>
          <w:sz w:val="21"/>
          <w:szCs w:val="21"/>
          <w:highlight w:val="none"/>
          <w:lang w:val="en-US" w:eastAsia="zh-CN"/>
        </w:rPr>
        <w:t>合同</w:t>
      </w:r>
      <w:r>
        <w:rPr>
          <w:rFonts w:hint="eastAsia" w:ascii="宋体" w:hAnsi="宋体" w:eastAsia="宋体" w:cs="宋体"/>
          <w:color w:val="000000"/>
          <w:sz w:val="21"/>
          <w:szCs w:val="21"/>
          <w:highlight w:val="none"/>
        </w:rPr>
        <w:t>价的0.5%</w:t>
      </w:r>
      <w:r>
        <w:rPr>
          <w:rFonts w:hint="eastAsia" w:ascii="宋体" w:hAnsi="宋体" w:eastAsia="宋体" w:cs="宋体"/>
          <w:color w:val="000000"/>
          <w:sz w:val="21"/>
          <w:szCs w:val="21"/>
          <w:highlight w:val="none"/>
          <w:lang w:eastAsia="zh-CN"/>
        </w:rPr>
        <w:t>；</w:t>
      </w:r>
    </w:p>
    <w:p w14:paraId="2D0AA84F">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18.4</w:t>
      </w:r>
      <w:r>
        <w:rPr>
          <w:rFonts w:hint="eastAsia" w:ascii="宋体" w:hAnsi="宋体" w:eastAsia="宋体" w:cs="宋体"/>
          <w:color w:val="000000"/>
          <w:sz w:val="21"/>
          <w:szCs w:val="21"/>
          <w:highlight w:val="none"/>
        </w:rPr>
        <w:t>.2对于第五天到第八天的延迟，每一天或不到一天时间的延迟履行违约金是</w:t>
      </w:r>
      <w:r>
        <w:rPr>
          <w:rFonts w:hint="eastAsia" w:ascii="宋体" w:hAnsi="宋体" w:eastAsia="宋体" w:cs="宋体"/>
          <w:color w:val="000000"/>
          <w:sz w:val="21"/>
          <w:szCs w:val="21"/>
          <w:highlight w:val="none"/>
          <w:lang w:val="en-US" w:eastAsia="zh-CN"/>
        </w:rPr>
        <w:t>合同</w:t>
      </w:r>
      <w:r>
        <w:rPr>
          <w:rFonts w:hint="eastAsia" w:ascii="宋体" w:hAnsi="宋体" w:eastAsia="宋体" w:cs="宋体"/>
          <w:color w:val="000000"/>
          <w:sz w:val="21"/>
          <w:szCs w:val="21"/>
          <w:highlight w:val="none"/>
        </w:rPr>
        <w:t>价的1%</w:t>
      </w:r>
      <w:r>
        <w:rPr>
          <w:rFonts w:hint="eastAsia" w:ascii="宋体" w:hAnsi="宋体" w:eastAsia="宋体" w:cs="宋体"/>
          <w:color w:val="000000"/>
          <w:sz w:val="21"/>
          <w:szCs w:val="21"/>
          <w:highlight w:val="none"/>
          <w:lang w:eastAsia="zh-CN"/>
        </w:rPr>
        <w:t>；</w:t>
      </w:r>
    </w:p>
    <w:p w14:paraId="6A7C4EC2">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18.4</w:t>
      </w:r>
      <w:r>
        <w:rPr>
          <w:rFonts w:hint="eastAsia" w:ascii="宋体" w:hAnsi="宋体" w:eastAsia="宋体" w:cs="宋体"/>
          <w:color w:val="000000"/>
          <w:sz w:val="21"/>
          <w:szCs w:val="21"/>
          <w:highlight w:val="none"/>
        </w:rPr>
        <w:t>.3对于第九天以后的延迟，每一天或不到一天时间的延迟履行违约金是</w:t>
      </w:r>
      <w:r>
        <w:rPr>
          <w:rFonts w:hint="eastAsia" w:ascii="宋体" w:hAnsi="宋体" w:eastAsia="宋体" w:cs="宋体"/>
          <w:color w:val="000000"/>
          <w:sz w:val="21"/>
          <w:szCs w:val="21"/>
          <w:highlight w:val="none"/>
          <w:lang w:val="en-US" w:eastAsia="zh-CN"/>
        </w:rPr>
        <w:t>合同</w:t>
      </w:r>
      <w:r>
        <w:rPr>
          <w:rFonts w:hint="eastAsia" w:ascii="宋体" w:hAnsi="宋体" w:eastAsia="宋体" w:cs="宋体"/>
          <w:color w:val="000000"/>
          <w:sz w:val="21"/>
          <w:szCs w:val="21"/>
          <w:highlight w:val="none"/>
        </w:rPr>
        <w:t>价的1.5%</w:t>
      </w:r>
      <w:r>
        <w:rPr>
          <w:rFonts w:hint="eastAsia" w:ascii="宋体" w:hAnsi="宋体" w:eastAsia="宋体" w:cs="宋体"/>
          <w:color w:val="000000"/>
          <w:sz w:val="21"/>
          <w:szCs w:val="21"/>
          <w:highlight w:val="none"/>
          <w:lang w:eastAsia="zh-CN"/>
        </w:rPr>
        <w:t>；</w:t>
      </w:r>
    </w:p>
    <w:p w14:paraId="17C2E878">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18.4</w:t>
      </w:r>
      <w:r>
        <w:rPr>
          <w:rFonts w:hint="eastAsia" w:ascii="宋体" w:hAnsi="宋体" w:eastAsia="宋体" w:cs="宋体"/>
          <w:color w:val="000000"/>
          <w:sz w:val="21"/>
          <w:szCs w:val="21"/>
          <w:highlight w:val="none"/>
        </w:rPr>
        <w:t>.4对于以上赔偿时限不到一天时，按一天计算。延迟履行违约金的最高金额不超过</w:t>
      </w:r>
      <w:r>
        <w:rPr>
          <w:rFonts w:hint="eastAsia" w:ascii="宋体" w:hAnsi="宋体" w:eastAsia="宋体" w:cs="宋体"/>
          <w:color w:val="000000"/>
          <w:sz w:val="21"/>
          <w:szCs w:val="21"/>
          <w:highlight w:val="none"/>
          <w:lang w:val="en-US" w:eastAsia="zh-CN"/>
        </w:rPr>
        <w:t>合同</w:t>
      </w:r>
      <w:r>
        <w:rPr>
          <w:rFonts w:hint="eastAsia" w:ascii="宋体" w:hAnsi="宋体" w:eastAsia="宋体" w:cs="宋体"/>
          <w:color w:val="000000"/>
          <w:sz w:val="21"/>
          <w:szCs w:val="21"/>
          <w:highlight w:val="none"/>
        </w:rPr>
        <w:t>价的100%</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w:t>
      </w:r>
    </w:p>
    <w:p w14:paraId="71029663">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18.5乙方</w:t>
      </w:r>
      <w:r>
        <w:rPr>
          <w:rFonts w:hint="eastAsia" w:ascii="宋体" w:hAnsi="宋体" w:eastAsia="宋体" w:cs="宋体"/>
          <w:color w:val="000000"/>
          <w:sz w:val="21"/>
          <w:szCs w:val="21"/>
          <w:highlight w:val="none"/>
        </w:rPr>
        <w:t>违反本合同义务除支付上述延迟履行违约金外，如对本公司造成其他损失的，还应当赔偿损失。</w:t>
      </w:r>
    </w:p>
    <w:p w14:paraId="637F4AED">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18.6乙方</w:t>
      </w:r>
      <w:r>
        <w:rPr>
          <w:rFonts w:hint="eastAsia" w:ascii="宋体" w:hAnsi="宋体" w:eastAsia="宋体" w:cs="宋体"/>
          <w:color w:val="000000"/>
          <w:sz w:val="21"/>
          <w:szCs w:val="21"/>
          <w:highlight w:val="none"/>
        </w:rPr>
        <w:t>违约时，</w:t>
      </w: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rPr>
        <w:t>将扣除履约保证金。</w:t>
      </w:r>
    </w:p>
    <w:p w14:paraId="658B03BE">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63" w:name="_Toc317255483"/>
      <w:r>
        <w:rPr>
          <w:rFonts w:hint="eastAsia" w:ascii="宋体" w:hAnsi="宋体" w:eastAsia="宋体" w:cs="宋体"/>
          <w:b/>
          <w:color w:val="000000"/>
          <w:sz w:val="21"/>
          <w:szCs w:val="21"/>
          <w:highlight w:val="none"/>
        </w:rPr>
        <w:t>19.争议与仲裁</w:t>
      </w:r>
      <w:bookmarkEnd w:id="263"/>
      <w:bookmarkStart w:id="264" w:name="_Toc69720616"/>
      <w:bookmarkStart w:id="265" w:name="_Toc68679257"/>
      <w:bookmarkStart w:id="266" w:name="_Toc68663186"/>
      <w:bookmarkStart w:id="267" w:name="_Toc68659882"/>
      <w:bookmarkStart w:id="268" w:name="_Toc68687169"/>
    </w:p>
    <w:p w14:paraId="46493BC3">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19.1协议实施或与协议有关的一切争议应通过双方协商解决。如果协商不能解决，争端应提交</w:t>
      </w:r>
      <w:r>
        <w:rPr>
          <w:rFonts w:hint="eastAsia" w:ascii="宋体" w:hAnsi="宋体" w:eastAsia="宋体" w:cs="宋体"/>
          <w:color w:val="000000"/>
          <w:sz w:val="21"/>
          <w:szCs w:val="21"/>
          <w:highlight w:val="none"/>
          <w:lang w:val="en-US" w:eastAsia="zh-CN"/>
        </w:rPr>
        <w:t>南通</w:t>
      </w:r>
      <w:r>
        <w:rPr>
          <w:rFonts w:hint="eastAsia" w:ascii="宋体" w:hAnsi="宋体" w:eastAsia="宋体" w:cs="宋体"/>
          <w:color w:val="000000"/>
          <w:sz w:val="21"/>
          <w:szCs w:val="21"/>
          <w:highlight w:val="none"/>
        </w:rPr>
        <w:t>仲裁委员会仲裁。</w:t>
      </w:r>
      <w:bookmarkEnd w:id="264"/>
      <w:bookmarkEnd w:id="265"/>
      <w:bookmarkEnd w:id="266"/>
      <w:bookmarkEnd w:id="267"/>
      <w:bookmarkEnd w:id="268"/>
    </w:p>
    <w:p w14:paraId="329013D4">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bookmarkStart w:id="269" w:name="_Toc68687170"/>
      <w:bookmarkStart w:id="270" w:name="_Toc68663187"/>
      <w:bookmarkStart w:id="271" w:name="_Toc68679258"/>
      <w:bookmarkStart w:id="272" w:name="_Toc68659883"/>
      <w:bookmarkStart w:id="273" w:name="_Toc69720617"/>
      <w:r>
        <w:rPr>
          <w:rFonts w:hint="eastAsia" w:ascii="宋体" w:hAnsi="宋体" w:eastAsia="宋体" w:cs="宋体"/>
          <w:color w:val="000000"/>
          <w:sz w:val="21"/>
          <w:szCs w:val="21"/>
          <w:highlight w:val="none"/>
        </w:rPr>
        <w:t>19.2仲裁应由</w:t>
      </w:r>
      <w:r>
        <w:rPr>
          <w:rFonts w:hint="eastAsia" w:ascii="宋体" w:hAnsi="宋体" w:eastAsia="宋体" w:cs="宋体"/>
          <w:color w:val="000000"/>
          <w:sz w:val="21"/>
          <w:szCs w:val="21"/>
          <w:highlight w:val="none"/>
          <w:lang w:val="en-US" w:eastAsia="zh-CN"/>
        </w:rPr>
        <w:t>南通</w:t>
      </w:r>
      <w:r>
        <w:rPr>
          <w:rFonts w:hint="eastAsia" w:ascii="宋体" w:hAnsi="宋体" w:eastAsia="宋体" w:cs="宋体"/>
          <w:color w:val="000000"/>
          <w:sz w:val="21"/>
          <w:szCs w:val="21"/>
          <w:highlight w:val="none"/>
        </w:rPr>
        <w:t>仲裁委员会按其仲裁规则和程序在</w:t>
      </w:r>
      <w:r>
        <w:rPr>
          <w:rFonts w:hint="eastAsia" w:ascii="宋体" w:hAnsi="宋体" w:eastAsia="宋体" w:cs="宋体"/>
          <w:color w:val="000000"/>
          <w:sz w:val="21"/>
          <w:szCs w:val="21"/>
          <w:highlight w:val="none"/>
          <w:lang w:val="en-US" w:eastAsia="zh-CN"/>
        </w:rPr>
        <w:t>南通</w:t>
      </w:r>
      <w:r>
        <w:rPr>
          <w:rFonts w:hint="eastAsia" w:ascii="宋体" w:hAnsi="宋体" w:eastAsia="宋体" w:cs="宋体"/>
          <w:color w:val="000000"/>
          <w:sz w:val="21"/>
          <w:szCs w:val="21"/>
          <w:highlight w:val="none"/>
        </w:rPr>
        <w:t>进行。除非双方另有约定，仲裁的官方语言为中文。</w:t>
      </w:r>
      <w:bookmarkEnd w:id="269"/>
      <w:bookmarkEnd w:id="270"/>
      <w:bookmarkEnd w:id="271"/>
      <w:bookmarkEnd w:id="272"/>
      <w:bookmarkEnd w:id="273"/>
    </w:p>
    <w:p w14:paraId="04B848DC">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bookmarkStart w:id="274" w:name="_Toc68679259"/>
      <w:bookmarkStart w:id="275" w:name="_Toc68663188"/>
      <w:bookmarkStart w:id="276" w:name="_Toc68659884"/>
      <w:bookmarkStart w:id="277" w:name="_Toc68687171"/>
      <w:bookmarkStart w:id="278" w:name="_Toc69720618"/>
      <w:r>
        <w:rPr>
          <w:rFonts w:hint="eastAsia" w:ascii="宋体" w:hAnsi="宋体" w:eastAsia="宋体" w:cs="宋体"/>
          <w:color w:val="000000"/>
          <w:sz w:val="21"/>
          <w:szCs w:val="21"/>
          <w:highlight w:val="none"/>
        </w:rPr>
        <w:t>19.3仲裁裁决应为最终裁决，对双方均具有约束力。</w:t>
      </w:r>
      <w:bookmarkEnd w:id="274"/>
      <w:bookmarkEnd w:id="275"/>
      <w:bookmarkEnd w:id="276"/>
      <w:bookmarkEnd w:id="277"/>
      <w:bookmarkEnd w:id="278"/>
    </w:p>
    <w:p w14:paraId="4A0D9D0E">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bookmarkStart w:id="279" w:name="_Toc68663189"/>
      <w:bookmarkStart w:id="280" w:name="_Toc69720619"/>
      <w:bookmarkStart w:id="281" w:name="_Toc68687172"/>
      <w:bookmarkStart w:id="282" w:name="_Toc68659885"/>
      <w:bookmarkStart w:id="283" w:name="_Toc68679260"/>
      <w:r>
        <w:rPr>
          <w:rFonts w:hint="eastAsia" w:ascii="宋体" w:hAnsi="宋体" w:eastAsia="宋体" w:cs="宋体"/>
          <w:color w:val="000000"/>
          <w:sz w:val="21"/>
          <w:szCs w:val="21"/>
          <w:highlight w:val="none"/>
        </w:rPr>
        <w:t>19.4仲裁费除仲裁机关另有裁决外均应由败诉方负担。</w:t>
      </w:r>
      <w:bookmarkEnd w:id="279"/>
      <w:bookmarkEnd w:id="280"/>
      <w:bookmarkEnd w:id="281"/>
      <w:bookmarkEnd w:id="282"/>
      <w:bookmarkEnd w:id="283"/>
    </w:p>
    <w:p w14:paraId="6BED7606">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bookmarkStart w:id="284" w:name="_Toc68663190"/>
      <w:bookmarkStart w:id="285" w:name="_Toc68679261"/>
      <w:bookmarkStart w:id="286" w:name="_Toc68659886"/>
      <w:bookmarkStart w:id="287" w:name="_Toc68687173"/>
      <w:bookmarkStart w:id="288" w:name="_Toc69720620"/>
      <w:r>
        <w:rPr>
          <w:rFonts w:hint="eastAsia" w:ascii="宋体" w:hAnsi="宋体" w:eastAsia="宋体" w:cs="宋体"/>
          <w:color w:val="000000"/>
          <w:sz w:val="21"/>
          <w:szCs w:val="21"/>
          <w:highlight w:val="none"/>
        </w:rPr>
        <w:t>19.5在仲裁期间，除正在进行仲裁的部分外，本协议其他部分应继续执行。</w:t>
      </w:r>
      <w:bookmarkEnd w:id="284"/>
      <w:bookmarkEnd w:id="285"/>
      <w:bookmarkEnd w:id="286"/>
      <w:bookmarkEnd w:id="287"/>
      <w:bookmarkEnd w:id="288"/>
    </w:p>
    <w:bookmarkEnd w:id="261"/>
    <w:p w14:paraId="4246D6D7">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89" w:name="_Toc225758070"/>
      <w:bookmarkStart w:id="290" w:name="_Toc197101541"/>
      <w:bookmarkStart w:id="291" w:name="_Toc253387917"/>
      <w:bookmarkStart w:id="292" w:name="_Toc317255484"/>
      <w:bookmarkStart w:id="293" w:name="_Toc261442526"/>
      <w:bookmarkStart w:id="294" w:name="_Toc197101532"/>
      <w:r>
        <w:rPr>
          <w:rFonts w:hint="eastAsia" w:ascii="宋体" w:hAnsi="宋体" w:eastAsia="宋体" w:cs="宋体"/>
          <w:b/>
          <w:color w:val="000000"/>
          <w:sz w:val="21"/>
          <w:szCs w:val="21"/>
          <w:highlight w:val="none"/>
        </w:rPr>
        <w:t>20.税费</w:t>
      </w:r>
      <w:bookmarkEnd w:id="289"/>
      <w:bookmarkEnd w:id="290"/>
      <w:bookmarkEnd w:id="291"/>
      <w:bookmarkEnd w:id="292"/>
      <w:bookmarkEnd w:id="293"/>
    </w:p>
    <w:p w14:paraId="0942D6CC">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20.1中国政府根据现行税法对</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征收的与本合同有关的一切税费均应由</w:t>
      </w:r>
      <w:r>
        <w:rPr>
          <w:rFonts w:hint="eastAsia" w:ascii="宋体" w:hAnsi="宋体" w:eastAsia="宋体" w:cs="宋体"/>
          <w:color w:val="000000"/>
          <w:sz w:val="21"/>
          <w:szCs w:val="21"/>
          <w:highlight w:val="none"/>
          <w:lang w:eastAsia="zh-CN"/>
        </w:rPr>
        <w:t>甲方</w:t>
      </w:r>
      <w:r>
        <w:rPr>
          <w:rFonts w:hint="eastAsia" w:ascii="宋体" w:hAnsi="宋体" w:eastAsia="宋体" w:cs="宋体"/>
          <w:color w:val="000000"/>
          <w:sz w:val="21"/>
          <w:szCs w:val="21"/>
          <w:highlight w:val="none"/>
        </w:rPr>
        <w:t>负担。</w:t>
      </w:r>
    </w:p>
    <w:p w14:paraId="3749CC4B">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20.2中国政府根据现行的税法规定对</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或其雇员征收的与本合同有关的一切税费均由</w:t>
      </w:r>
      <w:r>
        <w:rPr>
          <w:rFonts w:hint="eastAsia" w:ascii="宋体" w:hAnsi="宋体" w:eastAsia="宋体" w:cs="宋体"/>
          <w:color w:val="000000"/>
          <w:sz w:val="21"/>
          <w:szCs w:val="21"/>
          <w:highlight w:val="none"/>
          <w:lang w:eastAsia="zh-CN"/>
        </w:rPr>
        <w:t>乙方</w:t>
      </w:r>
      <w:r>
        <w:rPr>
          <w:rFonts w:hint="eastAsia" w:ascii="宋体" w:hAnsi="宋体" w:eastAsia="宋体" w:cs="宋体"/>
          <w:color w:val="000000"/>
          <w:sz w:val="21"/>
          <w:szCs w:val="21"/>
          <w:highlight w:val="none"/>
        </w:rPr>
        <w:t>负担，并已包含在合同报价中。</w:t>
      </w:r>
    </w:p>
    <w:bookmarkEnd w:id="294"/>
    <w:p w14:paraId="4C174188">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bookmarkStart w:id="295" w:name="_Toc195339638"/>
      <w:bookmarkEnd w:id="295"/>
      <w:bookmarkStart w:id="296" w:name="_Toc195339637"/>
      <w:bookmarkEnd w:id="296"/>
      <w:bookmarkStart w:id="297" w:name="_Toc195339633"/>
      <w:bookmarkEnd w:id="297"/>
      <w:bookmarkStart w:id="298" w:name="_Toc195339635"/>
      <w:bookmarkEnd w:id="298"/>
      <w:bookmarkStart w:id="299" w:name="_Toc195339636"/>
      <w:bookmarkEnd w:id="299"/>
      <w:bookmarkStart w:id="300" w:name="_Toc197101549"/>
      <w:bookmarkEnd w:id="300"/>
      <w:bookmarkStart w:id="301" w:name="_Toc197101548"/>
      <w:bookmarkEnd w:id="301"/>
      <w:bookmarkStart w:id="302" w:name="_Toc197101545"/>
      <w:bookmarkEnd w:id="302"/>
      <w:bookmarkStart w:id="303" w:name="_Toc197101547"/>
      <w:bookmarkEnd w:id="303"/>
      <w:bookmarkStart w:id="304" w:name="_Toc197101544"/>
      <w:bookmarkEnd w:id="304"/>
      <w:bookmarkStart w:id="305" w:name="_Toc197101546"/>
      <w:bookmarkEnd w:id="305"/>
      <w:bookmarkStart w:id="306" w:name="_Toc195339634"/>
      <w:bookmarkEnd w:id="306"/>
      <w:bookmarkStart w:id="307" w:name="_Toc317255485"/>
      <w:r>
        <w:rPr>
          <w:rFonts w:hint="eastAsia" w:ascii="宋体" w:hAnsi="宋体" w:eastAsia="宋体" w:cs="宋体"/>
          <w:b/>
          <w:color w:val="000000"/>
          <w:sz w:val="21"/>
          <w:szCs w:val="21"/>
          <w:highlight w:val="none"/>
        </w:rPr>
        <w:t>21.其他</w:t>
      </w:r>
      <w:bookmarkEnd w:id="307"/>
    </w:p>
    <w:p w14:paraId="7E4F5F15">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21.1未尽事宜，由双方协商解决。</w:t>
      </w:r>
    </w:p>
    <w:p w14:paraId="4BE52CF6">
      <w:pPr>
        <w:keepNext w:val="0"/>
        <w:keepLines w:val="0"/>
        <w:pageBreakBefore w:val="0"/>
        <w:kinsoku/>
        <w:wordWrap/>
        <w:overflowPunct/>
        <w:topLinePunct w:val="0"/>
        <w:autoSpaceDE/>
        <w:autoSpaceDN/>
        <w:bidi w:val="0"/>
        <w:adjustRightInd/>
        <w:snapToGrid/>
        <w:spacing w:line="440" w:lineRule="exact"/>
        <w:ind w:left="0" w:right="-260" w:rightChars="-124"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本协议的规定如与国家颁布新的法律或规定相矛盾，以国家法律规定为准，双方由此所受到的损失由双方各自承担。</w:t>
      </w:r>
    </w:p>
    <w:p w14:paraId="193F6CA0">
      <w:pPr>
        <w:keepNext w:val="0"/>
        <w:keepLines w:val="0"/>
        <w:pageBreakBefore w:val="0"/>
        <w:kinsoku/>
        <w:wordWrap/>
        <w:overflowPunct/>
        <w:topLinePunct w:val="0"/>
        <w:autoSpaceDE/>
        <w:autoSpaceDN/>
        <w:bidi w:val="0"/>
        <w:adjustRightInd/>
        <w:snapToGrid/>
        <w:spacing w:line="440" w:lineRule="exact"/>
        <w:ind w:left="0" w:right="-260" w:rightChars="-124"/>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22.履约保证金</w:t>
      </w:r>
    </w:p>
    <w:p w14:paraId="639302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260" w:rightChars="-124"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须在接到成交通知后10个工作日内缴纳银行开具的无条件不可撤销履约保函</w:t>
      </w:r>
      <w:r>
        <w:rPr>
          <w:rFonts w:hint="eastAsia" w:ascii="宋体" w:hAnsi="宋体" w:eastAsia="宋体" w:cs="宋体"/>
          <w:b w:val="0"/>
          <w:bCs w:val="0"/>
          <w:color w:val="auto"/>
          <w:sz w:val="21"/>
          <w:szCs w:val="21"/>
          <w:highlight w:val="none"/>
          <w:u w:val="none"/>
          <w:lang w:val="en-US" w:eastAsia="zh-CN"/>
        </w:rPr>
        <w:t>或</w:t>
      </w:r>
      <w:r>
        <w:rPr>
          <w:rFonts w:hint="eastAsia" w:ascii="宋体" w:hAnsi="宋体" w:eastAsia="宋体" w:cs="宋体"/>
          <w:color w:val="auto"/>
          <w:sz w:val="21"/>
          <w:szCs w:val="21"/>
          <w:highlight w:val="none"/>
          <w:lang w:val="en-US" w:eastAsia="zh-CN"/>
        </w:rPr>
        <w:t>银行转账</w:t>
      </w:r>
      <w:r>
        <w:rPr>
          <w:rFonts w:hint="eastAsia" w:ascii="宋体" w:hAnsi="宋体" w:eastAsia="宋体" w:cs="宋体"/>
          <w:color w:val="auto"/>
          <w:kern w:val="2"/>
          <w:sz w:val="21"/>
          <w:szCs w:val="21"/>
          <w:highlight w:val="none"/>
        </w:rPr>
        <w:t>（合同价的</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签订合同，签订合同后不能按要求服务的，其履约保证金不予退还，并列为不诚信单位。履约保证金在合同期结束后，30日内无息退还。</w:t>
      </w:r>
    </w:p>
    <w:p w14:paraId="114AE9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60" w:rightChars="-124"/>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23.</w:t>
      </w:r>
      <w:r>
        <w:rPr>
          <w:rFonts w:hint="eastAsia" w:ascii="宋体" w:hAnsi="宋体" w:eastAsia="宋体" w:cs="宋体"/>
          <w:b/>
          <w:bCs/>
          <w:color w:val="auto"/>
          <w:kern w:val="2"/>
          <w:sz w:val="21"/>
          <w:szCs w:val="21"/>
          <w:highlight w:val="none"/>
        </w:rPr>
        <w:t>合同其他约定</w:t>
      </w:r>
    </w:p>
    <w:p w14:paraId="3F784A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260" w:rightChars="-124"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3.1合同正式执行之日前，</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人员应具备上岗条件（人员数量、上岗证等），将工器具配发到位，具备维修作业的技术能力及条件，并完成</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组织的培训。</w:t>
      </w:r>
    </w:p>
    <w:p w14:paraId="6FB399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260" w:rightChars="-124"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合同执行期间，就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合同履行情况，由</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进行考核，按合同年度进行综合评价，综合评价不合格的不再续签合同。</w:t>
      </w:r>
    </w:p>
    <w:p w14:paraId="124798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260" w:rightChars="-124"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人员出现伤亡情况及因此导致的所有损失均由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自行负责。由于事故造成</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或第三方人身伤亡或财产损失的，由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承担责任。可能引发争议，产生诉讼的，</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应独立应诉，承担一切诉讼后果，且</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仍对其进行考核。</w:t>
      </w:r>
    </w:p>
    <w:p w14:paraId="1940AB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260" w:rightChars="-124"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对合同范围内所有因工作失误或渎职而引发的事故负全部责任，承担因此给</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造成的直接和间接损失，且</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仍对其进行考核。</w:t>
      </w:r>
    </w:p>
    <w:p w14:paraId="70AFDD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260" w:rightChars="-124"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须做好</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技术文本、设备资料、合同文件等文件资料的保密工作，防止信息外泄；如出现泄密情况，</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须承担因此给</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造成的直接和间接损失，且</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仍对其进行考核；情节严重的，</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有权通过法律途径追究</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责任。</w:t>
      </w:r>
    </w:p>
    <w:p w14:paraId="054096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260" w:rightChars="-124"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64721966">
      <w:pPr>
        <w:keepNext w:val="0"/>
        <w:keepLines w:val="0"/>
        <w:pageBreakBefore w:val="0"/>
        <w:tabs>
          <w:tab w:val="left" w:pos="360"/>
          <w:tab w:val="left" w:pos="420"/>
          <w:tab w:val="left" w:pos="567"/>
        </w:tabs>
        <w:kinsoku/>
        <w:wordWrap/>
        <w:overflowPunct/>
        <w:topLinePunct w:val="0"/>
        <w:bidi w:val="0"/>
        <w:adjustRightInd/>
        <w:snapToGrid/>
        <w:spacing w:line="440" w:lineRule="exact"/>
        <w:ind w:left="0" w:leftChars="0" w:right="-260" w:rightChars="-124" w:firstLine="480" w:firstLineChars="200"/>
        <w:textAlignment w:val="auto"/>
        <w:rPr>
          <w:rFonts w:hint="eastAsia" w:ascii="宋体" w:hAnsi="宋体" w:eastAsia="宋体" w:cs="宋体"/>
          <w:color w:val="auto"/>
          <w:sz w:val="24"/>
          <w:szCs w:val="24"/>
          <w:highlight w:val="none"/>
        </w:rPr>
      </w:pPr>
    </w:p>
    <w:p w14:paraId="7B95597B">
      <w:pPr>
        <w:ind w:right="-260" w:rightChars="-124"/>
        <w:rPr>
          <w:rFonts w:hint="eastAsia" w:ascii="宋体" w:hAnsi="宋体" w:eastAsia="宋体" w:cs="宋体"/>
          <w:color w:val="auto"/>
          <w:sz w:val="21"/>
          <w:szCs w:val="21"/>
          <w:highlight w:val="none"/>
        </w:rPr>
      </w:pPr>
      <w:bookmarkStart w:id="308" w:name="_Toc24498"/>
      <w:bookmarkStart w:id="309" w:name="_Toc6665"/>
      <w:bookmarkStart w:id="310" w:name="_Toc13175"/>
      <w:r>
        <w:rPr>
          <w:rFonts w:hint="eastAsia" w:ascii="宋体" w:hAnsi="宋体" w:eastAsia="宋体" w:cs="宋体"/>
          <w:color w:val="auto"/>
          <w:sz w:val="21"/>
          <w:szCs w:val="21"/>
          <w:highlight w:val="none"/>
        </w:rPr>
        <w:br w:type="page"/>
      </w:r>
    </w:p>
    <w:p w14:paraId="63FBF5DB">
      <w:pPr>
        <w:pStyle w:val="31"/>
        <w:spacing w:line="440" w:lineRule="exact"/>
        <w:ind w:right="-260" w:rightChars="-124"/>
        <w:outlineLvl w:val="1"/>
        <w:rPr>
          <w:rFonts w:hint="eastAsia" w:ascii="宋体" w:hAnsi="宋体" w:eastAsia="宋体" w:cs="宋体"/>
          <w:color w:val="auto"/>
          <w:sz w:val="21"/>
          <w:szCs w:val="21"/>
          <w:highlight w:val="none"/>
        </w:rPr>
      </w:pPr>
      <w:bookmarkStart w:id="311" w:name="_Toc15648"/>
      <w:r>
        <w:rPr>
          <w:rFonts w:hint="eastAsia" w:ascii="宋体" w:hAnsi="宋体" w:eastAsia="宋体" w:cs="宋体"/>
          <w:color w:val="auto"/>
          <w:sz w:val="21"/>
          <w:szCs w:val="21"/>
          <w:highlight w:val="none"/>
        </w:rPr>
        <w:t>合同附件</w:t>
      </w:r>
      <w:bookmarkEnd w:id="308"/>
      <w:bookmarkEnd w:id="309"/>
      <w:bookmarkEnd w:id="310"/>
      <w:bookmarkEnd w:id="311"/>
    </w:p>
    <w:p w14:paraId="2C46D3CD">
      <w:pPr>
        <w:keepNext w:val="0"/>
        <w:keepLines w:val="0"/>
        <w:pageBreakBefore w:val="0"/>
        <w:widowControl w:val="0"/>
        <w:kinsoku/>
        <w:wordWrap/>
        <w:overflowPunct/>
        <w:topLinePunct w:val="0"/>
        <w:autoSpaceDE/>
        <w:autoSpaceDN/>
        <w:bidi w:val="0"/>
        <w:adjustRightInd/>
        <w:snapToGrid/>
        <w:spacing w:line="440" w:lineRule="exact"/>
        <w:ind w:right="-260" w:rightChars="-124"/>
        <w:textAlignment w:val="auto"/>
        <w:outlineLvl w:val="2"/>
        <w:rPr>
          <w:rFonts w:hint="eastAsia" w:ascii="宋体" w:hAnsi="宋体" w:eastAsia="宋体" w:cs="宋体"/>
          <w:bCs/>
          <w:color w:val="auto"/>
          <w:sz w:val="21"/>
          <w:szCs w:val="21"/>
          <w:highlight w:val="none"/>
        </w:rPr>
      </w:pPr>
      <w:bookmarkStart w:id="312" w:name="_Toc30747"/>
      <w:bookmarkStart w:id="313" w:name="_Toc26623"/>
      <w:bookmarkStart w:id="314" w:name="_Toc21922"/>
      <w:bookmarkStart w:id="315" w:name="_Toc22984"/>
      <w:r>
        <w:rPr>
          <w:rFonts w:hint="eastAsia" w:ascii="宋体" w:hAnsi="宋体" w:eastAsia="宋体" w:cs="宋体"/>
          <w:bCs/>
          <w:color w:val="auto"/>
          <w:sz w:val="21"/>
          <w:szCs w:val="21"/>
          <w:highlight w:val="none"/>
        </w:rPr>
        <w:t>附件1：履约担保</w:t>
      </w:r>
      <w:bookmarkEnd w:id="312"/>
      <w:bookmarkEnd w:id="313"/>
      <w:bookmarkEnd w:id="314"/>
      <w:bookmarkEnd w:id="315"/>
    </w:p>
    <w:p w14:paraId="17DA3D27">
      <w:pPr>
        <w:spacing w:line="440" w:lineRule="exact"/>
        <w:ind w:right="-260" w:rightChars="-124"/>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履约保函</w:t>
      </w:r>
    </w:p>
    <w:p w14:paraId="0590621E">
      <w:pPr>
        <w:spacing w:line="440" w:lineRule="exact"/>
        <w:ind w:right="-260" w:rightChars="-124"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保函编号：</w:t>
      </w:r>
      <w:r>
        <w:rPr>
          <w:rFonts w:hint="eastAsia" w:ascii="宋体" w:hAnsi="宋体" w:eastAsia="宋体" w:cs="宋体"/>
          <w:color w:val="auto"/>
          <w:sz w:val="21"/>
          <w:szCs w:val="21"/>
          <w:highlight w:val="none"/>
          <w:u w:val="single"/>
        </w:rPr>
        <w:t xml:space="preserve">       </w:t>
      </w:r>
    </w:p>
    <w:p w14:paraId="5921142E">
      <w:pPr>
        <w:spacing w:line="440" w:lineRule="exact"/>
        <w:ind w:right="-260" w:rightChars="-124"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致：</w:t>
      </w:r>
      <w:r>
        <w:rPr>
          <w:rFonts w:hint="eastAsia" w:ascii="宋体" w:hAnsi="宋体" w:eastAsia="宋体" w:cs="宋体"/>
          <w:color w:val="auto"/>
          <w:sz w:val="21"/>
          <w:szCs w:val="21"/>
          <w:highlight w:val="none"/>
          <w:u w:val="single"/>
          <w:lang w:eastAsia="zh-CN"/>
        </w:rPr>
        <w:t>南通轨道建设发展有限公司</w:t>
      </w:r>
      <w:r>
        <w:rPr>
          <w:rFonts w:hint="eastAsia" w:ascii="宋体" w:hAnsi="宋体" w:eastAsia="宋体" w:cs="宋体"/>
          <w:color w:val="auto"/>
          <w:sz w:val="21"/>
          <w:szCs w:val="21"/>
          <w:highlight w:val="none"/>
        </w:rPr>
        <w:t xml:space="preserve">          </w:t>
      </w:r>
    </w:p>
    <w:p w14:paraId="68EB5AD6">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u w:val="single"/>
          <w:lang w:eastAsia="zh-CN"/>
        </w:rPr>
        <w:t>南通轨道建设发展有限公司</w:t>
      </w:r>
      <w:r>
        <w:rPr>
          <w:rFonts w:hint="eastAsia" w:ascii="宋体" w:hAnsi="宋体" w:eastAsia="宋体" w:cs="宋体"/>
          <w:color w:val="auto"/>
          <w:sz w:val="21"/>
          <w:szCs w:val="21"/>
          <w:highlight w:val="none"/>
        </w:rPr>
        <w:t>（下称“甲方”）</w:t>
      </w:r>
      <w:r>
        <w:rPr>
          <w:rFonts w:hint="eastAsia" w:ascii="宋体" w:hAnsi="宋体" w:eastAsia="宋体" w:cs="宋体"/>
          <w:color w:val="auto"/>
          <w:sz w:val="21"/>
          <w:szCs w:val="21"/>
          <w:highlight w:val="none"/>
          <w:lang w:val="en-US" w:eastAsia="zh-CN"/>
        </w:rPr>
        <w:t>拟</w:t>
      </w:r>
      <w:r>
        <w:rPr>
          <w:rFonts w:hint="eastAsia" w:ascii="宋体" w:hAnsi="宋体" w:eastAsia="宋体" w:cs="宋体"/>
          <w:color w:val="auto"/>
          <w:sz w:val="21"/>
          <w:szCs w:val="21"/>
          <w:highlight w:val="none"/>
        </w:rPr>
        <w:t>签订</w:t>
      </w:r>
      <w:r>
        <w:rPr>
          <w:rFonts w:hint="eastAsia" w:ascii="宋体" w:hAnsi="宋体" w:eastAsia="宋体" w:cs="宋体"/>
          <w:color w:val="auto"/>
          <w:sz w:val="21"/>
          <w:szCs w:val="21"/>
          <w:highlight w:val="none"/>
          <w:u w:val="single"/>
          <w:lang w:eastAsia="zh-CN"/>
        </w:rPr>
        <w:t>南通轨道1号线公安通信系统维保项目</w:t>
      </w:r>
      <w:r>
        <w:rPr>
          <w:rFonts w:hint="eastAsia" w:ascii="宋体" w:hAnsi="宋体" w:eastAsia="宋体" w:cs="宋体"/>
          <w:color w:val="auto"/>
          <w:sz w:val="21"/>
          <w:szCs w:val="21"/>
          <w:highlight w:val="none"/>
        </w:rPr>
        <w:t>合同书，并保证按合同规定承担该合同的工作任务，我行愿意出具保函为乙方担保，担保金额为人民币（大写）</w:t>
      </w:r>
      <w:r>
        <w:rPr>
          <w:rFonts w:hint="eastAsia" w:ascii="宋体" w:hAnsi="宋体" w:eastAsia="宋体" w:cs="宋体"/>
          <w:color w:val="auto"/>
          <w:sz w:val="21"/>
          <w:szCs w:val="21"/>
          <w:highlight w:val="none"/>
          <w:u w:val="single"/>
        </w:rPr>
        <w:t xml:space="preserve">     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000000"/>
        </w:rPr>
        <w:t xml:space="preserve">     </w:t>
      </w:r>
      <w:r>
        <w:rPr>
          <w:rFonts w:hint="eastAsia" w:ascii="宋体" w:hAnsi="宋体" w:eastAsia="宋体" w:cs="宋体"/>
          <w:color w:val="auto"/>
          <w:sz w:val="21"/>
          <w:szCs w:val="21"/>
          <w:highlight w:val="none"/>
        </w:rPr>
        <w:t>元）。</w:t>
      </w:r>
    </w:p>
    <w:p w14:paraId="3DE50248">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本保函的义务是：我行在接到甲方提出的因乙方在履行合同过程中未能履约或违背合同规定的责任和义务而要求索赔的书面通知的 15 天内,在上述担保金额的限额内向甲方支付任何数额的款项，无须甲方出具证明或陈述理由。</w:t>
      </w:r>
    </w:p>
    <w:p w14:paraId="0277BCFC">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在向我行提出要求前，我行将不坚持要求甲方应首先向乙方索要上述款项。我们还同意，任何对合同条款所作的修改或补充都不能免除或减轻我行按本保函所应承担的义务，但法律法规另有规定的除外。</w:t>
      </w:r>
    </w:p>
    <w:p w14:paraId="4C12732A">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本保函保证方式为见索即付的连带责任保证，自我行签发之日即有效且不可撤销，直到本项目完工后失效;但无论如何,本保函有效期最晚应不迟于合同约定的服务期结束日后60 日失效。</w:t>
      </w:r>
    </w:p>
    <w:p w14:paraId="0C23D1C9">
      <w:pPr>
        <w:spacing w:line="440" w:lineRule="exact"/>
        <w:ind w:right="-260" w:rightChars="-124" w:firstLine="420" w:firstLineChars="200"/>
        <w:rPr>
          <w:rFonts w:hint="eastAsia" w:ascii="宋体" w:hAnsi="宋体" w:eastAsia="宋体" w:cs="宋体"/>
          <w:color w:val="auto"/>
          <w:sz w:val="21"/>
          <w:szCs w:val="21"/>
          <w:highlight w:val="none"/>
        </w:rPr>
      </w:pPr>
    </w:p>
    <w:p w14:paraId="6EBBDE49">
      <w:pPr>
        <w:spacing w:line="440" w:lineRule="exact"/>
        <w:ind w:right="-260" w:rightChars="-124"/>
        <w:rPr>
          <w:rFonts w:hint="eastAsia" w:ascii="宋体" w:hAnsi="宋体" w:eastAsia="宋体" w:cs="宋体"/>
          <w:color w:val="auto"/>
          <w:sz w:val="21"/>
          <w:szCs w:val="21"/>
          <w:highlight w:val="none"/>
        </w:rPr>
      </w:pPr>
    </w:p>
    <w:p w14:paraId="59D68062">
      <w:pPr>
        <w:spacing w:line="440" w:lineRule="exact"/>
        <w:ind w:right="-260" w:rightChars="-124"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担保银行：</w:t>
      </w:r>
      <w:r>
        <w:rPr>
          <w:rFonts w:hint="eastAsia" w:ascii="宋体" w:hAnsi="宋体" w:eastAsia="宋体" w:cs="宋体"/>
          <w:color w:val="auto"/>
          <w:sz w:val="21"/>
          <w:szCs w:val="21"/>
          <w:highlight w:val="none"/>
          <w:u w:val="single"/>
        </w:rPr>
        <w:t>（全称）         （盖章）</w:t>
      </w:r>
    </w:p>
    <w:p w14:paraId="26293D71">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负责人或其授权的代理人：</w:t>
      </w:r>
    </w:p>
    <w:p w14:paraId="0F07CF44">
      <w:pPr>
        <w:spacing w:line="440" w:lineRule="exact"/>
        <w:ind w:right="-260" w:rightChars="-124"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（职务）  （姓名）        （签字）</w:t>
      </w:r>
    </w:p>
    <w:p w14:paraId="6DF583EC">
      <w:pPr>
        <w:spacing w:line="440" w:lineRule="exact"/>
        <w:ind w:right="-260" w:rightChars="-124"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银行地址：</w:t>
      </w:r>
      <w:r>
        <w:rPr>
          <w:rFonts w:hint="eastAsia" w:ascii="宋体" w:hAnsi="宋体" w:eastAsia="宋体" w:cs="宋体"/>
          <w:color w:val="auto"/>
          <w:sz w:val="21"/>
          <w:szCs w:val="21"/>
          <w:highlight w:val="none"/>
          <w:u w:val="single"/>
        </w:rPr>
        <w:t xml:space="preserve">                        </w:t>
      </w:r>
    </w:p>
    <w:p w14:paraId="45EB2A66">
      <w:pPr>
        <w:spacing w:line="440" w:lineRule="exact"/>
        <w:ind w:right="-260" w:rightChars="-124"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    编：</w:t>
      </w:r>
      <w:r>
        <w:rPr>
          <w:rFonts w:hint="eastAsia" w:ascii="宋体" w:hAnsi="宋体" w:eastAsia="宋体" w:cs="宋体"/>
          <w:color w:val="auto"/>
          <w:sz w:val="21"/>
          <w:szCs w:val="21"/>
          <w:highlight w:val="none"/>
          <w:u w:val="single"/>
        </w:rPr>
        <w:t xml:space="preserve">                        </w:t>
      </w:r>
    </w:p>
    <w:p w14:paraId="64941203">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61BF0D8D">
      <w:pPr>
        <w:tabs>
          <w:tab w:val="left" w:pos="1080"/>
        </w:tabs>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6D7E4B6">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8C9BC22">
      <w:pPr>
        <w:spacing w:line="440" w:lineRule="exact"/>
        <w:ind w:right="-260" w:rightChars="-124"/>
        <w:rPr>
          <w:rFonts w:hint="eastAsia" w:ascii="宋体" w:hAnsi="宋体" w:eastAsia="宋体" w:cs="宋体"/>
          <w:color w:val="auto"/>
          <w:sz w:val="21"/>
          <w:szCs w:val="21"/>
          <w:highlight w:val="none"/>
        </w:rPr>
      </w:pPr>
    </w:p>
    <w:p w14:paraId="3EF32064">
      <w:pPr>
        <w:autoSpaceDE w:val="0"/>
        <w:autoSpaceDN w:val="0"/>
        <w:spacing w:line="440" w:lineRule="exact"/>
        <w:ind w:right="-260" w:rightChars="-124"/>
        <w:textAlignment w:val="bottom"/>
        <w:rPr>
          <w:rFonts w:hint="eastAsia" w:ascii="宋体" w:hAnsi="宋体" w:eastAsia="宋体" w:cs="宋体"/>
          <w:b/>
          <w:color w:val="auto"/>
          <w:sz w:val="21"/>
          <w:szCs w:val="21"/>
          <w:highlight w:val="none"/>
        </w:rPr>
      </w:pPr>
    </w:p>
    <w:p w14:paraId="7048CE2F">
      <w:pPr>
        <w:autoSpaceDE w:val="0"/>
        <w:autoSpaceDN w:val="0"/>
        <w:spacing w:line="440" w:lineRule="exact"/>
        <w:ind w:right="-260" w:rightChars="-124"/>
        <w:jc w:val="center"/>
        <w:textAlignment w:val="bottom"/>
        <w:rPr>
          <w:rFonts w:hint="eastAsia" w:ascii="宋体" w:hAnsi="宋体" w:eastAsia="宋体" w:cs="宋体"/>
          <w:b/>
          <w:color w:val="auto"/>
          <w:sz w:val="21"/>
          <w:szCs w:val="21"/>
          <w:highlight w:val="none"/>
        </w:rPr>
      </w:pPr>
    </w:p>
    <w:p w14:paraId="1D975753">
      <w:pPr>
        <w:keepNext w:val="0"/>
        <w:keepLines w:val="0"/>
        <w:pageBreakBefore w:val="0"/>
        <w:widowControl w:val="0"/>
        <w:kinsoku/>
        <w:wordWrap/>
        <w:overflowPunct/>
        <w:topLinePunct w:val="0"/>
        <w:autoSpaceDE/>
        <w:autoSpaceDN/>
        <w:bidi w:val="0"/>
        <w:adjustRightInd/>
        <w:snapToGrid/>
        <w:spacing w:line="440" w:lineRule="exact"/>
        <w:ind w:right="-260" w:rightChars="-124"/>
        <w:textAlignment w:val="auto"/>
        <w:outlineLvl w:val="2"/>
        <w:rPr>
          <w:rFonts w:hint="eastAsia" w:ascii="宋体" w:hAnsi="宋体" w:eastAsia="宋体" w:cs="宋体"/>
          <w:bCs/>
          <w:color w:val="auto"/>
          <w:sz w:val="21"/>
          <w:szCs w:val="21"/>
          <w:highlight w:val="none"/>
        </w:rPr>
      </w:pPr>
      <w:bookmarkStart w:id="316" w:name="_Toc14042"/>
      <w:bookmarkStart w:id="317" w:name="_Toc28441"/>
      <w:r>
        <w:rPr>
          <w:rFonts w:hint="eastAsia" w:ascii="宋体" w:hAnsi="宋体" w:eastAsia="宋体" w:cs="宋体"/>
          <w:bCs/>
          <w:color w:val="auto"/>
          <w:sz w:val="21"/>
          <w:szCs w:val="21"/>
          <w:highlight w:val="none"/>
        </w:rPr>
        <w:br w:type="page"/>
      </w:r>
      <w:bookmarkStart w:id="318" w:name="_Toc31558"/>
      <w:bookmarkStart w:id="319" w:name="_Toc30154"/>
      <w:r>
        <w:rPr>
          <w:rFonts w:hint="eastAsia" w:ascii="宋体" w:hAnsi="宋体" w:eastAsia="宋体" w:cs="宋体"/>
          <w:bCs/>
          <w:color w:val="auto"/>
          <w:sz w:val="21"/>
          <w:szCs w:val="21"/>
          <w:highlight w:val="none"/>
        </w:rPr>
        <w:t>附件2：</w:t>
      </w:r>
      <w:bookmarkStart w:id="320" w:name="_Toc69891507"/>
      <w:bookmarkStart w:id="321" w:name="_Toc17910"/>
      <w:bookmarkStart w:id="322" w:name="_Toc69909997"/>
      <w:r>
        <w:rPr>
          <w:rFonts w:hint="eastAsia" w:ascii="宋体" w:hAnsi="宋体" w:eastAsia="宋体" w:cs="宋体"/>
          <w:bCs/>
          <w:color w:val="auto"/>
          <w:sz w:val="21"/>
          <w:szCs w:val="21"/>
          <w:highlight w:val="none"/>
        </w:rPr>
        <w:t>廉政合同格式</w:t>
      </w:r>
      <w:bookmarkEnd w:id="316"/>
      <w:bookmarkEnd w:id="317"/>
      <w:bookmarkEnd w:id="318"/>
      <w:bookmarkEnd w:id="319"/>
      <w:bookmarkEnd w:id="320"/>
      <w:bookmarkEnd w:id="321"/>
      <w:bookmarkEnd w:id="322"/>
    </w:p>
    <w:p w14:paraId="6A287A52">
      <w:pPr>
        <w:spacing w:line="440" w:lineRule="exact"/>
        <w:ind w:right="-260" w:rightChars="-124"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廉政合同</w:t>
      </w:r>
    </w:p>
    <w:p w14:paraId="23C6F551">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根据国家法律、法规以及有关工程建设、廉政建设的规定，为做好工程建设中的党风廉政建设，保证工程建设高效优质，保证建设资金的安全和有效使用以及投资效益，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kern w:val="58"/>
          <w:sz w:val="21"/>
          <w:szCs w:val="21"/>
          <w:highlight w:val="none"/>
          <w:u w:val="single"/>
          <w:lang w:eastAsia="zh-CN"/>
        </w:rPr>
        <w:t>南通轨道1号线公安通信系统维保项目</w:t>
      </w:r>
      <w:r>
        <w:rPr>
          <w:rFonts w:hint="eastAsia" w:ascii="宋体" w:hAnsi="宋体" w:eastAsia="宋体" w:cs="宋体"/>
          <w:color w:val="auto"/>
          <w:sz w:val="21"/>
          <w:szCs w:val="21"/>
          <w:highlight w:val="none"/>
        </w:rPr>
        <w:t>的项目法人</w:t>
      </w:r>
      <w:r>
        <w:rPr>
          <w:rFonts w:hint="eastAsia" w:ascii="宋体" w:hAnsi="宋体" w:eastAsia="宋体" w:cs="宋体"/>
          <w:bCs/>
          <w:color w:val="auto"/>
          <w:sz w:val="21"/>
          <w:szCs w:val="21"/>
          <w:highlight w:val="none"/>
          <w:u w:val="single" w:color="000000"/>
          <w:lang w:eastAsia="zh-CN"/>
        </w:rPr>
        <w:t>南通轨道建设发展有限公司</w:t>
      </w:r>
      <w:r>
        <w:rPr>
          <w:rFonts w:hint="eastAsia" w:ascii="宋体" w:hAnsi="宋体" w:eastAsia="宋体" w:cs="宋体"/>
          <w:color w:val="auto"/>
          <w:sz w:val="21"/>
          <w:szCs w:val="21"/>
          <w:highlight w:val="none"/>
          <w:u w:val="single"/>
        </w:rPr>
        <w:t>(以下称甲方)</w:t>
      </w:r>
      <w:r>
        <w:rPr>
          <w:rFonts w:hint="eastAsia" w:ascii="宋体" w:hAnsi="宋体" w:eastAsia="宋体" w:cs="宋体"/>
          <w:color w:val="auto"/>
          <w:sz w:val="21"/>
          <w:szCs w:val="21"/>
          <w:highlight w:val="none"/>
        </w:rPr>
        <w:t>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（以下称乙方）</w:t>
      </w:r>
      <w:r>
        <w:rPr>
          <w:rFonts w:hint="eastAsia" w:ascii="宋体" w:hAnsi="宋体" w:eastAsia="宋体" w:cs="宋体"/>
          <w:color w:val="auto"/>
          <w:sz w:val="21"/>
          <w:szCs w:val="21"/>
          <w:highlight w:val="none"/>
        </w:rPr>
        <w:t>，特订立如下合同。</w:t>
      </w:r>
    </w:p>
    <w:p w14:paraId="774C6435">
      <w:pPr>
        <w:spacing w:line="440" w:lineRule="exact"/>
        <w:ind w:right="-260" w:rightChars="-124" w:firstLine="422" w:firstLineChars="200"/>
        <w:rPr>
          <w:rFonts w:hint="eastAsia" w:ascii="宋体" w:hAnsi="宋体" w:eastAsia="宋体" w:cs="宋体"/>
          <w:b/>
          <w:color w:val="auto"/>
          <w:sz w:val="21"/>
          <w:szCs w:val="21"/>
          <w:highlight w:val="none"/>
        </w:rPr>
      </w:pPr>
      <w:bookmarkStart w:id="323" w:name="_Toc59896701"/>
      <w:bookmarkStart w:id="324" w:name="_Toc59900969"/>
      <w:r>
        <w:rPr>
          <w:rFonts w:hint="eastAsia" w:ascii="宋体" w:hAnsi="宋体" w:eastAsia="宋体" w:cs="宋体"/>
          <w:b/>
          <w:color w:val="auto"/>
          <w:sz w:val="21"/>
          <w:szCs w:val="21"/>
          <w:highlight w:val="none"/>
        </w:rPr>
        <w:t>第一条 甲乙双方的权利和义务</w:t>
      </w:r>
      <w:bookmarkEnd w:id="323"/>
      <w:bookmarkEnd w:id="324"/>
    </w:p>
    <w:p w14:paraId="3D8B343A">
      <w:pPr>
        <w:tabs>
          <w:tab w:val="left" w:pos="2115"/>
        </w:tabs>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（一）严格遵守党和国家有关法律法规及江苏省、南通市的有关规定，遵守</w:t>
      </w:r>
      <w:r>
        <w:rPr>
          <w:rFonts w:hint="eastAsia" w:ascii="宋体" w:hAnsi="宋体" w:eastAsia="宋体" w:cs="宋体"/>
          <w:color w:val="auto"/>
          <w:sz w:val="21"/>
          <w:szCs w:val="21"/>
          <w:highlight w:val="none"/>
          <w:lang w:eastAsia="zh-CN"/>
        </w:rPr>
        <w:t>南通轨道建设发展有限公司</w:t>
      </w:r>
      <w:r>
        <w:rPr>
          <w:rFonts w:hint="eastAsia" w:ascii="宋体" w:hAnsi="宋体" w:eastAsia="宋体" w:cs="宋体"/>
          <w:color w:val="auto"/>
          <w:sz w:val="21"/>
          <w:szCs w:val="21"/>
          <w:highlight w:val="none"/>
        </w:rPr>
        <w:t>六不准则。</w:t>
      </w:r>
    </w:p>
    <w:p w14:paraId="2032B896">
      <w:pPr>
        <w:tabs>
          <w:tab w:val="left" w:pos="2115"/>
        </w:tabs>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w:t>
      </w:r>
      <w:r>
        <w:rPr>
          <w:rFonts w:hint="eastAsia" w:ascii="宋体" w:hAnsi="宋体" w:eastAsia="宋体" w:cs="宋体"/>
          <w:color w:val="auto"/>
          <w:kern w:val="58"/>
          <w:sz w:val="21"/>
          <w:szCs w:val="21"/>
          <w:highlight w:val="none"/>
          <w:u w:val="single"/>
          <w:lang w:eastAsia="zh-CN"/>
        </w:rPr>
        <w:t>南通轨道1号线公安通信系统维保项目</w:t>
      </w:r>
      <w:r>
        <w:rPr>
          <w:rFonts w:hint="eastAsia" w:ascii="宋体" w:hAnsi="宋体" w:eastAsia="宋体" w:cs="宋体"/>
          <w:color w:val="auto"/>
          <w:sz w:val="21"/>
          <w:szCs w:val="21"/>
          <w:highlight w:val="none"/>
        </w:rPr>
        <w:t>的合同文件，自觉按合同办事。</w:t>
      </w:r>
    </w:p>
    <w:p w14:paraId="67042B66">
      <w:pPr>
        <w:tabs>
          <w:tab w:val="left" w:pos="2115"/>
        </w:tabs>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（三）双方的业务活动坚持公开、公正、诚信、透明的原则（除法律认定的商业秘密和合同文件另有规定之外），不得损害国家和集体利益，违反工程建设规章制度。</w:t>
      </w:r>
    </w:p>
    <w:p w14:paraId="3240897A">
      <w:pPr>
        <w:tabs>
          <w:tab w:val="left" w:pos="2115"/>
        </w:tabs>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（四）建立健全廉政制度，开展廉政教育，设立廉政告示牌，公布举报电话，监督并认真查处违法违纪行为。</w:t>
      </w:r>
    </w:p>
    <w:p w14:paraId="20D60B15">
      <w:pPr>
        <w:tabs>
          <w:tab w:val="left" w:pos="2115"/>
        </w:tabs>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（五）发现对方在业务活动中有违反廉政规定的行为，有及时提醒对方纠正的权利和义务。</w:t>
      </w:r>
    </w:p>
    <w:p w14:paraId="6CF6F20D">
      <w:pPr>
        <w:tabs>
          <w:tab w:val="left" w:pos="2115"/>
        </w:tabs>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（六）发现对方严重违反本合同义务条款的行为，有向其上级有关部门举报、建议给予处理并要求告知处理结果的权利。</w:t>
      </w:r>
    </w:p>
    <w:p w14:paraId="570F8B92">
      <w:pPr>
        <w:spacing w:line="440" w:lineRule="exact"/>
        <w:ind w:right="-260" w:rightChars="-124" w:firstLine="422" w:firstLineChars="200"/>
        <w:rPr>
          <w:rFonts w:hint="eastAsia" w:ascii="宋体" w:hAnsi="宋体" w:eastAsia="宋体" w:cs="宋体"/>
          <w:b/>
          <w:color w:val="auto"/>
          <w:sz w:val="21"/>
          <w:szCs w:val="21"/>
          <w:highlight w:val="none"/>
        </w:rPr>
      </w:pPr>
      <w:bookmarkStart w:id="325" w:name="_Toc59900970"/>
      <w:bookmarkStart w:id="326" w:name="_Toc59896702"/>
      <w:r>
        <w:rPr>
          <w:rFonts w:hint="eastAsia" w:ascii="宋体" w:hAnsi="宋体" w:eastAsia="宋体" w:cs="宋体"/>
          <w:b/>
          <w:color w:val="auto"/>
          <w:sz w:val="21"/>
          <w:szCs w:val="21"/>
          <w:highlight w:val="none"/>
        </w:rPr>
        <w:t>第二条 甲方的义务</w:t>
      </w:r>
      <w:bookmarkEnd w:id="325"/>
      <w:bookmarkEnd w:id="326"/>
    </w:p>
    <w:p w14:paraId="06BCB1BD">
      <w:pPr>
        <w:tabs>
          <w:tab w:val="left" w:pos="0"/>
          <w:tab w:val="left" w:pos="2115"/>
        </w:tabs>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（一）甲方及其工作人员不得索要或接受乙方的礼金、有价证券和贵重物品，不得在乙方报销任何应由甲方或个人支付的费用等。</w:t>
      </w:r>
    </w:p>
    <w:p w14:paraId="79FA9720">
      <w:pPr>
        <w:tabs>
          <w:tab w:val="left" w:pos="0"/>
          <w:tab w:val="left" w:pos="2115"/>
        </w:tabs>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（二）甲方工作人员不得参加乙方安排的超标准宴请和娱乐活动；不得接受乙方提供的通讯工具、交通工具和高档办公用品等。</w:t>
      </w:r>
    </w:p>
    <w:p w14:paraId="0274BE5E">
      <w:pPr>
        <w:tabs>
          <w:tab w:val="left" w:pos="0"/>
          <w:tab w:val="left" w:pos="2115"/>
        </w:tabs>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（三）甲方及其工作人员不得要求或者接受乙方为其住房装修、婚丧嫁娶活动、配偶子女的工作安排以及出国出境、旅游等提供方便等。</w:t>
      </w:r>
    </w:p>
    <w:p w14:paraId="38859717">
      <w:pPr>
        <w:spacing w:line="440" w:lineRule="exact"/>
        <w:ind w:right="-260" w:rightChars="-124" w:firstLine="422" w:firstLineChars="200"/>
        <w:rPr>
          <w:rFonts w:hint="eastAsia" w:ascii="宋体" w:hAnsi="宋体" w:eastAsia="宋体" w:cs="宋体"/>
          <w:b/>
          <w:color w:val="auto"/>
          <w:sz w:val="21"/>
          <w:szCs w:val="21"/>
          <w:highlight w:val="none"/>
        </w:rPr>
      </w:pPr>
      <w:bookmarkStart w:id="327" w:name="_Toc59900971"/>
      <w:bookmarkStart w:id="328" w:name="_Toc59896703"/>
      <w:r>
        <w:rPr>
          <w:rFonts w:hint="eastAsia" w:ascii="宋体" w:hAnsi="宋体" w:eastAsia="宋体" w:cs="宋体"/>
          <w:b/>
          <w:color w:val="auto"/>
          <w:sz w:val="21"/>
          <w:szCs w:val="21"/>
          <w:highlight w:val="none"/>
        </w:rPr>
        <w:t>第三条 乙方义务</w:t>
      </w:r>
      <w:bookmarkEnd w:id="327"/>
      <w:bookmarkEnd w:id="328"/>
    </w:p>
    <w:p w14:paraId="314E4D2E">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（一）乙方不得以任何理由向甲方及其工作人员行贿或馈赠礼金、有价证券、贵重礼品。</w:t>
      </w:r>
    </w:p>
    <w:p w14:paraId="353D1BAD">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（二）乙方不得以任何名义为甲方及其工作人员报销应由甲方单位或个人支付的任何费用。</w:t>
      </w:r>
    </w:p>
    <w:p w14:paraId="3004C1EE">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（三）乙方不得以任何理由安排甲方工作人员参加超标准宴请及娱乐活动。</w:t>
      </w:r>
    </w:p>
    <w:p w14:paraId="163C4987">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（四）乙方不得为甲方单位和个人购置或提供通讯工具、交通工具和高档办公用品等。</w:t>
      </w:r>
    </w:p>
    <w:p w14:paraId="1C6E0351">
      <w:pPr>
        <w:spacing w:line="440" w:lineRule="exact"/>
        <w:ind w:right="-260" w:rightChars="-124"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违约责任</w:t>
      </w:r>
    </w:p>
    <w:p w14:paraId="58976621">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（一）甲方及其工作人员违反本合同第一、二条，按管理权限，依据有关规定给予党纪、政纪或组织处理，调离其工作岗位；涉嫌犯罪的，移交司法机关追究刑事责任；给乙方单位造成经济损失的，应予以赔偿。</w:t>
      </w:r>
    </w:p>
    <w:p w14:paraId="2C34888A">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14:paraId="557971BA">
      <w:pPr>
        <w:spacing w:line="440" w:lineRule="exact"/>
        <w:ind w:right="-260" w:rightChars="-124"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w:t>
      </w:r>
      <w:r>
        <w:rPr>
          <w:rFonts w:hint="eastAsia" w:ascii="宋体" w:hAnsi="宋体" w:eastAsia="宋体" w:cs="宋体"/>
          <w:color w:val="auto"/>
          <w:sz w:val="21"/>
          <w:szCs w:val="21"/>
          <w:highlight w:val="none"/>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7E7CF112">
      <w:pPr>
        <w:spacing w:line="440" w:lineRule="exact"/>
        <w:ind w:right="-260" w:rightChars="-124"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第六条</w:t>
      </w:r>
      <w:r>
        <w:rPr>
          <w:rFonts w:hint="eastAsia" w:ascii="宋体" w:hAnsi="宋体" w:eastAsia="宋体" w:cs="宋体"/>
          <w:color w:val="auto"/>
          <w:sz w:val="21"/>
          <w:szCs w:val="21"/>
          <w:highlight w:val="none"/>
        </w:rPr>
        <w:t xml:space="preserve"> 本合同有效期为甲乙双方签署之日起至该项目服务期结束止。</w:t>
      </w:r>
    </w:p>
    <w:p w14:paraId="374FA9A7">
      <w:pPr>
        <w:spacing w:line="440" w:lineRule="exact"/>
        <w:ind w:right="-260" w:rightChars="-124"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第七条</w:t>
      </w:r>
      <w:r>
        <w:rPr>
          <w:rFonts w:hint="eastAsia" w:ascii="宋体" w:hAnsi="宋体" w:eastAsia="宋体" w:cs="宋体"/>
          <w:color w:val="auto"/>
          <w:sz w:val="21"/>
          <w:szCs w:val="21"/>
          <w:highlight w:val="none"/>
        </w:rPr>
        <w:t xml:space="preserve"> 本合同作为</w:t>
      </w:r>
      <w:r>
        <w:rPr>
          <w:rFonts w:hint="eastAsia" w:ascii="宋体" w:hAnsi="宋体" w:eastAsia="宋体" w:cs="宋体"/>
          <w:color w:val="auto"/>
          <w:kern w:val="58"/>
          <w:sz w:val="21"/>
          <w:szCs w:val="21"/>
          <w:highlight w:val="none"/>
          <w:u w:val="single"/>
          <w:lang w:eastAsia="zh-CN"/>
        </w:rPr>
        <w:t>南通轨道1号线公安通信系统维保项目</w:t>
      </w:r>
      <w:r>
        <w:rPr>
          <w:rFonts w:hint="eastAsia" w:ascii="宋体" w:hAnsi="宋体" w:eastAsia="宋体" w:cs="宋体"/>
          <w:color w:val="auto"/>
          <w:sz w:val="21"/>
          <w:szCs w:val="21"/>
          <w:highlight w:val="none"/>
        </w:rPr>
        <w:t>合同的附件，与主合同具有同等法律效力。经合同双方签署立即生效。</w:t>
      </w:r>
    </w:p>
    <w:p w14:paraId="38A47460">
      <w:pPr>
        <w:spacing w:line="440" w:lineRule="exact"/>
        <w:ind w:right="-260" w:rightChars="-124" w:firstLine="420" w:firstLineChars="200"/>
        <w:rPr>
          <w:rFonts w:hint="eastAsia" w:ascii="宋体" w:hAnsi="宋体" w:eastAsia="宋体" w:cs="宋体"/>
          <w:color w:val="auto"/>
          <w:sz w:val="21"/>
          <w:szCs w:val="21"/>
          <w:highlight w:val="none"/>
        </w:rPr>
      </w:pPr>
    </w:p>
    <w:p w14:paraId="4B96DFA2">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293A7681">
      <w:pPr>
        <w:spacing w:line="440" w:lineRule="exact"/>
        <w:ind w:right="-260" w:rightChars="-124" w:firstLine="420" w:firstLineChars="200"/>
        <w:rPr>
          <w:rFonts w:hint="eastAsia" w:ascii="宋体" w:hAnsi="宋体" w:eastAsia="宋体" w:cs="宋体"/>
          <w:color w:val="auto"/>
          <w:sz w:val="21"/>
          <w:szCs w:val="21"/>
          <w:highlight w:val="none"/>
        </w:rPr>
      </w:pPr>
    </w:p>
    <w:p w14:paraId="73EE877F">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32360969">
      <w:pPr>
        <w:spacing w:line="440" w:lineRule="exact"/>
        <w:ind w:right="-260" w:rightChars="-124"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或其授权代理人：                       或其授权代理人：</w:t>
      </w:r>
    </w:p>
    <w:p w14:paraId="5A80DD81">
      <w:pPr>
        <w:spacing w:line="440" w:lineRule="exact"/>
        <w:ind w:right="-739" w:rightChars="-352" w:firstLine="420" w:firstLineChars="200"/>
        <w:rPr>
          <w:rFonts w:hint="eastAsia" w:ascii="宋体" w:hAnsi="宋体" w:eastAsia="宋体" w:cs="宋体"/>
          <w:color w:val="auto"/>
          <w:sz w:val="21"/>
          <w:szCs w:val="21"/>
          <w:highlight w:val="none"/>
        </w:rPr>
      </w:pPr>
    </w:p>
    <w:p w14:paraId="4913A772">
      <w:pPr>
        <w:spacing w:line="440" w:lineRule="exact"/>
        <w:ind w:right="-739" w:rightChars="-352" w:firstLine="420" w:firstLineChars="200"/>
        <w:rPr>
          <w:rFonts w:hint="eastAsia" w:ascii="宋体" w:hAnsi="宋体" w:eastAsia="宋体" w:cs="宋体"/>
          <w:color w:val="auto"/>
          <w:sz w:val="21"/>
          <w:szCs w:val="21"/>
          <w:highlight w:val="none"/>
        </w:rPr>
      </w:pPr>
    </w:p>
    <w:p w14:paraId="39CF857C">
      <w:pPr>
        <w:ind w:right="-739" w:rightChars="-352"/>
        <w:rPr>
          <w:rFonts w:hint="eastAsia" w:ascii="宋体" w:hAnsi="宋体" w:eastAsia="宋体" w:cs="宋体"/>
          <w:color w:val="auto"/>
          <w:sz w:val="21"/>
          <w:szCs w:val="21"/>
          <w:highlight w:val="none"/>
        </w:rPr>
      </w:pPr>
    </w:p>
    <w:p w14:paraId="0B5D0D52">
      <w:pPr>
        <w:ind w:right="-739" w:rightChars="-352"/>
        <w:rPr>
          <w:rFonts w:hint="eastAsia" w:ascii="宋体" w:hAnsi="宋体" w:eastAsia="宋体" w:cs="宋体"/>
          <w:color w:val="auto"/>
          <w:sz w:val="21"/>
          <w:szCs w:val="21"/>
          <w:highlight w:val="none"/>
        </w:rPr>
      </w:pPr>
    </w:p>
    <w:p w14:paraId="36083167">
      <w:pPr>
        <w:ind w:right="-739" w:rightChars="-352"/>
        <w:rPr>
          <w:rFonts w:hint="eastAsia" w:ascii="宋体" w:hAnsi="宋体" w:eastAsia="宋体" w:cs="宋体"/>
          <w:color w:val="auto"/>
          <w:sz w:val="21"/>
          <w:szCs w:val="21"/>
          <w:highlight w:val="none"/>
        </w:rPr>
      </w:pPr>
    </w:p>
    <w:p w14:paraId="741C443D">
      <w:pPr>
        <w:ind w:right="-739" w:rightChars="-352"/>
        <w:rPr>
          <w:rFonts w:hint="eastAsia" w:ascii="宋体" w:hAnsi="宋体" w:eastAsia="宋体" w:cs="宋体"/>
          <w:color w:val="auto"/>
          <w:sz w:val="21"/>
          <w:szCs w:val="21"/>
          <w:highlight w:val="none"/>
        </w:rPr>
      </w:pPr>
    </w:p>
    <w:p w14:paraId="7C331929">
      <w:pPr>
        <w:ind w:right="-739" w:rightChars="-352"/>
        <w:rPr>
          <w:rFonts w:hint="eastAsia" w:ascii="宋体" w:hAnsi="宋体" w:eastAsia="宋体" w:cs="宋体"/>
          <w:color w:val="auto"/>
          <w:sz w:val="21"/>
          <w:szCs w:val="21"/>
          <w:highlight w:val="none"/>
        </w:rPr>
      </w:pPr>
    </w:p>
    <w:p w14:paraId="0E4C14D1">
      <w:pPr>
        <w:keepNext w:val="0"/>
        <w:keepLines w:val="0"/>
        <w:pageBreakBefore w:val="0"/>
        <w:widowControl w:val="0"/>
        <w:kinsoku/>
        <w:wordWrap/>
        <w:overflowPunct/>
        <w:topLinePunct w:val="0"/>
        <w:autoSpaceDE/>
        <w:autoSpaceDN/>
        <w:bidi w:val="0"/>
        <w:adjustRightInd/>
        <w:snapToGrid/>
        <w:spacing w:line="440" w:lineRule="exact"/>
        <w:ind w:right="-739" w:rightChars="-352"/>
        <w:textAlignment w:val="auto"/>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bookmarkStart w:id="329" w:name="_Toc26205"/>
      <w:bookmarkStart w:id="330" w:name="_Toc25176"/>
      <w:r>
        <w:rPr>
          <w:rFonts w:hint="eastAsia" w:ascii="宋体" w:hAnsi="宋体" w:eastAsia="宋体" w:cs="宋体"/>
          <w:bCs/>
          <w:color w:val="auto"/>
          <w:sz w:val="21"/>
          <w:szCs w:val="21"/>
          <w:highlight w:val="none"/>
        </w:rPr>
        <w:t>附件3：考核处罚条款</w:t>
      </w:r>
      <w:bookmarkEnd w:id="329"/>
    </w:p>
    <w:p w14:paraId="61360F55">
      <w:pPr>
        <w:ind w:firstLine="420"/>
        <w:rPr>
          <w:rFonts w:hint="eastAsia" w:ascii="宋体" w:hAnsi="宋体" w:eastAsia="宋体" w:cs="宋体"/>
          <w:highlight w:val="none"/>
        </w:rPr>
      </w:pPr>
      <w:r>
        <w:rPr>
          <w:rFonts w:hint="eastAsia" w:ascii="宋体" w:hAnsi="宋体" w:eastAsia="宋体" w:cs="宋体"/>
          <w:highlight w:val="none"/>
          <w:lang w:eastAsia="zh-CN"/>
        </w:rPr>
        <w:t>甲方</w:t>
      </w:r>
      <w:r>
        <w:rPr>
          <w:rFonts w:hint="eastAsia" w:ascii="宋体" w:hAnsi="宋体" w:eastAsia="宋体" w:cs="宋体"/>
          <w:highlight w:val="none"/>
        </w:rPr>
        <w:t>根据付款周期（三个月）对</w:t>
      </w:r>
      <w:r>
        <w:rPr>
          <w:rFonts w:hint="eastAsia" w:ascii="宋体" w:hAnsi="宋体" w:eastAsia="宋体" w:cs="宋体"/>
          <w:highlight w:val="none"/>
          <w:lang w:eastAsia="zh-CN"/>
        </w:rPr>
        <w:t>乙方</w:t>
      </w:r>
      <w:r>
        <w:rPr>
          <w:rFonts w:hint="eastAsia" w:ascii="宋体" w:hAnsi="宋体" w:eastAsia="宋体" w:cs="宋体"/>
          <w:highlight w:val="none"/>
        </w:rPr>
        <w:t>履行合同的情况进行一次综合考核，考核内容包括但不限于以下内容。</w:t>
      </w:r>
    </w:p>
    <w:p w14:paraId="5D75F857">
      <w:pPr>
        <w:ind w:firstLine="0" w:firstLineChars="0"/>
        <w:jc w:val="center"/>
        <w:rPr>
          <w:rFonts w:hint="eastAsia" w:ascii="宋体" w:hAnsi="宋体" w:eastAsia="宋体" w:cs="宋体"/>
          <w:highlight w:val="none"/>
        </w:rPr>
      </w:pPr>
      <w:r>
        <w:rPr>
          <w:rFonts w:hint="eastAsia" w:ascii="宋体" w:hAnsi="宋体" w:eastAsia="宋体" w:cs="宋体"/>
          <w:highlight w:val="none"/>
        </w:rPr>
        <w:t>表2  考核扣分条款</w:t>
      </w:r>
    </w:p>
    <w:tbl>
      <w:tblPr>
        <w:tblStyle w:val="19"/>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760"/>
        <w:gridCol w:w="4484"/>
        <w:gridCol w:w="1134"/>
        <w:gridCol w:w="902"/>
        <w:gridCol w:w="799"/>
      </w:tblGrid>
      <w:tr w14:paraId="7358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835" w:type="dxa"/>
            <w:tcBorders>
              <w:top w:val="single" w:color="auto" w:sz="4" w:space="0"/>
              <w:left w:val="single" w:color="auto" w:sz="4" w:space="0"/>
              <w:bottom w:val="single" w:color="auto" w:sz="4" w:space="0"/>
              <w:right w:val="single" w:color="auto" w:sz="4" w:space="0"/>
            </w:tcBorders>
            <w:vAlign w:val="center"/>
          </w:tcPr>
          <w:p w14:paraId="581463F3">
            <w:pPr>
              <w:tabs>
                <w:tab w:val="left" w:pos="360"/>
              </w:tabs>
              <w:spacing w:line="240" w:lineRule="auto"/>
              <w:ind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项目</w:t>
            </w:r>
          </w:p>
        </w:tc>
        <w:tc>
          <w:tcPr>
            <w:tcW w:w="760" w:type="dxa"/>
            <w:tcBorders>
              <w:top w:val="single" w:color="auto" w:sz="4" w:space="0"/>
              <w:left w:val="single" w:color="auto" w:sz="4" w:space="0"/>
              <w:bottom w:val="single" w:color="auto" w:sz="4" w:space="0"/>
              <w:right w:val="single" w:color="auto" w:sz="4" w:space="0"/>
            </w:tcBorders>
            <w:vAlign w:val="center"/>
          </w:tcPr>
          <w:p w14:paraId="54230A22">
            <w:pPr>
              <w:tabs>
                <w:tab w:val="left" w:pos="360"/>
              </w:tabs>
              <w:spacing w:line="240" w:lineRule="auto"/>
              <w:ind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4484" w:type="dxa"/>
            <w:tcBorders>
              <w:top w:val="single" w:color="auto" w:sz="4" w:space="0"/>
              <w:left w:val="single" w:color="auto" w:sz="4" w:space="0"/>
              <w:bottom w:val="single" w:color="auto" w:sz="4" w:space="0"/>
              <w:right w:val="single" w:color="auto" w:sz="4" w:space="0"/>
            </w:tcBorders>
            <w:vAlign w:val="center"/>
          </w:tcPr>
          <w:p w14:paraId="5A285064">
            <w:pPr>
              <w:tabs>
                <w:tab w:val="left" w:pos="360"/>
              </w:tabs>
              <w:spacing w:line="240" w:lineRule="auto"/>
              <w:ind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考核内容及要求</w:t>
            </w:r>
          </w:p>
        </w:tc>
        <w:tc>
          <w:tcPr>
            <w:tcW w:w="1134" w:type="dxa"/>
            <w:tcBorders>
              <w:top w:val="single" w:color="auto" w:sz="4" w:space="0"/>
              <w:left w:val="single" w:color="auto" w:sz="4" w:space="0"/>
              <w:bottom w:val="single" w:color="auto" w:sz="4" w:space="0"/>
              <w:right w:val="single" w:color="auto" w:sz="4" w:space="0"/>
            </w:tcBorders>
            <w:vAlign w:val="center"/>
          </w:tcPr>
          <w:p w14:paraId="7C9A4A64">
            <w:pPr>
              <w:tabs>
                <w:tab w:val="left" w:pos="360"/>
              </w:tabs>
              <w:spacing w:line="240" w:lineRule="auto"/>
              <w:ind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实际完成情况</w:t>
            </w:r>
          </w:p>
        </w:tc>
        <w:tc>
          <w:tcPr>
            <w:tcW w:w="902" w:type="dxa"/>
            <w:tcBorders>
              <w:top w:val="single" w:color="auto" w:sz="4" w:space="0"/>
              <w:left w:val="single" w:color="auto" w:sz="4" w:space="0"/>
              <w:bottom w:val="single" w:color="auto" w:sz="4" w:space="0"/>
              <w:right w:val="single" w:color="auto" w:sz="4" w:space="0"/>
            </w:tcBorders>
            <w:vAlign w:val="center"/>
          </w:tcPr>
          <w:p w14:paraId="1020B583">
            <w:pPr>
              <w:tabs>
                <w:tab w:val="left" w:pos="360"/>
              </w:tabs>
              <w:spacing w:line="240" w:lineRule="auto"/>
              <w:ind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得分</w:t>
            </w:r>
          </w:p>
        </w:tc>
        <w:tc>
          <w:tcPr>
            <w:tcW w:w="799" w:type="dxa"/>
            <w:tcBorders>
              <w:top w:val="single" w:color="auto" w:sz="4" w:space="0"/>
              <w:left w:val="single" w:color="auto" w:sz="4" w:space="0"/>
              <w:bottom w:val="single" w:color="auto" w:sz="4" w:space="0"/>
              <w:right w:val="single" w:color="auto" w:sz="4" w:space="0"/>
            </w:tcBorders>
            <w:vAlign w:val="center"/>
          </w:tcPr>
          <w:p w14:paraId="0F563CF8">
            <w:pPr>
              <w:tabs>
                <w:tab w:val="left" w:pos="360"/>
              </w:tabs>
              <w:spacing w:line="240" w:lineRule="auto"/>
              <w:ind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考核情况</w:t>
            </w:r>
          </w:p>
        </w:tc>
      </w:tr>
      <w:tr w14:paraId="17C5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restart"/>
            <w:tcBorders>
              <w:top w:val="single" w:color="auto" w:sz="4" w:space="0"/>
              <w:left w:val="single" w:color="auto" w:sz="4" w:space="0"/>
              <w:bottom w:val="single" w:color="auto" w:sz="4" w:space="0"/>
              <w:right w:val="single" w:color="auto" w:sz="4" w:space="0"/>
            </w:tcBorders>
            <w:vAlign w:val="center"/>
          </w:tcPr>
          <w:p w14:paraId="54276381">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计划检修  30分</w:t>
            </w:r>
          </w:p>
        </w:tc>
        <w:tc>
          <w:tcPr>
            <w:tcW w:w="760" w:type="dxa"/>
            <w:tcBorders>
              <w:top w:val="single" w:color="auto" w:sz="4" w:space="0"/>
              <w:left w:val="single" w:color="auto" w:sz="4" w:space="0"/>
              <w:bottom w:val="single" w:color="auto" w:sz="4" w:space="0"/>
              <w:right w:val="single" w:color="auto" w:sz="4" w:space="0"/>
            </w:tcBorders>
            <w:vAlign w:val="center"/>
          </w:tcPr>
          <w:p w14:paraId="28008A8D">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4484" w:type="dxa"/>
            <w:tcBorders>
              <w:top w:val="single" w:color="auto" w:sz="4" w:space="0"/>
              <w:left w:val="single" w:color="auto" w:sz="4" w:space="0"/>
              <w:bottom w:val="single" w:color="auto" w:sz="4" w:space="0"/>
              <w:right w:val="single" w:color="auto" w:sz="4" w:space="0"/>
            </w:tcBorders>
            <w:vAlign w:val="center"/>
          </w:tcPr>
          <w:p w14:paraId="0D38C4EA">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检修计划、物资需求计划安排不合理；计划、记录、总结报表不正确、不真实、未按时上报。发生一次1-3扣分。</w:t>
            </w:r>
          </w:p>
        </w:tc>
        <w:tc>
          <w:tcPr>
            <w:tcW w:w="1134" w:type="dxa"/>
            <w:tcBorders>
              <w:top w:val="single" w:color="auto" w:sz="4" w:space="0"/>
              <w:left w:val="single" w:color="auto" w:sz="4" w:space="0"/>
              <w:bottom w:val="single" w:color="auto" w:sz="4" w:space="0"/>
              <w:right w:val="single" w:color="auto" w:sz="4" w:space="0"/>
            </w:tcBorders>
            <w:vAlign w:val="center"/>
          </w:tcPr>
          <w:p w14:paraId="6A9F645A">
            <w:pPr>
              <w:tabs>
                <w:tab w:val="left" w:pos="360"/>
              </w:tabs>
              <w:spacing w:line="240" w:lineRule="auto"/>
              <w:ind w:firstLine="0" w:firstLineChars="0"/>
              <w:rPr>
                <w:rFonts w:hint="eastAsia" w:ascii="宋体" w:hAnsi="宋体" w:eastAsia="宋体" w:cs="宋体"/>
                <w:szCs w:val="21"/>
                <w:highlight w:val="none"/>
              </w:rPr>
            </w:pPr>
          </w:p>
        </w:tc>
        <w:tc>
          <w:tcPr>
            <w:tcW w:w="902" w:type="dxa"/>
            <w:vMerge w:val="restart"/>
            <w:tcBorders>
              <w:top w:val="single" w:color="auto" w:sz="4" w:space="0"/>
              <w:left w:val="single" w:color="auto" w:sz="4" w:space="0"/>
              <w:bottom w:val="single" w:color="auto" w:sz="4" w:space="0"/>
              <w:right w:val="single" w:color="auto" w:sz="4" w:space="0"/>
            </w:tcBorders>
            <w:vAlign w:val="center"/>
          </w:tcPr>
          <w:p w14:paraId="056ECE23">
            <w:pPr>
              <w:tabs>
                <w:tab w:val="left" w:pos="360"/>
              </w:tabs>
              <w:spacing w:line="240" w:lineRule="auto"/>
              <w:ind w:firstLine="0" w:firstLineChars="0"/>
              <w:rPr>
                <w:rFonts w:hint="eastAsia" w:ascii="宋体" w:hAnsi="宋体" w:eastAsia="宋体" w:cs="宋体"/>
                <w:szCs w:val="21"/>
                <w:highlight w:val="none"/>
              </w:rPr>
            </w:pPr>
          </w:p>
        </w:tc>
        <w:tc>
          <w:tcPr>
            <w:tcW w:w="799" w:type="dxa"/>
            <w:vMerge w:val="restart"/>
            <w:tcBorders>
              <w:top w:val="single" w:color="auto" w:sz="4" w:space="0"/>
              <w:left w:val="single" w:color="auto" w:sz="4" w:space="0"/>
              <w:bottom w:val="single" w:color="auto" w:sz="4" w:space="0"/>
              <w:right w:val="single" w:color="auto" w:sz="4" w:space="0"/>
            </w:tcBorders>
            <w:vAlign w:val="center"/>
          </w:tcPr>
          <w:p w14:paraId="4B9EE23B">
            <w:pPr>
              <w:tabs>
                <w:tab w:val="left" w:pos="360"/>
              </w:tabs>
              <w:spacing w:line="240" w:lineRule="auto"/>
              <w:ind w:firstLine="0" w:firstLineChars="0"/>
              <w:rPr>
                <w:rFonts w:hint="eastAsia" w:ascii="宋体" w:hAnsi="宋体" w:eastAsia="宋体" w:cs="宋体"/>
                <w:szCs w:val="21"/>
                <w:highlight w:val="none"/>
              </w:rPr>
            </w:pPr>
          </w:p>
        </w:tc>
      </w:tr>
      <w:tr w14:paraId="2570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05B4FFB1">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6767C803">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4484" w:type="dxa"/>
            <w:tcBorders>
              <w:top w:val="single" w:color="auto" w:sz="4" w:space="0"/>
              <w:left w:val="single" w:color="auto" w:sz="4" w:space="0"/>
              <w:bottom w:val="single" w:color="auto" w:sz="4" w:space="0"/>
              <w:right w:val="single" w:color="auto" w:sz="4" w:space="0"/>
            </w:tcBorders>
            <w:vAlign w:val="center"/>
          </w:tcPr>
          <w:p w14:paraId="09316D9A">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在没有提前申明或无特殊原因下，检修计划及临时计划未按时完成。未执行一项计划扣1-2分。</w:t>
            </w:r>
          </w:p>
        </w:tc>
        <w:tc>
          <w:tcPr>
            <w:tcW w:w="1134" w:type="dxa"/>
            <w:tcBorders>
              <w:top w:val="single" w:color="auto" w:sz="4" w:space="0"/>
              <w:left w:val="single" w:color="auto" w:sz="4" w:space="0"/>
              <w:bottom w:val="single" w:color="auto" w:sz="4" w:space="0"/>
              <w:right w:val="single" w:color="auto" w:sz="4" w:space="0"/>
            </w:tcBorders>
            <w:vAlign w:val="center"/>
          </w:tcPr>
          <w:p w14:paraId="7A40C762">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36F0A9F4">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66F40471">
            <w:pPr>
              <w:widowControl/>
              <w:spacing w:line="240" w:lineRule="auto"/>
              <w:ind w:firstLine="0" w:firstLineChars="0"/>
              <w:jc w:val="left"/>
              <w:rPr>
                <w:rFonts w:hint="eastAsia" w:ascii="宋体" w:hAnsi="宋体" w:eastAsia="宋体" w:cs="宋体"/>
                <w:szCs w:val="21"/>
                <w:highlight w:val="none"/>
              </w:rPr>
            </w:pPr>
          </w:p>
        </w:tc>
      </w:tr>
      <w:tr w14:paraId="18B6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5B0B78A9">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0CC849E5">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4484" w:type="dxa"/>
            <w:tcBorders>
              <w:top w:val="single" w:color="auto" w:sz="4" w:space="0"/>
              <w:left w:val="single" w:color="auto" w:sz="4" w:space="0"/>
              <w:bottom w:val="single" w:color="auto" w:sz="4" w:space="0"/>
              <w:right w:val="single" w:color="auto" w:sz="4" w:space="0"/>
            </w:tcBorders>
            <w:vAlign w:val="center"/>
          </w:tcPr>
          <w:p w14:paraId="3D5BD6C7">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未按时开展对维护工作的自查工作或记录缺失的，发生一次扣1-2分。</w:t>
            </w:r>
          </w:p>
        </w:tc>
        <w:tc>
          <w:tcPr>
            <w:tcW w:w="1134" w:type="dxa"/>
            <w:tcBorders>
              <w:top w:val="single" w:color="auto" w:sz="4" w:space="0"/>
              <w:left w:val="single" w:color="auto" w:sz="4" w:space="0"/>
              <w:bottom w:val="single" w:color="auto" w:sz="4" w:space="0"/>
              <w:right w:val="single" w:color="auto" w:sz="4" w:space="0"/>
            </w:tcBorders>
            <w:vAlign w:val="center"/>
          </w:tcPr>
          <w:p w14:paraId="73ED775E">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5560D24F">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1279B20F">
            <w:pPr>
              <w:widowControl/>
              <w:spacing w:line="240" w:lineRule="auto"/>
              <w:ind w:firstLine="0" w:firstLineChars="0"/>
              <w:jc w:val="left"/>
              <w:rPr>
                <w:rFonts w:hint="eastAsia" w:ascii="宋体" w:hAnsi="宋体" w:eastAsia="宋体" w:cs="宋体"/>
                <w:szCs w:val="21"/>
                <w:highlight w:val="none"/>
              </w:rPr>
            </w:pPr>
          </w:p>
        </w:tc>
      </w:tr>
      <w:tr w14:paraId="43BD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025E0664">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4B1A09E8">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4484" w:type="dxa"/>
            <w:tcBorders>
              <w:top w:val="single" w:color="auto" w:sz="4" w:space="0"/>
              <w:left w:val="single" w:color="auto" w:sz="4" w:space="0"/>
              <w:bottom w:val="single" w:color="auto" w:sz="4" w:space="0"/>
              <w:right w:val="single" w:color="auto" w:sz="4" w:space="0"/>
            </w:tcBorders>
            <w:vAlign w:val="center"/>
          </w:tcPr>
          <w:p w14:paraId="3A38290C">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未根据实际情况及时调整作业计划，导致设施设备发生故障或缺陷的，发生一次扣1-2分。</w:t>
            </w:r>
          </w:p>
        </w:tc>
        <w:tc>
          <w:tcPr>
            <w:tcW w:w="1134" w:type="dxa"/>
            <w:tcBorders>
              <w:top w:val="single" w:color="auto" w:sz="4" w:space="0"/>
              <w:left w:val="single" w:color="auto" w:sz="4" w:space="0"/>
              <w:bottom w:val="single" w:color="auto" w:sz="4" w:space="0"/>
              <w:right w:val="single" w:color="auto" w:sz="4" w:space="0"/>
            </w:tcBorders>
            <w:vAlign w:val="center"/>
          </w:tcPr>
          <w:p w14:paraId="0E371011">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4739482F">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5AA817A3">
            <w:pPr>
              <w:widowControl/>
              <w:spacing w:line="240" w:lineRule="auto"/>
              <w:ind w:firstLine="0" w:firstLineChars="0"/>
              <w:jc w:val="left"/>
              <w:rPr>
                <w:rFonts w:hint="eastAsia" w:ascii="宋体" w:hAnsi="宋体" w:eastAsia="宋体" w:cs="宋体"/>
                <w:szCs w:val="21"/>
                <w:highlight w:val="none"/>
              </w:rPr>
            </w:pPr>
          </w:p>
        </w:tc>
      </w:tr>
      <w:tr w14:paraId="48B0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7D9157FF">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6C641F85">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4484" w:type="dxa"/>
            <w:tcBorders>
              <w:top w:val="single" w:color="auto" w:sz="4" w:space="0"/>
              <w:left w:val="single" w:color="auto" w:sz="4" w:space="0"/>
              <w:bottom w:val="single" w:color="auto" w:sz="4" w:space="0"/>
              <w:right w:val="single" w:color="auto" w:sz="4" w:space="0"/>
            </w:tcBorders>
            <w:vAlign w:val="center"/>
          </w:tcPr>
          <w:p w14:paraId="50D58304">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检修质量达标，设备完好率不低于95％。设备质量抽查不合格或返工一项扣2-5分。</w:t>
            </w:r>
          </w:p>
        </w:tc>
        <w:tc>
          <w:tcPr>
            <w:tcW w:w="1134" w:type="dxa"/>
            <w:tcBorders>
              <w:top w:val="single" w:color="auto" w:sz="4" w:space="0"/>
              <w:left w:val="single" w:color="auto" w:sz="4" w:space="0"/>
              <w:bottom w:val="single" w:color="auto" w:sz="4" w:space="0"/>
              <w:right w:val="single" w:color="auto" w:sz="4" w:space="0"/>
            </w:tcBorders>
            <w:vAlign w:val="center"/>
          </w:tcPr>
          <w:p w14:paraId="4127ED4F">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2B305883">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6D94445C">
            <w:pPr>
              <w:widowControl/>
              <w:spacing w:line="240" w:lineRule="auto"/>
              <w:ind w:firstLine="0" w:firstLineChars="0"/>
              <w:jc w:val="left"/>
              <w:rPr>
                <w:rFonts w:hint="eastAsia" w:ascii="宋体" w:hAnsi="宋体" w:eastAsia="宋体" w:cs="宋体"/>
                <w:szCs w:val="21"/>
                <w:highlight w:val="none"/>
              </w:rPr>
            </w:pPr>
          </w:p>
        </w:tc>
      </w:tr>
      <w:tr w14:paraId="49D6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7C17C7C7">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0C85125D">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4484" w:type="dxa"/>
            <w:tcBorders>
              <w:top w:val="single" w:color="auto" w:sz="4" w:space="0"/>
              <w:left w:val="single" w:color="auto" w:sz="4" w:space="0"/>
              <w:bottom w:val="single" w:color="auto" w:sz="4" w:space="0"/>
              <w:right w:val="single" w:color="auto" w:sz="4" w:space="0"/>
            </w:tcBorders>
            <w:vAlign w:val="center"/>
          </w:tcPr>
          <w:p w14:paraId="0672C084">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检修资料填写正确、清晰并符合要求。一项记录单不符合要求扣1分。</w:t>
            </w:r>
          </w:p>
        </w:tc>
        <w:tc>
          <w:tcPr>
            <w:tcW w:w="1134" w:type="dxa"/>
            <w:tcBorders>
              <w:top w:val="single" w:color="auto" w:sz="4" w:space="0"/>
              <w:left w:val="single" w:color="auto" w:sz="4" w:space="0"/>
              <w:bottom w:val="single" w:color="auto" w:sz="4" w:space="0"/>
              <w:right w:val="single" w:color="auto" w:sz="4" w:space="0"/>
            </w:tcBorders>
            <w:vAlign w:val="center"/>
          </w:tcPr>
          <w:p w14:paraId="618359F7">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255D2CED">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23688DA6">
            <w:pPr>
              <w:widowControl/>
              <w:spacing w:line="240" w:lineRule="auto"/>
              <w:ind w:firstLine="0" w:firstLineChars="0"/>
              <w:jc w:val="left"/>
              <w:rPr>
                <w:rFonts w:hint="eastAsia" w:ascii="宋体" w:hAnsi="宋体" w:eastAsia="宋体" w:cs="宋体"/>
                <w:szCs w:val="21"/>
                <w:highlight w:val="none"/>
              </w:rPr>
            </w:pPr>
          </w:p>
        </w:tc>
      </w:tr>
      <w:tr w14:paraId="3A43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restart"/>
            <w:tcBorders>
              <w:top w:val="single" w:color="auto" w:sz="4" w:space="0"/>
              <w:left w:val="single" w:color="auto" w:sz="4" w:space="0"/>
              <w:bottom w:val="single" w:color="auto" w:sz="4" w:space="0"/>
              <w:right w:val="single" w:color="auto" w:sz="4" w:space="0"/>
            </w:tcBorders>
            <w:vAlign w:val="center"/>
          </w:tcPr>
          <w:p w14:paraId="232B44D3">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故障处理</w:t>
            </w:r>
          </w:p>
          <w:p w14:paraId="5E4BFDA3">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20分</w:t>
            </w:r>
          </w:p>
        </w:tc>
        <w:tc>
          <w:tcPr>
            <w:tcW w:w="760" w:type="dxa"/>
            <w:tcBorders>
              <w:top w:val="single" w:color="auto" w:sz="4" w:space="0"/>
              <w:left w:val="single" w:color="auto" w:sz="4" w:space="0"/>
              <w:bottom w:val="single" w:color="auto" w:sz="4" w:space="0"/>
              <w:right w:val="single" w:color="auto" w:sz="4" w:space="0"/>
            </w:tcBorders>
            <w:vAlign w:val="center"/>
          </w:tcPr>
          <w:p w14:paraId="148FCBB5">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4484" w:type="dxa"/>
            <w:tcBorders>
              <w:top w:val="single" w:color="auto" w:sz="4" w:space="0"/>
              <w:left w:val="single" w:color="auto" w:sz="4" w:space="0"/>
              <w:bottom w:val="single" w:color="auto" w:sz="4" w:space="0"/>
              <w:right w:val="single" w:color="auto" w:sz="4" w:space="0"/>
            </w:tcBorders>
            <w:vAlign w:val="center"/>
          </w:tcPr>
          <w:p w14:paraId="6E89B085">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发现故障或缺陷未及时上报、上报流程不正确、故障处理结果没有按时反馈、故障无记录，发生一次扣3-5分。</w:t>
            </w:r>
          </w:p>
        </w:tc>
        <w:tc>
          <w:tcPr>
            <w:tcW w:w="1134" w:type="dxa"/>
            <w:tcBorders>
              <w:top w:val="single" w:color="auto" w:sz="4" w:space="0"/>
              <w:left w:val="single" w:color="auto" w:sz="4" w:space="0"/>
              <w:bottom w:val="single" w:color="auto" w:sz="4" w:space="0"/>
              <w:right w:val="single" w:color="auto" w:sz="4" w:space="0"/>
            </w:tcBorders>
            <w:vAlign w:val="center"/>
          </w:tcPr>
          <w:p w14:paraId="6DA4F1AE">
            <w:pPr>
              <w:tabs>
                <w:tab w:val="left" w:pos="360"/>
              </w:tabs>
              <w:spacing w:line="240" w:lineRule="auto"/>
              <w:ind w:firstLine="0" w:firstLineChars="0"/>
              <w:rPr>
                <w:rFonts w:hint="eastAsia" w:ascii="宋体" w:hAnsi="宋体" w:eastAsia="宋体" w:cs="宋体"/>
                <w:szCs w:val="21"/>
                <w:highlight w:val="none"/>
              </w:rPr>
            </w:pPr>
          </w:p>
        </w:tc>
        <w:tc>
          <w:tcPr>
            <w:tcW w:w="902" w:type="dxa"/>
            <w:vMerge w:val="restart"/>
            <w:tcBorders>
              <w:top w:val="single" w:color="auto" w:sz="4" w:space="0"/>
              <w:left w:val="single" w:color="auto" w:sz="4" w:space="0"/>
              <w:bottom w:val="single" w:color="auto" w:sz="4" w:space="0"/>
              <w:right w:val="single" w:color="auto" w:sz="4" w:space="0"/>
            </w:tcBorders>
            <w:vAlign w:val="center"/>
          </w:tcPr>
          <w:p w14:paraId="33126FFC">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6A78BAE8">
            <w:pPr>
              <w:widowControl/>
              <w:spacing w:line="240" w:lineRule="auto"/>
              <w:ind w:firstLine="0" w:firstLineChars="0"/>
              <w:jc w:val="left"/>
              <w:rPr>
                <w:rFonts w:hint="eastAsia" w:ascii="宋体" w:hAnsi="宋体" w:eastAsia="宋体" w:cs="宋体"/>
                <w:szCs w:val="21"/>
                <w:highlight w:val="none"/>
              </w:rPr>
            </w:pPr>
          </w:p>
        </w:tc>
      </w:tr>
      <w:tr w14:paraId="60ED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7941A680">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2805B34F">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4484" w:type="dxa"/>
            <w:tcBorders>
              <w:top w:val="single" w:color="auto" w:sz="4" w:space="0"/>
              <w:left w:val="single" w:color="auto" w:sz="4" w:space="0"/>
              <w:bottom w:val="single" w:color="auto" w:sz="4" w:space="0"/>
              <w:right w:val="single" w:color="auto" w:sz="4" w:space="0"/>
            </w:tcBorders>
            <w:vAlign w:val="center"/>
          </w:tcPr>
          <w:p w14:paraId="3894BEC5">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故障接报无人受理；由于</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通讯不畅，造成信息未能及时传达，导致故障处理延误，发生一次扣3-5分。</w:t>
            </w:r>
          </w:p>
        </w:tc>
        <w:tc>
          <w:tcPr>
            <w:tcW w:w="1134" w:type="dxa"/>
            <w:tcBorders>
              <w:top w:val="single" w:color="auto" w:sz="4" w:space="0"/>
              <w:left w:val="single" w:color="auto" w:sz="4" w:space="0"/>
              <w:bottom w:val="single" w:color="auto" w:sz="4" w:space="0"/>
              <w:right w:val="single" w:color="auto" w:sz="4" w:space="0"/>
            </w:tcBorders>
            <w:vAlign w:val="center"/>
          </w:tcPr>
          <w:p w14:paraId="79F60F2C">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2ED606FA">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0381B1C5">
            <w:pPr>
              <w:widowControl/>
              <w:spacing w:line="240" w:lineRule="auto"/>
              <w:ind w:firstLine="0" w:firstLineChars="0"/>
              <w:jc w:val="left"/>
              <w:rPr>
                <w:rFonts w:hint="eastAsia" w:ascii="宋体" w:hAnsi="宋体" w:eastAsia="宋体" w:cs="宋体"/>
                <w:szCs w:val="21"/>
                <w:highlight w:val="none"/>
              </w:rPr>
            </w:pPr>
          </w:p>
        </w:tc>
      </w:tr>
      <w:tr w14:paraId="6A3F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3A725B94">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45CF4E08">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4484" w:type="dxa"/>
            <w:tcBorders>
              <w:top w:val="single" w:color="auto" w:sz="4" w:space="0"/>
              <w:left w:val="single" w:color="auto" w:sz="4" w:space="0"/>
              <w:bottom w:val="single" w:color="auto" w:sz="4" w:space="0"/>
              <w:right w:val="single" w:color="auto" w:sz="4" w:space="0"/>
            </w:tcBorders>
            <w:vAlign w:val="center"/>
          </w:tcPr>
          <w:p w14:paraId="731FA623">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有责故障修复率不低于95％。修复不及时影响使用或其他设备的每项目扣5-10分。</w:t>
            </w:r>
          </w:p>
        </w:tc>
        <w:tc>
          <w:tcPr>
            <w:tcW w:w="1134" w:type="dxa"/>
            <w:tcBorders>
              <w:top w:val="single" w:color="auto" w:sz="4" w:space="0"/>
              <w:left w:val="single" w:color="auto" w:sz="4" w:space="0"/>
              <w:bottom w:val="single" w:color="auto" w:sz="4" w:space="0"/>
              <w:right w:val="single" w:color="auto" w:sz="4" w:space="0"/>
            </w:tcBorders>
            <w:vAlign w:val="center"/>
          </w:tcPr>
          <w:p w14:paraId="0261BDD7">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52A73A62">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719BD069">
            <w:pPr>
              <w:widowControl/>
              <w:spacing w:line="240" w:lineRule="auto"/>
              <w:ind w:firstLine="0" w:firstLineChars="0"/>
              <w:jc w:val="left"/>
              <w:rPr>
                <w:rFonts w:hint="eastAsia" w:ascii="宋体" w:hAnsi="宋体" w:eastAsia="宋体" w:cs="宋体"/>
                <w:szCs w:val="21"/>
                <w:highlight w:val="none"/>
              </w:rPr>
            </w:pPr>
          </w:p>
        </w:tc>
      </w:tr>
      <w:tr w14:paraId="4426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3DD450CE">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3E2914AE">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4484" w:type="dxa"/>
            <w:tcBorders>
              <w:top w:val="single" w:color="auto" w:sz="4" w:space="0"/>
              <w:left w:val="single" w:color="auto" w:sz="4" w:space="0"/>
              <w:bottom w:val="single" w:color="auto" w:sz="4" w:space="0"/>
              <w:right w:val="single" w:color="auto" w:sz="4" w:space="0"/>
            </w:tcBorders>
            <w:vAlign w:val="center"/>
          </w:tcPr>
          <w:p w14:paraId="3914D124">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故障抢修，应急响应时间不超过30分钟。一次处理不及时影响行车的扣5-10分，故障处理不及时被</w:t>
            </w:r>
            <w:r>
              <w:rPr>
                <w:rFonts w:hint="eastAsia" w:ascii="宋体" w:hAnsi="宋体" w:eastAsia="宋体" w:cs="宋体"/>
                <w:szCs w:val="21"/>
                <w:highlight w:val="none"/>
                <w:lang w:val="en-US" w:eastAsia="zh-CN"/>
              </w:rPr>
              <w:t>用户</w:t>
            </w:r>
            <w:r>
              <w:rPr>
                <w:rFonts w:hint="eastAsia" w:ascii="宋体" w:hAnsi="宋体" w:eastAsia="宋体" w:cs="宋体"/>
                <w:szCs w:val="21"/>
                <w:highlight w:val="none"/>
              </w:rPr>
              <w:t>通报的扣10-20分。</w:t>
            </w:r>
          </w:p>
        </w:tc>
        <w:tc>
          <w:tcPr>
            <w:tcW w:w="1134" w:type="dxa"/>
            <w:tcBorders>
              <w:top w:val="single" w:color="auto" w:sz="4" w:space="0"/>
              <w:left w:val="single" w:color="auto" w:sz="4" w:space="0"/>
              <w:bottom w:val="single" w:color="auto" w:sz="4" w:space="0"/>
              <w:right w:val="single" w:color="auto" w:sz="4" w:space="0"/>
            </w:tcBorders>
            <w:vAlign w:val="center"/>
          </w:tcPr>
          <w:p w14:paraId="2AF88B3D">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46B163ED">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47CF2AC4">
            <w:pPr>
              <w:widowControl/>
              <w:spacing w:line="240" w:lineRule="auto"/>
              <w:ind w:firstLine="0" w:firstLineChars="0"/>
              <w:jc w:val="left"/>
              <w:rPr>
                <w:rFonts w:hint="eastAsia" w:ascii="宋体" w:hAnsi="宋体" w:eastAsia="宋体" w:cs="宋体"/>
                <w:szCs w:val="21"/>
                <w:highlight w:val="none"/>
              </w:rPr>
            </w:pPr>
          </w:p>
        </w:tc>
      </w:tr>
      <w:tr w14:paraId="756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043AD229">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4EA80B05">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11</w:t>
            </w:r>
          </w:p>
        </w:tc>
        <w:tc>
          <w:tcPr>
            <w:tcW w:w="4484" w:type="dxa"/>
            <w:tcBorders>
              <w:top w:val="single" w:color="auto" w:sz="4" w:space="0"/>
              <w:left w:val="single" w:color="auto" w:sz="4" w:space="0"/>
              <w:bottom w:val="single" w:color="auto" w:sz="4" w:space="0"/>
              <w:right w:val="single" w:color="auto" w:sz="4" w:space="0"/>
            </w:tcBorders>
            <w:vAlign w:val="center"/>
          </w:tcPr>
          <w:p w14:paraId="1A4B54B8">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通过故障分析等未对设备事故做出正确判断，采取有效措施，导致故障重复的，扣8-10分。</w:t>
            </w:r>
          </w:p>
        </w:tc>
        <w:tc>
          <w:tcPr>
            <w:tcW w:w="1134" w:type="dxa"/>
            <w:tcBorders>
              <w:top w:val="single" w:color="auto" w:sz="4" w:space="0"/>
              <w:left w:val="single" w:color="auto" w:sz="4" w:space="0"/>
              <w:bottom w:val="single" w:color="auto" w:sz="4" w:space="0"/>
              <w:right w:val="single" w:color="auto" w:sz="4" w:space="0"/>
            </w:tcBorders>
            <w:vAlign w:val="center"/>
          </w:tcPr>
          <w:p w14:paraId="4EE8695E">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07C64482">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285711B3">
            <w:pPr>
              <w:widowControl/>
              <w:spacing w:line="240" w:lineRule="auto"/>
              <w:ind w:firstLine="0" w:firstLineChars="0"/>
              <w:jc w:val="left"/>
              <w:rPr>
                <w:rFonts w:hint="eastAsia" w:ascii="宋体" w:hAnsi="宋体" w:eastAsia="宋体" w:cs="宋体"/>
                <w:szCs w:val="21"/>
                <w:highlight w:val="none"/>
              </w:rPr>
            </w:pPr>
          </w:p>
        </w:tc>
      </w:tr>
      <w:tr w14:paraId="3BB2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4245F818">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1EB1680A">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4484" w:type="dxa"/>
            <w:tcBorders>
              <w:top w:val="single" w:color="auto" w:sz="4" w:space="0"/>
              <w:left w:val="single" w:color="auto" w:sz="4" w:space="0"/>
              <w:bottom w:val="single" w:color="auto" w:sz="4" w:space="0"/>
              <w:right w:val="single" w:color="auto" w:sz="4" w:space="0"/>
            </w:tcBorders>
            <w:vAlign w:val="center"/>
          </w:tcPr>
          <w:p w14:paraId="3E74407A">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隐瞒、延报或谎报故障事件的，发生一次扣5-20分。</w:t>
            </w:r>
          </w:p>
        </w:tc>
        <w:tc>
          <w:tcPr>
            <w:tcW w:w="1134" w:type="dxa"/>
            <w:tcBorders>
              <w:top w:val="single" w:color="auto" w:sz="4" w:space="0"/>
              <w:left w:val="single" w:color="auto" w:sz="4" w:space="0"/>
              <w:bottom w:val="single" w:color="auto" w:sz="4" w:space="0"/>
              <w:right w:val="single" w:color="auto" w:sz="4" w:space="0"/>
            </w:tcBorders>
            <w:vAlign w:val="center"/>
          </w:tcPr>
          <w:p w14:paraId="11791F39">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3838BF33">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6AC9F8AA">
            <w:pPr>
              <w:widowControl/>
              <w:spacing w:line="240" w:lineRule="auto"/>
              <w:ind w:firstLine="0" w:firstLineChars="0"/>
              <w:jc w:val="left"/>
              <w:rPr>
                <w:rFonts w:hint="eastAsia" w:ascii="宋体" w:hAnsi="宋体" w:eastAsia="宋体" w:cs="宋体"/>
                <w:szCs w:val="21"/>
                <w:highlight w:val="none"/>
              </w:rPr>
            </w:pPr>
          </w:p>
        </w:tc>
      </w:tr>
      <w:tr w14:paraId="1ECC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09990898">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0ACA5B28">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4484" w:type="dxa"/>
            <w:tcBorders>
              <w:top w:val="single" w:color="auto" w:sz="4" w:space="0"/>
              <w:left w:val="single" w:color="auto" w:sz="4" w:space="0"/>
              <w:bottom w:val="single" w:color="auto" w:sz="4" w:space="0"/>
              <w:right w:val="single" w:color="auto" w:sz="4" w:space="0"/>
            </w:tcBorders>
            <w:vAlign w:val="center"/>
          </w:tcPr>
          <w:p w14:paraId="02226E53">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应急物资未及时补充，携带的备品备件、工器具或其他物资不当，导致延误故障处理，发生一次扣3-5分。</w:t>
            </w:r>
          </w:p>
        </w:tc>
        <w:tc>
          <w:tcPr>
            <w:tcW w:w="1134" w:type="dxa"/>
            <w:tcBorders>
              <w:top w:val="single" w:color="auto" w:sz="4" w:space="0"/>
              <w:left w:val="single" w:color="auto" w:sz="4" w:space="0"/>
              <w:bottom w:val="single" w:color="auto" w:sz="4" w:space="0"/>
              <w:right w:val="single" w:color="auto" w:sz="4" w:space="0"/>
            </w:tcBorders>
            <w:vAlign w:val="center"/>
          </w:tcPr>
          <w:p w14:paraId="05E0ADB9">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5FD4E43A">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6F4D1B93">
            <w:pPr>
              <w:widowControl/>
              <w:spacing w:line="240" w:lineRule="auto"/>
              <w:ind w:firstLine="0" w:firstLineChars="0"/>
              <w:jc w:val="left"/>
              <w:rPr>
                <w:rFonts w:hint="eastAsia" w:ascii="宋体" w:hAnsi="宋体" w:eastAsia="宋体" w:cs="宋体"/>
                <w:szCs w:val="21"/>
                <w:highlight w:val="none"/>
              </w:rPr>
            </w:pPr>
          </w:p>
        </w:tc>
      </w:tr>
      <w:tr w14:paraId="7542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restart"/>
            <w:tcBorders>
              <w:top w:val="single" w:color="auto" w:sz="4" w:space="0"/>
              <w:left w:val="single" w:color="auto" w:sz="4" w:space="0"/>
              <w:bottom w:val="single" w:color="auto" w:sz="4" w:space="0"/>
              <w:right w:val="single" w:color="auto" w:sz="4" w:space="0"/>
            </w:tcBorders>
            <w:vAlign w:val="center"/>
          </w:tcPr>
          <w:p w14:paraId="199AACBD">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安全管理   35分</w:t>
            </w:r>
          </w:p>
        </w:tc>
        <w:tc>
          <w:tcPr>
            <w:tcW w:w="760" w:type="dxa"/>
            <w:tcBorders>
              <w:top w:val="single" w:color="auto" w:sz="4" w:space="0"/>
              <w:left w:val="single" w:color="auto" w:sz="4" w:space="0"/>
              <w:bottom w:val="single" w:color="auto" w:sz="4" w:space="0"/>
              <w:right w:val="single" w:color="auto" w:sz="4" w:space="0"/>
            </w:tcBorders>
            <w:vAlign w:val="center"/>
          </w:tcPr>
          <w:p w14:paraId="2878BF3C">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4484" w:type="dxa"/>
            <w:tcBorders>
              <w:top w:val="single" w:color="auto" w:sz="4" w:space="0"/>
              <w:left w:val="single" w:color="auto" w:sz="4" w:space="0"/>
              <w:bottom w:val="single" w:color="auto" w:sz="4" w:space="0"/>
              <w:right w:val="single" w:color="auto" w:sz="4" w:space="0"/>
            </w:tcBorders>
            <w:vAlign w:val="center"/>
          </w:tcPr>
          <w:p w14:paraId="66D5A2C0">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未办理请点作业手续，擅自进入轨行区，发生一次扣5-20分。</w:t>
            </w:r>
          </w:p>
        </w:tc>
        <w:tc>
          <w:tcPr>
            <w:tcW w:w="1134" w:type="dxa"/>
            <w:tcBorders>
              <w:top w:val="single" w:color="auto" w:sz="4" w:space="0"/>
              <w:left w:val="single" w:color="auto" w:sz="4" w:space="0"/>
              <w:bottom w:val="single" w:color="auto" w:sz="4" w:space="0"/>
              <w:right w:val="single" w:color="auto" w:sz="4" w:space="0"/>
            </w:tcBorders>
            <w:vAlign w:val="center"/>
          </w:tcPr>
          <w:p w14:paraId="174EF958">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1DFB962D">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1180AEF7">
            <w:pPr>
              <w:widowControl/>
              <w:spacing w:line="240" w:lineRule="auto"/>
              <w:ind w:firstLine="0" w:firstLineChars="0"/>
              <w:jc w:val="left"/>
              <w:rPr>
                <w:rFonts w:hint="eastAsia" w:ascii="宋体" w:hAnsi="宋体" w:eastAsia="宋体" w:cs="宋体"/>
                <w:szCs w:val="21"/>
                <w:highlight w:val="none"/>
              </w:rPr>
            </w:pPr>
          </w:p>
        </w:tc>
      </w:tr>
      <w:tr w14:paraId="781F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732E1FC0">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3A7A0E35">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4484" w:type="dxa"/>
            <w:tcBorders>
              <w:top w:val="single" w:color="auto" w:sz="4" w:space="0"/>
              <w:left w:val="single" w:color="auto" w:sz="4" w:space="0"/>
              <w:bottom w:val="single" w:color="auto" w:sz="4" w:space="0"/>
              <w:right w:val="single" w:color="auto" w:sz="4" w:space="0"/>
            </w:tcBorders>
            <w:vAlign w:val="center"/>
          </w:tcPr>
          <w:p w14:paraId="60EFA9E6">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施工结束后，遗留工器具或施工垃圾于轨行区，发生一次扣5-10分。</w:t>
            </w:r>
          </w:p>
        </w:tc>
        <w:tc>
          <w:tcPr>
            <w:tcW w:w="1134" w:type="dxa"/>
            <w:tcBorders>
              <w:top w:val="single" w:color="auto" w:sz="4" w:space="0"/>
              <w:left w:val="single" w:color="auto" w:sz="4" w:space="0"/>
              <w:bottom w:val="single" w:color="auto" w:sz="4" w:space="0"/>
              <w:right w:val="single" w:color="auto" w:sz="4" w:space="0"/>
            </w:tcBorders>
            <w:vAlign w:val="center"/>
          </w:tcPr>
          <w:p w14:paraId="0D3B906A">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36ED3E93">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34229EC5">
            <w:pPr>
              <w:widowControl/>
              <w:spacing w:line="240" w:lineRule="auto"/>
              <w:ind w:firstLine="0" w:firstLineChars="0"/>
              <w:jc w:val="left"/>
              <w:rPr>
                <w:rFonts w:hint="eastAsia" w:ascii="宋体" w:hAnsi="宋体" w:eastAsia="宋体" w:cs="宋体"/>
                <w:szCs w:val="21"/>
                <w:highlight w:val="none"/>
              </w:rPr>
            </w:pPr>
          </w:p>
        </w:tc>
      </w:tr>
      <w:tr w14:paraId="0539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297FD1C6">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3E8964E3">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4484" w:type="dxa"/>
            <w:tcBorders>
              <w:top w:val="single" w:color="auto" w:sz="4" w:space="0"/>
              <w:left w:val="single" w:color="auto" w:sz="4" w:space="0"/>
              <w:bottom w:val="single" w:color="auto" w:sz="4" w:space="0"/>
              <w:right w:val="single" w:color="auto" w:sz="4" w:space="0"/>
            </w:tcBorders>
            <w:vAlign w:val="center"/>
          </w:tcPr>
          <w:p w14:paraId="7EEC87FB">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施工人员夜间在轨行区施工时，没有按规定穿着（荧光衣）,做好自身防护，发生一次扣1-3分。</w:t>
            </w:r>
          </w:p>
        </w:tc>
        <w:tc>
          <w:tcPr>
            <w:tcW w:w="1134" w:type="dxa"/>
            <w:tcBorders>
              <w:top w:val="single" w:color="auto" w:sz="4" w:space="0"/>
              <w:left w:val="single" w:color="auto" w:sz="4" w:space="0"/>
              <w:bottom w:val="single" w:color="auto" w:sz="4" w:space="0"/>
              <w:right w:val="single" w:color="auto" w:sz="4" w:space="0"/>
            </w:tcBorders>
            <w:vAlign w:val="center"/>
          </w:tcPr>
          <w:p w14:paraId="2D83BDD7">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1B4A0296">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237B0D68">
            <w:pPr>
              <w:widowControl/>
              <w:spacing w:line="240" w:lineRule="auto"/>
              <w:ind w:firstLine="0" w:firstLineChars="0"/>
              <w:jc w:val="left"/>
              <w:rPr>
                <w:rFonts w:hint="eastAsia" w:ascii="宋体" w:hAnsi="宋体" w:eastAsia="宋体" w:cs="宋体"/>
                <w:szCs w:val="21"/>
                <w:highlight w:val="none"/>
              </w:rPr>
            </w:pPr>
          </w:p>
        </w:tc>
      </w:tr>
      <w:tr w14:paraId="2AB5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0889F9BC">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57EB664A">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4484" w:type="dxa"/>
            <w:tcBorders>
              <w:top w:val="single" w:color="auto" w:sz="4" w:space="0"/>
              <w:left w:val="single" w:color="auto" w:sz="4" w:space="0"/>
              <w:bottom w:val="single" w:color="auto" w:sz="4" w:space="0"/>
              <w:right w:val="single" w:color="auto" w:sz="4" w:space="0"/>
            </w:tcBorders>
            <w:vAlign w:val="center"/>
          </w:tcPr>
          <w:p w14:paraId="105C51F7">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未按照施工管理规定，及时销点造成作业超时，发生一次扣5-10分。</w:t>
            </w:r>
          </w:p>
        </w:tc>
        <w:tc>
          <w:tcPr>
            <w:tcW w:w="1134" w:type="dxa"/>
            <w:tcBorders>
              <w:top w:val="single" w:color="auto" w:sz="4" w:space="0"/>
              <w:left w:val="single" w:color="auto" w:sz="4" w:space="0"/>
              <w:bottom w:val="single" w:color="auto" w:sz="4" w:space="0"/>
              <w:right w:val="single" w:color="auto" w:sz="4" w:space="0"/>
            </w:tcBorders>
            <w:vAlign w:val="center"/>
          </w:tcPr>
          <w:p w14:paraId="006A80FF">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7B3859DF">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475DA2B6">
            <w:pPr>
              <w:widowControl/>
              <w:spacing w:line="240" w:lineRule="auto"/>
              <w:ind w:firstLine="0" w:firstLineChars="0"/>
              <w:jc w:val="left"/>
              <w:rPr>
                <w:rFonts w:hint="eastAsia" w:ascii="宋体" w:hAnsi="宋体" w:eastAsia="宋体" w:cs="宋体"/>
                <w:szCs w:val="21"/>
                <w:highlight w:val="none"/>
              </w:rPr>
            </w:pPr>
          </w:p>
        </w:tc>
      </w:tr>
      <w:tr w14:paraId="7315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0B3F22CA">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0AAF755F">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4484" w:type="dxa"/>
            <w:tcBorders>
              <w:top w:val="single" w:color="auto" w:sz="4" w:space="0"/>
              <w:left w:val="single" w:color="auto" w:sz="4" w:space="0"/>
              <w:bottom w:val="single" w:color="auto" w:sz="4" w:space="0"/>
              <w:right w:val="single" w:color="auto" w:sz="4" w:space="0"/>
            </w:tcBorders>
            <w:vAlign w:val="center"/>
          </w:tcPr>
          <w:p w14:paraId="74D98E72">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误碰或擅自动用施工区域内的紧急设备设施，发生一次扣5-10分。</w:t>
            </w:r>
          </w:p>
        </w:tc>
        <w:tc>
          <w:tcPr>
            <w:tcW w:w="1134" w:type="dxa"/>
            <w:tcBorders>
              <w:top w:val="single" w:color="auto" w:sz="4" w:space="0"/>
              <w:left w:val="single" w:color="auto" w:sz="4" w:space="0"/>
              <w:bottom w:val="single" w:color="auto" w:sz="4" w:space="0"/>
              <w:right w:val="single" w:color="auto" w:sz="4" w:space="0"/>
            </w:tcBorders>
            <w:vAlign w:val="center"/>
          </w:tcPr>
          <w:p w14:paraId="35993CE1">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227F452B">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2D5B5706">
            <w:pPr>
              <w:widowControl/>
              <w:spacing w:line="240" w:lineRule="auto"/>
              <w:ind w:firstLine="0" w:firstLineChars="0"/>
              <w:jc w:val="left"/>
              <w:rPr>
                <w:rFonts w:hint="eastAsia" w:ascii="宋体" w:hAnsi="宋体" w:eastAsia="宋体" w:cs="宋体"/>
                <w:szCs w:val="21"/>
                <w:highlight w:val="none"/>
              </w:rPr>
            </w:pPr>
          </w:p>
        </w:tc>
      </w:tr>
      <w:tr w14:paraId="24F9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508C17DE">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4AFE2744">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4484" w:type="dxa"/>
            <w:tcBorders>
              <w:top w:val="single" w:color="auto" w:sz="4" w:space="0"/>
              <w:left w:val="single" w:color="auto" w:sz="4" w:space="0"/>
              <w:bottom w:val="single" w:color="auto" w:sz="4" w:space="0"/>
              <w:right w:val="single" w:color="auto" w:sz="4" w:space="0"/>
            </w:tcBorders>
            <w:vAlign w:val="center"/>
          </w:tcPr>
          <w:p w14:paraId="195B386E">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存储、使用易燃易爆物品时，未采用特殊的消防安全措施，发生一次扣5-10分。</w:t>
            </w:r>
          </w:p>
        </w:tc>
        <w:tc>
          <w:tcPr>
            <w:tcW w:w="1134" w:type="dxa"/>
            <w:tcBorders>
              <w:top w:val="single" w:color="auto" w:sz="4" w:space="0"/>
              <w:left w:val="single" w:color="auto" w:sz="4" w:space="0"/>
              <w:bottom w:val="single" w:color="auto" w:sz="4" w:space="0"/>
              <w:right w:val="single" w:color="auto" w:sz="4" w:space="0"/>
            </w:tcBorders>
            <w:vAlign w:val="center"/>
          </w:tcPr>
          <w:p w14:paraId="1A8CDED1">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783DAC6F">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27B17200">
            <w:pPr>
              <w:widowControl/>
              <w:spacing w:line="240" w:lineRule="auto"/>
              <w:ind w:firstLine="0" w:firstLineChars="0"/>
              <w:jc w:val="left"/>
              <w:rPr>
                <w:rFonts w:hint="eastAsia" w:ascii="宋体" w:hAnsi="宋体" w:eastAsia="宋体" w:cs="宋体"/>
                <w:szCs w:val="21"/>
                <w:highlight w:val="none"/>
              </w:rPr>
            </w:pPr>
          </w:p>
        </w:tc>
      </w:tr>
      <w:tr w14:paraId="4D50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48C56D53">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3D483C78">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4484" w:type="dxa"/>
            <w:tcBorders>
              <w:top w:val="single" w:color="auto" w:sz="4" w:space="0"/>
              <w:left w:val="single" w:color="auto" w:sz="4" w:space="0"/>
              <w:bottom w:val="single" w:color="auto" w:sz="4" w:space="0"/>
              <w:right w:val="single" w:color="auto" w:sz="4" w:space="0"/>
            </w:tcBorders>
            <w:vAlign w:val="center"/>
          </w:tcPr>
          <w:p w14:paraId="1C66E7FD">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在车站等禁止吸烟区域吸烟，或在施工现场发现吸烟，一次扣1-3分。</w:t>
            </w:r>
          </w:p>
        </w:tc>
        <w:tc>
          <w:tcPr>
            <w:tcW w:w="1134" w:type="dxa"/>
            <w:tcBorders>
              <w:top w:val="single" w:color="auto" w:sz="4" w:space="0"/>
              <w:left w:val="single" w:color="auto" w:sz="4" w:space="0"/>
              <w:bottom w:val="single" w:color="auto" w:sz="4" w:space="0"/>
              <w:right w:val="single" w:color="auto" w:sz="4" w:space="0"/>
            </w:tcBorders>
            <w:vAlign w:val="center"/>
          </w:tcPr>
          <w:p w14:paraId="1D6C6772">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22B8DAE4">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3FA2F53A">
            <w:pPr>
              <w:widowControl/>
              <w:spacing w:line="240" w:lineRule="auto"/>
              <w:ind w:firstLine="0" w:firstLineChars="0"/>
              <w:jc w:val="left"/>
              <w:rPr>
                <w:rFonts w:hint="eastAsia" w:ascii="宋体" w:hAnsi="宋体" w:eastAsia="宋体" w:cs="宋体"/>
                <w:szCs w:val="21"/>
                <w:highlight w:val="none"/>
              </w:rPr>
            </w:pPr>
          </w:p>
        </w:tc>
      </w:tr>
      <w:tr w14:paraId="28C5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36165A36">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09EC7C56">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4484" w:type="dxa"/>
            <w:tcBorders>
              <w:top w:val="single" w:color="auto" w:sz="4" w:space="0"/>
              <w:left w:val="single" w:color="auto" w:sz="4" w:space="0"/>
              <w:bottom w:val="single" w:color="auto" w:sz="4" w:space="0"/>
              <w:right w:val="single" w:color="auto" w:sz="4" w:space="0"/>
            </w:tcBorders>
            <w:vAlign w:val="center"/>
          </w:tcPr>
          <w:p w14:paraId="72CDBD39">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未办理动火作业手续，进行动火作业，发生一次扣5-10分。</w:t>
            </w:r>
          </w:p>
        </w:tc>
        <w:tc>
          <w:tcPr>
            <w:tcW w:w="1134" w:type="dxa"/>
            <w:tcBorders>
              <w:top w:val="single" w:color="auto" w:sz="4" w:space="0"/>
              <w:left w:val="single" w:color="auto" w:sz="4" w:space="0"/>
              <w:bottom w:val="single" w:color="auto" w:sz="4" w:space="0"/>
              <w:right w:val="single" w:color="auto" w:sz="4" w:space="0"/>
            </w:tcBorders>
            <w:vAlign w:val="center"/>
          </w:tcPr>
          <w:p w14:paraId="30DBAD25">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66EDB841">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0DEA8ABF">
            <w:pPr>
              <w:widowControl/>
              <w:spacing w:line="240" w:lineRule="auto"/>
              <w:ind w:firstLine="0" w:firstLineChars="0"/>
              <w:jc w:val="left"/>
              <w:rPr>
                <w:rFonts w:hint="eastAsia" w:ascii="宋体" w:hAnsi="宋体" w:eastAsia="宋体" w:cs="宋体"/>
                <w:szCs w:val="21"/>
                <w:highlight w:val="none"/>
              </w:rPr>
            </w:pPr>
          </w:p>
        </w:tc>
      </w:tr>
      <w:tr w14:paraId="447E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5238D663">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5C410D0B">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4484" w:type="dxa"/>
            <w:tcBorders>
              <w:top w:val="single" w:color="auto" w:sz="4" w:space="0"/>
              <w:left w:val="single" w:color="auto" w:sz="4" w:space="0"/>
              <w:bottom w:val="single" w:color="auto" w:sz="4" w:space="0"/>
              <w:right w:val="single" w:color="auto" w:sz="4" w:space="0"/>
            </w:tcBorders>
            <w:vAlign w:val="center"/>
          </w:tcPr>
          <w:p w14:paraId="0174EB3E">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现场进行动火作业的人员和申报的动火作业人员不符，发生一次扣1-5分。</w:t>
            </w:r>
          </w:p>
        </w:tc>
        <w:tc>
          <w:tcPr>
            <w:tcW w:w="1134" w:type="dxa"/>
            <w:tcBorders>
              <w:top w:val="single" w:color="auto" w:sz="4" w:space="0"/>
              <w:left w:val="single" w:color="auto" w:sz="4" w:space="0"/>
              <w:bottom w:val="single" w:color="auto" w:sz="4" w:space="0"/>
              <w:right w:val="single" w:color="auto" w:sz="4" w:space="0"/>
            </w:tcBorders>
            <w:vAlign w:val="center"/>
          </w:tcPr>
          <w:p w14:paraId="06E98E20">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785EC503">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2B3EC882">
            <w:pPr>
              <w:widowControl/>
              <w:spacing w:line="240" w:lineRule="auto"/>
              <w:ind w:firstLine="0" w:firstLineChars="0"/>
              <w:jc w:val="left"/>
              <w:rPr>
                <w:rFonts w:hint="eastAsia" w:ascii="宋体" w:hAnsi="宋体" w:eastAsia="宋体" w:cs="宋体"/>
                <w:szCs w:val="21"/>
                <w:highlight w:val="none"/>
              </w:rPr>
            </w:pPr>
          </w:p>
        </w:tc>
      </w:tr>
      <w:tr w14:paraId="6D8D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68331EC7">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7E6B3E2F">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23</w:t>
            </w:r>
          </w:p>
        </w:tc>
        <w:tc>
          <w:tcPr>
            <w:tcW w:w="4484" w:type="dxa"/>
            <w:tcBorders>
              <w:top w:val="single" w:color="auto" w:sz="4" w:space="0"/>
              <w:left w:val="single" w:color="auto" w:sz="4" w:space="0"/>
              <w:bottom w:val="single" w:color="auto" w:sz="4" w:space="0"/>
              <w:right w:val="single" w:color="auto" w:sz="4" w:space="0"/>
            </w:tcBorders>
            <w:vAlign w:val="center"/>
          </w:tcPr>
          <w:p w14:paraId="156B08C2">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施工作业或经营活动中，违章占用或堵塞消防通道，发生一次扣1-5分。</w:t>
            </w:r>
          </w:p>
        </w:tc>
        <w:tc>
          <w:tcPr>
            <w:tcW w:w="1134" w:type="dxa"/>
            <w:tcBorders>
              <w:top w:val="single" w:color="auto" w:sz="4" w:space="0"/>
              <w:left w:val="single" w:color="auto" w:sz="4" w:space="0"/>
              <w:bottom w:val="single" w:color="auto" w:sz="4" w:space="0"/>
              <w:right w:val="single" w:color="auto" w:sz="4" w:space="0"/>
            </w:tcBorders>
            <w:vAlign w:val="center"/>
          </w:tcPr>
          <w:p w14:paraId="28D2C6B8">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2C1924C1">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75C235A1">
            <w:pPr>
              <w:widowControl/>
              <w:spacing w:line="240" w:lineRule="auto"/>
              <w:ind w:firstLine="0" w:firstLineChars="0"/>
              <w:jc w:val="left"/>
              <w:rPr>
                <w:rFonts w:hint="eastAsia" w:ascii="宋体" w:hAnsi="宋体" w:eastAsia="宋体" w:cs="宋体"/>
                <w:szCs w:val="21"/>
                <w:highlight w:val="none"/>
              </w:rPr>
            </w:pPr>
          </w:p>
        </w:tc>
      </w:tr>
      <w:tr w14:paraId="5A26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071C42DE">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13D9F1A4">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24</w:t>
            </w:r>
          </w:p>
        </w:tc>
        <w:tc>
          <w:tcPr>
            <w:tcW w:w="4484" w:type="dxa"/>
            <w:tcBorders>
              <w:top w:val="single" w:color="auto" w:sz="4" w:space="0"/>
              <w:left w:val="single" w:color="auto" w:sz="4" w:space="0"/>
              <w:bottom w:val="single" w:color="auto" w:sz="4" w:space="0"/>
              <w:right w:val="single" w:color="auto" w:sz="4" w:space="0"/>
            </w:tcBorders>
            <w:vAlign w:val="center"/>
          </w:tcPr>
          <w:p w14:paraId="794FDAEF">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特殊工种未持对应的有效证件上岗，发生一次扣1-5分。</w:t>
            </w:r>
          </w:p>
        </w:tc>
        <w:tc>
          <w:tcPr>
            <w:tcW w:w="1134" w:type="dxa"/>
            <w:tcBorders>
              <w:top w:val="single" w:color="auto" w:sz="4" w:space="0"/>
              <w:left w:val="single" w:color="auto" w:sz="4" w:space="0"/>
              <w:bottom w:val="single" w:color="auto" w:sz="4" w:space="0"/>
              <w:right w:val="single" w:color="auto" w:sz="4" w:space="0"/>
            </w:tcBorders>
            <w:vAlign w:val="center"/>
          </w:tcPr>
          <w:p w14:paraId="3521377F">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0F10A6A5">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774ACA8E">
            <w:pPr>
              <w:widowControl/>
              <w:spacing w:line="240" w:lineRule="auto"/>
              <w:ind w:firstLine="0" w:firstLineChars="0"/>
              <w:jc w:val="left"/>
              <w:rPr>
                <w:rFonts w:hint="eastAsia" w:ascii="宋体" w:hAnsi="宋体" w:eastAsia="宋体" w:cs="宋体"/>
                <w:szCs w:val="21"/>
                <w:highlight w:val="none"/>
              </w:rPr>
            </w:pPr>
          </w:p>
        </w:tc>
      </w:tr>
      <w:tr w14:paraId="4F83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3A3D185F">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34A88633">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25</w:t>
            </w:r>
          </w:p>
        </w:tc>
        <w:tc>
          <w:tcPr>
            <w:tcW w:w="4484" w:type="dxa"/>
            <w:tcBorders>
              <w:top w:val="single" w:color="auto" w:sz="4" w:space="0"/>
              <w:left w:val="single" w:color="auto" w:sz="4" w:space="0"/>
              <w:bottom w:val="single" w:color="auto" w:sz="4" w:space="0"/>
              <w:right w:val="single" w:color="auto" w:sz="4" w:space="0"/>
            </w:tcBorders>
            <w:vAlign w:val="center"/>
          </w:tcPr>
          <w:p w14:paraId="721128EF">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特殊作业未配戴相应劳动安全保护用品，发生一次扣1-3分。</w:t>
            </w:r>
          </w:p>
        </w:tc>
        <w:tc>
          <w:tcPr>
            <w:tcW w:w="1134" w:type="dxa"/>
            <w:tcBorders>
              <w:top w:val="single" w:color="auto" w:sz="4" w:space="0"/>
              <w:left w:val="single" w:color="auto" w:sz="4" w:space="0"/>
              <w:bottom w:val="single" w:color="auto" w:sz="4" w:space="0"/>
              <w:right w:val="single" w:color="auto" w:sz="4" w:space="0"/>
            </w:tcBorders>
            <w:vAlign w:val="center"/>
          </w:tcPr>
          <w:p w14:paraId="1DD7EE0C">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49F9CF14">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49EA33B0">
            <w:pPr>
              <w:widowControl/>
              <w:spacing w:line="240" w:lineRule="auto"/>
              <w:ind w:firstLine="0" w:firstLineChars="0"/>
              <w:jc w:val="left"/>
              <w:rPr>
                <w:rFonts w:hint="eastAsia" w:ascii="宋体" w:hAnsi="宋体" w:eastAsia="宋体" w:cs="宋体"/>
                <w:szCs w:val="21"/>
                <w:highlight w:val="none"/>
              </w:rPr>
            </w:pPr>
          </w:p>
        </w:tc>
      </w:tr>
      <w:tr w14:paraId="7FD0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6D2E5797">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58D1D4F2">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26</w:t>
            </w:r>
          </w:p>
        </w:tc>
        <w:tc>
          <w:tcPr>
            <w:tcW w:w="4484" w:type="dxa"/>
            <w:tcBorders>
              <w:top w:val="single" w:color="auto" w:sz="4" w:space="0"/>
              <w:left w:val="single" w:color="auto" w:sz="4" w:space="0"/>
              <w:bottom w:val="single" w:color="auto" w:sz="4" w:space="0"/>
              <w:right w:val="single" w:color="auto" w:sz="4" w:space="0"/>
            </w:tcBorders>
            <w:vAlign w:val="center"/>
          </w:tcPr>
          <w:p w14:paraId="5181DFC8">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未办理相关手续，私拉、乱接临时电气线路，发生一次扣1-3分。</w:t>
            </w:r>
          </w:p>
        </w:tc>
        <w:tc>
          <w:tcPr>
            <w:tcW w:w="1134" w:type="dxa"/>
            <w:tcBorders>
              <w:top w:val="single" w:color="auto" w:sz="4" w:space="0"/>
              <w:left w:val="single" w:color="auto" w:sz="4" w:space="0"/>
              <w:bottom w:val="single" w:color="auto" w:sz="4" w:space="0"/>
              <w:right w:val="single" w:color="auto" w:sz="4" w:space="0"/>
            </w:tcBorders>
            <w:vAlign w:val="center"/>
          </w:tcPr>
          <w:p w14:paraId="22E7ACBA">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5E85F587">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1E457D0E">
            <w:pPr>
              <w:widowControl/>
              <w:spacing w:line="240" w:lineRule="auto"/>
              <w:ind w:firstLine="0" w:firstLineChars="0"/>
              <w:jc w:val="left"/>
              <w:rPr>
                <w:rFonts w:hint="eastAsia" w:ascii="宋体" w:hAnsi="宋体" w:eastAsia="宋体" w:cs="宋体"/>
                <w:szCs w:val="21"/>
                <w:highlight w:val="none"/>
              </w:rPr>
            </w:pPr>
          </w:p>
        </w:tc>
      </w:tr>
      <w:tr w14:paraId="563D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0FC484F2">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14117B6B">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27</w:t>
            </w:r>
          </w:p>
        </w:tc>
        <w:tc>
          <w:tcPr>
            <w:tcW w:w="4484" w:type="dxa"/>
            <w:tcBorders>
              <w:top w:val="single" w:color="auto" w:sz="4" w:space="0"/>
              <w:left w:val="single" w:color="auto" w:sz="4" w:space="0"/>
              <w:bottom w:val="single" w:color="auto" w:sz="4" w:space="0"/>
              <w:right w:val="single" w:color="auto" w:sz="4" w:space="0"/>
            </w:tcBorders>
            <w:vAlign w:val="center"/>
          </w:tcPr>
          <w:p w14:paraId="125778B4">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施工过程中，不听从属地管理单位的管理，野蛮施工，发生一次扣1-3分。</w:t>
            </w:r>
          </w:p>
        </w:tc>
        <w:tc>
          <w:tcPr>
            <w:tcW w:w="1134" w:type="dxa"/>
            <w:tcBorders>
              <w:top w:val="single" w:color="auto" w:sz="4" w:space="0"/>
              <w:left w:val="single" w:color="auto" w:sz="4" w:space="0"/>
              <w:bottom w:val="single" w:color="auto" w:sz="4" w:space="0"/>
              <w:right w:val="single" w:color="auto" w:sz="4" w:space="0"/>
            </w:tcBorders>
            <w:vAlign w:val="center"/>
          </w:tcPr>
          <w:p w14:paraId="6B6F4C8A">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2983C21D">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637A2D43">
            <w:pPr>
              <w:widowControl/>
              <w:spacing w:line="240" w:lineRule="auto"/>
              <w:ind w:firstLine="0" w:firstLineChars="0"/>
              <w:jc w:val="left"/>
              <w:rPr>
                <w:rFonts w:hint="eastAsia" w:ascii="宋体" w:hAnsi="宋体" w:eastAsia="宋体" w:cs="宋体"/>
                <w:szCs w:val="21"/>
                <w:highlight w:val="none"/>
              </w:rPr>
            </w:pPr>
          </w:p>
        </w:tc>
      </w:tr>
      <w:tr w14:paraId="4DD0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2A86A515">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4379BB8A">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28</w:t>
            </w:r>
          </w:p>
        </w:tc>
        <w:tc>
          <w:tcPr>
            <w:tcW w:w="4484" w:type="dxa"/>
            <w:tcBorders>
              <w:top w:val="single" w:color="auto" w:sz="4" w:space="0"/>
              <w:left w:val="single" w:color="auto" w:sz="4" w:space="0"/>
              <w:bottom w:val="single" w:color="auto" w:sz="4" w:space="0"/>
              <w:right w:val="single" w:color="auto" w:sz="4" w:space="0"/>
            </w:tcBorders>
            <w:vAlign w:val="center"/>
          </w:tcPr>
          <w:p w14:paraId="43B4CB81">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施工人员在施工区域内打架斗殴、酗酒赌博等不良行为，发生一次扣1-3分。</w:t>
            </w:r>
          </w:p>
        </w:tc>
        <w:tc>
          <w:tcPr>
            <w:tcW w:w="1134" w:type="dxa"/>
            <w:tcBorders>
              <w:top w:val="single" w:color="auto" w:sz="4" w:space="0"/>
              <w:left w:val="single" w:color="auto" w:sz="4" w:space="0"/>
              <w:bottom w:val="single" w:color="auto" w:sz="4" w:space="0"/>
              <w:right w:val="single" w:color="auto" w:sz="4" w:space="0"/>
            </w:tcBorders>
            <w:vAlign w:val="center"/>
          </w:tcPr>
          <w:p w14:paraId="704248E5">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4B30E095">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0E511239">
            <w:pPr>
              <w:widowControl/>
              <w:spacing w:line="240" w:lineRule="auto"/>
              <w:ind w:firstLine="0" w:firstLineChars="0"/>
              <w:jc w:val="left"/>
              <w:rPr>
                <w:rFonts w:hint="eastAsia" w:ascii="宋体" w:hAnsi="宋体" w:eastAsia="宋体" w:cs="宋体"/>
                <w:szCs w:val="21"/>
                <w:highlight w:val="none"/>
              </w:rPr>
            </w:pPr>
          </w:p>
        </w:tc>
      </w:tr>
      <w:tr w14:paraId="2BA1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7194AD31">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4F32D26D">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29</w:t>
            </w:r>
          </w:p>
        </w:tc>
        <w:tc>
          <w:tcPr>
            <w:tcW w:w="4484" w:type="dxa"/>
            <w:tcBorders>
              <w:top w:val="single" w:color="auto" w:sz="4" w:space="0"/>
              <w:left w:val="single" w:color="auto" w:sz="4" w:space="0"/>
              <w:bottom w:val="single" w:color="auto" w:sz="4" w:space="0"/>
              <w:right w:val="single" w:color="auto" w:sz="4" w:space="0"/>
            </w:tcBorders>
            <w:vAlign w:val="center"/>
          </w:tcPr>
          <w:p w14:paraId="0682BA10">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施工过程中，存在随地大小便、胡乱粉涂等影响车站环境等行为，发生一次扣1-5分。</w:t>
            </w:r>
          </w:p>
        </w:tc>
        <w:tc>
          <w:tcPr>
            <w:tcW w:w="1134" w:type="dxa"/>
            <w:tcBorders>
              <w:top w:val="single" w:color="auto" w:sz="4" w:space="0"/>
              <w:left w:val="single" w:color="auto" w:sz="4" w:space="0"/>
              <w:bottom w:val="single" w:color="auto" w:sz="4" w:space="0"/>
              <w:right w:val="single" w:color="auto" w:sz="4" w:space="0"/>
            </w:tcBorders>
            <w:vAlign w:val="center"/>
          </w:tcPr>
          <w:p w14:paraId="4061AADD">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436585D5">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242B83F1">
            <w:pPr>
              <w:widowControl/>
              <w:spacing w:line="240" w:lineRule="auto"/>
              <w:ind w:firstLine="0" w:firstLineChars="0"/>
              <w:jc w:val="left"/>
              <w:rPr>
                <w:rFonts w:hint="eastAsia" w:ascii="宋体" w:hAnsi="宋体" w:eastAsia="宋体" w:cs="宋体"/>
                <w:szCs w:val="21"/>
                <w:highlight w:val="none"/>
              </w:rPr>
            </w:pPr>
          </w:p>
        </w:tc>
      </w:tr>
      <w:tr w14:paraId="0040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7F64D114">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7CCF0175">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30</w:t>
            </w:r>
          </w:p>
        </w:tc>
        <w:tc>
          <w:tcPr>
            <w:tcW w:w="4484" w:type="dxa"/>
            <w:tcBorders>
              <w:top w:val="single" w:color="auto" w:sz="4" w:space="0"/>
              <w:left w:val="single" w:color="auto" w:sz="4" w:space="0"/>
              <w:bottom w:val="single" w:color="auto" w:sz="4" w:space="0"/>
              <w:right w:val="single" w:color="auto" w:sz="4" w:space="0"/>
            </w:tcBorders>
            <w:vAlign w:val="center"/>
          </w:tcPr>
          <w:p w14:paraId="731A8DB5">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作业过程中危及乘客或</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员工的人身安全，发生一次扣10-20分。</w:t>
            </w:r>
          </w:p>
        </w:tc>
        <w:tc>
          <w:tcPr>
            <w:tcW w:w="1134" w:type="dxa"/>
            <w:tcBorders>
              <w:top w:val="single" w:color="auto" w:sz="4" w:space="0"/>
              <w:left w:val="single" w:color="auto" w:sz="4" w:space="0"/>
              <w:bottom w:val="single" w:color="auto" w:sz="4" w:space="0"/>
              <w:right w:val="single" w:color="auto" w:sz="4" w:space="0"/>
            </w:tcBorders>
            <w:vAlign w:val="center"/>
          </w:tcPr>
          <w:p w14:paraId="24E29D48">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1E2D66E1">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23E2AA98">
            <w:pPr>
              <w:widowControl/>
              <w:spacing w:line="240" w:lineRule="auto"/>
              <w:ind w:firstLine="0" w:firstLineChars="0"/>
              <w:jc w:val="left"/>
              <w:rPr>
                <w:rFonts w:hint="eastAsia" w:ascii="宋体" w:hAnsi="宋体" w:eastAsia="宋体" w:cs="宋体"/>
                <w:szCs w:val="21"/>
                <w:highlight w:val="none"/>
              </w:rPr>
            </w:pPr>
          </w:p>
        </w:tc>
      </w:tr>
      <w:tr w14:paraId="14A1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64EB3103">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52258000">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31</w:t>
            </w:r>
          </w:p>
        </w:tc>
        <w:tc>
          <w:tcPr>
            <w:tcW w:w="4484" w:type="dxa"/>
            <w:tcBorders>
              <w:top w:val="single" w:color="auto" w:sz="4" w:space="0"/>
              <w:left w:val="single" w:color="auto" w:sz="4" w:space="0"/>
              <w:bottom w:val="single" w:color="auto" w:sz="4" w:space="0"/>
              <w:right w:val="single" w:color="auto" w:sz="4" w:space="0"/>
            </w:tcBorders>
            <w:vAlign w:val="center"/>
          </w:tcPr>
          <w:p w14:paraId="2BC9F30C">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作业过程影响正常运营秩序，对乘客造成影响，发生一次扣5-10分。</w:t>
            </w:r>
          </w:p>
        </w:tc>
        <w:tc>
          <w:tcPr>
            <w:tcW w:w="1134" w:type="dxa"/>
            <w:tcBorders>
              <w:top w:val="single" w:color="auto" w:sz="4" w:space="0"/>
              <w:left w:val="single" w:color="auto" w:sz="4" w:space="0"/>
              <w:bottom w:val="single" w:color="auto" w:sz="4" w:space="0"/>
              <w:right w:val="single" w:color="auto" w:sz="4" w:space="0"/>
            </w:tcBorders>
            <w:vAlign w:val="center"/>
          </w:tcPr>
          <w:p w14:paraId="7532EF2A">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38AB9C4B">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2C028B17">
            <w:pPr>
              <w:widowControl/>
              <w:spacing w:line="240" w:lineRule="auto"/>
              <w:ind w:firstLine="0" w:firstLineChars="0"/>
              <w:jc w:val="left"/>
              <w:rPr>
                <w:rFonts w:hint="eastAsia" w:ascii="宋体" w:hAnsi="宋体" w:eastAsia="宋体" w:cs="宋体"/>
                <w:szCs w:val="21"/>
                <w:highlight w:val="none"/>
              </w:rPr>
            </w:pPr>
          </w:p>
        </w:tc>
      </w:tr>
      <w:tr w14:paraId="60C5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774C648F">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421821CF">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32</w:t>
            </w:r>
          </w:p>
        </w:tc>
        <w:tc>
          <w:tcPr>
            <w:tcW w:w="4484" w:type="dxa"/>
            <w:tcBorders>
              <w:top w:val="single" w:color="auto" w:sz="4" w:space="0"/>
              <w:left w:val="single" w:color="auto" w:sz="4" w:space="0"/>
              <w:bottom w:val="single" w:color="auto" w:sz="4" w:space="0"/>
              <w:right w:val="single" w:color="auto" w:sz="4" w:space="0"/>
            </w:tcBorders>
            <w:vAlign w:val="center"/>
          </w:tcPr>
          <w:p w14:paraId="2B50A00C">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使用的机械或其他作业设备带病工作，不满足安全要求，发生一次扣1-3分。</w:t>
            </w:r>
          </w:p>
        </w:tc>
        <w:tc>
          <w:tcPr>
            <w:tcW w:w="1134" w:type="dxa"/>
            <w:tcBorders>
              <w:top w:val="single" w:color="auto" w:sz="4" w:space="0"/>
              <w:left w:val="single" w:color="auto" w:sz="4" w:space="0"/>
              <w:bottom w:val="single" w:color="auto" w:sz="4" w:space="0"/>
              <w:right w:val="single" w:color="auto" w:sz="4" w:space="0"/>
            </w:tcBorders>
            <w:vAlign w:val="center"/>
          </w:tcPr>
          <w:p w14:paraId="1661087E">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1F8AF1F0">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5784C87B">
            <w:pPr>
              <w:widowControl/>
              <w:spacing w:line="240" w:lineRule="auto"/>
              <w:ind w:firstLine="0" w:firstLineChars="0"/>
              <w:jc w:val="left"/>
              <w:rPr>
                <w:rFonts w:hint="eastAsia" w:ascii="宋体" w:hAnsi="宋体" w:eastAsia="宋体" w:cs="宋体"/>
                <w:szCs w:val="21"/>
                <w:highlight w:val="none"/>
              </w:rPr>
            </w:pPr>
          </w:p>
        </w:tc>
      </w:tr>
      <w:tr w14:paraId="3D4E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522F33BF">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3FAF6308">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33</w:t>
            </w:r>
          </w:p>
        </w:tc>
        <w:tc>
          <w:tcPr>
            <w:tcW w:w="4484" w:type="dxa"/>
            <w:tcBorders>
              <w:top w:val="single" w:color="auto" w:sz="4" w:space="0"/>
              <w:left w:val="single" w:color="auto" w:sz="4" w:space="0"/>
              <w:bottom w:val="single" w:color="auto" w:sz="4" w:space="0"/>
              <w:right w:val="single" w:color="auto" w:sz="4" w:space="0"/>
            </w:tcBorders>
            <w:vAlign w:val="center"/>
          </w:tcPr>
          <w:p w14:paraId="31F0280A">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甲方</w:t>
            </w:r>
            <w:r>
              <w:rPr>
                <w:rFonts w:hint="eastAsia" w:ascii="宋体" w:hAnsi="宋体" w:eastAsia="宋体" w:cs="宋体"/>
                <w:szCs w:val="21"/>
                <w:highlight w:val="none"/>
              </w:rPr>
              <w:t>派遣人员在事故调查过程中，</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不积极配合提供有关资料，发生一次扣1-5分。</w:t>
            </w:r>
          </w:p>
        </w:tc>
        <w:tc>
          <w:tcPr>
            <w:tcW w:w="1134" w:type="dxa"/>
            <w:tcBorders>
              <w:top w:val="single" w:color="auto" w:sz="4" w:space="0"/>
              <w:left w:val="single" w:color="auto" w:sz="4" w:space="0"/>
              <w:bottom w:val="single" w:color="auto" w:sz="4" w:space="0"/>
              <w:right w:val="single" w:color="auto" w:sz="4" w:space="0"/>
            </w:tcBorders>
            <w:vAlign w:val="center"/>
          </w:tcPr>
          <w:p w14:paraId="52A20722">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49A358DD">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3E2B09E4">
            <w:pPr>
              <w:widowControl/>
              <w:spacing w:line="240" w:lineRule="auto"/>
              <w:ind w:firstLine="0" w:firstLineChars="0"/>
              <w:jc w:val="left"/>
              <w:rPr>
                <w:rFonts w:hint="eastAsia" w:ascii="宋体" w:hAnsi="宋体" w:eastAsia="宋体" w:cs="宋体"/>
                <w:szCs w:val="21"/>
                <w:highlight w:val="none"/>
              </w:rPr>
            </w:pPr>
          </w:p>
        </w:tc>
      </w:tr>
      <w:tr w14:paraId="06FF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4CE31B07">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63CFC771">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34</w:t>
            </w:r>
          </w:p>
        </w:tc>
        <w:tc>
          <w:tcPr>
            <w:tcW w:w="4484" w:type="dxa"/>
            <w:tcBorders>
              <w:top w:val="single" w:color="auto" w:sz="4" w:space="0"/>
              <w:left w:val="single" w:color="auto" w:sz="4" w:space="0"/>
              <w:bottom w:val="single" w:color="auto" w:sz="4" w:space="0"/>
              <w:right w:val="single" w:color="auto" w:sz="4" w:space="0"/>
            </w:tcBorders>
            <w:vAlign w:val="center"/>
          </w:tcPr>
          <w:p w14:paraId="1A9D3B8D">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认真做好各项安全生产记录。月度生产会，相关通报传达签字不及时的每项扣1-2分。</w:t>
            </w:r>
          </w:p>
        </w:tc>
        <w:tc>
          <w:tcPr>
            <w:tcW w:w="1134" w:type="dxa"/>
            <w:tcBorders>
              <w:top w:val="single" w:color="auto" w:sz="4" w:space="0"/>
              <w:left w:val="single" w:color="auto" w:sz="4" w:space="0"/>
              <w:bottom w:val="single" w:color="auto" w:sz="4" w:space="0"/>
              <w:right w:val="single" w:color="auto" w:sz="4" w:space="0"/>
            </w:tcBorders>
            <w:vAlign w:val="center"/>
          </w:tcPr>
          <w:p w14:paraId="19E0ACF3">
            <w:pPr>
              <w:tabs>
                <w:tab w:val="left" w:pos="360"/>
              </w:tabs>
              <w:spacing w:line="240" w:lineRule="auto"/>
              <w:ind w:firstLine="0" w:firstLineChars="0"/>
              <w:rPr>
                <w:rFonts w:hint="eastAsia" w:ascii="宋体" w:hAnsi="宋体" w:eastAsia="宋体" w:cs="宋体"/>
                <w:szCs w:val="21"/>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024618CD">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69499ADA">
            <w:pPr>
              <w:widowControl/>
              <w:spacing w:line="240" w:lineRule="auto"/>
              <w:ind w:firstLine="0" w:firstLineChars="0"/>
              <w:jc w:val="left"/>
              <w:rPr>
                <w:rFonts w:hint="eastAsia" w:ascii="宋体" w:hAnsi="宋体" w:eastAsia="宋体" w:cs="宋体"/>
                <w:szCs w:val="21"/>
                <w:highlight w:val="none"/>
              </w:rPr>
            </w:pPr>
          </w:p>
        </w:tc>
      </w:tr>
      <w:tr w14:paraId="5E61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restart"/>
            <w:tcBorders>
              <w:top w:val="single" w:color="auto" w:sz="4" w:space="0"/>
              <w:left w:val="single" w:color="auto" w:sz="4" w:space="0"/>
              <w:bottom w:val="single" w:color="auto" w:sz="4" w:space="0"/>
              <w:right w:val="single" w:color="auto" w:sz="4" w:space="0"/>
            </w:tcBorders>
            <w:vAlign w:val="center"/>
          </w:tcPr>
          <w:p w14:paraId="359D5483">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基础工作   10分</w:t>
            </w:r>
          </w:p>
        </w:tc>
        <w:tc>
          <w:tcPr>
            <w:tcW w:w="760" w:type="dxa"/>
            <w:tcBorders>
              <w:top w:val="single" w:color="auto" w:sz="4" w:space="0"/>
              <w:left w:val="single" w:color="auto" w:sz="4" w:space="0"/>
              <w:bottom w:val="single" w:color="auto" w:sz="4" w:space="0"/>
              <w:right w:val="single" w:color="auto" w:sz="4" w:space="0"/>
            </w:tcBorders>
            <w:vAlign w:val="center"/>
          </w:tcPr>
          <w:p w14:paraId="73B9DEED">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4484" w:type="dxa"/>
            <w:tcBorders>
              <w:top w:val="single" w:color="auto" w:sz="4" w:space="0"/>
              <w:left w:val="single" w:color="auto" w:sz="4" w:space="0"/>
              <w:bottom w:val="single" w:color="auto" w:sz="4" w:space="0"/>
              <w:right w:val="single" w:color="auto" w:sz="4" w:space="0"/>
            </w:tcBorders>
            <w:vAlign w:val="center"/>
          </w:tcPr>
          <w:p w14:paraId="74223EF6">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上岗人员资格符合合同规定。生产骨干不符合要求的每人扣2分，被明确要求更换人员的每人次扣2分。相关上岗证未及时取得的每人次扣1分。部门或公司组织的技术、安全考试不合格的每人次扣0.5分。</w:t>
            </w:r>
          </w:p>
        </w:tc>
        <w:tc>
          <w:tcPr>
            <w:tcW w:w="1134" w:type="dxa"/>
            <w:tcBorders>
              <w:top w:val="single" w:color="auto" w:sz="4" w:space="0"/>
              <w:left w:val="single" w:color="auto" w:sz="4" w:space="0"/>
              <w:bottom w:val="single" w:color="auto" w:sz="4" w:space="0"/>
              <w:right w:val="single" w:color="auto" w:sz="4" w:space="0"/>
            </w:tcBorders>
            <w:vAlign w:val="center"/>
          </w:tcPr>
          <w:p w14:paraId="49ADBA08">
            <w:pPr>
              <w:tabs>
                <w:tab w:val="left" w:pos="360"/>
              </w:tabs>
              <w:spacing w:line="240" w:lineRule="auto"/>
              <w:ind w:firstLine="0" w:firstLineChars="0"/>
              <w:rPr>
                <w:rFonts w:hint="eastAsia" w:ascii="宋体" w:hAnsi="宋体" w:eastAsia="宋体" w:cs="宋体"/>
                <w:szCs w:val="21"/>
                <w:highlight w:val="none"/>
              </w:rPr>
            </w:pPr>
          </w:p>
        </w:tc>
        <w:tc>
          <w:tcPr>
            <w:tcW w:w="902" w:type="dxa"/>
            <w:vMerge w:val="restart"/>
            <w:tcBorders>
              <w:top w:val="single" w:color="auto" w:sz="4" w:space="0"/>
              <w:left w:val="single" w:color="auto" w:sz="4" w:space="0"/>
              <w:bottom w:val="single" w:color="auto" w:sz="4" w:space="0"/>
              <w:right w:val="single" w:color="auto" w:sz="4" w:space="0"/>
            </w:tcBorders>
            <w:vAlign w:val="center"/>
          </w:tcPr>
          <w:p w14:paraId="334A35EE">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49E1DE7E">
            <w:pPr>
              <w:widowControl/>
              <w:spacing w:line="240" w:lineRule="auto"/>
              <w:ind w:firstLine="0" w:firstLineChars="0"/>
              <w:jc w:val="left"/>
              <w:rPr>
                <w:rFonts w:hint="eastAsia" w:ascii="宋体" w:hAnsi="宋体" w:eastAsia="宋体" w:cs="宋体"/>
                <w:szCs w:val="21"/>
                <w:highlight w:val="none"/>
              </w:rPr>
            </w:pPr>
          </w:p>
        </w:tc>
      </w:tr>
      <w:tr w14:paraId="2B7F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4AB05F4F">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317BF857">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36</w:t>
            </w:r>
          </w:p>
        </w:tc>
        <w:tc>
          <w:tcPr>
            <w:tcW w:w="4484" w:type="dxa"/>
            <w:tcBorders>
              <w:top w:val="single" w:color="auto" w:sz="4" w:space="0"/>
              <w:left w:val="single" w:color="auto" w:sz="4" w:space="0"/>
              <w:bottom w:val="single" w:color="auto" w:sz="4" w:space="0"/>
              <w:right w:val="single" w:color="auto" w:sz="4" w:space="0"/>
            </w:tcBorders>
            <w:vAlign w:val="center"/>
          </w:tcPr>
          <w:p w14:paraId="2E241B74">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工器具配置符合合同规定。标准配置每少一件扣0.5分。</w:t>
            </w:r>
          </w:p>
        </w:tc>
        <w:tc>
          <w:tcPr>
            <w:tcW w:w="1134" w:type="dxa"/>
            <w:tcBorders>
              <w:top w:val="single" w:color="auto" w:sz="4" w:space="0"/>
              <w:left w:val="single" w:color="auto" w:sz="4" w:space="0"/>
              <w:bottom w:val="single" w:color="auto" w:sz="4" w:space="0"/>
              <w:right w:val="single" w:color="auto" w:sz="4" w:space="0"/>
            </w:tcBorders>
            <w:vAlign w:val="center"/>
          </w:tcPr>
          <w:p w14:paraId="56E731DF">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171E5F80">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50093623">
            <w:pPr>
              <w:widowControl/>
              <w:spacing w:line="240" w:lineRule="auto"/>
              <w:ind w:firstLine="0" w:firstLineChars="0"/>
              <w:jc w:val="left"/>
              <w:rPr>
                <w:rFonts w:hint="eastAsia" w:ascii="宋体" w:hAnsi="宋体" w:eastAsia="宋体" w:cs="宋体"/>
                <w:szCs w:val="21"/>
                <w:highlight w:val="none"/>
              </w:rPr>
            </w:pPr>
          </w:p>
        </w:tc>
      </w:tr>
      <w:tr w14:paraId="3167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5BF64E19">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5482A774">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37</w:t>
            </w:r>
          </w:p>
        </w:tc>
        <w:tc>
          <w:tcPr>
            <w:tcW w:w="4484" w:type="dxa"/>
            <w:tcBorders>
              <w:top w:val="single" w:color="auto" w:sz="4" w:space="0"/>
              <w:left w:val="single" w:color="auto" w:sz="4" w:space="0"/>
              <w:bottom w:val="single" w:color="auto" w:sz="4" w:space="0"/>
              <w:right w:val="single" w:color="auto" w:sz="4" w:space="0"/>
            </w:tcBorders>
            <w:vAlign w:val="center"/>
          </w:tcPr>
          <w:p w14:paraId="7FD4D4E7">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家具备品、办公用品等各项资源配置满足生产需要。每少一件扣0.5分。废旧物资未及时收回管理每次扣1-2分。</w:t>
            </w:r>
          </w:p>
        </w:tc>
        <w:tc>
          <w:tcPr>
            <w:tcW w:w="1134" w:type="dxa"/>
            <w:tcBorders>
              <w:top w:val="single" w:color="auto" w:sz="4" w:space="0"/>
              <w:left w:val="single" w:color="auto" w:sz="4" w:space="0"/>
              <w:bottom w:val="single" w:color="auto" w:sz="4" w:space="0"/>
              <w:right w:val="single" w:color="auto" w:sz="4" w:space="0"/>
            </w:tcBorders>
            <w:vAlign w:val="center"/>
          </w:tcPr>
          <w:p w14:paraId="56D476B9">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68BDB9D2">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68755A3A">
            <w:pPr>
              <w:widowControl/>
              <w:spacing w:line="240" w:lineRule="auto"/>
              <w:ind w:firstLine="0" w:firstLineChars="0"/>
              <w:jc w:val="left"/>
              <w:rPr>
                <w:rFonts w:hint="eastAsia" w:ascii="宋体" w:hAnsi="宋体" w:eastAsia="宋体" w:cs="宋体"/>
                <w:szCs w:val="21"/>
                <w:highlight w:val="none"/>
              </w:rPr>
            </w:pPr>
          </w:p>
        </w:tc>
      </w:tr>
      <w:tr w14:paraId="1C21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70AE41E7">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003C72FC">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38</w:t>
            </w:r>
          </w:p>
        </w:tc>
        <w:tc>
          <w:tcPr>
            <w:tcW w:w="4484" w:type="dxa"/>
            <w:tcBorders>
              <w:top w:val="single" w:color="auto" w:sz="4" w:space="0"/>
              <w:left w:val="single" w:color="auto" w:sz="4" w:space="0"/>
              <w:bottom w:val="single" w:color="auto" w:sz="4" w:space="0"/>
              <w:right w:val="single" w:color="auto" w:sz="4" w:space="0"/>
            </w:tcBorders>
            <w:vAlign w:val="center"/>
          </w:tcPr>
          <w:p w14:paraId="3C0CE963">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生产管理制度健全。生产制度不健全的每少一项扣1-2分。检查</w:t>
            </w:r>
          </w:p>
          <w:p w14:paraId="5F637FA8">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人员不熟悉管理制度每次扣0.5分。</w:t>
            </w:r>
          </w:p>
        </w:tc>
        <w:tc>
          <w:tcPr>
            <w:tcW w:w="1134" w:type="dxa"/>
            <w:tcBorders>
              <w:top w:val="single" w:color="auto" w:sz="4" w:space="0"/>
              <w:left w:val="single" w:color="auto" w:sz="4" w:space="0"/>
              <w:bottom w:val="single" w:color="auto" w:sz="4" w:space="0"/>
              <w:right w:val="single" w:color="auto" w:sz="4" w:space="0"/>
            </w:tcBorders>
            <w:vAlign w:val="center"/>
          </w:tcPr>
          <w:p w14:paraId="3EC93E72">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0D598760">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2864CCE8">
            <w:pPr>
              <w:widowControl/>
              <w:spacing w:line="240" w:lineRule="auto"/>
              <w:ind w:firstLine="0" w:firstLineChars="0"/>
              <w:jc w:val="left"/>
              <w:rPr>
                <w:rFonts w:hint="eastAsia" w:ascii="宋体" w:hAnsi="宋体" w:eastAsia="宋体" w:cs="宋体"/>
                <w:szCs w:val="21"/>
                <w:highlight w:val="none"/>
              </w:rPr>
            </w:pPr>
          </w:p>
        </w:tc>
      </w:tr>
      <w:tr w14:paraId="078B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restart"/>
            <w:tcBorders>
              <w:top w:val="single" w:color="auto" w:sz="4" w:space="0"/>
              <w:left w:val="single" w:color="auto" w:sz="4" w:space="0"/>
              <w:bottom w:val="single" w:color="auto" w:sz="4" w:space="0"/>
              <w:right w:val="single" w:color="auto" w:sz="4" w:space="0"/>
            </w:tcBorders>
            <w:vAlign w:val="center"/>
          </w:tcPr>
          <w:p w14:paraId="48AED026">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其他       5分</w:t>
            </w:r>
          </w:p>
        </w:tc>
        <w:tc>
          <w:tcPr>
            <w:tcW w:w="760" w:type="dxa"/>
            <w:tcBorders>
              <w:top w:val="single" w:color="auto" w:sz="4" w:space="0"/>
              <w:left w:val="single" w:color="auto" w:sz="4" w:space="0"/>
              <w:bottom w:val="single" w:color="auto" w:sz="4" w:space="0"/>
              <w:right w:val="single" w:color="auto" w:sz="4" w:space="0"/>
            </w:tcBorders>
            <w:vAlign w:val="center"/>
          </w:tcPr>
          <w:p w14:paraId="06B6607C">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39</w:t>
            </w:r>
          </w:p>
        </w:tc>
        <w:tc>
          <w:tcPr>
            <w:tcW w:w="4484" w:type="dxa"/>
            <w:tcBorders>
              <w:top w:val="single" w:color="auto" w:sz="4" w:space="0"/>
              <w:left w:val="single" w:color="auto" w:sz="4" w:space="0"/>
              <w:bottom w:val="single" w:color="auto" w:sz="4" w:space="0"/>
              <w:right w:val="single" w:color="auto" w:sz="4" w:space="0"/>
            </w:tcBorders>
            <w:vAlign w:val="center"/>
          </w:tcPr>
          <w:p w14:paraId="53B65D6B">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执行公司管理制度。执行制度良好得3分，出现一项执行不到位扣1分。</w:t>
            </w:r>
          </w:p>
        </w:tc>
        <w:tc>
          <w:tcPr>
            <w:tcW w:w="1134" w:type="dxa"/>
            <w:tcBorders>
              <w:top w:val="single" w:color="auto" w:sz="4" w:space="0"/>
              <w:left w:val="single" w:color="auto" w:sz="4" w:space="0"/>
              <w:bottom w:val="single" w:color="auto" w:sz="4" w:space="0"/>
              <w:right w:val="single" w:color="auto" w:sz="4" w:space="0"/>
            </w:tcBorders>
            <w:vAlign w:val="center"/>
          </w:tcPr>
          <w:p w14:paraId="62C6AF0B">
            <w:pPr>
              <w:tabs>
                <w:tab w:val="left" w:pos="360"/>
              </w:tabs>
              <w:spacing w:line="240" w:lineRule="auto"/>
              <w:ind w:firstLine="0" w:firstLineChars="0"/>
              <w:rPr>
                <w:rFonts w:hint="eastAsia" w:ascii="宋体" w:hAnsi="宋体" w:eastAsia="宋体" w:cs="宋体"/>
                <w:szCs w:val="21"/>
                <w:highlight w:val="none"/>
              </w:rPr>
            </w:pPr>
          </w:p>
        </w:tc>
        <w:tc>
          <w:tcPr>
            <w:tcW w:w="902" w:type="dxa"/>
            <w:vMerge w:val="restart"/>
            <w:tcBorders>
              <w:top w:val="single" w:color="auto" w:sz="4" w:space="0"/>
              <w:left w:val="single" w:color="auto" w:sz="4" w:space="0"/>
              <w:bottom w:val="single" w:color="auto" w:sz="4" w:space="0"/>
              <w:right w:val="single" w:color="auto" w:sz="4" w:space="0"/>
            </w:tcBorders>
            <w:vAlign w:val="center"/>
          </w:tcPr>
          <w:p w14:paraId="761DD8A8">
            <w:pPr>
              <w:tabs>
                <w:tab w:val="left" w:pos="360"/>
              </w:tabs>
              <w:spacing w:line="240" w:lineRule="auto"/>
              <w:ind w:firstLine="0" w:firstLineChars="0"/>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5ABFA60D">
            <w:pPr>
              <w:widowControl/>
              <w:spacing w:line="240" w:lineRule="auto"/>
              <w:ind w:firstLine="0" w:firstLineChars="0"/>
              <w:jc w:val="left"/>
              <w:rPr>
                <w:rFonts w:hint="eastAsia" w:ascii="宋体" w:hAnsi="宋体" w:eastAsia="宋体" w:cs="宋体"/>
                <w:szCs w:val="21"/>
                <w:highlight w:val="none"/>
              </w:rPr>
            </w:pPr>
          </w:p>
        </w:tc>
      </w:tr>
      <w:tr w14:paraId="274B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14:paraId="06054B06">
            <w:pPr>
              <w:widowControl/>
              <w:spacing w:line="240" w:lineRule="auto"/>
              <w:ind w:firstLine="0" w:firstLineChars="0"/>
              <w:jc w:val="center"/>
              <w:rPr>
                <w:rFonts w:hint="eastAsia" w:ascii="宋体" w:hAnsi="宋体" w:eastAsia="宋体" w:cs="宋体"/>
                <w:szCs w:val="21"/>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301725E9">
            <w:pPr>
              <w:tabs>
                <w:tab w:val="left" w:pos="360"/>
              </w:tabs>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40</w:t>
            </w:r>
          </w:p>
        </w:tc>
        <w:tc>
          <w:tcPr>
            <w:tcW w:w="4484" w:type="dxa"/>
            <w:tcBorders>
              <w:top w:val="single" w:color="auto" w:sz="4" w:space="0"/>
              <w:left w:val="single" w:color="auto" w:sz="4" w:space="0"/>
              <w:bottom w:val="single" w:color="auto" w:sz="4" w:space="0"/>
              <w:right w:val="single" w:color="auto" w:sz="4" w:space="0"/>
            </w:tcBorders>
            <w:vAlign w:val="center"/>
          </w:tcPr>
          <w:p w14:paraId="4AE75C04">
            <w:pPr>
              <w:tabs>
                <w:tab w:val="left" w:pos="360"/>
              </w:tabs>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执行合同中的其它约定。执行制度良好得2分，出现一项执行不到位扣1分。</w:t>
            </w:r>
          </w:p>
        </w:tc>
        <w:tc>
          <w:tcPr>
            <w:tcW w:w="1134" w:type="dxa"/>
            <w:tcBorders>
              <w:top w:val="single" w:color="auto" w:sz="4" w:space="0"/>
              <w:left w:val="single" w:color="auto" w:sz="4" w:space="0"/>
              <w:bottom w:val="single" w:color="auto" w:sz="4" w:space="0"/>
              <w:right w:val="single" w:color="auto" w:sz="4" w:space="0"/>
            </w:tcBorders>
            <w:vAlign w:val="center"/>
          </w:tcPr>
          <w:p w14:paraId="315480D2">
            <w:pPr>
              <w:tabs>
                <w:tab w:val="left" w:pos="360"/>
              </w:tabs>
              <w:spacing w:line="240" w:lineRule="auto"/>
              <w:ind w:firstLine="0" w:firstLineChars="0"/>
              <w:rPr>
                <w:rFonts w:hint="eastAsia" w:ascii="宋体" w:hAnsi="宋体" w:eastAsia="宋体" w:cs="宋体"/>
                <w:szCs w:val="21"/>
                <w:highlight w:val="none"/>
              </w:rPr>
            </w:pPr>
          </w:p>
        </w:tc>
        <w:tc>
          <w:tcPr>
            <w:tcW w:w="902" w:type="dxa"/>
            <w:vMerge w:val="continue"/>
            <w:tcBorders>
              <w:top w:val="single" w:color="auto" w:sz="4" w:space="0"/>
              <w:left w:val="single" w:color="auto" w:sz="4" w:space="0"/>
              <w:bottom w:val="single" w:color="auto" w:sz="4" w:space="0"/>
              <w:right w:val="single" w:color="auto" w:sz="4" w:space="0"/>
            </w:tcBorders>
            <w:vAlign w:val="center"/>
          </w:tcPr>
          <w:p w14:paraId="6B20BE4F">
            <w:pPr>
              <w:widowControl/>
              <w:spacing w:line="240" w:lineRule="auto"/>
              <w:ind w:firstLine="0" w:firstLineChars="0"/>
              <w:jc w:val="left"/>
              <w:rPr>
                <w:rFonts w:hint="eastAsia" w:ascii="宋体" w:hAnsi="宋体" w:eastAsia="宋体" w:cs="宋体"/>
                <w:szCs w:val="21"/>
                <w:highlight w:val="none"/>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490D5447">
            <w:pPr>
              <w:widowControl/>
              <w:spacing w:line="240" w:lineRule="auto"/>
              <w:ind w:firstLine="0" w:firstLineChars="0"/>
              <w:jc w:val="left"/>
              <w:rPr>
                <w:rFonts w:hint="eastAsia" w:ascii="宋体" w:hAnsi="宋体" w:eastAsia="宋体" w:cs="宋体"/>
                <w:szCs w:val="21"/>
                <w:highlight w:val="none"/>
              </w:rPr>
            </w:pPr>
          </w:p>
        </w:tc>
      </w:tr>
    </w:tbl>
    <w:p w14:paraId="7CFDAE3E">
      <w:pPr>
        <w:ind w:firstLine="422"/>
        <w:rPr>
          <w:rFonts w:hint="eastAsia" w:ascii="宋体" w:hAnsi="宋体" w:eastAsia="宋体" w:cs="宋体"/>
          <w:b/>
          <w:highlight w:val="none"/>
        </w:rPr>
      </w:pPr>
      <w:r>
        <w:rPr>
          <w:rFonts w:hint="eastAsia" w:ascii="宋体" w:hAnsi="宋体" w:eastAsia="宋体" w:cs="宋体"/>
          <w:b/>
          <w:highlight w:val="none"/>
          <w:lang w:val="en-US" w:eastAsia="zh-CN"/>
        </w:rPr>
        <w:t>7</w:t>
      </w:r>
      <w:r>
        <w:rPr>
          <w:rFonts w:hint="eastAsia" w:ascii="宋体" w:hAnsi="宋体" w:eastAsia="宋体" w:cs="宋体"/>
          <w:b/>
          <w:highlight w:val="none"/>
        </w:rPr>
        <w:t>.2考核扣款条款</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9"/>
        <w:gridCol w:w="738"/>
        <w:gridCol w:w="7342"/>
      </w:tblGrid>
      <w:tr w14:paraId="05337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879" w:type="dxa"/>
            <w:vAlign w:val="center"/>
          </w:tcPr>
          <w:p w14:paraId="6D8790C1">
            <w:pPr>
              <w:spacing w:line="240" w:lineRule="auto"/>
              <w:ind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项目</w:t>
            </w:r>
          </w:p>
        </w:tc>
        <w:tc>
          <w:tcPr>
            <w:tcW w:w="738" w:type="dxa"/>
            <w:vAlign w:val="center"/>
          </w:tcPr>
          <w:p w14:paraId="0E02A25C">
            <w:pPr>
              <w:spacing w:line="240" w:lineRule="auto"/>
              <w:ind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7342" w:type="dxa"/>
            <w:vAlign w:val="center"/>
          </w:tcPr>
          <w:p w14:paraId="241B3EC5">
            <w:pPr>
              <w:spacing w:line="240" w:lineRule="auto"/>
              <w:ind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考核内容及处罚</w:t>
            </w:r>
          </w:p>
        </w:tc>
      </w:tr>
      <w:tr w14:paraId="481B7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restart"/>
            <w:vAlign w:val="center"/>
          </w:tcPr>
          <w:p w14:paraId="6EEE2782">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安全管理</w:t>
            </w:r>
          </w:p>
        </w:tc>
        <w:tc>
          <w:tcPr>
            <w:tcW w:w="738" w:type="dxa"/>
            <w:vAlign w:val="center"/>
          </w:tcPr>
          <w:p w14:paraId="7DE55826">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7342" w:type="dxa"/>
            <w:vAlign w:val="center"/>
          </w:tcPr>
          <w:p w14:paraId="7AED6580">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存在不能胜任工作要求、完成工作质量不高、安全状态不好的人员的，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有权要求</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更换合格人员，</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未在限期内完成整改的，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有权视情节对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处以100-500元/次的扣款。</w:t>
            </w:r>
          </w:p>
        </w:tc>
      </w:tr>
      <w:tr w14:paraId="388A5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6FAF160D">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27F94568">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7342" w:type="dxa"/>
            <w:vAlign w:val="center"/>
          </w:tcPr>
          <w:p w14:paraId="2FEECC22">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在施工（检修）作业中，</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人员未做好安全防护措施或安排无证人员进行特殊工种施工（检修）作业的，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处以300元/次的扣款。</w:t>
            </w:r>
          </w:p>
        </w:tc>
      </w:tr>
      <w:tr w14:paraId="6EC16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745804AD">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0BCF9EA2">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7342" w:type="dxa"/>
            <w:vAlign w:val="center"/>
          </w:tcPr>
          <w:p w14:paraId="7CDE9DBD">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人员损坏地铁设施设备、危害地铁运营及他人人身安全的，</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须赔偿</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的全部损失，同时</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处以1000-5000元/次的扣款。</w:t>
            </w:r>
          </w:p>
        </w:tc>
      </w:tr>
      <w:tr w14:paraId="5C9C0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5E2EA0ED">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4EDF95D8">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7342" w:type="dxa"/>
            <w:vAlign w:val="center"/>
          </w:tcPr>
          <w:p w14:paraId="63886A7D">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因</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检修不到位等责任原因导致发生影响运营服务或行车事故的，</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须赔偿</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全部损失，同时</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处以1000-10000元/次的扣款。</w:t>
            </w:r>
          </w:p>
        </w:tc>
      </w:tr>
      <w:tr w14:paraId="6ED1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21070C49">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5BCE6560">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7342" w:type="dxa"/>
            <w:vAlign w:val="center"/>
          </w:tcPr>
          <w:p w14:paraId="714A7C72">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劳保用品配备不能满足工作需要，且未能在</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限定时间内整改的，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有权视情节对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处以500-1000元/次的扣款。</w:t>
            </w:r>
          </w:p>
        </w:tc>
      </w:tr>
      <w:tr w14:paraId="1C0D1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restart"/>
            <w:vAlign w:val="center"/>
          </w:tcPr>
          <w:p w14:paraId="23C4866A">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劳动纪律管理</w:t>
            </w:r>
          </w:p>
        </w:tc>
        <w:tc>
          <w:tcPr>
            <w:tcW w:w="738" w:type="dxa"/>
            <w:vAlign w:val="center"/>
          </w:tcPr>
          <w:p w14:paraId="465C34C6">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7342" w:type="dxa"/>
            <w:vAlign w:val="center"/>
          </w:tcPr>
          <w:p w14:paraId="714D8D7F">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违反工作纪律的（迟到、早退、劳保及工装穿戴不规范、做与工作无关事项等），</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处以100-500元/人次的扣款。</w:t>
            </w:r>
          </w:p>
        </w:tc>
      </w:tr>
      <w:tr w14:paraId="4D73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7A359A7B">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31AAC736">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7342" w:type="dxa"/>
            <w:vAlign w:val="center"/>
          </w:tcPr>
          <w:p w14:paraId="60095DD6">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存在违反</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公司规章制度的，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处以100-500元/人次的扣款。</w:t>
            </w:r>
          </w:p>
        </w:tc>
      </w:tr>
      <w:tr w14:paraId="02F98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68039C44">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35865566">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7342" w:type="dxa"/>
            <w:vAlign w:val="center"/>
          </w:tcPr>
          <w:p w14:paraId="7F2504E6">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未经</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同意，</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随意更换维保负责人（项目经理），且在一周内未完成整改的，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处以20000元/次的扣款。</w:t>
            </w:r>
          </w:p>
        </w:tc>
      </w:tr>
      <w:tr w14:paraId="1EC2D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52337300">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2F2F9291">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7342" w:type="dxa"/>
            <w:vAlign w:val="center"/>
          </w:tcPr>
          <w:p w14:paraId="6D48B97D">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未经</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同意，</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随意更换维保工作人员，且在一周内未完成整改的，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处以500-1000元/次/月度的扣款。</w:t>
            </w:r>
          </w:p>
        </w:tc>
      </w:tr>
      <w:tr w14:paraId="35B67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135920FB">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2FF439F1">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7342" w:type="dxa"/>
            <w:vAlign w:val="center"/>
          </w:tcPr>
          <w:p w14:paraId="203F2EF3">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工作人员不服从</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工作人员管理的，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处以100-500元/人次的扣款。</w:t>
            </w:r>
          </w:p>
        </w:tc>
      </w:tr>
      <w:tr w14:paraId="07E22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4365A395">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57BA1CE9">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7342" w:type="dxa"/>
            <w:vAlign w:val="center"/>
          </w:tcPr>
          <w:p w14:paraId="4633A814">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工作人员与</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工作人员发生口角、打架斗殴的，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处以500-1000元/人次的扣款。</w:t>
            </w:r>
          </w:p>
        </w:tc>
      </w:tr>
      <w:tr w14:paraId="0C667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2326EA54">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64AB22AF">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7342" w:type="dxa"/>
            <w:vAlign w:val="center"/>
          </w:tcPr>
          <w:p w14:paraId="4DBFB40F">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未按照</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规定要求，违规使用外服卡的，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处以500-1000元/次的扣款。</w:t>
            </w:r>
          </w:p>
        </w:tc>
      </w:tr>
      <w:tr w14:paraId="575F9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563523BC">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48323903">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7342" w:type="dxa"/>
            <w:vAlign w:val="center"/>
          </w:tcPr>
          <w:p w14:paraId="73F329FE">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因</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管理不当发生上访事件的，</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须赔偿</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的全部损失，同时</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处以1000-5000元/次的扣款。</w:t>
            </w:r>
          </w:p>
        </w:tc>
      </w:tr>
      <w:tr w14:paraId="44D17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restart"/>
            <w:vAlign w:val="center"/>
          </w:tcPr>
          <w:p w14:paraId="146AC316">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服务质量管理</w:t>
            </w:r>
          </w:p>
        </w:tc>
        <w:tc>
          <w:tcPr>
            <w:tcW w:w="738" w:type="dxa"/>
            <w:vAlign w:val="center"/>
          </w:tcPr>
          <w:p w14:paraId="129B6EE5">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7342" w:type="dxa"/>
            <w:vAlign w:val="center"/>
          </w:tcPr>
          <w:p w14:paraId="1BBCCBB1">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未按照合同要求的资质和数量投入使用相关人员，</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处以1000元/人次/月度的扣款，并责令限期10日内完成整改。</w:t>
            </w:r>
          </w:p>
        </w:tc>
      </w:tr>
      <w:tr w14:paraId="4AF2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10083408">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00E77272">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7342" w:type="dxa"/>
            <w:vAlign w:val="center"/>
          </w:tcPr>
          <w:p w14:paraId="5A7DD776">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同一设备的同一故障在一周内重复发生的，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处以500-1000元/项次的扣款。</w:t>
            </w:r>
          </w:p>
        </w:tc>
      </w:tr>
      <w:tr w14:paraId="1DFCB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309E5CEA">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51694879">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7342" w:type="dxa"/>
            <w:vAlign w:val="center"/>
          </w:tcPr>
          <w:p w14:paraId="7F9E8295">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未投入合同中要求使用的合格工器具或未经</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允许，</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私自替换合同中规定的工器具的，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处以该项工器具等值的扣款，并责令限期10日内完成整改。</w:t>
            </w:r>
          </w:p>
        </w:tc>
      </w:tr>
      <w:tr w14:paraId="477F6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747E3FC7">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65361744">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7342" w:type="dxa"/>
            <w:vAlign w:val="center"/>
          </w:tcPr>
          <w:p w14:paraId="6092B1AC">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甲方</w:t>
            </w:r>
            <w:r>
              <w:rPr>
                <w:rFonts w:hint="eastAsia" w:ascii="宋体" w:hAnsi="宋体" w:eastAsia="宋体" w:cs="宋体"/>
                <w:szCs w:val="21"/>
                <w:highlight w:val="none"/>
              </w:rPr>
              <w:t>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项目委外工作的管理、质量、安全、工期、服务、文明卫生等方面进行定期或不定期的检查，下达书面的限期整改通知，</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不能按期限整改的或重复发生同类不合格项目的，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处以100-500元/项次的扣款。</w:t>
            </w:r>
          </w:p>
        </w:tc>
      </w:tr>
      <w:tr w14:paraId="13FFE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687ED4D7">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633ED293">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7342" w:type="dxa"/>
            <w:vAlign w:val="center"/>
          </w:tcPr>
          <w:p w14:paraId="2D9EDD11">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未能完成</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已批准的作业计划的，</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须在规定期限内补充完成该项作业计划，同时</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处以500-1000元/次的扣款。</w:t>
            </w:r>
          </w:p>
        </w:tc>
      </w:tr>
      <w:tr w14:paraId="1C490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1EABDA21">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32FCC8E4">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7342" w:type="dxa"/>
            <w:vAlign w:val="center"/>
          </w:tcPr>
          <w:p w14:paraId="68B05C2D">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不能及时上报各类报表、资料（包括报表、资料不符合要求）的，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处以100-500元/次的扣款。</w:t>
            </w:r>
          </w:p>
        </w:tc>
      </w:tr>
      <w:tr w14:paraId="51C89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3522C8E1">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7D66A5C2">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7342" w:type="dxa"/>
            <w:vAlign w:val="center"/>
          </w:tcPr>
          <w:p w14:paraId="5C27A7C1">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在无正当理由情况下，未能在合同规定时间内完成故障修复或提交大型故障修复方案的（含不符合要求的），且一周内仍无法修复的，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有权联系第三方进行故障修复工作，由此所产生的全部费用直接从合同款中扣除，不在征求</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意见，同时</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处以500-1000元/次的扣款。</w:t>
            </w:r>
          </w:p>
        </w:tc>
      </w:tr>
      <w:tr w14:paraId="1F0B6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0A153E79">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61848F90">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7342" w:type="dxa"/>
            <w:vAlign w:val="center"/>
          </w:tcPr>
          <w:p w14:paraId="04381A47">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乙方</w:t>
            </w:r>
            <w:r>
              <w:rPr>
                <w:rFonts w:hint="eastAsia" w:ascii="宋体" w:hAnsi="宋体" w:eastAsia="宋体" w:cs="宋体"/>
                <w:szCs w:val="21"/>
                <w:highlight w:val="none"/>
              </w:rPr>
              <w:t>未按</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的相关规定处置应属于</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的材料、备件、废料以及多余材料的，</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须按价赔偿</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损失，同时</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有权视情节对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处以100-500元/次的扣款。</w:t>
            </w:r>
          </w:p>
        </w:tc>
      </w:tr>
      <w:tr w14:paraId="79F6F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527ACA8E">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0FDC3468">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7342" w:type="dxa"/>
            <w:vAlign w:val="center"/>
          </w:tcPr>
          <w:p w14:paraId="60E7B703">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设备故障或</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组织的演练，</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未按合同要求时间到达现场的，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处以100-500元/次的扣款。</w:t>
            </w:r>
          </w:p>
        </w:tc>
      </w:tr>
      <w:tr w14:paraId="04D2A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310E3F94">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6A3ED791">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7342" w:type="dxa"/>
            <w:vAlign w:val="center"/>
          </w:tcPr>
          <w:p w14:paraId="105640D8">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因</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工作不到位，而使</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工作受到批评，产生不良影响的，</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进行处罚，发生公司通报批评的处以500-1000元/次扣款；发生集团公司通报批评的处以1000-5000元/次扣款；发生媒体批评的处以5000-10000元/次扣款。</w:t>
            </w:r>
          </w:p>
        </w:tc>
      </w:tr>
      <w:tr w14:paraId="7F3DD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Merge w:val="continue"/>
            <w:vAlign w:val="center"/>
          </w:tcPr>
          <w:p w14:paraId="572753BB">
            <w:pPr>
              <w:spacing w:line="240" w:lineRule="auto"/>
              <w:ind w:firstLine="0" w:firstLineChars="0"/>
              <w:jc w:val="center"/>
              <w:rPr>
                <w:rFonts w:hint="eastAsia" w:ascii="宋体" w:hAnsi="宋体" w:eastAsia="宋体" w:cs="宋体"/>
                <w:szCs w:val="21"/>
                <w:highlight w:val="none"/>
              </w:rPr>
            </w:pPr>
          </w:p>
        </w:tc>
        <w:tc>
          <w:tcPr>
            <w:tcW w:w="738" w:type="dxa"/>
            <w:vAlign w:val="center"/>
          </w:tcPr>
          <w:p w14:paraId="1A7B9BE5">
            <w:pPr>
              <w:spacing w:line="24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11</w:t>
            </w:r>
          </w:p>
        </w:tc>
        <w:tc>
          <w:tcPr>
            <w:tcW w:w="7342" w:type="dxa"/>
            <w:vAlign w:val="center"/>
          </w:tcPr>
          <w:p w14:paraId="606B50D3">
            <w:pPr>
              <w:spacing w:line="24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因</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不能正常履行本项目维保要求的，需设备厂家或其他外部力量进行技术支持且产生相应费用的，</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须全额支付技术支持的相关费用，同时</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视情节对</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处以500-1000元/次扣款。</w:t>
            </w:r>
          </w:p>
        </w:tc>
      </w:tr>
    </w:tbl>
    <w:p w14:paraId="5AF39F29">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5EBEAD80">
      <w:pPr>
        <w:keepNext w:val="0"/>
        <w:keepLines w:val="0"/>
        <w:pageBreakBefore w:val="0"/>
        <w:widowControl w:val="0"/>
        <w:kinsoku/>
        <w:wordWrap/>
        <w:overflowPunct/>
        <w:topLinePunct w:val="0"/>
        <w:autoSpaceDE/>
        <w:autoSpaceDN/>
        <w:bidi w:val="0"/>
        <w:adjustRightInd/>
        <w:snapToGrid/>
        <w:spacing w:line="440" w:lineRule="exact"/>
        <w:ind w:right="-739" w:rightChars="-352"/>
        <w:textAlignment w:val="auto"/>
        <w:outlineLvl w:val="2"/>
        <w:rPr>
          <w:rFonts w:hint="eastAsia" w:ascii="宋体" w:hAnsi="宋体" w:eastAsia="宋体" w:cs="宋体"/>
          <w:color w:val="auto"/>
          <w:sz w:val="21"/>
          <w:szCs w:val="21"/>
          <w:highlight w:val="none"/>
          <w:lang w:val="en-US"/>
        </w:rPr>
      </w:pPr>
      <w:bookmarkStart w:id="331" w:name="_Toc21651"/>
      <w:r>
        <w:rPr>
          <w:rFonts w:hint="eastAsia" w:ascii="宋体" w:hAnsi="宋体" w:eastAsia="宋体" w:cs="宋体"/>
          <w:bCs/>
          <w:color w:val="auto"/>
          <w:sz w:val="21"/>
          <w:szCs w:val="21"/>
          <w:highlight w:val="none"/>
          <w:lang w:val="en-US" w:eastAsia="zh-CN"/>
        </w:rPr>
        <w:t>附件4：</w:t>
      </w:r>
      <w:r>
        <w:rPr>
          <w:rFonts w:hint="eastAsia" w:ascii="宋体" w:hAnsi="宋体" w:eastAsia="宋体" w:cs="宋体"/>
          <w:bCs/>
          <w:color w:val="auto"/>
          <w:sz w:val="21"/>
          <w:szCs w:val="21"/>
          <w:highlight w:val="none"/>
        </w:rPr>
        <w:t>用户需求书</w:t>
      </w:r>
      <w:bookmarkEnd w:id="331"/>
    </w:p>
    <w:bookmarkEnd w:id="330"/>
    <w:p w14:paraId="59343531">
      <w:pPr>
        <w:keepNext w:val="0"/>
        <w:keepLines w:val="0"/>
        <w:pageBreakBefore w:val="0"/>
        <w:widowControl w:val="0"/>
        <w:kinsoku/>
        <w:wordWrap/>
        <w:overflowPunct/>
        <w:topLinePunct w:val="0"/>
        <w:bidi w:val="0"/>
        <w:adjustRightInd/>
        <w:snapToGrid/>
        <w:spacing w:line="440" w:lineRule="exact"/>
        <w:ind w:left="-420" w:leftChars="-200" w:right="-313" w:rightChars="-149" w:firstLine="420" w:firstLineChars="200"/>
        <w:textAlignment w:val="auto"/>
        <w:rPr>
          <w:rFonts w:hint="eastAsia" w:ascii="宋体" w:hAnsi="宋体" w:eastAsia="宋体" w:cs="宋体"/>
          <w:color w:val="auto"/>
          <w:sz w:val="21"/>
          <w:szCs w:val="21"/>
          <w:highlight w:val="none"/>
        </w:rPr>
      </w:pPr>
    </w:p>
    <w:p w14:paraId="76B856D0">
      <w:pP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br w:type="page"/>
      </w:r>
    </w:p>
    <w:p w14:paraId="2D16506B">
      <w:pPr>
        <w:spacing w:line="440" w:lineRule="exact"/>
        <w:ind w:right="-941" w:rightChars="-448"/>
        <w:jc w:val="center"/>
        <w:outlineLvl w:val="0"/>
        <w:rPr>
          <w:rFonts w:hint="eastAsia" w:ascii="宋体" w:hAnsi="宋体" w:eastAsia="宋体" w:cs="宋体"/>
          <w:b/>
          <w:sz w:val="32"/>
          <w:szCs w:val="32"/>
          <w:highlight w:val="none"/>
          <w:lang w:val="zh-CN"/>
        </w:rPr>
      </w:pPr>
      <w:bookmarkStart w:id="332" w:name="_Toc24818"/>
      <w:r>
        <w:rPr>
          <w:rFonts w:hint="eastAsia" w:ascii="宋体" w:hAnsi="宋体" w:eastAsia="宋体" w:cs="宋体"/>
          <w:b/>
          <w:sz w:val="32"/>
          <w:szCs w:val="32"/>
          <w:highlight w:val="none"/>
          <w:lang w:val="zh-CN"/>
        </w:rPr>
        <w:t>第六章  质疑提出和处理</w:t>
      </w:r>
      <w:bookmarkEnd w:id="332"/>
    </w:p>
    <w:bookmarkEnd w:id="140"/>
    <w:bookmarkEnd w:id="141"/>
    <w:bookmarkEnd w:id="142"/>
    <w:bookmarkEnd w:id="143"/>
    <w:p w14:paraId="5444CF9E">
      <w:pPr>
        <w:pageBreakBefore w:val="0"/>
        <w:widowControl w:val="0"/>
        <w:kinsoku/>
        <w:wordWrap/>
        <w:overflowPunct/>
        <w:topLinePunct w:val="0"/>
        <w:autoSpaceDE/>
        <w:autoSpaceDN/>
        <w:bidi w:val="0"/>
        <w:adjustRightInd/>
        <w:snapToGrid/>
        <w:spacing w:line="440" w:lineRule="exact"/>
        <w:ind w:left="0" w:leftChars="0" w:right="-260" w:rightChars="-124" w:firstLine="643" w:firstLineChars="200"/>
        <w:jc w:val="center"/>
        <w:textAlignment w:val="auto"/>
        <w:rPr>
          <w:rFonts w:hint="eastAsia" w:ascii="宋体" w:hAnsi="宋体" w:eastAsia="宋体" w:cs="宋体"/>
          <w:b/>
          <w:sz w:val="32"/>
          <w:szCs w:val="32"/>
          <w:highlight w:val="none"/>
          <w:lang w:val="zh-CN"/>
        </w:rPr>
      </w:pPr>
    </w:p>
    <w:p w14:paraId="5CB65D75">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bookmarkStart w:id="333" w:name="_Toc15641"/>
      <w:bookmarkStart w:id="334" w:name="_Toc3098"/>
      <w:bookmarkStart w:id="335" w:name="_Toc11112"/>
      <w:r>
        <w:rPr>
          <w:rFonts w:hint="eastAsia" w:ascii="宋体" w:hAnsi="宋体" w:eastAsia="宋体" w:cs="宋体"/>
          <w:sz w:val="21"/>
          <w:szCs w:val="21"/>
          <w:highlight w:val="none"/>
          <w:lang w:val="en-US" w:eastAsia="zh-CN"/>
        </w:rPr>
        <w:t>一、质疑的提出</w:t>
      </w:r>
      <w:bookmarkEnd w:id="333"/>
      <w:bookmarkEnd w:id="334"/>
    </w:p>
    <w:bookmarkEnd w:id="335"/>
    <w:p w14:paraId="446B1C58">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bookmarkStart w:id="336" w:name="_Toc22477"/>
      <w:r>
        <w:rPr>
          <w:rFonts w:hint="eastAsia" w:ascii="宋体" w:hAnsi="宋体" w:eastAsia="宋体" w:cs="宋体"/>
          <w:sz w:val="21"/>
          <w:szCs w:val="21"/>
          <w:highlight w:val="none"/>
          <w:lang w:val="en-US" w:eastAsia="zh-CN"/>
        </w:rPr>
        <w:t>(一)质疑人的身份要求</w:t>
      </w:r>
      <w:bookmarkEnd w:id="336"/>
      <w:r>
        <w:rPr>
          <w:rFonts w:hint="eastAsia" w:ascii="宋体" w:hAnsi="宋体" w:eastAsia="宋体" w:cs="宋体"/>
          <w:sz w:val="21"/>
          <w:szCs w:val="21"/>
          <w:highlight w:val="none"/>
          <w:lang w:val="en-US" w:eastAsia="zh-CN"/>
        </w:rPr>
        <w:t xml:space="preserve">      </w:t>
      </w:r>
    </w:p>
    <w:p w14:paraId="1763D35C">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提出质疑的参选人应当是参与所质疑项目招投标活动的参选人。</w:t>
      </w:r>
    </w:p>
    <w:p w14:paraId="19C513DA">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bookmarkStart w:id="337" w:name="_Toc10412"/>
      <w:r>
        <w:rPr>
          <w:rFonts w:hint="eastAsia" w:ascii="宋体" w:hAnsi="宋体" w:eastAsia="宋体" w:cs="宋体"/>
          <w:sz w:val="21"/>
          <w:szCs w:val="21"/>
          <w:highlight w:val="none"/>
          <w:lang w:val="en-US" w:eastAsia="zh-CN"/>
        </w:rPr>
        <w:t>(二)质疑提出的格式要求</w:t>
      </w:r>
      <w:bookmarkEnd w:id="337"/>
      <w:r>
        <w:rPr>
          <w:rFonts w:hint="eastAsia" w:ascii="宋体" w:hAnsi="宋体" w:eastAsia="宋体" w:cs="宋体"/>
          <w:sz w:val="21"/>
          <w:szCs w:val="21"/>
          <w:highlight w:val="none"/>
          <w:lang w:val="en-US" w:eastAsia="zh-CN"/>
        </w:rPr>
        <w:t xml:space="preserve">   </w:t>
      </w:r>
    </w:p>
    <w:p w14:paraId="469BF7FE">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1、对本次招投标有质疑的，须实名制以书面形式提出，不得进行匿名、虚假、恶意质疑。</w:t>
      </w:r>
    </w:p>
    <w:p w14:paraId="37AE4651">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2、质疑函应包括：    </w:t>
      </w:r>
    </w:p>
    <w:p w14:paraId="0A95D0CF">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（1）质疑参选人的名称、地址、邮编、联系人及联系电话；</w:t>
      </w:r>
    </w:p>
    <w:p w14:paraId="1E3050FD">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（2）具体、明确的质疑事项及明确的请求；</w:t>
      </w:r>
    </w:p>
    <w:p w14:paraId="7FD60625">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（3）质疑的事实依据和必要的法律依据；</w:t>
      </w:r>
    </w:p>
    <w:p w14:paraId="006B0F39">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（4）提起质疑的日期；</w:t>
      </w:r>
    </w:p>
    <w:p w14:paraId="3986D00D">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（5）认为自己合法权益受到损害或可能受到损害的相关证据材料；</w:t>
      </w:r>
    </w:p>
    <w:p w14:paraId="01231E39">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比选人将不予受理。质疑人委托代理质疑的，应当向比选人提交授权委托书，并载明委托代理的具体权限和事项。</w:t>
      </w:r>
    </w:p>
    <w:p w14:paraId="1E112F75">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3、质疑函需遵循的原则</w:t>
      </w:r>
    </w:p>
    <w:p w14:paraId="65C8A4E6">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出质疑时，必须坚持“谁主张，谁举证”、“实事求是”的原则，不能臆测。属于须由法定部门调查、侦查或先行作出相关认定的事项，质疑人应当依法申请具有法定职权的部门查清、认定，并将相关结果提供给比选人。比选人不具有法定调查、认定权限。</w:t>
      </w:r>
    </w:p>
    <w:p w14:paraId="7A590AA0">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bookmarkStart w:id="338" w:name="_Toc9615"/>
      <w:r>
        <w:rPr>
          <w:rFonts w:hint="eastAsia" w:ascii="宋体" w:hAnsi="宋体" w:eastAsia="宋体" w:cs="宋体"/>
          <w:sz w:val="21"/>
          <w:szCs w:val="21"/>
          <w:highlight w:val="none"/>
          <w:lang w:val="en-US" w:eastAsia="zh-CN"/>
        </w:rPr>
        <w:t>（三）质疑提出的时效要求</w:t>
      </w:r>
      <w:bookmarkEnd w:id="338"/>
    </w:p>
    <w:p w14:paraId="1AC3C2FD">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1、参选人认为招标文件、招投标过程和评标结果使自己的权益受到损害的，可以在规定的时间内，以书面形式向比选人提出质疑。</w:t>
      </w:r>
    </w:p>
    <w:p w14:paraId="31A50CAF">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（1）参选人或者其他利害关系人对招标文件有异议的，应当在投标截止时间10日前以书面形式提出。</w:t>
      </w:r>
    </w:p>
    <w:p w14:paraId="30C6C7C6">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对招投标过程提出质疑的，为各招投标程序环节结束之日；参选人对开标有异议的，应当于开标会上以书面扫描件形式提出，比选人应当作出答复，并制作记录。开标结束后参选人不得对开标事项再提出异议。</w:t>
      </w:r>
    </w:p>
    <w:p w14:paraId="46188EEC">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（3）参选人或者其他利害关系人对评标结果有异议的，应当在中标候选人公示期间提出。</w:t>
      </w:r>
    </w:p>
    <w:p w14:paraId="182E1D37">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2、参选人应在法定质疑期一次性提出针对同一招投标程序环节的质疑。 </w:t>
      </w:r>
    </w:p>
    <w:p w14:paraId="1DA03C6C">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bookmarkStart w:id="339" w:name="_Toc5111"/>
      <w:bookmarkStart w:id="340" w:name="_Toc28700"/>
      <w:bookmarkStart w:id="341" w:name="_Toc11993"/>
      <w:r>
        <w:rPr>
          <w:rFonts w:hint="eastAsia" w:ascii="宋体" w:hAnsi="宋体" w:eastAsia="宋体" w:cs="宋体"/>
          <w:sz w:val="21"/>
          <w:szCs w:val="21"/>
          <w:highlight w:val="none"/>
          <w:lang w:val="en-US" w:eastAsia="zh-CN"/>
        </w:rPr>
        <w:t>二、《质疑函》的受理和答复</w:t>
      </w:r>
      <w:bookmarkEnd w:id="339"/>
      <w:bookmarkEnd w:id="340"/>
    </w:p>
    <w:bookmarkEnd w:id="341"/>
    <w:p w14:paraId="6FC4BD15">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1、比选人收到质疑函后，将对质疑的形式和内容进行审查，如质疑函内容、格式不符合规定，比选人将告知质疑人进行补正。</w:t>
      </w:r>
    </w:p>
    <w:p w14:paraId="4F81DC8B">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2、质疑人应当在法定质疑期限内进行补正并重新提交质疑函，拒不补正或者在法定期限内未重新提交质疑函的，为无效质疑，比选人将不予受理。</w:t>
      </w:r>
    </w:p>
    <w:p w14:paraId="633C3BA7">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3、比选人或招标代理机构答复参选人质疑应当采用书面方式并依法送达，质疑参选人或其委托代理人拒绝签收的视为已经送达。</w:t>
      </w:r>
    </w:p>
    <w:p w14:paraId="24A8FB2D">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bookmarkStart w:id="342" w:name="_Toc15988"/>
      <w:bookmarkStart w:id="343" w:name="_Toc23635"/>
      <w:bookmarkStart w:id="344" w:name="_Toc22138"/>
      <w:r>
        <w:rPr>
          <w:rFonts w:hint="eastAsia" w:ascii="宋体" w:hAnsi="宋体" w:eastAsia="宋体" w:cs="宋体"/>
          <w:sz w:val="21"/>
          <w:szCs w:val="21"/>
          <w:highlight w:val="none"/>
          <w:lang w:val="en-US" w:eastAsia="zh-CN"/>
        </w:rPr>
        <w:t>三、质疑处理</w:t>
      </w:r>
      <w:bookmarkEnd w:id="342"/>
      <w:bookmarkEnd w:id="343"/>
    </w:p>
    <w:bookmarkEnd w:id="344"/>
    <w:p w14:paraId="750E7AC1">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bookmarkStart w:id="345" w:name="_Toc29318"/>
      <w:r>
        <w:rPr>
          <w:rFonts w:hint="eastAsia" w:ascii="宋体" w:hAnsi="宋体" w:eastAsia="宋体" w:cs="宋体"/>
          <w:sz w:val="21"/>
          <w:szCs w:val="21"/>
          <w:highlight w:val="none"/>
          <w:lang w:val="en-US" w:eastAsia="zh-CN"/>
        </w:rPr>
        <w:t>1、质疑成立的处理</w:t>
      </w:r>
      <w:bookmarkEnd w:id="345"/>
    </w:p>
    <w:p w14:paraId="68FA9D97">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（1）对于内容、格式符合规定的质疑函，比选人在收到参选人的书面质疑后七个工作日内作出书面答复，但答复的内容不得涉及商业秘密。</w:t>
      </w:r>
    </w:p>
    <w:p w14:paraId="08E58EC2">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（2）对招标文件提出的质疑，依法通过澄清或者修改可以继续开展招投标活动的，澄清或者修改招标文件后继续开展招投标活动；否则应当修改招标文件后重新开展招投标活动。</w:t>
      </w:r>
    </w:p>
    <w:p w14:paraId="17062038">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（3）对招投标过程、中标或者成交结果提出的质疑，合格参选人符合法定数量时，可以从合格的中标候选人中另行确定中标、成交人的，应当依法另行确定中选人；否则应当重新开展招投标活动。</w:t>
      </w:r>
    </w:p>
    <w:p w14:paraId="35F0C0D0">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（4）质疑答复导致中标、成交结果改变的，比选人或者招标代理机构应当将有关情况书面报告项目主管部门。</w:t>
      </w:r>
    </w:p>
    <w:p w14:paraId="13272A53">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bookmarkStart w:id="346" w:name="_Toc16354"/>
      <w:r>
        <w:rPr>
          <w:rFonts w:hint="eastAsia" w:ascii="宋体" w:hAnsi="宋体" w:eastAsia="宋体" w:cs="宋体"/>
          <w:sz w:val="21"/>
          <w:szCs w:val="21"/>
          <w:highlight w:val="none"/>
          <w:lang w:val="en-US" w:eastAsia="zh-CN"/>
        </w:rPr>
        <w:t>2、质疑不成立的处理</w:t>
      </w:r>
      <w:bookmarkEnd w:id="346"/>
    </w:p>
    <w:p w14:paraId="0EF4FAEA">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若质疑不成立，或者成立未对中标、成交结果构成影响的，继续开展招投标活动。</w:t>
      </w:r>
    </w:p>
    <w:p w14:paraId="172CB931">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bookmarkStart w:id="347" w:name="_Toc50"/>
      <w:r>
        <w:rPr>
          <w:rFonts w:hint="eastAsia" w:ascii="宋体" w:hAnsi="宋体" w:eastAsia="宋体" w:cs="宋体"/>
          <w:sz w:val="21"/>
          <w:szCs w:val="21"/>
          <w:highlight w:val="none"/>
          <w:lang w:val="en-US" w:eastAsia="zh-CN"/>
        </w:rPr>
        <w:t>3、虚假质疑的处理</w:t>
      </w:r>
      <w:bookmarkEnd w:id="347"/>
    </w:p>
    <w:p w14:paraId="7B92A7BF">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（1）参选人提出书面质疑必须有理、有据，不得恶意质疑或提交虚假质疑。否则，一经查实，比选人有权对该参选人进行相应的处罚。</w:t>
      </w:r>
    </w:p>
    <w:p w14:paraId="7415E83E">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（2）在江苏省范围内一年累计三次以上质疑，均查无实据的参选人将按失信行为记入该注册参选人诚信档案中。</w:t>
      </w:r>
    </w:p>
    <w:p w14:paraId="41965B16">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（3）受理质疑和答复相关咨询：</w:t>
      </w:r>
    </w:p>
    <w:p w14:paraId="0F02064D">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监督人：周先生</w:t>
      </w:r>
    </w:p>
    <w:p w14:paraId="4F547D1C">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投诉举报电话：0513-69900161</w:t>
      </w:r>
    </w:p>
    <w:p w14:paraId="7C1EF22A">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通信地址：南通市崇川区崇川路158号19楼</w:t>
      </w:r>
    </w:p>
    <w:p w14:paraId="766BFD20">
      <w:pPr>
        <w:pStyle w:val="10"/>
        <w:keepNext w:val="0"/>
        <w:keepLines w:val="0"/>
        <w:pageBreakBefore w:val="0"/>
        <w:widowControl w:val="0"/>
        <w:kinsoku/>
        <w:wordWrap/>
        <w:overflowPunct/>
        <w:topLinePunct w:val="0"/>
        <w:autoSpaceDE/>
        <w:autoSpaceDN/>
        <w:bidi w:val="0"/>
        <w:adjustRightInd/>
        <w:snapToGrid/>
        <w:spacing w:line="420" w:lineRule="exact"/>
        <w:ind w:left="0" w:right="-260" w:rightChars="-124" w:firstLine="480" w:firstLineChars="200"/>
        <w:contextualSpacing/>
        <w:textAlignment w:val="auto"/>
        <w:rPr>
          <w:rFonts w:hint="eastAsia" w:ascii="宋体" w:hAnsi="宋体" w:eastAsia="宋体" w:cs="宋体"/>
          <w:sz w:val="24"/>
          <w:szCs w:val="24"/>
          <w:highlight w:val="none"/>
          <w:lang w:val="en-US" w:eastAsia="zh-CN"/>
        </w:rPr>
      </w:pPr>
    </w:p>
    <w:p w14:paraId="4DE191F2">
      <w:pPr>
        <w:keepNext w:val="0"/>
        <w:keepLines w:val="0"/>
        <w:pageBreakBefore w:val="0"/>
        <w:widowControl w:val="0"/>
        <w:kinsoku/>
        <w:wordWrap/>
        <w:overflowPunct/>
        <w:topLinePunct w:val="0"/>
        <w:autoSpaceDE/>
        <w:autoSpaceDN/>
        <w:bidi w:val="0"/>
        <w:adjustRightInd/>
        <w:snapToGrid/>
        <w:spacing w:line="420" w:lineRule="exact"/>
        <w:ind w:right="-941" w:rightChars="-448"/>
        <w:jc w:val="center"/>
        <w:textAlignment w:val="auto"/>
        <w:rPr>
          <w:rFonts w:hint="eastAsia" w:ascii="宋体" w:hAnsi="宋体" w:eastAsia="宋体" w:cs="宋体"/>
          <w:kern w:val="0"/>
          <w:sz w:val="24"/>
          <w:highlight w:val="none"/>
          <w:lang w:val="zh-CN"/>
        </w:rPr>
        <w:sectPr>
          <w:footerReference r:id="rId4" w:type="default"/>
          <w:pgSz w:w="11905" w:h="16838"/>
          <w:pgMar w:top="1440" w:right="1463" w:bottom="1440" w:left="1463" w:header="850" w:footer="992" w:gutter="0"/>
          <w:pgBorders>
            <w:top w:val="none" w:sz="0" w:space="0"/>
            <w:left w:val="none" w:sz="0" w:space="0"/>
            <w:bottom w:val="none" w:sz="0" w:space="0"/>
            <w:right w:val="none" w:sz="0" w:space="0"/>
          </w:pgBorders>
          <w:pgNumType w:fmt="decimal" w:start="1"/>
          <w:cols w:space="720" w:num="1"/>
          <w:rtlGutter w:val="0"/>
          <w:docGrid w:type="lines" w:linePitch="325" w:charSpace="0"/>
        </w:sectPr>
      </w:pPr>
    </w:p>
    <w:p w14:paraId="2089835B">
      <w:pPr>
        <w:spacing w:line="440" w:lineRule="exact"/>
        <w:ind w:right="-101" w:rightChars="-48"/>
        <w:jc w:val="center"/>
        <w:outlineLvl w:val="0"/>
        <w:rPr>
          <w:rFonts w:hint="eastAsia" w:ascii="宋体" w:hAnsi="宋体" w:eastAsia="宋体" w:cs="宋体"/>
          <w:b/>
          <w:sz w:val="32"/>
          <w:szCs w:val="32"/>
          <w:highlight w:val="none"/>
          <w:lang w:val="zh-CN"/>
        </w:rPr>
      </w:pPr>
      <w:bookmarkStart w:id="348" w:name="_Toc9891"/>
      <w:bookmarkStart w:id="349" w:name="_Toc12215"/>
      <w:bookmarkStart w:id="350" w:name="_Toc5930"/>
      <w:bookmarkStart w:id="351" w:name="_Toc18051"/>
      <w:r>
        <w:rPr>
          <w:rFonts w:hint="eastAsia" w:ascii="宋体" w:hAnsi="宋体" w:eastAsia="宋体" w:cs="宋体"/>
          <w:b/>
          <w:sz w:val="32"/>
          <w:szCs w:val="32"/>
          <w:highlight w:val="none"/>
          <w:lang w:val="zh-CN"/>
        </w:rPr>
        <w:t>第七章  参选文件组成</w:t>
      </w:r>
      <w:bookmarkEnd w:id="348"/>
      <w:bookmarkEnd w:id="349"/>
      <w:bookmarkEnd w:id="350"/>
      <w:bookmarkEnd w:id="351"/>
    </w:p>
    <w:p w14:paraId="369231F4">
      <w:pPr>
        <w:rPr>
          <w:rFonts w:hint="eastAsia" w:ascii="宋体" w:hAnsi="宋体" w:eastAsia="宋体" w:cs="宋体"/>
          <w:highlight w:val="none"/>
        </w:rPr>
      </w:pPr>
      <w:bookmarkStart w:id="352" w:name="_Toc16566_WPSOffice_Level2"/>
      <w:bookmarkStart w:id="353" w:name="_Toc16976_WPSOffice_Level2"/>
      <w:bookmarkStart w:id="354" w:name="_Toc30967_WPSOffice_Level2"/>
    </w:p>
    <w:bookmarkEnd w:id="352"/>
    <w:bookmarkEnd w:id="353"/>
    <w:bookmarkEnd w:id="354"/>
    <w:p w14:paraId="73C4D3A4">
      <w:pPr>
        <w:spacing w:line="440" w:lineRule="exact"/>
        <w:jc w:val="center"/>
        <w:rPr>
          <w:rFonts w:hint="eastAsia" w:ascii="宋体" w:hAnsi="宋体" w:eastAsia="宋体" w:cs="宋体"/>
          <w:b/>
          <w:sz w:val="36"/>
          <w:szCs w:val="36"/>
          <w:highlight w:val="none"/>
        </w:rPr>
      </w:pPr>
    </w:p>
    <w:p w14:paraId="01C10E54">
      <w:pPr>
        <w:rPr>
          <w:rFonts w:hint="eastAsia" w:ascii="宋体" w:hAnsi="宋体" w:eastAsia="宋体" w:cs="宋体"/>
          <w:highlight w:val="none"/>
        </w:rPr>
      </w:pPr>
    </w:p>
    <w:p w14:paraId="44F35A20">
      <w:pPr>
        <w:rPr>
          <w:rFonts w:hint="eastAsia" w:ascii="宋体" w:hAnsi="宋体" w:eastAsia="宋体" w:cs="宋体"/>
          <w:highlight w:val="none"/>
        </w:rPr>
      </w:pPr>
    </w:p>
    <w:p w14:paraId="225CB1A9">
      <w:pPr>
        <w:rPr>
          <w:rFonts w:hint="eastAsia" w:ascii="宋体" w:hAnsi="宋体" w:eastAsia="宋体" w:cs="宋体"/>
          <w:highlight w:val="none"/>
        </w:rPr>
      </w:pPr>
    </w:p>
    <w:p w14:paraId="11944779">
      <w:pPr>
        <w:spacing w:line="440" w:lineRule="exact"/>
        <w:jc w:val="center"/>
        <w:rPr>
          <w:rFonts w:hint="eastAsia" w:ascii="宋体" w:hAnsi="宋体" w:eastAsia="宋体" w:cs="宋体"/>
          <w:b/>
          <w:sz w:val="36"/>
          <w:szCs w:val="36"/>
          <w:highlight w:val="none"/>
        </w:rPr>
      </w:pPr>
    </w:p>
    <w:p w14:paraId="04D3EF61">
      <w:pPr>
        <w:jc w:val="center"/>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南通轨道1号线公安通信系统维保项目</w:t>
      </w:r>
    </w:p>
    <w:p w14:paraId="09AAF243">
      <w:pPr>
        <w:bidi w:val="0"/>
        <w:rPr>
          <w:rFonts w:hint="eastAsia" w:ascii="宋体" w:hAnsi="宋体" w:eastAsia="宋体" w:cs="宋体"/>
          <w:highlight w:val="none"/>
        </w:rPr>
      </w:pPr>
      <w:bookmarkStart w:id="355" w:name="_Toc29099"/>
      <w:bookmarkStart w:id="356" w:name="_Toc20415"/>
      <w:bookmarkStart w:id="357" w:name="_Toc20680"/>
      <w:bookmarkStart w:id="358" w:name="_Toc20468"/>
    </w:p>
    <w:p w14:paraId="2903A390">
      <w:pPr>
        <w:spacing w:line="440" w:lineRule="exact"/>
        <w:jc w:val="center"/>
        <w:outlineLvl w:val="0"/>
        <w:rPr>
          <w:rFonts w:hint="eastAsia" w:ascii="宋体" w:hAnsi="宋体" w:eastAsia="宋体" w:cs="宋体"/>
          <w:b/>
          <w:bCs/>
          <w:sz w:val="36"/>
          <w:szCs w:val="36"/>
          <w:highlight w:val="none"/>
        </w:rPr>
      </w:pPr>
      <w:bookmarkStart w:id="359" w:name="_Toc7935"/>
      <w:bookmarkStart w:id="360" w:name="_Toc1714"/>
      <w:r>
        <w:rPr>
          <w:rFonts w:hint="eastAsia" w:ascii="宋体" w:hAnsi="宋体" w:eastAsia="宋体" w:cs="宋体"/>
          <w:b/>
          <w:bCs/>
          <w:sz w:val="36"/>
          <w:szCs w:val="36"/>
          <w:highlight w:val="none"/>
        </w:rPr>
        <w:t>（资格审查文件）</w:t>
      </w:r>
      <w:bookmarkEnd w:id="355"/>
      <w:bookmarkEnd w:id="356"/>
      <w:bookmarkEnd w:id="357"/>
      <w:bookmarkEnd w:id="358"/>
      <w:bookmarkEnd w:id="359"/>
      <w:bookmarkEnd w:id="360"/>
    </w:p>
    <w:p w14:paraId="74288228">
      <w:pPr>
        <w:spacing w:line="440" w:lineRule="exact"/>
        <w:rPr>
          <w:rFonts w:hint="eastAsia" w:ascii="宋体" w:hAnsi="宋体" w:eastAsia="宋体" w:cs="宋体"/>
          <w:sz w:val="32"/>
          <w:highlight w:val="none"/>
        </w:rPr>
      </w:pPr>
    </w:p>
    <w:p w14:paraId="2ACE76BB">
      <w:pPr>
        <w:spacing w:line="440" w:lineRule="exact"/>
        <w:rPr>
          <w:rFonts w:hint="eastAsia" w:ascii="宋体" w:hAnsi="宋体" w:eastAsia="宋体" w:cs="宋体"/>
          <w:sz w:val="32"/>
          <w:highlight w:val="none"/>
        </w:rPr>
      </w:pPr>
    </w:p>
    <w:p w14:paraId="0BCB836F">
      <w:pPr>
        <w:spacing w:line="440" w:lineRule="exact"/>
        <w:rPr>
          <w:rFonts w:hint="eastAsia" w:ascii="宋体" w:hAnsi="宋体" w:eastAsia="宋体" w:cs="宋体"/>
          <w:sz w:val="32"/>
          <w:highlight w:val="none"/>
        </w:rPr>
      </w:pPr>
    </w:p>
    <w:p w14:paraId="2F817BC4">
      <w:pPr>
        <w:spacing w:line="440" w:lineRule="exact"/>
        <w:rPr>
          <w:rFonts w:hint="eastAsia" w:ascii="宋体" w:hAnsi="宋体" w:eastAsia="宋体" w:cs="宋体"/>
          <w:sz w:val="32"/>
          <w:highlight w:val="none"/>
        </w:rPr>
      </w:pPr>
    </w:p>
    <w:p w14:paraId="7D35318C">
      <w:pPr>
        <w:spacing w:line="440" w:lineRule="exact"/>
        <w:rPr>
          <w:rFonts w:hint="eastAsia" w:ascii="宋体" w:hAnsi="宋体" w:eastAsia="宋体" w:cs="宋体"/>
          <w:sz w:val="32"/>
          <w:highlight w:val="none"/>
        </w:rPr>
      </w:pPr>
    </w:p>
    <w:p w14:paraId="7E300653">
      <w:pPr>
        <w:rPr>
          <w:rFonts w:hint="eastAsia" w:ascii="宋体" w:hAnsi="宋体" w:eastAsia="宋体" w:cs="宋体"/>
          <w:highlight w:val="none"/>
        </w:rPr>
      </w:pPr>
    </w:p>
    <w:p w14:paraId="71DE8CDF">
      <w:pPr>
        <w:rPr>
          <w:rFonts w:hint="eastAsia" w:ascii="宋体" w:hAnsi="宋体" w:eastAsia="宋体" w:cs="宋体"/>
          <w:sz w:val="32"/>
          <w:highlight w:val="none"/>
        </w:rPr>
      </w:pPr>
    </w:p>
    <w:p w14:paraId="345E5537">
      <w:pPr>
        <w:spacing w:line="440" w:lineRule="exact"/>
        <w:rPr>
          <w:rFonts w:hint="eastAsia" w:ascii="宋体" w:hAnsi="宋体" w:eastAsia="宋体" w:cs="宋体"/>
          <w:sz w:val="32"/>
          <w:highlight w:val="none"/>
        </w:rPr>
      </w:pPr>
    </w:p>
    <w:p w14:paraId="7E973FAD">
      <w:pPr>
        <w:rPr>
          <w:rFonts w:hint="eastAsia" w:ascii="宋体" w:hAnsi="宋体" w:eastAsia="宋体" w:cs="宋体"/>
          <w:highlight w:val="none"/>
        </w:rPr>
      </w:pPr>
    </w:p>
    <w:p w14:paraId="304E055B">
      <w:pPr>
        <w:rPr>
          <w:rFonts w:hint="eastAsia" w:ascii="宋体" w:hAnsi="宋体" w:eastAsia="宋体" w:cs="宋体"/>
          <w:b/>
          <w:bCs/>
          <w:sz w:val="28"/>
          <w:szCs w:val="28"/>
          <w:highlight w:val="none"/>
        </w:rPr>
      </w:pPr>
      <w:bookmarkStart w:id="361" w:name="_Toc25691_WPSOffice_Level3"/>
      <w:bookmarkStart w:id="362" w:name="_Toc25067_WPSOffice_Level3"/>
      <w:bookmarkStart w:id="363" w:name="_Toc22742_WPSOffice_Level3"/>
      <w:bookmarkStart w:id="364" w:name="_Toc18398"/>
    </w:p>
    <w:p w14:paraId="1F56BDF6">
      <w:pPr>
        <w:rPr>
          <w:rFonts w:hint="eastAsia" w:ascii="宋体" w:hAnsi="宋体" w:eastAsia="宋体" w:cs="宋体"/>
          <w:highlight w:val="none"/>
        </w:rPr>
      </w:pPr>
    </w:p>
    <w:bookmarkEnd w:id="361"/>
    <w:bookmarkEnd w:id="362"/>
    <w:bookmarkEnd w:id="363"/>
    <w:bookmarkEnd w:id="364"/>
    <w:p w14:paraId="606876C8">
      <w:pPr>
        <w:ind w:firstLine="1687" w:firstLineChars="600"/>
        <w:rPr>
          <w:rFonts w:hint="eastAsia" w:ascii="宋体" w:hAnsi="宋体" w:eastAsia="宋体" w:cs="宋体"/>
          <w:b/>
          <w:bCs/>
          <w:sz w:val="28"/>
          <w:szCs w:val="28"/>
          <w:highlight w:val="none"/>
        </w:rPr>
      </w:pPr>
    </w:p>
    <w:p w14:paraId="716CEB61">
      <w:pPr>
        <w:jc w:val="center"/>
        <w:rPr>
          <w:rFonts w:hint="eastAsia" w:ascii="宋体" w:hAnsi="宋体" w:eastAsia="宋体" w:cs="宋体"/>
          <w:b/>
          <w:bCs/>
          <w:sz w:val="28"/>
          <w:szCs w:val="28"/>
          <w:highlight w:val="none"/>
          <w:lang w:val="en-US" w:eastAsia="zh-CN"/>
        </w:rPr>
      </w:pPr>
      <w:bookmarkStart w:id="365" w:name="_Toc12943"/>
      <w:bookmarkStart w:id="366" w:name="_Toc26305"/>
      <w:bookmarkStart w:id="367" w:name="_Toc20169"/>
      <w:bookmarkStart w:id="368" w:name="_Toc15095"/>
      <w:bookmarkStart w:id="369" w:name="_Toc10713"/>
    </w:p>
    <w:p w14:paraId="39D2228F">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参</w:t>
      </w:r>
      <w:r>
        <w:rPr>
          <w:rFonts w:hint="eastAsia" w:ascii="宋体" w:hAnsi="宋体" w:eastAsia="宋体" w:cs="宋体"/>
          <w:b/>
          <w:bCs/>
          <w:sz w:val="28"/>
          <w:szCs w:val="28"/>
          <w:highlight w:val="none"/>
        </w:rPr>
        <w:t xml:space="preserve">  </w:t>
      </w:r>
      <w:r>
        <w:rPr>
          <w:rFonts w:hint="eastAsia" w:ascii="宋体" w:hAnsi="宋体" w:eastAsia="宋体" w:cs="宋体"/>
          <w:b/>
          <w:bCs/>
          <w:sz w:val="28"/>
          <w:szCs w:val="28"/>
          <w:highlight w:val="none"/>
          <w:lang w:val="en-US" w:eastAsia="zh-CN"/>
        </w:rPr>
        <w:t>选</w:t>
      </w:r>
      <w:r>
        <w:rPr>
          <w:rFonts w:hint="eastAsia" w:ascii="宋体" w:hAnsi="宋体" w:eastAsia="宋体" w:cs="宋体"/>
          <w:b/>
          <w:bCs/>
          <w:sz w:val="28"/>
          <w:szCs w:val="28"/>
          <w:highlight w:val="none"/>
        </w:rPr>
        <w:t xml:space="preserve">  人：</w:t>
      </w:r>
      <w:r>
        <w:rPr>
          <w:rFonts w:hint="eastAsia" w:ascii="宋体" w:hAnsi="宋体" w:eastAsia="宋体" w:cs="宋体"/>
          <w:b/>
          <w:bCs/>
          <w:sz w:val="28"/>
          <w:szCs w:val="28"/>
          <w:highlight w:val="none"/>
          <w:u w:val="single"/>
        </w:rPr>
        <w:t xml:space="preserve">         （全称）（盖章）</w:t>
      </w:r>
    </w:p>
    <w:p w14:paraId="7A2AD8CC">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w:t>
      </w:r>
      <w:r>
        <w:rPr>
          <w:rFonts w:hint="eastAsia" w:ascii="宋体" w:hAnsi="宋体" w:eastAsia="宋体" w:cs="宋体"/>
          <w:b/>
          <w:bCs/>
          <w:sz w:val="28"/>
          <w:szCs w:val="28"/>
          <w:highlight w:val="none"/>
          <w:u w:val="single"/>
        </w:rPr>
        <w:t xml:space="preserve">           （签字或盖章）</w:t>
      </w:r>
    </w:p>
    <w:p w14:paraId="035E2267">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时      间：       年      月      日</w:t>
      </w:r>
    </w:p>
    <w:p w14:paraId="55B748FE">
      <w:pPr>
        <w:spacing w:line="440" w:lineRule="exact"/>
        <w:ind w:firstLine="1928" w:firstLineChars="600"/>
        <w:jc w:val="center"/>
        <w:rPr>
          <w:rFonts w:hint="eastAsia" w:ascii="宋体" w:hAnsi="宋体" w:eastAsia="宋体" w:cs="宋体"/>
          <w:b/>
          <w:bCs/>
          <w:sz w:val="32"/>
          <w:szCs w:val="32"/>
          <w:highlight w:val="none"/>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pPr>
    </w:p>
    <w:bookmarkEnd w:id="365"/>
    <w:bookmarkEnd w:id="366"/>
    <w:bookmarkEnd w:id="367"/>
    <w:bookmarkEnd w:id="368"/>
    <w:bookmarkEnd w:id="369"/>
    <w:p w14:paraId="33EBCB4E">
      <w:pPr>
        <w:keepNext/>
        <w:keepLines/>
        <w:widowControl w:val="0"/>
        <w:spacing w:before="260" w:after="260" w:line="440" w:lineRule="exact"/>
        <w:jc w:val="center"/>
        <w:outlineLvl w:val="1"/>
        <w:rPr>
          <w:rFonts w:hint="eastAsia" w:ascii="宋体" w:hAnsi="宋体" w:eastAsia="宋体" w:cs="宋体"/>
          <w:b/>
          <w:bCs/>
          <w:color w:val="auto"/>
          <w:kern w:val="0"/>
          <w:sz w:val="32"/>
          <w:szCs w:val="32"/>
          <w:highlight w:val="none"/>
          <w:lang w:val="en-US" w:eastAsia="zh-CN" w:bidi="ar-SA"/>
        </w:rPr>
      </w:pPr>
      <w:bookmarkStart w:id="370" w:name="_Toc176"/>
      <w:bookmarkStart w:id="371" w:name="_Toc11319"/>
      <w:bookmarkStart w:id="372" w:name="_Toc218710273"/>
      <w:bookmarkStart w:id="373" w:name="_Toc22612"/>
      <w:bookmarkStart w:id="374" w:name="_Toc20063_WPSOffice_Level2"/>
      <w:bookmarkStart w:id="375" w:name="_Toc22520"/>
      <w:bookmarkStart w:id="376" w:name="_Toc15020"/>
      <w:bookmarkStart w:id="377" w:name="_Toc23243"/>
      <w:bookmarkStart w:id="378" w:name="_Toc20872"/>
      <w:bookmarkStart w:id="379" w:name="_Toc25442"/>
      <w:bookmarkStart w:id="380" w:name="_Toc1737"/>
      <w:bookmarkStart w:id="381" w:name="_Toc4879"/>
      <w:bookmarkStart w:id="382" w:name="_Toc16839"/>
      <w:bookmarkStart w:id="383" w:name="_Toc24169"/>
      <w:r>
        <w:rPr>
          <w:rFonts w:hint="eastAsia" w:ascii="宋体" w:hAnsi="宋体" w:eastAsia="宋体" w:cs="宋体"/>
          <w:b/>
          <w:bCs/>
          <w:color w:val="auto"/>
          <w:kern w:val="0"/>
          <w:sz w:val="32"/>
          <w:szCs w:val="32"/>
          <w:highlight w:val="none"/>
          <w:lang w:val="en-US" w:eastAsia="zh-CN" w:bidi="ar-SA"/>
        </w:rPr>
        <w:t>目  录</w:t>
      </w:r>
      <w:bookmarkEnd w:id="370"/>
    </w:p>
    <w:p w14:paraId="1DB91CA2">
      <w:pPr>
        <w:spacing w:line="440" w:lineRule="exact"/>
        <w:rPr>
          <w:rFonts w:hint="eastAsia" w:ascii="宋体" w:hAnsi="宋体" w:eastAsia="宋体" w:cs="宋体"/>
          <w:color w:val="auto"/>
          <w:highlight w:val="none"/>
        </w:rPr>
      </w:pPr>
      <w:bookmarkStart w:id="384" w:name="_Toc14117_WPSOffice_Level3"/>
      <w:bookmarkStart w:id="385" w:name="_Toc25880_WPSOffice_Level3"/>
    </w:p>
    <w:bookmarkEnd w:id="384"/>
    <w:bookmarkEnd w:id="385"/>
    <w:p w14:paraId="0B1E1212">
      <w:pPr>
        <w:spacing w:line="440" w:lineRule="exact"/>
        <w:rPr>
          <w:rFonts w:hint="eastAsia" w:ascii="宋体" w:hAnsi="宋体" w:eastAsia="宋体" w:cs="宋体"/>
          <w:color w:val="auto"/>
          <w:sz w:val="21"/>
          <w:szCs w:val="21"/>
          <w:highlight w:val="none"/>
        </w:rPr>
      </w:pPr>
      <w:bookmarkStart w:id="386" w:name="_Toc30041"/>
      <w:bookmarkStart w:id="387" w:name="_Toc30629"/>
      <w:bookmarkStart w:id="388" w:name="_Toc9958"/>
      <w:r>
        <w:rPr>
          <w:rFonts w:hint="eastAsia" w:ascii="宋体" w:hAnsi="宋体" w:eastAsia="宋体" w:cs="宋体"/>
          <w:color w:val="auto"/>
          <w:sz w:val="21"/>
          <w:szCs w:val="21"/>
          <w:highlight w:val="none"/>
        </w:rPr>
        <w:t>一 法定代表人身份证明或其授权委托书</w:t>
      </w:r>
      <w:bookmarkEnd w:id="386"/>
      <w:bookmarkEnd w:id="387"/>
      <w:bookmarkEnd w:id="388"/>
    </w:p>
    <w:p w14:paraId="36B081B2">
      <w:pPr>
        <w:spacing w:line="440" w:lineRule="exact"/>
        <w:rPr>
          <w:rFonts w:hint="eastAsia" w:ascii="宋体" w:hAnsi="宋体" w:eastAsia="宋体" w:cs="宋体"/>
          <w:color w:val="auto"/>
          <w:sz w:val="21"/>
          <w:szCs w:val="21"/>
          <w:highlight w:val="none"/>
        </w:rPr>
      </w:pPr>
      <w:bookmarkStart w:id="389" w:name="_Toc27775"/>
      <w:bookmarkStart w:id="390" w:name="_Toc24867"/>
      <w:bookmarkStart w:id="391" w:name="_Toc28094"/>
      <w:bookmarkStart w:id="392" w:name="_Toc18864_WPSOffice_Level3"/>
      <w:bookmarkStart w:id="393" w:name="_Toc30089_WPSOffice_Level3"/>
      <w:r>
        <w:rPr>
          <w:rFonts w:hint="eastAsia" w:ascii="宋体" w:hAnsi="宋体" w:eastAsia="宋体" w:cs="宋体"/>
          <w:color w:val="auto"/>
          <w:sz w:val="21"/>
          <w:szCs w:val="21"/>
          <w:highlight w:val="none"/>
        </w:rPr>
        <w:t xml:space="preserve">二 </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人基本情况表</w:t>
      </w:r>
      <w:bookmarkEnd w:id="389"/>
      <w:bookmarkEnd w:id="390"/>
      <w:bookmarkEnd w:id="391"/>
      <w:bookmarkEnd w:id="392"/>
      <w:bookmarkEnd w:id="393"/>
      <w:bookmarkStart w:id="394" w:name="_Toc30487_WPSOffice_Level3"/>
      <w:bookmarkStart w:id="395" w:name="_Toc27952"/>
      <w:bookmarkStart w:id="396" w:name="_Toc2754_WPSOffice_Level3"/>
      <w:bookmarkStart w:id="397" w:name="_Toc16802"/>
      <w:bookmarkStart w:id="398" w:name="_Toc29264"/>
    </w:p>
    <w:p w14:paraId="7D126E67">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 企业业绩概况表</w:t>
      </w:r>
    </w:p>
    <w:p w14:paraId="3A596071">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 项目负责人简历表</w:t>
      </w:r>
    </w:p>
    <w:p w14:paraId="597CDC68">
      <w:pPr>
        <w:spacing w:line="440" w:lineRule="exact"/>
        <w:rPr>
          <w:rFonts w:hint="eastAsia" w:ascii="宋体" w:hAnsi="宋体" w:eastAsia="宋体" w:cs="宋体"/>
          <w:color w:val="auto"/>
          <w:sz w:val="21"/>
          <w:szCs w:val="21"/>
          <w:highlight w:val="none"/>
          <w:lang w:val="en-US" w:eastAsia="zh-CN"/>
        </w:rPr>
      </w:pPr>
      <w:bookmarkStart w:id="399" w:name="_Toc2510"/>
      <w:bookmarkStart w:id="400" w:name="_Toc7299"/>
      <w:bookmarkStart w:id="401" w:name="_Toc26412_WPSOffice_Level3"/>
      <w:bookmarkStart w:id="402" w:name="_Toc14545"/>
      <w:r>
        <w:rPr>
          <w:rFonts w:hint="eastAsia" w:ascii="宋体" w:hAnsi="宋体" w:eastAsia="宋体" w:cs="宋体"/>
          <w:color w:val="auto"/>
          <w:sz w:val="21"/>
          <w:szCs w:val="21"/>
          <w:highlight w:val="none"/>
          <w:lang w:val="en-US" w:eastAsia="zh-CN"/>
        </w:rPr>
        <w:t xml:space="preserve">五 </w:t>
      </w:r>
      <w:bookmarkEnd w:id="394"/>
      <w:bookmarkEnd w:id="395"/>
      <w:bookmarkEnd w:id="396"/>
      <w:bookmarkEnd w:id="397"/>
      <w:bookmarkEnd w:id="398"/>
      <w:bookmarkEnd w:id="399"/>
      <w:bookmarkEnd w:id="400"/>
      <w:bookmarkEnd w:id="401"/>
      <w:bookmarkEnd w:id="402"/>
      <w:bookmarkStart w:id="403" w:name="_Toc3766"/>
      <w:bookmarkStart w:id="404" w:name="_Toc28045"/>
      <w:bookmarkStart w:id="405" w:name="_Toc1262"/>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承诺</w:t>
      </w:r>
      <w:bookmarkEnd w:id="403"/>
      <w:bookmarkEnd w:id="404"/>
      <w:bookmarkEnd w:id="405"/>
      <w:r>
        <w:rPr>
          <w:rFonts w:hint="eastAsia" w:ascii="宋体" w:hAnsi="宋体" w:eastAsia="宋体" w:cs="宋体"/>
          <w:color w:val="auto"/>
          <w:sz w:val="21"/>
          <w:szCs w:val="21"/>
          <w:highlight w:val="none"/>
          <w:lang w:val="en-US" w:eastAsia="zh-CN"/>
        </w:rPr>
        <w:t>书</w:t>
      </w:r>
    </w:p>
    <w:p w14:paraId="3B65CC2B">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参选人自行编制目录页码</w:t>
      </w:r>
      <w:r>
        <w:rPr>
          <w:rFonts w:hint="eastAsia" w:ascii="宋体" w:hAnsi="宋体" w:eastAsia="宋体" w:cs="宋体"/>
          <w:color w:val="auto"/>
          <w:sz w:val="21"/>
          <w:szCs w:val="21"/>
          <w:highlight w:val="none"/>
          <w:lang w:eastAsia="zh-CN"/>
        </w:rPr>
        <w:t>）</w:t>
      </w:r>
    </w:p>
    <w:p w14:paraId="1108B740">
      <w:pPr>
        <w:spacing w:line="440" w:lineRule="exact"/>
        <w:rPr>
          <w:rFonts w:hint="eastAsia" w:ascii="宋体" w:hAnsi="宋体" w:eastAsia="宋体" w:cs="宋体"/>
          <w:color w:val="auto"/>
          <w:sz w:val="24"/>
          <w:highlight w:val="none"/>
          <w:lang w:eastAsia="zh-CN"/>
        </w:rPr>
      </w:pPr>
    </w:p>
    <w:p w14:paraId="022C2509">
      <w:pPr>
        <w:spacing w:line="440" w:lineRule="exact"/>
        <w:rPr>
          <w:rFonts w:hint="eastAsia" w:ascii="宋体" w:hAnsi="宋体" w:eastAsia="宋体" w:cs="宋体"/>
          <w:color w:val="auto"/>
          <w:sz w:val="24"/>
          <w:highlight w:val="none"/>
          <w:lang w:val="en-US" w:eastAsia="zh-CN"/>
        </w:rPr>
      </w:pPr>
    </w:p>
    <w:p w14:paraId="371CBDC1">
      <w:pPr>
        <w:spacing w:line="440" w:lineRule="exact"/>
        <w:rPr>
          <w:rFonts w:hint="eastAsia" w:ascii="宋体" w:hAnsi="宋体" w:eastAsia="宋体" w:cs="宋体"/>
          <w:color w:val="auto"/>
          <w:sz w:val="24"/>
          <w:szCs w:val="24"/>
          <w:highlight w:val="none"/>
        </w:rPr>
        <w:sectPr>
          <w:pgSz w:w="11905" w:h="16838"/>
          <w:pgMar w:top="1984" w:right="1587" w:bottom="1474" w:left="1587" w:header="992" w:footer="992" w:gutter="0"/>
          <w:pgBorders>
            <w:top w:val="none" w:sz="0" w:space="0"/>
            <w:left w:val="none" w:sz="0" w:space="0"/>
            <w:bottom w:val="none" w:sz="0" w:space="0"/>
            <w:right w:val="none" w:sz="0" w:space="0"/>
          </w:pgBorders>
          <w:pgNumType w:fmt="decimal"/>
          <w:cols w:space="0" w:num="1"/>
          <w:rtlGutter w:val="0"/>
          <w:docGrid w:linePitch="325" w:charSpace="0"/>
        </w:sectPr>
      </w:pPr>
    </w:p>
    <w:p w14:paraId="552D492B">
      <w:pPr>
        <w:keepNext/>
        <w:keepLines/>
        <w:widowControl w:val="0"/>
        <w:spacing w:before="0" w:after="0" w:line="440" w:lineRule="exact"/>
        <w:jc w:val="center"/>
        <w:outlineLvl w:val="1"/>
        <w:rPr>
          <w:rFonts w:hint="eastAsia" w:ascii="宋体" w:hAnsi="宋体" w:eastAsia="宋体" w:cs="宋体"/>
          <w:b/>
          <w:bCs/>
          <w:color w:val="auto"/>
          <w:kern w:val="0"/>
          <w:sz w:val="32"/>
          <w:szCs w:val="32"/>
          <w:highlight w:val="none"/>
          <w:lang w:val="en-US" w:eastAsia="zh-CN" w:bidi="ar-SA"/>
        </w:rPr>
      </w:pPr>
      <w:bookmarkStart w:id="406" w:name="_Toc23909"/>
      <w:bookmarkStart w:id="407" w:name="_Toc26699"/>
      <w:bookmarkStart w:id="408" w:name="_Toc9079"/>
      <w:bookmarkStart w:id="409" w:name="_Toc7825"/>
      <w:bookmarkStart w:id="410" w:name="_Toc14693"/>
      <w:bookmarkStart w:id="411" w:name="_Toc9174"/>
      <w:bookmarkStart w:id="412" w:name="_Toc23435"/>
      <w:bookmarkStart w:id="413" w:name="_Toc23195"/>
      <w:bookmarkStart w:id="414" w:name="_Toc16114"/>
      <w:bookmarkStart w:id="415" w:name="_Toc30555"/>
      <w:bookmarkStart w:id="416" w:name="_Toc27050"/>
      <w:bookmarkStart w:id="417" w:name="_Toc31620"/>
      <w:r>
        <w:rPr>
          <w:rFonts w:hint="eastAsia" w:ascii="宋体" w:hAnsi="宋体" w:eastAsia="宋体" w:cs="宋体"/>
          <w:b/>
          <w:bCs/>
          <w:color w:val="auto"/>
          <w:kern w:val="0"/>
          <w:sz w:val="32"/>
          <w:szCs w:val="32"/>
          <w:highlight w:val="none"/>
          <w:lang w:val="en-US" w:eastAsia="zh-CN" w:bidi="ar-SA"/>
        </w:rPr>
        <w:t>一 法定代表人身份证明或其授权委托书</w:t>
      </w:r>
      <w:bookmarkEnd w:id="406"/>
      <w:bookmarkEnd w:id="407"/>
      <w:bookmarkEnd w:id="408"/>
      <w:bookmarkEnd w:id="409"/>
      <w:bookmarkEnd w:id="410"/>
      <w:bookmarkEnd w:id="411"/>
      <w:bookmarkEnd w:id="412"/>
      <w:bookmarkEnd w:id="413"/>
      <w:bookmarkEnd w:id="414"/>
      <w:bookmarkEnd w:id="415"/>
      <w:bookmarkEnd w:id="416"/>
      <w:bookmarkEnd w:id="417"/>
    </w:p>
    <w:p w14:paraId="2E40FDDC">
      <w:pPr>
        <w:jc w:val="center"/>
        <w:rPr>
          <w:rFonts w:hint="eastAsia" w:ascii="宋体" w:hAnsi="宋体" w:eastAsia="宋体" w:cs="宋体"/>
          <w:b/>
          <w:bCs/>
          <w:color w:val="auto"/>
          <w:sz w:val="24"/>
          <w:highlight w:val="none"/>
        </w:rPr>
      </w:pPr>
      <w:bookmarkStart w:id="418" w:name="_Toc17327_WPSOffice_Level3"/>
      <w:bookmarkStart w:id="419" w:name="_Toc18350_WPSOffice_Level3"/>
      <w:bookmarkStart w:id="420" w:name="_Toc16177"/>
      <w:r>
        <w:rPr>
          <w:rFonts w:hint="eastAsia" w:ascii="宋体" w:hAnsi="宋体" w:eastAsia="宋体" w:cs="宋体"/>
          <w:b/>
          <w:bCs/>
          <w:color w:val="auto"/>
          <w:sz w:val="24"/>
          <w:highlight w:val="none"/>
        </w:rPr>
        <w:t>（一）法定代表人资格证明书</w:t>
      </w:r>
      <w:bookmarkEnd w:id="418"/>
      <w:bookmarkEnd w:id="419"/>
      <w:bookmarkEnd w:id="420"/>
    </w:p>
    <w:p w14:paraId="10ABCEB9">
      <w:pPr>
        <w:adjustRightInd w:val="0"/>
        <w:snapToGrid w:val="0"/>
        <w:spacing w:line="440" w:lineRule="exact"/>
        <w:ind w:firstLine="420" w:firstLineChars="200"/>
        <w:rPr>
          <w:rFonts w:hint="eastAsia" w:ascii="宋体" w:hAnsi="宋体" w:eastAsia="宋体" w:cs="宋体"/>
          <w:color w:val="auto"/>
          <w:szCs w:val="21"/>
          <w:highlight w:val="none"/>
        </w:rPr>
      </w:pPr>
    </w:p>
    <w:p w14:paraId="66F8C75B">
      <w:pPr>
        <w:adjustRightInd w:val="0"/>
        <w:snapToGrid w:val="0"/>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p w14:paraId="4CC45E74">
      <w:pPr>
        <w:adjustRightInd w:val="0"/>
        <w:snapToGrid w:val="0"/>
        <w:spacing w:line="440" w:lineRule="exact"/>
        <w:ind w:firstLine="420" w:firstLineChars="200"/>
        <w:rPr>
          <w:rFonts w:hint="eastAsia" w:ascii="宋体" w:hAnsi="宋体" w:eastAsia="宋体" w:cs="宋体"/>
          <w:color w:val="auto"/>
          <w:szCs w:val="21"/>
          <w:highlight w:val="none"/>
        </w:rPr>
      </w:pPr>
    </w:p>
    <w:p w14:paraId="211A6CEC">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7F92D250">
      <w:pPr>
        <w:adjustRightInd w:val="0"/>
        <w:snapToGrid w:val="0"/>
        <w:spacing w:line="440" w:lineRule="exact"/>
        <w:ind w:firstLine="420" w:firstLineChars="200"/>
        <w:rPr>
          <w:rFonts w:hint="eastAsia" w:ascii="宋体" w:hAnsi="宋体" w:eastAsia="宋体" w:cs="宋体"/>
          <w:color w:val="auto"/>
          <w:szCs w:val="21"/>
          <w:highlight w:val="none"/>
        </w:rPr>
      </w:pPr>
    </w:p>
    <w:p w14:paraId="479FFE00">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162DDE40">
      <w:pPr>
        <w:adjustRightInd w:val="0"/>
        <w:snapToGrid w:val="0"/>
        <w:spacing w:line="440" w:lineRule="exact"/>
        <w:ind w:firstLine="420" w:firstLineChars="200"/>
        <w:rPr>
          <w:rFonts w:hint="eastAsia" w:ascii="宋体" w:hAnsi="宋体" w:eastAsia="宋体" w:cs="宋体"/>
          <w:color w:val="auto"/>
          <w:szCs w:val="21"/>
          <w:highlight w:val="none"/>
        </w:rPr>
      </w:pPr>
    </w:p>
    <w:p w14:paraId="479B1381">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参选人</w:t>
      </w:r>
      <w:r>
        <w:rPr>
          <w:rFonts w:hint="eastAsia" w:ascii="宋体" w:hAnsi="宋体" w:eastAsia="宋体" w:cs="宋体"/>
          <w:color w:val="auto"/>
          <w:szCs w:val="21"/>
          <w:highlight w:val="none"/>
          <w:u w:val="single"/>
        </w:rPr>
        <w:t xml:space="preserve">名称）                       </w:t>
      </w:r>
      <w:r>
        <w:rPr>
          <w:rFonts w:hint="eastAsia" w:ascii="宋体" w:hAnsi="宋体" w:eastAsia="宋体" w:cs="宋体"/>
          <w:color w:val="auto"/>
          <w:szCs w:val="21"/>
          <w:highlight w:val="none"/>
        </w:rPr>
        <w:t>的法定代表人。</w:t>
      </w:r>
    </w:p>
    <w:p w14:paraId="6CBF85B8">
      <w:pPr>
        <w:adjustRightInd w:val="0"/>
        <w:snapToGrid w:val="0"/>
        <w:spacing w:line="440" w:lineRule="exact"/>
        <w:ind w:firstLine="420" w:firstLineChars="200"/>
        <w:rPr>
          <w:rFonts w:hint="eastAsia" w:ascii="宋体" w:hAnsi="宋体" w:eastAsia="宋体" w:cs="宋体"/>
          <w:color w:val="auto"/>
          <w:szCs w:val="21"/>
          <w:highlight w:val="none"/>
        </w:rPr>
      </w:pPr>
    </w:p>
    <w:p w14:paraId="4732F1F9">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73D61186">
      <w:pPr>
        <w:adjustRightInd w:val="0"/>
        <w:snapToGrid w:val="0"/>
        <w:spacing w:line="440" w:lineRule="exact"/>
        <w:ind w:firstLine="420" w:firstLineChars="200"/>
        <w:rPr>
          <w:rFonts w:hint="eastAsia" w:ascii="宋体" w:hAnsi="宋体" w:eastAsia="宋体" w:cs="宋体"/>
          <w:color w:val="auto"/>
          <w:szCs w:val="21"/>
          <w:highlight w:val="none"/>
        </w:rPr>
      </w:pPr>
    </w:p>
    <w:p w14:paraId="5609B28F">
      <w:pPr>
        <w:adjustRightInd w:val="0"/>
        <w:snapToGrid w:val="0"/>
        <w:spacing w:line="440" w:lineRule="exact"/>
        <w:ind w:firstLine="420" w:firstLineChars="200"/>
        <w:rPr>
          <w:rFonts w:hint="eastAsia" w:ascii="宋体" w:hAnsi="宋体" w:eastAsia="宋体" w:cs="宋体"/>
          <w:color w:val="auto"/>
          <w:szCs w:val="21"/>
          <w:highlight w:val="none"/>
        </w:rPr>
      </w:pPr>
    </w:p>
    <w:p w14:paraId="5D37A4C1">
      <w:pPr>
        <w:adjustRightInd w:val="0"/>
        <w:snapToGrid w:val="0"/>
        <w:spacing w:line="440" w:lineRule="exact"/>
        <w:ind w:firstLine="420" w:firstLineChars="200"/>
        <w:rPr>
          <w:rFonts w:hint="eastAsia" w:ascii="宋体" w:hAnsi="宋体" w:eastAsia="宋体" w:cs="宋体"/>
          <w:color w:val="auto"/>
          <w:szCs w:val="21"/>
          <w:highlight w:val="none"/>
        </w:rPr>
      </w:pPr>
    </w:p>
    <w:p w14:paraId="60EA0863">
      <w:pPr>
        <w:adjustRightInd w:val="0"/>
        <w:snapToGrid w:val="0"/>
        <w:spacing w:line="440" w:lineRule="exact"/>
        <w:ind w:firstLine="420" w:firstLineChars="200"/>
        <w:rPr>
          <w:rFonts w:hint="eastAsia" w:ascii="宋体" w:hAnsi="宋体" w:eastAsia="宋体" w:cs="宋体"/>
          <w:color w:val="auto"/>
          <w:szCs w:val="21"/>
          <w:highlight w:val="none"/>
        </w:rPr>
      </w:pPr>
    </w:p>
    <w:p w14:paraId="5AF24BA1">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：（盖章）</w:t>
      </w:r>
    </w:p>
    <w:p w14:paraId="017BDEF7">
      <w:pPr>
        <w:adjustRightInd w:val="0"/>
        <w:snapToGrid w:val="0"/>
        <w:spacing w:line="440" w:lineRule="exact"/>
        <w:ind w:firstLine="420" w:firstLineChars="200"/>
        <w:rPr>
          <w:rFonts w:hint="eastAsia" w:ascii="宋体" w:hAnsi="宋体" w:eastAsia="宋体" w:cs="宋体"/>
          <w:color w:val="auto"/>
          <w:szCs w:val="21"/>
          <w:highlight w:val="none"/>
        </w:rPr>
      </w:pPr>
    </w:p>
    <w:p w14:paraId="2D51A435">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法定代表人：（签字）                            </w:t>
      </w:r>
    </w:p>
    <w:p w14:paraId="58C6FB64">
      <w:pPr>
        <w:adjustRightInd w:val="0"/>
        <w:snapToGrid w:val="0"/>
        <w:spacing w:line="440" w:lineRule="exact"/>
        <w:ind w:firstLine="420" w:firstLineChars="200"/>
        <w:rPr>
          <w:rFonts w:hint="eastAsia" w:ascii="宋体" w:hAnsi="宋体" w:eastAsia="宋体" w:cs="宋体"/>
          <w:color w:val="auto"/>
          <w:szCs w:val="21"/>
          <w:highlight w:val="none"/>
        </w:rPr>
      </w:pPr>
    </w:p>
    <w:p w14:paraId="4429F592">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760FE59">
      <w:pPr>
        <w:adjustRightInd w:val="0"/>
        <w:snapToGrid w:val="0"/>
        <w:spacing w:line="440" w:lineRule="exact"/>
        <w:ind w:firstLine="420" w:firstLineChars="200"/>
        <w:rPr>
          <w:rFonts w:hint="eastAsia" w:ascii="宋体" w:hAnsi="宋体" w:eastAsia="宋体" w:cs="宋体"/>
          <w:color w:val="auto"/>
          <w:szCs w:val="21"/>
          <w:highlight w:val="none"/>
        </w:rPr>
      </w:pPr>
    </w:p>
    <w:p w14:paraId="792229EF">
      <w:pPr>
        <w:adjustRightInd w:val="0"/>
        <w:snapToGrid w:val="0"/>
        <w:spacing w:line="440" w:lineRule="exact"/>
        <w:ind w:firstLine="420" w:firstLineChars="200"/>
        <w:rPr>
          <w:rFonts w:hint="eastAsia" w:ascii="宋体" w:hAnsi="宋体" w:eastAsia="宋体" w:cs="宋体"/>
          <w:color w:val="auto"/>
          <w:szCs w:val="21"/>
          <w:highlight w:val="none"/>
        </w:rPr>
      </w:pPr>
    </w:p>
    <w:p w14:paraId="656859B2">
      <w:pPr>
        <w:adjustRightInd w:val="0"/>
        <w:snapToGrid w:val="0"/>
        <w:spacing w:line="440" w:lineRule="exact"/>
        <w:ind w:firstLine="420" w:firstLineChars="200"/>
        <w:rPr>
          <w:rFonts w:hint="eastAsia" w:ascii="宋体" w:hAnsi="宋体" w:eastAsia="宋体" w:cs="宋体"/>
          <w:color w:val="auto"/>
          <w:szCs w:val="21"/>
          <w:highlight w:val="none"/>
        </w:rPr>
      </w:pPr>
    </w:p>
    <w:p w14:paraId="74905C35">
      <w:pPr>
        <w:topLinePunct/>
        <w:adjustRightInd w:val="0"/>
        <w:snapToGrid w:val="0"/>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附：法定代表人身份证双面复印件。</w:t>
      </w:r>
    </w:p>
    <w:p w14:paraId="1B44A7B2">
      <w:pPr>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421" w:name="_Toc2932_WPSOffice_Level3"/>
      <w:bookmarkStart w:id="422" w:name="_Toc6119"/>
      <w:bookmarkStart w:id="423" w:name="_Toc21175_WPSOffice_Level3"/>
      <w:r>
        <w:rPr>
          <w:rFonts w:hint="eastAsia" w:ascii="宋体" w:hAnsi="宋体" w:eastAsia="宋体" w:cs="宋体"/>
          <w:b/>
          <w:color w:val="auto"/>
          <w:sz w:val="24"/>
          <w:highlight w:val="none"/>
        </w:rPr>
        <w:t>（二）法定代表人授权委托书</w:t>
      </w:r>
      <w:bookmarkEnd w:id="421"/>
      <w:bookmarkEnd w:id="422"/>
      <w:bookmarkEnd w:id="423"/>
    </w:p>
    <w:p w14:paraId="458188DB">
      <w:pPr>
        <w:spacing w:line="440" w:lineRule="exact"/>
        <w:ind w:firstLine="422" w:firstLineChars="200"/>
        <w:rPr>
          <w:rFonts w:hint="eastAsia" w:ascii="宋体" w:hAnsi="宋体" w:eastAsia="宋体" w:cs="宋体"/>
          <w:b/>
          <w:color w:val="auto"/>
          <w:highlight w:val="none"/>
        </w:rPr>
      </w:pPr>
    </w:p>
    <w:p w14:paraId="63CE9450">
      <w:pPr>
        <w:spacing w:line="440" w:lineRule="exact"/>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致：</w:t>
      </w:r>
      <w:r>
        <w:rPr>
          <w:rFonts w:hint="eastAsia" w:ascii="宋体" w:hAnsi="宋体" w:eastAsia="宋体" w:cs="宋体"/>
          <w:b/>
          <w:color w:val="auto"/>
          <w:highlight w:val="none"/>
          <w:lang w:eastAsia="zh-CN"/>
        </w:rPr>
        <w:t>南通轨道建设发展有限公司</w:t>
      </w:r>
    </w:p>
    <w:p w14:paraId="420D6C32">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本授权委托书声明：</w:t>
      </w:r>
    </w:p>
    <w:p w14:paraId="6C6E3010">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名称）的法定代表人，现授权委托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（姓名）为我公司授权的合法代理人，以本公司的名义参加</w:t>
      </w:r>
      <w:r>
        <w:rPr>
          <w:rFonts w:hint="eastAsia" w:ascii="宋体" w:hAnsi="宋体" w:eastAsia="宋体" w:cs="宋体"/>
          <w:color w:val="auto"/>
          <w:highlight w:val="none"/>
          <w:u w:val="single"/>
        </w:rPr>
        <w:t xml:space="preserve"> （项目名称）</w:t>
      </w:r>
      <w:r>
        <w:rPr>
          <w:rFonts w:hint="eastAsia" w:ascii="宋体" w:hAnsi="宋体" w:eastAsia="宋体" w:cs="宋体"/>
          <w:color w:val="auto"/>
          <w:highlight w:val="none"/>
          <w:lang w:val="en-US" w:eastAsia="zh-CN"/>
        </w:rPr>
        <w:t>比选参选</w:t>
      </w:r>
      <w:r>
        <w:rPr>
          <w:rFonts w:hint="eastAsia" w:ascii="宋体" w:hAnsi="宋体" w:eastAsia="宋体" w:cs="宋体"/>
          <w:color w:val="auto"/>
          <w:highlight w:val="none"/>
        </w:rPr>
        <w:t>活动。</w:t>
      </w:r>
    </w:p>
    <w:p w14:paraId="422A335C">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委托代理人在开标、评标、合同谈判和合同签署过程中所签署的一切文件和处理与之有关的一切事务，我均予以承认。</w:t>
      </w:r>
    </w:p>
    <w:p w14:paraId="67E07E7E">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本委托书的有效期限为</w:t>
      </w:r>
      <w:r>
        <w:rPr>
          <w:rFonts w:hint="eastAsia" w:ascii="宋体" w:hAnsi="宋体" w:eastAsia="宋体" w:cs="宋体"/>
          <w:color w:val="auto"/>
          <w:highlight w:val="none"/>
          <w:u w:val="single"/>
        </w:rPr>
        <w:t>自即日起至       日止</w:t>
      </w:r>
      <w:r>
        <w:rPr>
          <w:rFonts w:hint="eastAsia" w:ascii="宋体" w:hAnsi="宋体" w:eastAsia="宋体" w:cs="宋体"/>
          <w:color w:val="auto"/>
          <w:highlight w:val="none"/>
        </w:rPr>
        <w:t>。</w:t>
      </w:r>
    </w:p>
    <w:p w14:paraId="0748FA81">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特此委托，此委托无转委托权。</w:t>
      </w:r>
    </w:p>
    <w:p w14:paraId="1C053AFC">
      <w:pPr>
        <w:spacing w:line="4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附：委托代理人身份证双面复印件。</w:t>
      </w:r>
    </w:p>
    <w:p w14:paraId="122DFDDD">
      <w:pPr>
        <w:spacing w:line="440" w:lineRule="exact"/>
        <w:ind w:firstLine="420" w:firstLineChars="200"/>
        <w:rPr>
          <w:rFonts w:hint="eastAsia" w:ascii="宋体" w:hAnsi="宋体" w:eastAsia="宋体" w:cs="宋体"/>
          <w:color w:val="auto"/>
          <w:highlight w:val="none"/>
        </w:rPr>
      </w:pPr>
    </w:p>
    <w:p w14:paraId="1E45C5BB">
      <w:pPr>
        <w:spacing w:line="440" w:lineRule="exact"/>
        <w:ind w:firstLine="420" w:firstLineChars="200"/>
        <w:rPr>
          <w:rFonts w:hint="eastAsia" w:ascii="宋体" w:hAnsi="宋体" w:eastAsia="宋体" w:cs="宋体"/>
          <w:color w:val="auto"/>
          <w:highlight w:val="none"/>
        </w:rPr>
      </w:pPr>
    </w:p>
    <w:p w14:paraId="42E7A331">
      <w:pPr>
        <w:spacing w:line="440" w:lineRule="exact"/>
        <w:ind w:firstLine="420" w:firstLineChars="200"/>
        <w:rPr>
          <w:rFonts w:hint="eastAsia" w:ascii="宋体" w:hAnsi="宋体" w:eastAsia="宋体" w:cs="宋体"/>
          <w:color w:val="auto"/>
          <w:highlight w:val="none"/>
        </w:rPr>
      </w:pPr>
    </w:p>
    <w:p w14:paraId="55456758">
      <w:pPr>
        <w:pStyle w:val="10"/>
        <w:spacing w:line="440" w:lineRule="exact"/>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（盖章）</w:t>
      </w:r>
    </w:p>
    <w:p w14:paraId="68D76901">
      <w:pPr>
        <w:pStyle w:val="10"/>
        <w:spacing w:line="440" w:lineRule="exact"/>
        <w:ind w:lef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（签字或盖章）</w:t>
      </w:r>
    </w:p>
    <w:p w14:paraId="4E94D849">
      <w:pPr>
        <w:pStyle w:val="10"/>
        <w:spacing w:line="440" w:lineRule="exact"/>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0DE57E70">
      <w:pPr>
        <w:pStyle w:val="10"/>
        <w:spacing w:line="440" w:lineRule="exact"/>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（签字或盖章）</w:t>
      </w:r>
    </w:p>
    <w:p w14:paraId="7557EE2A">
      <w:pPr>
        <w:pStyle w:val="10"/>
        <w:spacing w:line="440" w:lineRule="exact"/>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7912B46F">
      <w:pPr>
        <w:pStyle w:val="10"/>
        <w:spacing w:line="440" w:lineRule="exact"/>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val="en-US" w:eastAsia="zh-CN"/>
        </w:rPr>
        <w:t>手机号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1DF32BB4">
      <w:pPr>
        <w:pStyle w:val="10"/>
        <w:spacing w:line="440" w:lineRule="exact"/>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0C64070">
      <w:pPr>
        <w:adjustRightInd w:val="0"/>
        <w:spacing w:line="440" w:lineRule="exact"/>
        <w:ind w:firstLine="420" w:firstLineChars="200"/>
        <w:textAlignment w:val="baseline"/>
        <w:rPr>
          <w:rFonts w:hint="eastAsia" w:ascii="宋体" w:hAnsi="宋体" w:eastAsia="宋体" w:cs="宋体"/>
          <w:color w:val="auto"/>
          <w:szCs w:val="21"/>
          <w:highlight w:val="none"/>
        </w:rPr>
      </w:pPr>
    </w:p>
    <w:p w14:paraId="5267DFC9">
      <w:pPr>
        <w:adjustRightInd w:val="0"/>
        <w:spacing w:line="440" w:lineRule="exact"/>
        <w:ind w:firstLine="420" w:firstLineChars="200"/>
        <w:textAlignment w:val="baseline"/>
        <w:rPr>
          <w:rFonts w:hint="eastAsia" w:ascii="宋体" w:hAnsi="宋体" w:eastAsia="宋体" w:cs="宋体"/>
          <w:color w:val="auto"/>
          <w:szCs w:val="21"/>
          <w:highlight w:val="none"/>
        </w:rPr>
      </w:pPr>
    </w:p>
    <w:p w14:paraId="0DCEFD91">
      <w:pPr>
        <w:pStyle w:val="10"/>
        <w:adjustRightInd w:val="0"/>
        <w:snapToGrid w:val="0"/>
        <w:spacing w:line="440" w:lineRule="exact"/>
        <w:ind w:left="1105" w:leftChars="211" w:hanging="662" w:hangingChars="31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说明：如</w:t>
      </w:r>
      <w:r>
        <w:rPr>
          <w:rFonts w:hint="eastAsia" w:ascii="宋体" w:hAnsi="宋体" w:eastAsia="宋体" w:cs="宋体"/>
          <w:b/>
          <w:color w:val="auto"/>
          <w:sz w:val="21"/>
          <w:szCs w:val="21"/>
          <w:highlight w:val="none"/>
          <w:lang w:eastAsia="zh-CN"/>
        </w:rPr>
        <w:t>参选人</w:t>
      </w:r>
      <w:r>
        <w:rPr>
          <w:rFonts w:hint="eastAsia" w:ascii="宋体" w:hAnsi="宋体" w:eastAsia="宋体" w:cs="宋体"/>
          <w:b/>
          <w:color w:val="auto"/>
          <w:sz w:val="21"/>
          <w:szCs w:val="21"/>
          <w:highlight w:val="none"/>
        </w:rPr>
        <w:t>由法定代表人亲自签署</w:t>
      </w:r>
      <w:r>
        <w:rPr>
          <w:rFonts w:hint="eastAsia" w:ascii="宋体" w:hAnsi="宋体" w:eastAsia="宋体" w:cs="宋体"/>
          <w:b/>
          <w:color w:val="auto"/>
          <w:sz w:val="21"/>
          <w:szCs w:val="21"/>
          <w:highlight w:val="none"/>
          <w:lang w:val="en-US" w:eastAsia="zh-CN"/>
        </w:rPr>
        <w:t>参选</w:t>
      </w:r>
      <w:r>
        <w:rPr>
          <w:rFonts w:hint="eastAsia" w:ascii="宋体" w:hAnsi="宋体" w:eastAsia="宋体" w:cs="宋体"/>
          <w:b/>
          <w:color w:val="auto"/>
          <w:sz w:val="21"/>
          <w:szCs w:val="21"/>
          <w:highlight w:val="none"/>
        </w:rPr>
        <w:t>文件并参与相关活动，则不需办理授权。如由被授权的代理人签署上述文件，则必须按本格式规定办理授权书。</w:t>
      </w:r>
    </w:p>
    <w:p w14:paraId="54ADEB65">
      <w:pPr>
        <w:keepNext/>
        <w:keepLines/>
        <w:widowControl w:val="0"/>
        <w:spacing w:before="0" w:after="0" w:line="440" w:lineRule="exact"/>
        <w:jc w:val="center"/>
        <w:outlineLvl w:val="1"/>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24"/>
          <w:szCs w:val="32"/>
          <w:highlight w:val="none"/>
          <w:lang w:val="en-US" w:eastAsia="zh-CN" w:bidi="ar-SA"/>
        </w:rPr>
        <w:br w:type="page"/>
      </w:r>
      <w:bookmarkStart w:id="424" w:name="_Toc24057"/>
      <w:bookmarkStart w:id="425" w:name="_Toc9468"/>
      <w:bookmarkStart w:id="426" w:name="_Toc18255"/>
      <w:bookmarkStart w:id="427" w:name="_Toc3758"/>
      <w:bookmarkStart w:id="428" w:name="_Toc25701"/>
      <w:bookmarkStart w:id="429" w:name="_Toc12537"/>
      <w:bookmarkStart w:id="430" w:name="_Toc30751"/>
      <w:bookmarkStart w:id="431" w:name="_Toc22478"/>
      <w:bookmarkStart w:id="432" w:name="_Toc26036"/>
      <w:bookmarkStart w:id="433" w:name="_Toc11305"/>
      <w:bookmarkStart w:id="434" w:name="_Toc2356"/>
      <w:bookmarkStart w:id="435" w:name="_Toc29270"/>
      <w:bookmarkStart w:id="436" w:name="_Toc21962"/>
      <w:bookmarkStart w:id="437" w:name="_Toc21531"/>
      <w:bookmarkStart w:id="438" w:name="_Toc12549"/>
      <w:bookmarkStart w:id="439" w:name="_Toc31010_WPSOffice_Level2"/>
      <w:bookmarkStart w:id="440" w:name="_Toc4799"/>
      <w:bookmarkStart w:id="441" w:name="_Toc19368"/>
      <w:bookmarkStart w:id="442" w:name="_Toc25409"/>
      <w:bookmarkStart w:id="443" w:name="_Toc13358"/>
      <w:r>
        <w:rPr>
          <w:rFonts w:hint="eastAsia" w:ascii="宋体" w:hAnsi="宋体" w:eastAsia="宋体" w:cs="宋体"/>
          <w:b/>
          <w:bCs/>
          <w:color w:val="auto"/>
          <w:kern w:val="0"/>
          <w:sz w:val="32"/>
          <w:szCs w:val="32"/>
          <w:highlight w:val="none"/>
          <w:lang w:val="en-US" w:eastAsia="zh-CN" w:bidi="ar-SA"/>
        </w:rPr>
        <w:t>二 参选人基本情况表</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6021B9A8">
      <w:pPr>
        <w:spacing w:line="440" w:lineRule="exact"/>
        <w:rPr>
          <w:rFonts w:hint="eastAsia" w:ascii="宋体" w:hAnsi="宋体" w:eastAsia="宋体" w:cs="宋体"/>
          <w:color w:val="auto"/>
          <w:highlight w:val="none"/>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2"/>
        <w:gridCol w:w="1308"/>
        <w:gridCol w:w="1635"/>
        <w:gridCol w:w="1395"/>
        <w:gridCol w:w="1575"/>
        <w:gridCol w:w="1207"/>
      </w:tblGrid>
      <w:tr w14:paraId="52155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14:paraId="3AC7036A">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名称</w:t>
            </w:r>
          </w:p>
        </w:tc>
        <w:tc>
          <w:tcPr>
            <w:tcW w:w="7120" w:type="dxa"/>
            <w:gridSpan w:val="5"/>
            <w:noWrap w:val="0"/>
            <w:vAlign w:val="center"/>
          </w:tcPr>
          <w:p w14:paraId="09D29889">
            <w:pPr>
              <w:spacing w:line="440" w:lineRule="exact"/>
              <w:rPr>
                <w:rFonts w:hint="eastAsia" w:ascii="宋体" w:hAnsi="宋体" w:eastAsia="宋体" w:cs="宋体"/>
                <w:color w:val="auto"/>
                <w:highlight w:val="none"/>
              </w:rPr>
            </w:pPr>
          </w:p>
        </w:tc>
      </w:tr>
      <w:tr w14:paraId="35ABE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14:paraId="491CC19F">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营业执照</w:t>
            </w:r>
          </w:p>
        </w:tc>
        <w:tc>
          <w:tcPr>
            <w:tcW w:w="7120" w:type="dxa"/>
            <w:gridSpan w:val="5"/>
            <w:noWrap w:val="0"/>
            <w:vAlign w:val="center"/>
          </w:tcPr>
          <w:p w14:paraId="54CB56F8">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统一社会信用代码</w:t>
            </w:r>
            <w:r>
              <w:rPr>
                <w:rFonts w:hint="eastAsia" w:ascii="宋体" w:hAnsi="宋体" w:eastAsia="宋体" w:cs="宋体"/>
                <w:color w:val="auto"/>
                <w:highlight w:val="none"/>
              </w:rPr>
              <w:t>：     2、发照机关：       3、营业范围：</w:t>
            </w:r>
          </w:p>
        </w:tc>
      </w:tr>
      <w:tr w14:paraId="2518F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14:paraId="2DDBDDF3">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成立日期</w:t>
            </w:r>
          </w:p>
        </w:tc>
        <w:tc>
          <w:tcPr>
            <w:tcW w:w="1308" w:type="dxa"/>
            <w:noWrap w:val="0"/>
            <w:vAlign w:val="center"/>
          </w:tcPr>
          <w:p w14:paraId="22C20596">
            <w:pPr>
              <w:spacing w:line="440" w:lineRule="exact"/>
              <w:rPr>
                <w:rFonts w:hint="eastAsia" w:ascii="宋体" w:hAnsi="宋体" w:eastAsia="宋体" w:cs="宋体"/>
                <w:color w:val="auto"/>
                <w:highlight w:val="none"/>
              </w:rPr>
            </w:pPr>
          </w:p>
        </w:tc>
        <w:tc>
          <w:tcPr>
            <w:tcW w:w="1635" w:type="dxa"/>
            <w:noWrap w:val="0"/>
            <w:vAlign w:val="center"/>
          </w:tcPr>
          <w:p w14:paraId="56BC0DE7">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现有职工</w:t>
            </w:r>
          </w:p>
          <w:p w14:paraId="0E9C0FC5">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总人数（人）</w:t>
            </w:r>
          </w:p>
        </w:tc>
        <w:tc>
          <w:tcPr>
            <w:tcW w:w="1395" w:type="dxa"/>
            <w:noWrap w:val="0"/>
            <w:vAlign w:val="center"/>
          </w:tcPr>
          <w:p w14:paraId="1018EB52">
            <w:pPr>
              <w:spacing w:line="440" w:lineRule="exact"/>
              <w:rPr>
                <w:rFonts w:hint="eastAsia" w:ascii="宋体" w:hAnsi="宋体" w:eastAsia="宋体" w:cs="宋体"/>
                <w:color w:val="auto"/>
                <w:highlight w:val="none"/>
              </w:rPr>
            </w:pPr>
          </w:p>
        </w:tc>
        <w:tc>
          <w:tcPr>
            <w:tcW w:w="1575" w:type="dxa"/>
            <w:tcBorders>
              <w:right w:val="single" w:color="000000" w:sz="6" w:space="0"/>
            </w:tcBorders>
            <w:noWrap w:val="0"/>
            <w:vAlign w:val="center"/>
          </w:tcPr>
          <w:p w14:paraId="261A356E">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技术人员人数</w:t>
            </w:r>
          </w:p>
          <w:p w14:paraId="0CB680E5">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207" w:type="dxa"/>
            <w:tcBorders>
              <w:left w:val="single" w:color="000000" w:sz="6" w:space="0"/>
            </w:tcBorders>
            <w:noWrap w:val="0"/>
            <w:vAlign w:val="center"/>
          </w:tcPr>
          <w:p w14:paraId="28EE6DBC">
            <w:pPr>
              <w:spacing w:line="440" w:lineRule="exact"/>
              <w:jc w:val="center"/>
              <w:rPr>
                <w:rFonts w:hint="eastAsia" w:ascii="宋体" w:hAnsi="宋体" w:eastAsia="宋体" w:cs="宋体"/>
                <w:color w:val="auto"/>
                <w:highlight w:val="none"/>
              </w:rPr>
            </w:pPr>
          </w:p>
        </w:tc>
      </w:tr>
      <w:tr w14:paraId="77860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14:paraId="326C82B6">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7120" w:type="dxa"/>
            <w:gridSpan w:val="5"/>
            <w:noWrap w:val="0"/>
            <w:vAlign w:val="center"/>
          </w:tcPr>
          <w:p w14:paraId="4D6BB1AB">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1、姓名：           2、职务：             3、职称：                 </w:t>
            </w:r>
          </w:p>
          <w:p w14:paraId="1E8E8A89">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4、联系电话：</w:t>
            </w:r>
          </w:p>
        </w:tc>
      </w:tr>
      <w:tr w14:paraId="49948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14:paraId="37423840">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7120" w:type="dxa"/>
            <w:gridSpan w:val="5"/>
            <w:noWrap w:val="0"/>
            <w:vAlign w:val="center"/>
          </w:tcPr>
          <w:p w14:paraId="6B6BB3EF">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1、地址：           2、邮编：             3、联系人：              </w:t>
            </w:r>
          </w:p>
          <w:p w14:paraId="0176D259">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4、联系电话：       5、传真：             6、E-mail：  </w:t>
            </w:r>
          </w:p>
        </w:tc>
      </w:tr>
      <w:tr w14:paraId="1E3CA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noWrap w:val="0"/>
            <w:vAlign w:val="center"/>
          </w:tcPr>
          <w:p w14:paraId="0D2D2BB8">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7120" w:type="dxa"/>
            <w:gridSpan w:val="5"/>
            <w:noWrap w:val="0"/>
            <w:vAlign w:val="center"/>
          </w:tcPr>
          <w:p w14:paraId="7E5383BA">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银行</w:t>
            </w:r>
            <w:r>
              <w:rPr>
                <w:rFonts w:hint="eastAsia" w:ascii="宋体" w:hAnsi="宋体" w:eastAsia="宋体" w:cs="宋体"/>
                <w:color w:val="auto"/>
                <w:highlight w:val="none"/>
              </w:rPr>
              <w:t>名称：           2、</w:t>
            </w:r>
            <w:r>
              <w:rPr>
                <w:rFonts w:hint="eastAsia" w:ascii="宋体" w:hAnsi="宋体" w:eastAsia="宋体" w:cs="宋体"/>
                <w:color w:val="auto"/>
                <w:highlight w:val="none"/>
                <w:lang w:val="en-US" w:eastAsia="zh-CN"/>
              </w:rPr>
              <w:t>账号</w:t>
            </w:r>
            <w:r>
              <w:rPr>
                <w:rFonts w:hint="eastAsia" w:ascii="宋体" w:hAnsi="宋体" w:eastAsia="宋体" w:cs="宋体"/>
                <w:color w:val="auto"/>
                <w:highlight w:val="none"/>
              </w:rPr>
              <w:t>：</w:t>
            </w:r>
          </w:p>
        </w:tc>
      </w:tr>
      <w:tr w14:paraId="0B8CE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99" w:hRule="atLeast"/>
          <w:jc w:val="center"/>
        </w:trPr>
        <w:tc>
          <w:tcPr>
            <w:tcW w:w="1372" w:type="dxa"/>
            <w:noWrap w:val="0"/>
            <w:vAlign w:val="center"/>
          </w:tcPr>
          <w:p w14:paraId="73B8CE24">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资历</w:t>
            </w:r>
          </w:p>
          <w:p w14:paraId="3D86BC4B">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简介</w:t>
            </w:r>
          </w:p>
        </w:tc>
        <w:tc>
          <w:tcPr>
            <w:tcW w:w="7120" w:type="dxa"/>
            <w:gridSpan w:val="5"/>
            <w:noWrap w:val="0"/>
            <w:vAlign w:val="center"/>
          </w:tcPr>
          <w:p w14:paraId="4283C27D">
            <w:pPr>
              <w:spacing w:line="440" w:lineRule="exact"/>
              <w:jc w:val="center"/>
              <w:rPr>
                <w:rFonts w:hint="eastAsia" w:ascii="宋体" w:hAnsi="宋体" w:eastAsia="宋体" w:cs="宋体"/>
                <w:color w:val="auto"/>
                <w:highlight w:val="none"/>
              </w:rPr>
            </w:pPr>
          </w:p>
        </w:tc>
      </w:tr>
    </w:tbl>
    <w:p w14:paraId="69A77835">
      <w:pPr>
        <w:adjustRightInd w:val="0"/>
        <w:snapToGrid w:val="0"/>
        <w:spacing w:line="440" w:lineRule="exact"/>
        <w:ind w:left="420" w:hanging="420" w:hanging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注：本表后应包括不限于附</w:t>
      </w:r>
      <w:r>
        <w:rPr>
          <w:rFonts w:hint="eastAsia" w:ascii="宋体" w:hAnsi="宋体" w:eastAsia="宋体" w:cs="宋体"/>
          <w:b w:val="0"/>
          <w:bCs w:val="0"/>
          <w:color w:val="auto"/>
          <w:highlight w:val="none"/>
          <w:lang w:val="en-US" w:eastAsia="zh-CN"/>
        </w:rPr>
        <w:t>参选人</w:t>
      </w:r>
      <w:r>
        <w:rPr>
          <w:rFonts w:hint="eastAsia" w:ascii="宋体" w:hAnsi="宋体" w:eastAsia="宋体" w:cs="宋体"/>
          <w:b w:val="0"/>
          <w:bCs w:val="0"/>
          <w:color w:val="auto"/>
          <w:highlight w:val="none"/>
        </w:rPr>
        <w:t>营业执照</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或事业单位法人证书</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复印件（或扫描件）等，并与原件保持一致。</w:t>
      </w:r>
    </w:p>
    <w:p w14:paraId="1D5C4637">
      <w:pPr>
        <w:keepNext/>
        <w:keepLines/>
        <w:widowControl w:val="0"/>
        <w:spacing w:before="0" w:after="0" w:line="440" w:lineRule="exact"/>
        <w:jc w:val="center"/>
        <w:outlineLvl w:val="1"/>
        <w:rPr>
          <w:rFonts w:hint="eastAsia" w:ascii="宋体" w:hAnsi="宋体" w:eastAsia="宋体" w:cs="宋体"/>
          <w:b/>
          <w:bCs/>
          <w:color w:val="auto"/>
          <w:kern w:val="0"/>
          <w:sz w:val="32"/>
          <w:szCs w:val="28"/>
          <w:highlight w:val="none"/>
          <w:lang w:val="en-US" w:eastAsia="zh-CN" w:bidi="ar-SA"/>
        </w:rPr>
      </w:pPr>
      <w:r>
        <w:rPr>
          <w:rFonts w:hint="eastAsia" w:ascii="宋体" w:hAnsi="宋体" w:eastAsia="宋体" w:cs="宋体"/>
          <w:b w:val="0"/>
          <w:bCs w:val="0"/>
          <w:color w:val="auto"/>
          <w:kern w:val="0"/>
          <w:sz w:val="32"/>
          <w:szCs w:val="32"/>
          <w:highlight w:val="none"/>
          <w:lang w:val="en-US" w:eastAsia="zh-CN" w:bidi="ar-SA"/>
        </w:rPr>
        <w:br w:type="page"/>
      </w:r>
      <w:bookmarkStart w:id="444" w:name="_Toc2826"/>
      <w:bookmarkStart w:id="445" w:name="_Toc27040"/>
      <w:bookmarkStart w:id="446" w:name="_Toc6783"/>
      <w:bookmarkStart w:id="447" w:name="_Toc31623"/>
      <w:bookmarkStart w:id="448" w:name="_Toc3756"/>
      <w:bookmarkStart w:id="449" w:name="_Toc29540"/>
      <w:bookmarkStart w:id="450" w:name="_Toc988"/>
      <w:bookmarkStart w:id="451" w:name="_Toc10695"/>
      <w:bookmarkStart w:id="452" w:name="_Toc20957"/>
      <w:bookmarkStart w:id="453" w:name="_Toc14807"/>
      <w:r>
        <w:rPr>
          <w:rFonts w:hint="eastAsia" w:ascii="宋体" w:hAnsi="宋体" w:eastAsia="宋体" w:cs="宋体"/>
          <w:b/>
          <w:bCs/>
          <w:color w:val="auto"/>
          <w:kern w:val="0"/>
          <w:sz w:val="32"/>
          <w:szCs w:val="28"/>
          <w:highlight w:val="none"/>
          <w:lang w:val="en-US" w:eastAsia="zh-CN" w:bidi="ar-SA"/>
        </w:rPr>
        <w:t>三 企业业绩概况表</w:t>
      </w:r>
      <w:bookmarkEnd w:id="444"/>
    </w:p>
    <w:p w14:paraId="5A5E836B">
      <w:pPr>
        <w:spacing w:line="440" w:lineRule="exact"/>
        <w:ind w:left="439" w:hanging="438" w:hangingChars="209"/>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19"/>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14:paraId="498D1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407D8A38">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5577" w:type="dxa"/>
            <w:noWrap w:val="0"/>
            <w:vAlign w:val="center"/>
          </w:tcPr>
          <w:p w14:paraId="33B62CCF">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35A2E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313A2E0A">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5577" w:type="dxa"/>
            <w:noWrap w:val="0"/>
            <w:vAlign w:val="center"/>
          </w:tcPr>
          <w:p w14:paraId="5934DBA3">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38D43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2D14A548">
            <w:pPr>
              <w:adjustRightInd w:val="0"/>
              <w:snapToGrid w:val="0"/>
              <w:spacing w:line="440" w:lineRule="exact"/>
              <w:ind w:left="42" w:hanging="42" w:hangingChars="20"/>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5577" w:type="dxa"/>
            <w:noWrap w:val="0"/>
            <w:vAlign w:val="center"/>
          </w:tcPr>
          <w:p w14:paraId="76A5C314">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52E82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1A5A04CA">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业主名称</w:t>
            </w:r>
          </w:p>
        </w:tc>
        <w:tc>
          <w:tcPr>
            <w:tcW w:w="5577" w:type="dxa"/>
            <w:noWrap w:val="0"/>
            <w:vAlign w:val="center"/>
          </w:tcPr>
          <w:p w14:paraId="312B5F01">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463FA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41CE29BB">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业主地址</w:t>
            </w:r>
          </w:p>
        </w:tc>
        <w:tc>
          <w:tcPr>
            <w:tcW w:w="5577" w:type="dxa"/>
            <w:noWrap w:val="0"/>
            <w:vAlign w:val="center"/>
          </w:tcPr>
          <w:p w14:paraId="3B7E588F">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59374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3D2A36CB">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业主电话</w:t>
            </w:r>
          </w:p>
        </w:tc>
        <w:tc>
          <w:tcPr>
            <w:tcW w:w="5577" w:type="dxa"/>
            <w:noWrap w:val="0"/>
            <w:vAlign w:val="center"/>
          </w:tcPr>
          <w:p w14:paraId="7CBBB4ED">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297CD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7A3D7CAE">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w:t>
            </w:r>
            <w:r>
              <w:rPr>
                <w:rFonts w:hint="eastAsia" w:ascii="宋体" w:hAnsi="宋体" w:eastAsia="宋体" w:cs="宋体"/>
                <w:color w:val="auto"/>
                <w:highlight w:val="none"/>
              </w:rPr>
              <w:t>金额</w:t>
            </w:r>
          </w:p>
        </w:tc>
        <w:tc>
          <w:tcPr>
            <w:tcW w:w="5577" w:type="dxa"/>
            <w:noWrap w:val="0"/>
            <w:vAlign w:val="center"/>
          </w:tcPr>
          <w:p w14:paraId="780614F7">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5FCD8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12B2B12C">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承担的工作内容</w:t>
            </w:r>
          </w:p>
        </w:tc>
        <w:tc>
          <w:tcPr>
            <w:tcW w:w="5577" w:type="dxa"/>
            <w:noWrap w:val="0"/>
            <w:vAlign w:val="center"/>
          </w:tcPr>
          <w:p w14:paraId="0755F349">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1BEBA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223B628B">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5577" w:type="dxa"/>
            <w:noWrap w:val="0"/>
            <w:vAlign w:val="center"/>
          </w:tcPr>
          <w:p w14:paraId="7EABFA8D">
            <w:pPr>
              <w:adjustRightInd w:val="0"/>
              <w:snapToGrid w:val="0"/>
              <w:spacing w:line="440" w:lineRule="exact"/>
              <w:ind w:firstLine="420" w:firstLineChars="200"/>
              <w:jc w:val="center"/>
              <w:rPr>
                <w:rFonts w:hint="eastAsia" w:ascii="宋体" w:hAnsi="宋体" w:eastAsia="宋体" w:cs="宋体"/>
                <w:color w:val="auto"/>
                <w:highlight w:val="none"/>
              </w:rPr>
            </w:pPr>
          </w:p>
        </w:tc>
      </w:tr>
    </w:tbl>
    <w:p w14:paraId="14874A82">
      <w:pPr>
        <w:tabs>
          <w:tab w:val="left" w:pos="440"/>
        </w:tabs>
        <w:spacing w:line="440" w:lineRule="exact"/>
        <w:ind w:left="437" w:hanging="436" w:hangingChars="208"/>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注：每一个项目填一张表，本表后附业绩证明材料复印件或扫描件。</w:t>
      </w:r>
    </w:p>
    <w:p w14:paraId="2B9E11C4">
      <w:pPr>
        <w:rPr>
          <w:rFonts w:hint="eastAsia" w:ascii="宋体" w:hAnsi="宋体" w:eastAsia="宋体" w:cs="宋体"/>
          <w:b/>
          <w:bCs/>
          <w:color w:val="auto"/>
          <w:kern w:val="0"/>
          <w:sz w:val="32"/>
          <w:szCs w:val="32"/>
          <w:highlight w:val="none"/>
          <w:lang w:val="en-US" w:eastAsia="zh-CN" w:bidi="ar-SA"/>
        </w:rPr>
      </w:pPr>
    </w:p>
    <w:p w14:paraId="2C69E06E">
      <w:pPr>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br w:type="page"/>
      </w:r>
    </w:p>
    <w:p w14:paraId="36D00C6F">
      <w:pPr>
        <w:pStyle w:val="3"/>
        <w:spacing w:before="0" w:after="0" w:line="440" w:lineRule="exact"/>
        <w:jc w:val="center"/>
        <w:rPr>
          <w:rFonts w:hint="eastAsia" w:ascii="宋体" w:hAnsi="宋体" w:eastAsia="宋体" w:cs="宋体"/>
          <w:b/>
          <w:bCs/>
          <w:color w:val="auto"/>
          <w:highlight w:val="none"/>
        </w:rPr>
      </w:pPr>
      <w:bookmarkStart w:id="454" w:name="_Toc30387"/>
      <w:bookmarkStart w:id="455" w:name="_Toc16153"/>
      <w:r>
        <w:rPr>
          <w:rFonts w:hint="eastAsia" w:ascii="宋体" w:hAnsi="宋体" w:eastAsia="宋体" w:cs="宋体"/>
          <w:b/>
          <w:bCs/>
          <w:color w:val="auto"/>
          <w:highlight w:val="none"/>
          <w:lang w:val="en-US" w:eastAsia="zh-CN"/>
        </w:rPr>
        <w:t xml:space="preserve">四 </w:t>
      </w:r>
      <w:r>
        <w:rPr>
          <w:rFonts w:hint="eastAsia" w:ascii="宋体" w:hAnsi="宋体" w:eastAsia="宋体" w:cs="宋体"/>
          <w:b/>
          <w:bCs/>
          <w:color w:val="auto"/>
          <w:highlight w:val="none"/>
        </w:rPr>
        <w:t>项目负责人简历表</w:t>
      </w:r>
      <w:bookmarkEnd w:id="454"/>
      <w:bookmarkEnd w:id="455"/>
    </w:p>
    <w:p w14:paraId="0BCB52F0">
      <w:pPr>
        <w:spacing w:line="44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19"/>
        <w:tblW w:w="89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342"/>
        <w:gridCol w:w="1560"/>
        <w:gridCol w:w="1308"/>
        <w:gridCol w:w="1260"/>
        <w:gridCol w:w="256"/>
        <w:gridCol w:w="1607"/>
      </w:tblGrid>
      <w:tr w14:paraId="651BD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noWrap w:val="0"/>
            <w:vAlign w:val="center"/>
          </w:tcPr>
          <w:p w14:paraId="5E5D6A4F">
            <w:pPr>
              <w:spacing w:line="440" w:lineRule="exact"/>
              <w:jc w:val="center"/>
              <w:rPr>
                <w:rFonts w:hint="eastAsia" w:ascii="宋体" w:hAnsi="宋体" w:eastAsia="宋体" w:cs="宋体"/>
                <w:color w:val="auto"/>
                <w:highlight w:val="none"/>
              </w:rPr>
            </w:pPr>
            <w:bookmarkStart w:id="456" w:name="_Toc218710268"/>
            <w:r>
              <w:rPr>
                <w:rFonts w:hint="eastAsia" w:ascii="宋体" w:hAnsi="宋体" w:eastAsia="宋体" w:cs="宋体"/>
                <w:color w:val="auto"/>
                <w:highlight w:val="none"/>
              </w:rPr>
              <w:t>姓   名</w:t>
            </w:r>
          </w:p>
        </w:tc>
        <w:tc>
          <w:tcPr>
            <w:tcW w:w="1342" w:type="dxa"/>
            <w:noWrap w:val="0"/>
            <w:vAlign w:val="center"/>
          </w:tcPr>
          <w:p w14:paraId="03BA6DA4">
            <w:pPr>
              <w:spacing w:line="440" w:lineRule="exact"/>
              <w:jc w:val="center"/>
              <w:rPr>
                <w:rFonts w:hint="eastAsia" w:ascii="宋体" w:hAnsi="宋体" w:eastAsia="宋体" w:cs="宋体"/>
                <w:color w:val="auto"/>
                <w:highlight w:val="none"/>
              </w:rPr>
            </w:pPr>
          </w:p>
        </w:tc>
        <w:tc>
          <w:tcPr>
            <w:tcW w:w="1560" w:type="dxa"/>
            <w:noWrap w:val="0"/>
            <w:vAlign w:val="center"/>
          </w:tcPr>
          <w:p w14:paraId="7D8EA07D">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性   别</w:t>
            </w:r>
          </w:p>
        </w:tc>
        <w:tc>
          <w:tcPr>
            <w:tcW w:w="1308" w:type="dxa"/>
            <w:noWrap w:val="0"/>
            <w:vAlign w:val="center"/>
          </w:tcPr>
          <w:p w14:paraId="29B0E964">
            <w:pPr>
              <w:spacing w:line="440" w:lineRule="exact"/>
              <w:jc w:val="center"/>
              <w:rPr>
                <w:rFonts w:hint="eastAsia" w:ascii="宋体" w:hAnsi="宋体" w:eastAsia="宋体" w:cs="宋体"/>
                <w:color w:val="auto"/>
                <w:highlight w:val="none"/>
              </w:rPr>
            </w:pPr>
          </w:p>
        </w:tc>
        <w:tc>
          <w:tcPr>
            <w:tcW w:w="1260" w:type="dxa"/>
            <w:noWrap w:val="0"/>
            <w:vAlign w:val="center"/>
          </w:tcPr>
          <w:p w14:paraId="5C737F01">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出生日期</w:t>
            </w:r>
          </w:p>
        </w:tc>
        <w:tc>
          <w:tcPr>
            <w:tcW w:w="1863" w:type="dxa"/>
            <w:gridSpan w:val="2"/>
            <w:noWrap w:val="0"/>
            <w:vAlign w:val="center"/>
          </w:tcPr>
          <w:p w14:paraId="3934CA3B">
            <w:pPr>
              <w:spacing w:line="440" w:lineRule="exact"/>
              <w:jc w:val="center"/>
              <w:rPr>
                <w:rFonts w:hint="eastAsia" w:ascii="宋体" w:hAnsi="宋体" w:eastAsia="宋体" w:cs="宋体"/>
                <w:color w:val="auto"/>
                <w:highlight w:val="none"/>
              </w:rPr>
            </w:pPr>
          </w:p>
        </w:tc>
      </w:tr>
      <w:tr w14:paraId="3D68A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noWrap w:val="0"/>
            <w:vAlign w:val="center"/>
          </w:tcPr>
          <w:p w14:paraId="78F3BC71">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现任职务</w:t>
            </w:r>
          </w:p>
        </w:tc>
        <w:tc>
          <w:tcPr>
            <w:tcW w:w="1342" w:type="dxa"/>
            <w:noWrap w:val="0"/>
            <w:vAlign w:val="center"/>
          </w:tcPr>
          <w:p w14:paraId="15AE0C51">
            <w:pPr>
              <w:spacing w:line="440" w:lineRule="exact"/>
              <w:jc w:val="center"/>
              <w:rPr>
                <w:rFonts w:hint="eastAsia" w:ascii="宋体" w:hAnsi="宋体" w:eastAsia="宋体" w:cs="宋体"/>
                <w:color w:val="auto"/>
                <w:highlight w:val="none"/>
              </w:rPr>
            </w:pPr>
          </w:p>
        </w:tc>
        <w:tc>
          <w:tcPr>
            <w:tcW w:w="1560" w:type="dxa"/>
            <w:noWrap w:val="0"/>
            <w:vAlign w:val="center"/>
          </w:tcPr>
          <w:p w14:paraId="2F38E3A0">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手机号码</w:t>
            </w:r>
          </w:p>
        </w:tc>
        <w:tc>
          <w:tcPr>
            <w:tcW w:w="1308" w:type="dxa"/>
            <w:noWrap w:val="0"/>
            <w:vAlign w:val="center"/>
          </w:tcPr>
          <w:p w14:paraId="29A6ACF9">
            <w:pPr>
              <w:spacing w:line="440" w:lineRule="exact"/>
              <w:jc w:val="center"/>
              <w:rPr>
                <w:rFonts w:hint="eastAsia" w:ascii="宋体" w:hAnsi="宋体" w:eastAsia="宋体" w:cs="宋体"/>
                <w:color w:val="auto"/>
                <w:highlight w:val="none"/>
              </w:rPr>
            </w:pPr>
          </w:p>
        </w:tc>
        <w:tc>
          <w:tcPr>
            <w:tcW w:w="1260" w:type="dxa"/>
            <w:noWrap w:val="0"/>
            <w:vAlign w:val="center"/>
          </w:tcPr>
          <w:p w14:paraId="3326F8C7">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邮箱</w:t>
            </w:r>
          </w:p>
        </w:tc>
        <w:tc>
          <w:tcPr>
            <w:tcW w:w="1863" w:type="dxa"/>
            <w:gridSpan w:val="2"/>
            <w:noWrap w:val="0"/>
            <w:vAlign w:val="center"/>
          </w:tcPr>
          <w:p w14:paraId="78D7744D">
            <w:pPr>
              <w:spacing w:line="440" w:lineRule="exact"/>
              <w:jc w:val="center"/>
              <w:rPr>
                <w:rFonts w:hint="eastAsia" w:ascii="宋体" w:hAnsi="宋体" w:eastAsia="宋体" w:cs="宋体"/>
                <w:color w:val="auto"/>
                <w:highlight w:val="none"/>
              </w:rPr>
            </w:pPr>
          </w:p>
        </w:tc>
      </w:tr>
      <w:tr w14:paraId="4B5FD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Merge w:val="restart"/>
            <w:noWrap w:val="0"/>
            <w:vAlign w:val="center"/>
          </w:tcPr>
          <w:p w14:paraId="08AB4C3C">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专业技术证书及证书号</w:t>
            </w:r>
          </w:p>
        </w:tc>
        <w:tc>
          <w:tcPr>
            <w:tcW w:w="1342" w:type="dxa"/>
            <w:noWrap w:val="0"/>
            <w:vAlign w:val="center"/>
          </w:tcPr>
          <w:p w14:paraId="75FDF58A">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868" w:type="dxa"/>
            <w:gridSpan w:val="2"/>
            <w:noWrap w:val="0"/>
            <w:vAlign w:val="center"/>
          </w:tcPr>
          <w:p w14:paraId="5AF50D71">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3123" w:type="dxa"/>
            <w:gridSpan w:val="3"/>
            <w:noWrap w:val="0"/>
            <w:vAlign w:val="center"/>
          </w:tcPr>
          <w:p w14:paraId="2CF5593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证书号</w:t>
            </w:r>
          </w:p>
        </w:tc>
      </w:tr>
      <w:tr w14:paraId="5151E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591" w:type="dxa"/>
            <w:vMerge w:val="continue"/>
            <w:noWrap w:val="0"/>
            <w:vAlign w:val="center"/>
          </w:tcPr>
          <w:p w14:paraId="284E2957">
            <w:pPr>
              <w:spacing w:line="440" w:lineRule="exact"/>
              <w:jc w:val="center"/>
              <w:rPr>
                <w:rFonts w:hint="eastAsia" w:ascii="宋体" w:hAnsi="宋体" w:eastAsia="宋体" w:cs="宋体"/>
                <w:color w:val="auto"/>
                <w:highlight w:val="none"/>
              </w:rPr>
            </w:pPr>
          </w:p>
        </w:tc>
        <w:tc>
          <w:tcPr>
            <w:tcW w:w="1342" w:type="dxa"/>
            <w:noWrap w:val="0"/>
            <w:vAlign w:val="center"/>
          </w:tcPr>
          <w:p w14:paraId="7E212AC3">
            <w:pPr>
              <w:spacing w:line="440" w:lineRule="exact"/>
              <w:jc w:val="center"/>
              <w:rPr>
                <w:rFonts w:hint="eastAsia" w:ascii="宋体" w:hAnsi="宋体" w:eastAsia="宋体" w:cs="宋体"/>
                <w:color w:val="auto"/>
                <w:highlight w:val="none"/>
              </w:rPr>
            </w:pPr>
          </w:p>
        </w:tc>
        <w:tc>
          <w:tcPr>
            <w:tcW w:w="2868" w:type="dxa"/>
            <w:gridSpan w:val="2"/>
            <w:noWrap w:val="0"/>
            <w:vAlign w:val="center"/>
          </w:tcPr>
          <w:p w14:paraId="6E24F2CA">
            <w:pPr>
              <w:spacing w:line="440" w:lineRule="exact"/>
              <w:jc w:val="center"/>
              <w:rPr>
                <w:rFonts w:hint="eastAsia" w:ascii="宋体" w:hAnsi="宋体" w:eastAsia="宋体" w:cs="宋体"/>
                <w:color w:val="auto"/>
                <w:highlight w:val="none"/>
              </w:rPr>
            </w:pPr>
          </w:p>
        </w:tc>
        <w:tc>
          <w:tcPr>
            <w:tcW w:w="3123" w:type="dxa"/>
            <w:gridSpan w:val="3"/>
            <w:noWrap w:val="0"/>
            <w:vAlign w:val="center"/>
          </w:tcPr>
          <w:p w14:paraId="2749B24A">
            <w:pPr>
              <w:spacing w:line="440" w:lineRule="exact"/>
              <w:jc w:val="center"/>
              <w:rPr>
                <w:rFonts w:hint="eastAsia" w:ascii="宋体" w:hAnsi="宋体" w:eastAsia="宋体" w:cs="宋体"/>
                <w:color w:val="auto"/>
                <w:highlight w:val="none"/>
              </w:rPr>
            </w:pPr>
          </w:p>
        </w:tc>
      </w:tr>
      <w:tr w14:paraId="43037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91" w:type="dxa"/>
            <w:vMerge w:val="continue"/>
            <w:noWrap w:val="0"/>
            <w:vAlign w:val="center"/>
          </w:tcPr>
          <w:p w14:paraId="78A20A6D">
            <w:pPr>
              <w:spacing w:line="440" w:lineRule="exact"/>
              <w:jc w:val="center"/>
              <w:rPr>
                <w:rFonts w:hint="eastAsia" w:ascii="宋体" w:hAnsi="宋体" w:eastAsia="宋体" w:cs="宋体"/>
                <w:color w:val="auto"/>
                <w:highlight w:val="none"/>
              </w:rPr>
            </w:pPr>
          </w:p>
        </w:tc>
        <w:tc>
          <w:tcPr>
            <w:tcW w:w="1342" w:type="dxa"/>
            <w:noWrap w:val="0"/>
            <w:vAlign w:val="center"/>
          </w:tcPr>
          <w:p w14:paraId="3811E5BB">
            <w:pPr>
              <w:spacing w:line="440" w:lineRule="exact"/>
              <w:jc w:val="center"/>
              <w:rPr>
                <w:rFonts w:hint="eastAsia" w:ascii="宋体" w:hAnsi="宋体" w:eastAsia="宋体" w:cs="宋体"/>
                <w:color w:val="auto"/>
                <w:highlight w:val="none"/>
              </w:rPr>
            </w:pPr>
          </w:p>
        </w:tc>
        <w:tc>
          <w:tcPr>
            <w:tcW w:w="2868" w:type="dxa"/>
            <w:gridSpan w:val="2"/>
            <w:noWrap w:val="0"/>
            <w:vAlign w:val="center"/>
          </w:tcPr>
          <w:p w14:paraId="2EF35CDE">
            <w:pPr>
              <w:spacing w:line="440" w:lineRule="exact"/>
              <w:jc w:val="center"/>
              <w:rPr>
                <w:rFonts w:hint="eastAsia" w:ascii="宋体" w:hAnsi="宋体" w:eastAsia="宋体" w:cs="宋体"/>
                <w:color w:val="auto"/>
                <w:highlight w:val="none"/>
              </w:rPr>
            </w:pPr>
          </w:p>
        </w:tc>
        <w:tc>
          <w:tcPr>
            <w:tcW w:w="3123" w:type="dxa"/>
            <w:gridSpan w:val="3"/>
            <w:noWrap w:val="0"/>
            <w:vAlign w:val="center"/>
          </w:tcPr>
          <w:p w14:paraId="71D4E409">
            <w:pPr>
              <w:spacing w:line="440" w:lineRule="exact"/>
              <w:jc w:val="center"/>
              <w:rPr>
                <w:rFonts w:hint="eastAsia" w:ascii="宋体" w:hAnsi="宋体" w:eastAsia="宋体" w:cs="宋体"/>
                <w:color w:val="auto"/>
                <w:highlight w:val="none"/>
              </w:rPr>
            </w:pPr>
          </w:p>
        </w:tc>
      </w:tr>
      <w:tr w14:paraId="5FC53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591" w:type="dxa"/>
            <w:vMerge w:val="continue"/>
            <w:noWrap w:val="0"/>
            <w:vAlign w:val="center"/>
          </w:tcPr>
          <w:p w14:paraId="1AC32C11">
            <w:pPr>
              <w:spacing w:line="440" w:lineRule="exact"/>
              <w:jc w:val="center"/>
              <w:rPr>
                <w:rFonts w:hint="eastAsia" w:ascii="宋体" w:hAnsi="宋体" w:eastAsia="宋体" w:cs="宋体"/>
                <w:color w:val="auto"/>
                <w:highlight w:val="none"/>
              </w:rPr>
            </w:pPr>
          </w:p>
        </w:tc>
        <w:tc>
          <w:tcPr>
            <w:tcW w:w="1342" w:type="dxa"/>
            <w:noWrap w:val="0"/>
            <w:vAlign w:val="center"/>
          </w:tcPr>
          <w:p w14:paraId="2A2CC132">
            <w:pPr>
              <w:spacing w:line="440" w:lineRule="exact"/>
              <w:jc w:val="center"/>
              <w:rPr>
                <w:rFonts w:hint="eastAsia" w:ascii="宋体" w:hAnsi="宋体" w:eastAsia="宋体" w:cs="宋体"/>
                <w:color w:val="auto"/>
                <w:highlight w:val="none"/>
              </w:rPr>
            </w:pPr>
          </w:p>
        </w:tc>
        <w:tc>
          <w:tcPr>
            <w:tcW w:w="2868" w:type="dxa"/>
            <w:gridSpan w:val="2"/>
            <w:noWrap w:val="0"/>
            <w:vAlign w:val="center"/>
          </w:tcPr>
          <w:p w14:paraId="60974CF5">
            <w:pPr>
              <w:spacing w:line="440" w:lineRule="exact"/>
              <w:jc w:val="center"/>
              <w:rPr>
                <w:rFonts w:hint="eastAsia" w:ascii="宋体" w:hAnsi="宋体" w:eastAsia="宋体" w:cs="宋体"/>
                <w:color w:val="auto"/>
                <w:highlight w:val="none"/>
              </w:rPr>
            </w:pPr>
          </w:p>
        </w:tc>
        <w:tc>
          <w:tcPr>
            <w:tcW w:w="3123" w:type="dxa"/>
            <w:gridSpan w:val="3"/>
            <w:noWrap w:val="0"/>
            <w:vAlign w:val="center"/>
          </w:tcPr>
          <w:p w14:paraId="58C29F4C">
            <w:pPr>
              <w:spacing w:line="440" w:lineRule="exact"/>
              <w:jc w:val="center"/>
              <w:rPr>
                <w:rFonts w:hint="eastAsia" w:ascii="宋体" w:hAnsi="宋体" w:eastAsia="宋体" w:cs="宋体"/>
                <w:color w:val="auto"/>
                <w:highlight w:val="none"/>
              </w:rPr>
            </w:pPr>
          </w:p>
        </w:tc>
      </w:tr>
      <w:tr w14:paraId="1224C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noWrap w:val="0"/>
            <w:vAlign w:val="center"/>
          </w:tcPr>
          <w:p w14:paraId="717B21DF">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本项目</w:t>
            </w:r>
          </w:p>
          <w:p w14:paraId="4AF8479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拟任岗位</w:t>
            </w:r>
          </w:p>
        </w:tc>
        <w:tc>
          <w:tcPr>
            <w:tcW w:w="1342" w:type="dxa"/>
            <w:noWrap w:val="0"/>
            <w:vAlign w:val="center"/>
          </w:tcPr>
          <w:p w14:paraId="1DBE3114">
            <w:pPr>
              <w:spacing w:line="440" w:lineRule="exact"/>
              <w:jc w:val="center"/>
              <w:rPr>
                <w:rFonts w:hint="eastAsia" w:ascii="宋体" w:hAnsi="宋体" w:eastAsia="宋体" w:cs="宋体"/>
                <w:color w:val="auto"/>
                <w:highlight w:val="none"/>
              </w:rPr>
            </w:pPr>
          </w:p>
        </w:tc>
        <w:tc>
          <w:tcPr>
            <w:tcW w:w="1560" w:type="dxa"/>
            <w:noWrap w:val="0"/>
            <w:vAlign w:val="center"/>
          </w:tcPr>
          <w:p w14:paraId="56EB72D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为参选人服务的时间（年）</w:t>
            </w:r>
          </w:p>
        </w:tc>
        <w:tc>
          <w:tcPr>
            <w:tcW w:w="1308" w:type="dxa"/>
            <w:noWrap w:val="0"/>
            <w:vAlign w:val="center"/>
          </w:tcPr>
          <w:p w14:paraId="63AD808C">
            <w:pPr>
              <w:spacing w:line="440" w:lineRule="exact"/>
              <w:jc w:val="center"/>
              <w:rPr>
                <w:rFonts w:hint="eastAsia" w:ascii="宋体" w:hAnsi="宋体" w:eastAsia="宋体" w:cs="宋体"/>
                <w:color w:val="auto"/>
                <w:highlight w:val="none"/>
              </w:rPr>
            </w:pPr>
          </w:p>
        </w:tc>
        <w:tc>
          <w:tcPr>
            <w:tcW w:w="1516" w:type="dxa"/>
            <w:gridSpan w:val="2"/>
            <w:noWrap w:val="0"/>
            <w:vAlign w:val="center"/>
          </w:tcPr>
          <w:p w14:paraId="382A22E9">
            <w:pPr>
              <w:spacing w:line="440" w:lineRule="exact"/>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工作经验</w:t>
            </w:r>
            <w:r>
              <w:rPr>
                <w:rFonts w:hint="eastAsia" w:ascii="宋体" w:hAnsi="宋体" w:cs="宋体"/>
                <w:color w:val="auto"/>
                <w:highlight w:val="none"/>
                <w:lang w:val="en-US" w:eastAsia="zh-CN"/>
              </w:rPr>
              <w:t>（年）</w:t>
            </w:r>
          </w:p>
        </w:tc>
        <w:tc>
          <w:tcPr>
            <w:tcW w:w="1607" w:type="dxa"/>
            <w:noWrap w:val="0"/>
            <w:vAlign w:val="center"/>
          </w:tcPr>
          <w:p w14:paraId="3A2AF779">
            <w:pPr>
              <w:spacing w:line="440" w:lineRule="exact"/>
              <w:jc w:val="center"/>
              <w:rPr>
                <w:rFonts w:hint="eastAsia" w:ascii="宋体" w:hAnsi="宋体" w:eastAsia="宋体" w:cs="宋体"/>
                <w:color w:val="auto"/>
                <w:highlight w:val="none"/>
              </w:rPr>
            </w:pPr>
          </w:p>
        </w:tc>
      </w:tr>
      <w:tr w14:paraId="5607F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924" w:type="dxa"/>
            <w:gridSpan w:val="7"/>
            <w:noWrap w:val="0"/>
            <w:vAlign w:val="center"/>
          </w:tcPr>
          <w:p w14:paraId="5ED46157">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相关专业经历与工作经验</w:t>
            </w:r>
          </w:p>
        </w:tc>
      </w:tr>
      <w:tr w14:paraId="6906E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noWrap w:val="0"/>
            <w:vAlign w:val="center"/>
          </w:tcPr>
          <w:p w14:paraId="16CD4547">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时间</w:t>
            </w:r>
          </w:p>
        </w:tc>
        <w:tc>
          <w:tcPr>
            <w:tcW w:w="5726" w:type="dxa"/>
            <w:gridSpan w:val="5"/>
            <w:noWrap w:val="0"/>
            <w:vAlign w:val="center"/>
          </w:tcPr>
          <w:p w14:paraId="0C0F5FE3">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参加过的同类项目</w:t>
            </w:r>
          </w:p>
        </w:tc>
        <w:tc>
          <w:tcPr>
            <w:tcW w:w="1607" w:type="dxa"/>
            <w:noWrap w:val="0"/>
            <w:vAlign w:val="center"/>
          </w:tcPr>
          <w:p w14:paraId="075B229B">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r>
      <w:tr w14:paraId="19E2E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591" w:type="dxa"/>
            <w:noWrap w:val="0"/>
            <w:vAlign w:val="center"/>
          </w:tcPr>
          <w:p w14:paraId="185B6DAA">
            <w:pPr>
              <w:spacing w:line="440" w:lineRule="exact"/>
              <w:jc w:val="center"/>
              <w:rPr>
                <w:rFonts w:hint="eastAsia" w:ascii="宋体" w:hAnsi="宋体" w:eastAsia="宋体" w:cs="宋体"/>
                <w:color w:val="auto"/>
                <w:highlight w:val="none"/>
              </w:rPr>
            </w:pPr>
          </w:p>
        </w:tc>
        <w:tc>
          <w:tcPr>
            <w:tcW w:w="5726" w:type="dxa"/>
            <w:gridSpan w:val="5"/>
            <w:noWrap w:val="0"/>
            <w:vAlign w:val="center"/>
          </w:tcPr>
          <w:p w14:paraId="65427F35">
            <w:pPr>
              <w:spacing w:line="440" w:lineRule="exact"/>
              <w:jc w:val="center"/>
              <w:rPr>
                <w:rFonts w:hint="eastAsia" w:ascii="宋体" w:hAnsi="宋体" w:eastAsia="宋体" w:cs="宋体"/>
                <w:color w:val="auto"/>
                <w:highlight w:val="none"/>
              </w:rPr>
            </w:pPr>
          </w:p>
        </w:tc>
        <w:tc>
          <w:tcPr>
            <w:tcW w:w="1607" w:type="dxa"/>
            <w:noWrap w:val="0"/>
            <w:vAlign w:val="center"/>
          </w:tcPr>
          <w:p w14:paraId="29440B0B">
            <w:pPr>
              <w:spacing w:line="440" w:lineRule="exact"/>
              <w:jc w:val="center"/>
              <w:rPr>
                <w:rFonts w:hint="eastAsia" w:ascii="宋体" w:hAnsi="宋体" w:eastAsia="宋体" w:cs="宋体"/>
                <w:color w:val="auto"/>
                <w:highlight w:val="none"/>
              </w:rPr>
            </w:pPr>
          </w:p>
        </w:tc>
      </w:tr>
      <w:tr w14:paraId="1F0D3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591" w:type="dxa"/>
            <w:noWrap w:val="0"/>
            <w:vAlign w:val="center"/>
          </w:tcPr>
          <w:p w14:paraId="77D1BB83">
            <w:pPr>
              <w:spacing w:line="440" w:lineRule="exact"/>
              <w:jc w:val="center"/>
              <w:rPr>
                <w:rFonts w:hint="eastAsia" w:ascii="宋体" w:hAnsi="宋体" w:eastAsia="宋体" w:cs="宋体"/>
                <w:color w:val="auto"/>
                <w:highlight w:val="none"/>
              </w:rPr>
            </w:pPr>
          </w:p>
        </w:tc>
        <w:tc>
          <w:tcPr>
            <w:tcW w:w="5726" w:type="dxa"/>
            <w:gridSpan w:val="5"/>
            <w:noWrap w:val="0"/>
            <w:vAlign w:val="center"/>
          </w:tcPr>
          <w:p w14:paraId="6169495A">
            <w:pPr>
              <w:spacing w:line="440" w:lineRule="exact"/>
              <w:jc w:val="center"/>
              <w:rPr>
                <w:rFonts w:hint="eastAsia" w:ascii="宋体" w:hAnsi="宋体" w:eastAsia="宋体" w:cs="宋体"/>
                <w:color w:val="auto"/>
                <w:highlight w:val="none"/>
              </w:rPr>
            </w:pPr>
          </w:p>
        </w:tc>
        <w:tc>
          <w:tcPr>
            <w:tcW w:w="1607" w:type="dxa"/>
            <w:noWrap w:val="0"/>
            <w:vAlign w:val="center"/>
          </w:tcPr>
          <w:p w14:paraId="091455D7">
            <w:pPr>
              <w:spacing w:line="440" w:lineRule="exact"/>
              <w:jc w:val="center"/>
              <w:rPr>
                <w:rFonts w:hint="eastAsia" w:ascii="宋体" w:hAnsi="宋体" w:eastAsia="宋体" w:cs="宋体"/>
                <w:color w:val="auto"/>
                <w:highlight w:val="none"/>
              </w:rPr>
            </w:pPr>
          </w:p>
        </w:tc>
      </w:tr>
      <w:tr w14:paraId="2CA8F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591" w:type="dxa"/>
            <w:noWrap w:val="0"/>
            <w:vAlign w:val="center"/>
          </w:tcPr>
          <w:p w14:paraId="7F72EDBE">
            <w:pPr>
              <w:spacing w:line="440" w:lineRule="exact"/>
              <w:jc w:val="center"/>
              <w:rPr>
                <w:rFonts w:hint="eastAsia" w:ascii="宋体" w:hAnsi="宋体" w:eastAsia="宋体" w:cs="宋体"/>
                <w:color w:val="auto"/>
                <w:highlight w:val="none"/>
              </w:rPr>
            </w:pPr>
          </w:p>
        </w:tc>
        <w:tc>
          <w:tcPr>
            <w:tcW w:w="5726" w:type="dxa"/>
            <w:gridSpan w:val="5"/>
            <w:noWrap w:val="0"/>
            <w:vAlign w:val="center"/>
          </w:tcPr>
          <w:p w14:paraId="708B6F1B">
            <w:pPr>
              <w:spacing w:line="440" w:lineRule="exact"/>
              <w:jc w:val="center"/>
              <w:rPr>
                <w:rFonts w:hint="eastAsia" w:ascii="宋体" w:hAnsi="宋体" w:eastAsia="宋体" w:cs="宋体"/>
                <w:color w:val="auto"/>
                <w:highlight w:val="none"/>
              </w:rPr>
            </w:pPr>
          </w:p>
        </w:tc>
        <w:tc>
          <w:tcPr>
            <w:tcW w:w="1607" w:type="dxa"/>
            <w:noWrap w:val="0"/>
            <w:vAlign w:val="center"/>
          </w:tcPr>
          <w:p w14:paraId="0A602979">
            <w:pPr>
              <w:spacing w:line="440" w:lineRule="exact"/>
              <w:jc w:val="center"/>
              <w:rPr>
                <w:rFonts w:hint="eastAsia" w:ascii="宋体" w:hAnsi="宋体" w:eastAsia="宋体" w:cs="宋体"/>
                <w:color w:val="auto"/>
                <w:highlight w:val="none"/>
              </w:rPr>
            </w:pPr>
          </w:p>
        </w:tc>
      </w:tr>
    </w:tbl>
    <w:p w14:paraId="754D482D">
      <w:pPr>
        <w:spacing w:line="440" w:lineRule="exact"/>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注：本表后应附项目负责人的</w:t>
      </w:r>
      <w:r>
        <w:rPr>
          <w:rFonts w:hint="eastAsia" w:ascii="宋体" w:hAnsi="宋体" w:eastAsia="宋体" w:cs="宋体"/>
          <w:b w:val="0"/>
          <w:bCs w:val="0"/>
          <w:color w:val="auto"/>
          <w:szCs w:val="21"/>
          <w:highlight w:val="none"/>
        </w:rPr>
        <w:t>劳动合同</w:t>
      </w:r>
      <w:r>
        <w:rPr>
          <w:rFonts w:hint="eastAsia" w:ascii="宋体" w:hAnsi="宋体" w:eastAsia="宋体" w:cs="宋体"/>
          <w:b w:val="0"/>
          <w:bCs w:val="0"/>
          <w:color w:val="auto"/>
          <w:szCs w:val="21"/>
          <w:highlight w:val="none"/>
          <w:lang w:val="en-US" w:eastAsia="zh-CN"/>
        </w:rPr>
        <w:t>或近三个月中任一一个月社保缴纳证明</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毕业证书或学位证书、身份证、</w:t>
      </w:r>
      <w:r>
        <w:rPr>
          <w:rFonts w:hint="eastAsia" w:ascii="宋体" w:hAnsi="宋体" w:cs="宋体"/>
          <w:b w:val="0"/>
          <w:bCs w:val="0"/>
          <w:color w:val="auto"/>
          <w:szCs w:val="21"/>
          <w:highlight w:val="none"/>
          <w:lang w:val="en-US" w:eastAsia="zh-CN"/>
        </w:rPr>
        <w:t>工作经验证明、</w:t>
      </w:r>
      <w:r>
        <w:rPr>
          <w:rFonts w:hint="eastAsia" w:ascii="宋体" w:hAnsi="宋体" w:eastAsia="宋体" w:cs="宋体"/>
          <w:b w:val="0"/>
          <w:bCs w:val="0"/>
          <w:color w:val="auto"/>
          <w:szCs w:val="21"/>
          <w:highlight w:val="none"/>
          <w:lang w:val="en-US" w:eastAsia="zh-CN"/>
        </w:rPr>
        <w:t>低压电工作业证、高处作业操作证</w:t>
      </w:r>
      <w:r>
        <w:rPr>
          <w:rFonts w:hint="eastAsia" w:ascii="宋体" w:hAnsi="宋体" w:eastAsia="宋体" w:cs="宋体"/>
          <w:b w:val="0"/>
          <w:bCs w:val="0"/>
          <w:color w:val="auto"/>
          <w:highlight w:val="none"/>
          <w:lang w:val="en-US" w:eastAsia="zh-CN"/>
        </w:rPr>
        <w:t>复印件或扫描件</w:t>
      </w:r>
      <w:r>
        <w:rPr>
          <w:rFonts w:hint="eastAsia" w:ascii="宋体" w:hAnsi="宋体" w:eastAsia="宋体" w:cs="宋体"/>
          <w:b w:val="0"/>
          <w:bCs w:val="0"/>
          <w:color w:val="auto"/>
          <w:highlight w:val="none"/>
        </w:rPr>
        <w:t>。</w:t>
      </w:r>
    </w:p>
    <w:p w14:paraId="457985C2">
      <w:pPr>
        <w:spacing w:line="440" w:lineRule="exact"/>
        <w:rPr>
          <w:rFonts w:hint="eastAsia" w:ascii="宋体" w:hAnsi="宋体" w:eastAsia="宋体" w:cs="宋体"/>
          <w:b/>
          <w:bCs/>
          <w:color w:val="auto"/>
          <w:highlight w:val="none"/>
        </w:rPr>
      </w:pPr>
    </w:p>
    <w:bookmarkEnd w:id="456"/>
    <w:p w14:paraId="0C052AD1">
      <w:pPr>
        <w:spacing w:line="440" w:lineRule="exact"/>
        <w:ind w:firstLine="403" w:firstLineChars="192"/>
        <w:jc w:val="right"/>
        <w:rPr>
          <w:rFonts w:hint="eastAsia" w:ascii="宋体" w:hAnsi="宋体" w:eastAsia="宋体" w:cs="宋体"/>
          <w:color w:val="auto"/>
          <w:highlight w:val="none"/>
          <w:u w:val="single"/>
        </w:rPr>
      </w:pPr>
      <w:bookmarkStart w:id="457" w:name="_Toc218710270"/>
      <w:r>
        <w:rPr>
          <w:rFonts w:hint="eastAsia" w:ascii="宋体" w:hAnsi="宋体" w:eastAsia="宋体" w:cs="宋体"/>
          <w:color w:val="auto"/>
          <w:highlight w:val="none"/>
        </w:rPr>
        <w:t>参选人：</w:t>
      </w:r>
      <w:r>
        <w:rPr>
          <w:rFonts w:hint="eastAsia" w:ascii="宋体" w:hAnsi="宋体" w:eastAsia="宋体" w:cs="宋体"/>
          <w:color w:val="auto"/>
          <w:highlight w:val="none"/>
          <w:u w:val="single"/>
        </w:rPr>
        <w:t xml:space="preserve">                      （盖章） </w:t>
      </w:r>
    </w:p>
    <w:p w14:paraId="070E5680">
      <w:pPr>
        <w:spacing w:line="440" w:lineRule="exact"/>
        <w:ind w:firstLine="403" w:firstLineChars="192"/>
        <w:jc w:val="right"/>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（签字或盖章） </w:t>
      </w:r>
    </w:p>
    <w:p w14:paraId="1D8187E4">
      <w:pPr>
        <w:spacing w:line="440" w:lineRule="exact"/>
        <w:ind w:firstLine="403" w:firstLineChars="192"/>
        <w:jc w:val="right"/>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B447876">
      <w:pPr>
        <w:spacing w:line="440" w:lineRule="exact"/>
        <w:ind w:firstLine="403" w:firstLineChars="192"/>
        <w:rPr>
          <w:rFonts w:hint="eastAsia" w:ascii="宋体" w:hAnsi="宋体" w:eastAsia="宋体" w:cs="宋体"/>
          <w:color w:val="auto"/>
          <w:highlight w:val="none"/>
        </w:rPr>
      </w:pPr>
    </w:p>
    <w:p w14:paraId="240A95B3">
      <w:pPr>
        <w:spacing w:line="440" w:lineRule="exact"/>
        <w:ind w:firstLine="403" w:firstLineChars="192"/>
        <w:jc w:val="right"/>
        <w:rPr>
          <w:rFonts w:hint="eastAsia" w:ascii="宋体" w:hAnsi="宋体" w:eastAsia="宋体" w:cs="宋体"/>
          <w:color w:val="auto"/>
          <w:highlight w:val="none"/>
        </w:rPr>
      </w:pPr>
    </w:p>
    <w:bookmarkEnd w:id="457"/>
    <w:p w14:paraId="1822C865">
      <w:pPr>
        <w:keepNext/>
        <w:keepLines/>
        <w:widowControl w:val="0"/>
        <w:spacing w:before="0" w:after="0" w:line="440" w:lineRule="exact"/>
        <w:jc w:val="center"/>
        <w:outlineLvl w:val="1"/>
        <w:rPr>
          <w:rFonts w:hint="eastAsia" w:ascii="宋体" w:hAnsi="宋体" w:eastAsia="宋体" w:cs="宋体"/>
          <w:b/>
          <w:bCs/>
          <w:color w:val="auto"/>
          <w:kern w:val="0"/>
          <w:sz w:val="32"/>
          <w:szCs w:val="28"/>
          <w:highlight w:val="none"/>
          <w:lang w:val="en-US" w:eastAsia="zh-CN" w:bidi="ar-SA"/>
        </w:rPr>
      </w:pPr>
      <w:bookmarkStart w:id="458" w:name="_Toc218710272"/>
      <w:r>
        <w:rPr>
          <w:rFonts w:hint="eastAsia" w:ascii="宋体" w:hAnsi="宋体" w:eastAsia="宋体" w:cs="宋体"/>
          <w:color w:val="auto"/>
          <w:sz w:val="24"/>
          <w:szCs w:val="24"/>
          <w:highlight w:val="none"/>
        </w:rPr>
        <w:br w:type="page"/>
      </w:r>
      <w:bookmarkEnd w:id="445"/>
      <w:bookmarkEnd w:id="446"/>
      <w:bookmarkEnd w:id="447"/>
      <w:bookmarkEnd w:id="448"/>
      <w:bookmarkEnd w:id="449"/>
      <w:bookmarkEnd w:id="450"/>
      <w:bookmarkEnd w:id="451"/>
      <w:bookmarkEnd w:id="452"/>
      <w:bookmarkEnd w:id="453"/>
      <w:bookmarkEnd w:id="458"/>
      <w:bookmarkStart w:id="459" w:name="_Toc5059"/>
      <w:bookmarkStart w:id="460" w:name="_Toc5093"/>
      <w:bookmarkStart w:id="461" w:name="_Toc19103"/>
      <w:bookmarkStart w:id="462" w:name="_Toc15654"/>
      <w:bookmarkStart w:id="463" w:name="_Toc21012"/>
      <w:bookmarkStart w:id="464" w:name="_Toc17985"/>
      <w:r>
        <w:rPr>
          <w:rFonts w:hint="eastAsia" w:ascii="宋体" w:hAnsi="宋体" w:eastAsia="宋体" w:cs="宋体"/>
          <w:b/>
          <w:bCs/>
          <w:color w:val="auto"/>
          <w:kern w:val="0"/>
          <w:sz w:val="32"/>
          <w:szCs w:val="32"/>
          <w:highlight w:val="none"/>
          <w:lang w:val="en-US" w:eastAsia="zh-CN" w:bidi="ar-SA"/>
        </w:rPr>
        <w:t>五 参选承诺书</w:t>
      </w:r>
      <w:bookmarkEnd w:id="459"/>
      <w:bookmarkEnd w:id="460"/>
      <w:bookmarkEnd w:id="461"/>
      <w:bookmarkEnd w:id="462"/>
      <w:bookmarkEnd w:id="463"/>
      <w:bookmarkEnd w:id="464"/>
    </w:p>
    <w:p w14:paraId="6859D3FE">
      <w:pPr>
        <w:pStyle w:val="29"/>
        <w:spacing w:line="440" w:lineRule="exact"/>
        <w:ind w:left="0" w:leftChars="0" w:firstLine="0" w:firstLineChars="0"/>
        <w:jc w:val="center"/>
        <w:rPr>
          <w:rFonts w:hint="eastAsia" w:ascii="宋体" w:hAnsi="宋体" w:eastAsia="宋体" w:cs="宋体"/>
          <w:b/>
          <w:color w:val="auto"/>
          <w:sz w:val="24"/>
          <w:szCs w:val="24"/>
          <w:highlight w:val="none"/>
        </w:rPr>
      </w:pPr>
    </w:p>
    <w:p w14:paraId="3201B2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lang w:eastAsia="zh-CN"/>
        </w:rPr>
        <w:t>南通轨道建设发展有限公司</w:t>
      </w:r>
    </w:p>
    <w:p w14:paraId="14A68FC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我方在此郑重承诺：</w:t>
      </w:r>
    </w:p>
    <w:p w14:paraId="10D40584">
      <w:pPr>
        <w:spacing w:line="360" w:lineRule="auto"/>
        <w:ind w:firstLine="420" w:firstLineChars="200"/>
        <w:rPr>
          <w:rFonts w:hint="eastAsia" w:ascii="宋体" w:hAnsi="宋体" w:eastAsia="宋体" w:cs="宋体"/>
          <w:highlight w:val="none"/>
        </w:rPr>
      </w:pPr>
      <w:r>
        <w:rPr>
          <w:rFonts w:hint="eastAsia" w:ascii="宋体" w:hAnsi="宋体" w:eastAsia="宋体" w:cs="宋体"/>
          <w:szCs w:val="21"/>
          <w:highlight w:val="none"/>
        </w:rPr>
        <w:t>在参与本次</w:t>
      </w:r>
      <w:r>
        <w:rPr>
          <w:rFonts w:hint="eastAsia" w:ascii="宋体" w:hAnsi="宋体" w:eastAsia="宋体" w:cs="宋体"/>
          <w:szCs w:val="21"/>
          <w:highlight w:val="none"/>
          <w:lang w:eastAsia="zh-CN"/>
        </w:rPr>
        <w:t>比选参选</w:t>
      </w:r>
      <w:r>
        <w:rPr>
          <w:rFonts w:hint="eastAsia" w:ascii="宋体" w:hAnsi="宋体" w:eastAsia="宋体" w:cs="宋体"/>
          <w:szCs w:val="21"/>
          <w:highlight w:val="none"/>
        </w:rPr>
        <w:t>活动中，如有下述行为，我方将自动放弃</w:t>
      </w:r>
      <w:r>
        <w:rPr>
          <w:rFonts w:hint="eastAsia" w:ascii="宋体" w:hAnsi="宋体" w:eastAsia="宋体" w:cs="宋体"/>
          <w:szCs w:val="21"/>
          <w:highlight w:val="none"/>
          <w:lang w:eastAsia="zh-CN"/>
        </w:rPr>
        <w:t>参选</w:t>
      </w:r>
      <w:r>
        <w:rPr>
          <w:rFonts w:hint="eastAsia" w:ascii="宋体" w:hAnsi="宋体" w:eastAsia="宋体" w:cs="宋体"/>
          <w:szCs w:val="21"/>
          <w:highlight w:val="none"/>
        </w:rPr>
        <w:t>或</w:t>
      </w:r>
      <w:r>
        <w:rPr>
          <w:rFonts w:hint="eastAsia" w:ascii="宋体" w:hAnsi="宋体" w:eastAsia="宋体" w:cs="宋体"/>
          <w:szCs w:val="21"/>
          <w:highlight w:val="none"/>
          <w:lang w:eastAsia="zh-CN"/>
        </w:rPr>
        <w:t>中选</w:t>
      </w:r>
      <w:r>
        <w:rPr>
          <w:rFonts w:hint="eastAsia" w:ascii="宋体" w:hAnsi="宋体" w:eastAsia="宋体" w:cs="宋体"/>
          <w:szCs w:val="21"/>
          <w:highlight w:val="none"/>
        </w:rPr>
        <w:t>资格，已签订合同的项目合同无效。</w:t>
      </w:r>
    </w:p>
    <w:p w14:paraId="5ED84BD8">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1.</w:t>
      </w:r>
      <w:r>
        <w:rPr>
          <w:rFonts w:hint="eastAsia" w:ascii="宋体" w:hAnsi="宋体" w:eastAsia="宋体" w:cs="宋体"/>
          <w:bCs/>
          <w:szCs w:val="21"/>
          <w:highlight w:val="none"/>
        </w:rPr>
        <w:t>处于财产被接管、冻结、破产状态；处于</w:t>
      </w:r>
      <w:r>
        <w:rPr>
          <w:rFonts w:hint="eastAsia" w:ascii="宋体" w:hAnsi="宋体" w:eastAsia="宋体" w:cs="宋体"/>
          <w:szCs w:val="21"/>
          <w:highlight w:val="none"/>
        </w:rPr>
        <w:t>与债权人进行债务重组或其他债务安排状况下；</w:t>
      </w:r>
    </w:p>
    <w:p w14:paraId="2AE59DE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2.存在骗取</w:t>
      </w:r>
      <w:r>
        <w:rPr>
          <w:rFonts w:hint="eastAsia" w:ascii="宋体" w:hAnsi="宋体" w:eastAsia="宋体" w:cs="宋体"/>
          <w:szCs w:val="21"/>
          <w:highlight w:val="none"/>
          <w:lang w:eastAsia="zh-CN"/>
        </w:rPr>
        <w:t>中选</w:t>
      </w:r>
      <w:r>
        <w:rPr>
          <w:rFonts w:hint="eastAsia" w:ascii="宋体" w:hAnsi="宋体" w:eastAsia="宋体" w:cs="宋体"/>
          <w:szCs w:val="21"/>
          <w:highlight w:val="none"/>
        </w:rPr>
        <w:t>和严重违约引起的合同中止、纠纷、争议、仲裁和诉讼记录等情况；</w:t>
      </w:r>
    </w:p>
    <w:p w14:paraId="5BBE258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3.以他人名义</w:t>
      </w:r>
      <w:r>
        <w:rPr>
          <w:rFonts w:hint="eastAsia" w:ascii="宋体" w:hAnsi="宋体" w:eastAsia="宋体" w:cs="宋体"/>
          <w:szCs w:val="21"/>
          <w:highlight w:val="none"/>
          <w:lang w:eastAsia="zh-CN"/>
        </w:rPr>
        <w:t>参选</w:t>
      </w:r>
      <w:r>
        <w:rPr>
          <w:rFonts w:hint="eastAsia" w:ascii="宋体" w:hAnsi="宋体" w:eastAsia="宋体" w:cs="宋体"/>
          <w:szCs w:val="21"/>
          <w:highlight w:val="none"/>
        </w:rPr>
        <w:t>；与</w:t>
      </w:r>
      <w:r>
        <w:rPr>
          <w:rFonts w:hint="eastAsia" w:ascii="宋体" w:hAnsi="宋体" w:eastAsia="宋体" w:cs="宋体"/>
          <w:szCs w:val="21"/>
          <w:highlight w:val="none"/>
          <w:lang w:eastAsia="zh-CN"/>
        </w:rPr>
        <w:t>比选人</w:t>
      </w:r>
      <w:r>
        <w:rPr>
          <w:rFonts w:hint="eastAsia" w:ascii="宋体" w:hAnsi="宋体" w:eastAsia="宋体" w:cs="宋体"/>
          <w:szCs w:val="21"/>
          <w:highlight w:val="none"/>
        </w:rPr>
        <w:t>、</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串通</w:t>
      </w:r>
      <w:r>
        <w:rPr>
          <w:rFonts w:hint="eastAsia" w:ascii="宋体" w:hAnsi="宋体" w:eastAsia="宋体" w:cs="宋体"/>
          <w:szCs w:val="21"/>
          <w:highlight w:val="none"/>
          <w:lang w:eastAsia="zh-CN"/>
        </w:rPr>
        <w:t>参选</w:t>
      </w:r>
      <w:r>
        <w:rPr>
          <w:rFonts w:hint="eastAsia" w:ascii="宋体" w:hAnsi="宋体" w:eastAsia="宋体" w:cs="宋体"/>
          <w:szCs w:val="21"/>
          <w:highlight w:val="none"/>
        </w:rPr>
        <w:t>；提供虚假材料或存在其他弄虚作假行为；</w:t>
      </w:r>
    </w:p>
    <w:p w14:paraId="58C84E0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4.与</w:t>
      </w:r>
      <w:r>
        <w:rPr>
          <w:rFonts w:hint="eastAsia" w:ascii="宋体" w:hAnsi="宋体" w:eastAsia="宋体" w:cs="宋体"/>
          <w:szCs w:val="21"/>
          <w:highlight w:val="none"/>
          <w:lang w:eastAsia="zh-CN"/>
        </w:rPr>
        <w:t>比选人</w:t>
      </w:r>
      <w:r>
        <w:rPr>
          <w:rFonts w:hint="eastAsia" w:ascii="宋体" w:hAnsi="宋体" w:eastAsia="宋体" w:cs="宋体"/>
          <w:szCs w:val="21"/>
          <w:highlight w:val="none"/>
        </w:rPr>
        <w:t>存在利害关系且可能影响</w:t>
      </w:r>
      <w:r>
        <w:rPr>
          <w:rFonts w:hint="eastAsia" w:ascii="宋体" w:hAnsi="宋体" w:eastAsia="宋体" w:cs="宋体"/>
          <w:szCs w:val="21"/>
          <w:highlight w:val="none"/>
          <w:lang w:eastAsia="zh-CN"/>
        </w:rPr>
        <w:t>比选</w:t>
      </w:r>
      <w:r>
        <w:rPr>
          <w:rFonts w:hint="eastAsia" w:ascii="宋体" w:hAnsi="宋体" w:eastAsia="宋体" w:cs="宋体"/>
          <w:szCs w:val="21"/>
          <w:highlight w:val="none"/>
        </w:rPr>
        <w:t>公正性；</w:t>
      </w:r>
    </w:p>
    <w:p w14:paraId="4BAFCBA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5.与本</w:t>
      </w:r>
      <w:r>
        <w:rPr>
          <w:rFonts w:hint="eastAsia" w:ascii="宋体" w:hAnsi="宋体" w:eastAsia="宋体" w:cs="宋体"/>
          <w:szCs w:val="21"/>
          <w:highlight w:val="none"/>
          <w:lang w:eastAsia="zh-CN"/>
        </w:rPr>
        <w:t>比选</w:t>
      </w:r>
      <w:r>
        <w:rPr>
          <w:rFonts w:hint="eastAsia" w:ascii="宋体" w:hAnsi="宋体" w:eastAsia="宋体" w:cs="宋体"/>
          <w:szCs w:val="21"/>
          <w:highlight w:val="none"/>
        </w:rPr>
        <w:t>项目的其他</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为同一个单位负责人；</w:t>
      </w:r>
    </w:p>
    <w:p w14:paraId="47F2C0C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6.与本</w:t>
      </w:r>
      <w:r>
        <w:rPr>
          <w:rFonts w:hint="eastAsia" w:ascii="宋体" w:hAnsi="宋体" w:eastAsia="宋体" w:cs="宋体"/>
          <w:szCs w:val="21"/>
          <w:highlight w:val="none"/>
          <w:lang w:eastAsia="zh-CN"/>
        </w:rPr>
        <w:t>比选</w:t>
      </w:r>
      <w:r>
        <w:rPr>
          <w:rFonts w:hint="eastAsia" w:ascii="宋体" w:hAnsi="宋体" w:eastAsia="宋体" w:cs="宋体"/>
          <w:szCs w:val="21"/>
          <w:highlight w:val="none"/>
        </w:rPr>
        <w:t>项目的其他</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存在控股、管理关系；</w:t>
      </w:r>
    </w:p>
    <w:p w14:paraId="68B2E2D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7.被依法暂停或者取消</w:t>
      </w:r>
      <w:r>
        <w:rPr>
          <w:rFonts w:hint="eastAsia" w:ascii="宋体" w:hAnsi="宋体" w:eastAsia="宋体" w:cs="宋体"/>
          <w:szCs w:val="21"/>
          <w:highlight w:val="none"/>
          <w:lang w:eastAsia="zh-CN"/>
        </w:rPr>
        <w:t>参选</w:t>
      </w:r>
      <w:r>
        <w:rPr>
          <w:rFonts w:hint="eastAsia" w:ascii="宋体" w:hAnsi="宋体" w:eastAsia="宋体" w:cs="宋体"/>
          <w:szCs w:val="21"/>
          <w:highlight w:val="none"/>
        </w:rPr>
        <w:t>资格；</w:t>
      </w:r>
    </w:p>
    <w:p w14:paraId="7A40A3C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8.被责令停产停业、暂扣或者吊销许可证、暂扣或者吊销执照；</w:t>
      </w:r>
    </w:p>
    <w:p w14:paraId="709E617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9.进入清算程序，或被宣告破产，或其他丧失履约能力的情形；</w:t>
      </w:r>
    </w:p>
    <w:p w14:paraId="20B9D50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10.在最近三年内有骗取</w:t>
      </w:r>
      <w:r>
        <w:rPr>
          <w:rFonts w:hint="eastAsia" w:ascii="宋体" w:hAnsi="宋体" w:eastAsia="宋体" w:cs="宋体"/>
          <w:szCs w:val="21"/>
          <w:highlight w:val="none"/>
          <w:lang w:eastAsia="zh-CN"/>
        </w:rPr>
        <w:t>中选</w:t>
      </w:r>
      <w:r>
        <w:rPr>
          <w:rFonts w:hint="eastAsia" w:ascii="宋体" w:hAnsi="宋体" w:eastAsia="宋体" w:cs="宋体"/>
          <w:szCs w:val="21"/>
          <w:highlight w:val="none"/>
        </w:rPr>
        <w:t>或严重违约或重大工程质量、环境、安全问题的；</w:t>
      </w:r>
    </w:p>
    <w:p w14:paraId="7C17024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11.被最高人民法院在“信用中国”网站（www.creditchina.gov.cn）、“中国执行信息公开网（http://zxgk.court.gov.cn/）”中列入失信被执行人名单。</w:t>
      </w:r>
    </w:p>
    <w:p w14:paraId="4A671A8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12.被国家企业信用信息公示系统列入严重违法失信企业名单。</w:t>
      </w:r>
    </w:p>
    <w:p w14:paraId="555251EF">
      <w:pPr>
        <w:spacing w:line="440" w:lineRule="exact"/>
        <w:ind w:firstLine="403" w:firstLineChars="192"/>
        <w:jc w:val="right"/>
        <w:rPr>
          <w:rFonts w:hint="eastAsia" w:ascii="宋体" w:hAnsi="宋体" w:eastAsia="宋体" w:cs="宋体"/>
          <w:color w:val="auto"/>
          <w:highlight w:val="none"/>
        </w:rPr>
      </w:pPr>
    </w:p>
    <w:p w14:paraId="4DFFB141">
      <w:pPr>
        <w:spacing w:line="440" w:lineRule="exact"/>
        <w:ind w:firstLine="403" w:firstLineChars="192"/>
        <w:jc w:val="right"/>
        <w:rPr>
          <w:rFonts w:hint="eastAsia" w:ascii="宋体" w:hAnsi="宋体" w:eastAsia="宋体" w:cs="宋体"/>
          <w:color w:val="auto"/>
          <w:highlight w:val="none"/>
          <w:u w:val="single"/>
        </w:rPr>
      </w:pP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（盖章） </w:t>
      </w:r>
    </w:p>
    <w:p w14:paraId="7D38B841">
      <w:pPr>
        <w:spacing w:line="440" w:lineRule="exact"/>
        <w:ind w:firstLine="403" w:firstLineChars="192"/>
        <w:jc w:val="right"/>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（签字或盖章） </w:t>
      </w:r>
    </w:p>
    <w:p w14:paraId="7A7C4473">
      <w:pPr>
        <w:spacing w:line="440" w:lineRule="exact"/>
        <w:ind w:firstLine="403" w:firstLineChars="192"/>
        <w:jc w:val="right"/>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1620BE4">
      <w:pPr>
        <w:rPr>
          <w:rFonts w:hint="eastAsia" w:ascii="宋体" w:hAnsi="宋体" w:eastAsia="宋体" w:cs="宋体"/>
          <w:highlight w:val="none"/>
        </w:rPr>
      </w:pPr>
      <w:r>
        <w:rPr>
          <w:rFonts w:hint="eastAsia" w:ascii="宋体" w:hAnsi="宋体" w:eastAsia="宋体" w:cs="宋体"/>
          <w:highlight w:val="none"/>
        </w:rPr>
        <w:br w:type="page"/>
      </w:r>
    </w:p>
    <w:bookmarkEnd w:id="371"/>
    <w:bookmarkEnd w:id="372"/>
    <w:bookmarkEnd w:id="373"/>
    <w:bookmarkEnd w:id="374"/>
    <w:bookmarkEnd w:id="375"/>
    <w:bookmarkEnd w:id="376"/>
    <w:bookmarkEnd w:id="377"/>
    <w:bookmarkEnd w:id="378"/>
    <w:bookmarkEnd w:id="379"/>
    <w:bookmarkEnd w:id="380"/>
    <w:bookmarkEnd w:id="381"/>
    <w:bookmarkEnd w:id="382"/>
    <w:bookmarkEnd w:id="383"/>
    <w:p w14:paraId="4F13469B">
      <w:pPr>
        <w:spacing w:line="440" w:lineRule="exact"/>
        <w:jc w:val="center"/>
        <w:rPr>
          <w:rFonts w:hint="eastAsia" w:ascii="宋体" w:hAnsi="宋体" w:eastAsia="宋体" w:cs="宋体"/>
          <w:b/>
          <w:sz w:val="36"/>
          <w:szCs w:val="36"/>
          <w:highlight w:val="none"/>
        </w:rPr>
      </w:pPr>
      <w:bookmarkStart w:id="465" w:name="_Toc2668"/>
      <w:bookmarkStart w:id="466" w:name="_Toc12442"/>
      <w:bookmarkStart w:id="467" w:name="_Toc25135"/>
      <w:bookmarkStart w:id="468" w:name="_Toc25882"/>
      <w:bookmarkStart w:id="469" w:name="_Toc28952"/>
    </w:p>
    <w:p w14:paraId="58E3BF89">
      <w:pPr>
        <w:jc w:val="center"/>
        <w:rPr>
          <w:rFonts w:hint="eastAsia" w:ascii="宋体" w:hAnsi="宋体" w:eastAsia="宋体" w:cs="宋体"/>
          <w:b/>
          <w:sz w:val="36"/>
          <w:szCs w:val="36"/>
          <w:highlight w:val="none"/>
          <w:lang w:eastAsia="zh-CN"/>
        </w:rPr>
      </w:pPr>
      <w:bookmarkStart w:id="470" w:name="_Toc25804"/>
      <w:bookmarkStart w:id="471" w:name="_Toc18590"/>
      <w:bookmarkStart w:id="472" w:name="_Toc14912"/>
      <w:bookmarkStart w:id="473" w:name="_Toc8321"/>
    </w:p>
    <w:p w14:paraId="731076FA">
      <w:pPr>
        <w:jc w:val="center"/>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南通轨道1号线公安通信系统维保项目</w:t>
      </w:r>
    </w:p>
    <w:p w14:paraId="259EB502">
      <w:pPr>
        <w:bidi w:val="0"/>
        <w:rPr>
          <w:rFonts w:hint="eastAsia" w:ascii="宋体" w:hAnsi="宋体" w:eastAsia="宋体" w:cs="宋体"/>
          <w:highlight w:val="none"/>
        </w:rPr>
      </w:pPr>
    </w:p>
    <w:p w14:paraId="3055AEB8">
      <w:pPr>
        <w:spacing w:line="440" w:lineRule="exact"/>
        <w:jc w:val="center"/>
        <w:outlineLvl w:val="0"/>
        <w:rPr>
          <w:rFonts w:hint="eastAsia" w:ascii="宋体" w:hAnsi="宋体" w:eastAsia="宋体" w:cs="宋体"/>
          <w:b/>
          <w:bCs/>
          <w:sz w:val="36"/>
          <w:szCs w:val="36"/>
          <w:highlight w:val="none"/>
        </w:rPr>
      </w:pPr>
      <w:bookmarkStart w:id="474" w:name="_Toc6101"/>
      <w:bookmarkStart w:id="475" w:name="_Toc9864"/>
      <w:r>
        <w:rPr>
          <w:rFonts w:hint="eastAsia" w:ascii="宋体" w:hAnsi="宋体" w:eastAsia="宋体" w:cs="宋体"/>
          <w:b/>
          <w:bCs/>
          <w:sz w:val="36"/>
          <w:szCs w:val="36"/>
          <w:highlight w:val="none"/>
        </w:rPr>
        <w:t>（商务</w:t>
      </w:r>
      <w:r>
        <w:rPr>
          <w:rFonts w:hint="eastAsia" w:ascii="宋体" w:hAnsi="宋体" w:eastAsia="宋体" w:cs="宋体"/>
          <w:b/>
          <w:bCs/>
          <w:sz w:val="36"/>
          <w:szCs w:val="36"/>
          <w:highlight w:val="none"/>
          <w:lang w:eastAsia="zh-CN"/>
        </w:rPr>
        <w:t>参选文件</w:t>
      </w:r>
      <w:r>
        <w:rPr>
          <w:rFonts w:hint="eastAsia" w:ascii="宋体" w:hAnsi="宋体" w:eastAsia="宋体" w:cs="宋体"/>
          <w:b/>
          <w:bCs/>
          <w:sz w:val="36"/>
          <w:szCs w:val="36"/>
          <w:highlight w:val="none"/>
        </w:rPr>
        <w:t>）</w:t>
      </w:r>
      <w:bookmarkEnd w:id="470"/>
      <w:bookmarkEnd w:id="471"/>
      <w:bookmarkEnd w:id="472"/>
      <w:bookmarkEnd w:id="473"/>
      <w:bookmarkEnd w:id="474"/>
      <w:bookmarkEnd w:id="475"/>
    </w:p>
    <w:p w14:paraId="16858788">
      <w:pPr>
        <w:spacing w:line="440" w:lineRule="exact"/>
        <w:rPr>
          <w:rFonts w:hint="eastAsia" w:ascii="宋体" w:hAnsi="宋体" w:eastAsia="宋体" w:cs="宋体"/>
          <w:sz w:val="32"/>
          <w:highlight w:val="none"/>
        </w:rPr>
      </w:pPr>
    </w:p>
    <w:p w14:paraId="39751DF7">
      <w:pPr>
        <w:spacing w:line="440" w:lineRule="exact"/>
        <w:rPr>
          <w:rFonts w:hint="eastAsia" w:ascii="宋体" w:hAnsi="宋体" w:eastAsia="宋体" w:cs="宋体"/>
          <w:sz w:val="32"/>
          <w:highlight w:val="none"/>
        </w:rPr>
      </w:pPr>
    </w:p>
    <w:p w14:paraId="5AA547AA">
      <w:pPr>
        <w:spacing w:line="440" w:lineRule="exact"/>
        <w:rPr>
          <w:rFonts w:hint="eastAsia" w:ascii="宋体" w:hAnsi="宋体" w:eastAsia="宋体" w:cs="宋体"/>
          <w:sz w:val="32"/>
          <w:highlight w:val="none"/>
        </w:rPr>
      </w:pPr>
    </w:p>
    <w:p w14:paraId="59FBE07B">
      <w:pPr>
        <w:spacing w:line="440" w:lineRule="exact"/>
        <w:rPr>
          <w:rFonts w:hint="eastAsia" w:ascii="宋体" w:hAnsi="宋体" w:eastAsia="宋体" w:cs="宋体"/>
          <w:sz w:val="32"/>
          <w:highlight w:val="none"/>
        </w:rPr>
      </w:pPr>
    </w:p>
    <w:p w14:paraId="48840BD5">
      <w:pPr>
        <w:spacing w:line="440" w:lineRule="exact"/>
        <w:rPr>
          <w:rFonts w:hint="eastAsia" w:ascii="宋体" w:hAnsi="宋体" w:eastAsia="宋体" w:cs="宋体"/>
          <w:sz w:val="32"/>
          <w:highlight w:val="none"/>
        </w:rPr>
      </w:pPr>
    </w:p>
    <w:p w14:paraId="55588A66">
      <w:pPr>
        <w:spacing w:line="440" w:lineRule="exact"/>
        <w:rPr>
          <w:rFonts w:hint="eastAsia" w:ascii="宋体" w:hAnsi="宋体" w:eastAsia="宋体" w:cs="宋体"/>
          <w:sz w:val="32"/>
          <w:highlight w:val="none"/>
        </w:rPr>
      </w:pPr>
    </w:p>
    <w:p w14:paraId="4A106E54">
      <w:pPr>
        <w:rPr>
          <w:rFonts w:hint="eastAsia" w:ascii="宋体" w:hAnsi="宋体" w:eastAsia="宋体" w:cs="宋体"/>
          <w:highlight w:val="none"/>
        </w:rPr>
      </w:pPr>
    </w:p>
    <w:p w14:paraId="26596156">
      <w:pPr>
        <w:spacing w:line="440" w:lineRule="exact"/>
        <w:rPr>
          <w:rFonts w:hint="eastAsia" w:ascii="宋体" w:hAnsi="宋体" w:eastAsia="宋体" w:cs="宋体"/>
          <w:highlight w:val="none"/>
        </w:rPr>
      </w:pPr>
    </w:p>
    <w:p w14:paraId="5E72A550">
      <w:pPr>
        <w:spacing w:line="440" w:lineRule="exact"/>
        <w:ind w:firstLine="1687" w:firstLineChars="600"/>
        <w:rPr>
          <w:rFonts w:hint="eastAsia" w:ascii="宋体" w:hAnsi="宋体" w:eastAsia="宋体" w:cs="宋体"/>
          <w:b/>
          <w:sz w:val="28"/>
          <w:szCs w:val="28"/>
          <w:highlight w:val="none"/>
        </w:rPr>
      </w:pPr>
    </w:p>
    <w:p w14:paraId="6105AE9B">
      <w:pPr>
        <w:ind w:firstLine="1687" w:firstLineChars="600"/>
        <w:rPr>
          <w:rFonts w:hint="eastAsia" w:ascii="宋体" w:hAnsi="宋体" w:eastAsia="宋体" w:cs="宋体"/>
          <w:b/>
          <w:bCs/>
          <w:sz w:val="28"/>
          <w:szCs w:val="28"/>
          <w:highlight w:val="none"/>
        </w:rPr>
      </w:pPr>
    </w:p>
    <w:p w14:paraId="41BAA6CC">
      <w:pPr>
        <w:ind w:firstLine="1687" w:firstLineChars="600"/>
        <w:rPr>
          <w:rFonts w:hint="eastAsia" w:ascii="宋体" w:hAnsi="宋体" w:eastAsia="宋体" w:cs="宋体"/>
          <w:b/>
          <w:bCs/>
          <w:sz w:val="28"/>
          <w:szCs w:val="28"/>
          <w:highlight w:val="none"/>
        </w:rPr>
      </w:pPr>
    </w:p>
    <w:p w14:paraId="2C751D9F">
      <w:pPr>
        <w:ind w:firstLine="1687" w:firstLineChars="600"/>
        <w:rPr>
          <w:rFonts w:hint="eastAsia" w:ascii="宋体" w:hAnsi="宋体" w:eastAsia="宋体" w:cs="宋体"/>
          <w:b/>
          <w:bCs/>
          <w:sz w:val="28"/>
          <w:szCs w:val="28"/>
          <w:highlight w:val="none"/>
        </w:rPr>
      </w:pPr>
    </w:p>
    <w:p w14:paraId="68208832">
      <w:pPr>
        <w:ind w:firstLine="1687" w:firstLineChars="600"/>
        <w:rPr>
          <w:rFonts w:hint="eastAsia" w:ascii="宋体" w:hAnsi="宋体" w:eastAsia="宋体" w:cs="宋体"/>
          <w:b/>
          <w:bCs/>
          <w:sz w:val="28"/>
          <w:szCs w:val="28"/>
          <w:highlight w:val="none"/>
        </w:rPr>
      </w:pPr>
    </w:p>
    <w:p w14:paraId="070DC19C">
      <w:pPr>
        <w:jc w:val="center"/>
        <w:rPr>
          <w:rFonts w:hint="eastAsia" w:ascii="宋体" w:hAnsi="宋体" w:eastAsia="宋体" w:cs="宋体"/>
          <w:b/>
          <w:bCs/>
          <w:sz w:val="28"/>
          <w:szCs w:val="28"/>
          <w:highlight w:val="none"/>
          <w:lang w:val="en-US" w:eastAsia="zh-CN"/>
        </w:rPr>
      </w:pPr>
      <w:bookmarkStart w:id="476" w:name="_Toc11216"/>
      <w:bookmarkStart w:id="477" w:name="_Toc30439"/>
    </w:p>
    <w:p w14:paraId="04C7F783">
      <w:pPr>
        <w:jc w:val="center"/>
        <w:rPr>
          <w:rFonts w:hint="eastAsia" w:ascii="宋体" w:hAnsi="宋体" w:eastAsia="宋体" w:cs="宋体"/>
          <w:b/>
          <w:bCs/>
          <w:sz w:val="28"/>
          <w:szCs w:val="28"/>
          <w:highlight w:val="none"/>
          <w:lang w:val="en-US" w:eastAsia="zh-CN"/>
        </w:rPr>
      </w:pPr>
    </w:p>
    <w:p w14:paraId="69729CE8">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参</w:t>
      </w:r>
      <w:r>
        <w:rPr>
          <w:rFonts w:hint="eastAsia" w:ascii="宋体" w:hAnsi="宋体" w:eastAsia="宋体" w:cs="宋体"/>
          <w:b/>
          <w:bCs/>
          <w:sz w:val="28"/>
          <w:szCs w:val="28"/>
          <w:highlight w:val="none"/>
        </w:rPr>
        <w:t xml:space="preserve">  </w:t>
      </w:r>
      <w:r>
        <w:rPr>
          <w:rFonts w:hint="eastAsia" w:ascii="宋体" w:hAnsi="宋体" w:eastAsia="宋体" w:cs="宋体"/>
          <w:b/>
          <w:bCs/>
          <w:sz w:val="28"/>
          <w:szCs w:val="28"/>
          <w:highlight w:val="none"/>
          <w:lang w:val="en-US" w:eastAsia="zh-CN"/>
        </w:rPr>
        <w:t>选</w:t>
      </w:r>
      <w:r>
        <w:rPr>
          <w:rFonts w:hint="eastAsia" w:ascii="宋体" w:hAnsi="宋体" w:eastAsia="宋体" w:cs="宋体"/>
          <w:b/>
          <w:bCs/>
          <w:sz w:val="28"/>
          <w:szCs w:val="28"/>
          <w:highlight w:val="none"/>
        </w:rPr>
        <w:t xml:space="preserve">  人：</w:t>
      </w:r>
      <w:r>
        <w:rPr>
          <w:rFonts w:hint="eastAsia" w:ascii="宋体" w:hAnsi="宋体" w:eastAsia="宋体" w:cs="宋体"/>
          <w:b/>
          <w:bCs/>
          <w:sz w:val="28"/>
          <w:szCs w:val="28"/>
          <w:highlight w:val="none"/>
          <w:u w:val="single"/>
        </w:rPr>
        <w:t xml:space="preserve">         （全称）（盖章）</w:t>
      </w:r>
    </w:p>
    <w:p w14:paraId="4AC1B0A0">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w:t>
      </w:r>
      <w:r>
        <w:rPr>
          <w:rFonts w:hint="eastAsia" w:ascii="宋体" w:hAnsi="宋体" w:eastAsia="宋体" w:cs="宋体"/>
          <w:b/>
          <w:bCs/>
          <w:sz w:val="28"/>
          <w:szCs w:val="28"/>
          <w:highlight w:val="none"/>
          <w:u w:val="single"/>
        </w:rPr>
        <w:t xml:space="preserve">           （签字或盖章）</w:t>
      </w:r>
    </w:p>
    <w:p w14:paraId="2CFBB9CB">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时      间：       年      月      日</w:t>
      </w:r>
    </w:p>
    <w:p w14:paraId="1004F88B">
      <w:pPr>
        <w:spacing w:line="440" w:lineRule="exact"/>
        <w:ind w:firstLine="1928" w:firstLineChars="600"/>
        <w:jc w:val="center"/>
        <w:rPr>
          <w:rFonts w:hint="eastAsia" w:ascii="宋体" w:hAnsi="宋体" w:eastAsia="宋体" w:cs="宋体"/>
          <w:b/>
          <w:bCs/>
          <w:sz w:val="32"/>
          <w:szCs w:val="32"/>
          <w:highlight w:val="none"/>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pPr>
    </w:p>
    <w:bookmarkEnd w:id="465"/>
    <w:bookmarkEnd w:id="466"/>
    <w:bookmarkEnd w:id="467"/>
    <w:bookmarkEnd w:id="468"/>
    <w:bookmarkEnd w:id="469"/>
    <w:bookmarkEnd w:id="476"/>
    <w:bookmarkEnd w:id="477"/>
    <w:p w14:paraId="1CA4670A">
      <w:pPr>
        <w:keepNext/>
        <w:keepLines/>
        <w:widowControl w:val="0"/>
        <w:spacing w:before="260" w:after="260" w:line="440" w:lineRule="exact"/>
        <w:jc w:val="center"/>
        <w:outlineLvl w:val="1"/>
        <w:rPr>
          <w:rFonts w:hint="eastAsia" w:ascii="宋体" w:hAnsi="宋体" w:eastAsia="宋体" w:cs="宋体"/>
          <w:b/>
          <w:bCs/>
          <w:color w:val="auto"/>
          <w:kern w:val="0"/>
          <w:sz w:val="32"/>
          <w:szCs w:val="28"/>
          <w:highlight w:val="none"/>
          <w:lang w:val="en-US" w:eastAsia="zh-CN" w:bidi="ar-SA"/>
        </w:rPr>
      </w:pPr>
      <w:bookmarkStart w:id="478" w:name="_Toc27703"/>
      <w:bookmarkStart w:id="479" w:name="_Toc3873"/>
      <w:r>
        <w:rPr>
          <w:rFonts w:hint="eastAsia" w:ascii="宋体" w:hAnsi="宋体" w:eastAsia="宋体" w:cs="宋体"/>
          <w:b/>
          <w:bCs/>
          <w:color w:val="auto"/>
          <w:kern w:val="0"/>
          <w:sz w:val="32"/>
          <w:szCs w:val="28"/>
          <w:highlight w:val="none"/>
          <w:lang w:val="en-US" w:eastAsia="zh-CN" w:bidi="ar-SA"/>
        </w:rPr>
        <w:t>目  录</w:t>
      </w:r>
      <w:bookmarkEnd w:id="478"/>
    </w:p>
    <w:p w14:paraId="793EF827">
      <w:pPr>
        <w:spacing w:line="440" w:lineRule="exact"/>
        <w:rPr>
          <w:rFonts w:hint="eastAsia" w:ascii="宋体" w:hAnsi="宋体" w:eastAsia="宋体" w:cs="宋体"/>
          <w:color w:val="auto"/>
          <w:sz w:val="21"/>
          <w:szCs w:val="21"/>
          <w:highlight w:val="none"/>
        </w:rPr>
      </w:pPr>
      <w:bookmarkStart w:id="480" w:name="_Toc3911_WPSOffice_Level2"/>
      <w:bookmarkStart w:id="481" w:name="_Toc18696"/>
      <w:bookmarkStart w:id="482" w:name="_Toc7707"/>
      <w:r>
        <w:rPr>
          <w:rFonts w:hint="eastAsia" w:ascii="宋体" w:hAnsi="宋体" w:eastAsia="宋体" w:cs="宋体"/>
          <w:color w:val="auto"/>
          <w:sz w:val="21"/>
          <w:szCs w:val="21"/>
          <w:highlight w:val="none"/>
        </w:rPr>
        <w:t xml:space="preserve">一 </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函</w:t>
      </w:r>
      <w:bookmarkEnd w:id="480"/>
      <w:bookmarkEnd w:id="481"/>
      <w:bookmarkEnd w:id="482"/>
    </w:p>
    <w:p w14:paraId="440DB9C0">
      <w:pPr>
        <w:spacing w:line="440" w:lineRule="exact"/>
        <w:rPr>
          <w:rFonts w:hint="eastAsia" w:ascii="宋体" w:hAnsi="宋体" w:eastAsia="宋体" w:cs="宋体"/>
          <w:color w:val="auto"/>
          <w:sz w:val="21"/>
          <w:szCs w:val="21"/>
          <w:highlight w:val="none"/>
        </w:rPr>
      </w:pPr>
      <w:bookmarkStart w:id="483" w:name="_Toc25080_WPSOffice_Level2"/>
      <w:bookmarkStart w:id="484" w:name="_Toc5976"/>
      <w:bookmarkStart w:id="485" w:name="_Toc25424"/>
      <w:r>
        <w:rPr>
          <w:rFonts w:hint="eastAsia" w:ascii="宋体" w:hAnsi="宋体" w:eastAsia="宋体" w:cs="宋体"/>
          <w:color w:val="auto"/>
          <w:sz w:val="21"/>
          <w:szCs w:val="21"/>
          <w:highlight w:val="none"/>
        </w:rPr>
        <w:t xml:space="preserve">二 </w:t>
      </w:r>
      <w:bookmarkEnd w:id="483"/>
      <w:r>
        <w:rPr>
          <w:rFonts w:hint="eastAsia" w:ascii="宋体" w:hAnsi="宋体" w:eastAsia="宋体" w:cs="宋体"/>
          <w:color w:val="auto"/>
          <w:sz w:val="21"/>
          <w:szCs w:val="21"/>
          <w:highlight w:val="none"/>
        </w:rPr>
        <w:t>企业业绩汇总表</w:t>
      </w:r>
      <w:bookmarkEnd w:id="484"/>
      <w:bookmarkEnd w:id="485"/>
    </w:p>
    <w:p w14:paraId="264699C4">
      <w:pPr>
        <w:spacing w:line="440" w:lineRule="exact"/>
        <w:rPr>
          <w:rFonts w:hint="eastAsia" w:ascii="宋体" w:hAnsi="宋体" w:eastAsia="宋体" w:cs="宋体"/>
          <w:color w:val="auto"/>
          <w:sz w:val="21"/>
          <w:szCs w:val="21"/>
          <w:highlight w:val="none"/>
        </w:rPr>
      </w:pPr>
      <w:bookmarkStart w:id="486" w:name="_Toc29409"/>
      <w:bookmarkStart w:id="487" w:name="_Toc20007"/>
      <w:r>
        <w:rPr>
          <w:rFonts w:hint="eastAsia" w:ascii="宋体" w:hAnsi="宋体" w:eastAsia="宋体" w:cs="宋体"/>
          <w:color w:val="auto"/>
          <w:sz w:val="21"/>
          <w:szCs w:val="21"/>
          <w:highlight w:val="none"/>
        </w:rPr>
        <w:t>三 企业业绩概况表</w:t>
      </w:r>
      <w:bookmarkEnd w:id="486"/>
      <w:bookmarkEnd w:id="487"/>
    </w:p>
    <w:p w14:paraId="175A42EE">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项目负责人</w:t>
      </w:r>
      <w:r>
        <w:rPr>
          <w:rFonts w:hint="eastAsia" w:ascii="宋体" w:hAnsi="宋体" w:eastAsia="宋体" w:cs="宋体"/>
          <w:color w:val="auto"/>
          <w:sz w:val="21"/>
          <w:szCs w:val="21"/>
          <w:highlight w:val="none"/>
          <w:lang w:eastAsia="zh-CN"/>
        </w:rPr>
        <w:t>业绩汇总表</w:t>
      </w:r>
    </w:p>
    <w:p w14:paraId="09F4D742">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项目负责人业绩</w:t>
      </w:r>
      <w:r>
        <w:rPr>
          <w:rFonts w:hint="eastAsia" w:ascii="宋体" w:hAnsi="宋体" w:eastAsia="宋体" w:cs="宋体"/>
          <w:color w:val="auto"/>
          <w:sz w:val="21"/>
          <w:szCs w:val="21"/>
          <w:highlight w:val="none"/>
          <w:lang w:eastAsia="zh-CN"/>
        </w:rPr>
        <w:t>概况表</w:t>
      </w:r>
    </w:p>
    <w:p w14:paraId="7C361E07">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参选人自行编制目录页码</w:t>
      </w:r>
      <w:r>
        <w:rPr>
          <w:rFonts w:hint="eastAsia" w:ascii="宋体" w:hAnsi="宋体" w:eastAsia="宋体" w:cs="宋体"/>
          <w:color w:val="auto"/>
          <w:sz w:val="21"/>
          <w:szCs w:val="21"/>
          <w:highlight w:val="none"/>
          <w:lang w:eastAsia="zh-CN"/>
        </w:rPr>
        <w:t>）</w:t>
      </w:r>
    </w:p>
    <w:p w14:paraId="729302C5">
      <w:pPr>
        <w:spacing w:line="440" w:lineRule="exact"/>
        <w:rPr>
          <w:rFonts w:hint="eastAsia" w:ascii="宋体" w:hAnsi="宋体" w:eastAsia="宋体" w:cs="宋体"/>
          <w:color w:val="auto"/>
          <w:sz w:val="24"/>
          <w:highlight w:val="none"/>
        </w:rPr>
      </w:pPr>
    </w:p>
    <w:p w14:paraId="0340111F">
      <w:pPr>
        <w:spacing w:line="440" w:lineRule="exact"/>
        <w:rPr>
          <w:rFonts w:hint="eastAsia" w:ascii="宋体" w:hAnsi="宋体" w:eastAsia="宋体" w:cs="宋体"/>
          <w:color w:val="auto"/>
          <w:sz w:val="24"/>
          <w:highlight w:val="none"/>
        </w:rPr>
      </w:pPr>
    </w:p>
    <w:p w14:paraId="4A98680C">
      <w:pPr>
        <w:spacing w:line="440" w:lineRule="exact"/>
        <w:rPr>
          <w:rFonts w:hint="eastAsia" w:ascii="宋体" w:hAnsi="宋体" w:eastAsia="宋体" w:cs="宋体"/>
          <w:color w:val="auto"/>
          <w:highlight w:val="none"/>
        </w:rPr>
        <w:sectPr>
          <w:pgSz w:w="11905" w:h="16838"/>
          <w:pgMar w:top="1984" w:right="1587" w:bottom="1474" w:left="1587" w:header="992" w:footer="992" w:gutter="0"/>
          <w:pgBorders>
            <w:top w:val="none" w:sz="0" w:space="0"/>
            <w:left w:val="none" w:sz="0" w:space="0"/>
            <w:bottom w:val="none" w:sz="0" w:space="0"/>
            <w:right w:val="none" w:sz="0" w:space="0"/>
          </w:pgBorders>
          <w:pgNumType w:fmt="decimal"/>
          <w:cols w:space="0" w:num="1"/>
          <w:rtlGutter w:val="0"/>
          <w:docGrid w:linePitch="325" w:charSpace="0"/>
        </w:sectPr>
      </w:pPr>
    </w:p>
    <w:p w14:paraId="345DEF7A">
      <w:pPr>
        <w:keepNext/>
        <w:keepLines/>
        <w:widowControl w:val="0"/>
        <w:spacing w:before="0" w:after="0" w:line="440" w:lineRule="exact"/>
        <w:jc w:val="center"/>
        <w:outlineLvl w:val="1"/>
        <w:rPr>
          <w:rFonts w:hint="eastAsia" w:ascii="宋体" w:hAnsi="宋体" w:eastAsia="宋体" w:cs="宋体"/>
          <w:b/>
          <w:bCs/>
          <w:color w:val="auto"/>
          <w:kern w:val="0"/>
          <w:sz w:val="32"/>
          <w:szCs w:val="32"/>
          <w:highlight w:val="none"/>
          <w:lang w:val="en-US" w:eastAsia="zh-CN" w:bidi="ar-SA"/>
        </w:rPr>
      </w:pPr>
      <w:bookmarkStart w:id="488" w:name="_Toc17874"/>
      <w:bookmarkStart w:id="489" w:name="_Toc13217"/>
      <w:bookmarkStart w:id="490" w:name="_Toc18552_WPSOffice_Level2"/>
      <w:bookmarkStart w:id="491" w:name="_Toc2147"/>
      <w:bookmarkStart w:id="492" w:name="_Toc30573"/>
      <w:bookmarkStart w:id="493" w:name="_Toc25746"/>
      <w:bookmarkStart w:id="494" w:name="_Toc10521"/>
      <w:bookmarkStart w:id="495" w:name="_Toc25696"/>
      <w:bookmarkStart w:id="496" w:name="_Toc13873"/>
      <w:bookmarkStart w:id="497" w:name="_Toc25748"/>
      <w:bookmarkStart w:id="498" w:name="_Toc23546"/>
      <w:bookmarkStart w:id="499" w:name="_Toc22818"/>
      <w:bookmarkStart w:id="500" w:name="_Toc26406"/>
      <w:bookmarkStart w:id="501" w:name="_Toc30425"/>
      <w:bookmarkStart w:id="502" w:name="_Toc290"/>
      <w:bookmarkStart w:id="503" w:name="_Toc25904"/>
      <w:bookmarkStart w:id="504" w:name="_Toc5042"/>
      <w:bookmarkStart w:id="505" w:name="_Toc21842"/>
      <w:r>
        <w:rPr>
          <w:rFonts w:hint="eastAsia" w:ascii="宋体" w:hAnsi="宋体" w:eastAsia="宋体" w:cs="宋体"/>
          <w:b/>
          <w:bCs/>
          <w:color w:val="auto"/>
          <w:kern w:val="0"/>
          <w:sz w:val="32"/>
          <w:szCs w:val="32"/>
          <w:highlight w:val="none"/>
          <w:lang w:val="en-US" w:eastAsia="zh-CN" w:bidi="ar-SA"/>
        </w:rPr>
        <w:t>一 参选函</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15747AB9">
      <w:pPr>
        <w:bidi w:val="0"/>
        <w:rPr>
          <w:rFonts w:hint="eastAsia" w:ascii="宋体" w:hAnsi="宋体" w:eastAsia="宋体" w:cs="宋体"/>
          <w:color w:val="auto"/>
          <w:highlight w:val="none"/>
        </w:rPr>
      </w:pPr>
    </w:p>
    <w:p w14:paraId="6ED54BEB">
      <w:pPr>
        <w:spacing w:line="440" w:lineRule="exact"/>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致：</w:t>
      </w:r>
      <w:r>
        <w:rPr>
          <w:rFonts w:hint="eastAsia" w:ascii="宋体" w:hAnsi="宋体" w:eastAsia="宋体" w:cs="宋体"/>
          <w:b/>
          <w:color w:val="auto"/>
          <w:highlight w:val="none"/>
          <w:lang w:eastAsia="zh-CN"/>
        </w:rPr>
        <w:t>南通轨道建设发展有限公司</w:t>
      </w:r>
    </w:p>
    <w:p w14:paraId="2731DFAB">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根据已收到的</w:t>
      </w:r>
      <w:r>
        <w:rPr>
          <w:rFonts w:hint="eastAsia" w:ascii="宋体" w:hAnsi="宋体" w:eastAsia="宋体" w:cs="宋体"/>
          <w:highlight w:val="none"/>
          <w:u w:val="single"/>
          <w:lang w:eastAsia="zh-CN"/>
        </w:rPr>
        <w:t>南通轨道1号线公安通信系统维保项目</w:t>
      </w:r>
      <w:r>
        <w:rPr>
          <w:rFonts w:hint="eastAsia" w:ascii="宋体" w:hAnsi="宋体" w:eastAsia="宋体" w:cs="宋体"/>
          <w:highlight w:val="none"/>
          <w:lang w:eastAsia="zh-CN"/>
        </w:rPr>
        <w:t>比选文件</w:t>
      </w:r>
      <w:r>
        <w:rPr>
          <w:rFonts w:hint="eastAsia" w:ascii="宋体" w:hAnsi="宋体" w:eastAsia="宋体" w:cs="宋体"/>
          <w:highlight w:val="none"/>
        </w:rPr>
        <w:t>，遵照规定</w:t>
      </w:r>
      <w:r>
        <w:rPr>
          <w:rFonts w:hint="eastAsia" w:ascii="宋体" w:hAnsi="宋体" w:eastAsia="宋体" w:cs="宋体"/>
          <w:highlight w:val="none"/>
          <w:lang w:eastAsia="zh-CN"/>
        </w:rPr>
        <w:t>，</w:t>
      </w:r>
      <w:r>
        <w:rPr>
          <w:rFonts w:hint="eastAsia" w:ascii="宋体" w:hAnsi="宋体" w:eastAsia="宋体" w:cs="宋体"/>
          <w:highlight w:val="none"/>
        </w:rPr>
        <w:t>我方经考察现场和认真研究上述</w:t>
      </w:r>
      <w:r>
        <w:rPr>
          <w:rFonts w:hint="eastAsia" w:ascii="宋体" w:hAnsi="宋体" w:eastAsia="宋体" w:cs="宋体"/>
          <w:highlight w:val="none"/>
          <w:lang w:eastAsia="zh-CN"/>
        </w:rPr>
        <w:t>比选文件</w:t>
      </w:r>
      <w:r>
        <w:rPr>
          <w:rFonts w:hint="eastAsia" w:ascii="宋体" w:hAnsi="宋体" w:eastAsia="宋体" w:cs="宋体"/>
          <w:highlight w:val="none"/>
        </w:rPr>
        <w:t>后，愿承认其全部内容。</w:t>
      </w:r>
    </w:p>
    <w:p w14:paraId="1DA2976C">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1、我方以报价</w:t>
      </w:r>
      <w:r>
        <w:rPr>
          <w:rFonts w:hint="eastAsia" w:ascii="宋体" w:hAnsi="宋体" w:eastAsia="宋体" w:cs="宋体"/>
          <w:highlight w:val="none"/>
          <w:lang w:eastAsia="zh-CN"/>
        </w:rPr>
        <w:t>参选文件</w:t>
      </w:r>
      <w:r>
        <w:rPr>
          <w:rFonts w:hint="eastAsia" w:ascii="宋体" w:hAnsi="宋体" w:eastAsia="宋体" w:cs="宋体"/>
          <w:highlight w:val="none"/>
        </w:rPr>
        <w:t>中的</w:t>
      </w:r>
      <w:r>
        <w:rPr>
          <w:rFonts w:hint="eastAsia" w:ascii="宋体" w:hAnsi="宋体" w:eastAsia="宋体" w:cs="宋体"/>
          <w:highlight w:val="none"/>
          <w:lang w:eastAsia="zh-CN"/>
        </w:rPr>
        <w:t>参选</w:t>
      </w:r>
      <w:r>
        <w:rPr>
          <w:rFonts w:hint="eastAsia" w:ascii="宋体" w:hAnsi="宋体" w:eastAsia="宋体" w:cs="宋体"/>
          <w:highlight w:val="none"/>
        </w:rPr>
        <w:t>总报价，按</w:t>
      </w:r>
      <w:r>
        <w:rPr>
          <w:rFonts w:hint="eastAsia" w:ascii="宋体" w:hAnsi="宋体" w:eastAsia="宋体" w:cs="宋体"/>
          <w:highlight w:val="none"/>
          <w:lang w:eastAsia="zh-CN"/>
        </w:rPr>
        <w:t>比选文件</w:t>
      </w:r>
      <w:r>
        <w:rPr>
          <w:rFonts w:hint="eastAsia" w:ascii="宋体" w:hAnsi="宋体" w:eastAsia="宋体" w:cs="宋体"/>
          <w:highlight w:val="none"/>
        </w:rPr>
        <w:t>中的要求承担</w:t>
      </w:r>
      <w:r>
        <w:rPr>
          <w:rFonts w:hint="eastAsia" w:ascii="宋体" w:hAnsi="宋体" w:eastAsia="宋体" w:cs="宋体"/>
          <w:highlight w:val="none"/>
          <w:u w:val="single"/>
          <w:lang w:eastAsia="zh-CN"/>
        </w:rPr>
        <w:t>南通轨道1号线公安通信系统维保项目</w:t>
      </w:r>
      <w:r>
        <w:rPr>
          <w:rFonts w:hint="eastAsia" w:ascii="宋体" w:hAnsi="宋体" w:eastAsia="宋体" w:cs="宋体"/>
          <w:highlight w:val="none"/>
        </w:rPr>
        <w:t>的全部工作内容。</w:t>
      </w:r>
    </w:p>
    <w:p w14:paraId="5F88903D">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2、我方承诺服务周期及</w:t>
      </w:r>
      <w:r>
        <w:rPr>
          <w:rFonts w:hint="eastAsia" w:ascii="宋体" w:hAnsi="宋体" w:eastAsia="宋体" w:cs="宋体"/>
          <w:highlight w:val="none"/>
          <w:lang w:eastAsia="zh-CN"/>
        </w:rPr>
        <w:t>参选文件</w:t>
      </w:r>
      <w:r>
        <w:rPr>
          <w:rFonts w:hint="eastAsia" w:ascii="宋体" w:hAnsi="宋体" w:eastAsia="宋体" w:cs="宋体"/>
          <w:highlight w:val="none"/>
        </w:rPr>
        <w:t>响应</w:t>
      </w:r>
      <w:r>
        <w:rPr>
          <w:rFonts w:hint="eastAsia" w:ascii="宋体" w:hAnsi="宋体" w:eastAsia="宋体" w:cs="宋体"/>
          <w:highlight w:val="none"/>
          <w:lang w:eastAsia="zh-CN"/>
        </w:rPr>
        <w:t>比选文件</w:t>
      </w:r>
      <w:r>
        <w:rPr>
          <w:rFonts w:hint="eastAsia" w:ascii="宋体" w:hAnsi="宋体" w:eastAsia="宋体" w:cs="宋体"/>
          <w:highlight w:val="none"/>
        </w:rPr>
        <w:t>所规定的所有工作完成时间均满足合同条款。</w:t>
      </w:r>
    </w:p>
    <w:p w14:paraId="7DAD47E2">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3、如果贵方接受我方</w:t>
      </w:r>
      <w:r>
        <w:rPr>
          <w:rFonts w:hint="eastAsia" w:ascii="宋体" w:hAnsi="宋体" w:eastAsia="宋体" w:cs="宋体"/>
          <w:highlight w:val="none"/>
          <w:lang w:eastAsia="zh-CN"/>
        </w:rPr>
        <w:t>参选</w:t>
      </w:r>
      <w:r>
        <w:rPr>
          <w:rFonts w:hint="eastAsia" w:ascii="宋体" w:hAnsi="宋体" w:eastAsia="宋体" w:cs="宋体"/>
          <w:highlight w:val="none"/>
        </w:rPr>
        <w:t>，我方在接到</w:t>
      </w:r>
      <w:r>
        <w:rPr>
          <w:rFonts w:hint="eastAsia" w:ascii="宋体" w:hAnsi="宋体" w:eastAsia="宋体" w:cs="宋体"/>
          <w:highlight w:val="none"/>
          <w:lang w:eastAsia="zh-CN"/>
        </w:rPr>
        <w:t>中选</w:t>
      </w:r>
      <w:r>
        <w:rPr>
          <w:rFonts w:hint="eastAsia" w:ascii="宋体" w:hAnsi="宋体" w:eastAsia="宋体" w:cs="宋体"/>
          <w:highlight w:val="none"/>
        </w:rPr>
        <w:t>通知书后将按</w:t>
      </w:r>
      <w:r>
        <w:rPr>
          <w:rFonts w:hint="eastAsia" w:ascii="宋体" w:hAnsi="宋体" w:eastAsia="宋体" w:cs="宋体"/>
          <w:highlight w:val="none"/>
          <w:lang w:eastAsia="zh-CN"/>
        </w:rPr>
        <w:t>中选</w:t>
      </w:r>
      <w:r>
        <w:rPr>
          <w:rFonts w:hint="eastAsia" w:ascii="宋体" w:hAnsi="宋体" w:eastAsia="宋体" w:cs="宋体"/>
          <w:highlight w:val="none"/>
        </w:rPr>
        <w:t>通知书和</w:t>
      </w:r>
      <w:r>
        <w:rPr>
          <w:rFonts w:hint="eastAsia" w:ascii="宋体" w:hAnsi="宋体" w:eastAsia="宋体" w:cs="宋体"/>
          <w:highlight w:val="none"/>
          <w:lang w:eastAsia="zh-CN"/>
        </w:rPr>
        <w:t>比选文件</w:t>
      </w:r>
      <w:r>
        <w:rPr>
          <w:rFonts w:hint="eastAsia" w:ascii="宋体" w:hAnsi="宋体" w:eastAsia="宋体" w:cs="宋体"/>
          <w:highlight w:val="none"/>
        </w:rPr>
        <w:t>的要求及时签订合同，提交履约担保。我方保证在</w:t>
      </w:r>
      <w:r>
        <w:rPr>
          <w:rFonts w:hint="eastAsia" w:ascii="宋体" w:hAnsi="宋体" w:eastAsia="宋体" w:cs="宋体"/>
          <w:highlight w:val="none"/>
          <w:lang w:eastAsia="zh-CN"/>
        </w:rPr>
        <w:t>参选人</w:t>
      </w:r>
      <w:r>
        <w:rPr>
          <w:rFonts w:hint="eastAsia" w:ascii="宋体" w:hAnsi="宋体" w:eastAsia="宋体" w:cs="宋体"/>
          <w:highlight w:val="none"/>
        </w:rPr>
        <w:t>须知中规定的期限内按照要求提交成果。</w:t>
      </w:r>
    </w:p>
    <w:p w14:paraId="4CA0EECC">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4、我方同意在贵方</w:t>
      </w:r>
      <w:r>
        <w:rPr>
          <w:rFonts w:hint="eastAsia" w:ascii="宋体" w:hAnsi="宋体" w:eastAsia="宋体" w:cs="宋体"/>
          <w:highlight w:val="none"/>
          <w:lang w:eastAsia="zh-CN"/>
        </w:rPr>
        <w:t>比选文件</w:t>
      </w:r>
      <w:r>
        <w:rPr>
          <w:rFonts w:hint="eastAsia" w:ascii="宋体" w:hAnsi="宋体" w:eastAsia="宋体" w:cs="宋体"/>
          <w:highlight w:val="none"/>
        </w:rPr>
        <w:t>规定的</w:t>
      </w:r>
      <w:r>
        <w:rPr>
          <w:rFonts w:hint="eastAsia" w:ascii="宋体" w:hAnsi="宋体" w:eastAsia="宋体" w:cs="宋体"/>
          <w:highlight w:val="none"/>
          <w:lang w:eastAsia="zh-CN"/>
        </w:rPr>
        <w:t>参选有效期</w:t>
      </w:r>
      <w:r>
        <w:rPr>
          <w:rFonts w:hint="eastAsia" w:ascii="宋体" w:hAnsi="宋体" w:eastAsia="宋体" w:cs="宋体"/>
          <w:highlight w:val="none"/>
        </w:rPr>
        <w:t>内遵守约定。在该期限期满之前，本</w:t>
      </w:r>
      <w:r>
        <w:rPr>
          <w:rFonts w:hint="eastAsia" w:ascii="宋体" w:hAnsi="宋体" w:eastAsia="宋体" w:cs="宋体"/>
          <w:highlight w:val="none"/>
          <w:lang w:eastAsia="zh-CN"/>
        </w:rPr>
        <w:t>参选</w:t>
      </w:r>
      <w:r>
        <w:rPr>
          <w:rFonts w:hint="eastAsia" w:ascii="宋体" w:hAnsi="宋体" w:eastAsia="宋体" w:cs="宋体"/>
          <w:highlight w:val="none"/>
        </w:rPr>
        <w:t>书对我方始终具有约束力。</w:t>
      </w:r>
    </w:p>
    <w:p w14:paraId="5E98BAA1">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5、我方充分理解贵方</w:t>
      </w:r>
      <w:r>
        <w:rPr>
          <w:rFonts w:hint="eastAsia" w:ascii="宋体" w:hAnsi="宋体" w:eastAsia="宋体" w:cs="宋体"/>
          <w:highlight w:val="none"/>
          <w:lang w:eastAsia="zh-CN"/>
        </w:rPr>
        <w:t>比选文件</w:t>
      </w:r>
      <w:r>
        <w:rPr>
          <w:rFonts w:hint="eastAsia" w:ascii="宋体" w:hAnsi="宋体" w:eastAsia="宋体" w:cs="宋体"/>
          <w:highlight w:val="none"/>
        </w:rPr>
        <w:t>所提出的关于人员、设备、管理等提出的隐性要求，一旦</w:t>
      </w:r>
      <w:r>
        <w:rPr>
          <w:rFonts w:hint="eastAsia" w:ascii="宋体" w:hAnsi="宋体" w:eastAsia="宋体" w:cs="宋体"/>
          <w:highlight w:val="none"/>
          <w:lang w:eastAsia="zh-CN"/>
        </w:rPr>
        <w:t>中选</w:t>
      </w:r>
      <w:r>
        <w:rPr>
          <w:rFonts w:hint="eastAsia" w:ascii="宋体" w:hAnsi="宋体" w:eastAsia="宋体" w:cs="宋体"/>
          <w:highlight w:val="none"/>
        </w:rPr>
        <w:t>，确保能按照贵方要求执行，否则愿意接受贵方对我方的相关处罚。</w:t>
      </w:r>
    </w:p>
    <w:p w14:paraId="01CE4FE3">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6、在正式签订合同协议书之前，本</w:t>
      </w:r>
      <w:r>
        <w:rPr>
          <w:rFonts w:hint="eastAsia" w:ascii="宋体" w:hAnsi="宋体" w:eastAsia="宋体" w:cs="宋体"/>
          <w:highlight w:val="none"/>
          <w:lang w:eastAsia="zh-CN"/>
        </w:rPr>
        <w:t>参选</w:t>
      </w:r>
      <w:r>
        <w:rPr>
          <w:rFonts w:hint="eastAsia" w:ascii="宋体" w:hAnsi="宋体" w:eastAsia="宋体" w:cs="宋体"/>
          <w:highlight w:val="none"/>
        </w:rPr>
        <w:t>书连同贵方的</w:t>
      </w:r>
      <w:r>
        <w:rPr>
          <w:rFonts w:hint="eastAsia" w:ascii="宋体" w:hAnsi="宋体" w:eastAsia="宋体" w:cs="宋体"/>
          <w:highlight w:val="none"/>
          <w:lang w:eastAsia="zh-CN"/>
        </w:rPr>
        <w:t>中选</w:t>
      </w:r>
      <w:r>
        <w:rPr>
          <w:rFonts w:hint="eastAsia" w:ascii="宋体" w:hAnsi="宋体" w:eastAsia="宋体" w:cs="宋体"/>
          <w:highlight w:val="none"/>
        </w:rPr>
        <w:t>通知书应成为约束贵方、我方的合同文件。</w:t>
      </w:r>
    </w:p>
    <w:p w14:paraId="3D0008B7">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7、我方理解，贵方不一定接受最低标价的</w:t>
      </w:r>
      <w:r>
        <w:rPr>
          <w:rFonts w:hint="eastAsia" w:ascii="宋体" w:hAnsi="宋体" w:eastAsia="宋体" w:cs="宋体"/>
          <w:highlight w:val="none"/>
          <w:lang w:eastAsia="zh-CN"/>
        </w:rPr>
        <w:t>参选</w:t>
      </w:r>
      <w:r>
        <w:rPr>
          <w:rFonts w:hint="eastAsia" w:ascii="宋体" w:hAnsi="宋体" w:eastAsia="宋体" w:cs="宋体"/>
          <w:highlight w:val="none"/>
        </w:rPr>
        <w:t>或可能接受其他任何</w:t>
      </w:r>
      <w:r>
        <w:rPr>
          <w:rFonts w:hint="eastAsia" w:ascii="宋体" w:hAnsi="宋体" w:eastAsia="宋体" w:cs="宋体"/>
          <w:highlight w:val="none"/>
          <w:lang w:eastAsia="zh-CN"/>
        </w:rPr>
        <w:t>参选</w:t>
      </w:r>
      <w:r>
        <w:rPr>
          <w:rFonts w:hint="eastAsia" w:ascii="宋体" w:hAnsi="宋体" w:eastAsia="宋体" w:cs="宋体"/>
          <w:highlight w:val="none"/>
        </w:rPr>
        <w:t>；同时也理解，贵方不负担我单位的任何</w:t>
      </w:r>
      <w:r>
        <w:rPr>
          <w:rFonts w:hint="eastAsia" w:ascii="宋体" w:hAnsi="宋体" w:eastAsia="宋体" w:cs="宋体"/>
          <w:highlight w:val="none"/>
          <w:lang w:eastAsia="zh-CN"/>
        </w:rPr>
        <w:t>参选费用</w:t>
      </w:r>
      <w:r>
        <w:rPr>
          <w:rFonts w:hint="eastAsia" w:ascii="宋体" w:hAnsi="宋体" w:eastAsia="宋体" w:cs="宋体"/>
          <w:highlight w:val="none"/>
        </w:rPr>
        <w:t>。</w:t>
      </w:r>
    </w:p>
    <w:p w14:paraId="59D5FB26">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highlight w:val="none"/>
        </w:rPr>
        <w:t>8、我方承诺：本</w:t>
      </w:r>
      <w:r>
        <w:rPr>
          <w:rFonts w:hint="eastAsia" w:ascii="宋体" w:hAnsi="宋体" w:eastAsia="宋体" w:cs="宋体"/>
          <w:highlight w:val="none"/>
          <w:lang w:eastAsia="zh-CN"/>
        </w:rPr>
        <w:t>参选文件</w:t>
      </w:r>
      <w:r>
        <w:rPr>
          <w:rFonts w:hint="eastAsia" w:ascii="宋体" w:hAnsi="宋体" w:eastAsia="宋体" w:cs="宋体"/>
          <w:highlight w:val="none"/>
        </w:rPr>
        <w:t>提供的信息、数据、资料或证书均真实有效，否则贵方有权取消我方的</w:t>
      </w:r>
      <w:r>
        <w:rPr>
          <w:rFonts w:hint="eastAsia" w:ascii="宋体" w:hAnsi="宋体" w:eastAsia="宋体" w:cs="宋体"/>
          <w:highlight w:val="none"/>
          <w:lang w:eastAsia="zh-CN"/>
        </w:rPr>
        <w:t>参选</w:t>
      </w:r>
      <w:r>
        <w:rPr>
          <w:rFonts w:hint="eastAsia" w:ascii="宋体" w:hAnsi="宋体" w:eastAsia="宋体" w:cs="宋体"/>
          <w:highlight w:val="none"/>
        </w:rPr>
        <w:t>或</w:t>
      </w:r>
      <w:r>
        <w:rPr>
          <w:rFonts w:hint="eastAsia" w:ascii="宋体" w:hAnsi="宋体" w:eastAsia="宋体" w:cs="宋体"/>
          <w:highlight w:val="none"/>
          <w:lang w:eastAsia="zh-CN"/>
        </w:rPr>
        <w:t>中选</w:t>
      </w:r>
      <w:r>
        <w:rPr>
          <w:rFonts w:hint="eastAsia" w:ascii="宋体" w:hAnsi="宋体" w:eastAsia="宋体" w:cs="宋体"/>
          <w:highlight w:val="none"/>
        </w:rPr>
        <w:t>资格。</w:t>
      </w:r>
    </w:p>
    <w:p w14:paraId="7F82F921">
      <w:pPr>
        <w:spacing w:line="440" w:lineRule="exact"/>
        <w:ind w:firstLine="420" w:firstLineChars="200"/>
        <w:rPr>
          <w:rFonts w:hint="eastAsia" w:ascii="宋体" w:hAnsi="宋体" w:eastAsia="宋体" w:cs="宋体"/>
          <w:color w:val="auto"/>
          <w:highlight w:val="none"/>
        </w:rPr>
      </w:pPr>
    </w:p>
    <w:p w14:paraId="68ED19B4">
      <w:pPr>
        <w:spacing w:line="440" w:lineRule="exact"/>
        <w:ind w:firstLine="420" w:firstLineChars="200"/>
        <w:rPr>
          <w:rFonts w:hint="eastAsia" w:ascii="宋体" w:hAnsi="宋体" w:eastAsia="宋体" w:cs="宋体"/>
          <w:color w:val="auto"/>
          <w:highlight w:val="none"/>
        </w:rPr>
      </w:pPr>
    </w:p>
    <w:p w14:paraId="36D5D863">
      <w:pPr>
        <w:spacing w:line="440" w:lineRule="exact"/>
        <w:ind w:firstLine="403" w:firstLineChars="192"/>
        <w:rPr>
          <w:rFonts w:hint="eastAsia" w:ascii="宋体" w:hAnsi="宋体" w:eastAsia="宋体" w:cs="宋体"/>
          <w:color w:val="auto"/>
          <w:highlight w:val="none"/>
        </w:rPr>
      </w:pPr>
    </w:p>
    <w:p w14:paraId="00B1D1A6">
      <w:pPr>
        <w:spacing w:line="440" w:lineRule="exact"/>
        <w:ind w:firstLine="403" w:firstLineChars="192"/>
        <w:jc w:val="right"/>
        <w:rPr>
          <w:rFonts w:hint="eastAsia" w:ascii="宋体" w:hAnsi="宋体" w:eastAsia="宋体" w:cs="宋体"/>
          <w:color w:val="auto"/>
          <w:highlight w:val="none"/>
          <w:u w:val="single"/>
        </w:rPr>
      </w:pPr>
      <w:r>
        <w:rPr>
          <w:rFonts w:hint="eastAsia" w:ascii="宋体" w:hAnsi="宋体" w:eastAsia="宋体" w:cs="宋体"/>
          <w:color w:val="auto"/>
          <w:highlight w:val="none"/>
          <w:lang w:eastAsia="zh-CN"/>
        </w:rPr>
        <w:t>参选人</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（盖章） </w:t>
      </w:r>
    </w:p>
    <w:p w14:paraId="48F8585D">
      <w:pPr>
        <w:spacing w:line="440" w:lineRule="exact"/>
        <w:ind w:firstLine="403" w:firstLineChars="192"/>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 （签字或盖章） </w:t>
      </w:r>
      <w:r>
        <w:rPr>
          <w:rFonts w:hint="eastAsia" w:ascii="宋体" w:hAnsi="宋体" w:eastAsia="宋体" w:cs="宋体"/>
          <w:color w:val="auto"/>
          <w:highlight w:val="none"/>
        </w:rPr>
        <w:t xml:space="preserve"> </w:t>
      </w:r>
    </w:p>
    <w:p w14:paraId="4F42673E">
      <w:pPr>
        <w:spacing w:line="44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AE56E48">
      <w:pPr>
        <w:spacing w:line="440" w:lineRule="exact"/>
        <w:rPr>
          <w:rFonts w:hint="eastAsia" w:ascii="宋体" w:hAnsi="宋体" w:eastAsia="宋体" w:cs="宋体"/>
          <w:color w:val="auto"/>
          <w:highlight w:val="none"/>
        </w:rPr>
        <w:sectPr>
          <w:pgSz w:w="11905" w:h="16838"/>
          <w:pgMar w:top="1984" w:right="1587" w:bottom="1474" w:left="1587" w:header="992" w:footer="992" w:gutter="0"/>
          <w:pgBorders>
            <w:top w:val="none" w:sz="0" w:space="0"/>
            <w:left w:val="none" w:sz="0" w:space="0"/>
            <w:bottom w:val="none" w:sz="0" w:space="0"/>
            <w:right w:val="none" w:sz="0" w:space="0"/>
          </w:pgBorders>
          <w:pgNumType w:fmt="decimal"/>
          <w:cols w:space="0" w:num="1"/>
          <w:rtlGutter w:val="0"/>
          <w:docGrid w:linePitch="325" w:charSpace="0"/>
        </w:sectPr>
      </w:pPr>
    </w:p>
    <w:p w14:paraId="559D925C">
      <w:pPr>
        <w:keepNext/>
        <w:keepLines/>
        <w:widowControl w:val="0"/>
        <w:spacing w:before="0" w:after="0" w:line="440" w:lineRule="exact"/>
        <w:jc w:val="center"/>
        <w:outlineLvl w:val="1"/>
        <w:rPr>
          <w:rFonts w:hint="eastAsia" w:ascii="宋体" w:hAnsi="宋体" w:eastAsia="宋体" w:cs="宋体"/>
          <w:b/>
          <w:bCs/>
          <w:color w:val="auto"/>
          <w:kern w:val="0"/>
          <w:sz w:val="32"/>
          <w:szCs w:val="32"/>
          <w:highlight w:val="none"/>
          <w:lang w:val="en-US" w:eastAsia="zh-CN" w:bidi="ar-SA"/>
        </w:rPr>
      </w:pPr>
      <w:bookmarkStart w:id="506" w:name="_Toc13919"/>
      <w:bookmarkStart w:id="507" w:name="_Toc18919"/>
      <w:bookmarkStart w:id="508" w:name="_Toc20039"/>
      <w:bookmarkStart w:id="509" w:name="_Toc26085"/>
      <w:bookmarkStart w:id="510" w:name="_Toc16520"/>
      <w:bookmarkStart w:id="511" w:name="_Toc4389"/>
      <w:bookmarkStart w:id="512" w:name="_Toc25880_WPSOffice_Level2"/>
      <w:bookmarkStart w:id="513" w:name="_Toc22260"/>
      <w:bookmarkStart w:id="514" w:name="_Toc1151"/>
      <w:bookmarkStart w:id="515" w:name="_Toc16041"/>
      <w:bookmarkStart w:id="516" w:name="_Toc7574"/>
      <w:bookmarkStart w:id="517" w:name="_Toc21204"/>
      <w:bookmarkStart w:id="518" w:name="_Toc19776"/>
      <w:bookmarkStart w:id="519" w:name="_Toc20816"/>
      <w:bookmarkStart w:id="520" w:name="_Toc21731"/>
      <w:bookmarkStart w:id="521" w:name="_Toc27920"/>
      <w:bookmarkStart w:id="522" w:name="_Toc521"/>
      <w:bookmarkStart w:id="523" w:name="_Toc22333"/>
      <w:bookmarkStart w:id="524" w:name="_Toc6622"/>
      <w:r>
        <w:rPr>
          <w:rFonts w:hint="eastAsia" w:ascii="宋体" w:hAnsi="宋体" w:eastAsia="宋体" w:cs="宋体"/>
          <w:b/>
          <w:bCs/>
          <w:color w:val="auto"/>
          <w:kern w:val="0"/>
          <w:sz w:val="32"/>
          <w:szCs w:val="32"/>
          <w:highlight w:val="none"/>
          <w:lang w:val="en-US" w:eastAsia="zh-CN" w:bidi="ar-SA"/>
        </w:rPr>
        <w:t>二 企业业绩汇总表</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6348A6C">
      <w:pPr>
        <w:spacing w:line="44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19"/>
        <w:tblW w:w="8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14:paraId="5DDD0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noWrap w:val="0"/>
            <w:vAlign w:val="center"/>
          </w:tcPr>
          <w:p w14:paraId="4720F361">
            <w:pPr>
              <w:spacing w:line="440" w:lineRule="exact"/>
              <w:jc w:val="center"/>
              <w:rPr>
                <w:rFonts w:hint="eastAsia" w:ascii="宋体" w:hAnsi="宋体" w:eastAsia="宋体" w:cs="宋体"/>
                <w:color w:val="auto"/>
                <w:highlight w:val="none"/>
              </w:rPr>
            </w:pPr>
            <w:bookmarkStart w:id="525" w:name="_Toc218710269"/>
            <w:r>
              <w:rPr>
                <w:rFonts w:hint="eastAsia" w:ascii="宋体" w:hAnsi="宋体" w:eastAsia="宋体" w:cs="宋体"/>
                <w:color w:val="auto"/>
                <w:highlight w:val="none"/>
              </w:rPr>
              <w:t>序号</w:t>
            </w:r>
          </w:p>
        </w:tc>
        <w:tc>
          <w:tcPr>
            <w:tcW w:w="1808" w:type="dxa"/>
            <w:noWrap w:val="0"/>
            <w:vAlign w:val="center"/>
          </w:tcPr>
          <w:p w14:paraId="5A735B69">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业主名称</w:t>
            </w:r>
          </w:p>
        </w:tc>
        <w:tc>
          <w:tcPr>
            <w:tcW w:w="2040" w:type="dxa"/>
            <w:noWrap w:val="0"/>
            <w:vAlign w:val="center"/>
          </w:tcPr>
          <w:p w14:paraId="319891B6">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2023" w:type="dxa"/>
            <w:noWrap w:val="0"/>
            <w:vAlign w:val="center"/>
          </w:tcPr>
          <w:p w14:paraId="4A51EF41">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工作内容</w:t>
            </w:r>
          </w:p>
        </w:tc>
        <w:tc>
          <w:tcPr>
            <w:tcW w:w="1800" w:type="dxa"/>
            <w:noWrap w:val="0"/>
            <w:vAlign w:val="center"/>
          </w:tcPr>
          <w:p w14:paraId="4371D275">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0B083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14:paraId="7B5481C5">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08" w:type="dxa"/>
            <w:noWrap w:val="0"/>
            <w:vAlign w:val="center"/>
          </w:tcPr>
          <w:p w14:paraId="520947E9">
            <w:pPr>
              <w:spacing w:line="440" w:lineRule="exact"/>
              <w:jc w:val="center"/>
              <w:rPr>
                <w:rFonts w:hint="eastAsia" w:ascii="宋体" w:hAnsi="宋体" w:eastAsia="宋体" w:cs="宋体"/>
                <w:color w:val="auto"/>
                <w:highlight w:val="none"/>
              </w:rPr>
            </w:pPr>
          </w:p>
        </w:tc>
        <w:tc>
          <w:tcPr>
            <w:tcW w:w="2040" w:type="dxa"/>
            <w:noWrap w:val="0"/>
            <w:vAlign w:val="center"/>
          </w:tcPr>
          <w:p w14:paraId="742B276F">
            <w:pPr>
              <w:spacing w:line="440" w:lineRule="exact"/>
              <w:jc w:val="center"/>
              <w:rPr>
                <w:rFonts w:hint="eastAsia" w:ascii="宋体" w:hAnsi="宋体" w:eastAsia="宋体" w:cs="宋体"/>
                <w:color w:val="auto"/>
                <w:highlight w:val="none"/>
              </w:rPr>
            </w:pPr>
          </w:p>
        </w:tc>
        <w:tc>
          <w:tcPr>
            <w:tcW w:w="2023" w:type="dxa"/>
            <w:noWrap w:val="0"/>
            <w:vAlign w:val="center"/>
          </w:tcPr>
          <w:p w14:paraId="31A1B4F9">
            <w:pPr>
              <w:spacing w:line="440" w:lineRule="exact"/>
              <w:jc w:val="center"/>
              <w:rPr>
                <w:rFonts w:hint="eastAsia" w:ascii="宋体" w:hAnsi="宋体" w:eastAsia="宋体" w:cs="宋体"/>
                <w:color w:val="auto"/>
                <w:highlight w:val="none"/>
              </w:rPr>
            </w:pPr>
          </w:p>
        </w:tc>
        <w:tc>
          <w:tcPr>
            <w:tcW w:w="1800" w:type="dxa"/>
            <w:noWrap w:val="0"/>
            <w:vAlign w:val="center"/>
          </w:tcPr>
          <w:p w14:paraId="05E1BB76">
            <w:pPr>
              <w:spacing w:line="440" w:lineRule="exact"/>
              <w:jc w:val="center"/>
              <w:rPr>
                <w:rFonts w:hint="eastAsia" w:ascii="宋体" w:hAnsi="宋体" w:eastAsia="宋体" w:cs="宋体"/>
                <w:color w:val="auto"/>
                <w:highlight w:val="none"/>
              </w:rPr>
            </w:pPr>
          </w:p>
        </w:tc>
      </w:tr>
      <w:tr w14:paraId="43207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14:paraId="2E29F4E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08" w:type="dxa"/>
            <w:noWrap w:val="0"/>
            <w:vAlign w:val="center"/>
          </w:tcPr>
          <w:p w14:paraId="7A611A55">
            <w:pPr>
              <w:spacing w:line="440" w:lineRule="exact"/>
              <w:jc w:val="center"/>
              <w:rPr>
                <w:rFonts w:hint="eastAsia" w:ascii="宋体" w:hAnsi="宋体" w:eastAsia="宋体" w:cs="宋体"/>
                <w:color w:val="auto"/>
                <w:highlight w:val="none"/>
              </w:rPr>
            </w:pPr>
          </w:p>
        </w:tc>
        <w:tc>
          <w:tcPr>
            <w:tcW w:w="2040" w:type="dxa"/>
            <w:noWrap w:val="0"/>
            <w:vAlign w:val="center"/>
          </w:tcPr>
          <w:p w14:paraId="48B2BA72">
            <w:pPr>
              <w:spacing w:line="440" w:lineRule="exact"/>
              <w:jc w:val="center"/>
              <w:rPr>
                <w:rFonts w:hint="eastAsia" w:ascii="宋体" w:hAnsi="宋体" w:eastAsia="宋体" w:cs="宋体"/>
                <w:color w:val="auto"/>
                <w:highlight w:val="none"/>
              </w:rPr>
            </w:pPr>
          </w:p>
        </w:tc>
        <w:tc>
          <w:tcPr>
            <w:tcW w:w="2023" w:type="dxa"/>
            <w:noWrap w:val="0"/>
            <w:vAlign w:val="center"/>
          </w:tcPr>
          <w:p w14:paraId="6EC402F6">
            <w:pPr>
              <w:spacing w:line="440" w:lineRule="exact"/>
              <w:jc w:val="center"/>
              <w:rPr>
                <w:rFonts w:hint="eastAsia" w:ascii="宋体" w:hAnsi="宋体" w:eastAsia="宋体" w:cs="宋体"/>
                <w:color w:val="auto"/>
                <w:highlight w:val="none"/>
              </w:rPr>
            </w:pPr>
          </w:p>
        </w:tc>
        <w:tc>
          <w:tcPr>
            <w:tcW w:w="1800" w:type="dxa"/>
            <w:noWrap w:val="0"/>
            <w:vAlign w:val="center"/>
          </w:tcPr>
          <w:p w14:paraId="77323D6D">
            <w:pPr>
              <w:spacing w:line="440" w:lineRule="exact"/>
              <w:jc w:val="center"/>
              <w:rPr>
                <w:rFonts w:hint="eastAsia" w:ascii="宋体" w:hAnsi="宋体" w:eastAsia="宋体" w:cs="宋体"/>
                <w:color w:val="auto"/>
                <w:highlight w:val="none"/>
              </w:rPr>
            </w:pPr>
          </w:p>
        </w:tc>
      </w:tr>
      <w:tr w14:paraId="5B01A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14:paraId="041CA496">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08" w:type="dxa"/>
            <w:noWrap w:val="0"/>
            <w:vAlign w:val="center"/>
          </w:tcPr>
          <w:p w14:paraId="071ACE18">
            <w:pPr>
              <w:spacing w:line="440" w:lineRule="exact"/>
              <w:jc w:val="center"/>
              <w:rPr>
                <w:rFonts w:hint="eastAsia" w:ascii="宋体" w:hAnsi="宋体" w:eastAsia="宋体" w:cs="宋体"/>
                <w:color w:val="auto"/>
                <w:highlight w:val="none"/>
              </w:rPr>
            </w:pPr>
          </w:p>
        </w:tc>
        <w:tc>
          <w:tcPr>
            <w:tcW w:w="2040" w:type="dxa"/>
            <w:noWrap w:val="0"/>
            <w:vAlign w:val="center"/>
          </w:tcPr>
          <w:p w14:paraId="1E021C50">
            <w:pPr>
              <w:spacing w:line="440" w:lineRule="exact"/>
              <w:jc w:val="center"/>
              <w:rPr>
                <w:rFonts w:hint="eastAsia" w:ascii="宋体" w:hAnsi="宋体" w:eastAsia="宋体" w:cs="宋体"/>
                <w:color w:val="auto"/>
                <w:highlight w:val="none"/>
              </w:rPr>
            </w:pPr>
          </w:p>
        </w:tc>
        <w:tc>
          <w:tcPr>
            <w:tcW w:w="2023" w:type="dxa"/>
            <w:noWrap w:val="0"/>
            <w:vAlign w:val="center"/>
          </w:tcPr>
          <w:p w14:paraId="45E674E9">
            <w:pPr>
              <w:spacing w:line="440" w:lineRule="exact"/>
              <w:jc w:val="center"/>
              <w:rPr>
                <w:rFonts w:hint="eastAsia" w:ascii="宋体" w:hAnsi="宋体" w:eastAsia="宋体" w:cs="宋体"/>
                <w:color w:val="auto"/>
                <w:highlight w:val="none"/>
              </w:rPr>
            </w:pPr>
          </w:p>
        </w:tc>
        <w:tc>
          <w:tcPr>
            <w:tcW w:w="1800" w:type="dxa"/>
            <w:noWrap w:val="0"/>
            <w:vAlign w:val="center"/>
          </w:tcPr>
          <w:p w14:paraId="7221513A">
            <w:pPr>
              <w:spacing w:line="440" w:lineRule="exact"/>
              <w:jc w:val="center"/>
              <w:rPr>
                <w:rFonts w:hint="eastAsia" w:ascii="宋体" w:hAnsi="宋体" w:eastAsia="宋体" w:cs="宋体"/>
                <w:color w:val="auto"/>
                <w:highlight w:val="none"/>
              </w:rPr>
            </w:pPr>
          </w:p>
        </w:tc>
      </w:tr>
      <w:tr w14:paraId="4B810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14:paraId="0FD5177B">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808" w:type="dxa"/>
            <w:noWrap w:val="0"/>
            <w:vAlign w:val="center"/>
          </w:tcPr>
          <w:p w14:paraId="63DD0720">
            <w:pPr>
              <w:spacing w:line="440" w:lineRule="exact"/>
              <w:jc w:val="center"/>
              <w:rPr>
                <w:rFonts w:hint="eastAsia" w:ascii="宋体" w:hAnsi="宋体" w:eastAsia="宋体" w:cs="宋体"/>
                <w:color w:val="auto"/>
                <w:highlight w:val="none"/>
              </w:rPr>
            </w:pPr>
          </w:p>
        </w:tc>
        <w:tc>
          <w:tcPr>
            <w:tcW w:w="2040" w:type="dxa"/>
            <w:noWrap w:val="0"/>
            <w:vAlign w:val="center"/>
          </w:tcPr>
          <w:p w14:paraId="25D48303">
            <w:pPr>
              <w:spacing w:line="440" w:lineRule="exact"/>
              <w:jc w:val="center"/>
              <w:rPr>
                <w:rFonts w:hint="eastAsia" w:ascii="宋体" w:hAnsi="宋体" w:eastAsia="宋体" w:cs="宋体"/>
                <w:color w:val="auto"/>
                <w:highlight w:val="none"/>
              </w:rPr>
            </w:pPr>
          </w:p>
        </w:tc>
        <w:tc>
          <w:tcPr>
            <w:tcW w:w="2023" w:type="dxa"/>
            <w:noWrap w:val="0"/>
            <w:vAlign w:val="center"/>
          </w:tcPr>
          <w:p w14:paraId="1F3B0A61">
            <w:pPr>
              <w:spacing w:line="440" w:lineRule="exact"/>
              <w:jc w:val="center"/>
              <w:rPr>
                <w:rFonts w:hint="eastAsia" w:ascii="宋体" w:hAnsi="宋体" w:eastAsia="宋体" w:cs="宋体"/>
                <w:color w:val="auto"/>
                <w:highlight w:val="none"/>
              </w:rPr>
            </w:pPr>
          </w:p>
        </w:tc>
        <w:tc>
          <w:tcPr>
            <w:tcW w:w="1800" w:type="dxa"/>
            <w:noWrap w:val="0"/>
            <w:vAlign w:val="center"/>
          </w:tcPr>
          <w:p w14:paraId="6E715EF1">
            <w:pPr>
              <w:spacing w:line="440" w:lineRule="exact"/>
              <w:jc w:val="center"/>
              <w:rPr>
                <w:rFonts w:hint="eastAsia" w:ascii="宋体" w:hAnsi="宋体" w:eastAsia="宋体" w:cs="宋体"/>
                <w:color w:val="auto"/>
                <w:highlight w:val="none"/>
              </w:rPr>
            </w:pPr>
          </w:p>
        </w:tc>
      </w:tr>
      <w:tr w14:paraId="638FD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noWrap w:val="0"/>
            <w:vAlign w:val="center"/>
          </w:tcPr>
          <w:p w14:paraId="121D86F5">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808" w:type="dxa"/>
            <w:noWrap w:val="0"/>
            <w:vAlign w:val="center"/>
          </w:tcPr>
          <w:p w14:paraId="47C13216">
            <w:pPr>
              <w:spacing w:line="440" w:lineRule="exact"/>
              <w:jc w:val="center"/>
              <w:rPr>
                <w:rFonts w:hint="eastAsia" w:ascii="宋体" w:hAnsi="宋体" w:eastAsia="宋体" w:cs="宋体"/>
                <w:color w:val="auto"/>
                <w:highlight w:val="none"/>
              </w:rPr>
            </w:pPr>
          </w:p>
        </w:tc>
        <w:tc>
          <w:tcPr>
            <w:tcW w:w="2040" w:type="dxa"/>
            <w:noWrap w:val="0"/>
            <w:vAlign w:val="center"/>
          </w:tcPr>
          <w:p w14:paraId="53774021">
            <w:pPr>
              <w:spacing w:line="440" w:lineRule="exact"/>
              <w:jc w:val="center"/>
              <w:rPr>
                <w:rFonts w:hint="eastAsia" w:ascii="宋体" w:hAnsi="宋体" w:eastAsia="宋体" w:cs="宋体"/>
                <w:color w:val="auto"/>
                <w:highlight w:val="none"/>
              </w:rPr>
            </w:pPr>
          </w:p>
        </w:tc>
        <w:tc>
          <w:tcPr>
            <w:tcW w:w="2023" w:type="dxa"/>
            <w:noWrap w:val="0"/>
            <w:vAlign w:val="center"/>
          </w:tcPr>
          <w:p w14:paraId="28D9EEF3">
            <w:pPr>
              <w:spacing w:line="440" w:lineRule="exact"/>
              <w:jc w:val="center"/>
              <w:rPr>
                <w:rFonts w:hint="eastAsia" w:ascii="宋体" w:hAnsi="宋体" w:eastAsia="宋体" w:cs="宋体"/>
                <w:color w:val="auto"/>
                <w:highlight w:val="none"/>
              </w:rPr>
            </w:pPr>
          </w:p>
        </w:tc>
        <w:tc>
          <w:tcPr>
            <w:tcW w:w="1800" w:type="dxa"/>
            <w:noWrap w:val="0"/>
            <w:vAlign w:val="center"/>
          </w:tcPr>
          <w:p w14:paraId="3C8F2BB9">
            <w:pPr>
              <w:spacing w:line="440" w:lineRule="exact"/>
              <w:jc w:val="center"/>
              <w:rPr>
                <w:rFonts w:hint="eastAsia" w:ascii="宋体" w:hAnsi="宋体" w:eastAsia="宋体" w:cs="宋体"/>
                <w:color w:val="auto"/>
                <w:highlight w:val="none"/>
              </w:rPr>
            </w:pPr>
          </w:p>
        </w:tc>
      </w:tr>
    </w:tbl>
    <w:p w14:paraId="52E35589">
      <w:pPr>
        <w:spacing w:line="440" w:lineRule="exact"/>
        <w:ind w:left="437" w:leftChars="208" w:firstLine="2"/>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注：本页可续表。</w:t>
      </w:r>
    </w:p>
    <w:p w14:paraId="00B6AD8A">
      <w:pPr>
        <w:spacing w:line="440" w:lineRule="exact"/>
        <w:ind w:firstLine="403" w:firstLineChars="192"/>
        <w:rPr>
          <w:rFonts w:hint="eastAsia" w:ascii="宋体" w:hAnsi="宋体" w:eastAsia="宋体" w:cs="宋体"/>
          <w:color w:val="auto"/>
          <w:highlight w:val="none"/>
        </w:rPr>
      </w:pPr>
    </w:p>
    <w:p w14:paraId="6A99D057">
      <w:pPr>
        <w:spacing w:line="440" w:lineRule="exact"/>
        <w:ind w:firstLine="403" w:firstLineChars="192"/>
        <w:rPr>
          <w:rFonts w:hint="eastAsia" w:ascii="宋体" w:hAnsi="宋体" w:eastAsia="宋体" w:cs="宋体"/>
          <w:color w:val="auto"/>
          <w:highlight w:val="none"/>
        </w:rPr>
      </w:pPr>
    </w:p>
    <w:p w14:paraId="1695A236">
      <w:pPr>
        <w:keepNext/>
        <w:keepLines/>
        <w:widowControl w:val="0"/>
        <w:spacing w:before="0" w:after="0" w:line="440" w:lineRule="exact"/>
        <w:jc w:val="center"/>
        <w:outlineLvl w:val="1"/>
        <w:rPr>
          <w:rFonts w:hint="eastAsia" w:ascii="宋体" w:hAnsi="宋体" w:eastAsia="宋体" w:cs="宋体"/>
          <w:b/>
          <w:bCs/>
          <w:color w:val="auto"/>
          <w:kern w:val="0"/>
          <w:sz w:val="32"/>
          <w:szCs w:val="28"/>
          <w:highlight w:val="none"/>
          <w:lang w:val="en-US" w:eastAsia="zh-CN" w:bidi="ar-SA"/>
        </w:rPr>
      </w:pPr>
      <w:r>
        <w:rPr>
          <w:rFonts w:hint="eastAsia" w:ascii="宋体" w:hAnsi="宋体" w:eastAsia="宋体" w:cs="宋体"/>
          <w:b/>
          <w:bCs/>
          <w:color w:val="auto"/>
          <w:kern w:val="0"/>
          <w:sz w:val="24"/>
          <w:szCs w:val="24"/>
          <w:highlight w:val="none"/>
          <w:lang w:val="en-US" w:eastAsia="zh-CN" w:bidi="ar-SA"/>
        </w:rPr>
        <w:br w:type="page"/>
      </w:r>
      <w:bookmarkEnd w:id="525"/>
      <w:bookmarkStart w:id="526" w:name="_Toc11784_WPSOffice_Level2"/>
      <w:bookmarkStart w:id="527" w:name="_Toc8315"/>
      <w:bookmarkStart w:id="528" w:name="_Toc2919"/>
      <w:bookmarkStart w:id="529" w:name="_Toc13113"/>
      <w:bookmarkStart w:id="530" w:name="_Toc420"/>
      <w:bookmarkStart w:id="531" w:name="_Toc9086"/>
      <w:bookmarkStart w:id="532" w:name="_Toc16889"/>
      <w:bookmarkStart w:id="533" w:name="_Toc5618"/>
      <w:bookmarkStart w:id="534" w:name="_Toc15474"/>
      <w:bookmarkStart w:id="535" w:name="_Toc259"/>
      <w:bookmarkStart w:id="536" w:name="_Toc18049"/>
      <w:bookmarkStart w:id="537" w:name="_Toc18046"/>
      <w:bookmarkStart w:id="538" w:name="_Toc27003"/>
      <w:bookmarkStart w:id="539" w:name="_Toc11301"/>
      <w:bookmarkStart w:id="540" w:name="_Toc22252"/>
      <w:bookmarkStart w:id="541" w:name="_Toc2092"/>
      <w:bookmarkStart w:id="542" w:name="_Toc1128"/>
      <w:bookmarkStart w:id="543" w:name="_Toc11231"/>
      <w:r>
        <w:rPr>
          <w:rFonts w:hint="eastAsia" w:ascii="宋体" w:hAnsi="宋体" w:eastAsia="宋体" w:cs="宋体"/>
          <w:b/>
          <w:bCs/>
          <w:color w:val="auto"/>
          <w:kern w:val="0"/>
          <w:sz w:val="32"/>
          <w:szCs w:val="28"/>
          <w:highlight w:val="none"/>
          <w:lang w:val="en-US" w:eastAsia="zh-CN" w:bidi="ar-SA"/>
        </w:rPr>
        <w:t>三 企业业绩概况表</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78F937EE">
      <w:pPr>
        <w:spacing w:line="440" w:lineRule="exact"/>
        <w:ind w:left="439" w:hanging="438" w:hangingChars="209"/>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19"/>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14:paraId="72668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0275ECED">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5577" w:type="dxa"/>
            <w:noWrap w:val="0"/>
            <w:vAlign w:val="center"/>
          </w:tcPr>
          <w:p w14:paraId="4C435540">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38B8A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0387A8CC">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5577" w:type="dxa"/>
            <w:noWrap w:val="0"/>
            <w:vAlign w:val="center"/>
          </w:tcPr>
          <w:p w14:paraId="5A4BAE1C">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45B04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0BD67C1B">
            <w:pPr>
              <w:adjustRightInd w:val="0"/>
              <w:snapToGrid w:val="0"/>
              <w:spacing w:line="440" w:lineRule="exact"/>
              <w:ind w:left="42" w:hanging="42" w:hangingChars="20"/>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5577" w:type="dxa"/>
            <w:noWrap w:val="0"/>
            <w:vAlign w:val="center"/>
          </w:tcPr>
          <w:p w14:paraId="64E4C896">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6206F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60028458">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业主名称</w:t>
            </w:r>
          </w:p>
        </w:tc>
        <w:tc>
          <w:tcPr>
            <w:tcW w:w="5577" w:type="dxa"/>
            <w:noWrap w:val="0"/>
            <w:vAlign w:val="center"/>
          </w:tcPr>
          <w:p w14:paraId="13F50FEE">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0966F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2442B7EB">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业主地址</w:t>
            </w:r>
          </w:p>
        </w:tc>
        <w:tc>
          <w:tcPr>
            <w:tcW w:w="5577" w:type="dxa"/>
            <w:noWrap w:val="0"/>
            <w:vAlign w:val="center"/>
          </w:tcPr>
          <w:p w14:paraId="4B4C952F">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10153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4B273278">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业主电话</w:t>
            </w:r>
          </w:p>
        </w:tc>
        <w:tc>
          <w:tcPr>
            <w:tcW w:w="5577" w:type="dxa"/>
            <w:noWrap w:val="0"/>
            <w:vAlign w:val="center"/>
          </w:tcPr>
          <w:p w14:paraId="3C86374E">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07ECF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6FCBE8EA">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w:t>
            </w:r>
            <w:r>
              <w:rPr>
                <w:rFonts w:hint="eastAsia" w:ascii="宋体" w:hAnsi="宋体" w:eastAsia="宋体" w:cs="宋体"/>
                <w:color w:val="auto"/>
                <w:highlight w:val="none"/>
              </w:rPr>
              <w:t>金额</w:t>
            </w:r>
          </w:p>
        </w:tc>
        <w:tc>
          <w:tcPr>
            <w:tcW w:w="5577" w:type="dxa"/>
            <w:noWrap w:val="0"/>
            <w:vAlign w:val="center"/>
          </w:tcPr>
          <w:p w14:paraId="0E12813B">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6420D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47AAFA1B">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承担的工作内容</w:t>
            </w:r>
          </w:p>
        </w:tc>
        <w:tc>
          <w:tcPr>
            <w:tcW w:w="5577" w:type="dxa"/>
            <w:noWrap w:val="0"/>
            <w:vAlign w:val="center"/>
          </w:tcPr>
          <w:p w14:paraId="14D2AE8F">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44B1E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7D7D8F31">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5577" w:type="dxa"/>
            <w:noWrap w:val="0"/>
            <w:vAlign w:val="center"/>
          </w:tcPr>
          <w:p w14:paraId="79B21F22">
            <w:pPr>
              <w:adjustRightInd w:val="0"/>
              <w:snapToGrid w:val="0"/>
              <w:spacing w:line="440" w:lineRule="exact"/>
              <w:ind w:firstLine="420" w:firstLineChars="200"/>
              <w:jc w:val="center"/>
              <w:rPr>
                <w:rFonts w:hint="eastAsia" w:ascii="宋体" w:hAnsi="宋体" w:eastAsia="宋体" w:cs="宋体"/>
                <w:color w:val="auto"/>
                <w:highlight w:val="none"/>
              </w:rPr>
            </w:pPr>
          </w:p>
        </w:tc>
      </w:tr>
    </w:tbl>
    <w:p w14:paraId="6D8940C0">
      <w:pPr>
        <w:tabs>
          <w:tab w:val="left" w:pos="440"/>
        </w:tabs>
        <w:spacing w:line="440" w:lineRule="exact"/>
        <w:ind w:left="437" w:hanging="436" w:hangingChars="208"/>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注：每一个项目填一张表，本表后附业绩证明材料复印件或扫描件。</w:t>
      </w:r>
    </w:p>
    <w:p w14:paraId="6CC3A916">
      <w:pPr>
        <w:spacing w:line="440" w:lineRule="exact"/>
        <w:ind w:left="439" w:hanging="438" w:hangingChars="209"/>
        <w:rPr>
          <w:rFonts w:hint="eastAsia" w:ascii="宋体" w:hAnsi="宋体" w:eastAsia="宋体" w:cs="宋体"/>
          <w:color w:val="auto"/>
          <w:highlight w:val="none"/>
        </w:rPr>
      </w:pPr>
    </w:p>
    <w:p w14:paraId="7939E661">
      <w:pPr>
        <w:pStyle w:val="3"/>
        <w:spacing w:before="0" w:after="0" w:line="440" w:lineRule="exact"/>
        <w:jc w:val="center"/>
        <w:rPr>
          <w:rFonts w:hint="eastAsia" w:ascii="宋体" w:hAnsi="宋体" w:eastAsia="宋体" w:cs="宋体"/>
          <w:b/>
          <w:bCs/>
          <w:color w:val="auto"/>
          <w:highlight w:val="none"/>
        </w:rPr>
      </w:pPr>
      <w:r>
        <w:rPr>
          <w:rFonts w:hint="eastAsia" w:ascii="宋体" w:hAnsi="宋体" w:eastAsia="宋体" w:cs="宋体"/>
          <w:b/>
          <w:bCs/>
          <w:color w:val="auto"/>
          <w:kern w:val="0"/>
          <w:sz w:val="32"/>
          <w:szCs w:val="32"/>
          <w:highlight w:val="none"/>
          <w:lang w:val="en-US" w:eastAsia="zh-CN" w:bidi="ar-SA"/>
        </w:rPr>
        <w:br w:type="page"/>
      </w:r>
      <w:bookmarkStart w:id="544" w:name="_Toc9811"/>
      <w:bookmarkStart w:id="545" w:name="_Toc21809"/>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 xml:space="preserve"> </w:t>
      </w:r>
      <w:r>
        <w:rPr>
          <w:rFonts w:hint="eastAsia" w:ascii="宋体" w:hAnsi="宋体" w:eastAsia="宋体" w:cs="宋体"/>
          <w:b/>
          <w:bCs/>
          <w:color w:val="auto"/>
          <w:szCs w:val="28"/>
          <w:highlight w:val="none"/>
          <w:lang w:val="en-US" w:eastAsia="zh-CN"/>
        </w:rPr>
        <w:t>项目负责人</w:t>
      </w:r>
      <w:r>
        <w:rPr>
          <w:rFonts w:hint="eastAsia" w:ascii="宋体" w:hAnsi="宋体" w:eastAsia="宋体" w:cs="宋体"/>
          <w:b/>
          <w:bCs/>
          <w:color w:val="auto"/>
          <w:highlight w:val="none"/>
        </w:rPr>
        <w:t>业绩汇总表</w:t>
      </w:r>
      <w:bookmarkEnd w:id="544"/>
      <w:bookmarkEnd w:id="545"/>
    </w:p>
    <w:p w14:paraId="246E7D73">
      <w:pPr>
        <w:spacing w:line="44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14:paraId="78A0D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noWrap w:val="0"/>
            <w:vAlign w:val="center"/>
          </w:tcPr>
          <w:p w14:paraId="2D293697">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08" w:type="dxa"/>
            <w:noWrap w:val="0"/>
            <w:vAlign w:val="center"/>
          </w:tcPr>
          <w:p w14:paraId="470007E7">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业主名称</w:t>
            </w:r>
          </w:p>
        </w:tc>
        <w:tc>
          <w:tcPr>
            <w:tcW w:w="2040" w:type="dxa"/>
            <w:noWrap w:val="0"/>
            <w:vAlign w:val="center"/>
          </w:tcPr>
          <w:p w14:paraId="60813059">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2023" w:type="dxa"/>
            <w:noWrap w:val="0"/>
            <w:vAlign w:val="center"/>
          </w:tcPr>
          <w:p w14:paraId="5DF626F0">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工作内容</w:t>
            </w:r>
          </w:p>
        </w:tc>
        <w:tc>
          <w:tcPr>
            <w:tcW w:w="1800" w:type="dxa"/>
            <w:noWrap w:val="0"/>
            <w:vAlign w:val="center"/>
          </w:tcPr>
          <w:p w14:paraId="72942607">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9423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14:paraId="5177A1AF">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08" w:type="dxa"/>
            <w:noWrap w:val="0"/>
            <w:vAlign w:val="center"/>
          </w:tcPr>
          <w:p w14:paraId="62E4F4FD">
            <w:pPr>
              <w:spacing w:line="440" w:lineRule="exact"/>
              <w:jc w:val="center"/>
              <w:rPr>
                <w:rFonts w:hint="eastAsia" w:ascii="宋体" w:hAnsi="宋体" w:eastAsia="宋体" w:cs="宋体"/>
                <w:color w:val="auto"/>
                <w:highlight w:val="none"/>
              </w:rPr>
            </w:pPr>
          </w:p>
        </w:tc>
        <w:tc>
          <w:tcPr>
            <w:tcW w:w="2040" w:type="dxa"/>
            <w:noWrap w:val="0"/>
            <w:vAlign w:val="center"/>
          </w:tcPr>
          <w:p w14:paraId="6E64CFE9">
            <w:pPr>
              <w:spacing w:line="440" w:lineRule="exact"/>
              <w:jc w:val="center"/>
              <w:rPr>
                <w:rFonts w:hint="eastAsia" w:ascii="宋体" w:hAnsi="宋体" w:eastAsia="宋体" w:cs="宋体"/>
                <w:color w:val="auto"/>
                <w:highlight w:val="none"/>
              </w:rPr>
            </w:pPr>
          </w:p>
        </w:tc>
        <w:tc>
          <w:tcPr>
            <w:tcW w:w="2023" w:type="dxa"/>
            <w:noWrap w:val="0"/>
            <w:vAlign w:val="center"/>
          </w:tcPr>
          <w:p w14:paraId="63DC1E61">
            <w:pPr>
              <w:spacing w:line="440" w:lineRule="exact"/>
              <w:jc w:val="center"/>
              <w:rPr>
                <w:rFonts w:hint="eastAsia" w:ascii="宋体" w:hAnsi="宋体" w:eastAsia="宋体" w:cs="宋体"/>
                <w:color w:val="auto"/>
                <w:highlight w:val="none"/>
              </w:rPr>
            </w:pPr>
          </w:p>
        </w:tc>
        <w:tc>
          <w:tcPr>
            <w:tcW w:w="1800" w:type="dxa"/>
            <w:noWrap w:val="0"/>
            <w:vAlign w:val="center"/>
          </w:tcPr>
          <w:p w14:paraId="49868E66">
            <w:pPr>
              <w:spacing w:line="440" w:lineRule="exact"/>
              <w:jc w:val="center"/>
              <w:rPr>
                <w:rFonts w:hint="eastAsia" w:ascii="宋体" w:hAnsi="宋体" w:eastAsia="宋体" w:cs="宋体"/>
                <w:color w:val="auto"/>
                <w:highlight w:val="none"/>
              </w:rPr>
            </w:pPr>
          </w:p>
        </w:tc>
      </w:tr>
      <w:tr w14:paraId="60D04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14:paraId="2406FE2F">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08" w:type="dxa"/>
            <w:noWrap w:val="0"/>
            <w:vAlign w:val="center"/>
          </w:tcPr>
          <w:p w14:paraId="517D76DC">
            <w:pPr>
              <w:spacing w:line="440" w:lineRule="exact"/>
              <w:jc w:val="center"/>
              <w:rPr>
                <w:rFonts w:hint="eastAsia" w:ascii="宋体" w:hAnsi="宋体" w:eastAsia="宋体" w:cs="宋体"/>
                <w:color w:val="auto"/>
                <w:highlight w:val="none"/>
              </w:rPr>
            </w:pPr>
          </w:p>
        </w:tc>
        <w:tc>
          <w:tcPr>
            <w:tcW w:w="2040" w:type="dxa"/>
            <w:noWrap w:val="0"/>
            <w:vAlign w:val="center"/>
          </w:tcPr>
          <w:p w14:paraId="5E1608DC">
            <w:pPr>
              <w:spacing w:line="440" w:lineRule="exact"/>
              <w:jc w:val="center"/>
              <w:rPr>
                <w:rFonts w:hint="eastAsia" w:ascii="宋体" w:hAnsi="宋体" w:eastAsia="宋体" w:cs="宋体"/>
                <w:color w:val="auto"/>
                <w:highlight w:val="none"/>
              </w:rPr>
            </w:pPr>
          </w:p>
        </w:tc>
        <w:tc>
          <w:tcPr>
            <w:tcW w:w="2023" w:type="dxa"/>
            <w:noWrap w:val="0"/>
            <w:vAlign w:val="center"/>
          </w:tcPr>
          <w:p w14:paraId="39DAA4E4">
            <w:pPr>
              <w:spacing w:line="440" w:lineRule="exact"/>
              <w:jc w:val="center"/>
              <w:rPr>
                <w:rFonts w:hint="eastAsia" w:ascii="宋体" w:hAnsi="宋体" w:eastAsia="宋体" w:cs="宋体"/>
                <w:color w:val="auto"/>
                <w:highlight w:val="none"/>
              </w:rPr>
            </w:pPr>
          </w:p>
        </w:tc>
        <w:tc>
          <w:tcPr>
            <w:tcW w:w="1800" w:type="dxa"/>
            <w:noWrap w:val="0"/>
            <w:vAlign w:val="center"/>
          </w:tcPr>
          <w:p w14:paraId="350E1B13">
            <w:pPr>
              <w:spacing w:line="440" w:lineRule="exact"/>
              <w:jc w:val="center"/>
              <w:rPr>
                <w:rFonts w:hint="eastAsia" w:ascii="宋体" w:hAnsi="宋体" w:eastAsia="宋体" w:cs="宋体"/>
                <w:color w:val="auto"/>
                <w:highlight w:val="none"/>
              </w:rPr>
            </w:pPr>
          </w:p>
        </w:tc>
      </w:tr>
      <w:tr w14:paraId="53B22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14:paraId="47292EAA">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08" w:type="dxa"/>
            <w:noWrap w:val="0"/>
            <w:vAlign w:val="center"/>
          </w:tcPr>
          <w:p w14:paraId="55FA0E7D">
            <w:pPr>
              <w:spacing w:line="440" w:lineRule="exact"/>
              <w:jc w:val="center"/>
              <w:rPr>
                <w:rFonts w:hint="eastAsia" w:ascii="宋体" w:hAnsi="宋体" w:eastAsia="宋体" w:cs="宋体"/>
                <w:color w:val="auto"/>
                <w:highlight w:val="none"/>
              </w:rPr>
            </w:pPr>
          </w:p>
        </w:tc>
        <w:tc>
          <w:tcPr>
            <w:tcW w:w="2040" w:type="dxa"/>
            <w:noWrap w:val="0"/>
            <w:vAlign w:val="center"/>
          </w:tcPr>
          <w:p w14:paraId="2EAAAB89">
            <w:pPr>
              <w:spacing w:line="440" w:lineRule="exact"/>
              <w:jc w:val="center"/>
              <w:rPr>
                <w:rFonts w:hint="eastAsia" w:ascii="宋体" w:hAnsi="宋体" w:eastAsia="宋体" w:cs="宋体"/>
                <w:color w:val="auto"/>
                <w:highlight w:val="none"/>
              </w:rPr>
            </w:pPr>
          </w:p>
        </w:tc>
        <w:tc>
          <w:tcPr>
            <w:tcW w:w="2023" w:type="dxa"/>
            <w:noWrap w:val="0"/>
            <w:vAlign w:val="center"/>
          </w:tcPr>
          <w:p w14:paraId="7C3BE7F1">
            <w:pPr>
              <w:spacing w:line="440" w:lineRule="exact"/>
              <w:jc w:val="center"/>
              <w:rPr>
                <w:rFonts w:hint="eastAsia" w:ascii="宋体" w:hAnsi="宋体" w:eastAsia="宋体" w:cs="宋体"/>
                <w:color w:val="auto"/>
                <w:highlight w:val="none"/>
              </w:rPr>
            </w:pPr>
          </w:p>
        </w:tc>
        <w:tc>
          <w:tcPr>
            <w:tcW w:w="1800" w:type="dxa"/>
            <w:noWrap w:val="0"/>
            <w:vAlign w:val="center"/>
          </w:tcPr>
          <w:p w14:paraId="25DDA3EA">
            <w:pPr>
              <w:spacing w:line="440" w:lineRule="exact"/>
              <w:jc w:val="center"/>
              <w:rPr>
                <w:rFonts w:hint="eastAsia" w:ascii="宋体" w:hAnsi="宋体" w:eastAsia="宋体" w:cs="宋体"/>
                <w:color w:val="auto"/>
                <w:highlight w:val="none"/>
              </w:rPr>
            </w:pPr>
          </w:p>
        </w:tc>
      </w:tr>
      <w:tr w14:paraId="3C33E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14:paraId="1D2DF33A">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808" w:type="dxa"/>
            <w:noWrap w:val="0"/>
            <w:vAlign w:val="center"/>
          </w:tcPr>
          <w:p w14:paraId="0C45F40D">
            <w:pPr>
              <w:spacing w:line="440" w:lineRule="exact"/>
              <w:jc w:val="center"/>
              <w:rPr>
                <w:rFonts w:hint="eastAsia" w:ascii="宋体" w:hAnsi="宋体" w:eastAsia="宋体" w:cs="宋体"/>
                <w:color w:val="auto"/>
                <w:highlight w:val="none"/>
              </w:rPr>
            </w:pPr>
          </w:p>
        </w:tc>
        <w:tc>
          <w:tcPr>
            <w:tcW w:w="2040" w:type="dxa"/>
            <w:noWrap w:val="0"/>
            <w:vAlign w:val="center"/>
          </w:tcPr>
          <w:p w14:paraId="5CA7B1CB">
            <w:pPr>
              <w:spacing w:line="440" w:lineRule="exact"/>
              <w:jc w:val="center"/>
              <w:rPr>
                <w:rFonts w:hint="eastAsia" w:ascii="宋体" w:hAnsi="宋体" w:eastAsia="宋体" w:cs="宋体"/>
                <w:color w:val="auto"/>
                <w:highlight w:val="none"/>
              </w:rPr>
            </w:pPr>
          </w:p>
        </w:tc>
        <w:tc>
          <w:tcPr>
            <w:tcW w:w="2023" w:type="dxa"/>
            <w:noWrap w:val="0"/>
            <w:vAlign w:val="center"/>
          </w:tcPr>
          <w:p w14:paraId="34B3DB59">
            <w:pPr>
              <w:spacing w:line="440" w:lineRule="exact"/>
              <w:jc w:val="center"/>
              <w:rPr>
                <w:rFonts w:hint="eastAsia" w:ascii="宋体" w:hAnsi="宋体" w:eastAsia="宋体" w:cs="宋体"/>
                <w:color w:val="auto"/>
                <w:highlight w:val="none"/>
              </w:rPr>
            </w:pPr>
          </w:p>
        </w:tc>
        <w:tc>
          <w:tcPr>
            <w:tcW w:w="1800" w:type="dxa"/>
            <w:noWrap w:val="0"/>
            <w:vAlign w:val="center"/>
          </w:tcPr>
          <w:p w14:paraId="32FBA0DF">
            <w:pPr>
              <w:spacing w:line="440" w:lineRule="exact"/>
              <w:jc w:val="center"/>
              <w:rPr>
                <w:rFonts w:hint="eastAsia" w:ascii="宋体" w:hAnsi="宋体" w:eastAsia="宋体" w:cs="宋体"/>
                <w:color w:val="auto"/>
                <w:highlight w:val="none"/>
              </w:rPr>
            </w:pPr>
          </w:p>
        </w:tc>
      </w:tr>
      <w:tr w14:paraId="0FDD7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noWrap w:val="0"/>
            <w:vAlign w:val="center"/>
          </w:tcPr>
          <w:p w14:paraId="26ED00A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808" w:type="dxa"/>
            <w:noWrap w:val="0"/>
            <w:vAlign w:val="center"/>
          </w:tcPr>
          <w:p w14:paraId="74F8E828">
            <w:pPr>
              <w:spacing w:line="440" w:lineRule="exact"/>
              <w:jc w:val="center"/>
              <w:rPr>
                <w:rFonts w:hint="eastAsia" w:ascii="宋体" w:hAnsi="宋体" w:eastAsia="宋体" w:cs="宋体"/>
                <w:color w:val="auto"/>
                <w:highlight w:val="none"/>
              </w:rPr>
            </w:pPr>
          </w:p>
        </w:tc>
        <w:tc>
          <w:tcPr>
            <w:tcW w:w="2040" w:type="dxa"/>
            <w:noWrap w:val="0"/>
            <w:vAlign w:val="center"/>
          </w:tcPr>
          <w:p w14:paraId="43F9A05B">
            <w:pPr>
              <w:spacing w:line="440" w:lineRule="exact"/>
              <w:jc w:val="center"/>
              <w:rPr>
                <w:rFonts w:hint="eastAsia" w:ascii="宋体" w:hAnsi="宋体" w:eastAsia="宋体" w:cs="宋体"/>
                <w:color w:val="auto"/>
                <w:highlight w:val="none"/>
              </w:rPr>
            </w:pPr>
          </w:p>
        </w:tc>
        <w:tc>
          <w:tcPr>
            <w:tcW w:w="2023" w:type="dxa"/>
            <w:noWrap w:val="0"/>
            <w:vAlign w:val="center"/>
          </w:tcPr>
          <w:p w14:paraId="7F038FF8">
            <w:pPr>
              <w:spacing w:line="440" w:lineRule="exact"/>
              <w:jc w:val="center"/>
              <w:rPr>
                <w:rFonts w:hint="eastAsia" w:ascii="宋体" w:hAnsi="宋体" w:eastAsia="宋体" w:cs="宋体"/>
                <w:color w:val="auto"/>
                <w:highlight w:val="none"/>
              </w:rPr>
            </w:pPr>
          </w:p>
        </w:tc>
        <w:tc>
          <w:tcPr>
            <w:tcW w:w="1800" w:type="dxa"/>
            <w:noWrap w:val="0"/>
            <w:vAlign w:val="center"/>
          </w:tcPr>
          <w:p w14:paraId="37DE1AD0">
            <w:pPr>
              <w:spacing w:line="440" w:lineRule="exact"/>
              <w:jc w:val="center"/>
              <w:rPr>
                <w:rFonts w:hint="eastAsia" w:ascii="宋体" w:hAnsi="宋体" w:eastAsia="宋体" w:cs="宋体"/>
                <w:color w:val="auto"/>
                <w:highlight w:val="none"/>
              </w:rPr>
            </w:pPr>
          </w:p>
        </w:tc>
      </w:tr>
    </w:tbl>
    <w:p w14:paraId="04AC5196">
      <w:pPr>
        <w:spacing w:line="440" w:lineRule="exact"/>
        <w:ind w:left="437" w:leftChars="208" w:firstLine="2"/>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注：本页可续表。</w:t>
      </w:r>
    </w:p>
    <w:p w14:paraId="26466A4D">
      <w:pPr>
        <w:spacing w:line="440" w:lineRule="exact"/>
        <w:ind w:firstLine="403" w:firstLineChars="192"/>
        <w:rPr>
          <w:rFonts w:hint="eastAsia" w:ascii="宋体" w:hAnsi="宋体" w:eastAsia="宋体" w:cs="宋体"/>
          <w:color w:val="auto"/>
          <w:highlight w:val="none"/>
        </w:rPr>
      </w:pPr>
    </w:p>
    <w:p w14:paraId="4C623E45">
      <w:pPr>
        <w:pStyle w:val="3"/>
        <w:spacing w:before="0" w:after="0" w:line="440" w:lineRule="exact"/>
        <w:jc w:val="center"/>
        <w:rPr>
          <w:rFonts w:hint="eastAsia" w:ascii="宋体" w:hAnsi="宋体" w:eastAsia="宋体" w:cs="宋体"/>
          <w:b/>
          <w:bCs/>
          <w:color w:val="auto"/>
          <w:szCs w:val="28"/>
          <w:highlight w:val="none"/>
        </w:rPr>
      </w:pPr>
      <w:r>
        <w:rPr>
          <w:rFonts w:hint="eastAsia" w:ascii="宋体" w:hAnsi="宋体" w:eastAsia="宋体" w:cs="宋体"/>
          <w:color w:val="auto"/>
          <w:szCs w:val="28"/>
          <w:highlight w:val="none"/>
          <w:lang w:val="en-US" w:eastAsia="zh-CN"/>
        </w:rPr>
        <w:br w:type="page"/>
      </w:r>
      <w:bookmarkStart w:id="546" w:name="_Toc23025"/>
      <w:bookmarkStart w:id="547" w:name="_Toc12615"/>
      <w:r>
        <w:rPr>
          <w:rFonts w:hint="eastAsia" w:ascii="宋体" w:hAnsi="宋体" w:eastAsia="宋体" w:cs="宋体"/>
          <w:b/>
          <w:bCs/>
          <w:color w:val="auto"/>
          <w:szCs w:val="28"/>
          <w:highlight w:val="none"/>
          <w:lang w:val="en-US" w:eastAsia="zh-CN"/>
        </w:rPr>
        <w:t>五</w:t>
      </w:r>
      <w:r>
        <w:rPr>
          <w:rFonts w:hint="eastAsia" w:ascii="宋体" w:hAnsi="宋体" w:eastAsia="宋体" w:cs="宋体"/>
          <w:b/>
          <w:bCs/>
          <w:color w:val="auto"/>
          <w:szCs w:val="28"/>
          <w:highlight w:val="none"/>
        </w:rPr>
        <w:t xml:space="preserve"> </w:t>
      </w:r>
      <w:r>
        <w:rPr>
          <w:rFonts w:hint="eastAsia" w:ascii="宋体" w:hAnsi="宋体" w:eastAsia="宋体" w:cs="宋体"/>
          <w:b/>
          <w:bCs/>
          <w:color w:val="auto"/>
          <w:szCs w:val="28"/>
          <w:highlight w:val="none"/>
          <w:lang w:val="en-US" w:eastAsia="zh-CN"/>
        </w:rPr>
        <w:t>项目负责人</w:t>
      </w:r>
      <w:r>
        <w:rPr>
          <w:rFonts w:hint="eastAsia" w:ascii="宋体" w:hAnsi="宋体" w:eastAsia="宋体" w:cs="宋体"/>
          <w:b/>
          <w:bCs/>
          <w:color w:val="auto"/>
          <w:szCs w:val="28"/>
          <w:highlight w:val="none"/>
        </w:rPr>
        <w:t>业绩概况表</w:t>
      </w:r>
      <w:bookmarkEnd w:id="546"/>
      <w:bookmarkEnd w:id="547"/>
    </w:p>
    <w:p w14:paraId="41DCE54B">
      <w:pPr>
        <w:spacing w:line="440" w:lineRule="exact"/>
        <w:ind w:left="439" w:hanging="438" w:hangingChars="209"/>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14:paraId="7A5A6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1B03D21C">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5577" w:type="dxa"/>
            <w:noWrap w:val="0"/>
            <w:vAlign w:val="center"/>
          </w:tcPr>
          <w:p w14:paraId="635621A4">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5B869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39B8AD24">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5577" w:type="dxa"/>
            <w:noWrap w:val="0"/>
            <w:vAlign w:val="center"/>
          </w:tcPr>
          <w:p w14:paraId="33F1D7A1">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629F8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50AE5876">
            <w:pPr>
              <w:adjustRightInd w:val="0"/>
              <w:snapToGrid w:val="0"/>
              <w:spacing w:line="440" w:lineRule="exact"/>
              <w:ind w:left="42" w:hanging="42" w:hangingChars="20"/>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5577" w:type="dxa"/>
            <w:noWrap w:val="0"/>
            <w:vAlign w:val="center"/>
          </w:tcPr>
          <w:p w14:paraId="3C235775">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1528B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7BD9B152">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业主名称</w:t>
            </w:r>
          </w:p>
        </w:tc>
        <w:tc>
          <w:tcPr>
            <w:tcW w:w="5577" w:type="dxa"/>
            <w:noWrap w:val="0"/>
            <w:vAlign w:val="center"/>
          </w:tcPr>
          <w:p w14:paraId="607CFC15">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04D23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60861A98">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业主地址</w:t>
            </w:r>
          </w:p>
        </w:tc>
        <w:tc>
          <w:tcPr>
            <w:tcW w:w="5577" w:type="dxa"/>
            <w:noWrap w:val="0"/>
            <w:vAlign w:val="center"/>
          </w:tcPr>
          <w:p w14:paraId="1AA5AA73">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02AFB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1E7B4D1D">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业主电话</w:t>
            </w:r>
          </w:p>
        </w:tc>
        <w:tc>
          <w:tcPr>
            <w:tcW w:w="5577" w:type="dxa"/>
            <w:noWrap w:val="0"/>
            <w:vAlign w:val="center"/>
          </w:tcPr>
          <w:p w14:paraId="7053F756">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47DC0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6AD514EA">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合同金额</w:t>
            </w:r>
          </w:p>
        </w:tc>
        <w:tc>
          <w:tcPr>
            <w:tcW w:w="5577" w:type="dxa"/>
            <w:noWrap w:val="0"/>
            <w:vAlign w:val="center"/>
          </w:tcPr>
          <w:p w14:paraId="3AA5A83A">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3E708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58A2B062">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承担的工作内容</w:t>
            </w:r>
          </w:p>
        </w:tc>
        <w:tc>
          <w:tcPr>
            <w:tcW w:w="5577" w:type="dxa"/>
            <w:noWrap w:val="0"/>
            <w:vAlign w:val="center"/>
          </w:tcPr>
          <w:p w14:paraId="65124FE2">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021D8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250DE695">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5577" w:type="dxa"/>
            <w:noWrap w:val="0"/>
            <w:vAlign w:val="center"/>
          </w:tcPr>
          <w:p w14:paraId="3CC1E68D">
            <w:pPr>
              <w:adjustRightInd w:val="0"/>
              <w:snapToGrid w:val="0"/>
              <w:spacing w:line="440" w:lineRule="exact"/>
              <w:ind w:firstLine="420" w:firstLineChars="200"/>
              <w:jc w:val="center"/>
              <w:rPr>
                <w:rFonts w:hint="eastAsia" w:ascii="宋体" w:hAnsi="宋体" w:eastAsia="宋体" w:cs="宋体"/>
                <w:color w:val="auto"/>
                <w:highlight w:val="none"/>
              </w:rPr>
            </w:pPr>
          </w:p>
        </w:tc>
      </w:tr>
      <w:tr w14:paraId="7510B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noWrap w:val="0"/>
            <w:vAlign w:val="center"/>
          </w:tcPr>
          <w:p w14:paraId="5D3CC646">
            <w:pPr>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5577" w:type="dxa"/>
            <w:noWrap w:val="0"/>
            <w:vAlign w:val="center"/>
          </w:tcPr>
          <w:p w14:paraId="3769582E">
            <w:pPr>
              <w:adjustRightInd w:val="0"/>
              <w:snapToGrid w:val="0"/>
              <w:spacing w:line="440" w:lineRule="exact"/>
              <w:ind w:firstLine="420" w:firstLineChars="200"/>
              <w:jc w:val="center"/>
              <w:rPr>
                <w:rFonts w:hint="eastAsia" w:ascii="宋体" w:hAnsi="宋体" w:eastAsia="宋体" w:cs="宋体"/>
                <w:color w:val="auto"/>
                <w:highlight w:val="none"/>
              </w:rPr>
            </w:pPr>
          </w:p>
        </w:tc>
      </w:tr>
    </w:tbl>
    <w:p w14:paraId="0F345275">
      <w:pPr>
        <w:tabs>
          <w:tab w:val="left" w:pos="440"/>
        </w:tabs>
        <w:spacing w:line="440" w:lineRule="exact"/>
        <w:ind w:left="437" w:hanging="436" w:hangingChars="208"/>
        <w:rPr>
          <w:rFonts w:hint="eastAsia" w:ascii="宋体" w:hAnsi="宋体" w:eastAsia="宋体" w:cs="宋体"/>
          <w:color w:val="auto"/>
          <w:highlight w:val="none"/>
        </w:rPr>
      </w:pPr>
      <w:r>
        <w:rPr>
          <w:rFonts w:hint="eastAsia" w:ascii="宋体" w:hAnsi="宋体" w:eastAsia="宋体" w:cs="宋体"/>
          <w:color w:val="auto"/>
          <w:highlight w:val="none"/>
        </w:rPr>
        <w:t>注：每一个项目填一张表，本表后附业绩证明材料的复印件</w:t>
      </w:r>
      <w:r>
        <w:rPr>
          <w:rFonts w:hint="eastAsia" w:ascii="宋体" w:hAnsi="宋体" w:eastAsia="宋体" w:cs="宋体"/>
          <w:color w:val="auto"/>
          <w:highlight w:val="none"/>
          <w:lang w:val="en-US" w:eastAsia="zh-CN"/>
        </w:rPr>
        <w:t>或扫描件</w:t>
      </w:r>
      <w:r>
        <w:rPr>
          <w:rFonts w:hint="eastAsia" w:ascii="宋体" w:hAnsi="宋体" w:eastAsia="宋体" w:cs="宋体"/>
          <w:color w:val="auto"/>
          <w:highlight w:val="none"/>
        </w:rPr>
        <w:t>。</w:t>
      </w:r>
    </w:p>
    <w:p w14:paraId="2AD17BDB">
      <w:pPr>
        <w:spacing w:line="440" w:lineRule="exact"/>
        <w:ind w:left="439" w:hanging="438" w:hangingChars="209"/>
        <w:rPr>
          <w:rFonts w:hint="eastAsia" w:ascii="宋体" w:hAnsi="宋体" w:eastAsia="宋体" w:cs="宋体"/>
          <w:highlight w:val="none"/>
        </w:rPr>
      </w:pPr>
    </w:p>
    <w:p w14:paraId="531647E2">
      <w:pPr>
        <w:spacing w:line="440" w:lineRule="exact"/>
        <w:jc w:val="center"/>
        <w:rPr>
          <w:rFonts w:hint="eastAsia" w:ascii="宋体" w:hAnsi="宋体" w:eastAsia="宋体" w:cs="宋体"/>
          <w:b/>
          <w:sz w:val="36"/>
          <w:szCs w:val="36"/>
          <w:highlight w:val="none"/>
        </w:rPr>
      </w:pPr>
      <w:r>
        <w:rPr>
          <w:rFonts w:hint="eastAsia" w:ascii="宋体" w:hAnsi="宋体" w:eastAsia="宋体" w:cs="宋体"/>
          <w:b/>
          <w:bCs/>
          <w:kern w:val="0"/>
          <w:sz w:val="32"/>
          <w:szCs w:val="32"/>
          <w:highlight w:val="none"/>
          <w:lang w:val="en-US" w:eastAsia="zh-CN" w:bidi="ar-SA"/>
        </w:rPr>
        <w:br w:type="page"/>
      </w:r>
      <w:bookmarkEnd w:id="479"/>
    </w:p>
    <w:p w14:paraId="1DC3F39A">
      <w:pPr>
        <w:spacing w:line="440" w:lineRule="exact"/>
        <w:jc w:val="center"/>
        <w:rPr>
          <w:rFonts w:hint="eastAsia" w:ascii="宋体" w:hAnsi="宋体" w:eastAsia="宋体" w:cs="宋体"/>
          <w:b/>
          <w:sz w:val="36"/>
          <w:szCs w:val="36"/>
          <w:highlight w:val="none"/>
        </w:rPr>
      </w:pPr>
    </w:p>
    <w:p w14:paraId="16412087">
      <w:pPr>
        <w:jc w:val="center"/>
        <w:rPr>
          <w:rFonts w:hint="eastAsia" w:ascii="宋体" w:hAnsi="宋体" w:eastAsia="宋体" w:cs="宋体"/>
          <w:b/>
          <w:sz w:val="36"/>
          <w:szCs w:val="36"/>
          <w:highlight w:val="none"/>
          <w:lang w:eastAsia="zh-CN"/>
        </w:rPr>
      </w:pPr>
      <w:bookmarkStart w:id="548" w:name="_Toc2971"/>
      <w:bookmarkStart w:id="549" w:name="_Toc17180"/>
      <w:bookmarkStart w:id="550" w:name="_Toc7453"/>
      <w:bookmarkStart w:id="551" w:name="_Toc3333"/>
    </w:p>
    <w:p w14:paraId="4E641459">
      <w:pPr>
        <w:jc w:val="center"/>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南通轨道1号线公安通信系统维保项目</w:t>
      </w:r>
    </w:p>
    <w:p w14:paraId="19F0B046">
      <w:pPr>
        <w:bidi w:val="0"/>
        <w:rPr>
          <w:rFonts w:hint="eastAsia" w:ascii="宋体" w:hAnsi="宋体" w:eastAsia="宋体" w:cs="宋体"/>
          <w:highlight w:val="none"/>
        </w:rPr>
      </w:pPr>
    </w:p>
    <w:p w14:paraId="65D5044A">
      <w:pPr>
        <w:spacing w:line="440" w:lineRule="exact"/>
        <w:jc w:val="center"/>
        <w:outlineLvl w:val="0"/>
        <w:rPr>
          <w:rFonts w:hint="eastAsia" w:ascii="宋体" w:hAnsi="宋体" w:eastAsia="宋体" w:cs="宋体"/>
          <w:b/>
          <w:bCs/>
          <w:sz w:val="36"/>
          <w:szCs w:val="36"/>
          <w:highlight w:val="none"/>
        </w:rPr>
      </w:pPr>
      <w:bookmarkStart w:id="552" w:name="_Toc25914"/>
      <w:bookmarkStart w:id="553" w:name="_Toc21013"/>
      <w:r>
        <w:rPr>
          <w:rFonts w:hint="eastAsia" w:ascii="宋体" w:hAnsi="宋体" w:eastAsia="宋体" w:cs="宋体"/>
          <w:b/>
          <w:bCs/>
          <w:sz w:val="36"/>
          <w:szCs w:val="36"/>
          <w:highlight w:val="none"/>
        </w:rPr>
        <w:t>（技术</w:t>
      </w:r>
      <w:r>
        <w:rPr>
          <w:rFonts w:hint="eastAsia" w:ascii="宋体" w:hAnsi="宋体" w:eastAsia="宋体" w:cs="宋体"/>
          <w:b/>
          <w:bCs/>
          <w:sz w:val="36"/>
          <w:szCs w:val="36"/>
          <w:highlight w:val="none"/>
          <w:lang w:eastAsia="zh-CN"/>
        </w:rPr>
        <w:t>参选文件</w:t>
      </w:r>
      <w:r>
        <w:rPr>
          <w:rFonts w:hint="eastAsia" w:ascii="宋体" w:hAnsi="宋体" w:eastAsia="宋体" w:cs="宋体"/>
          <w:b/>
          <w:bCs/>
          <w:sz w:val="36"/>
          <w:szCs w:val="36"/>
          <w:highlight w:val="none"/>
        </w:rPr>
        <w:t>）</w:t>
      </w:r>
      <w:bookmarkEnd w:id="548"/>
      <w:bookmarkEnd w:id="549"/>
      <w:bookmarkEnd w:id="550"/>
      <w:bookmarkEnd w:id="551"/>
      <w:bookmarkEnd w:id="552"/>
      <w:bookmarkEnd w:id="553"/>
    </w:p>
    <w:p w14:paraId="069B6B85">
      <w:pPr>
        <w:spacing w:line="440" w:lineRule="exact"/>
        <w:rPr>
          <w:rFonts w:hint="eastAsia" w:ascii="宋体" w:hAnsi="宋体" w:eastAsia="宋体" w:cs="宋体"/>
          <w:sz w:val="32"/>
          <w:highlight w:val="none"/>
        </w:rPr>
      </w:pPr>
    </w:p>
    <w:p w14:paraId="35AB4445">
      <w:pPr>
        <w:spacing w:line="440" w:lineRule="exact"/>
        <w:rPr>
          <w:rFonts w:hint="eastAsia" w:ascii="宋体" w:hAnsi="宋体" w:eastAsia="宋体" w:cs="宋体"/>
          <w:sz w:val="32"/>
          <w:highlight w:val="none"/>
        </w:rPr>
      </w:pPr>
    </w:p>
    <w:p w14:paraId="40D207E7">
      <w:pPr>
        <w:spacing w:line="440" w:lineRule="exact"/>
        <w:rPr>
          <w:rFonts w:hint="eastAsia" w:ascii="宋体" w:hAnsi="宋体" w:eastAsia="宋体" w:cs="宋体"/>
          <w:sz w:val="32"/>
          <w:highlight w:val="none"/>
        </w:rPr>
      </w:pPr>
    </w:p>
    <w:p w14:paraId="7CC47F43">
      <w:pPr>
        <w:spacing w:line="440" w:lineRule="exact"/>
        <w:rPr>
          <w:rFonts w:hint="eastAsia" w:ascii="宋体" w:hAnsi="宋体" w:eastAsia="宋体" w:cs="宋体"/>
          <w:sz w:val="32"/>
          <w:highlight w:val="none"/>
        </w:rPr>
      </w:pPr>
    </w:p>
    <w:p w14:paraId="4D70E8C3">
      <w:pPr>
        <w:spacing w:line="440" w:lineRule="exact"/>
        <w:rPr>
          <w:rFonts w:hint="eastAsia" w:ascii="宋体" w:hAnsi="宋体" w:eastAsia="宋体" w:cs="宋体"/>
          <w:sz w:val="32"/>
          <w:highlight w:val="none"/>
        </w:rPr>
      </w:pPr>
    </w:p>
    <w:p w14:paraId="6549FDC6">
      <w:pPr>
        <w:spacing w:line="440" w:lineRule="exact"/>
        <w:rPr>
          <w:rFonts w:hint="eastAsia" w:ascii="宋体" w:hAnsi="宋体" w:eastAsia="宋体" w:cs="宋体"/>
          <w:sz w:val="32"/>
          <w:highlight w:val="none"/>
        </w:rPr>
      </w:pPr>
    </w:p>
    <w:p w14:paraId="53897104">
      <w:pPr>
        <w:spacing w:line="440" w:lineRule="exact"/>
        <w:rPr>
          <w:rFonts w:hint="eastAsia" w:ascii="宋体" w:hAnsi="宋体" w:eastAsia="宋体" w:cs="宋体"/>
          <w:highlight w:val="none"/>
        </w:rPr>
      </w:pPr>
    </w:p>
    <w:p w14:paraId="2654B7A6">
      <w:pPr>
        <w:spacing w:line="440" w:lineRule="exact"/>
        <w:ind w:firstLine="1687" w:firstLineChars="600"/>
        <w:rPr>
          <w:rFonts w:hint="eastAsia" w:ascii="宋体" w:hAnsi="宋体" w:eastAsia="宋体" w:cs="宋体"/>
          <w:b/>
          <w:sz w:val="28"/>
          <w:szCs w:val="28"/>
          <w:highlight w:val="none"/>
        </w:rPr>
      </w:pPr>
    </w:p>
    <w:p w14:paraId="2258A0F6">
      <w:pPr>
        <w:ind w:firstLine="1585" w:firstLineChars="564"/>
        <w:rPr>
          <w:rFonts w:hint="eastAsia" w:ascii="宋体" w:hAnsi="宋体" w:eastAsia="宋体" w:cs="宋体"/>
          <w:b/>
          <w:bCs/>
          <w:sz w:val="28"/>
          <w:szCs w:val="28"/>
          <w:highlight w:val="none"/>
        </w:rPr>
      </w:pPr>
    </w:p>
    <w:p w14:paraId="25ED95A9">
      <w:pPr>
        <w:ind w:firstLine="1585" w:firstLineChars="564"/>
        <w:rPr>
          <w:rFonts w:hint="eastAsia" w:ascii="宋体" w:hAnsi="宋体" w:eastAsia="宋体" w:cs="宋体"/>
          <w:b/>
          <w:bCs/>
          <w:sz w:val="28"/>
          <w:szCs w:val="28"/>
          <w:highlight w:val="none"/>
        </w:rPr>
      </w:pPr>
    </w:p>
    <w:p w14:paraId="5228DD67">
      <w:pPr>
        <w:ind w:firstLine="1585" w:firstLineChars="564"/>
        <w:rPr>
          <w:rFonts w:hint="eastAsia" w:ascii="宋体" w:hAnsi="宋体" w:eastAsia="宋体" w:cs="宋体"/>
          <w:b/>
          <w:bCs/>
          <w:sz w:val="28"/>
          <w:szCs w:val="28"/>
          <w:highlight w:val="none"/>
        </w:rPr>
      </w:pPr>
    </w:p>
    <w:p w14:paraId="3A56348E">
      <w:pPr>
        <w:ind w:firstLine="1585" w:firstLineChars="564"/>
        <w:rPr>
          <w:rFonts w:hint="eastAsia" w:ascii="宋体" w:hAnsi="宋体" w:eastAsia="宋体" w:cs="宋体"/>
          <w:b/>
          <w:bCs/>
          <w:sz w:val="28"/>
          <w:szCs w:val="28"/>
          <w:highlight w:val="none"/>
        </w:rPr>
      </w:pPr>
    </w:p>
    <w:p w14:paraId="04ACCB64">
      <w:pPr>
        <w:ind w:firstLine="1585" w:firstLineChars="564"/>
        <w:rPr>
          <w:rFonts w:hint="eastAsia" w:ascii="宋体" w:hAnsi="宋体" w:eastAsia="宋体" w:cs="宋体"/>
          <w:b/>
          <w:bCs/>
          <w:sz w:val="28"/>
          <w:szCs w:val="28"/>
          <w:highlight w:val="none"/>
        </w:rPr>
      </w:pPr>
    </w:p>
    <w:p w14:paraId="45973F17">
      <w:pPr>
        <w:ind w:firstLine="1585" w:firstLineChars="564"/>
        <w:rPr>
          <w:rFonts w:hint="eastAsia" w:ascii="宋体" w:hAnsi="宋体" w:eastAsia="宋体" w:cs="宋体"/>
          <w:b/>
          <w:bCs/>
          <w:sz w:val="28"/>
          <w:szCs w:val="28"/>
          <w:highlight w:val="none"/>
        </w:rPr>
      </w:pPr>
    </w:p>
    <w:p w14:paraId="1E2D21DD">
      <w:pPr>
        <w:jc w:val="center"/>
        <w:rPr>
          <w:rFonts w:hint="eastAsia" w:ascii="宋体" w:hAnsi="宋体" w:eastAsia="宋体" w:cs="宋体"/>
          <w:b/>
          <w:bCs/>
          <w:sz w:val="28"/>
          <w:szCs w:val="28"/>
          <w:highlight w:val="none"/>
          <w:lang w:val="en-US" w:eastAsia="zh-CN"/>
        </w:rPr>
      </w:pPr>
    </w:p>
    <w:p w14:paraId="6D98BAF3">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参</w:t>
      </w:r>
      <w:r>
        <w:rPr>
          <w:rFonts w:hint="eastAsia" w:ascii="宋体" w:hAnsi="宋体" w:eastAsia="宋体" w:cs="宋体"/>
          <w:b/>
          <w:bCs/>
          <w:sz w:val="28"/>
          <w:szCs w:val="28"/>
          <w:highlight w:val="none"/>
        </w:rPr>
        <w:t xml:space="preserve">  </w:t>
      </w:r>
      <w:r>
        <w:rPr>
          <w:rFonts w:hint="eastAsia" w:ascii="宋体" w:hAnsi="宋体" w:eastAsia="宋体" w:cs="宋体"/>
          <w:b/>
          <w:bCs/>
          <w:sz w:val="28"/>
          <w:szCs w:val="28"/>
          <w:highlight w:val="none"/>
          <w:lang w:val="en-US" w:eastAsia="zh-CN"/>
        </w:rPr>
        <w:t>选</w:t>
      </w:r>
      <w:r>
        <w:rPr>
          <w:rFonts w:hint="eastAsia" w:ascii="宋体" w:hAnsi="宋体" w:eastAsia="宋体" w:cs="宋体"/>
          <w:b/>
          <w:bCs/>
          <w:sz w:val="28"/>
          <w:szCs w:val="28"/>
          <w:highlight w:val="none"/>
        </w:rPr>
        <w:t xml:space="preserve">  人：</w:t>
      </w:r>
      <w:r>
        <w:rPr>
          <w:rFonts w:hint="eastAsia" w:ascii="宋体" w:hAnsi="宋体" w:eastAsia="宋体" w:cs="宋体"/>
          <w:b/>
          <w:bCs/>
          <w:sz w:val="28"/>
          <w:szCs w:val="28"/>
          <w:highlight w:val="none"/>
          <w:u w:val="single"/>
        </w:rPr>
        <w:t xml:space="preserve">         （全称）（盖章）</w:t>
      </w:r>
    </w:p>
    <w:p w14:paraId="4A651655">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w:t>
      </w:r>
      <w:r>
        <w:rPr>
          <w:rFonts w:hint="eastAsia" w:ascii="宋体" w:hAnsi="宋体" w:eastAsia="宋体" w:cs="宋体"/>
          <w:b/>
          <w:bCs/>
          <w:sz w:val="28"/>
          <w:szCs w:val="28"/>
          <w:highlight w:val="none"/>
          <w:u w:val="single"/>
        </w:rPr>
        <w:t xml:space="preserve">           （签字或盖章）</w:t>
      </w:r>
    </w:p>
    <w:p w14:paraId="7D517449">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时      间：       年      月      日</w:t>
      </w:r>
    </w:p>
    <w:p w14:paraId="464ECF4B">
      <w:pPr>
        <w:spacing w:line="440" w:lineRule="exact"/>
        <w:ind w:firstLine="1928" w:firstLineChars="600"/>
        <w:jc w:val="center"/>
        <w:rPr>
          <w:rFonts w:hint="eastAsia" w:ascii="宋体" w:hAnsi="宋体" w:eastAsia="宋体" w:cs="宋体"/>
          <w:b/>
          <w:bCs/>
          <w:sz w:val="32"/>
          <w:szCs w:val="32"/>
          <w:highlight w:val="none"/>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pPr>
    </w:p>
    <w:p w14:paraId="03635B31">
      <w:pPr>
        <w:spacing w:line="440" w:lineRule="exact"/>
        <w:rPr>
          <w:rFonts w:hint="eastAsia" w:ascii="宋体" w:hAnsi="宋体" w:eastAsia="宋体" w:cs="宋体"/>
          <w:highlight w:val="none"/>
        </w:rPr>
      </w:pPr>
      <w:r>
        <w:rPr>
          <w:rFonts w:hint="eastAsia" w:ascii="宋体" w:hAnsi="宋体" w:eastAsia="宋体" w:cs="宋体"/>
          <w:highlight w:val="none"/>
        </w:rPr>
        <w:t>技术</w:t>
      </w:r>
      <w:r>
        <w:rPr>
          <w:rFonts w:hint="eastAsia" w:ascii="宋体" w:hAnsi="宋体" w:eastAsia="宋体" w:cs="宋体"/>
          <w:highlight w:val="none"/>
          <w:lang w:eastAsia="zh-CN"/>
        </w:rPr>
        <w:t>参选文件</w:t>
      </w:r>
      <w:r>
        <w:rPr>
          <w:rFonts w:hint="eastAsia" w:ascii="宋体" w:hAnsi="宋体" w:eastAsia="宋体" w:cs="宋体"/>
          <w:highlight w:val="none"/>
        </w:rPr>
        <w:t>无规定排版格式，由</w:t>
      </w:r>
      <w:r>
        <w:rPr>
          <w:rFonts w:hint="eastAsia" w:ascii="宋体" w:hAnsi="宋体" w:eastAsia="宋体" w:cs="宋体"/>
          <w:highlight w:val="none"/>
          <w:lang w:eastAsia="zh-CN"/>
        </w:rPr>
        <w:t>参选人</w:t>
      </w:r>
      <w:r>
        <w:rPr>
          <w:rFonts w:hint="eastAsia" w:ascii="宋体" w:hAnsi="宋体" w:eastAsia="宋体" w:cs="宋体"/>
          <w:highlight w:val="none"/>
        </w:rPr>
        <w:t>自拟，但相关制作要求按</w:t>
      </w:r>
      <w:r>
        <w:rPr>
          <w:rFonts w:hint="eastAsia" w:ascii="宋体" w:hAnsi="宋体" w:eastAsia="宋体" w:cs="宋体"/>
          <w:highlight w:val="none"/>
          <w:lang w:eastAsia="zh-CN"/>
        </w:rPr>
        <w:t>比选文件</w:t>
      </w:r>
      <w:r>
        <w:rPr>
          <w:rFonts w:hint="eastAsia" w:ascii="宋体" w:hAnsi="宋体" w:eastAsia="宋体" w:cs="宋体"/>
          <w:highlight w:val="none"/>
        </w:rPr>
        <w:t>具体条款执行。</w:t>
      </w:r>
    </w:p>
    <w:p w14:paraId="34551ABD">
      <w:pPr>
        <w:spacing w:line="440" w:lineRule="exact"/>
        <w:rPr>
          <w:rFonts w:hint="eastAsia" w:ascii="宋体" w:hAnsi="宋体" w:eastAsia="宋体" w:cs="宋体"/>
          <w:highlight w:val="none"/>
        </w:rPr>
        <w:sectPr>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pPr>
      <w:r>
        <w:rPr>
          <w:rFonts w:hint="eastAsia" w:ascii="宋体" w:hAnsi="宋体" w:eastAsia="宋体" w:cs="宋体"/>
          <w:b/>
          <w:bCs/>
          <w:sz w:val="24"/>
          <w:szCs w:val="24"/>
          <w:highlight w:val="none"/>
          <w:lang w:val="en-US" w:eastAsia="zh-CN"/>
        </w:rPr>
        <w:t>技术参选文件总页码（不包括封面、封底、目录）须控制在100页（含）内，双面打印。若不按此要求编制，评标委员会可在技术部分酌情扣分。</w:t>
      </w:r>
    </w:p>
    <w:p w14:paraId="4F4502FA">
      <w:pPr>
        <w:spacing w:line="440" w:lineRule="exact"/>
        <w:jc w:val="center"/>
        <w:rPr>
          <w:rFonts w:hint="eastAsia" w:ascii="宋体" w:hAnsi="宋体" w:eastAsia="宋体" w:cs="宋体"/>
          <w:b/>
          <w:sz w:val="36"/>
          <w:szCs w:val="36"/>
          <w:highlight w:val="none"/>
        </w:rPr>
      </w:pPr>
      <w:bookmarkStart w:id="554" w:name="_Toc3277"/>
      <w:bookmarkStart w:id="555" w:name="_Toc27313"/>
      <w:bookmarkStart w:id="556" w:name="_Toc1013"/>
      <w:bookmarkStart w:id="557" w:name="_Toc12471"/>
      <w:bookmarkStart w:id="558" w:name="_Toc4072"/>
      <w:bookmarkStart w:id="559" w:name="_Toc13787"/>
      <w:bookmarkStart w:id="560" w:name="_Toc14282"/>
      <w:bookmarkStart w:id="561" w:name="_Toc25174"/>
      <w:bookmarkStart w:id="562" w:name="_Toc22240"/>
    </w:p>
    <w:p w14:paraId="76BC9FB3">
      <w:pPr>
        <w:spacing w:line="440" w:lineRule="exact"/>
        <w:jc w:val="center"/>
        <w:rPr>
          <w:rFonts w:hint="eastAsia" w:ascii="宋体" w:hAnsi="宋体" w:eastAsia="宋体" w:cs="宋体"/>
          <w:b/>
          <w:sz w:val="36"/>
          <w:szCs w:val="36"/>
          <w:highlight w:val="none"/>
        </w:rPr>
      </w:pPr>
    </w:p>
    <w:p w14:paraId="706FDDFF">
      <w:pPr>
        <w:jc w:val="center"/>
        <w:rPr>
          <w:rFonts w:hint="eastAsia" w:ascii="宋体" w:hAnsi="宋体" w:eastAsia="宋体" w:cs="宋体"/>
          <w:b/>
          <w:sz w:val="36"/>
          <w:szCs w:val="36"/>
          <w:highlight w:val="none"/>
          <w:lang w:eastAsia="zh-CN"/>
        </w:rPr>
      </w:pPr>
      <w:bookmarkStart w:id="563" w:name="_Toc6017"/>
      <w:bookmarkStart w:id="564" w:name="_Toc18508"/>
      <w:bookmarkStart w:id="565" w:name="_Toc16886"/>
      <w:bookmarkStart w:id="566" w:name="_Toc23148"/>
      <w:r>
        <w:rPr>
          <w:rFonts w:hint="eastAsia" w:ascii="宋体" w:hAnsi="宋体" w:eastAsia="宋体" w:cs="宋体"/>
          <w:b/>
          <w:sz w:val="36"/>
          <w:szCs w:val="36"/>
          <w:highlight w:val="none"/>
          <w:lang w:eastAsia="zh-CN"/>
        </w:rPr>
        <w:t>南通轨道1号线公安通信系统维保项目</w:t>
      </w:r>
    </w:p>
    <w:p w14:paraId="48926D6F">
      <w:pPr>
        <w:bidi w:val="0"/>
        <w:rPr>
          <w:rFonts w:hint="eastAsia" w:ascii="宋体" w:hAnsi="宋体" w:eastAsia="宋体" w:cs="宋体"/>
          <w:highlight w:val="none"/>
        </w:rPr>
      </w:pPr>
    </w:p>
    <w:p w14:paraId="576A186A">
      <w:pPr>
        <w:spacing w:line="440" w:lineRule="exact"/>
        <w:jc w:val="center"/>
        <w:outlineLvl w:val="0"/>
        <w:rPr>
          <w:rFonts w:hint="eastAsia" w:ascii="宋体" w:hAnsi="宋体" w:eastAsia="宋体" w:cs="宋体"/>
          <w:b/>
          <w:bCs/>
          <w:sz w:val="36"/>
          <w:szCs w:val="36"/>
          <w:highlight w:val="none"/>
        </w:rPr>
      </w:pPr>
      <w:bookmarkStart w:id="567" w:name="_Toc2504"/>
      <w:bookmarkStart w:id="568" w:name="_Toc31836"/>
      <w:r>
        <w:rPr>
          <w:rFonts w:hint="eastAsia" w:ascii="宋体" w:hAnsi="宋体" w:eastAsia="宋体" w:cs="宋体"/>
          <w:b/>
          <w:bCs/>
          <w:sz w:val="36"/>
          <w:szCs w:val="36"/>
          <w:highlight w:val="none"/>
        </w:rPr>
        <w:t>（报价</w:t>
      </w:r>
      <w:r>
        <w:rPr>
          <w:rFonts w:hint="eastAsia" w:ascii="宋体" w:hAnsi="宋体" w:eastAsia="宋体" w:cs="宋体"/>
          <w:b/>
          <w:bCs/>
          <w:sz w:val="36"/>
          <w:szCs w:val="36"/>
          <w:highlight w:val="none"/>
          <w:lang w:eastAsia="zh-CN"/>
        </w:rPr>
        <w:t>参选文件</w:t>
      </w:r>
      <w:r>
        <w:rPr>
          <w:rFonts w:hint="eastAsia" w:ascii="宋体" w:hAnsi="宋体" w:eastAsia="宋体" w:cs="宋体"/>
          <w:b/>
          <w:bCs/>
          <w:sz w:val="36"/>
          <w:szCs w:val="36"/>
          <w:highlight w:val="none"/>
        </w:rPr>
        <w:t>）</w:t>
      </w:r>
      <w:bookmarkEnd w:id="563"/>
      <w:bookmarkEnd w:id="564"/>
      <w:bookmarkEnd w:id="565"/>
      <w:bookmarkEnd w:id="566"/>
      <w:bookmarkEnd w:id="567"/>
      <w:bookmarkEnd w:id="568"/>
    </w:p>
    <w:p w14:paraId="60EF9FC4">
      <w:pPr>
        <w:spacing w:line="440" w:lineRule="exact"/>
        <w:rPr>
          <w:rFonts w:hint="eastAsia" w:ascii="宋体" w:hAnsi="宋体" w:eastAsia="宋体" w:cs="宋体"/>
          <w:sz w:val="32"/>
          <w:highlight w:val="none"/>
        </w:rPr>
      </w:pPr>
    </w:p>
    <w:p w14:paraId="436A2361">
      <w:pPr>
        <w:spacing w:line="440" w:lineRule="exact"/>
        <w:rPr>
          <w:rFonts w:hint="eastAsia" w:ascii="宋体" w:hAnsi="宋体" w:eastAsia="宋体" w:cs="宋体"/>
          <w:sz w:val="32"/>
          <w:highlight w:val="none"/>
        </w:rPr>
      </w:pPr>
    </w:p>
    <w:p w14:paraId="3CB4ABDD">
      <w:pPr>
        <w:spacing w:line="440" w:lineRule="exact"/>
        <w:rPr>
          <w:rFonts w:hint="eastAsia" w:ascii="宋体" w:hAnsi="宋体" w:eastAsia="宋体" w:cs="宋体"/>
          <w:sz w:val="32"/>
          <w:highlight w:val="none"/>
        </w:rPr>
      </w:pPr>
    </w:p>
    <w:p w14:paraId="22108B9E">
      <w:pPr>
        <w:spacing w:line="440" w:lineRule="exact"/>
        <w:rPr>
          <w:rFonts w:hint="eastAsia" w:ascii="宋体" w:hAnsi="宋体" w:eastAsia="宋体" w:cs="宋体"/>
          <w:sz w:val="32"/>
          <w:highlight w:val="none"/>
        </w:rPr>
      </w:pPr>
    </w:p>
    <w:p w14:paraId="5885A639">
      <w:pPr>
        <w:spacing w:line="440" w:lineRule="exact"/>
        <w:rPr>
          <w:rFonts w:hint="eastAsia" w:ascii="宋体" w:hAnsi="宋体" w:eastAsia="宋体" w:cs="宋体"/>
          <w:sz w:val="32"/>
          <w:highlight w:val="none"/>
        </w:rPr>
      </w:pPr>
    </w:p>
    <w:p w14:paraId="7EAC373F">
      <w:pPr>
        <w:spacing w:line="440" w:lineRule="exact"/>
        <w:rPr>
          <w:rFonts w:hint="eastAsia" w:ascii="宋体" w:hAnsi="宋体" w:eastAsia="宋体" w:cs="宋体"/>
          <w:sz w:val="32"/>
          <w:highlight w:val="none"/>
        </w:rPr>
      </w:pPr>
    </w:p>
    <w:p w14:paraId="0459ECC2">
      <w:pPr>
        <w:spacing w:line="440" w:lineRule="exact"/>
        <w:rPr>
          <w:rFonts w:hint="eastAsia" w:ascii="宋体" w:hAnsi="宋体" w:eastAsia="宋体" w:cs="宋体"/>
          <w:highlight w:val="none"/>
        </w:rPr>
      </w:pPr>
    </w:p>
    <w:p w14:paraId="66232C39">
      <w:pPr>
        <w:spacing w:line="440" w:lineRule="exact"/>
        <w:ind w:firstLine="1687" w:firstLineChars="600"/>
        <w:rPr>
          <w:rFonts w:hint="eastAsia" w:ascii="宋体" w:hAnsi="宋体" w:eastAsia="宋体" w:cs="宋体"/>
          <w:b/>
          <w:sz w:val="28"/>
          <w:szCs w:val="28"/>
          <w:highlight w:val="none"/>
        </w:rPr>
      </w:pPr>
    </w:p>
    <w:p w14:paraId="1800344E">
      <w:pPr>
        <w:ind w:firstLine="1585" w:firstLineChars="564"/>
        <w:rPr>
          <w:rFonts w:hint="eastAsia" w:ascii="宋体" w:hAnsi="宋体" w:eastAsia="宋体" w:cs="宋体"/>
          <w:b/>
          <w:bCs/>
          <w:sz w:val="28"/>
          <w:szCs w:val="28"/>
          <w:highlight w:val="none"/>
        </w:rPr>
      </w:pPr>
      <w:bookmarkStart w:id="569" w:name="_Toc2344"/>
    </w:p>
    <w:p w14:paraId="65DE1EBD">
      <w:pPr>
        <w:ind w:firstLine="1585" w:firstLineChars="564"/>
        <w:rPr>
          <w:rFonts w:hint="eastAsia" w:ascii="宋体" w:hAnsi="宋体" w:eastAsia="宋体" w:cs="宋体"/>
          <w:b/>
          <w:bCs/>
          <w:sz w:val="28"/>
          <w:szCs w:val="28"/>
          <w:highlight w:val="none"/>
        </w:rPr>
      </w:pPr>
    </w:p>
    <w:p w14:paraId="40BCC68D">
      <w:pPr>
        <w:ind w:firstLine="1585" w:firstLineChars="564"/>
        <w:rPr>
          <w:rFonts w:hint="eastAsia" w:ascii="宋体" w:hAnsi="宋体" w:eastAsia="宋体" w:cs="宋体"/>
          <w:b/>
          <w:bCs/>
          <w:sz w:val="28"/>
          <w:szCs w:val="28"/>
          <w:highlight w:val="none"/>
        </w:rPr>
      </w:pPr>
    </w:p>
    <w:p w14:paraId="7347E058">
      <w:pPr>
        <w:ind w:firstLine="1585" w:firstLineChars="564"/>
        <w:rPr>
          <w:rFonts w:hint="eastAsia" w:ascii="宋体" w:hAnsi="宋体" w:eastAsia="宋体" w:cs="宋体"/>
          <w:b/>
          <w:bCs/>
          <w:sz w:val="28"/>
          <w:szCs w:val="28"/>
          <w:highlight w:val="none"/>
        </w:rPr>
      </w:pPr>
    </w:p>
    <w:p w14:paraId="505AA6C1">
      <w:pPr>
        <w:ind w:firstLine="1585" w:firstLineChars="564"/>
        <w:rPr>
          <w:rFonts w:hint="eastAsia" w:ascii="宋体" w:hAnsi="宋体" w:eastAsia="宋体" w:cs="宋体"/>
          <w:b/>
          <w:bCs/>
          <w:sz w:val="28"/>
          <w:szCs w:val="28"/>
          <w:highlight w:val="none"/>
        </w:rPr>
      </w:pPr>
    </w:p>
    <w:p w14:paraId="1E837402">
      <w:pPr>
        <w:jc w:val="center"/>
        <w:rPr>
          <w:rFonts w:hint="eastAsia" w:ascii="宋体" w:hAnsi="宋体" w:eastAsia="宋体" w:cs="宋体"/>
          <w:b/>
          <w:bCs/>
          <w:sz w:val="28"/>
          <w:szCs w:val="28"/>
          <w:highlight w:val="none"/>
          <w:lang w:val="en-US" w:eastAsia="zh-CN"/>
        </w:rPr>
      </w:pPr>
    </w:p>
    <w:p w14:paraId="718DB05A">
      <w:pPr>
        <w:jc w:val="center"/>
        <w:rPr>
          <w:rFonts w:hint="eastAsia" w:ascii="宋体" w:hAnsi="宋体" w:eastAsia="宋体" w:cs="宋体"/>
          <w:b/>
          <w:bCs/>
          <w:sz w:val="28"/>
          <w:szCs w:val="28"/>
          <w:highlight w:val="none"/>
          <w:lang w:val="en-US" w:eastAsia="zh-CN"/>
        </w:rPr>
      </w:pPr>
    </w:p>
    <w:p w14:paraId="507E5DD9">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参</w:t>
      </w:r>
      <w:r>
        <w:rPr>
          <w:rFonts w:hint="eastAsia" w:ascii="宋体" w:hAnsi="宋体" w:eastAsia="宋体" w:cs="宋体"/>
          <w:b/>
          <w:bCs/>
          <w:sz w:val="28"/>
          <w:szCs w:val="28"/>
          <w:highlight w:val="none"/>
        </w:rPr>
        <w:t xml:space="preserve">  </w:t>
      </w:r>
      <w:r>
        <w:rPr>
          <w:rFonts w:hint="eastAsia" w:ascii="宋体" w:hAnsi="宋体" w:eastAsia="宋体" w:cs="宋体"/>
          <w:b/>
          <w:bCs/>
          <w:sz w:val="28"/>
          <w:szCs w:val="28"/>
          <w:highlight w:val="none"/>
          <w:lang w:val="en-US" w:eastAsia="zh-CN"/>
        </w:rPr>
        <w:t>选</w:t>
      </w:r>
      <w:r>
        <w:rPr>
          <w:rFonts w:hint="eastAsia" w:ascii="宋体" w:hAnsi="宋体" w:eastAsia="宋体" w:cs="宋体"/>
          <w:b/>
          <w:bCs/>
          <w:sz w:val="28"/>
          <w:szCs w:val="28"/>
          <w:highlight w:val="none"/>
        </w:rPr>
        <w:t xml:space="preserve">  人：</w:t>
      </w:r>
      <w:r>
        <w:rPr>
          <w:rFonts w:hint="eastAsia" w:ascii="宋体" w:hAnsi="宋体" w:eastAsia="宋体" w:cs="宋体"/>
          <w:b/>
          <w:bCs/>
          <w:sz w:val="28"/>
          <w:szCs w:val="28"/>
          <w:highlight w:val="none"/>
          <w:u w:val="single"/>
        </w:rPr>
        <w:t xml:space="preserve">         （全称）（盖章）</w:t>
      </w:r>
    </w:p>
    <w:p w14:paraId="30190C05">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w:t>
      </w:r>
      <w:r>
        <w:rPr>
          <w:rFonts w:hint="eastAsia" w:ascii="宋体" w:hAnsi="宋体" w:eastAsia="宋体" w:cs="宋体"/>
          <w:b/>
          <w:bCs/>
          <w:sz w:val="28"/>
          <w:szCs w:val="28"/>
          <w:highlight w:val="none"/>
          <w:u w:val="single"/>
        </w:rPr>
        <w:t xml:space="preserve">           （签字或盖章）</w:t>
      </w:r>
    </w:p>
    <w:p w14:paraId="5C243DF4">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时      间：       年      月      日</w:t>
      </w:r>
    </w:p>
    <w:p w14:paraId="2B0DE238">
      <w:pPr>
        <w:spacing w:line="440" w:lineRule="exact"/>
        <w:ind w:firstLine="1928" w:firstLineChars="600"/>
        <w:jc w:val="center"/>
        <w:rPr>
          <w:rFonts w:hint="eastAsia" w:ascii="宋体" w:hAnsi="宋体" w:eastAsia="宋体" w:cs="宋体"/>
          <w:b/>
          <w:bCs/>
          <w:sz w:val="32"/>
          <w:szCs w:val="32"/>
          <w:highlight w:val="none"/>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pPr>
    </w:p>
    <w:p w14:paraId="670E857F">
      <w:pPr>
        <w:keepNext/>
        <w:keepLines/>
        <w:widowControl w:val="0"/>
        <w:spacing w:before="0" w:after="0" w:line="440" w:lineRule="exact"/>
        <w:jc w:val="center"/>
        <w:outlineLvl w:val="1"/>
        <w:rPr>
          <w:rFonts w:hint="eastAsia" w:ascii="宋体" w:hAnsi="宋体" w:eastAsia="宋体" w:cs="宋体"/>
          <w:b/>
          <w:bCs/>
          <w:kern w:val="0"/>
          <w:sz w:val="32"/>
          <w:szCs w:val="32"/>
          <w:highlight w:val="none"/>
          <w:lang w:val="en-US" w:eastAsia="zh-CN" w:bidi="ar-SA"/>
        </w:rPr>
      </w:pPr>
      <w:bookmarkStart w:id="570" w:name="_Toc8799"/>
      <w:bookmarkStart w:id="571" w:name="_Toc6143"/>
      <w:bookmarkStart w:id="572" w:name="_Toc32222"/>
      <w:bookmarkStart w:id="573" w:name="_Toc2384"/>
      <w:r>
        <w:rPr>
          <w:rFonts w:hint="eastAsia" w:ascii="宋体" w:hAnsi="宋体" w:eastAsia="宋体" w:cs="宋体"/>
          <w:b/>
          <w:bCs/>
          <w:kern w:val="0"/>
          <w:sz w:val="32"/>
          <w:szCs w:val="32"/>
          <w:highlight w:val="none"/>
          <w:lang w:val="en-US" w:eastAsia="zh-CN" w:bidi="ar-SA"/>
        </w:rPr>
        <w:t>参选报价表</w:t>
      </w:r>
      <w:bookmarkEnd w:id="570"/>
      <w:bookmarkEnd w:id="571"/>
    </w:p>
    <w:p w14:paraId="53897E5F">
      <w:pPr>
        <w:bidi w:val="0"/>
        <w:rPr>
          <w:rFonts w:hint="eastAsia" w:ascii="宋体" w:hAnsi="宋体" w:eastAsia="宋体" w:cs="宋体"/>
          <w:highlight w:val="none"/>
          <w:lang w:val="en-US" w:eastAsia="zh-CN"/>
        </w:rPr>
      </w:pPr>
    </w:p>
    <w:bookmarkEnd w:id="554"/>
    <w:bookmarkEnd w:id="555"/>
    <w:bookmarkEnd w:id="556"/>
    <w:bookmarkEnd w:id="557"/>
    <w:bookmarkEnd w:id="558"/>
    <w:bookmarkEnd w:id="559"/>
    <w:bookmarkEnd w:id="560"/>
    <w:bookmarkEnd w:id="561"/>
    <w:bookmarkEnd w:id="562"/>
    <w:bookmarkEnd w:id="569"/>
    <w:bookmarkEnd w:id="572"/>
    <w:bookmarkEnd w:id="573"/>
    <w:tbl>
      <w:tblPr>
        <w:tblStyle w:val="19"/>
        <w:tblW w:w="56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616"/>
        <w:gridCol w:w="2323"/>
        <w:gridCol w:w="3090"/>
        <w:gridCol w:w="1907"/>
      </w:tblGrid>
      <w:tr w14:paraId="39BBC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8" w:hRule="atLeast"/>
          <w:tblHeader/>
          <w:jc w:val="center"/>
        </w:trPr>
        <w:tc>
          <w:tcPr>
            <w:tcW w:w="354" w:type="pct"/>
            <w:tcBorders>
              <w:tl2br w:val="nil"/>
              <w:tr2bl w:val="nil"/>
            </w:tcBorders>
            <w:vAlign w:val="center"/>
          </w:tcPr>
          <w:p w14:paraId="2A467510">
            <w:pPr>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序号</w:t>
            </w:r>
          </w:p>
        </w:tc>
        <w:tc>
          <w:tcPr>
            <w:tcW w:w="840" w:type="pct"/>
            <w:tcBorders>
              <w:tl2br w:val="nil"/>
              <w:tr2bl w:val="nil"/>
            </w:tcBorders>
            <w:vAlign w:val="center"/>
          </w:tcPr>
          <w:p w14:paraId="4073F000">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w:t>
            </w:r>
          </w:p>
        </w:tc>
        <w:tc>
          <w:tcPr>
            <w:tcW w:w="1207" w:type="pct"/>
            <w:tcBorders>
              <w:tl2br w:val="nil"/>
              <w:tr2bl w:val="nil"/>
            </w:tcBorders>
            <w:vAlign w:val="center"/>
          </w:tcPr>
          <w:p w14:paraId="168AA48A">
            <w:pPr>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年度报价（元/年）</w:t>
            </w:r>
          </w:p>
        </w:tc>
        <w:tc>
          <w:tcPr>
            <w:tcW w:w="1605" w:type="pct"/>
            <w:tcBorders>
              <w:tl2br w:val="nil"/>
              <w:tr2bl w:val="nil"/>
            </w:tcBorders>
            <w:vAlign w:val="center"/>
          </w:tcPr>
          <w:p w14:paraId="039DE4A5">
            <w:pPr>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合计（2年）</w:t>
            </w:r>
            <w:r>
              <w:rPr>
                <w:rFonts w:hint="eastAsia" w:ascii="宋体" w:hAnsi="宋体" w:cs="宋体"/>
                <w:b/>
                <w:bCs/>
                <w:sz w:val="21"/>
                <w:szCs w:val="21"/>
                <w:highlight w:val="none"/>
                <w:lang w:val="en-US" w:eastAsia="zh-CN"/>
              </w:rPr>
              <w:t>（元）</w:t>
            </w:r>
          </w:p>
        </w:tc>
        <w:tc>
          <w:tcPr>
            <w:tcW w:w="991" w:type="pct"/>
            <w:tcBorders>
              <w:tl2br w:val="nil"/>
              <w:tr2bl w:val="nil"/>
            </w:tcBorders>
            <w:vAlign w:val="center"/>
          </w:tcPr>
          <w:p w14:paraId="170996F7">
            <w:pPr>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val="0"/>
                <w:color w:val="auto"/>
                <w:kern w:val="2"/>
                <w:sz w:val="21"/>
                <w:szCs w:val="24"/>
                <w:highlight w:val="none"/>
              </w:rPr>
              <w:t>税率（%）</w:t>
            </w:r>
          </w:p>
        </w:tc>
      </w:tr>
      <w:tr w14:paraId="5CB6A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354" w:type="pct"/>
            <w:tcBorders>
              <w:tl2br w:val="nil"/>
              <w:tr2bl w:val="nil"/>
            </w:tcBorders>
            <w:vAlign w:val="center"/>
          </w:tcPr>
          <w:p w14:paraId="00D94FE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40" w:type="pct"/>
            <w:tcBorders>
              <w:tl2br w:val="nil"/>
              <w:tr2bl w:val="nil"/>
            </w:tcBorders>
            <w:vAlign w:val="center"/>
          </w:tcPr>
          <w:p w14:paraId="3FC5353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维保费用</w:t>
            </w:r>
          </w:p>
        </w:tc>
        <w:tc>
          <w:tcPr>
            <w:tcW w:w="1207" w:type="pct"/>
            <w:tcBorders>
              <w:tl2br w:val="nil"/>
              <w:tr2bl w:val="nil"/>
            </w:tcBorders>
            <w:vAlign w:val="center"/>
          </w:tcPr>
          <w:p w14:paraId="622277F6">
            <w:pPr>
              <w:spacing w:line="240" w:lineRule="auto"/>
              <w:jc w:val="center"/>
              <w:rPr>
                <w:rFonts w:hint="eastAsia" w:ascii="宋体" w:hAnsi="宋体" w:eastAsia="宋体" w:cs="宋体"/>
                <w:sz w:val="21"/>
                <w:szCs w:val="21"/>
                <w:highlight w:val="none"/>
                <w:lang w:val="en-US" w:eastAsia="zh-CN"/>
              </w:rPr>
            </w:pPr>
          </w:p>
        </w:tc>
        <w:tc>
          <w:tcPr>
            <w:tcW w:w="1605" w:type="pct"/>
            <w:tcBorders>
              <w:tl2br w:val="nil"/>
              <w:tr2bl w:val="nil"/>
            </w:tcBorders>
            <w:vAlign w:val="center"/>
          </w:tcPr>
          <w:p w14:paraId="68C1B1EA">
            <w:pPr>
              <w:spacing w:line="240" w:lineRule="auto"/>
              <w:jc w:val="center"/>
              <w:rPr>
                <w:rFonts w:hint="eastAsia" w:ascii="宋体" w:hAnsi="宋体" w:eastAsia="宋体" w:cs="宋体"/>
                <w:sz w:val="21"/>
                <w:szCs w:val="21"/>
                <w:highlight w:val="none"/>
              </w:rPr>
            </w:pPr>
          </w:p>
        </w:tc>
        <w:tc>
          <w:tcPr>
            <w:tcW w:w="991" w:type="pct"/>
            <w:tcBorders>
              <w:tl2br w:val="nil"/>
              <w:tr2bl w:val="nil"/>
            </w:tcBorders>
            <w:vAlign w:val="center"/>
          </w:tcPr>
          <w:p w14:paraId="66F1D9D5">
            <w:pPr>
              <w:spacing w:line="240" w:lineRule="auto"/>
              <w:jc w:val="center"/>
              <w:rPr>
                <w:rFonts w:hint="eastAsia" w:ascii="宋体" w:hAnsi="宋体" w:eastAsia="宋体" w:cs="宋体"/>
                <w:sz w:val="21"/>
                <w:szCs w:val="21"/>
                <w:highlight w:val="none"/>
              </w:rPr>
            </w:pPr>
          </w:p>
        </w:tc>
      </w:tr>
      <w:tr w14:paraId="4EA02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354" w:type="pct"/>
            <w:tcBorders>
              <w:tl2br w:val="nil"/>
              <w:tr2bl w:val="nil"/>
            </w:tcBorders>
            <w:vAlign w:val="center"/>
          </w:tcPr>
          <w:p w14:paraId="7E78880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40" w:type="pct"/>
            <w:tcBorders>
              <w:tl2br w:val="nil"/>
              <w:tr2bl w:val="nil"/>
            </w:tcBorders>
            <w:vAlign w:val="center"/>
          </w:tcPr>
          <w:p w14:paraId="03A4ED1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备品备件费用</w:t>
            </w:r>
          </w:p>
        </w:tc>
        <w:tc>
          <w:tcPr>
            <w:tcW w:w="2813" w:type="pct"/>
            <w:gridSpan w:val="2"/>
            <w:tcBorders>
              <w:tl2br w:val="nil"/>
              <w:tr2bl w:val="nil"/>
            </w:tcBorders>
            <w:vAlign w:val="center"/>
          </w:tcPr>
          <w:p w14:paraId="1BB6B45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每年合同期内备件采购费用累计不超过10万元的，由比选人审核后实报实销；</w:t>
            </w:r>
            <w:r>
              <w:rPr>
                <w:rFonts w:hint="eastAsia" w:ascii="宋体" w:hAnsi="宋体" w:cs="宋体"/>
                <w:sz w:val="21"/>
                <w:szCs w:val="21"/>
                <w:highlight w:val="none"/>
                <w:lang w:val="en-US" w:eastAsia="zh-CN"/>
              </w:rPr>
              <w:t>每年</w:t>
            </w:r>
            <w:r>
              <w:rPr>
                <w:rFonts w:hint="eastAsia" w:ascii="宋体" w:hAnsi="宋体" w:eastAsia="宋体" w:cs="宋体"/>
                <w:sz w:val="21"/>
                <w:szCs w:val="21"/>
                <w:highlight w:val="none"/>
                <w:lang w:val="en-US" w:eastAsia="zh-CN"/>
              </w:rPr>
              <w:t>合同期内备件采购费用累计超过10万元的部分，由参选人自行承担。</w:t>
            </w:r>
          </w:p>
        </w:tc>
        <w:tc>
          <w:tcPr>
            <w:tcW w:w="991" w:type="pct"/>
            <w:tcBorders>
              <w:tl2br w:val="nil"/>
              <w:tr2bl w:val="nil"/>
            </w:tcBorders>
            <w:vAlign w:val="center"/>
          </w:tcPr>
          <w:p w14:paraId="26843022">
            <w:pPr>
              <w:spacing w:line="240" w:lineRule="auto"/>
              <w:jc w:val="center"/>
              <w:rPr>
                <w:rFonts w:hint="eastAsia" w:ascii="宋体" w:hAnsi="宋体" w:eastAsia="宋体" w:cs="宋体"/>
                <w:sz w:val="21"/>
                <w:szCs w:val="21"/>
                <w:highlight w:val="none"/>
                <w:lang w:val="en-US" w:eastAsia="zh-CN"/>
              </w:rPr>
            </w:pPr>
          </w:p>
        </w:tc>
      </w:tr>
    </w:tbl>
    <w:p w14:paraId="56D1D058">
      <w:pPr>
        <w:numPr>
          <w:ilvl w:val="0"/>
          <w:numId w:val="0"/>
        </w:numPr>
        <w:spacing w:line="440" w:lineRule="exact"/>
        <w:rPr>
          <w:rFonts w:hint="eastAsia" w:ascii="宋体" w:hAnsi="宋体" w:eastAsia="宋体" w:cs="宋体"/>
          <w:b/>
          <w:bCs/>
          <w:kern w:val="2"/>
          <w:sz w:val="21"/>
          <w:szCs w:val="22"/>
          <w:highlight w:val="none"/>
          <w:lang w:val="en-US" w:eastAsia="zh-CN" w:bidi="ar-SA"/>
        </w:rPr>
      </w:pPr>
      <w:r>
        <w:rPr>
          <w:rFonts w:hint="eastAsia" w:ascii="宋体" w:hAnsi="宋体" w:eastAsia="宋体" w:cs="宋体"/>
          <w:b/>
          <w:bCs/>
          <w:highlight w:val="none"/>
        </w:rPr>
        <w:t>注：1.</w:t>
      </w:r>
      <w:r>
        <w:rPr>
          <w:rFonts w:hint="eastAsia" w:ascii="宋体" w:hAnsi="宋体" w:eastAsia="宋体" w:cs="宋体"/>
          <w:b/>
          <w:bCs/>
          <w:kern w:val="2"/>
          <w:sz w:val="21"/>
          <w:szCs w:val="22"/>
          <w:highlight w:val="none"/>
          <w:lang w:val="en-US" w:eastAsia="zh-CN" w:bidi="ar-SA"/>
        </w:rPr>
        <w:t>本表包括了参选人的全部工作内容及其费用</w:t>
      </w:r>
      <w:r>
        <w:rPr>
          <w:rFonts w:hint="eastAsia" w:ascii="宋体" w:hAnsi="宋体" w:cs="宋体"/>
          <w:b/>
          <w:bCs/>
          <w:kern w:val="2"/>
          <w:sz w:val="21"/>
          <w:szCs w:val="22"/>
          <w:highlight w:val="none"/>
          <w:lang w:val="en-US" w:eastAsia="zh-CN" w:bidi="ar-SA"/>
        </w:rPr>
        <w:t>，以上价格均为含税价</w:t>
      </w:r>
      <w:r>
        <w:rPr>
          <w:rFonts w:hint="eastAsia" w:ascii="宋体" w:hAnsi="宋体" w:eastAsia="宋体" w:cs="宋体"/>
          <w:b/>
          <w:bCs/>
          <w:kern w:val="2"/>
          <w:sz w:val="21"/>
          <w:szCs w:val="22"/>
          <w:highlight w:val="none"/>
          <w:lang w:val="en-US" w:eastAsia="zh-CN" w:bidi="ar-SA"/>
        </w:rPr>
        <w:t>；</w:t>
      </w:r>
    </w:p>
    <w:p w14:paraId="5CCB5137">
      <w:pPr>
        <w:numPr>
          <w:ilvl w:val="0"/>
          <w:numId w:val="0"/>
        </w:numPr>
        <w:spacing w:line="440" w:lineRule="exact"/>
        <w:ind w:left="-21" w:leftChars="0" w:firstLine="441" w:firstLineChars="0"/>
        <w:rPr>
          <w:rFonts w:hint="eastAsia" w:ascii="宋体" w:hAnsi="宋体" w:eastAsia="宋体" w:cs="宋体"/>
          <w:highlight w:val="none"/>
        </w:rPr>
      </w:pPr>
      <w:r>
        <w:rPr>
          <w:rFonts w:hint="eastAsia" w:ascii="宋体" w:hAnsi="宋体" w:eastAsia="宋体" w:cs="宋体"/>
          <w:b/>
          <w:bCs/>
          <w:kern w:val="2"/>
          <w:sz w:val="21"/>
          <w:szCs w:val="22"/>
          <w:highlight w:val="none"/>
          <w:lang w:val="en-US" w:eastAsia="zh-CN" w:bidi="ar-SA"/>
        </w:rPr>
        <w:t>2.</w:t>
      </w:r>
      <w:r>
        <w:rPr>
          <w:rFonts w:hint="eastAsia" w:ascii="宋体" w:hAnsi="宋体" w:eastAsia="宋体" w:cs="宋体"/>
          <w:b/>
          <w:bCs/>
          <w:highlight w:val="none"/>
          <w:lang w:eastAsia="zh-CN"/>
        </w:rPr>
        <w:t>报价</w:t>
      </w:r>
      <w:r>
        <w:rPr>
          <w:rFonts w:hint="eastAsia" w:ascii="宋体" w:hAnsi="宋体" w:eastAsia="宋体" w:cs="宋体"/>
          <w:b/>
          <w:bCs/>
          <w:highlight w:val="none"/>
        </w:rPr>
        <w:t>不得高于</w:t>
      </w:r>
      <w:r>
        <w:rPr>
          <w:rFonts w:hint="eastAsia" w:ascii="宋体" w:hAnsi="宋体" w:eastAsia="宋体" w:cs="宋体"/>
          <w:b/>
          <w:bCs/>
          <w:highlight w:val="none"/>
          <w:lang w:val="en-US" w:eastAsia="zh-CN"/>
        </w:rPr>
        <w:t>最高限价</w:t>
      </w:r>
      <w:r>
        <w:rPr>
          <w:rFonts w:hint="eastAsia" w:ascii="宋体" w:hAnsi="宋体" w:eastAsia="宋体" w:cs="宋体"/>
          <w:b/>
          <w:bCs/>
          <w:highlight w:val="none"/>
        </w:rPr>
        <w:t>，否则</w:t>
      </w:r>
      <w:r>
        <w:rPr>
          <w:rFonts w:hint="eastAsia" w:ascii="宋体" w:hAnsi="宋体" w:eastAsia="宋体" w:cs="宋体"/>
          <w:b/>
          <w:bCs/>
          <w:highlight w:val="none"/>
          <w:lang w:val="en-US" w:eastAsia="zh-CN"/>
        </w:rPr>
        <w:t>响应</w:t>
      </w:r>
      <w:r>
        <w:rPr>
          <w:rFonts w:hint="eastAsia" w:ascii="宋体" w:hAnsi="宋体" w:eastAsia="宋体" w:cs="宋体"/>
          <w:b/>
          <w:bCs/>
          <w:highlight w:val="none"/>
          <w:lang w:eastAsia="zh-CN"/>
        </w:rPr>
        <w:t>文件</w:t>
      </w:r>
      <w:r>
        <w:rPr>
          <w:rFonts w:hint="eastAsia" w:ascii="宋体" w:hAnsi="宋体" w:eastAsia="宋体" w:cs="宋体"/>
          <w:b/>
          <w:bCs/>
          <w:highlight w:val="none"/>
        </w:rPr>
        <w:t>按废标处理。</w:t>
      </w:r>
    </w:p>
    <w:p w14:paraId="25885B6C">
      <w:pPr>
        <w:spacing w:line="440" w:lineRule="exact"/>
        <w:jc w:val="both"/>
        <w:rPr>
          <w:rFonts w:hint="eastAsia" w:ascii="宋体" w:hAnsi="宋体" w:eastAsia="宋体" w:cs="宋体"/>
          <w:highlight w:val="none"/>
        </w:rPr>
      </w:pPr>
      <w:r>
        <w:rPr>
          <w:rFonts w:hint="eastAsia" w:ascii="宋体" w:hAnsi="宋体" w:eastAsia="宋体" w:cs="宋体"/>
          <w:highlight w:val="none"/>
        </w:rPr>
        <w:t xml:space="preserve"> </w:t>
      </w:r>
    </w:p>
    <w:p w14:paraId="5A1A9997">
      <w:pPr>
        <w:spacing w:line="440" w:lineRule="exact"/>
        <w:ind w:firstLine="403" w:firstLineChars="192"/>
        <w:jc w:val="right"/>
        <w:rPr>
          <w:rFonts w:hint="eastAsia" w:ascii="宋体" w:hAnsi="宋体" w:eastAsia="宋体" w:cs="宋体"/>
          <w:highlight w:val="none"/>
          <w:u w:val="single"/>
        </w:rPr>
      </w:pPr>
      <w:r>
        <w:rPr>
          <w:rFonts w:hint="eastAsia" w:ascii="宋体" w:hAnsi="宋体" w:eastAsia="宋体" w:cs="宋体"/>
          <w:highlight w:val="none"/>
          <w:lang w:eastAsia="zh-CN"/>
        </w:rPr>
        <w:t>参选人</w:t>
      </w:r>
      <w:r>
        <w:rPr>
          <w:rFonts w:hint="eastAsia" w:ascii="宋体" w:hAnsi="宋体" w:eastAsia="宋体" w:cs="宋体"/>
          <w:highlight w:val="none"/>
        </w:rPr>
        <w:t>：</w:t>
      </w:r>
      <w:r>
        <w:rPr>
          <w:rFonts w:hint="eastAsia" w:ascii="宋体" w:hAnsi="宋体" w:eastAsia="宋体" w:cs="宋体"/>
          <w:highlight w:val="none"/>
          <w:u w:val="single"/>
        </w:rPr>
        <w:t xml:space="preserve">                      （盖章） </w:t>
      </w:r>
    </w:p>
    <w:p w14:paraId="31BC0DCB">
      <w:pPr>
        <w:spacing w:line="440" w:lineRule="exact"/>
        <w:ind w:firstLine="403" w:firstLineChars="192"/>
        <w:jc w:val="right"/>
        <w:rPr>
          <w:rFonts w:hint="eastAsia" w:ascii="宋体" w:hAnsi="宋体" w:eastAsia="宋体" w:cs="宋体"/>
          <w:highlight w:val="none"/>
        </w:rPr>
      </w:pPr>
      <w:r>
        <w:rPr>
          <w:rFonts w:hint="eastAsia" w:ascii="宋体" w:hAnsi="宋体" w:eastAsia="宋体" w:cs="宋体"/>
          <w:highlight w:val="none"/>
        </w:rPr>
        <w:t>法定代表人或委托代理人：</w:t>
      </w:r>
      <w:r>
        <w:rPr>
          <w:rFonts w:hint="eastAsia" w:ascii="宋体" w:hAnsi="宋体" w:eastAsia="宋体" w:cs="宋体"/>
          <w:highlight w:val="none"/>
          <w:u w:val="single"/>
        </w:rPr>
        <w:t>（签字或盖章）</w:t>
      </w:r>
    </w:p>
    <w:p w14:paraId="0C55F52D">
      <w:pPr>
        <w:spacing w:line="440" w:lineRule="exact"/>
        <w:ind w:firstLine="420" w:firstLineChars="200"/>
        <w:jc w:val="right"/>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426FF74E">
      <w:pPr>
        <w:rPr>
          <w:rFonts w:hint="eastAsia" w:ascii="宋体" w:hAnsi="宋体" w:eastAsia="宋体" w:cs="宋体"/>
          <w:highlight w:val="none"/>
        </w:rPr>
      </w:pPr>
    </w:p>
    <w:sectPr>
      <w:footerReference r:id="rId6"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讣篮 绊雕">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41B8">
    <w:pPr>
      <w:pStyle w:val="13"/>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27691">
    <w:pPr>
      <w:pStyle w:val="13"/>
      <w:rPr>
        <w:rFonts w:ascii="Times New Roman" w:hAnsi="Times New Roman" w:eastAsia="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1A2D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91A2D4">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638E3">
    <w:pPr>
      <w:pStyle w:val="13"/>
      <w:ind w:firstLine="360"/>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0911B">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30911B">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414D6">
    <w:pPr>
      <w:pStyle w:val="13"/>
      <w:ind w:firstLine="360"/>
      <w:jc w:val="center"/>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A508D">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AA508D">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YTNlZGQxYmM4NjY4ZWE0MjY4MWE4MjE0NjlhZmUifQ=="/>
    <w:docVar w:name="KSO_WPS_MARK_KEY" w:val="1951d477-f590-4f9b-a738-4dd9649ac7f9"/>
  </w:docVars>
  <w:rsids>
    <w:rsidRoot w:val="00000000"/>
    <w:rsid w:val="00292BAB"/>
    <w:rsid w:val="004578BE"/>
    <w:rsid w:val="007958E0"/>
    <w:rsid w:val="00844E72"/>
    <w:rsid w:val="00BC3A1F"/>
    <w:rsid w:val="00CB77BE"/>
    <w:rsid w:val="00CF0661"/>
    <w:rsid w:val="00D224AC"/>
    <w:rsid w:val="00D32802"/>
    <w:rsid w:val="011D26F6"/>
    <w:rsid w:val="012D66CB"/>
    <w:rsid w:val="0145402C"/>
    <w:rsid w:val="017A36FD"/>
    <w:rsid w:val="01D4523A"/>
    <w:rsid w:val="021D06BE"/>
    <w:rsid w:val="024D6EF4"/>
    <w:rsid w:val="02620AB6"/>
    <w:rsid w:val="027F7C2E"/>
    <w:rsid w:val="02A05595"/>
    <w:rsid w:val="02AE69CA"/>
    <w:rsid w:val="02D84414"/>
    <w:rsid w:val="02EA4873"/>
    <w:rsid w:val="02EB239A"/>
    <w:rsid w:val="030B6598"/>
    <w:rsid w:val="03675440"/>
    <w:rsid w:val="03AE265E"/>
    <w:rsid w:val="03FC5CC2"/>
    <w:rsid w:val="03FE4B43"/>
    <w:rsid w:val="04071455"/>
    <w:rsid w:val="040C3B6D"/>
    <w:rsid w:val="043A5387"/>
    <w:rsid w:val="04443B59"/>
    <w:rsid w:val="048D65BC"/>
    <w:rsid w:val="04934C4F"/>
    <w:rsid w:val="04C9670A"/>
    <w:rsid w:val="050414F1"/>
    <w:rsid w:val="054E1C74"/>
    <w:rsid w:val="055A55B4"/>
    <w:rsid w:val="05825461"/>
    <w:rsid w:val="06127C3D"/>
    <w:rsid w:val="062C1498"/>
    <w:rsid w:val="064030E2"/>
    <w:rsid w:val="06860D4A"/>
    <w:rsid w:val="06C76C7A"/>
    <w:rsid w:val="06ED2E0B"/>
    <w:rsid w:val="06F027A4"/>
    <w:rsid w:val="06FB2C53"/>
    <w:rsid w:val="0728596A"/>
    <w:rsid w:val="073A744C"/>
    <w:rsid w:val="077C1812"/>
    <w:rsid w:val="07807554"/>
    <w:rsid w:val="07921036"/>
    <w:rsid w:val="07CF4038"/>
    <w:rsid w:val="07DB700A"/>
    <w:rsid w:val="07F910B5"/>
    <w:rsid w:val="08000695"/>
    <w:rsid w:val="082500FC"/>
    <w:rsid w:val="082C148A"/>
    <w:rsid w:val="089963F4"/>
    <w:rsid w:val="08AC25FC"/>
    <w:rsid w:val="08EE04EE"/>
    <w:rsid w:val="08FD2989"/>
    <w:rsid w:val="09035A98"/>
    <w:rsid w:val="097F1A9F"/>
    <w:rsid w:val="09970B85"/>
    <w:rsid w:val="09975029"/>
    <w:rsid w:val="09992B4F"/>
    <w:rsid w:val="09A74FC0"/>
    <w:rsid w:val="09ED79B0"/>
    <w:rsid w:val="0A8D3B82"/>
    <w:rsid w:val="0AC414C6"/>
    <w:rsid w:val="0AD82025"/>
    <w:rsid w:val="0B06620B"/>
    <w:rsid w:val="0B5D1CFF"/>
    <w:rsid w:val="0BA47589"/>
    <w:rsid w:val="0BF058A9"/>
    <w:rsid w:val="0C1813FA"/>
    <w:rsid w:val="0C1C7A68"/>
    <w:rsid w:val="0C232BA4"/>
    <w:rsid w:val="0C2665A5"/>
    <w:rsid w:val="0C447AF2"/>
    <w:rsid w:val="0C767178"/>
    <w:rsid w:val="0CC2416B"/>
    <w:rsid w:val="0CD8573D"/>
    <w:rsid w:val="0CDB3C4D"/>
    <w:rsid w:val="0CF5723E"/>
    <w:rsid w:val="0D5B208C"/>
    <w:rsid w:val="0D7D0092"/>
    <w:rsid w:val="0D8D55CF"/>
    <w:rsid w:val="0D9710CF"/>
    <w:rsid w:val="0D9D0734"/>
    <w:rsid w:val="0DB01F76"/>
    <w:rsid w:val="0DF61125"/>
    <w:rsid w:val="0E0D58BA"/>
    <w:rsid w:val="0E1056A4"/>
    <w:rsid w:val="0E2126D9"/>
    <w:rsid w:val="0E5650E3"/>
    <w:rsid w:val="0E5C69AF"/>
    <w:rsid w:val="0E63197E"/>
    <w:rsid w:val="0E753F67"/>
    <w:rsid w:val="0E8353D4"/>
    <w:rsid w:val="0EB00EEE"/>
    <w:rsid w:val="0EBE0962"/>
    <w:rsid w:val="0EC42875"/>
    <w:rsid w:val="0ECE24F2"/>
    <w:rsid w:val="0EF32D02"/>
    <w:rsid w:val="0F4265DA"/>
    <w:rsid w:val="0F651297"/>
    <w:rsid w:val="0FA67D74"/>
    <w:rsid w:val="0FC91F13"/>
    <w:rsid w:val="0FE20680"/>
    <w:rsid w:val="100D4614"/>
    <w:rsid w:val="10A44AC6"/>
    <w:rsid w:val="10DC18BD"/>
    <w:rsid w:val="110E5BD1"/>
    <w:rsid w:val="115630D4"/>
    <w:rsid w:val="1163420A"/>
    <w:rsid w:val="117926B8"/>
    <w:rsid w:val="11B0086C"/>
    <w:rsid w:val="11E42DD6"/>
    <w:rsid w:val="11FF0E0D"/>
    <w:rsid w:val="12241424"/>
    <w:rsid w:val="122907E8"/>
    <w:rsid w:val="12B83A1C"/>
    <w:rsid w:val="12C86253"/>
    <w:rsid w:val="12CA060D"/>
    <w:rsid w:val="12DB3DED"/>
    <w:rsid w:val="136917E4"/>
    <w:rsid w:val="136A7912"/>
    <w:rsid w:val="139B3968"/>
    <w:rsid w:val="13BB24CF"/>
    <w:rsid w:val="13ED7341"/>
    <w:rsid w:val="141334FE"/>
    <w:rsid w:val="14397409"/>
    <w:rsid w:val="143E0C99"/>
    <w:rsid w:val="14587163"/>
    <w:rsid w:val="14C50C9C"/>
    <w:rsid w:val="14F62A72"/>
    <w:rsid w:val="1505553D"/>
    <w:rsid w:val="150E2151"/>
    <w:rsid w:val="157D3325"/>
    <w:rsid w:val="15997A33"/>
    <w:rsid w:val="15A32F12"/>
    <w:rsid w:val="15DF76FE"/>
    <w:rsid w:val="16037773"/>
    <w:rsid w:val="161C6BC7"/>
    <w:rsid w:val="1626576B"/>
    <w:rsid w:val="16282F80"/>
    <w:rsid w:val="168E50BE"/>
    <w:rsid w:val="16B0772A"/>
    <w:rsid w:val="16C56589"/>
    <w:rsid w:val="16EF3DAF"/>
    <w:rsid w:val="16FA09A5"/>
    <w:rsid w:val="16FF2D9A"/>
    <w:rsid w:val="1703785A"/>
    <w:rsid w:val="171E5D0F"/>
    <w:rsid w:val="17C70888"/>
    <w:rsid w:val="17CE7E68"/>
    <w:rsid w:val="18025D64"/>
    <w:rsid w:val="18306801"/>
    <w:rsid w:val="18626802"/>
    <w:rsid w:val="18893D8F"/>
    <w:rsid w:val="18AD6651"/>
    <w:rsid w:val="18C64FE3"/>
    <w:rsid w:val="18EB05ED"/>
    <w:rsid w:val="18FD7397"/>
    <w:rsid w:val="1934019F"/>
    <w:rsid w:val="195B1BCF"/>
    <w:rsid w:val="197438B5"/>
    <w:rsid w:val="19816693"/>
    <w:rsid w:val="19921BF7"/>
    <w:rsid w:val="19C534C4"/>
    <w:rsid w:val="19CD2996"/>
    <w:rsid w:val="19E33973"/>
    <w:rsid w:val="19F53DD2"/>
    <w:rsid w:val="19F623F7"/>
    <w:rsid w:val="19F8741E"/>
    <w:rsid w:val="1A3637C8"/>
    <w:rsid w:val="1A4B1C44"/>
    <w:rsid w:val="1A562397"/>
    <w:rsid w:val="1A903F6A"/>
    <w:rsid w:val="1AA0323E"/>
    <w:rsid w:val="1AE53DF6"/>
    <w:rsid w:val="1B1069E9"/>
    <w:rsid w:val="1B18764C"/>
    <w:rsid w:val="1B280C01"/>
    <w:rsid w:val="1B5F527B"/>
    <w:rsid w:val="1B99253B"/>
    <w:rsid w:val="1BC305E4"/>
    <w:rsid w:val="1BF754B3"/>
    <w:rsid w:val="1C764567"/>
    <w:rsid w:val="1C7B268B"/>
    <w:rsid w:val="1C8409D2"/>
    <w:rsid w:val="1C8B188F"/>
    <w:rsid w:val="1C96228C"/>
    <w:rsid w:val="1CBD113E"/>
    <w:rsid w:val="1D444728"/>
    <w:rsid w:val="1D4806BC"/>
    <w:rsid w:val="1D5F1146"/>
    <w:rsid w:val="1D85546D"/>
    <w:rsid w:val="1DAE0558"/>
    <w:rsid w:val="1DDA4785"/>
    <w:rsid w:val="1DE859FC"/>
    <w:rsid w:val="1DF7067D"/>
    <w:rsid w:val="1E206675"/>
    <w:rsid w:val="1E2F5ED3"/>
    <w:rsid w:val="1E3820F7"/>
    <w:rsid w:val="1E562965"/>
    <w:rsid w:val="1EE461C3"/>
    <w:rsid w:val="1EF86D5A"/>
    <w:rsid w:val="1F071319"/>
    <w:rsid w:val="1F1D16D5"/>
    <w:rsid w:val="1FAB2C76"/>
    <w:rsid w:val="1FB43A79"/>
    <w:rsid w:val="1FD61FB0"/>
    <w:rsid w:val="1FD71884"/>
    <w:rsid w:val="2000670D"/>
    <w:rsid w:val="20196340"/>
    <w:rsid w:val="20383940"/>
    <w:rsid w:val="208C0C4C"/>
    <w:rsid w:val="20E06E5E"/>
    <w:rsid w:val="20F925B8"/>
    <w:rsid w:val="20FB3892"/>
    <w:rsid w:val="211D59BC"/>
    <w:rsid w:val="212F501D"/>
    <w:rsid w:val="214A4B67"/>
    <w:rsid w:val="216B5FFB"/>
    <w:rsid w:val="2197751D"/>
    <w:rsid w:val="21B34752"/>
    <w:rsid w:val="22940C1F"/>
    <w:rsid w:val="22F872CF"/>
    <w:rsid w:val="230A1F70"/>
    <w:rsid w:val="231132FF"/>
    <w:rsid w:val="2322375E"/>
    <w:rsid w:val="2346744C"/>
    <w:rsid w:val="23756C11"/>
    <w:rsid w:val="2378512C"/>
    <w:rsid w:val="24523BCF"/>
    <w:rsid w:val="245C2C9F"/>
    <w:rsid w:val="24634ECC"/>
    <w:rsid w:val="246851A0"/>
    <w:rsid w:val="250273A3"/>
    <w:rsid w:val="251610A0"/>
    <w:rsid w:val="25421E95"/>
    <w:rsid w:val="2551032A"/>
    <w:rsid w:val="25554B03"/>
    <w:rsid w:val="25695674"/>
    <w:rsid w:val="25861D82"/>
    <w:rsid w:val="25AE752B"/>
    <w:rsid w:val="25B4064A"/>
    <w:rsid w:val="25CD6ECB"/>
    <w:rsid w:val="25CF0F70"/>
    <w:rsid w:val="25D90339"/>
    <w:rsid w:val="25FE0DD7"/>
    <w:rsid w:val="260B6E6D"/>
    <w:rsid w:val="262D0F56"/>
    <w:rsid w:val="26487037"/>
    <w:rsid w:val="264F486A"/>
    <w:rsid w:val="267918E7"/>
    <w:rsid w:val="26DA3DC6"/>
    <w:rsid w:val="26E55B09"/>
    <w:rsid w:val="26F31699"/>
    <w:rsid w:val="26FB054E"/>
    <w:rsid w:val="27296C87"/>
    <w:rsid w:val="27B5446C"/>
    <w:rsid w:val="27EC025F"/>
    <w:rsid w:val="28041684"/>
    <w:rsid w:val="285D2B42"/>
    <w:rsid w:val="286A4456"/>
    <w:rsid w:val="28844CC9"/>
    <w:rsid w:val="288672EE"/>
    <w:rsid w:val="28926C90"/>
    <w:rsid w:val="289546D1"/>
    <w:rsid w:val="28AF5037"/>
    <w:rsid w:val="28E204F3"/>
    <w:rsid w:val="2939524C"/>
    <w:rsid w:val="29656152"/>
    <w:rsid w:val="29AE5D4B"/>
    <w:rsid w:val="29C94933"/>
    <w:rsid w:val="29DB7901"/>
    <w:rsid w:val="29F70520"/>
    <w:rsid w:val="2A2878AC"/>
    <w:rsid w:val="2A4D74D2"/>
    <w:rsid w:val="2A6F6890"/>
    <w:rsid w:val="2A741800"/>
    <w:rsid w:val="2A742AF1"/>
    <w:rsid w:val="2A9A5B9B"/>
    <w:rsid w:val="2AB27175"/>
    <w:rsid w:val="2ACE69E0"/>
    <w:rsid w:val="2AF459E0"/>
    <w:rsid w:val="2B13779E"/>
    <w:rsid w:val="2B352219"/>
    <w:rsid w:val="2B507E4B"/>
    <w:rsid w:val="2B603075"/>
    <w:rsid w:val="2B724B56"/>
    <w:rsid w:val="2B7D3C27"/>
    <w:rsid w:val="2B9351F9"/>
    <w:rsid w:val="2BF043F9"/>
    <w:rsid w:val="2C0E51D2"/>
    <w:rsid w:val="2C1A05D1"/>
    <w:rsid w:val="2C3F0EDD"/>
    <w:rsid w:val="2C594F5E"/>
    <w:rsid w:val="2CEC4138"/>
    <w:rsid w:val="2D0E21F4"/>
    <w:rsid w:val="2D187675"/>
    <w:rsid w:val="2D5269EE"/>
    <w:rsid w:val="2DD6410B"/>
    <w:rsid w:val="2DE50725"/>
    <w:rsid w:val="2E291E44"/>
    <w:rsid w:val="2E450300"/>
    <w:rsid w:val="2E515347"/>
    <w:rsid w:val="2E8B665B"/>
    <w:rsid w:val="2E913546"/>
    <w:rsid w:val="2EB312D4"/>
    <w:rsid w:val="2ECB4C8B"/>
    <w:rsid w:val="2F0868AC"/>
    <w:rsid w:val="2F454A5C"/>
    <w:rsid w:val="2F546E49"/>
    <w:rsid w:val="2F5702EB"/>
    <w:rsid w:val="2F5F1FA2"/>
    <w:rsid w:val="2FA554FB"/>
    <w:rsid w:val="2FAF1ED5"/>
    <w:rsid w:val="2FBF6E64"/>
    <w:rsid w:val="3033511D"/>
    <w:rsid w:val="303F594F"/>
    <w:rsid w:val="304D174B"/>
    <w:rsid w:val="305F109C"/>
    <w:rsid w:val="30670A02"/>
    <w:rsid w:val="3071362F"/>
    <w:rsid w:val="30905BB8"/>
    <w:rsid w:val="30A367D5"/>
    <w:rsid w:val="30CA72A9"/>
    <w:rsid w:val="30FC739C"/>
    <w:rsid w:val="316A07AA"/>
    <w:rsid w:val="316A3FC7"/>
    <w:rsid w:val="31BE1399"/>
    <w:rsid w:val="31D814A1"/>
    <w:rsid w:val="31DA4319"/>
    <w:rsid w:val="31E57E30"/>
    <w:rsid w:val="31FD7F77"/>
    <w:rsid w:val="3220530C"/>
    <w:rsid w:val="32304B0F"/>
    <w:rsid w:val="324B1648"/>
    <w:rsid w:val="324C7EAF"/>
    <w:rsid w:val="329F4D04"/>
    <w:rsid w:val="32A23F73"/>
    <w:rsid w:val="32B723A6"/>
    <w:rsid w:val="32C263C3"/>
    <w:rsid w:val="32CC51BF"/>
    <w:rsid w:val="33085C30"/>
    <w:rsid w:val="33331E0D"/>
    <w:rsid w:val="337949FF"/>
    <w:rsid w:val="339442B3"/>
    <w:rsid w:val="33A45AC9"/>
    <w:rsid w:val="341A15AD"/>
    <w:rsid w:val="342A06C4"/>
    <w:rsid w:val="34452BA7"/>
    <w:rsid w:val="344B1BBC"/>
    <w:rsid w:val="34534564"/>
    <w:rsid w:val="3487400B"/>
    <w:rsid w:val="348E0584"/>
    <w:rsid w:val="34CE1050"/>
    <w:rsid w:val="34DE7ED9"/>
    <w:rsid w:val="34E70363"/>
    <w:rsid w:val="34EB7E53"/>
    <w:rsid w:val="353E2408"/>
    <w:rsid w:val="356B4AF0"/>
    <w:rsid w:val="35846234"/>
    <w:rsid w:val="35BC534C"/>
    <w:rsid w:val="35E434F7"/>
    <w:rsid w:val="35E72222"/>
    <w:rsid w:val="36512439"/>
    <w:rsid w:val="366A2FFA"/>
    <w:rsid w:val="366C0B20"/>
    <w:rsid w:val="36894863"/>
    <w:rsid w:val="36E14ED3"/>
    <w:rsid w:val="36FF7BE6"/>
    <w:rsid w:val="37DE3C9F"/>
    <w:rsid w:val="38975BFC"/>
    <w:rsid w:val="38B96945"/>
    <w:rsid w:val="38EC7806"/>
    <w:rsid w:val="390B0AC4"/>
    <w:rsid w:val="391159AF"/>
    <w:rsid w:val="392A3BEB"/>
    <w:rsid w:val="3930052B"/>
    <w:rsid w:val="39614F36"/>
    <w:rsid w:val="39B37512"/>
    <w:rsid w:val="39D42485"/>
    <w:rsid w:val="3A103EB8"/>
    <w:rsid w:val="3A233939"/>
    <w:rsid w:val="3A423D03"/>
    <w:rsid w:val="3A543DA5"/>
    <w:rsid w:val="3A8F1281"/>
    <w:rsid w:val="3AB6634E"/>
    <w:rsid w:val="3AC23843"/>
    <w:rsid w:val="3AE64A9A"/>
    <w:rsid w:val="3AE74C19"/>
    <w:rsid w:val="3B2779AA"/>
    <w:rsid w:val="3B732951"/>
    <w:rsid w:val="3B786FFF"/>
    <w:rsid w:val="3B9603ED"/>
    <w:rsid w:val="3BF539A4"/>
    <w:rsid w:val="3C035F2D"/>
    <w:rsid w:val="3C324F42"/>
    <w:rsid w:val="3C366BCB"/>
    <w:rsid w:val="3C772E64"/>
    <w:rsid w:val="3D15341C"/>
    <w:rsid w:val="3D277EFD"/>
    <w:rsid w:val="3D331D37"/>
    <w:rsid w:val="3D3F6549"/>
    <w:rsid w:val="3D585904"/>
    <w:rsid w:val="3D595B76"/>
    <w:rsid w:val="3D5D5666"/>
    <w:rsid w:val="3D6E41A1"/>
    <w:rsid w:val="3D7B5AED"/>
    <w:rsid w:val="3D876BB4"/>
    <w:rsid w:val="3D913562"/>
    <w:rsid w:val="3DB039E8"/>
    <w:rsid w:val="3DE23DBE"/>
    <w:rsid w:val="3E1F46CA"/>
    <w:rsid w:val="3E285C74"/>
    <w:rsid w:val="3E5E1569"/>
    <w:rsid w:val="3E6704EC"/>
    <w:rsid w:val="3E6A003B"/>
    <w:rsid w:val="3E8D5212"/>
    <w:rsid w:val="3EBA43F3"/>
    <w:rsid w:val="3ECA0ADA"/>
    <w:rsid w:val="3ECA2888"/>
    <w:rsid w:val="3ECC2AA4"/>
    <w:rsid w:val="3EE1238B"/>
    <w:rsid w:val="3F0A034A"/>
    <w:rsid w:val="3F5426ED"/>
    <w:rsid w:val="3F836EDA"/>
    <w:rsid w:val="3F8B0CAA"/>
    <w:rsid w:val="3FFE554D"/>
    <w:rsid w:val="40114F72"/>
    <w:rsid w:val="405350DC"/>
    <w:rsid w:val="40882C2A"/>
    <w:rsid w:val="40EB1B9E"/>
    <w:rsid w:val="41113C6D"/>
    <w:rsid w:val="41260F77"/>
    <w:rsid w:val="414F176A"/>
    <w:rsid w:val="41636602"/>
    <w:rsid w:val="41676AB4"/>
    <w:rsid w:val="41EA3241"/>
    <w:rsid w:val="420267DC"/>
    <w:rsid w:val="420C4A90"/>
    <w:rsid w:val="4213506B"/>
    <w:rsid w:val="428C60A6"/>
    <w:rsid w:val="42E5435D"/>
    <w:rsid w:val="43036368"/>
    <w:rsid w:val="43DF3468"/>
    <w:rsid w:val="43F87E97"/>
    <w:rsid w:val="43FD19B4"/>
    <w:rsid w:val="43FE604E"/>
    <w:rsid w:val="44054362"/>
    <w:rsid w:val="44112D07"/>
    <w:rsid w:val="445A2900"/>
    <w:rsid w:val="445B4E7C"/>
    <w:rsid w:val="44615A3C"/>
    <w:rsid w:val="447A08AC"/>
    <w:rsid w:val="44803471"/>
    <w:rsid w:val="44CD11A8"/>
    <w:rsid w:val="44D90072"/>
    <w:rsid w:val="44E421C9"/>
    <w:rsid w:val="44FF5255"/>
    <w:rsid w:val="4508389A"/>
    <w:rsid w:val="45255632"/>
    <w:rsid w:val="453D4C4D"/>
    <w:rsid w:val="45555C40"/>
    <w:rsid w:val="459024E9"/>
    <w:rsid w:val="45AF6BD6"/>
    <w:rsid w:val="46192347"/>
    <w:rsid w:val="463B0503"/>
    <w:rsid w:val="463D4287"/>
    <w:rsid w:val="46BC069C"/>
    <w:rsid w:val="46C34266"/>
    <w:rsid w:val="47017063"/>
    <w:rsid w:val="472178E9"/>
    <w:rsid w:val="4766336A"/>
    <w:rsid w:val="477535AD"/>
    <w:rsid w:val="47923C0B"/>
    <w:rsid w:val="47A5259D"/>
    <w:rsid w:val="47B648C9"/>
    <w:rsid w:val="47C06F1E"/>
    <w:rsid w:val="47CB2688"/>
    <w:rsid w:val="47D41668"/>
    <w:rsid w:val="47E70571"/>
    <w:rsid w:val="47E96554"/>
    <w:rsid w:val="47F44E19"/>
    <w:rsid w:val="47FF0085"/>
    <w:rsid w:val="481111F8"/>
    <w:rsid w:val="481A3570"/>
    <w:rsid w:val="48447D52"/>
    <w:rsid w:val="487C33E9"/>
    <w:rsid w:val="48811017"/>
    <w:rsid w:val="48940611"/>
    <w:rsid w:val="48DD58AD"/>
    <w:rsid w:val="48E7672C"/>
    <w:rsid w:val="49051EDD"/>
    <w:rsid w:val="49184B37"/>
    <w:rsid w:val="49623B6E"/>
    <w:rsid w:val="496461F4"/>
    <w:rsid w:val="496D4E83"/>
    <w:rsid w:val="498D1081"/>
    <w:rsid w:val="49971F00"/>
    <w:rsid w:val="49A37432"/>
    <w:rsid w:val="49B44860"/>
    <w:rsid w:val="49EF4B74"/>
    <w:rsid w:val="4A5E2A1E"/>
    <w:rsid w:val="4A810D5F"/>
    <w:rsid w:val="4A82670C"/>
    <w:rsid w:val="4AE72912"/>
    <w:rsid w:val="4B117A90"/>
    <w:rsid w:val="4B1F3F5B"/>
    <w:rsid w:val="4B7D3824"/>
    <w:rsid w:val="4B9D0115"/>
    <w:rsid w:val="4C13787D"/>
    <w:rsid w:val="4C5C2F8D"/>
    <w:rsid w:val="4C690EE3"/>
    <w:rsid w:val="4C8521EF"/>
    <w:rsid w:val="4C9269AF"/>
    <w:rsid w:val="4CB37051"/>
    <w:rsid w:val="4D1D2AEA"/>
    <w:rsid w:val="4D2038A6"/>
    <w:rsid w:val="4D3F7EF1"/>
    <w:rsid w:val="4D427987"/>
    <w:rsid w:val="4D97427D"/>
    <w:rsid w:val="4DCD50A1"/>
    <w:rsid w:val="4DD20C3E"/>
    <w:rsid w:val="4DEE363C"/>
    <w:rsid w:val="4E077262"/>
    <w:rsid w:val="4E1A657A"/>
    <w:rsid w:val="4E4966F7"/>
    <w:rsid w:val="4EAD5D22"/>
    <w:rsid w:val="4EC15C1A"/>
    <w:rsid w:val="4ECF3EEA"/>
    <w:rsid w:val="4EDF237F"/>
    <w:rsid w:val="4EE71234"/>
    <w:rsid w:val="4EEF5016"/>
    <w:rsid w:val="4F3A5E2F"/>
    <w:rsid w:val="4F756840"/>
    <w:rsid w:val="4F7E4CF7"/>
    <w:rsid w:val="4F8D1EE4"/>
    <w:rsid w:val="4F8E16AF"/>
    <w:rsid w:val="4FBD1F95"/>
    <w:rsid w:val="50013C8B"/>
    <w:rsid w:val="500F2EF5"/>
    <w:rsid w:val="502D711A"/>
    <w:rsid w:val="504F0E3F"/>
    <w:rsid w:val="507D032D"/>
    <w:rsid w:val="50CE3DBB"/>
    <w:rsid w:val="512F533E"/>
    <w:rsid w:val="51A965AC"/>
    <w:rsid w:val="51BD1EC3"/>
    <w:rsid w:val="51E657D3"/>
    <w:rsid w:val="51F85506"/>
    <w:rsid w:val="52605532"/>
    <w:rsid w:val="526A6404"/>
    <w:rsid w:val="527C7EE5"/>
    <w:rsid w:val="528F6E6B"/>
    <w:rsid w:val="52A44405"/>
    <w:rsid w:val="52B56667"/>
    <w:rsid w:val="52EA4E4F"/>
    <w:rsid w:val="52EA68F1"/>
    <w:rsid w:val="52F7756C"/>
    <w:rsid w:val="53397B84"/>
    <w:rsid w:val="536636A1"/>
    <w:rsid w:val="5373753A"/>
    <w:rsid w:val="539C2670"/>
    <w:rsid w:val="53D855EF"/>
    <w:rsid w:val="53E6260A"/>
    <w:rsid w:val="54281085"/>
    <w:rsid w:val="544D1FF3"/>
    <w:rsid w:val="545F7D39"/>
    <w:rsid w:val="546D5D37"/>
    <w:rsid w:val="549D30A9"/>
    <w:rsid w:val="54BA7621"/>
    <w:rsid w:val="54C35DC7"/>
    <w:rsid w:val="54D409D2"/>
    <w:rsid w:val="550858F3"/>
    <w:rsid w:val="5523289A"/>
    <w:rsid w:val="553920BD"/>
    <w:rsid w:val="5542376D"/>
    <w:rsid w:val="554F7B33"/>
    <w:rsid w:val="55524BDB"/>
    <w:rsid w:val="556145D7"/>
    <w:rsid w:val="556F031F"/>
    <w:rsid w:val="55885EC3"/>
    <w:rsid w:val="558A2919"/>
    <w:rsid w:val="55C7591B"/>
    <w:rsid w:val="55DB4F23"/>
    <w:rsid w:val="56292132"/>
    <w:rsid w:val="56337020"/>
    <w:rsid w:val="564B08B6"/>
    <w:rsid w:val="56521157"/>
    <w:rsid w:val="56637425"/>
    <w:rsid w:val="570E068D"/>
    <w:rsid w:val="571406EC"/>
    <w:rsid w:val="57360676"/>
    <w:rsid w:val="578F67B6"/>
    <w:rsid w:val="57A51C8C"/>
    <w:rsid w:val="57A557E8"/>
    <w:rsid w:val="57EC1669"/>
    <w:rsid w:val="5855720E"/>
    <w:rsid w:val="586316C4"/>
    <w:rsid w:val="588F435C"/>
    <w:rsid w:val="58A41F44"/>
    <w:rsid w:val="58AC2BA6"/>
    <w:rsid w:val="58B43AFA"/>
    <w:rsid w:val="58D97E3F"/>
    <w:rsid w:val="58E3481A"/>
    <w:rsid w:val="5939268C"/>
    <w:rsid w:val="59483E75"/>
    <w:rsid w:val="596F7D7B"/>
    <w:rsid w:val="599975CF"/>
    <w:rsid w:val="59C61EDE"/>
    <w:rsid w:val="59E051FD"/>
    <w:rsid w:val="5A197D69"/>
    <w:rsid w:val="5A3C2269"/>
    <w:rsid w:val="5A6C3E36"/>
    <w:rsid w:val="5AAB75B9"/>
    <w:rsid w:val="5AC4067B"/>
    <w:rsid w:val="5AE740C9"/>
    <w:rsid w:val="5B146880"/>
    <w:rsid w:val="5B206B04"/>
    <w:rsid w:val="5B6D6AF3"/>
    <w:rsid w:val="5BAF5D0D"/>
    <w:rsid w:val="5BAF6C35"/>
    <w:rsid w:val="5BD201DE"/>
    <w:rsid w:val="5C0D6EB3"/>
    <w:rsid w:val="5C4A4BB0"/>
    <w:rsid w:val="5C5B6DBD"/>
    <w:rsid w:val="5C621EFA"/>
    <w:rsid w:val="5C7B120D"/>
    <w:rsid w:val="5C812435"/>
    <w:rsid w:val="5C9347A9"/>
    <w:rsid w:val="5CA50038"/>
    <w:rsid w:val="5CA50B12"/>
    <w:rsid w:val="5CDC7EFE"/>
    <w:rsid w:val="5CE96177"/>
    <w:rsid w:val="5D194D3B"/>
    <w:rsid w:val="5D261179"/>
    <w:rsid w:val="5D347D3A"/>
    <w:rsid w:val="5D415FB3"/>
    <w:rsid w:val="5D573A29"/>
    <w:rsid w:val="5D6A375C"/>
    <w:rsid w:val="5DA6194A"/>
    <w:rsid w:val="5DB03139"/>
    <w:rsid w:val="5E117646"/>
    <w:rsid w:val="5E27164D"/>
    <w:rsid w:val="5E3873B6"/>
    <w:rsid w:val="5E447075"/>
    <w:rsid w:val="5E4C2E61"/>
    <w:rsid w:val="5EB50C99"/>
    <w:rsid w:val="5ED5716B"/>
    <w:rsid w:val="5F04373C"/>
    <w:rsid w:val="5FFF5CB2"/>
    <w:rsid w:val="600357A2"/>
    <w:rsid w:val="601B724A"/>
    <w:rsid w:val="6031230F"/>
    <w:rsid w:val="60337991"/>
    <w:rsid w:val="603C32CD"/>
    <w:rsid w:val="60681AA9"/>
    <w:rsid w:val="60981D74"/>
    <w:rsid w:val="61500EBB"/>
    <w:rsid w:val="618A64DA"/>
    <w:rsid w:val="61E15FB7"/>
    <w:rsid w:val="61FB0E26"/>
    <w:rsid w:val="62015D11"/>
    <w:rsid w:val="620F6680"/>
    <w:rsid w:val="623936FD"/>
    <w:rsid w:val="6243404A"/>
    <w:rsid w:val="6267026A"/>
    <w:rsid w:val="62CF5E0F"/>
    <w:rsid w:val="63004B3E"/>
    <w:rsid w:val="630171CB"/>
    <w:rsid w:val="63125818"/>
    <w:rsid w:val="634B514E"/>
    <w:rsid w:val="634F3679"/>
    <w:rsid w:val="63560E52"/>
    <w:rsid w:val="63576530"/>
    <w:rsid w:val="63716EC6"/>
    <w:rsid w:val="63A86D8C"/>
    <w:rsid w:val="63F43C78"/>
    <w:rsid w:val="641447B9"/>
    <w:rsid w:val="64252A00"/>
    <w:rsid w:val="642F1988"/>
    <w:rsid w:val="64317DA8"/>
    <w:rsid w:val="643E2A52"/>
    <w:rsid w:val="645C5184"/>
    <w:rsid w:val="65346E5E"/>
    <w:rsid w:val="65960E66"/>
    <w:rsid w:val="659A696C"/>
    <w:rsid w:val="65A86388"/>
    <w:rsid w:val="65AB4911"/>
    <w:rsid w:val="65FE7137"/>
    <w:rsid w:val="663A5E27"/>
    <w:rsid w:val="66432D9C"/>
    <w:rsid w:val="66523BFE"/>
    <w:rsid w:val="66620E03"/>
    <w:rsid w:val="667C28C9"/>
    <w:rsid w:val="66A20E8E"/>
    <w:rsid w:val="66D571FF"/>
    <w:rsid w:val="66DA4734"/>
    <w:rsid w:val="66E520A5"/>
    <w:rsid w:val="67021596"/>
    <w:rsid w:val="670544F5"/>
    <w:rsid w:val="675039C2"/>
    <w:rsid w:val="675B2367"/>
    <w:rsid w:val="67F028B9"/>
    <w:rsid w:val="67FE515F"/>
    <w:rsid w:val="68471387"/>
    <w:rsid w:val="685E5C6B"/>
    <w:rsid w:val="687D1EB4"/>
    <w:rsid w:val="689E5F41"/>
    <w:rsid w:val="68C06926"/>
    <w:rsid w:val="68EE759B"/>
    <w:rsid w:val="68F20F53"/>
    <w:rsid w:val="6907619C"/>
    <w:rsid w:val="690E0B40"/>
    <w:rsid w:val="694D6263"/>
    <w:rsid w:val="697C6659"/>
    <w:rsid w:val="69BD2E65"/>
    <w:rsid w:val="69BF6BDD"/>
    <w:rsid w:val="69C064B2"/>
    <w:rsid w:val="69DC2D92"/>
    <w:rsid w:val="69F26D9C"/>
    <w:rsid w:val="69FA7C16"/>
    <w:rsid w:val="6A1011E7"/>
    <w:rsid w:val="6A1F142A"/>
    <w:rsid w:val="6A440E91"/>
    <w:rsid w:val="6AD95A7D"/>
    <w:rsid w:val="6B4E646B"/>
    <w:rsid w:val="6BD070B8"/>
    <w:rsid w:val="6BE63CFA"/>
    <w:rsid w:val="6C0D0199"/>
    <w:rsid w:val="6C1A3D38"/>
    <w:rsid w:val="6C202F44"/>
    <w:rsid w:val="6C2A0139"/>
    <w:rsid w:val="6C6E6699"/>
    <w:rsid w:val="6CC31065"/>
    <w:rsid w:val="6D1851A3"/>
    <w:rsid w:val="6D1E0092"/>
    <w:rsid w:val="6D211539"/>
    <w:rsid w:val="6D353CDB"/>
    <w:rsid w:val="6D535A6B"/>
    <w:rsid w:val="6DAF6F69"/>
    <w:rsid w:val="6DE37EEE"/>
    <w:rsid w:val="6E5C0E9F"/>
    <w:rsid w:val="6E873A42"/>
    <w:rsid w:val="6F1569BC"/>
    <w:rsid w:val="6F175D12"/>
    <w:rsid w:val="6F3239AE"/>
    <w:rsid w:val="6F806E0F"/>
    <w:rsid w:val="6F824FED"/>
    <w:rsid w:val="6FCF56A0"/>
    <w:rsid w:val="6FE50A20"/>
    <w:rsid w:val="7036571F"/>
    <w:rsid w:val="705636CC"/>
    <w:rsid w:val="70AC5255"/>
    <w:rsid w:val="70CA2CED"/>
    <w:rsid w:val="70CD7E32"/>
    <w:rsid w:val="71033854"/>
    <w:rsid w:val="71123060"/>
    <w:rsid w:val="714D4ACF"/>
    <w:rsid w:val="71554A71"/>
    <w:rsid w:val="719B5EFC"/>
    <w:rsid w:val="71A566B9"/>
    <w:rsid w:val="71CF63DB"/>
    <w:rsid w:val="71E54119"/>
    <w:rsid w:val="71FE04BF"/>
    <w:rsid w:val="72015425"/>
    <w:rsid w:val="728A3B01"/>
    <w:rsid w:val="733D37A9"/>
    <w:rsid w:val="736810C4"/>
    <w:rsid w:val="73885CB5"/>
    <w:rsid w:val="73CE54DA"/>
    <w:rsid w:val="748129DB"/>
    <w:rsid w:val="74827185"/>
    <w:rsid w:val="74905B97"/>
    <w:rsid w:val="74982505"/>
    <w:rsid w:val="74AE1682"/>
    <w:rsid w:val="750E6C6B"/>
    <w:rsid w:val="751D0C5C"/>
    <w:rsid w:val="753D12FE"/>
    <w:rsid w:val="753F0BD2"/>
    <w:rsid w:val="75556648"/>
    <w:rsid w:val="756B04F8"/>
    <w:rsid w:val="756E0960"/>
    <w:rsid w:val="757A7E5C"/>
    <w:rsid w:val="758F0CAF"/>
    <w:rsid w:val="75924099"/>
    <w:rsid w:val="75B73206"/>
    <w:rsid w:val="75D91027"/>
    <w:rsid w:val="75DC28C5"/>
    <w:rsid w:val="75E87F4B"/>
    <w:rsid w:val="762C3834"/>
    <w:rsid w:val="76390AF9"/>
    <w:rsid w:val="766E5C13"/>
    <w:rsid w:val="76830F93"/>
    <w:rsid w:val="76835805"/>
    <w:rsid w:val="769B452E"/>
    <w:rsid w:val="76BB072D"/>
    <w:rsid w:val="76D637B8"/>
    <w:rsid w:val="76EA65E7"/>
    <w:rsid w:val="77071BC4"/>
    <w:rsid w:val="77156F75"/>
    <w:rsid w:val="773979D1"/>
    <w:rsid w:val="773B361B"/>
    <w:rsid w:val="773D3837"/>
    <w:rsid w:val="77521091"/>
    <w:rsid w:val="77BE6726"/>
    <w:rsid w:val="77D047A2"/>
    <w:rsid w:val="77E31F5B"/>
    <w:rsid w:val="782D49AC"/>
    <w:rsid w:val="783E2636"/>
    <w:rsid w:val="7847671C"/>
    <w:rsid w:val="785250C1"/>
    <w:rsid w:val="78C17EAD"/>
    <w:rsid w:val="79931A3F"/>
    <w:rsid w:val="79982FA7"/>
    <w:rsid w:val="7A2C6C6C"/>
    <w:rsid w:val="7A4C6481"/>
    <w:rsid w:val="7A6679CE"/>
    <w:rsid w:val="7A741CC0"/>
    <w:rsid w:val="7A761BE6"/>
    <w:rsid w:val="7A807CC3"/>
    <w:rsid w:val="7A810C91"/>
    <w:rsid w:val="7A872C09"/>
    <w:rsid w:val="7AF23BB4"/>
    <w:rsid w:val="7B450364"/>
    <w:rsid w:val="7B4C4049"/>
    <w:rsid w:val="7B963516"/>
    <w:rsid w:val="7B970D78"/>
    <w:rsid w:val="7B98103C"/>
    <w:rsid w:val="7B9F23CB"/>
    <w:rsid w:val="7BAC078C"/>
    <w:rsid w:val="7BB069EA"/>
    <w:rsid w:val="7BB86445"/>
    <w:rsid w:val="7BC83776"/>
    <w:rsid w:val="7C262AEC"/>
    <w:rsid w:val="7C7C270C"/>
    <w:rsid w:val="7CF77FE5"/>
    <w:rsid w:val="7D0D04BC"/>
    <w:rsid w:val="7D0D15B6"/>
    <w:rsid w:val="7D0D45E7"/>
    <w:rsid w:val="7D212A58"/>
    <w:rsid w:val="7D2D6B0F"/>
    <w:rsid w:val="7D5A0C9F"/>
    <w:rsid w:val="7D7A30EF"/>
    <w:rsid w:val="7D887ABE"/>
    <w:rsid w:val="7D8C697F"/>
    <w:rsid w:val="7D951CD7"/>
    <w:rsid w:val="7DAA5057"/>
    <w:rsid w:val="7E0871BD"/>
    <w:rsid w:val="7E2E6E92"/>
    <w:rsid w:val="7E3C65F7"/>
    <w:rsid w:val="7EDC1B88"/>
    <w:rsid w:val="7F0B60A9"/>
    <w:rsid w:val="7F1708F8"/>
    <w:rsid w:val="7F7973D7"/>
    <w:rsid w:val="7F8042C1"/>
    <w:rsid w:val="7F8E3106"/>
    <w:rsid w:val="7FCC1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spacing w:before="100" w:beforeLines="100" w:after="100" w:afterLines="100" w:line="590" w:lineRule="exact"/>
      <w:ind w:left="0" w:right="0"/>
      <w:jc w:val="center"/>
      <w:outlineLvl w:val="0"/>
    </w:pPr>
    <w:rPr>
      <w:rFonts w:ascii="方正小标宋_GBK" w:hAnsi="方正小标宋_GBK" w:eastAsia="方正小标宋_GBK" w:cs="方正小标宋_GBK"/>
      <w:sz w:val="44"/>
      <w:szCs w:val="44"/>
    </w:rPr>
  </w:style>
  <w:style w:type="paragraph" w:styleId="3">
    <w:name w:val="heading 2"/>
    <w:basedOn w:val="1"/>
    <w:next w:val="1"/>
    <w:link w:val="26"/>
    <w:semiHidden/>
    <w:unhideWhenUsed/>
    <w:qFormat/>
    <w:uiPriority w:val="0"/>
    <w:pPr>
      <w:keepNext/>
      <w:keepLines/>
      <w:spacing w:beforeLines="0" w:beforeAutospacing="0" w:afterLines="0" w:afterAutospacing="0" w:line="590" w:lineRule="exact"/>
      <w:ind w:firstLine="400" w:firstLineChars="200"/>
      <w:outlineLvl w:val="1"/>
    </w:pPr>
    <w:rPr>
      <w:rFonts w:ascii="Arial" w:hAnsi="Arial" w:eastAsia="方正黑体_GBK" w:cs="方正仿宋_GBK"/>
      <w:sz w:val="32"/>
      <w:szCs w:val="22"/>
      <w:lang w:val="zh-CN" w:bidi="zh-CN"/>
    </w:rPr>
  </w:style>
  <w:style w:type="paragraph" w:styleId="4">
    <w:name w:val="heading 3"/>
    <w:basedOn w:val="1"/>
    <w:next w:val="1"/>
    <w:semiHidden/>
    <w:unhideWhenUsed/>
    <w:qFormat/>
    <w:uiPriority w:val="0"/>
    <w:pPr>
      <w:keepNext/>
      <w:keepLines/>
      <w:spacing w:beforeLines="0" w:beforeAutospacing="0" w:afterLines="0" w:afterAutospacing="0" w:line="590" w:lineRule="exact"/>
      <w:ind w:firstLine="880" w:firstLineChars="200"/>
      <w:jc w:val="left"/>
      <w:outlineLvl w:val="2"/>
    </w:pPr>
    <w:rPr>
      <w:rFonts w:ascii="Times New Roman" w:hAnsi="Times New Roman" w:eastAsia="方正楷体_GBK" w:cs="方正仿宋_GBK"/>
      <w:sz w:val="32"/>
      <w:szCs w:val="22"/>
      <w:lang w:val="zh-CN" w:bidi="zh-CN"/>
    </w:rPr>
  </w:style>
  <w:style w:type="paragraph" w:styleId="5">
    <w:name w:val="heading 4"/>
    <w:basedOn w:val="1"/>
    <w:next w:val="1"/>
    <w:link w:val="24"/>
    <w:semiHidden/>
    <w:unhideWhenUsed/>
    <w:qFormat/>
    <w:uiPriority w:val="0"/>
    <w:pPr>
      <w:keepNext/>
      <w:keepLines/>
      <w:spacing w:beforeLines="0" w:beforeAutospacing="0" w:afterLines="0" w:afterAutospacing="0" w:line="590" w:lineRule="exact"/>
      <w:outlineLvl w:val="3"/>
    </w:pPr>
    <w:rPr>
      <w:rFonts w:ascii="Arial" w:hAnsi="Arial" w:eastAsia="方正仿宋_GBK"/>
      <w:b/>
      <w:sz w:val="32"/>
    </w:rPr>
  </w:style>
  <w:style w:type="character" w:default="1" w:styleId="21">
    <w:name w:val="Default Paragraph Font"/>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kern w:val="0"/>
      <w:sz w:val="20"/>
      <w:szCs w:val="20"/>
    </w:rPr>
  </w:style>
  <w:style w:type="paragraph" w:styleId="7">
    <w:name w:val="toa heading"/>
    <w:next w:val="1"/>
    <w:semiHidden/>
    <w:qFormat/>
    <w:uiPriority w:val="0"/>
    <w:pPr>
      <w:widowControl w:val="0"/>
      <w:jc w:val="center"/>
    </w:pPr>
    <w:rPr>
      <w:rFonts w:ascii="Arial" w:hAnsi="Arial" w:eastAsia="黑体" w:cs="Times New Roman"/>
      <w:kern w:val="2"/>
      <w:sz w:val="36"/>
      <w:szCs w:val="24"/>
      <w:lang w:val="en-US" w:eastAsia="zh-CN" w:bidi="ar-SA"/>
    </w:rPr>
  </w:style>
  <w:style w:type="paragraph" w:styleId="8">
    <w:name w:val="annotation text"/>
    <w:basedOn w:val="1"/>
    <w:qFormat/>
    <w:uiPriority w:val="0"/>
    <w:pPr>
      <w:jc w:val="left"/>
    </w:pPr>
  </w:style>
  <w:style w:type="paragraph" w:styleId="9">
    <w:name w:val="Body Text"/>
    <w:basedOn w:val="1"/>
    <w:next w:val="6"/>
    <w:qFormat/>
    <w:uiPriority w:val="0"/>
    <w:pPr>
      <w:spacing w:after="120" w:afterLines="0" w:afterAutospacing="0"/>
    </w:pPr>
  </w:style>
  <w:style w:type="paragraph" w:styleId="10">
    <w:name w:val="Body Text Indent"/>
    <w:basedOn w:val="1"/>
    <w:next w:val="11"/>
    <w:qFormat/>
    <w:uiPriority w:val="0"/>
    <w:pPr>
      <w:widowControl w:val="0"/>
      <w:ind w:left="765"/>
      <w:jc w:val="both"/>
    </w:pPr>
    <w:rPr>
      <w:rFonts w:ascii="仿宋_GB2312" w:hAnsi="Times New Roman" w:eastAsia="仿宋_GB2312" w:cs="Times New Roman"/>
      <w:kern w:val="0"/>
      <w:sz w:val="28"/>
      <w:szCs w:val="20"/>
      <w:lang w:val="en-US" w:eastAsia="zh-CN" w:bidi="ar-SA"/>
    </w:rPr>
  </w:style>
  <w:style w:type="paragraph" w:styleId="11">
    <w:name w:val="envelope return"/>
    <w:basedOn w:val="1"/>
    <w:unhideWhenUsed/>
    <w:qFormat/>
    <w:uiPriority w:val="99"/>
    <w:pPr>
      <w:widowControl w:val="0"/>
      <w:snapToGrid w:val="0"/>
      <w:jc w:val="both"/>
    </w:pPr>
    <w:rPr>
      <w:rFonts w:ascii="Arial" w:hAnsi="Arial" w:eastAsia="宋体" w:cs="Times New Roman"/>
      <w:kern w:val="2"/>
      <w:sz w:val="21"/>
      <w:szCs w:val="24"/>
      <w:lang w:val="en-US" w:eastAsia="zh-CN" w:bidi="ar-SA"/>
    </w:rPr>
  </w:style>
  <w:style w:type="paragraph" w:styleId="12">
    <w:name w:val="toc 3"/>
    <w:basedOn w:val="1"/>
    <w:next w:val="1"/>
    <w:qFormat/>
    <w:uiPriority w:val="0"/>
    <w:pPr>
      <w:ind w:left="840" w:leftChars="400"/>
    </w:pPr>
  </w:style>
  <w:style w:type="paragraph" w:styleId="13">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0"/>
      <w:sz w:val="18"/>
      <w:szCs w:val="20"/>
      <w:lang w:val="en-US" w:eastAsia="zh-CN"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semiHidden/>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6">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7">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lang w:val="en-US" w:eastAsia="zh-CN" w:bidi="ar-SA"/>
    </w:rPr>
  </w:style>
  <w:style w:type="paragraph" w:styleId="18">
    <w:name w:val="Title"/>
    <w:basedOn w:val="1"/>
    <w:next w:val="1"/>
    <w:qFormat/>
    <w:uiPriority w:val="0"/>
    <w:pPr>
      <w:keepNext/>
      <w:keepLines/>
      <w:spacing w:before="0" w:after="0" w:line="240" w:lineRule="auto"/>
      <w:jc w:val="center"/>
      <w:outlineLvl w:val="0"/>
    </w:pPr>
    <w:rPr>
      <w:rFonts w:eastAsia="方正小标宋_GBK" w:asciiTheme="minorAscii" w:hAnsiTheme="minorAscii"/>
      <w:bCs/>
      <w:color w:val="1A1A1A"/>
      <w:sz w:val="44"/>
      <w:szCs w:val="48"/>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rPr>
      <w:rFonts w:cs="Times New Roman"/>
    </w:rPr>
  </w:style>
  <w:style w:type="character" w:styleId="23">
    <w:name w:val="annotation reference"/>
    <w:unhideWhenUsed/>
    <w:qFormat/>
    <w:uiPriority w:val="99"/>
    <w:rPr>
      <w:sz w:val="21"/>
      <w:szCs w:val="21"/>
    </w:rPr>
  </w:style>
  <w:style w:type="character" w:customStyle="1" w:styleId="24">
    <w:name w:val="标题 4 Char"/>
    <w:link w:val="5"/>
    <w:qFormat/>
    <w:uiPriority w:val="0"/>
    <w:rPr>
      <w:rFonts w:ascii="Arial" w:hAnsi="Arial" w:eastAsia="方正仿宋_GBK"/>
      <w:b/>
      <w:sz w:val="32"/>
    </w:rPr>
  </w:style>
  <w:style w:type="character" w:customStyle="1" w:styleId="25">
    <w:name w:val="标题 1 Char"/>
    <w:basedOn w:val="21"/>
    <w:link w:val="2"/>
    <w:qFormat/>
    <w:uiPriority w:val="9"/>
    <w:rPr>
      <w:rFonts w:ascii="Times New Roman" w:hAnsi="Times New Roman" w:eastAsia="方正小标宋_GBK" w:cstheme="majorBidi"/>
      <w:caps/>
      <w:color w:val="auto"/>
      <w:spacing w:val="0"/>
      <w:sz w:val="44"/>
      <w:szCs w:val="24"/>
    </w:rPr>
  </w:style>
  <w:style w:type="character" w:customStyle="1" w:styleId="26">
    <w:name w:val="标题 2 Char"/>
    <w:basedOn w:val="21"/>
    <w:link w:val="3"/>
    <w:qFormat/>
    <w:uiPriority w:val="9"/>
    <w:rPr>
      <w:rFonts w:ascii="Arial" w:hAnsi="Arial" w:eastAsia="方正黑体_GBK" w:cs="方正仿宋_GBK"/>
      <w:caps/>
      <w:color w:val="auto"/>
      <w:spacing w:val="0"/>
      <w:sz w:val="32"/>
      <w:szCs w:val="22"/>
      <w:lang w:val="zh-CN" w:bidi="zh-CN"/>
    </w:rPr>
  </w:style>
  <w:style w:type="paragraph" w:customStyle="1" w:styleId="27">
    <w:name w:val="正文缩进11"/>
    <w:qFormat/>
    <w:uiPriority w:val="0"/>
    <w:pPr>
      <w:widowControl w:val="0"/>
      <w:spacing w:line="240" w:lineRule="auto"/>
      <w:ind w:firstLine="420"/>
      <w:jc w:val="both"/>
    </w:pPr>
    <w:rPr>
      <w:rFonts w:ascii="Times New Roman" w:hAnsi="Times New Roman" w:eastAsia="宋体" w:cs="Times New Roman"/>
      <w:b/>
      <w:kern w:val="2"/>
      <w:sz w:val="21"/>
      <w:szCs w:val="20"/>
      <w:lang w:val="en-US" w:eastAsia="zh-CN" w:bidi="ar-SA"/>
    </w:rPr>
  </w:style>
  <w:style w:type="paragraph" w:customStyle="1" w:styleId="28">
    <w:name w:val="正文缩进2格"/>
    <w:qFormat/>
    <w:uiPriority w:val="0"/>
    <w:pPr>
      <w:widowControl w:val="0"/>
      <w:spacing w:line="600" w:lineRule="exact"/>
      <w:ind w:firstLine="639" w:firstLineChars="206"/>
      <w:jc w:val="both"/>
    </w:pPr>
    <w:rPr>
      <w:rFonts w:ascii="仿宋_GB2312" w:hAnsi="宋体" w:eastAsia="仿宋_GB2312" w:cs="Times New Roman"/>
      <w:kern w:val="0"/>
      <w:sz w:val="31"/>
      <w:szCs w:val="28"/>
      <w:lang w:val="en-US" w:eastAsia="zh-CN" w:bidi="ar-SA"/>
    </w:rPr>
  </w:style>
  <w:style w:type="paragraph" w:customStyle="1" w:styleId="29">
    <w:name w:val="列出段落2"/>
    <w:qFormat/>
    <w:uiPriority w:val="34"/>
    <w:pPr>
      <w:widowControl/>
      <w:spacing w:line="360" w:lineRule="auto"/>
      <w:ind w:left="708" w:leftChars="150" w:firstLine="420" w:firstLineChars="200"/>
      <w:jc w:val="left"/>
    </w:pPr>
    <w:rPr>
      <w:rFonts w:ascii="Times New Roman" w:hAnsi="Times New Roman" w:eastAsia="宋体" w:cs="Times New Roman"/>
      <w:kern w:val="2"/>
      <w:sz w:val="21"/>
      <w:szCs w:val="21"/>
      <w:lang w:val="en-US" w:eastAsia="zh-CN" w:bidi="ar-SA"/>
    </w:rPr>
  </w:style>
  <w:style w:type="paragraph" w:customStyle="1" w:styleId="3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Default"/>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customStyle="1" w:styleId="32">
    <w:name w:val="样式9"/>
    <w:basedOn w:val="1"/>
    <w:qFormat/>
    <w:uiPriority w:val="0"/>
    <w:pPr>
      <w:adjustRightInd w:val="0"/>
      <w:spacing w:line="480" w:lineRule="exact"/>
      <w:ind w:firstLine="480" w:firstLineChars="200"/>
      <w:jc w:val="left"/>
      <w:textAlignment w:val="baseline"/>
    </w:pPr>
    <w:rPr>
      <w:rFonts w:ascii="宋体" w:hAnsi="宋体"/>
      <w:kern w:val="0"/>
      <w:sz w:val="24"/>
      <w:szCs w:val="24"/>
    </w:rPr>
  </w:style>
  <w:style w:type="paragraph" w:customStyle="1" w:styleId="33">
    <w:name w:val="p0"/>
    <w:basedOn w:val="1"/>
    <w:qFormat/>
    <w:uiPriority w:val="0"/>
    <w:pPr>
      <w:widowControl/>
      <w:spacing w:after="80" w:line="264" w:lineRule="auto"/>
      <w:ind w:left="10" w:hanging="10" w:firstLineChars="0"/>
      <w:jc w:val="left"/>
    </w:pPr>
    <w:rPr>
      <w:rFonts w:ascii="微软雅黑" w:hAnsi="微软雅黑" w:eastAsia="微软雅黑" w:cs="宋体"/>
      <w:color w:val="000000"/>
      <w:kern w:val="0"/>
      <w:szCs w:val="21"/>
    </w:rPr>
  </w:style>
  <w:style w:type="paragraph" w:customStyle="1" w:styleId="34">
    <w:name w:val="表格"/>
    <w:basedOn w:val="1"/>
    <w:qFormat/>
    <w:uiPriority w:val="99"/>
    <w:pPr>
      <w:spacing w:line="240" w:lineRule="auto"/>
      <w:ind w:firstLine="0" w:firstLineChars="0"/>
    </w:pPr>
    <w:rPr>
      <w:rFonts w:ascii="宋体" w:hAnsi="宋体"/>
      <w:bCs/>
      <w:kern w:val="0"/>
      <w:sz w:val="20"/>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13256</Words>
  <Characters>15264</Characters>
  <Lines>0</Lines>
  <Paragraphs>0</Paragraphs>
  <TotalTime>2</TotalTime>
  <ScaleCrop>false</ScaleCrop>
  <LinksUpToDate>false</LinksUpToDate>
  <CharactersWithSpaces>15360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2022-07-20T05:39:00Z</dcterms:created>
  <dc:creator>郭苏徽</dc:creator>
  <cp:lastModifiedBy>·L·</cp:lastModifiedBy>
  <dcterms:modified xsi:type="dcterms:W3CDTF">2026-01-04T06:34:19Z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0EFD5E38D7934874871F564816BE99E1_13</vt:lpwstr>
  </property>
  <property fmtid="{D5CDD505-2E9C-101B-9397-08002B2CF9AE}" pid="4" name="KSOTemplateDocerSaveRecord">
    <vt:lpwstr>eyJoZGlkIjoiYmE5OTM3NjNjNDRmYzMyMTg2MWRiNGRmNmJlZmQ0NTYiLCJ1c2VySWQiOiI1NzY2MTkzMDYifQ==</vt:lpwstr>
  </property>
</Properties>
</file>