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1C69">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 </w:t>
      </w:r>
    </w:p>
    <w:p w14:paraId="591DD2AF">
      <w:pPr>
        <w:ind w:left="-315" w:leftChars="-150"/>
        <w:jc w:val="center"/>
        <w:outlineLvl w:val="0"/>
        <w:rPr>
          <w:rFonts w:hint="eastAsia" w:ascii="宋体" w:hAnsi="宋体" w:eastAsia="宋体" w:cs="宋体"/>
          <w:b/>
          <w:bCs/>
          <w:color w:val="auto"/>
          <w:kern w:val="0"/>
          <w:sz w:val="52"/>
          <w:szCs w:val="52"/>
          <w:highlight w:val="none"/>
          <w:lang w:eastAsia="zh-CN" w:bidi="ar"/>
        </w:rPr>
      </w:pPr>
      <w:bookmarkStart w:id="0" w:name="_Toc6623"/>
      <w:bookmarkStart w:id="1" w:name="_Toc8456"/>
      <w:r>
        <w:rPr>
          <w:rFonts w:hint="eastAsia" w:ascii="宋体" w:hAnsi="宋体" w:eastAsia="宋体" w:cs="宋体"/>
          <w:b/>
          <w:bCs/>
          <w:color w:val="auto"/>
          <w:kern w:val="0"/>
          <w:sz w:val="52"/>
          <w:szCs w:val="52"/>
          <w:highlight w:val="none"/>
          <w:lang w:eastAsia="zh-CN" w:bidi="ar"/>
        </w:rPr>
        <w:t>南通轨道交通1、</w:t>
      </w:r>
      <w:r>
        <w:rPr>
          <w:rFonts w:hint="eastAsia" w:ascii="宋体" w:hAnsi="宋体" w:eastAsia="宋体" w:cs="宋体"/>
          <w:b/>
          <w:bCs/>
          <w:color w:val="auto"/>
          <w:kern w:val="0"/>
          <w:sz w:val="52"/>
          <w:szCs w:val="52"/>
          <w:highlight w:val="none"/>
          <w:lang w:val="en-US" w:eastAsia="zh-CN" w:bidi="ar"/>
        </w:rPr>
        <w:t>2</w:t>
      </w:r>
      <w:r>
        <w:rPr>
          <w:rFonts w:hint="eastAsia" w:ascii="宋体" w:hAnsi="宋体" w:eastAsia="宋体" w:cs="宋体"/>
          <w:b/>
          <w:bCs/>
          <w:color w:val="auto"/>
          <w:kern w:val="0"/>
          <w:sz w:val="52"/>
          <w:szCs w:val="52"/>
          <w:highlight w:val="none"/>
          <w:lang w:eastAsia="zh-CN" w:bidi="ar"/>
        </w:rPr>
        <w:t>号线一期工程</w:t>
      </w:r>
    </w:p>
    <w:p w14:paraId="2D680371">
      <w:pPr>
        <w:ind w:left="-315" w:leftChars="-150"/>
        <w:jc w:val="center"/>
        <w:outlineLvl w:val="0"/>
        <w:rPr>
          <w:rFonts w:hint="eastAsia" w:ascii="宋体" w:hAnsi="宋体" w:eastAsia="宋体" w:cs="宋体"/>
          <w:b/>
          <w:bCs/>
          <w:color w:val="auto"/>
          <w:kern w:val="0"/>
          <w:sz w:val="52"/>
          <w:szCs w:val="52"/>
          <w:highlight w:val="none"/>
          <w:lang w:eastAsia="zh-CN" w:bidi="ar"/>
        </w:rPr>
      </w:pPr>
      <w:r>
        <w:rPr>
          <w:rFonts w:hint="eastAsia" w:ascii="宋体" w:hAnsi="宋体" w:eastAsia="宋体" w:cs="宋体"/>
          <w:b/>
          <w:bCs/>
          <w:color w:val="auto"/>
          <w:kern w:val="0"/>
          <w:sz w:val="52"/>
          <w:szCs w:val="52"/>
          <w:highlight w:val="none"/>
          <w:lang w:eastAsia="zh-CN" w:bidi="ar"/>
        </w:rPr>
        <w:t>便民用房出租</w:t>
      </w:r>
      <w:bookmarkEnd w:id="0"/>
      <w:bookmarkEnd w:id="1"/>
      <w:r>
        <w:rPr>
          <w:rFonts w:hint="eastAsia" w:ascii="宋体" w:hAnsi="宋体" w:eastAsia="宋体" w:cs="宋体"/>
          <w:b/>
          <w:bCs/>
          <w:color w:val="auto"/>
          <w:kern w:val="0"/>
          <w:sz w:val="52"/>
          <w:szCs w:val="52"/>
          <w:highlight w:val="none"/>
          <w:lang w:eastAsia="zh-CN" w:bidi="ar"/>
        </w:rPr>
        <w:t>项目</w:t>
      </w:r>
    </w:p>
    <w:p w14:paraId="11634423">
      <w:pPr>
        <w:ind w:left="-315" w:leftChars="-150"/>
        <w:jc w:val="center"/>
        <w:outlineLvl w:val="0"/>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eastAsia="zh-CN" w:bidi="ar"/>
        </w:rPr>
        <w:t>（2026年第一期）</w:t>
      </w:r>
    </w:p>
    <w:p w14:paraId="1D422455">
      <w:pPr>
        <w:ind w:left="-315" w:leftChars="-150"/>
        <w:jc w:val="center"/>
        <w:rPr>
          <w:rFonts w:hint="eastAsia" w:ascii="宋体" w:hAnsi="宋体" w:eastAsia="宋体" w:cs="宋体"/>
          <w:b/>
          <w:bCs/>
          <w:color w:val="auto"/>
          <w:sz w:val="52"/>
          <w:szCs w:val="52"/>
          <w:highlight w:val="none"/>
        </w:rPr>
      </w:pPr>
    </w:p>
    <w:p w14:paraId="51D1AC2B">
      <w:pPr>
        <w:rPr>
          <w:rFonts w:hint="eastAsia" w:ascii="宋体" w:hAnsi="宋体" w:eastAsia="宋体" w:cs="宋体"/>
          <w:color w:val="auto"/>
          <w:highlight w:val="none"/>
        </w:rPr>
      </w:pPr>
    </w:p>
    <w:p w14:paraId="55C6E060">
      <w:pPr>
        <w:jc w:val="center"/>
        <w:rPr>
          <w:rFonts w:hint="eastAsia" w:ascii="宋体" w:hAnsi="宋体" w:eastAsia="宋体" w:cs="宋体"/>
          <w:b/>
          <w:bCs/>
          <w:color w:val="auto"/>
          <w:sz w:val="52"/>
          <w:szCs w:val="52"/>
          <w:highlight w:val="none"/>
        </w:rPr>
      </w:pPr>
    </w:p>
    <w:p w14:paraId="681A8C5F">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eastAsia="zh-CN"/>
        </w:rPr>
        <w:t>招租</w:t>
      </w:r>
      <w:r>
        <w:rPr>
          <w:rFonts w:hint="eastAsia" w:ascii="宋体" w:hAnsi="宋体" w:eastAsia="宋体" w:cs="宋体"/>
          <w:b/>
          <w:bCs/>
          <w:color w:val="auto"/>
          <w:sz w:val="52"/>
          <w:szCs w:val="52"/>
          <w:highlight w:val="none"/>
        </w:rPr>
        <w:t>文件</w:t>
      </w:r>
    </w:p>
    <w:p w14:paraId="3AF5BBEE">
      <w:pPr>
        <w:tabs>
          <w:tab w:val="left" w:pos="6431"/>
        </w:tabs>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ab/>
      </w:r>
    </w:p>
    <w:p w14:paraId="355212A5">
      <w:pPr>
        <w:ind w:firstLine="600" w:firstLineChars="200"/>
        <w:rPr>
          <w:rFonts w:hint="eastAsia" w:ascii="宋体" w:hAnsi="宋体" w:eastAsia="宋体" w:cs="宋体"/>
          <w:bCs/>
          <w:color w:val="auto"/>
          <w:sz w:val="30"/>
          <w:szCs w:val="30"/>
          <w:highlight w:val="none"/>
        </w:rPr>
      </w:pPr>
    </w:p>
    <w:p w14:paraId="249F12F2">
      <w:pPr>
        <w:tabs>
          <w:tab w:val="left" w:pos="8715"/>
        </w:tabs>
        <w:ind w:firstLine="600" w:firstLineChars="200"/>
        <w:rPr>
          <w:rFonts w:hint="eastAsia" w:ascii="宋体" w:hAnsi="宋体" w:eastAsia="宋体" w:cs="宋体"/>
          <w:bCs/>
          <w:color w:val="auto"/>
          <w:sz w:val="30"/>
          <w:szCs w:val="30"/>
          <w:highlight w:val="none"/>
        </w:rPr>
      </w:pPr>
    </w:p>
    <w:p w14:paraId="4575D1CE">
      <w:pPr>
        <w:tabs>
          <w:tab w:val="left" w:pos="8715"/>
        </w:tabs>
        <w:ind w:left="0" w:leftChars="0" w:firstLine="1257" w:firstLineChars="419"/>
        <w:jc w:val="both"/>
        <w:rPr>
          <w:rFonts w:hint="eastAsia" w:ascii="宋体" w:hAnsi="宋体" w:eastAsia="宋体" w:cs="宋体"/>
          <w:bCs/>
          <w:color w:val="auto"/>
          <w:sz w:val="30"/>
          <w:szCs w:val="30"/>
          <w:highlight w:val="none"/>
          <w:lang w:val="en-US" w:eastAsia="zh-CN"/>
        </w:rPr>
      </w:pPr>
    </w:p>
    <w:p w14:paraId="5BC168A9">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3D4C8543">
      <w:pPr>
        <w:tabs>
          <w:tab w:val="left" w:pos="8715"/>
        </w:tabs>
        <w:ind w:left="0" w:leftChars="0" w:firstLine="1677" w:firstLineChars="559"/>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出 租 方</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南通轨道资源开发有限公司</w:t>
      </w:r>
    </w:p>
    <w:p w14:paraId="04F86FDA">
      <w:pPr>
        <w:tabs>
          <w:tab w:val="left" w:pos="8715"/>
        </w:tabs>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代理机构：</w:t>
      </w:r>
      <w:r>
        <w:rPr>
          <w:rFonts w:hint="eastAsia" w:ascii="宋体" w:hAnsi="宋体" w:eastAsia="宋体" w:cs="宋体"/>
          <w:bCs/>
          <w:color w:val="auto"/>
          <w:sz w:val="30"/>
          <w:szCs w:val="30"/>
          <w:highlight w:val="none"/>
          <w:lang w:val="en-US" w:eastAsia="zh-CN"/>
        </w:rPr>
        <w:t>中达工程管理咨询有限公司</w:t>
      </w:r>
    </w:p>
    <w:p w14:paraId="6B0E25D8">
      <w:pPr>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    期：</w:t>
      </w:r>
      <w:r>
        <w:rPr>
          <w:rFonts w:hint="eastAsia" w:ascii="宋体" w:hAnsi="宋体" w:eastAsia="宋体" w:cs="宋体"/>
          <w:bCs/>
          <w:color w:val="auto"/>
          <w:sz w:val="30"/>
          <w:szCs w:val="30"/>
          <w:highlight w:val="none"/>
          <w:lang w:eastAsia="zh-CN"/>
        </w:rPr>
        <w:t>202</w:t>
      </w:r>
      <w:r>
        <w:rPr>
          <w:rFonts w:hint="eastAsia" w:ascii="宋体" w:hAnsi="宋体" w:cs="宋体"/>
          <w:bCs/>
          <w:color w:val="auto"/>
          <w:sz w:val="30"/>
          <w:szCs w:val="30"/>
          <w:highlight w:val="none"/>
          <w:lang w:val="en-US" w:eastAsia="zh-CN"/>
        </w:rPr>
        <w:t>6</w:t>
      </w:r>
      <w:r>
        <w:rPr>
          <w:rFonts w:hint="eastAsia" w:ascii="宋体" w:hAnsi="宋体" w:eastAsia="宋体" w:cs="宋体"/>
          <w:bCs/>
          <w:color w:val="auto"/>
          <w:sz w:val="30"/>
          <w:szCs w:val="30"/>
          <w:highlight w:val="none"/>
          <w:lang w:eastAsia="zh-CN"/>
        </w:rPr>
        <w:t>年</w:t>
      </w:r>
      <w:r>
        <w:rPr>
          <w:rFonts w:hint="eastAsia" w:ascii="宋体" w:hAnsi="宋体" w:cs="宋体"/>
          <w:bCs/>
          <w:color w:val="auto"/>
          <w:sz w:val="30"/>
          <w:szCs w:val="30"/>
          <w:highlight w:val="none"/>
          <w:lang w:val="en-US" w:eastAsia="zh-CN"/>
        </w:rPr>
        <w:t>1</w:t>
      </w:r>
      <w:r>
        <w:rPr>
          <w:rFonts w:hint="eastAsia" w:ascii="宋体" w:hAnsi="宋体" w:eastAsia="宋体" w:cs="宋体"/>
          <w:bCs/>
          <w:color w:val="auto"/>
          <w:sz w:val="30"/>
          <w:szCs w:val="30"/>
          <w:highlight w:val="none"/>
        </w:rPr>
        <w:t>月</w:t>
      </w:r>
    </w:p>
    <w:p w14:paraId="46D79074">
      <w:pPr>
        <w:ind w:left="0" w:leftChars="0" w:firstLine="1571" w:firstLineChars="559"/>
        <w:jc w:val="center"/>
        <w:rPr>
          <w:rFonts w:hint="eastAsia" w:ascii="宋体" w:hAnsi="宋体" w:eastAsia="宋体" w:cs="宋体"/>
          <w:b/>
          <w:bCs/>
          <w:color w:val="auto"/>
          <w:sz w:val="28"/>
          <w:szCs w:val="28"/>
          <w:highlight w:val="none"/>
          <w:lang w:val="en-US" w:eastAsia="zh-CN"/>
        </w:rPr>
        <w:sectPr>
          <w:headerReference r:id="rId5" w:type="default"/>
          <w:footerReference r:id="rId6" w:type="default"/>
          <w:pgSz w:w="11906" w:h="16838"/>
          <w:pgMar w:top="1440" w:right="1066" w:bottom="1440" w:left="1800" w:header="851" w:footer="992" w:gutter="0"/>
          <w:cols w:space="425" w:num="1"/>
          <w:docGrid w:type="lines" w:linePitch="312" w:charSpace="0"/>
        </w:sectPr>
      </w:pPr>
    </w:p>
    <w:sdt>
      <w:sdtPr>
        <w:rPr>
          <w:rFonts w:hint="eastAsia" w:ascii="宋体" w:hAnsi="宋体" w:eastAsia="宋体" w:cs="宋体"/>
          <w:kern w:val="2"/>
          <w:sz w:val="21"/>
          <w:szCs w:val="21"/>
          <w:highlight w:val="none"/>
          <w:lang w:val="en-US" w:eastAsia="zh-CN" w:bidi="ar-SA"/>
        </w:rPr>
        <w:id w:val="147451027"/>
        <w15:color w:val="DBDBDB"/>
        <w:docPartObj>
          <w:docPartGallery w:val="Table of Contents"/>
          <w:docPartUnique/>
        </w:docPartObj>
      </w:sdtPr>
      <w:sdtEndPr>
        <w:rPr>
          <w:rFonts w:hint="eastAsia" w:ascii="宋体" w:hAnsi="宋体" w:eastAsia="宋体" w:cs="宋体"/>
          <w:b/>
          <w:kern w:val="2"/>
          <w:sz w:val="21"/>
          <w:szCs w:val="21"/>
          <w:highlight w:val="none"/>
          <w:lang w:val="en-US" w:eastAsia="zh-CN" w:bidi="ar-SA"/>
        </w:rPr>
      </w:sdtEndPr>
      <w:sdtContent>
        <w:p w14:paraId="7220A79B">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2B688156">
          <w:pPr>
            <w:pStyle w:val="24"/>
            <w:tabs>
              <w:tab w:val="right" w:leader="dot" w:pos="8306"/>
            </w:tabs>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_Toc30481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lang w:eastAsia="zh-CN"/>
            </w:rPr>
            <w:t>南通轨道交通</w:t>
          </w:r>
          <w:r>
            <w:rPr>
              <w:rFonts w:hint="eastAsia" w:ascii="宋体" w:hAnsi="宋体" w:eastAsia="宋体" w:cs="宋体"/>
              <w:b/>
              <w:bCs/>
              <w:highlight w:val="none"/>
              <w:lang w:eastAsia="zh-CN"/>
            </w:rPr>
            <w:t>1</w:t>
          </w:r>
          <w:r>
            <w:rPr>
              <w:rFonts w:hint="eastAsia" w:ascii="宋体" w:hAnsi="宋体" w:eastAsia="宋体" w:cs="宋体"/>
              <w:b/>
              <w:bCs/>
              <w:highlight w:val="none"/>
              <w:lang w:val="en-US" w:eastAsia="zh-CN"/>
            </w:rPr>
            <w:t>、2</w:t>
          </w:r>
          <w:r>
            <w:rPr>
              <w:rFonts w:hint="eastAsia" w:ascii="宋体" w:hAnsi="宋体" w:eastAsia="宋体" w:cs="宋体"/>
              <w:b/>
              <w:bCs/>
              <w:highlight w:val="none"/>
              <w:lang w:eastAsia="zh-CN"/>
            </w:rPr>
            <w:t>号线一期工程便民用房出租项目</w:t>
          </w:r>
          <w:r>
            <w:rPr>
              <w:rFonts w:hint="eastAsia" w:ascii="宋体" w:hAnsi="宋体" w:cs="宋体"/>
              <w:b/>
              <w:bCs/>
              <w:highlight w:val="none"/>
              <w:lang w:eastAsia="zh-CN"/>
            </w:rPr>
            <w:t>（2026年第一期）</w:t>
          </w:r>
          <w:r>
            <w:rPr>
              <w:rFonts w:hint="eastAsia" w:ascii="宋体" w:hAnsi="宋体" w:eastAsia="宋体" w:cs="宋体"/>
              <w:b/>
              <w:sz w:val="21"/>
              <w:szCs w:val="21"/>
              <w:highlight w:val="none"/>
              <w:lang w:eastAsia="zh-CN"/>
            </w:rPr>
            <w:t>招租</w:t>
          </w:r>
          <w:r>
            <w:rPr>
              <w:rFonts w:hint="eastAsia" w:ascii="宋体" w:hAnsi="宋体" w:eastAsia="宋体" w:cs="宋体"/>
              <w:b/>
              <w:sz w:val="21"/>
              <w:szCs w:val="21"/>
              <w:highlight w:val="none"/>
            </w:rPr>
            <w:t>公告</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_Toc30481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1</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31B7A65F">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_Toc14418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一、项目概况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CEB09AB">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二、出租标的基本情况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F4C8D0F">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_Toc393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三、对承租方的要求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_Toc393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ADC69DA">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_Toc30686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四、租金价格及支付要求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E72E82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_Toc22030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五、交易保证金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_Toc22030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803AE51">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_Toc19804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六、招租流程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_Toc19804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EF567C8">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_Toc14197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七、其它要求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2395CC2">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_Toc10082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八、竞选文件须提供材料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_Toc10082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F331481">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_Toc16863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九、</w:t>
          </w:r>
          <w:r>
            <w:rPr>
              <w:rFonts w:hint="eastAsia" w:ascii="宋体" w:hAnsi="宋体" w:eastAsia="宋体" w:cs="宋体"/>
              <w:bCs/>
              <w:sz w:val="21"/>
              <w:szCs w:val="21"/>
              <w:highlight w:val="none"/>
            </w:rPr>
            <w:t>联系方式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49781A6">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_Toc5317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附件1：便民用房信息汇总表</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_Toc5317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0C2C9E2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_Toc20846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附件2：便民用房落位图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_Toc20846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598B2FD9">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_Toc26130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附件3. 竞选须知</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_Toc26130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0F218E6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_Toc18490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一、竞选文件编制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_Toc18490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42E0AE">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_Toc443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二、交易保证金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D671CD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_Toc13501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三、竞选文件递交要求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B565D6A">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_Toc16089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四、开标时间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_Toc16089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439A776">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_Toc12815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五、评审规则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E7C302E">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_Toc29438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六、合同签订</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_Toc29438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23E621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_Toc13036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七、经营相关要求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1A265F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_Toc21998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八、其它要求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E44C38E">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_Toc4080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附件4：合同主要条款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_Toc4080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11</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6493A3C8">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_Toc30100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附件5-1. 竞选文件格式（法人版）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_Toc30100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48</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0C89DACA">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_Toc2117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附件5-2. 竞选文件格式（自然人版）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_Toc2117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53</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4A31FCCB">
          <w:pPr>
            <w:spacing w:line="360" w:lineRule="auto"/>
            <w:rPr>
              <w:rFonts w:hint="eastAsia" w:ascii="宋体" w:hAnsi="宋体" w:eastAsia="宋体" w:cs="宋体"/>
              <w:highlight w:val="none"/>
            </w:rPr>
          </w:pPr>
          <w:r>
            <w:rPr>
              <w:rFonts w:hint="eastAsia" w:ascii="宋体" w:hAnsi="宋体" w:eastAsia="宋体" w:cs="宋体"/>
              <w:b/>
              <w:sz w:val="21"/>
              <w:szCs w:val="21"/>
              <w:highlight w:val="none"/>
            </w:rPr>
            <w:fldChar w:fldCharType="end"/>
          </w:r>
        </w:p>
      </w:sdtContent>
    </w:sdt>
    <w:p w14:paraId="3FA486D7">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lang w:eastAsia="zh-CN"/>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2" w:name="_Toc30481"/>
    </w:p>
    <w:p w14:paraId="3E924BD5">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南通轨道交通1、2号线一期工程便民用房出租项目</w:t>
      </w:r>
      <w:r>
        <w:rPr>
          <w:rFonts w:hint="eastAsia" w:ascii="宋体" w:hAnsi="宋体" w:cs="宋体"/>
          <w:color w:val="auto"/>
          <w:highlight w:val="none"/>
          <w:lang w:eastAsia="zh-CN"/>
        </w:rPr>
        <w:t>（2026年第一期）</w:t>
      </w:r>
      <w:r>
        <w:rPr>
          <w:rFonts w:hint="eastAsia" w:ascii="宋体" w:hAnsi="宋体" w:eastAsia="宋体" w:cs="宋体"/>
          <w:color w:val="auto"/>
          <w:highlight w:val="none"/>
          <w:lang w:eastAsia="zh-CN"/>
        </w:rPr>
        <w:t>招租</w:t>
      </w:r>
      <w:r>
        <w:rPr>
          <w:rFonts w:hint="eastAsia" w:ascii="宋体" w:hAnsi="宋体" w:eastAsia="宋体" w:cs="宋体"/>
          <w:color w:val="auto"/>
          <w:highlight w:val="none"/>
        </w:rPr>
        <w:t>公告</w:t>
      </w:r>
      <w:bookmarkEnd w:id="2"/>
    </w:p>
    <w:p w14:paraId="351B33A9">
      <w:pPr>
        <w:pStyle w:val="4"/>
        <w:bidi w:val="0"/>
        <w:rPr>
          <w:rFonts w:hint="eastAsia" w:ascii="宋体" w:hAnsi="宋体" w:eastAsia="宋体" w:cs="宋体"/>
          <w:b/>
          <w:bCs/>
          <w:color w:val="auto"/>
          <w:sz w:val="21"/>
          <w:szCs w:val="21"/>
          <w:highlight w:val="none"/>
        </w:rPr>
      </w:pPr>
      <w:bookmarkStart w:id="3" w:name="_Toc14418"/>
      <w:r>
        <w:rPr>
          <w:rFonts w:hint="eastAsia" w:ascii="宋体" w:hAnsi="宋体" w:eastAsia="宋体" w:cs="宋体"/>
          <w:b/>
          <w:bCs/>
          <w:color w:val="auto"/>
          <w:sz w:val="21"/>
          <w:szCs w:val="21"/>
          <w:highlight w:val="none"/>
          <w:lang w:val="en-US" w:eastAsia="zh-CN"/>
        </w:rPr>
        <w:t>一、项目概况</w:t>
      </w:r>
      <w:bookmarkEnd w:id="3"/>
      <w:r>
        <w:rPr>
          <w:rFonts w:hint="eastAsia" w:ascii="宋体" w:hAnsi="宋体" w:eastAsia="宋体" w:cs="宋体"/>
          <w:b/>
          <w:bCs/>
          <w:color w:val="auto"/>
          <w:sz w:val="21"/>
          <w:szCs w:val="21"/>
          <w:highlight w:val="none"/>
          <w:lang w:val="en-US" w:eastAsia="zh-CN"/>
        </w:rPr>
        <w:t xml:space="preserve"> </w:t>
      </w:r>
    </w:p>
    <w:p w14:paraId="09CEBB1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出租方：南通轨道资源开发有限公司 </w:t>
      </w:r>
    </w:p>
    <w:p w14:paraId="0B89D9B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出租标的：南通轨道交通1、2号线一期工程便民用房</w:t>
      </w:r>
      <w:r>
        <w:rPr>
          <w:rFonts w:hint="eastAsia" w:ascii="宋体" w:hAnsi="宋体" w:cs="宋体"/>
          <w:color w:val="auto"/>
          <w:kern w:val="0"/>
          <w:sz w:val="21"/>
          <w:szCs w:val="21"/>
          <w:highlight w:val="none"/>
          <w:lang w:val="en-US" w:eastAsia="zh-CN" w:bidi="ar"/>
        </w:rPr>
        <w:t>（2026年第一期）</w:t>
      </w:r>
      <w:r>
        <w:rPr>
          <w:rFonts w:hint="eastAsia" w:ascii="宋体" w:hAnsi="宋体" w:eastAsia="宋体" w:cs="宋体"/>
          <w:color w:val="auto"/>
          <w:kern w:val="0"/>
          <w:sz w:val="21"/>
          <w:szCs w:val="21"/>
          <w:highlight w:val="none"/>
          <w:lang w:val="en-US" w:eastAsia="zh-CN" w:bidi="ar"/>
        </w:rPr>
        <w:t>，共计便民用房</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间，详见附件 1。 </w:t>
      </w:r>
    </w:p>
    <w:p w14:paraId="792999E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交易方式：公开挂牌招租。只征集到一家符合条件的意向承租方时，按意向承租方报价出租；征集到两家或两家以上符合条件的意向承租方时，由出租方采取竞价方式确定承租方。 </w:t>
      </w:r>
    </w:p>
    <w:p w14:paraId="161161F6">
      <w:pPr>
        <w:pStyle w:val="4"/>
        <w:bidi w:val="0"/>
        <w:rPr>
          <w:rFonts w:hint="eastAsia" w:ascii="宋体" w:hAnsi="宋体" w:eastAsia="宋体" w:cs="宋体"/>
          <w:b/>
          <w:bCs/>
          <w:color w:val="auto"/>
          <w:sz w:val="21"/>
          <w:szCs w:val="21"/>
          <w:highlight w:val="none"/>
          <w:lang w:val="en-US" w:eastAsia="zh-CN"/>
        </w:rPr>
      </w:pPr>
      <w:bookmarkStart w:id="4" w:name="_Toc2882"/>
      <w:r>
        <w:rPr>
          <w:rFonts w:hint="eastAsia" w:ascii="宋体" w:hAnsi="宋体" w:eastAsia="宋体" w:cs="宋体"/>
          <w:b/>
          <w:bCs/>
          <w:color w:val="auto"/>
          <w:sz w:val="21"/>
          <w:szCs w:val="21"/>
          <w:highlight w:val="none"/>
          <w:lang w:val="en-US" w:eastAsia="zh-CN"/>
        </w:rPr>
        <w:t>二、出租标的基本情况</w:t>
      </w:r>
      <w:bookmarkEnd w:id="4"/>
      <w:r>
        <w:rPr>
          <w:rFonts w:hint="eastAsia" w:ascii="宋体" w:hAnsi="宋体" w:eastAsia="宋体" w:cs="宋体"/>
          <w:b/>
          <w:bCs/>
          <w:color w:val="auto"/>
          <w:sz w:val="21"/>
          <w:szCs w:val="21"/>
          <w:highlight w:val="none"/>
          <w:lang w:val="en-US" w:eastAsia="zh-CN"/>
        </w:rPr>
        <w:t xml:space="preserve"> </w:t>
      </w:r>
    </w:p>
    <w:p w14:paraId="49C7E9C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坐落位置：标的位于南通轨道交通</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号线一期工程车站，具体位置详见附件 1 和附件 2 </w:t>
      </w:r>
    </w:p>
    <w:p w14:paraId="5BB5EBA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出租面积：详见附件 1 </w:t>
      </w:r>
    </w:p>
    <w:p w14:paraId="54A5E36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出租用途：商业 </w:t>
      </w:r>
    </w:p>
    <w:p w14:paraId="369DFB0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业态条件：详见附件 1 </w:t>
      </w:r>
    </w:p>
    <w:p w14:paraId="0D1D1E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 附属设施：详见附件 1 </w:t>
      </w:r>
    </w:p>
    <w:p w14:paraId="4E2E6B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6.（1）楼层：南通轨道交通</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号线一期工程站厅层</w:t>
      </w:r>
    </w:p>
    <w:p w14:paraId="56C32BB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（2）装修程度：详见附件 1 </w:t>
      </w:r>
    </w:p>
    <w:p w14:paraId="1ECB8B9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（3）目前租赁状态：详见附件 1，房产移交由出租方负责。</w:t>
      </w:r>
    </w:p>
    <w:p w14:paraId="2552811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有无房产证：无</w:t>
      </w:r>
    </w:p>
    <w:p w14:paraId="3C4942C0">
      <w:pPr>
        <w:pStyle w:val="4"/>
        <w:bidi w:val="0"/>
        <w:rPr>
          <w:rFonts w:hint="eastAsia" w:ascii="宋体" w:hAnsi="宋体" w:eastAsia="宋体" w:cs="宋体"/>
          <w:b/>
          <w:bCs/>
          <w:color w:val="auto"/>
          <w:sz w:val="21"/>
          <w:szCs w:val="21"/>
          <w:highlight w:val="none"/>
          <w:lang w:val="en-US" w:eastAsia="zh-CN"/>
        </w:rPr>
      </w:pPr>
      <w:bookmarkStart w:id="5" w:name="_Toc393"/>
      <w:r>
        <w:rPr>
          <w:rFonts w:hint="eastAsia" w:ascii="宋体" w:hAnsi="宋体" w:eastAsia="宋体" w:cs="宋体"/>
          <w:b/>
          <w:bCs/>
          <w:color w:val="auto"/>
          <w:sz w:val="21"/>
          <w:szCs w:val="21"/>
          <w:highlight w:val="none"/>
          <w:lang w:val="en-US" w:eastAsia="zh-CN"/>
        </w:rPr>
        <w:t>三、对承租方的要求</w:t>
      </w:r>
      <w:bookmarkEnd w:id="5"/>
      <w:r>
        <w:rPr>
          <w:rFonts w:hint="eastAsia" w:ascii="宋体" w:hAnsi="宋体" w:eastAsia="宋体" w:cs="宋体"/>
          <w:b/>
          <w:bCs/>
          <w:color w:val="auto"/>
          <w:sz w:val="21"/>
          <w:szCs w:val="21"/>
          <w:highlight w:val="none"/>
          <w:lang w:val="en-US" w:eastAsia="zh-CN"/>
        </w:rPr>
        <w:t xml:space="preserve"> </w:t>
      </w:r>
    </w:p>
    <w:p w14:paraId="01E3051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意向承租方须为具有完全民事行为能力的自然人或法人。 </w:t>
      </w:r>
    </w:p>
    <w:p w14:paraId="4562585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意向承租方须提交盖章确认（法人）或签字按手印（自然人）的《承诺函》（详见附件 5）。 </w:t>
      </w:r>
    </w:p>
    <w:p w14:paraId="4CA59C2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意向承租方须信用良好，在“信用中国”平台中没有不良记录。 </w:t>
      </w:r>
    </w:p>
    <w:p w14:paraId="3C0DDE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意向承租方承租本标的后不得转租，不得用于非法金融业务，不得出现违反公序良俗的行为。 </w:t>
      </w:r>
    </w:p>
    <w:p w14:paraId="3F1A59C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不接受联合体报名。 </w:t>
      </w:r>
    </w:p>
    <w:p w14:paraId="37539953">
      <w:pPr>
        <w:pStyle w:val="4"/>
        <w:numPr>
          <w:ilvl w:val="0"/>
          <w:numId w:val="0"/>
        </w:numPr>
        <w:bidi w:val="0"/>
        <w:rPr>
          <w:rFonts w:hint="eastAsia" w:ascii="宋体" w:hAnsi="宋体" w:eastAsia="宋体" w:cs="宋体"/>
          <w:b/>
          <w:bCs/>
          <w:color w:val="auto"/>
          <w:sz w:val="21"/>
          <w:szCs w:val="21"/>
          <w:highlight w:val="none"/>
          <w:lang w:val="en-US" w:eastAsia="zh-CN"/>
        </w:rPr>
      </w:pPr>
      <w:bookmarkStart w:id="6" w:name="_Toc30686"/>
      <w:r>
        <w:rPr>
          <w:rFonts w:hint="eastAsia" w:ascii="宋体" w:hAnsi="宋体" w:eastAsia="宋体" w:cs="宋体"/>
          <w:b/>
          <w:bCs/>
          <w:color w:val="auto"/>
          <w:sz w:val="21"/>
          <w:szCs w:val="21"/>
          <w:highlight w:val="none"/>
          <w:lang w:val="en-US" w:eastAsia="zh-CN"/>
        </w:rPr>
        <w:t>四、租金价格及支付要求</w:t>
      </w:r>
      <w:bookmarkEnd w:id="6"/>
    </w:p>
    <w:p w14:paraId="3808287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出租年限：</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年。</w:t>
      </w:r>
    </w:p>
    <w:p w14:paraId="4677E76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租金价格：详见附件1，意向承租方报价不得低于租金底价。</w:t>
      </w:r>
    </w:p>
    <w:p w14:paraId="2419B2F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租金支付方式：先付后用，按年付。全年租金计算：非闰年按365天计算，遇闰年则按366天计算。</w:t>
      </w:r>
    </w:p>
    <w:p w14:paraId="21D78B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履约保证金：首年成交金额的50%，缴纳形式为现金。</w:t>
      </w:r>
    </w:p>
    <w:p w14:paraId="41838F9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经营项目范围内的水、电等为有偿使用，其费用由承租方自行承担。水、电等费用，按南通轨道交通规定的商业收费标准计算费用。</w:t>
      </w:r>
    </w:p>
    <w:p w14:paraId="42CA55B6">
      <w:pPr>
        <w:pStyle w:val="4"/>
        <w:bidi w:val="0"/>
        <w:rPr>
          <w:rFonts w:hint="eastAsia" w:ascii="宋体" w:hAnsi="宋体" w:eastAsia="宋体" w:cs="宋体"/>
          <w:b/>
          <w:bCs/>
          <w:color w:val="auto"/>
          <w:sz w:val="21"/>
          <w:szCs w:val="21"/>
          <w:highlight w:val="none"/>
          <w:lang w:val="en-US" w:eastAsia="zh-CN"/>
        </w:rPr>
      </w:pPr>
      <w:bookmarkStart w:id="7" w:name="_Toc22030"/>
      <w:r>
        <w:rPr>
          <w:rFonts w:hint="eastAsia" w:ascii="宋体" w:hAnsi="宋体" w:eastAsia="宋体" w:cs="宋体"/>
          <w:b/>
          <w:bCs/>
          <w:color w:val="auto"/>
          <w:sz w:val="21"/>
          <w:szCs w:val="21"/>
          <w:highlight w:val="none"/>
          <w:lang w:val="en-US" w:eastAsia="zh-CN"/>
        </w:rPr>
        <w:t>五、交易保证金</w:t>
      </w:r>
      <w:bookmarkEnd w:id="7"/>
      <w:r>
        <w:rPr>
          <w:rFonts w:hint="eastAsia" w:ascii="宋体" w:hAnsi="宋体" w:eastAsia="宋体" w:cs="宋体"/>
          <w:b/>
          <w:bCs/>
          <w:color w:val="auto"/>
          <w:sz w:val="21"/>
          <w:szCs w:val="21"/>
          <w:highlight w:val="none"/>
          <w:lang w:val="en-US" w:eastAsia="zh-CN"/>
        </w:rPr>
        <w:t xml:space="preserve"> </w:t>
      </w:r>
    </w:p>
    <w:p w14:paraId="2727589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金额为3000元/标的，意向承租方须在202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28</w:t>
      </w:r>
      <w:r>
        <w:rPr>
          <w:rFonts w:hint="eastAsia" w:ascii="宋体" w:hAnsi="宋体" w:eastAsia="宋体" w:cs="宋体"/>
          <w:color w:val="auto"/>
          <w:kern w:val="0"/>
          <w:sz w:val="21"/>
          <w:szCs w:val="21"/>
          <w:highlight w:val="none"/>
          <w:lang w:val="en-US" w:eastAsia="zh-CN" w:bidi="ar"/>
        </w:rPr>
        <w:t>日</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分（北京时间</w:t>
      </w:r>
      <w:r>
        <w:rPr>
          <w:rFonts w:hint="eastAsia" w:ascii="宋体" w:hAnsi="宋体" w:cs="宋体"/>
          <w:color w:val="auto"/>
          <w:kern w:val="0"/>
          <w:sz w:val="21"/>
          <w:szCs w:val="21"/>
          <w:highlight w:val="none"/>
          <w:lang w:val="en-US" w:eastAsia="zh-CN" w:bidi="ar"/>
        </w:rPr>
        <w:t>，下同</w:t>
      </w:r>
      <w:r>
        <w:rPr>
          <w:rFonts w:hint="eastAsia" w:ascii="宋体" w:hAnsi="宋体" w:eastAsia="宋体" w:cs="宋体"/>
          <w:color w:val="auto"/>
          <w:kern w:val="0"/>
          <w:sz w:val="21"/>
          <w:szCs w:val="21"/>
          <w:highlight w:val="none"/>
          <w:lang w:val="en-US" w:eastAsia="zh-CN" w:bidi="ar"/>
        </w:rPr>
        <w:t>）前交至指定账户（以到达账户时间为准，遇法定节假日顺延），</w:t>
      </w:r>
      <w:r>
        <w:rPr>
          <w:rFonts w:hint="eastAsia" w:ascii="宋体" w:hAnsi="宋体" w:eastAsia="宋体" w:cs="宋体"/>
          <w:b/>
          <w:bCs/>
          <w:color w:val="auto"/>
          <w:kern w:val="0"/>
          <w:sz w:val="21"/>
          <w:szCs w:val="21"/>
          <w:highlight w:val="none"/>
          <w:lang w:val="en-US" w:eastAsia="zh-CN" w:bidi="ar"/>
        </w:rPr>
        <w:t>逾期将不能取得竞租资格</w:t>
      </w:r>
      <w:r>
        <w:rPr>
          <w:rFonts w:hint="eastAsia" w:ascii="宋体" w:hAnsi="宋体" w:eastAsia="宋体" w:cs="宋体"/>
          <w:color w:val="auto"/>
          <w:kern w:val="0"/>
          <w:sz w:val="21"/>
          <w:szCs w:val="21"/>
          <w:highlight w:val="none"/>
          <w:lang w:val="en-US" w:eastAsia="zh-CN" w:bidi="ar"/>
        </w:rPr>
        <w:t>。</w:t>
      </w:r>
    </w:p>
    <w:p w14:paraId="0EDA2A4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证金交纳方式：竞选人若为企业法人，须采用现金或本票或保函或保险或担保或数字人民币或从企业基本账户以银行转账等形式交纳保证金；竞选人若为自然人，以个人的名义交纳保证金的形式为现金或本票或保函或保险或担保或数字人民币</w:t>
      </w:r>
      <w:r>
        <w:rPr>
          <w:rFonts w:hint="eastAsia" w:ascii="宋体" w:hAnsi="宋体" w:cs="宋体"/>
          <w:color w:val="auto"/>
          <w:kern w:val="0"/>
          <w:sz w:val="21"/>
          <w:szCs w:val="21"/>
          <w:highlight w:val="none"/>
          <w:lang w:val="en-US" w:eastAsia="zh-CN" w:bidi="ar"/>
        </w:rPr>
        <w:t>或银行转账</w:t>
      </w:r>
      <w:r>
        <w:rPr>
          <w:rFonts w:hint="eastAsia" w:ascii="宋体" w:hAnsi="宋体" w:eastAsia="宋体" w:cs="宋体"/>
          <w:color w:val="auto"/>
          <w:kern w:val="0"/>
          <w:sz w:val="21"/>
          <w:szCs w:val="21"/>
          <w:highlight w:val="none"/>
          <w:lang w:val="en-US" w:eastAsia="zh-CN" w:bidi="ar"/>
        </w:rPr>
        <w:t>等。禁止第三方代缴保证金或以其他方式交纳。交纳保证金时须</w:t>
      </w:r>
      <w:r>
        <w:rPr>
          <w:rFonts w:hint="eastAsia" w:ascii="宋体" w:hAnsi="宋体" w:eastAsia="宋体" w:cs="宋体"/>
          <w:b/>
          <w:bCs/>
          <w:color w:val="auto"/>
          <w:kern w:val="0"/>
          <w:sz w:val="21"/>
          <w:szCs w:val="21"/>
          <w:highlight w:val="none"/>
          <w:lang w:val="en-US" w:eastAsia="zh-CN" w:bidi="ar"/>
        </w:rPr>
        <w:t>备注“XX标的交易保证金”。</w:t>
      </w:r>
      <w:r>
        <w:rPr>
          <w:rFonts w:hint="eastAsia" w:ascii="宋体" w:hAnsi="宋体" w:cs="宋体"/>
          <w:color w:val="auto"/>
          <w:kern w:val="0"/>
          <w:sz w:val="21"/>
          <w:szCs w:val="21"/>
          <w:highlight w:val="none"/>
          <w:lang w:val="en-US" w:eastAsia="zh-CN" w:bidi="ar"/>
        </w:rPr>
        <w:t>竞选人以银行转账方式</w:t>
      </w:r>
      <w:r>
        <w:rPr>
          <w:rFonts w:hint="eastAsia" w:ascii="宋体" w:hAnsi="宋体" w:eastAsia="宋体" w:cs="宋体"/>
          <w:color w:val="auto"/>
          <w:kern w:val="0"/>
          <w:sz w:val="21"/>
          <w:szCs w:val="21"/>
          <w:highlight w:val="none"/>
          <w:lang w:val="en-US" w:eastAsia="zh-CN" w:bidi="ar"/>
        </w:rPr>
        <w:t>交纳</w:t>
      </w:r>
      <w:r>
        <w:rPr>
          <w:rFonts w:hint="eastAsia" w:ascii="宋体" w:hAnsi="宋体" w:cs="宋体"/>
          <w:color w:val="auto"/>
          <w:kern w:val="0"/>
          <w:sz w:val="21"/>
          <w:szCs w:val="21"/>
          <w:highlight w:val="none"/>
          <w:lang w:val="en-US" w:eastAsia="zh-CN" w:bidi="ar"/>
        </w:rPr>
        <w:t>保证金的，若确定为</w:t>
      </w:r>
      <w:r>
        <w:rPr>
          <w:rFonts w:hint="eastAsia" w:ascii="宋体" w:hAnsi="宋体" w:eastAsia="宋体" w:cs="宋体"/>
          <w:color w:val="auto"/>
          <w:kern w:val="0"/>
          <w:sz w:val="21"/>
          <w:szCs w:val="21"/>
          <w:highlight w:val="none"/>
          <w:lang w:val="en-US" w:eastAsia="zh-CN" w:bidi="ar"/>
        </w:rPr>
        <w:t>承租方</w:t>
      </w:r>
      <w:r>
        <w:rPr>
          <w:rFonts w:hint="eastAsia" w:ascii="宋体" w:hAnsi="宋体" w:cs="宋体"/>
          <w:color w:val="auto"/>
          <w:kern w:val="0"/>
          <w:sz w:val="21"/>
          <w:szCs w:val="21"/>
          <w:highlight w:val="none"/>
          <w:lang w:val="en-US" w:eastAsia="zh-CN" w:bidi="ar"/>
        </w:rPr>
        <w:t>，其保证金转为履约保证金。</w:t>
      </w:r>
    </w:p>
    <w:p w14:paraId="416391D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bookmarkStart w:id="8" w:name="_Toc20965"/>
      <w:r>
        <w:rPr>
          <w:rFonts w:hint="eastAsia" w:ascii="宋体" w:hAnsi="宋体" w:eastAsia="宋体" w:cs="宋体"/>
          <w:b/>
          <w:bCs/>
          <w:color w:val="auto"/>
          <w:kern w:val="0"/>
          <w:sz w:val="21"/>
          <w:szCs w:val="21"/>
          <w:highlight w:val="none"/>
          <w:lang w:val="en-US" w:eastAsia="zh-CN" w:bidi="ar"/>
        </w:rPr>
        <w:t>户名：南通轨道资源开发有限公司</w:t>
      </w:r>
      <w:bookmarkEnd w:id="8"/>
    </w:p>
    <w:p w14:paraId="4FC6D30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账号：</w:t>
      </w:r>
      <w:r>
        <w:rPr>
          <w:rFonts w:hint="eastAsia" w:ascii="宋体" w:hAnsi="宋体" w:cs="宋体"/>
          <w:b/>
          <w:bCs/>
          <w:color w:val="auto"/>
          <w:kern w:val="0"/>
          <w:sz w:val="21"/>
          <w:szCs w:val="21"/>
          <w:highlight w:val="none"/>
          <w:lang w:val="en-US" w:eastAsia="zh-CN" w:bidi="ar"/>
        </w:rPr>
        <w:t>326008602011000291381</w:t>
      </w:r>
    </w:p>
    <w:p w14:paraId="0B36D76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开户银行：</w:t>
      </w:r>
      <w:r>
        <w:rPr>
          <w:rFonts w:hint="eastAsia" w:ascii="宋体" w:hAnsi="宋体" w:cs="宋体"/>
          <w:b/>
          <w:bCs/>
          <w:color w:val="auto"/>
          <w:kern w:val="0"/>
          <w:sz w:val="21"/>
          <w:szCs w:val="21"/>
          <w:highlight w:val="none"/>
          <w:lang w:val="en-US" w:eastAsia="zh-CN" w:bidi="ar"/>
        </w:rPr>
        <w:t>交通银行南通分行营业部</w:t>
      </w:r>
    </w:p>
    <w:p w14:paraId="5806298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交易保证金退还及其他要求详见附件3竞选须知。</w:t>
      </w:r>
    </w:p>
    <w:p w14:paraId="6DA29E75">
      <w:pPr>
        <w:pStyle w:val="4"/>
        <w:bidi w:val="0"/>
        <w:rPr>
          <w:rFonts w:hint="eastAsia" w:ascii="宋体" w:hAnsi="宋体" w:eastAsia="宋体" w:cs="宋体"/>
          <w:b/>
          <w:bCs/>
          <w:sz w:val="21"/>
          <w:szCs w:val="21"/>
          <w:highlight w:val="none"/>
          <w:lang w:val="en-US" w:eastAsia="zh-CN"/>
        </w:rPr>
      </w:pPr>
      <w:bookmarkStart w:id="9" w:name="_Toc19804"/>
      <w:r>
        <w:rPr>
          <w:rFonts w:hint="eastAsia" w:ascii="宋体" w:hAnsi="宋体" w:eastAsia="宋体" w:cs="宋体"/>
          <w:b/>
          <w:bCs/>
          <w:sz w:val="21"/>
          <w:szCs w:val="21"/>
          <w:highlight w:val="none"/>
          <w:lang w:val="en-US" w:eastAsia="zh-CN"/>
        </w:rPr>
        <w:t>六、招租流程</w:t>
      </w:r>
      <w:bookmarkEnd w:id="9"/>
      <w:r>
        <w:rPr>
          <w:rFonts w:hint="eastAsia" w:ascii="宋体" w:hAnsi="宋体" w:eastAsia="宋体" w:cs="宋体"/>
          <w:b/>
          <w:bCs/>
          <w:sz w:val="21"/>
          <w:szCs w:val="21"/>
          <w:highlight w:val="none"/>
          <w:lang w:val="en-US" w:eastAsia="zh-CN"/>
        </w:rPr>
        <w:t xml:space="preserve"> </w:t>
      </w:r>
    </w:p>
    <w:p w14:paraId="7B07693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出租方通过南通市公共资源交易网（http://zfcg.nantong.gov.cn/）、南通轨道交通官网（https://www.ntrailway.com/）发布招租信息，挂牌期限为202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val="en-US" w:eastAsia="zh-CN" w:bidi="ar"/>
        </w:rPr>
        <w:t>日至202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val="en-US" w:eastAsia="zh-CN" w:bidi="ar"/>
        </w:rPr>
        <w:t>日。信息不一致的，以南通市公共资源交易平台发布为准。</w:t>
      </w:r>
    </w:p>
    <w:p w14:paraId="14A59E2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意向承租方至出租方进行信息咨询、缴纳交易保证金、递交竞选文件。 </w:t>
      </w:r>
    </w:p>
    <w:p w14:paraId="5EB0D3F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挂牌期满后，意向承租方在规定的时间内递交竞选文件，出租方按照招租文件规定的要求进行组织开标。</w:t>
      </w:r>
      <w:r>
        <w:rPr>
          <w:rFonts w:hint="eastAsia" w:ascii="宋体" w:hAnsi="宋体" w:eastAsia="宋体" w:cs="宋体"/>
          <w:b/>
          <w:bCs/>
          <w:color w:val="auto"/>
          <w:kern w:val="0"/>
          <w:sz w:val="21"/>
          <w:szCs w:val="21"/>
          <w:highlight w:val="none"/>
          <w:lang w:val="en-US" w:eastAsia="zh-CN" w:bidi="ar"/>
        </w:rPr>
        <w:t>竞选文件的编制要求地点等内容详见附件 4</w:t>
      </w:r>
      <w:r>
        <w:rPr>
          <w:rFonts w:hint="eastAsia" w:ascii="宋体" w:hAnsi="宋体" w:eastAsia="宋体" w:cs="宋体"/>
          <w:color w:val="auto"/>
          <w:kern w:val="0"/>
          <w:sz w:val="21"/>
          <w:szCs w:val="21"/>
          <w:highlight w:val="none"/>
          <w:lang w:val="en-US" w:eastAsia="zh-CN" w:bidi="ar"/>
        </w:rPr>
        <w:t xml:space="preserve">。 </w:t>
      </w:r>
    </w:p>
    <w:p w14:paraId="080EC70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3.1竞选文件递交起止时间：</w:t>
      </w:r>
      <w:r>
        <w:rPr>
          <w:rFonts w:hint="eastAsia" w:ascii="宋体" w:hAnsi="宋体" w:eastAsia="宋体" w:cs="宋体"/>
          <w:color w:val="auto"/>
          <w:kern w:val="0"/>
          <w:sz w:val="21"/>
          <w:szCs w:val="21"/>
          <w:highlight w:val="none"/>
          <w:u w:val="single"/>
          <w:lang w:val="en-US" w:eastAsia="zh-CN" w:bidi="ar"/>
        </w:rPr>
        <w:t>2026年</w:t>
      </w:r>
      <w:r>
        <w:rPr>
          <w:rFonts w:hint="eastAsia" w:ascii="宋体" w:hAnsi="宋体" w:cs="宋体"/>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月</w:t>
      </w:r>
      <w:r>
        <w:rPr>
          <w:rFonts w:hint="eastAsia" w:ascii="宋体" w:hAnsi="宋体" w:cs="宋体"/>
          <w:color w:val="auto"/>
          <w:kern w:val="0"/>
          <w:sz w:val="21"/>
          <w:szCs w:val="21"/>
          <w:highlight w:val="none"/>
          <w:u w:val="single"/>
          <w:lang w:val="en-US" w:eastAsia="zh-CN" w:bidi="ar"/>
        </w:rPr>
        <w:t>28</w:t>
      </w:r>
      <w:r>
        <w:rPr>
          <w:rFonts w:hint="eastAsia" w:ascii="宋体" w:hAnsi="宋体" w:eastAsia="宋体" w:cs="宋体"/>
          <w:color w:val="auto"/>
          <w:kern w:val="0"/>
          <w:sz w:val="21"/>
          <w:szCs w:val="21"/>
          <w:highlight w:val="none"/>
          <w:u w:val="single"/>
          <w:lang w:val="en-US" w:eastAsia="zh-CN" w:bidi="ar"/>
        </w:rPr>
        <w:t>日9时</w:t>
      </w:r>
      <w:r>
        <w:rPr>
          <w:rFonts w:hint="eastAsia" w:ascii="宋体" w:hAnsi="宋体" w:cs="宋体"/>
          <w:color w:val="auto"/>
          <w:kern w:val="0"/>
          <w:sz w:val="21"/>
          <w:szCs w:val="21"/>
          <w:highlight w:val="none"/>
          <w:u w:val="single"/>
          <w:lang w:val="en-US" w:eastAsia="zh-CN" w:bidi="ar"/>
        </w:rPr>
        <w:t>0</w:t>
      </w:r>
      <w:r>
        <w:rPr>
          <w:rFonts w:hint="eastAsia" w:ascii="宋体" w:hAnsi="宋体" w:eastAsia="宋体" w:cs="宋体"/>
          <w:color w:val="auto"/>
          <w:kern w:val="0"/>
          <w:sz w:val="21"/>
          <w:szCs w:val="21"/>
          <w:highlight w:val="none"/>
          <w:u w:val="single"/>
          <w:lang w:val="en-US" w:eastAsia="zh-CN" w:bidi="ar"/>
        </w:rPr>
        <w:t>0分</w:t>
      </w:r>
      <w:r>
        <w:rPr>
          <w:rFonts w:hint="eastAsia" w:ascii="宋体" w:hAnsi="宋体" w:cs="宋体"/>
          <w:color w:val="auto"/>
          <w:kern w:val="0"/>
          <w:sz w:val="21"/>
          <w:szCs w:val="21"/>
          <w:highlight w:val="none"/>
          <w:u w:val="single"/>
          <w:lang w:val="en-US" w:eastAsia="zh-CN" w:bidi="ar"/>
        </w:rPr>
        <w:t>-9</w:t>
      </w:r>
      <w:r>
        <w:rPr>
          <w:rFonts w:hint="eastAsia" w:ascii="宋体" w:hAnsi="宋体" w:eastAsia="宋体" w:cs="宋体"/>
          <w:color w:val="auto"/>
          <w:kern w:val="0"/>
          <w:sz w:val="21"/>
          <w:szCs w:val="21"/>
          <w:highlight w:val="none"/>
          <w:u w:val="single"/>
          <w:lang w:val="en-US" w:eastAsia="zh-CN" w:bidi="ar"/>
        </w:rPr>
        <w:t>时</w:t>
      </w:r>
      <w:r>
        <w:rPr>
          <w:rFonts w:hint="eastAsia" w:ascii="宋体" w:hAnsi="宋体" w:cs="宋体"/>
          <w:color w:val="auto"/>
          <w:kern w:val="0"/>
          <w:sz w:val="21"/>
          <w:szCs w:val="21"/>
          <w:highlight w:val="none"/>
          <w:u w:val="single"/>
          <w:lang w:val="en-US" w:eastAsia="zh-CN" w:bidi="ar"/>
        </w:rPr>
        <w:t>30</w:t>
      </w:r>
      <w:r>
        <w:rPr>
          <w:rFonts w:hint="eastAsia" w:ascii="宋体" w:hAnsi="宋体" w:eastAsia="宋体" w:cs="宋体"/>
          <w:color w:val="auto"/>
          <w:kern w:val="0"/>
          <w:sz w:val="21"/>
          <w:szCs w:val="21"/>
          <w:highlight w:val="none"/>
          <w:u w:val="single"/>
          <w:lang w:val="en-US" w:eastAsia="zh-CN" w:bidi="ar"/>
        </w:rPr>
        <w:t>分</w:t>
      </w:r>
      <w:r>
        <w:rPr>
          <w:rFonts w:hint="eastAsia" w:ascii="宋体" w:hAnsi="宋体" w:eastAsia="宋体" w:cs="宋体"/>
          <w:color w:val="auto"/>
          <w:kern w:val="0"/>
          <w:sz w:val="21"/>
          <w:szCs w:val="21"/>
          <w:highlight w:val="none"/>
          <w:lang w:val="en-US" w:eastAsia="zh-CN" w:bidi="ar"/>
        </w:rPr>
        <w:t>。</w:t>
      </w:r>
    </w:p>
    <w:p w14:paraId="0A75D1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3.2竞选文件递交地点：</w:t>
      </w:r>
      <w:r>
        <w:rPr>
          <w:rFonts w:hint="eastAsia" w:ascii="宋体" w:hAnsi="宋体" w:eastAsia="宋体" w:cs="宋体"/>
          <w:color w:val="auto"/>
          <w:kern w:val="0"/>
          <w:sz w:val="21"/>
          <w:szCs w:val="21"/>
          <w:highlight w:val="none"/>
          <w:u w:val="single"/>
          <w:lang w:val="en-US" w:eastAsia="zh-CN" w:bidi="ar"/>
        </w:rPr>
        <w:t>南通市崇川区崇川路158号15楼</w:t>
      </w:r>
      <w:r>
        <w:rPr>
          <w:rFonts w:hint="eastAsia" w:ascii="宋体" w:hAnsi="宋体" w:cs="宋体"/>
          <w:color w:val="auto"/>
          <w:kern w:val="0"/>
          <w:sz w:val="21"/>
          <w:szCs w:val="21"/>
          <w:highlight w:val="none"/>
          <w:u w:val="single"/>
          <w:lang w:val="en-US" w:eastAsia="zh-CN" w:bidi="ar"/>
        </w:rPr>
        <w:t>1506</w:t>
      </w:r>
      <w:r>
        <w:rPr>
          <w:rFonts w:hint="eastAsia" w:ascii="宋体" w:hAnsi="宋体" w:eastAsia="宋体" w:cs="宋体"/>
          <w:color w:val="auto"/>
          <w:kern w:val="0"/>
          <w:sz w:val="21"/>
          <w:szCs w:val="21"/>
          <w:highlight w:val="none"/>
          <w:u w:val="single"/>
          <w:lang w:val="en-US" w:eastAsia="zh-CN" w:bidi="ar"/>
        </w:rPr>
        <w:t>开标</w:t>
      </w:r>
      <w:r>
        <w:rPr>
          <w:rFonts w:hint="eastAsia" w:ascii="宋体" w:hAnsi="宋体" w:eastAsia="宋体" w:cs="宋体"/>
          <w:color w:val="auto"/>
          <w:highlight w:val="none"/>
          <w:u w:val="single"/>
          <w:lang w:val="en-US" w:eastAsia="zh-CN"/>
        </w:rPr>
        <w:t>室</w:t>
      </w:r>
      <w:r>
        <w:rPr>
          <w:rFonts w:hint="eastAsia" w:ascii="宋体" w:hAnsi="宋体" w:eastAsia="宋体" w:cs="宋体"/>
          <w:color w:val="auto"/>
          <w:kern w:val="0"/>
          <w:sz w:val="21"/>
          <w:szCs w:val="21"/>
          <w:highlight w:val="none"/>
          <w:lang w:val="en-US" w:eastAsia="zh-CN" w:bidi="ar"/>
        </w:rPr>
        <w:t>。</w:t>
      </w:r>
    </w:p>
    <w:p w14:paraId="7176940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3.3逾期送达的或者未送达指定地点的竞选文件，出租方不予受理。</w:t>
      </w:r>
    </w:p>
    <w:p w14:paraId="18B1FC6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出租方向中选承租方发出中选通知书。 </w:t>
      </w:r>
    </w:p>
    <w:p w14:paraId="0C4FDE2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承租方缴纳履约保证金、与出租方签订租赁合同（合同范本详见附件 3）、办理便民用房交接等。 </w:t>
      </w:r>
    </w:p>
    <w:p w14:paraId="2C121AD1">
      <w:pPr>
        <w:pStyle w:val="4"/>
        <w:bidi w:val="0"/>
        <w:rPr>
          <w:rFonts w:hint="eastAsia" w:ascii="宋体" w:hAnsi="宋体" w:eastAsia="宋体" w:cs="宋体"/>
          <w:color w:val="auto"/>
          <w:sz w:val="21"/>
          <w:szCs w:val="21"/>
          <w:highlight w:val="none"/>
        </w:rPr>
      </w:pPr>
      <w:bookmarkStart w:id="10" w:name="_Toc14197"/>
      <w:r>
        <w:rPr>
          <w:rFonts w:hint="eastAsia" w:ascii="宋体" w:hAnsi="宋体" w:eastAsia="宋体" w:cs="宋体"/>
          <w:b/>
          <w:bCs/>
          <w:color w:val="auto"/>
          <w:sz w:val="21"/>
          <w:szCs w:val="21"/>
          <w:highlight w:val="none"/>
          <w:lang w:val="en-US" w:eastAsia="zh-CN"/>
        </w:rPr>
        <w:t>七、其它要求</w:t>
      </w:r>
      <w:bookmarkEnd w:id="10"/>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
        </w:rPr>
        <w:t xml:space="preserve"> </w:t>
      </w:r>
    </w:p>
    <w:p w14:paraId="02079EA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本次出租标的为分别出租。 </w:t>
      </w:r>
    </w:p>
    <w:p w14:paraId="65E07E3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 经营业态：</w:t>
      </w:r>
    </w:p>
    <w:p w14:paraId="24B1428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2.1经营不得产生油烟、异味以及特殊气味。</w:t>
      </w:r>
    </w:p>
    <w:p w14:paraId="538CE49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2.2不得经营南通轨道交通已授权相关业务（如便利店、充电宝、自助售货机等业务）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0CD699C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注：出租方保留判断经营业态是否符合南通轨道交通要求的权利，具体经由评标委员会决定。</w:t>
      </w:r>
    </w:p>
    <w:p w14:paraId="78AD2E8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经营范围：便民用房内部的使用权及便民用房门头的使用权。</w:t>
      </w:r>
    </w:p>
    <w:p w14:paraId="37A8E3E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便民用房交付状态：现状交付，详见附件1便民用房信息汇总表。对于承租方提出的供电量增容、上/下水增设、排污排烟增设需求，出租方均无法满足，承租方不得提出异议。（详见附件1）</w:t>
      </w:r>
    </w:p>
    <w:p w14:paraId="13499FD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4FAB15B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承租方承租后签订合同时，需同时签订项目安全协议、项目廉政公约。</w:t>
      </w:r>
    </w:p>
    <w:p w14:paraId="1199CC5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w:t>
      </w:r>
    </w:p>
    <w:p w14:paraId="36C26EA2">
      <w:pPr>
        <w:pStyle w:val="4"/>
        <w:bidi w:val="0"/>
        <w:rPr>
          <w:rFonts w:hint="eastAsia" w:ascii="宋体" w:hAnsi="宋体" w:eastAsia="宋体" w:cs="宋体"/>
          <w:b/>
          <w:bCs/>
          <w:color w:val="auto"/>
          <w:sz w:val="21"/>
          <w:szCs w:val="21"/>
          <w:highlight w:val="none"/>
          <w:lang w:val="en-US" w:eastAsia="zh-CN"/>
        </w:rPr>
      </w:pPr>
      <w:bookmarkStart w:id="11" w:name="_Toc10082"/>
      <w:r>
        <w:rPr>
          <w:rFonts w:hint="eastAsia" w:ascii="宋体" w:hAnsi="宋体" w:eastAsia="宋体" w:cs="宋体"/>
          <w:b/>
          <w:bCs/>
          <w:color w:val="auto"/>
          <w:sz w:val="21"/>
          <w:szCs w:val="21"/>
          <w:highlight w:val="none"/>
          <w:lang w:val="en-US" w:eastAsia="zh-CN"/>
        </w:rPr>
        <w:t>八、竞选文件须提供材料</w:t>
      </w:r>
      <w:bookmarkEnd w:id="11"/>
    </w:p>
    <w:p w14:paraId="0156580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如意向承租方为法人则提交：</w:t>
      </w:r>
      <w:r>
        <w:rPr>
          <w:rFonts w:hint="eastAsia" w:ascii="宋体" w:hAnsi="宋体" w:eastAsia="宋体" w:cs="宋体"/>
          <w:color w:val="auto"/>
          <w:kern w:val="0"/>
          <w:sz w:val="21"/>
          <w:szCs w:val="21"/>
          <w:highlight w:val="none"/>
          <w:lang w:val="en-US" w:eastAsia="zh-CN" w:bidi="ar"/>
        </w:rPr>
        <w:t>（详见附件 5-1竞选文件格式（法人版））</w:t>
      </w:r>
    </w:p>
    <w:p w14:paraId="28CDBE1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授权委托书 </w:t>
      </w:r>
    </w:p>
    <w:p w14:paraId="2C7BE70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营业执照 </w:t>
      </w:r>
    </w:p>
    <w:p w14:paraId="0DBD2EF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74FDA2E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经营业态</w:t>
      </w:r>
    </w:p>
    <w:p w14:paraId="3CC4315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报价函</w:t>
      </w:r>
    </w:p>
    <w:p w14:paraId="7063071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025E98A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如意向承租方为自然人则提交：</w:t>
      </w:r>
      <w:r>
        <w:rPr>
          <w:rFonts w:hint="eastAsia" w:ascii="宋体" w:hAnsi="宋体" w:eastAsia="宋体" w:cs="宋体"/>
          <w:color w:val="auto"/>
          <w:kern w:val="0"/>
          <w:sz w:val="21"/>
          <w:szCs w:val="21"/>
          <w:highlight w:val="none"/>
          <w:lang w:val="en-US" w:eastAsia="zh-CN" w:bidi="ar"/>
        </w:rPr>
        <w:t>（详见附件 5-2竞选文件格式（自然人版））</w:t>
      </w:r>
    </w:p>
    <w:p w14:paraId="4C439CC3">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授权委托书 </w:t>
      </w:r>
    </w:p>
    <w:p w14:paraId="69F931C7">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身份证复印件</w:t>
      </w:r>
    </w:p>
    <w:p w14:paraId="01588BA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586F5E7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经营业态</w:t>
      </w:r>
    </w:p>
    <w:p w14:paraId="226BBCD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bookmarkStart w:id="12" w:name="_Toc16863"/>
      <w:bookmarkStart w:id="13" w:name="_Toc28369"/>
      <w:bookmarkStart w:id="14" w:name="_Toc2657"/>
      <w:bookmarkStart w:id="15" w:name="_Toc10003"/>
      <w:bookmarkStart w:id="16" w:name="_Toc13184"/>
      <w:bookmarkStart w:id="17" w:name="_Toc4026"/>
      <w:r>
        <w:rPr>
          <w:rFonts w:hint="eastAsia" w:ascii="宋体" w:hAnsi="宋体" w:eastAsia="宋体" w:cs="宋体"/>
          <w:color w:val="auto"/>
          <w:kern w:val="0"/>
          <w:sz w:val="21"/>
          <w:szCs w:val="21"/>
          <w:highlight w:val="none"/>
          <w:lang w:val="en-US" w:eastAsia="zh-CN" w:bidi="ar"/>
        </w:rPr>
        <w:t>5. 报价函</w:t>
      </w:r>
    </w:p>
    <w:p w14:paraId="2319FB6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5C684AEB">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联系方式</w:t>
      </w:r>
      <w:bookmarkEnd w:id="12"/>
    </w:p>
    <w:bookmarkEnd w:id="13"/>
    <w:bookmarkEnd w:id="14"/>
    <w:bookmarkEnd w:id="15"/>
    <w:bookmarkEnd w:id="16"/>
    <w:bookmarkEnd w:id="17"/>
    <w:p w14:paraId="0A252F5B">
      <w:pPr>
        <w:ind w:left="-439" w:leftChars="-209" w:right="-748" w:rightChars="-356" w:firstLine="858" w:firstLineChars="4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出租方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FFFFFF"/>
          <w:lang w:eastAsia="zh-CN"/>
        </w:rPr>
        <w:t>南通轨道资源开发有限公司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E43726F">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南通市崇川区崇川路158号18楼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D02492A">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高</w:t>
      </w:r>
      <w:r>
        <w:rPr>
          <w:rFonts w:hint="eastAsia" w:ascii="宋体" w:hAnsi="宋体" w:eastAsia="宋体" w:cs="宋体"/>
          <w:color w:val="auto"/>
          <w:highlight w:val="none"/>
          <w:u w:val="single"/>
        </w:rPr>
        <w:t xml:space="preserve">女士                                                     </w:t>
      </w:r>
    </w:p>
    <w:p w14:paraId="45FBACE8">
      <w:pPr>
        <w:ind w:left="-439" w:leftChars="-209" w:right="-748" w:rightChars="-356" w:firstLine="858" w:firstLineChars="409"/>
        <w:rPr>
          <w:rFonts w:hint="eastAsia" w:ascii="宋体" w:hAnsi="宋体" w:eastAsia="宋体" w:cs="宋体"/>
          <w:b/>
          <w:bCs/>
          <w:color w:val="auto"/>
          <w:highlight w:val="none"/>
          <w:u w:val="singl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18252515562                   </w:t>
      </w:r>
      <w:r>
        <w:rPr>
          <w:rFonts w:hint="eastAsia" w:ascii="宋体" w:hAnsi="宋体" w:eastAsia="宋体" w:cs="宋体"/>
          <w:color w:val="auto"/>
          <w:highlight w:val="none"/>
          <w:u w:val="single"/>
        </w:rPr>
        <w:t xml:space="preserve">                           </w:t>
      </w:r>
    </w:p>
    <w:p w14:paraId="5AC11E75">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中达工程管理咨询有限公司</w:t>
      </w:r>
      <w:r>
        <w:rPr>
          <w:rFonts w:hint="eastAsia" w:ascii="宋体" w:hAnsi="宋体" w:eastAsia="宋体" w:cs="宋体"/>
          <w:color w:val="auto"/>
          <w:sz w:val="21"/>
          <w:szCs w:val="21"/>
          <w:highlight w:val="none"/>
          <w:u w:val="single"/>
        </w:rPr>
        <w:t xml:space="preserve">                                 </w:t>
      </w:r>
    </w:p>
    <w:p w14:paraId="2FE39432">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李先生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B51DD3">
      <w:pPr>
        <w:ind w:left="-439" w:leftChars="-209" w:right="-748" w:rightChars="-356" w:firstLine="858" w:firstLineChars="40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15151361032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578CA48">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kern w:val="0"/>
          <w:sz w:val="21"/>
          <w:szCs w:val="21"/>
          <w:highlight w:val="none"/>
          <w:lang w:val="en-US" w:eastAsia="zh-CN" w:bidi="ar"/>
        </w:rPr>
      </w:pPr>
    </w:p>
    <w:p w14:paraId="249759BF">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附件：1. 便民用房信息汇总表 </w:t>
      </w:r>
    </w:p>
    <w:p w14:paraId="1D008B6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便民用房落位图 </w:t>
      </w:r>
    </w:p>
    <w:p w14:paraId="60C4A54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竞选须知 </w:t>
      </w:r>
    </w:p>
    <w:p w14:paraId="2407F1C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合同主要条款</w:t>
      </w:r>
    </w:p>
    <w:p w14:paraId="765411D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 竞选文件格式（法人版）</w:t>
      </w:r>
    </w:p>
    <w:p w14:paraId="3C22A5F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5-2. 竞选文件格式（自然人版）</w:t>
      </w:r>
    </w:p>
    <w:p w14:paraId="0A8DDBF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sz w:val="21"/>
          <w:szCs w:val="21"/>
          <w:highlight w:val="none"/>
          <w:lang w:val="en-US"/>
        </w:rPr>
      </w:pPr>
    </w:p>
    <w:p w14:paraId="706200BC">
      <w:pPr>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br w:type="page"/>
      </w:r>
      <w:bookmarkStart w:id="54" w:name="_GoBack"/>
      <w:bookmarkEnd w:id="54"/>
    </w:p>
    <w:p w14:paraId="44BDBCE4">
      <w:pPr>
        <w:pStyle w:val="4"/>
        <w:bidi w:val="0"/>
        <w:outlineLvl w:val="9"/>
        <w:rPr>
          <w:rFonts w:hint="eastAsia" w:ascii="宋体" w:hAnsi="宋体" w:eastAsia="宋体" w:cs="宋体"/>
          <w:color w:val="auto"/>
          <w:sz w:val="21"/>
          <w:szCs w:val="21"/>
          <w:highlight w:val="none"/>
          <w:lang w:val="en-US" w:eastAsia="zh-CN"/>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132659AE">
      <w:pPr>
        <w:pStyle w:val="4"/>
        <w:bidi w:val="0"/>
        <w:outlineLvl w:val="0"/>
        <w:rPr>
          <w:rFonts w:hint="eastAsia" w:ascii="宋体" w:hAnsi="宋体" w:eastAsia="宋体" w:cs="宋体"/>
          <w:color w:val="auto"/>
          <w:sz w:val="24"/>
          <w:szCs w:val="24"/>
          <w:highlight w:val="none"/>
          <w:lang w:val="en-US" w:eastAsia="zh-CN"/>
        </w:rPr>
      </w:pPr>
      <w:bookmarkStart w:id="18" w:name="_Toc5317"/>
      <w:r>
        <w:rPr>
          <w:rFonts w:hint="eastAsia" w:ascii="宋体" w:hAnsi="宋体" w:eastAsia="宋体" w:cs="宋体"/>
          <w:color w:val="auto"/>
          <w:sz w:val="24"/>
          <w:szCs w:val="24"/>
          <w:highlight w:val="none"/>
          <w:lang w:val="en-US" w:eastAsia="zh-CN"/>
        </w:rPr>
        <w:t>附件1：便民用房信息汇总表</w:t>
      </w:r>
      <w:bookmarkEnd w:id="18"/>
    </w:p>
    <w:tbl>
      <w:tblPr>
        <w:tblStyle w:val="14"/>
        <w:tblW w:w="5069" w:type="pct"/>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2"/>
        <w:gridCol w:w="1005"/>
        <w:gridCol w:w="1343"/>
        <w:gridCol w:w="1077"/>
        <w:gridCol w:w="1259"/>
        <w:gridCol w:w="1762"/>
        <w:gridCol w:w="1210"/>
        <w:gridCol w:w="1584"/>
        <w:gridCol w:w="1135"/>
        <w:gridCol w:w="1106"/>
        <w:gridCol w:w="1057"/>
        <w:gridCol w:w="1061"/>
      </w:tblGrid>
      <w:tr w14:paraId="3FAF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5000" w:type="pct"/>
            <w:gridSpan w:val="12"/>
            <w:shd w:val="clear" w:color="auto" w:fill="auto"/>
            <w:vAlign w:val="center"/>
          </w:tcPr>
          <w:p w14:paraId="1D336394">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南通</w:t>
            </w:r>
            <w:r>
              <w:rPr>
                <w:rFonts w:hint="eastAsia" w:ascii="宋体" w:hAnsi="宋体" w:cs="宋体"/>
                <w:b/>
                <w:bCs/>
                <w:i w:val="0"/>
                <w:iCs w:val="0"/>
                <w:color w:val="000000"/>
                <w:kern w:val="0"/>
                <w:sz w:val="32"/>
                <w:szCs w:val="32"/>
                <w:highlight w:val="none"/>
                <w:u w:val="none"/>
                <w:lang w:val="en-US" w:eastAsia="zh-CN" w:bidi="ar"/>
              </w:rPr>
              <w:t>1</w:t>
            </w:r>
            <w:r>
              <w:rPr>
                <w:rFonts w:hint="eastAsia" w:ascii="宋体" w:hAnsi="宋体" w:eastAsia="宋体" w:cs="宋体"/>
                <w:b/>
                <w:bCs/>
                <w:i w:val="0"/>
                <w:iCs w:val="0"/>
                <w:color w:val="000000"/>
                <w:kern w:val="0"/>
                <w:sz w:val="32"/>
                <w:szCs w:val="32"/>
                <w:highlight w:val="none"/>
                <w:u w:val="none"/>
                <w:lang w:val="en-US" w:eastAsia="zh-CN" w:bidi="ar"/>
              </w:rPr>
              <w:t>号线一期站厅商铺信息汇总表</w:t>
            </w:r>
          </w:p>
        </w:tc>
      </w:tr>
      <w:tr w14:paraId="0F72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68" w:type="pct"/>
            <w:shd w:val="clear" w:color="auto" w:fill="auto"/>
            <w:vAlign w:val="center"/>
          </w:tcPr>
          <w:p w14:paraId="155CEB2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49" w:type="pct"/>
            <w:shd w:val="clear" w:color="auto" w:fill="auto"/>
            <w:vAlign w:val="center"/>
          </w:tcPr>
          <w:p w14:paraId="1DD58C6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标的编号</w:t>
            </w:r>
          </w:p>
        </w:tc>
        <w:tc>
          <w:tcPr>
            <w:tcW w:w="467" w:type="pct"/>
            <w:shd w:val="clear" w:color="auto" w:fill="auto"/>
            <w:vAlign w:val="center"/>
          </w:tcPr>
          <w:p w14:paraId="6141F51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车站名</w:t>
            </w:r>
          </w:p>
        </w:tc>
        <w:tc>
          <w:tcPr>
            <w:tcW w:w="374" w:type="pct"/>
            <w:shd w:val="clear" w:color="auto" w:fill="auto"/>
            <w:noWrap/>
            <w:vAlign w:val="center"/>
          </w:tcPr>
          <w:p w14:paraId="6CDDB39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铺位号</w:t>
            </w:r>
          </w:p>
        </w:tc>
        <w:tc>
          <w:tcPr>
            <w:tcW w:w="438" w:type="pct"/>
            <w:shd w:val="clear" w:color="auto" w:fill="auto"/>
            <w:vAlign w:val="center"/>
          </w:tcPr>
          <w:p w14:paraId="2A02EA1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面积（㎡）</w:t>
            </w:r>
          </w:p>
        </w:tc>
        <w:tc>
          <w:tcPr>
            <w:tcW w:w="613" w:type="pct"/>
            <w:shd w:val="clear" w:color="auto" w:fill="auto"/>
            <w:vAlign w:val="center"/>
          </w:tcPr>
          <w:p w14:paraId="19953B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租金底价</w:t>
            </w:r>
          </w:p>
          <w:p w14:paraId="65FA7B1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r>
              <w:rPr>
                <w:rFonts w:hint="eastAsia" w:ascii="宋体" w:hAnsi="宋体" w:cs="宋体"/>
                <w:b/>
                <w:bCs/>
                <w:i w:val="0"/>
                <w:iCs w:val="0"/>
                <w:color w:val="000000"/>
                <w:kern w:val="0"/>
                <w:sz w:val="24"/>
                <w:szCs w:val="24"/>
                <w:highlight w:val="none"/>
                <w:u w:val="none"/>
                <w:lang w:val="en-US" w:eastAsia="zh-CN" w:bidi="ar"/>
              </w:rPr>
              <w:t>年</w:t>
            </w:r>
            <w:r>
              <w:rPr>
                <w:rFonts w:hint="eastAsia" w:ascii="宋体" w:hAnsi="宋体" w:eastAsia="宋体" w:cs="宋体"/>
                <w:b/>
                <w:bCs/>
                <w:i w:val="0"/>
                <w:iCs w:val="0"/>
                <w:color w:val="000000"/>
                <w:kern w:val="0"/>
                <w:sz w:val="24"/>
                <w:szCs w:val="24"/>
                <w:highlight w:val="none"/>
                <w:u w:val="none"/>
                <w:lang w:val="en-US" w:eastAsia="zh-CN" w:bidi="ar"/>
              </w:rPr>
              <w:t>）</w:t>
            </w:r>
          </w:p>
        </w:tc>
        <w:tc>
          <w:tcPr>
            <w:tcW w:w="420" w:type="pct"/>
            <w:shd w:val="clear" w:color="auto" w:fill="auto"/>
            <w:noWrap/>
            <w:vAlign w:val="center"/>
          </w:tcPr>
          <w:p w14:paraId="10A1698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出租年限</w:t>
            </w:r>
          </w:p>
        </w:tc>
        <w:tc>
          <w:tcPr>
            <w:tcW w:w="551" w:type="pct"/>
            <w:shd w:val="clear" w:color="auto" w:fill="auto"/>
            <w:noWrap/>
            <w:vAlign w:val="center"/>
          </w:tcPr>
          <w:p w14:paraId="1C2008D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交易保证金</w:t>
            </w:r>
          </w:p>
        </w:tc>
        <w:tc>
          <w:tcPr>
            <w:tcW w:w="394" w:type="pct"/>
            <w:shd w:val="clear" w:color="auto" w:fill="auto"/>
            <w:vAlign w:val="center"/>
          </w:tcPr>
          <w:p w14:paraId="15C2624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是否有上水</w:t>
            </w:r>
          </w:p>
        </w:tc>
        <w:tc>
          <w:tcPr>
            <w:tcW w:w="384" w:type="pct"/>
            <w:shd w:val="clear" w:color="auto" w:fill="auto"/>
            <w:vAlign w:val="center"/>
          </w:tcPr>
          <w:p w14:paraId="75BAA4E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是否有下水</w:t>
            </w:r>
          </w:p>
        </w:tc>
        <w:tc>
          <w:tcPr>
            <w:tcW w:w="367" w:type="pct"/>
            <w:shd w:val="clear" w:color="auto" w:fill="auto"/>
            <w:vAlign w:val="center"/>
          </w:tcPr>
          <w:p w14:paraId="2882049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是否有电箱</w:t>
            </w:r>
          </w:p>
        </w:tc>
        <w:tc>
          <w:tcPr>
            <w:tcW w:w="369" w:type="pct"/>
            <w:shd w:val="clear" w:color="auto" w:fill="auto"/>
            <w:noWrap/>
            <w:vAlign w:val="center"/>
          </w:tcPr>
          <w:p w14:paraId="1D8B686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排油烟</w:t>
            </w:r>
          </w:p>
        </w:tc>
      </w:tr>
      <w:tr w14:paraId="360F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68" w:type="pct"/>
            <w:shd w:val="clear" w:color="auto" w:fill="auto"/>
            <w:vAlign w:val="center"/>
          </w:tcPr>
          <w:p w14:paraId="023251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9" w:type="pct"/>
            <w:shd w:val="clear" w:color="auto" w:fill="auto"/>
            <w:vAlign w:val="center"/>
          </w:tcPr>
          <w:p w14:paraId="133D14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标的1</w:t>
            </w:r>
          </w:p>
        </w:tc>
        <w:tc>
          <w:tcPr>
            <w:tcW w:w="467" w:type="pct"/>
            <w:shd w:val="clear" w:color="auto" w:fill="auto"/>
            <w:vAlign w:val="center"/>
          </w:tcPr>
          <w:p w14:paraId="7F9CBF8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航运学院站</w:t>
            </w:r>
          </w:p>
        </w:tc>
        <w:tc>
          <w:tcPr>
            <w:tcW w:w="374" w:type="pct"/>
            <w:shd w:val="clear" w:color="auto" w:fill="auto"/>
            <w:noWrap/>
            <w:vAlign w:val="center"/>
          </w:tcPr>
          <w:p w14:paraId="49A0C7D9">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01</w:t>
            </w:r>
          </w:p>
        </w:tc>
        <w:tc>
          <w:tcPr>
            <w:tcW w:w="438" w:type="pct"/>
            <w:shd w:val="clear" w:color="auto" w:fill="auto"/>
            <w:noWrap/>
            <w:vAlign w:val="center"/>
          </w:tcPr>
          <w:p w14:paraId="5D5EEB4E">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29.2</w:t>
            </w:r>
          </w:p>
        </w:tc>
        <w:tc>
          <w:tcPr>
            <w:tcW w:w="613" w:type="pct"/>
            <w:shd w:val="clear" w:color="auto" w:fill="auto"/>
            <w:noWrap/>
            <w:vAlign w:val="center"/>
          </w:tcPr>
          <w:p w14:paraId="2D830F7B">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13855.4</w:t>
            </w:r>
          </w:p>
        </w:tc>
        <w:tc>
          <w:tcPr>
            <w:tcW w:w="420" w:type="pct"/>
            <w:shd w:val="clear" w:color="auto" w:fill="auto"/>
            <w:noWrap/>
            <w:vAlign w:val="center"/>
          </w:tcPr>
          <w:p w14:paraId="589547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年</w:t>
            </w:r>
          </w:p>
        </w:tc>
        <w:tc>
          <w:tcPr>
            <w:tcW w:w="551" w:type="pct"/>
            <w:shd w:val="clear" w:color="auto" w:fill="auto"/>
            <w:noWrap/>
            <w:vAlign w:val="center"/>
          </w:tcPr>
          <w:p w14:paraId="6044125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394" w:type="pct"/>
            <w:shd w:val="clear" w:color="auto" w:fill="auto"/>
            <w:noWrap/>
            <w:vAlign w:val="center"/>
          </w:tcPr>
          <w:p w14:paraId="0D4BC3B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84" w:type="pct"/>
            <w:shd w:val="clear" w:color="auto" w:fill="auto"/>
            <w:noWrap/>
            <w:vAlign w:val="center"/>
          </w:tcPr>
          <w:p w14:paraId="7247E48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无</w:t>
            </w:r>
          </w:p>
        </w:tc>
        <w:tc>
          <w:tcPr>
            <w:tcW w:w="367" w:type="pct"/>
            <w:shd w:val="clear" w:color="auto" w:fill="auto"/>
            <w:noWrap/>
            <w:vAlign w:val="center"/>
          </w:tcPr>
          <w:p w14:paraId="274B7FA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69" w:type="pct"/>
            <w:shd w:val="clear" w:color="auto" w:fill="auto"/>
            <w:noWrap/>
            <w:vAlign w:val="center"/>
          </w:tcPr>
          <w:p w14:paraId="246CEB2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无</w:t>
            </w:r>
          </w:p>
        </w:tc>
      </w:tr>
      <w:tr w14:paraId="5632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68" w:type="pct"/>
            <w:shd w:val="clear" w:color="auto" w:fill="auto"/>
            <w:vAlign w:val="center"/>
          </w:tcPr>
          <w:p w14:paraId="413E517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p>
        </w:tc>
        <w:tc>
          <w:tcPr>
            <w:tcW w:w="349" w:type="pct"/>
            <w:shd w:val="clear" w:color="auto" w:fill="auto"/>
            <w:vAlign w:val="center"/>
          </w:tcPr>
          <w:p w14:paraId="5009091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标的</w:t>
            </w:r>
            <w:r>
              <w:rPr>
                <w:rFonts w:hint="eastAsia" w:ascii="宋体" w:hAnsi="宋体" w:cs="宋体"/>
                <w:i w:val="0"/>
                <w:iCs w:val="0"/>
                <w:color w:val="000000"/>
                <w:kern w:val="0"/>
                <w:sz w:val="24"/>
                <w:szCs w:val="24"/>
                <w:highlight w:val="none"/>
                <w:u w:val="none"/>
                <w:lang w:val="en-US" w:eastAsia="zh-CN" w:bidi="ar"/>
              </w:rPr>
              <w:t>2</w:t>
            </w:r>
          </w:p>
        </w:tc>
        <w:tc>
          <w:tcPr>
            <w:tcW w:w="467" w:type="pct"/>
            <w:shd w:val="clear" w:color="auto" w:fill="auto"/>
            <w:vAlign w:val="center"/>
          </w:tcPr>
          <w:p w14:paraId="3073749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航运学院站</w:t>
            </w:r>
          </w:p>
        </w:tc>
        <w:tc>
          <w:tcPr>
            <w:tcW w:w="374" w:type="pct"/>
            <w:shd w:val="clear" w:color="auto" w:fill="auto"/>
            <w:noWrap/>
            <w:vAlign w:val="center"/>
          </w:tcPr>
          <w:p w14:paraId="2AE909BF">
            <w:pPr>
              <w:keepNext w:val="0"/>
              <w:keepLines w:val="0"/>
              <w:widowControl/>
              <w:suppressLineNumbers w:val="0"/>
              <w:jc w:val="center"/>
              <w:textAlignment w:val="center"/>
              <w:rPr>
                <w:rFonts w:hint="default"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02</w:t>
            </w:r>
          </w:p>
        </w:tc>
        <w:tc>
          <w:tcPr>
            <w:tcW w:w="438" w:type="pct"/>
            <w:shd w:val="clear" w:color="auto" w:fill="auto"/>
            <w:noWrap/>
            <w:vAlign w:val="center"/>
          </w:tcPr>
          <w:p w14:paraId="5D6C416B">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28.64</w:t>
            </w:r>
          </w:p>
        </w:tc>
        <w:tc>
          <w:tcPr>
            <w:tcW w:w="613" w:type="pct"/>
            <w:shd w:val="clear" w:color="auto" w:fill="auto"/>
            <w:noWrap/>
            <w:vAlign w:val="center"/>
          </w:tcPr>
          <w:p w14:paraId="1A0A52D1">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14635.04</w:t>
            </w:r>
          </w:p>
        </w:tc>
        <w:tc>
          <w:tcPr>
            <w:tcW w:w="420" w:type="pct"/>
            <w:shd w:val="clear" w:color="auto" w:fill="auto"/>
            <w:noWrap/>
            <w:vAlign w:val="center"/>
          </w:tcPr>
          <w:p w14:paraId="7D18A63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年</w:t>
            </w:r>
          </w:p>
        </w:tc>
        <w:tc>
          <w:tcPr>
            <w:tcW w:w="551" w:type="pct"/>
            <w:shd w:val="clear" w:color="auto" w:fill="auto"/>
            <w:noWrap/>
            <w:vAlign w:val="center"/>
          </w:tcPr>
          <w:p w14:paraId="0C76047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394" w:type="pct"/>
            <w:shd w:val="clear" w:color="auto" w:fill="auto"/>
            <w:noWrap/>
            <w:vAlign w:val="center"/>
          </w:tcPr>
          <w:p w14:paraId="3AA23287">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84" w:type="pct"/>
            <w:shd w:val="clear" w:color="auto" w:fill="auto"/>
            <w:noWrap/>
            <w:vAlign w:val="center"/>
          </w:tcPr>
          <w:p w14:paraId="5656A5CD">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67" w:type="pct"/>
            <w:shd w:val="clear" w:color="auto" w:fill="auto"/>
            <w:noWrap/>
            <w:vAlign w:val="center"/>
          </w:tcPr>
          <w:p w14:paraId="42D4F7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69" w:type="pct"/>
            <w:shd w:val="clear" w:color="auto" w:fill="auto"/>
            <w:noWrap/>
            <w:vAlign w:val="center"/>
          </w:tcPr>
          <w:p w14:paraId="13829A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无</w:t>
            </w:r>
          </w:p>
        </w:tc>
      </w:tr>
      <w:tr w14:paraId="4373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460" w:type="pct"/>
            <w:gridSpan w:val="4"/>
            <w:shd w:val="clear" w:color="auto" w:fill="auto"/>
            <w:vAlign w:val="center"/>
          </w:tcPr>
          <w:p w14:paraId="6F79007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3539" w:type="pct"/>
            <w:gridSpan w:val="8"/>
            <w:shd w:val="clear" w:color="auto" w:fill="auto"/>
            <w:vAlign w:val="center"/>
          </w:tcPr>
          <w:p w14:paraId="394E90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1、以上租金价格不含水电费等其他费用。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2、商铺交付状态为现状交付，各间商铺的供电量、上/下水、排污排烟情况见上表，对于承租方提出的供电量增容、上/下水增设、排污排烟增设需求，出租方均无法满足，承租方不得提出异议。</w:t>
            </w:r>
          </w:p>
        </w:tc>
      </w:tr>
    </w:tbl>
    <w:p w14:paraId="7B16049B">
      <w:pPr>
        <w:bidi w:val="0"/>
        <w:rPr>
          <w:rFonts w:hint="eastAsia" w:ascii="宋体" w:hAnsi="宋体" w:eastAsia="宋体" w:cs="宋体"/>
          <w:color w:val="auto"/>
          <w:highlight w:val="none"/>
          <w:lang w:val="en-US" w:eastAsia="zh-CN"/>
        </w:rPr>
      </w:pPr>
    </w:p>
    <w:p w14:paraId="4636728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70BD476">
      <w:pPr>
        <w:pStyle w:val="4"/>
        <w:bidi w:val="0"/>
        <w:rPr>
          <w:rFonts w:hint="eastAsia" w:ascii="宋体" w:hAnsi="宋体" w:eastAsia="宋体" w:cs="宋体"/>
          <w:color w:val="auto"/>
          <w:sz w:val="24"/>
          <w:szCs w:val="24"/>
          <w:highlight w:val="none"/>
          <w:lang w:val="en-US" w:eastAsia="zh-CN"/>
        </w:rPr>
        <w:sectPr>
          <w:headerReference r:id="rId10" w:type="default"/>
          <w:footerReference r:id="rId11" w:type="default"/>
          <w:pgSz w:w="16838" w:h="11906" w:orient="landscape"/>
          <w:pgMar w:top="1803" w:right="1440" w:bottom="1803" w:left="1440" w:header="851" w:footer="992" w:gutter="0"/>
          <w:pgNumType w:fmt="decimal"/>
          <w:cols w:space="0" w:num="1"/>
          <w:rtlGutter w:val="0"/>
          <w:docGrid w:type="lines" w:linePitch="319" w:charSpace="0"/>
        </w:sectPr>
      </w:pPr>
      <w:bookmarkStart w:id="19" w:name="_Toc20846"/>
    </w:p>
    <w:p w14:paraId="40D60EDA">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附件2：便民用房落位图</w:t>
      </w:r>
      <w:bookmarkEnd w:id="19"/>
    </w:p>
    <w:p w14:paraId="6116C43B">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bookmarkStart w:id="20" w:name="_Toc26130"/>
      <w:r>
        <w:rPr>
          <w:rFonts w:hint="default" w:ascii="方正仿宋_GBK" w:hAnsi="方正仿宋_GBK" w:eastAsia="方正仿宋_GBK" w:cs="方正仿宋_GBK"/>
          <w:highlight w:val="none"/>
          <w:lang w:val="en-US" w:eastAsia="zh-CN"/>
        </w:rPr>
        <w:drawing>
          <wp:inline distT="0" distB="0" distL="114300" distR="114300">
            <wp:extent cx="5614670" cy="1763395"/>
            <wp:effectExtent l="0" t="0" r="5080" b="8255"/>
            <wp:docPr id="2" name="图片 2" descr="56a87598-b728-4850-bf9c-aabae20d42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a87598-b728-4850-bf9c-aabae20d428f"/>
                    <pic:cNvPicPr>
                      <a:picLocks noChangeAspect="1"/>
                    </pic:cNvPicPr>
                  </pic:nvPicPr>
                  <pic:blipFill>
                    <a:blip r:embed="rId13"/>
                    <a:stretch>
                      <a:fillRect/>
                    </a:stretch>
                  </pic:blipFill>
                  <pic:spPr>
                    <a:xfrm>
                      <a:off x="0" y="0"/>
                      <a:ext cx="5614670" cy="1763395"/>
                    </a:xfrm>
                    <a:prstGeom prst="rect">
                      <a:avLst/>
                    </a:prstGeom>
                  </pic:spPr>
                </pic:pic>
              </a:graphicData>
            </a:graphic>
          </wp:inline>
        </w:drawing>
      </w:r>
    </w:p>
    <w:p w14:paraId="2AD477C9">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p>
    <w:p w14:paraId="6B571DA8">
      <w:pPr>
        <w:pStyle w:val="10"/>
        <w:keepNext w:val="0"/>
        <w:keepLines w:val="0"/>
        <w:pageBreakBefore w:val="0"/>
        <w:widowControl w:val="0"/>
        <w:kinsoku/>
        <w:wordWrap/>
        <w:overflowPunct/>
        <w:topLinePunct w:val="0"/>
        <w:autoSpaceDE/>
        <w:autoSpaceDN/>
        <w:bidi w:val="0"/>
        <w:adjustRightInd/>
        <w:snapToGrid/>
        <w:jc w:val="both"/>
        <w:textAlignment w:val="auto"/>
        <w:rPr>
          <w:rFonts w:hint="default"/>
          <w:highlight w:val="none"/>
          <w:lang w:val="en-US" w:eastAsia="zh-CN"/>
        </w:rPr>
      </w:pPr>
    </w:p>
    <w:p w14:paraId="03CD961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0ACEF88">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附件3：竞选须知</w:t>
      </w:r>
      <w:bookmarkEnd w:id="20"/>
    </w:p>
    <w:p w14:paraId="33D76A29">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竞选须知</w:t>
      </w:r>
    </w:p>
    <w:p w14:paraId="38691F16">
      <w:pPr>
        <w:keepNext w:val="0"/>
        <w:keepLines w:val="0"/>
        <w:widowControl/>
        <w:suppressLineNumbers w:val="0"/>
        <w:ind w:left="0" w:leftChars="0" w:firstLine="420" w:firstLineChars="175"/>
        <w:jc w:val="left"/>
        <w:rPr>
          <w:rFonts w:hint="eastAsia" w:ascii="宋体" w:hAnsi="宋体" w:eastAsia="宋体" w:cs="宋体"/>
          <w:color w:val="auto"/>
          <w:kern w:val="0"/>
          <w:sz w:val="24"/>
          <w:szCs w:val="24"/>
          <w:highlight w:val="none"/>
          <w:lang w:val="en-US" w:eastAsia="zh-CN" w:bidi="ar"/>
        </w:rPr>
      </w:pPr>
    </w:p>
    <w:p w14:paraId="18546A21">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各意向承租方： </w:t>
      </w:r>
    </w:p>
    <w:p w14:paraId="307D44B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现就本次竞选有关事项通知如下： </w:t>
      </w:r>
    </w:p>
    <w:p w14:paraId="55CC865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1" w:name="_Toc18490"/>
      <w:r>
        <w:rPr>
          <w:rFonts w:hint="eastAsia" w:ascii="宋体" w:hAnsi="宋体" w:eastAsia="宋体" w:cs="宋体"/>
          <w:b/>
          <w:bCs/>
          <w:color w:val="auto"/>
          <w:kern w:val="0"/>
          <w:sz w:val="21"/>
          <w:szCs w:val="21"/>
          <w:highlight w:val="none"/>
          <w:lang w:val="en-US" w:eastAsia="zh-CN" w:bidi="ar"/>
        </w:rPr>
        <w:t>一、竞选文件编制</w:t>
      </w:r>
      <w:bookmarkEnd w:id="21"/>
      <w:r>
        <w:rPr>
          <w:rFonts w:hint="eastAsia" w:ascii="宋体" w:hAnsi="宋体" w:eastAsia="宋体" w:cs="宋体"/>
          <w:b/>
          <w:bCs/>
          <w:color w:val="auto"/>
          <w:kern w:val="0"/>
          <w:sz w:val="21"/>
          <w:szCs w:val="21"/>
          <w:highlight w:val="none"/>
          <w:lang w:val="en-US" w:eastAsia="zh-CN" w:bidi="ar"/>
        </w:rPr>
        <w:t xml:space="preserve"> </w:t>
      </w:r>
    </w:p>
    <w:p w14:paraId="5D1F427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（一）编制要求 </w:t>
      </w:r>
    </w:p>
    <w:p w14:paraId="50A13BE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意向承租方无论参与几个标的，均须单独编制 1 份竞选文件。</w:t>
      </w:r>
      <w:r>
        <w:rPr>
          <w:rFonts w:hint="eastAsia" w:ascii="宋体" w:hAnsi="宋体" w:eastAsia="宋体" w:cs="宋体"/>
          <w:color w:val="auto"/>
          <w:kern w:val="0"/>
          <w:sz w:val="21"/>
          <w:szCs w:val="21"/>
          <w:highlight w:val="none"/>
          <w:lang w:val="en-US" w:eastAsia="zh-CN" w:bidi="ar"/>
        </w:rPr>
        <w:t xml:space="preserve">如同一次开标时，意向承租方对同一标的提交两份及以上不同报价的竞选文件，则竞选文件无效。 </w:t>
      </w:r>
    </w:p>
    <w:p w14:paraId="4BD511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2、竞选文件应用中文填写，字迹清楚、内容齐全、表达准确，不应有涂改增删。如有修改需在修改处加盖公司公章或自然人签名或由委托代理人签名。未按要求填写竞选文件的视为无效报价。 </w:t>
      </w:r>
    </w:p>
    <w:p w14:paraId="53B5661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3、报价不得低于租金底价，否则出租方有权视为无效报价。 </w:t>
      </w:r>
    </w:p>
    <w:p w14:paraId="4453E90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4、意向承租方为自然人的，竞选文件须由意向承租方本人或其委托代理人签字；意向承租方为法人的，竞选文件须由法定代表人或委托代理人签名并加盖公章。 </w:t>
      </w:r>
    </w:p>
    <w:p w14:paraId="39649E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5、竞选文件有效期从报价截止日起至租赁合同签署生效之日止。 </w:t>
      </w:r>
    </w:p>
    <w:p w14:paraId="14F6954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（二）竞选文件密封与标记 </w:t>
      </w:r>
    </w:p>
    <w:p w14:paraId="0D6292B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1、对竞选文件未密封的，出租方将拒绝接受，视为无效竞选文件。</w:t>
      </w:r>
    </w:p>
    <w:p w14:paraId="4FA997E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竞选文件的文件袋上应依次写明：标的、意向承租方名称、联系人、联系电话、联系地址，</w:t>
      </w:r>
      <w:r>
        <w:rPr>
          <w:rFonts w:hint="eastAsia" w:ascii="宋体" w:hAnsi="宋体" w:eastAsia="宋体" w:cs="宋体"/>
          <w:color w:val="auto"/>
          <w:kern w:val="0"/>
          <w:sz w:val="21"/>
          <w:szCs w:val="21"/>
          <w:highlight w:val="none"/>
          <w:lang w:val="en-US" w:eastAsia="zh-CN" w:bidi="ar"/>
        </w:rPr>
        <w:t xml:space="preserve">其内容应与竞选文件的各项内容对应一致。如果意向承租方未按规定写明上述信息或所写内容与竞选文件的内容不一致，出租方将不承担竞选文件错放或提前开封的责任，错放或提前开封的竞选文件将视为无效竞选文件，由此造成的一切经济后果由意向承租方承担。 </w:t>
      </w:r>
    </w:p>
    <w:p w14:paraId="6924322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2" w:name="_Toc443"/>
      <w:r>
        <w:rPr>
          <w:rFonts w:hint="eastAsia" w:ascii="宋体" w:hAnsi="宋体" w:eastAsia="宋体" w:cs="宋体"/>
          <w:b/>
          <w:bCs/>
          <w:color w:val="auto"/>
          <w:kern w:val="0"/>
          <w:sz w:val="21"/>
          <w:szCs w:val="21"/>
          <w:highlight w:val="none"/>
          <w:lang w:val="en-US" w:eastAsia="zh-CN" w:bidi="ar"/>
        </w:rPr>
        <w:t>二、交易保证金</w:t>
      </w:r>
      <w:bookmarkEnd w:id="22"/>
      <w:r>
        <w:rPr>
          <w:rFonts w:hint="eastAsia" w:ascii="宋体" w:hAnsi="宋体" w:eastAsia="宋体" w:cs="宋体"/>
          <w:b/>
          <w:bCs/>
          <w:color w:val="auto"/>
          <w:kern w:val="0"/>
          <w:sz w:val="21"/>
          <w:szCs w:val="21"/>
          <w:highlight w:val="none"/>
          <w:lang w:val="en-US" w:eastAsia="zh-CN" w:bidi="ar"/>
        </w:rPr>
        <w:t xml:space="preserve"> </w:t>
      </w:r>
    </w:p>
    <w:p w14:paraId="0CBB0B6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交易保证金缴纳要求详见公告。</w:t>
      </w:r>
    </w:p>
    <w:p w14:paraId="273FABA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的退还：未中选单位的交易保证金在成交公示期结束后予以退还，中选单位的交易保证金将自动转为履约保证金使用，交易保证金与履约保证金的差额部分由中选单位在规定时限内补足。除不可抗力情况外，中选人出现下列情形之一的，出租方有权取消其中选资格，并不予退还其交易保证金：</w:t>
      </w:r>
    </w:p>
    <w:p w14:paraId="76016AF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（1）放弃中选项目的；</w:t>
      </w:r>
    </w:p>
    <w:p w14:paraId="4B52309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（2）拒不按照招租文件的要求提交履约保证金的；</w:t>
      </w:r>
    </w:p>
    <w:p w14:paraId="4A5088A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（3）不与出租方签订合同的，或者在签订合同时向出租方提出附加条件或者更改合同实质性内容的；</w:t>
      </w:r>
    </w:p>
    <w:p w14:paraId="7E6786F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（4）中选人放弃中选或者因被投诉且已查实的，其交易保证金均不予退还。</w:t>
      </w:r>
    </w:p>
    <w:p w14:paraId="748CD56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3" w:name="_Toc13501"/>
      <w:bookmarkStart w:id="24" w:name="_Toc23700"/>
      <w:r>
        <w:rPr>
          <w:rFonts w:hint="eastAsia" w:ascii="宋体" w:hAnsi="宋体" w:eastAsia="宋体" w:cs="宋体"/>
          <w:b/>
          <w:bCs/>
          <w:color w:val="auto"/>
          <w:kern w:val="0"/>
          <w:sz w:val="21"/>
          <w:szCs w:val="21"/>
          <w:highlight w:val="none"/>
          <w:lang w:val="en-US" w:eastAsia="zh-CN" w:bidi="ar"/>
        </w:rPr>
        <w:t>三、竞选文件递交要求</w:t>
      </w:r>
      <w:bookmarkEnd w:id="23"/>
      <w:bookmarkEnd w:id="24"/>
      <w:r>
        <w:rPr>
          <w:rFonts w:hint="eastAsia" w:ascii="宋体" w:hAnsi="宋体" w:eastAsia="宋体" w:cs="宋体"/>
          <w:b/>
          <w:bCs/>
          <w:color w:val="auto"/>
          <w:kern w:val="0"/>
          <w:sz w:val="21"/>
          <w:szCs w:val="21"/>
          <w:highlight w:val="none"/>
          <w:lang w:val="en-US" w:eastAsia="zh-CN" w:bidi="ar"/>
        </w:rPr>
        <w:t xml:space="preserve"> </w:t>
      </w:r>
    </w:p>
    <w:p w14:paraId="7E2754A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意向承租方需由意向承租方本人、法定代表人或委托代理人携带个人有效身份证件在指定的时间和地点签到、递交竞选文件及参加开标。如意向承租方本人、法定代表人或委托代理人未能在本须知规定的时间出场并证明其身份，将视同其认可本次开标过程。 </w:t>
      </w:r>
    </w:p>
    <w:p w14:paraId="1DF028E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2、竞选文件一经递交，不再接受撤回、修改竞选文件。 </w:t>
      </w:r>
    </w:p>
    <w:p w14:paraId="5BC6006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3、递交截止时间之后提出递交的竞选文件，出租方将拒绝接受。逾时递交或未递交竞选文件将视为自动放弃竞租资格。 </w:t>
      </w:r>
    </w:p>
    <w:p w14:paraId="3965B9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5" w:name="_Toc22965"/>
      <w:bookmarkStart w:id="26" w:name="_Toc16089"/>
      <w:r>
        <w:rPr>
          <w:rFonts w:hint="eastAsia" w:ascii="宋体" w:hAnsi="宋体" w:eastAsia="宋体" w:cs="宋体"/>
          <w:b/>
          <w:bCs/>
          <w:color w:val="auto"/>
          <w:kern w:val="0"/>
          <w:sz w:val="21"/>
          <w:szCs w:val="21"/>
          <w:highlight w:val="none"/>
          <w:lang w:val="en-US" w:eastAsia="zh-CN" w:bidi="ar"/>
        </w:rPr>
        <w:t>四、开标时间</w:t>
      </w:r>
      <w:bookmarkEnd w:id="25"/>
      <w:bookmarkEnd w:id="26"/>
    </w:p>
    <w:p w14:paraId="3F73F81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同竞选文件递交截止时间。 </w:t>
      </w:r>
    </w:p>
    <w:p w14:paraId="1D4E92B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7" w:name="_Toc12815"/>
      <w:r>
        <w:rPr>
          <w:rFonts w:hint="eastAsia" w:ascii="宋体" w:hAnsi="宋体" w:eastAsia="宋体" w:cs="宋体"/>
          <w:b/>
          <w:bCs/>
          <w:color w:val="auto"/>
          <w:kern w:val="0"/>
          <w:sz w:val="21"/>
          <w:szCs w:val="21"/>
          <w:highlight w:val="none"/>
          <w:lang w:val="en-US" w:eastAsia="zh-CN" w:bidi="ar"/>
        </w:rPr>
        <w:t>五、评审规则</w:t>
      </w:r>
      <w:bookmarkEnd w:id="27"/>
      <w:r>
        <w:rPr>
          <w:rFonts w:hint="eastAsia" w:ascii="宋体" w:hAnsi="宋体" w:eastAsia="宋体" w:cs="宋体"/>
          <w:b/>
          <w:bCs/>
          <w:color w:val="auto"/>
          <w:kern w:val="0"/>
          <w:sz w:val="21"/>
          <w:szCs w:val="21"/>
          <w:highlight w:val="none"/>
          <w:lang w:val="en-US" w:eastAsia="zh-CN" w:bidi="ar"/>
        </w:rPr>
        <w:t xml:space="preserve"> </w:t>
      </w:r>
    </w:p>
    <w:p w14:paraId="72EF7A7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（一）评审原则 </w:t>
      </w:r>
    </w:p>
    <w:p w14:paraId="16D273B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公开、公平、公正。 </w:t>
      </w:r>
    </w:p>
    <w:p w14:paraId="301258B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（二）竞选程序</w:t>
      </w:r>
    </w:p>
    <w:p w14:paraId="2DF0F8B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资格审查→报价</w:t>
      </w:r>
    </w:p>
    <w:p w14:paraId="1338182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（三）竞价办法 </w:t>
      </w:r>
    </w:p>
    <w:p w14:paraId="0D4E5A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1、采取竞价方式（价高者得的方式）确定承租方。 </w:t>
      </w:r>
    </w:p>
    <w:p w14:paraId="727BF45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2、如同一标的最高报价出现两个或以上相同报价时，采取最高报价相同单位二次报价方式确定承租方，当场进行二次报价。如再次出现最高报价相同情况，按照上述方式，最高报价相同的单位进行再报价。</w:t>
      </w:r>
    </w:p>
    <w:p w14:paraId="510FE29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（四）其他说明 </w:t>
      </w:r>
    </w:p>
    <w:p w14:paraId="39D59B8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出租方无需向意向承租方就评审过程、结果做任何解释。 </w:t>
      </w:r>
    </w:p>
    <w:p w14:paraId="7AE7153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8" w:name="_Toc29438"/>
      <w:r>
        <w:rPr>
          <w:rFonts w:hint="eastAsia" w:ascii="宋体" w:hAnsi="宋体" w:eastAsia="宋体" w:cs="宋体"/>
          <w:b/>
          <w:bCs/>
          <w:color w:val="auto"/>
          <w:kern w:val="0"/>
          <w:sz w:val="21"/>
          <w:szCs w:val="21"/>
          <w:highlight w:val="none"/>
          <w:lang w:val="en-US" w:eastAsia="zh-CN" w:bidi="ar"/>
        </w:rPr>
        <w:t>六、合同签订</w:t>
      </w:r>
      <w:bookmarkEnd w:id="28"/>
      <w:r>
        <w:rPr>
          <w:rFonts w:hint="eastAsia" w:ascii="宋体" w:hAnsi="宋体" w:eastAsia="宋体" w:cs="宋体"/>
          <w:b/>
          <w:bCs/>
          <w:color w:val="auto"/>
          <w:kern w:val="0"/>
          <w:sz w:val="21"/>
          <w:szCs w:val="21"/>
          <w:highlight w:val="none"/>
          <w:lang w:val="en-US" w:eastAsia="zh-CN" w:bidi="ar"/>
        </w:rPr>
        <w:t xml:space="preserve"> </w:t>
      </w:r>
    </w:p>
    <w:p w14:paraId="6D495E2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意向承租方如被确定为承租方，出租方将向承租方发放中选通知书。承租方拒绝接收中选通知书，或因承租方原因（如报名表或竞选文件中的联系地址和邮寄地址错误、承租方更换地址而未提前通知出租方等）导致中选通知书无法寄出或到达承租方处的，出租方将视为承租方放弃中选资格，出租方有权取消其中选资格并没收交易保证金。 </w:t>
      </w:r>
    </w:p>
    <w:p w14:paraId="2F8A6F9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473AF7E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3.承租方承租后签订合同时，需同时签订项目安全协议、项目廉政公约。</w:t>
      </w:r>
    </w:p>
    <w:p w14:paraId="63BABFF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9" w:name="_Toc13036"/>
      <w:r>
        <w:rPr>
          <w:rFonts w:hint="eastAsia" w:ascii="宋体" w:hAnsi="宋体" w:eastAsia="宋体" w:cs="宋体"/>
          <w:b/>
          <w:bCs/>
          <w:color w:val="auto"/>
          <w:kern w:val="0"/>
          <w:sz w:val="21"/>
          <w:szCs w:val="21"/>
          <w:highlight w:val="none"/>
          <w:lang w:val="en-US" w:eastAsia="zh-CN" w:bidi="ar"/>
        </w:rPr>
        <w:t>七、经营相关要求</w:t>
      </w:r>
      <w:bookmarkEnd w:id="29"/>
    </w:p>
    <w:p w14:paraId="085231A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（一）开业前准备</w:t>
      </w:r>
    </w:p>
    <w:p w14:paraId="205922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承租方自行负责开业经营所需的消防、市场监督、治安、环保、市政、卫生、食品安全、广告等涉及经营行政许可的相关证照，自行负责满足开业经营所需的法律、法规和相关行业规范所规定的各类审批事宜。</w:t>
      </w:r>
    </w:p>
    <w:p w14:paraId="3F0B915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（二）经营管理</w:t>
      </w:r>
    </w:p>
    <w:p w14:paraId="5FA384E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从事经营活动，应当遵守《中华人民共和国民法典》、《中华人民共和国消费者权益保护法》、《中华人民共和国产品质量法》等相关法律、行政法规、规章，遵循公平、诚实、守信的原则，经营范围不得包括，油漆、打火机充气、油等甲、乙类危险化学品以及使用明火和重油烟等餐饮类别。</w:t>
      </w:r>
    </w:p>
    <w:p w14:paraId="64A995F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（三）运营管理</w:t>
      </w:r>
    </w:p>
    <w:p w14:paraId="5D1AD6F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承租方经营须遵守相关法律法规并配合城市轨道交通的运营管理制度，避免与城市轨道交通运营的任何其他系统造成冲突或对乘客造成滋扰。</w:t>
      </w:r>
    </w:p>
    <w:p w14:paraId="3D06DA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（四）安全管理</w:t>
      </w:r>
    </w:p>
    <w:p w14:paraId="0D9306C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应建立和完善安全管理责任制度，建立安全管理保证体系，防止安全责任事故发生。必须积极做好所受让场地内的防火安全、安全生产、社会治安综合治理等各项工作，按国家、省、市有关法规、规范做好防范措施。</w:t>
      </w:r>
    </w:p>
    <w:p w14:paraId="27EAEC8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（五）装修改造</w:t>
      </w:r>
    </w:p>
    <w:p w14:paraId="0449DB5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在合同期间内对便民用房进行装修改造均由承租方自行负责与承担所有费用，装修改造不得破坏现有地面，且装修方案需报出租方书面审批，转让方在不影响城市轨道交通运营安全的前提下予以配合。承租方在对便民用房进行装修施工前，须按照出租方规定办理完成便民用房装修审批手续，在获得出租方批准后方可开始对便民用房进行装修施工。否则，出租方将按租赁合同约定追究承租方的违约责任。</w:t>
      </w:r>
    </w:p>
    <w:p w14:paraId="6385D90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30" w:name="_Toc21998"/>
      <w:r>
        <w:rPr>
          <w:rFonts w:hint="eastAsia" w:ascii="宋体" w:hAnsi="宋体" w:eastAsia="宋体" w:cs="宋体"/>
          <w:b/>
          <w:bCs/>
          <w:color w:val="auto"/>
          <w:kern w:val="0"/>
          <w:sz w:val="21"/>
          <w:szCs w:val="21"/>
          <w:highlight w:val="none"/>
          <w:lang w:val="en-US" w:eastAsia="zh-CN" w:bidi="ar"/>
        </w:rPr>
        <w:t>八、其它要求</w:t>
      </w:r>
      <w:bookmarkEnd w:id="30"/>
      <w:r>
        <w:rPr>
          <w:rFonts w:hint="eastAsia" w:ascii="宋体" w:hAnsi="宋体" w:eastAsia="宋体" w:cs="宋体"/>
          <w:b/>
          <w:bCs/>
          <w:color w:val="auto"/>
          <w:kern w:val="0"/>
          <w:sz w:val="21"/>
          <w:szCs w:val="21"/>
          <w:highlight w:val="none"/>
          <w:lang w:val="en-US" w:eastAsia="zh-CN" w:bidi="ar"/>
        </w:rPr>
        <w:t xml:space="preserve"> </w:t>
      </w:r>
    </w:p>
    <w:p w14:paraId="2A322FC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 </w:t>
      </w:r>
    </w:p>
    <w:p w14:paraId="45FD1B0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承租人在租赁期间未征得出租方同意不得转租或以合作承包等其它方式变相转租，不得用于非法金融业务，不得出现违反公序良俗的行为。</w:t>
      </w:r>
    </w:p>
    <w:p w14:paraId="0373F76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本次出租标的涉及的其他事项详见《南通轨道交通1、2号线一期工程便民用房出租项目租赁合同》（以下简称合同书），意向承租方被确定为受让方后须完全接受上述《合同书》中对受让方的约束性条款并按上述协议书签订。 </w:t>
      </w:r>
    </w:p>
    <w:p w14:paraId="318B037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p>
    <w:p w14:paraId="7CB5240B">
      <w:pPr>
        <w:keepNext w:val="0"/>
        <w:keepLines w:val="0"/>
        <w:widowControl/>
        <w:suppressLineNumbers w:val="0"/>
        <w:jc w:val="left"/>
        <w:rPr>
          <w:rFonts w:hint="eastAsia" w:ascii="宋体" w:hAnsi="宋体" w:eastAsia="宋体" w:cs="宋体"/>
          <w:color w:val="auto"/>
          <w:sz w:val="24"/>
          <w:szCs w:val="24"/>
          <w:highlight w:val="none"/>
        </w:rPr>
      </w:pPr>
    </w:p>
    <w:p w14:paraId="594858F4">
      <w:pPr>
        <w:pStyle w:val="4"/>
        <w:bidi w:val="0"/>
        <w:outlineLvl w:val="9"/>
        <w:rPr>
          <w:rFonts w:hint="eastAsia" w:ascii="宋体" w:hAnsi="宋体" w:eastAsia="宋体" w:cs="宋体"/>
          <w:color w:val="auto"/>
          <w:sz w:val="24"/>
          <w:szCs w:val="24"/>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auto"/>
          <w:sz w:val="24"/>
          <w:szCs w:val="24"/>
          <w:highlight w:val="none"/>
          <w:lang w:val="en-US" w:eastAsia="zh-CN"/>
        </w:rPr>
        <w:br w:type="page"/>
      </w:r>
    </w:p>
    <w:p w14:paraId="6AEAD5CD">
      <w:pPr>
        <w:pStyle w:val="4"/>
        <w:bidi w:val="0"/>
        <w:outlineLvl w:val="0"/>
        <w:rPr>
          <w:rFonts w:hint="eastAsia" w:ascii="宋体" w:hAnsi="宋体" w:eastAsia="宋体" w:cs="宋体"/>
          <w:color w:val="auto"/>
          <w:sz w:val="24"/>
          <w:szCs w:val="24"/>
          <w:highlight w:val="none"/>
          <w:lang w:val="en-US" w:eastAsia="zh-CN"/>
        </w:rPr>
      </w:pPr>
      <w:bookmarkStart w:id="31" w:name="_Toc4080"/>
      <w:r>
        <w:rPr>
          <w:rFonts w:hint="eastAsia" w:ascii="宋体" w:hAnsi="宋体" w:eastAsia="宋体" w:cs="宋体"/>
          <w:color w:val="auto"/>
          <w:sz w:val="24"/>
          <w:szCs w:val="24"/>
          <w:highlight w:val="none"/>
          <w:lang w:val="en-US" w:eastAsia="zh-CN"/>
        </w:rPr>
        <w:t>附件4：合同主要条款</w:t>
      </w:r>
      <w:bookmarkEnd w:id="31"/>
    </w:p>
    <w:p w14:paraId="4CF2DC16">
      <w:pPr>
        <w:adjustRightInd w:val="0"/>
        <w:snapToGrid w:val="0"/>
        <w:spacing w:line="360" w:lineRule="auto"/>
        <w:jc w:val="center"/>
        <w:rPr>
          <w:rFonts w:hint="eastAsia" w:ascii="宋体" w:hAnsi="宋体" w:eastAsia="宋体" w:cs="宋体"/>
          <w:b/>
          <w:bCs/>
          <w:color w:val="auto"/>
          <w:sz w:val="32"/>
          <w:szCs w:val="32"/>
          <w:highlight w:val="none"/>
        </w:rPr>
      </w:pPr>
      <w:bookmarkStart w:id="32" w:name="_Toc195349096"/>
      <w:bookmarkStart w:id="33" w:name="_Toc233433291"/>
    </w:p>
    <w:p w14:paraId="0483FDB8">
      <w:pPr>
        <w:adjustRightInd w:val="0"/>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南通轨道交通1、</w:t>
      </w:r>
      <w:r>
        <w:rPr>
          <w:rFonts w:hint="eastAsia" w:ascii="宋体" w:hAnsi="宋体" w:eastAsia="宋体" w:cs="宋体"/>
          <w:b/>
          <w:bCs/>
          <w:color w:val="auto"/>
          <w:sz w:val="44"/>
          <w:szCs w:val="44"/>
          <w:highlight w:val="none"/>
          <w:lang w:val="en-US" w:eastAsia="zh-CN"/>
        </w:rPr>
        <w:t>2</w:t>
      </w:r>
      <w:r>
        <w:rPr>
          <w:rFonts w:hint="eastAsia" w:ascii="宋体" w:hAnsi="宋体" w:eastAsia="宋体" w:cs="宋体"/>
          <w:b/>
          <w:bCs/>
          <w:color w:val="auto"/>
          <w:sz w:val="44"/>
          <w:szCs w:val="44"/>
          <w:highlight w:val="none"/>
          <w:lang w:eastAsia="zh-CN"/>
        </w:rPr>
        <w:t>号线一期工程便民用房出租项目</w:t>
      </w:r>
      <w:r>
        <w:rPr>
          <w:rFonts w:hint="eastAsia" w:ascii="宋体" w:hAnsi="宋体" w:eastAsia="宋体" w:cs="宋体"/>
          <w:b/>
          <w:bCs/>
          <w:color w:val="auto"/>
          <w:sz w:val="44"/>
          <w:szCs w:val="44"/>
          <w:highlight w:val="none"/>
        </w:rPr>
        <w:t>租赁合同</w:t>
      </w:r>
    </w:p>
    <w:p w14:paraId="76B38B9C">
      <w:pPr>
        <w:pStyle w:val="10"/>
        <w:spacing w:line="360" w:lineRule="auto"/>
        <w:jc w:val="center"/>
        <w:rPr>
          <w:rFonts w:hint="eastAsia" w:ascii="宋体" w:hAnsi="宋体" w:eastAsia="宋体" w:cs="宋体"/>
          <w:bCs/>
          <w:color w:val="auto"/>
          <w:sz w:val="24"/>
          <w:highlight w:val="none"/>
          <w:u w:val="single"/>
          <w:lang w:val="en-US" w:eastAsia="zh-CN"/>
        </w:rPr>
      </w:pPr>
      <w:r>
        <w:rPr>
          <w:rFonts w:hint="eastAsia" w:ascii="宋体" w:hAnsi="宋体" w:eastAsia="宋体" w:cs="宋体"/>
          <w:color w:val="auto"/>
          <w:sz w:val="24"/>
          <w:highlight w:val="none"/>
        </w:rPr>
        <w:t>编号：</w:t>
      </w:r>
    </w:p>
    <w:p w14:paraId="5702011C">
      <w:pPr>
        <w:pStyle w:val="10"/>
        <w:spacing w:line="360" w:lineRule="auto"/>
        <w:jc w:val="center"/>
        <w:rPr>
          <w:rFonts w:hint="eastAsia" w:ascii="宋体" w:hAnsi="宋体" w:eastAsia="宋体" w:cs="宋体"/>
          <w:bCs/>
          <w:color w:val="auto"/>
          <w:sz w:val="24"/>
          <w:highlight w:val="none"/>
          <w:u w:val="single"/>
        </w:rPr>
      </w:pPr>
    </w:p>
    <w:p w14:paraId="5B3D88DD">
      <w:pPr>
        <w:bidi w:val="0"/>
        <w:rPr>
          <w:rFonts w:hint="eastAsia" w:ascii="宋体" w:hAnsi="宋体" w:eastAsia="宋体" w:cs="宋体"/>
          <w:color w:val="auto"/>
          <w:highlight w:val="none"/>
        </w:rPr>
      </w:pPr>
    </w:p>
    <w:p w14:paraId="1292508D">
      <w:pPr>
        <w:bidi w:val="0"/>
        <w:rPr>
          <w:rFonts w:hint="eastAsia" w:ascii="宋体" w:hAnsi="宋体" w:eastAsia="宋体" w:cs="宋体"/>
          <w:color w:val="auto"/>
          <w:highlight w:val="none"/>
        </w:rPr>
      </w:pPr>
    </w:p>
    <w:p w14:paraId="26444A09">
      <w:pPr>
        <w:bidi w:val="0"/>
        <w:rPr>
          <w:rFonts w:hint="eastAsia" w:ascii="宋体" w:hAnsi="宋体" w:eastAsia="宋体" w:cs="宋体"/>
          <w:color w:val="auto"/>
          <w:highlight w:val="none"/>
        </w:rPr>
      </w:pPr>
    </w:p>
    <w:p w14:paraId="7DE32946">
      <w:pPr>
        <w:bidi w:val="0"/>
        <w:rPr>
          <w:rFonts w:hint="eastAsia" w:ascii="宋体" w:hAnsi="宋体" w:eastAsia="宋体" w:cs="宋体"/>
          <w:color w:val="auto"/>
          <w:highlight w:val="none"/>
        </w:rPr>
      </w:pPr>
    </w:p>
    <w:p w14:paraId="1C5B2554">
      <w:pPr>
        <w:bidi w:val="0"/>
        <w:rPr>
          <w:rFonts w:hint="eastAsia" w:ascii="宋体" w:hAnsi="宋体" w:eastAsia="宋体" w:cs="宋体"/>
          <w:color w:val="auto"/>
          <w:highlight w:val="none"/>
        </w:rPr>
      </w:pPr>
    </w:p>
    <w:p w14:paraId="7F5FFF2F">
      <w:pPr>
        <w:bidi w:val="0"/>
        <w:rPr>
          <w:rFonts w:hint="eastAsia" w:ascii="宋体" w:hAnsi="宋体" w:eastAsia="宋体" w:cs="宋体"/>
          <w:color w:val="auto"/>
          <w:highlight w:val="none"/>
        </w:rPr>
      </w:pPr>
    </w:p>
    <w:p w14:paraId="0A1410C5">
      <w:pPr>
        <w:bidi w:val="0"/>
        <w:rPr>
          <w:rFonts w:hint="eastAsia" w:ascii="宋体" w:hAnsi="宋体" w:eastAsia="宋体" w:cs="宋体"/>
          <w:color w:val="auto"/>
          <w:highlight w:val="none"/>
        </w:rPr>
      </w:pPr>
    </w:p>
    <w:p w14:paraId="22370C20">
      <w:pPr>
        <w:bidi w:val="0"/>
        <w:rPr>
          <w:rFonts w:hint="eastAsia" w:ascii="宋体" w:hAnsi="宋体" w:eastAsia="宋体" w:cs="宋体"/>
          <w:color w:val="auto"/>
          <w:highlight w:val="none"/>
        </w:rPr>
      </w:pPr>
    </w:p>
    <w:p w14:paraId="1918C8B9">
      <w:pPr>
        <w:bidi w:val="0"/>
        <w:rPr>
          <w:rFonts w:hint="eastAsia" w:ascii="宋体" w:hAnsi="宋体" w:eastAsia="宋体" w:cs="宋体"/>
          <w:color w:val="auto"/>
          <w:highlight w:val="none"/>
        </w:rPr>
      </w:pPr>
    </w:p>
    <w:p w14:paraId="0D80E069">
      <w:pPr>
        <w:bidi w:val="0"/>
        <w:rPr>
          <w:rFonts w:hint="eastAsia" w:ascii="宋体" w:hAnsi="宋体" w:eastAsia="宋体" w:cs="宋体"/>
          <w:color w:val="auto"/>
          <w:highlight w:val="none"/>
        </w:rPr>
      </w:pPr>
    </w:p>
    <w:p w14:paraId="438604C4">
      <w:pPr>
        <w:bidi w:val="0"/>
        <w:rPr>
          <w:rFonts w:hint="eastAsia" w:ascii="宋体" w:hAnsi="宋体" w:eastAsia="宋体" w:cs="宋体"/>
          <w:color w:val="auto"/>
          <w:highlight w:val="none"/>
        </w:rPr>
      </w:pPr>
    </w:p>
    <w:p w14:paraId="588579B7">
      <w:pPr>
        <w:bidi w:val="0"/>
        <w:rPr>
          <w:rFonts w:hint="eastAsia" w:ascii="宋体" w:hAnsi="宋体" w:eastAsia="宋体" w:cs="宋体"/>
          <w:highlight w:val="none"/>
        </w:rPr>
      </w:pPr>
      <w:bookmarkStart w:id="34" w:name="_Toc5288"/>
    </w:p>
    <w:p w14:paraId="0191386B">
      <w:pPr>
        <w:spacing w:line="360" w:lineRule="auto"/>
        <w:ind w:left="0" w:leftChars="0" w:firstLine="1260" w:firstLineChars="525"/>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甲方（出租方）：</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eastAsia="zh-CN"/>
        </w:rPr>
        <w:t>南通轨道资源开发有限公司</w:t>
      </w:r>
      <w:bookmarkEnd w:id="34"/>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00C9AD42">
      <w:pPr>
        <w:spacing w:line="360" w:lineRule="auto"/>
        <w:ind w:left="0" w:leftChars="0" w:firstLine="1260" w:firstLineChars="525"/>
        <w:outlineLvl w:val="0"/>
        <w:rPr>
          <w:rFonts w:hint="eastAsia" w:ascii="宋体" w:hAnsi="宋体" w:eastAsia="宋体" w:cs="宋体"/>
          <w:b/>
          <w:color w:val="auto"/>
          <w:sz w:val="24"/>
          <w:highlight w:val="none"/>
        </w:rPr>
      </w:pPr>
      <w:bookmarkStart w:id="35" w:name="_Toc28155"/>
      <w:r>
        <w:rPr>
          <w:rFonts w:hint="eastAsia" w:ascii="宋体" w:hAnsi="宋体" w:eastAsia="宋体" w:cs="宋体"/>
          <w:bCs/>
          <w:color w:val="auto"/>
          <w:sz w:val="24"/>
          <w:highlight w:val="none"/>
        </w:rPr>
        <w:t>乙方（承租方）：</w:t>
      </w:r>
      <w:bookmarkEnd w:id="35"/>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650B7079">
      <w:pPr>
        <w:bidi w:val="0"/>
        <w:rPr>
          <w:rFonts w:hint="eastAsia" w:ascii="宋体" w:hAnsi="宋体" w:eastAsia="宋体" w:cs="宋体"/>
          <w:color w:val="auto"/>
          <w:highlight w:val="none"/>
        </w:rPr>
      </w:pPr>
    </w:p>
    <w:p w14:paraId="6D13071A">
      <w:pPr>
        <w:bidi w:val="0"/>
        <w:rPr>
          <w:rFonts w:hint="eastAsia" w:ascii="宋体" w:hAnsi="宋体" w:eastAsia="宋体" w:cs="宋体"/>
          <w:color w:val="auto"/>
          <w:highlight w:val="none"/>
        </w:rPr>
      </w:pPr>
    </w:p>
    <w:bookmarkEnd w:id="32"/>
    <w:bookmarkEnd w:id="33"/>
    <w:p w14:paraId="74D9B3FC">
      <w:pPr>
        <w:bidi w:val="0"/>
        <w:rPr>
          <w:rFonts w:hint="eastAsia" w:ascii="宋体" w:hAnsi="宋体" w:eastAsia="宋体" w:cs="宋体"/>
          <w:color w:val="auto"/>
          <w:highlight w:val="none"/>
        </w:rPr>
      </w:pPr>
    </w:p>
    <w:p w14:paraId="02BED1B4">
      <w:pPr>
        <w:rPr>
          <w:rFonts w:hint="eastAsia" w:ascii="宋体" w:hAnsi="宋体" w:eastAsia="宋体" w:cs="宋体"/>
          <w:color w:val="auto"/>
          <w:sz w:val="24"/>
          <w:highlight w:val="none"/>
        </w:rPr>
      </w:pPr>
    </w:p>
    <w:p w14:paraId="2D58EFC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eastAsia="宋体" w:cs="宋体"/>
          <w:bCs/>
          <w:color w:val="auto"/>
          <w:sz w:val="24"/>
          <w:highlight w:val="none"/>
        </w:rPr>
      </w:pPr>
      <w:bookmarkStart w:id="36" w:name="_Toc27776"/>
      <w:r>
        <w:rPr>
          <w:rFonts w:hint="eastAsia" w:ascii="宋体" w:hAnsi="宋体" w:eastAsia="宋体" w:cs="宋体"/>
          <w:bCs/>
          <w:color w:val="auto"/>
          <w:sz w:val="24"/>
          <w:highlight w:val="none"/>
        </w:rPr>
        <w:t>XXXX年 X月X日</w:t>
      </w:r>
      <w:bookmarkEnd w:id="36"/>
    </w:p>
    <w:p w14:paraId="0799B3D4">
      <w:pPr>
        <w:rPr>
          <w:rFonts w:hint="eastAsia" w:ascii="宋体" w:hAnsi="宋体" w:eastAsia="宋体" w:cs="宋体"/>
          <w:spacing w:val="7"/>
          <w:position w:val="11"/>
          <w:sz w:val="24"/>
          <w:szCs w:val="24"/>
          <w:highlight w:val="none"/>
          <w:lang w:val="en-US" w:eastAsia="zh-CN"/>
        </w:rPr>
      </w:pPr>
      <w:r>
        <w:rPr>
          <w:rFonts w:hint="eastAsia" w:ascii="宋体" w:hAnsi="宋体" w:eastAsia="宋体" w:cs="宋体"/>
          <w:spacing w:val="7"/>
          <w:position w:val="11"/>
          <w:sz w:val="24"/>
          <w:szCs w:val="24"/>
          <w:highlight w:val="none"/>
          <w:lang w:val="en-US" w:eastAsia="zh-CN"/>
        </w:rPr>
        <w:br w:type="page"/>
      </w:r>
    </w:p>
    <w:p w14:paraId="3FAEBC43">
      <w:pPr>
        <w:keepNext w:val="0"/>
        <w:keepLines w:val="0"/>
        <w:pageBreakBefore w:val="0"/>
        <w:widowControl/>
        <w:wordWrap/>
        <w:topLinePunct w:val="0"/>
        <w:autoSpaceDE w:val="0"/>
        <w:autoSpaceDN w:val="0"/>
        <w:bidi w:val="0"/>
        <w:adjustRightInd w:val="0"/>
        <w:snapToGrid w:val="0"/>
        <w:spacing w:before="63" w:line="360" w:lineRule="auto"/>
        <w:ind w:left="0" w:right="-519" w:rightChars="-247" w:firstLine="0" w:firstLineChars="0"/>
        <w:jc w:val="center"/>
        <w:textAlignment w:val="baseline"/>
        <w:rPr>
          <w:rFonts w:hint="eastAsia" w:ascii="宋体" w:hAnsi="宋体" w:eastAsia="宋体" w:cs="宋体"/>
          <w:spacing w:val="7"/>
          <w:position w:val="11"/>
          <w:sz w:val="24"/>
          <w:szCs w:val="24"/>
          <w:highlight w:val="none"/>
        </w:rPr>
      </w:pPr>
      <w:r>
        <w:rPr>
          <w:rFonts w:hint="eastAsia" w:ascii="宋体" w:hAnsi="宋体" w:eastAsia="宋体" w:cs="宋体"/>
          <w:spacing w:val="7"/>
          <w:position w:val="11"/>
          <w:sz w:val="24"/>
          <w:szCs w:val="24"/>
          <w:highlight w:val="none"/>
          <w:lang w:val="en-US" w:eastAsia="zh-CN"/>
        </w:rPr>
        <w:t>南通轨道交通1、2号线一期工程便民用房出租项目租赁</w:t>
      </w:r>
      <w:r>
        <w:rPr>
          <w:rFonts w:hint="eastAsia" w:ascii="宋体" w:hAnsi="宋体" w:eastAsia="宋体" w:cs="宋体"/>
          <w:spacing w:val="7"/>
          <w:position w:val="11"/>
          <w:sz w:val="24"/>
          <w:szCs w:val="24"/>
          <w:highlight w:val="none"/>
        </w:rPr>
        <w:t>合同</w:t>
      </w:r>
    </w:p>
    <w:p w14:paraId="5D3D6CA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401FA8B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甲方（出租方）：</w:t>
      </w:r>
      <w:r>
        <w:rPr>
          <w:rFonts w:hint="eastAsia" w:ascii="宋体" w:hAnsi="宋体" w:eastAsia="宋体" w:cs="宋体"/>
          <w:spacing w:val="-10"/>
          <w:sz w:val="21"/>
          <w:szCs w:val="21"/>
          <w:highlight w:val="none"/>
          <w:lang w:eastAsia="zh-CN"/>
          <w14:textOutline w14:w="4358" w14:cap="sq" w14:cmpd="sng">
            <w14:solidFill>
              <w14:srgbClr w14:val="000000"/>
            </w14:solidFill>
            <w14:prstDash w14:val="solid"/>
            <w14:bevel/>
          </w14:textOutline>
        </w:rPr>
        <w:t>南通轨道资源开发有限公司</w:t>
      </w:r>
    </w:p>
    <w:p w14:paraId="751A310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乙方（承租方）:  </w:t>
      </w:r>
    </w:p>
    <w:p w14:paraId="0A509FB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乙方证照名称：  </w:t>
      </w:r>
    </w:p>
    <w:p w14:paraId="4B632B7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乙方证照号码：  </w:t>
      </w:r>
    </w:p>
    <w:p w14:paraId="42F36FE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4183911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第一章  总则</w:t>
      </w:r>
    </w:p>
    <w:p w14:paraId="6B52970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000617F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lang w:val="en-US" w:eastAsia="zh-CN"/>
        </w:rPr>
        <w:t>第一条</w:t>
      </w:r>
      <w:r>
        <w:rPr>
          <w:rFonts w:hint="eastAsia" w:ascii="宋体" w:hAnsi="宋体" w:eastAsia="宋体" w:cs="宋体"/>
          <w:sz w:val="21"/>
          <w:szCs w:val="21"/>
          <w:highlight w:val="none"/>
        </w:rPr>
        <w:t xml:space="preserve"> </w:t>
      </w:r>
    </w:p>
    <w:p w14:paraId="614804E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根据中华人民共和国相关法律法规的规定，乙方在充分理解城市轨道交通车站为特殊经</w:t>
      </w:r>
      <w:r>
        <w:rPr>
          <w:rFonts w:hint="eastAsia" w:ascii="宋体" w:hAnsi="宋体" w:eastAsia="宋体" w:cs="宋体"/>
          <w:color w:val="auto"/>
          <w:sz w:val="21"/>
          <w:szCs w:val="21"/>
          <w:highlight w:val="none"/>
        </w:rPr>
        <w:t>营环境的前提下，甲乙双方经充分协商，签订本合同。</w:t>
      </w:r>
    </w:p>
    <w:p w14:paraId="0E9FC50A">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BF0A20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第二章  租赁</w:t>
      </w:r>
      <w:r>
        <w:rPr>
          <w:rFonts w:hint="eastAsia" w:ascii="宋体" w:hAnsi="宋体" w:eastAsia="宋体" w:cs="宋体"/>
          <w:b/>
          <w:bCs/>
          <w:color w:val="auto"/>
          <w:spacing w:val="-6"/>
          <w:sz w:val="24"/>
          <w:szCs w:val="24"/>
          <w:highlight w:val="none"/>
          <w:lang w:eastAsia="zh-CN"/>
        </w:rPr>
        <w:t>便民用房</w:t>
      </w:r>
      <w:r>
        <w:rPr>
          <w:rFonts w:hint="eastAsia" w:ascii="宋体" w:hAnsi="宋体" w:eastAsia="宋体" w:cs="宋体"/>
          <w:b/>
          <w:bCs/>
          <w:color w:val="auto"/>
          <w:spacing w:val="-6"/>
          <w:sz w:val="24"/>
          <w:szCs w:val="24"/>
          <w:highlight w:val="none"/>
        </w:rPr>
        <w:t>及经营范围</w:t>
      </w:r>
    </w:p>
    <w:p w14:paraId="6FB1DCF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第二条</w:t>
      </w:r>
    </w:p>
    <w:p w14:paraId="75557E4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经商定，甲方同意将南通市城市轨道交通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号线</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，使用面积</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平方米的场地租赁给乙方作为经营用房。</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面积以实际交付时的测量面积数据为准。租金以实际测量面积计算。</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基本状况见</w:t>
      </w:r>
      <w:r>
        <w:rPr>
          <w:rFonts w:hint="eastAsia" w:ascii="宋体" w:hAnsi="宋体" w:eastAsia="宋体" w:cs="宋体"/>
          <w:color w:val="auto"/>
          <w:sz w:val="21"/>
          <w:szCs w:val="21"/>
          <w:highlight w:val="none"/>
          <w:u w:val="single"/>
        </w:rPr>
        <w:t>附件</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便民用房</w:t>
      </w:r>
      <w:r>
        <w:rPr>
          <w:rFonts w:hint="eastAsia" w:ascii="宋体" w:hAnsi="宋体" w:eastAsia="宋体" w:cs="宋体"/>
          <w:color w:val="auto"/>
          <w:sz w:val="21"/>
          <w:szCs w:val="21"/>
          <w:highlight w:val="none"/>
          <w:u w:val="single"/>
        </w:rPr>
        <w:t>位置平面示意图。</w:t>
      </w:r>
    </w:p>
    <w:p w14:paraId="4FF835B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第三条</w:t>
      </w:r>
    </w:p>
    <w:p w14:paraId="140212A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乙方须是具有合法经营资格的组织，或具有完全民事行为能力的自然人，同时须向甲方提供有效的营业执照、身份证等与经营相关的证照资料复印件，乙方须提供以上证照原件供甲方核对。</w:t>
      </w:r>
    </w:p>
    <w:p w14:paraId="059413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第四条</w:t>
      </w:r>
    </w:p>
    <w:p w14:paraId="51565A2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乙方在上述</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内只限经营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类别，品牌为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，主营品类为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。乙方各类证照须与实际经营相符，且不得经营包括油漆、打火机充气、油等甲、乙类危险化学品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租赁期内，未经甲方书面同意，乙方不得改变该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的经营品牌及用途，否则甲方有权要求乙方限期纠正，逾期不改的，甲方有权终止合同。</w:t>
      </w:r>
    </w:p>
    <w:p w14:paraId="368F2A1E">
      <w:pPr>
        <w:bidi w:val="0"/>
        <w:ind w:right="-519" w:rightChars="-247"/>
        <w:rPr>
          <w:rFonts w:hint="eastAsia" w:ascii="宋体" w:hAnsi="宋体" w:eastAsia="宋体" w:cs="宋体"/>
          <w:sz w:val="20"/>
          <w:szCs w:val="20"/>
          <w:highlight w:val="none"/>
        </w:rPr>
      </w:pPr>
    </w:p>
    <w:p w14:paraId="0904529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w:t>
      </w:r>
      <w:r>
        <w:rPr>
          <w:rFonts w:hint="eastAsia" w:ascii="宋体" w:hAnsi="宋体" w:eastAsia="宋体" w:cs="宋体"/>
          <w:b/>
          <w:bCs/>
          <w:color w:val="auto"/>
          <w:spacing w:val="-6"/>
          <w:sz w:val="24"/>
          <w:szCs w:val="24"/>
          <w:highlight w:val="none"/>
          <w:lang w:val="en-US" w:eastAsia="zh-CN"/>
        </w:rPr>
        <w:t>三</w:t>
      </w:r>
      <w:r>
        <w:rPr>
          <w:rFonts w:hint="eastAsia" w:ascii="宋体" w:hAnsi="宋体" w:eastAsia="宋体" w:cs="宋体"/>
          <w:b/>
          <w:bCs/>
          <w:color w:val="auto"/>
          <w:spacing w:val="-6"/>
          <w:sz w:val="24"/>
          <w:szCs w:val="24"/>
          <w:highlight w:val="none"/>
        </w:rPr>
        <w:t>章  租赁期限</w:t>
      </w:r>
    </w:p>
    <w:p w14:paraId="63E162C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第五条</w:t>
      </w:r>
    </w:p>
    <w:p w14:paraId="034A8C06">
      <w:pPr>
        <w:keepNext w:val="0"/>
        <w:keepLines w:val="0"/>
        <w:pageBreakBefore w:val="0"/>
        <w:widowControl/>
        <w:kinsoku/>
        <w:wordWrap/>
        <w:overflowPunct/>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甲方预计于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交付。租赁期共计</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年，租赁期自</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交付次日起算，自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日止。</w:t>
      </w:r>
    </w:p>
    <w:p w14:paraId="79808E1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第六条</w:t>
      </w:r>
    </w:p>
    <w:p w14:paraId="1B50003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双方特别确认，甲方有权根据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的实际情况确定、调整交付日期，租赁期自实际交付日起顺延，甲方调整交付日期不构成违约。</w:t>
      </w:r>
    </w:p>
    <w:p w14:paraId="6D55253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第七条</w:t>
      </w:r>
    </w:p>
    <w:p w14:paraId="7B5D81B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本合同期满即为合同履行完毕。如乙方有继续经营意向，须在租赁期限届满的</w:t>
      </w:r>
      <w:r>
        <w:rPr>
          <w:rFonts w:hint="eastAsia" w:ascii="宋体" w:hAnsi="宋体" w:eastAsia="宋体" w:cs="宋体"/>
          <w:color w:val="auto"/>
          <w:sz w:val="21"/>
          <w:szCs w:val="21"/>
          <w:highlight w:val="none"/>
          <w:u w:val="single"/>
        </w:rPr>
        <w:t xml:space="preserve"> 90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日前向甲方提出书面申请，甲方有权自主决定是否接受乙方的续租请求。</w:t>
      </w:r>
    </w:p>
    <w:p w14:paraId="6D18725B">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3AB3CA1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第四章  费用及支付方法</w:t>
      </w:r>
    </w:p>
    <w:p w14:paraId="1C6567D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第八条</w:t>
      </w:r>
      <w:r>
        <w:rPr>
          <w:rFonts w:hint="eastAsia" w:ascii="宋体" w:hAnsi="宋体" w:eastAsia="宋体" w:cs="宋体"/>
          <w:color w:val="auto"/>
          <w:sz w:val="21"/>
          <w:szCs w:val="21"/>
          <w:highlight w:val="none"/>
        </w:rPr>
        <w:t xml:space="preserve">    </w:t>
      </w:r>
    </w:p>
    <w:p w14:paraId="3B2ADDA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乙方所租赁的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，租金标准为人民币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年</w:t>
      </w:r>
      <w:r>
        <w:rPr>
          <w:rFonts w:hint="eastAsia" w:ascii="宋体" w:hAnsi="宋体" w:eastAsia="宋体" w:cs="宋体"/>
          <w:color w:val="auto"/>
          <w:sz w:val="21"/>
          <w:szCs w:val="21"/>
          <w:highlight w:val="none"/>
        </w:rPr>
        <w:t>。</w:t>
      </w:r>
    </w:p>
    <w:tbl>
      <w:tblPr>
        <w:tblStyle w:val="15"/>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11"/>
        <w:gridCol w:w="1111"/>
        <w:gridCol w:w="1111"/>
        <w:gridCol w:w="1113"/>
        <w:gridCol w:w="1113"/>
        <w:gridCol w:w="1113"/>
        <w:gridCol w:w="1113"/>
      </w:tblGrid>
      <w:tr w14:paraId="010A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3BB12F56">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期数</w:t>
            </w:r>
          </w:p>
        </w:tc>
        <w:tc>
          <w:tcPr>
            <w:tcW w:w="1111" w:type="dxa"/>
            <w:vAlign w:val="center"/>
          </w:tcPr>
          <w:p w14:paraId="0453D7FC">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租赁期</w:t>
            </w:r>
          </w:p>
          <w:p w14:paraId="299744F7">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起始日</w:t>
            </w:r>
          </w:p>
        </w:tc>
        <w:tc>
          <w:tcPr>
            <w:tcW w:w="1111" w:type="dxa"/>
            <w:vAlign w:val="center"/>
          </w:tcPr>
          <w:p w14:paraId="0B11525D">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租赁期</w:t>
            </w:r>
          </w:p>
          <w:p w14:paraId="645AD377">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截止日</w:t>
            </w:r>
          </w:p>
        </w:tc>
        <w:tc>
          <w:tcPr>
            <w:tcW w:w="1111" w:type="dxa"/>
            <w:vAlign w:val="center"/>
          </w:tcPr>
          <w:p w14:paraId="2FFFF36F">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天数</w:t>
            </w:r>
          </w:p>
        </w:tc>
        <w:tc>
          <w:tcPr>
            <w:tcW w:w="1113" w:type="dxa"/>
            <w:vAlign w:val="center"/>
          </w:tcPr>
          <w:p w14:paraId="701DF13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年递增率</w:t>
            </w:r>
          </w:p>
        </w:tc>
        <w:tc>
          <w:tcPr>
            <w:tcW w:w="1113" w:type="dxa"/>
            <w:vAlign w:val="center"/>
          </w:tcPr>
          <w:p w14:paraId="207AB67B">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含税价租</w:t>
            </w:r>
          </w:p>
          <w:p w14:paraId="2A2474F2">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金（元）</w:t>
            </w:r>
          </w:p>
        </w:tc>
        <w:tc>
          <w:tcPr>
            <w:tcW w:w="1113" w:type="dxa"/>
            <w:vAlign w:val="center"/>
          </w:tcPr>
          <w:p w14:paraId="1419D5A3">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不含税价租金（元）</w:t>
            </w:r>
          </w:p>
        </w:tc>
        <w:tc>
          <w:tcPr>
            <w:tcW w:w="1113" w:type="dxa"/>
            <w:vAlign w:val="center"/>
          </w:tcPr>
          <w:p w14:paraId="199977D3">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税额（元）</w:t>
            </w:r>
          </w:p>
        </w:tc>
      </w:tr>
      <w:tr w14:paraId="6C22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6A0F0965">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w:t>
            </w:r>
          </w:p>
        </w:tc>
        <w:tc>
          <w:tcPr>
            <w:tcW w:w="1111" w:type="dxa"/>
            <w:vAlign w:val="center"/>
          </w:tcPr>
          <w:p w14:paraId="58D9123C">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0792293F">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2E0B28D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781B2577">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3164CD31">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7127D47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26CB0CC9">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6ADA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7CF264F1">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111" w:type="dxa"/>
            <w:vAlign w:val="center"/>
          </w:tcPr>
          <w:p w14:paraId="28A27E7D">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0BC25A05">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485920E9">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68634586">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3CCFC85C">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32DDAB2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63861FFE">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04C3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7EFA2A48">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1111" w:type="dxa"/>
            <w:vAlign w:val="center"/>
          </w:tcPr>
          <w:p w14:paraId="70830478">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4C8DCB94">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29C51EF1">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2748269D">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2015848C">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44C8B058">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456B0280">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bl>
    <w:p w14:paraId="4967BE7F">
      <w:pPr>
        <w:pageBreakBefore w:val="0"/>
        <w:kinsoku/>
        <w:overflowPunct/>
        <w:topLinePunct w:val="0"/>
        <w:autoSpaceDE/>
        <w:autoSpaceDN/>
        <w:bidi w:val="0"/>
        <w:adjustRightInd w:val="0"/>
        <w:snapToGrid w:val="0"/>
        <w:spacing w:line="360" w:lineRule="auto"/>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），以上合同价款为含税价，合同</w:t>
      </w:r>
      <w:r>
        <w:rPr>
          <w:rFonts w:hint="eastAsia" w:ascii="宋体" w:hAnsi="宋体" w:eastAsia="宋体" w:cs="宋体"/>
          <w:color w:val="auto"/>
          <w:sz w:val="21"/>
          <w:szCs w:val="21"/>
          <w:highlight w:val="none"/>
          <w:lang w:eastAsia="zh-CN"/>
        </w:rPr>
        <w:t>增值税</w:t>
      </w:r>
      <w:r>
        <w:rPr>
          <w:rFonts w:hint="eastAsia" w:ascii="宋体" w:hAnsi="宋体" w:eastAsia="宋体" w:cs="宋体"/>
          <w:color w:val="auto"/>
          <w:sz w:val="21"/>
          <w:szCs w:val="21"/>
          <w:highlight w:val="none"/>
        </w:rPr>
        <w:t>税率为</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，其中不含增值税</w:t>
      </w:r>
      <w:r>
        <w:rPr>
          <w:rFonts w:hint="eastAsia" w:ascii="宋体" w:hAnsi="宋体" w:eastAsia="宋体" w:cs="宋体"/>
          <w:color w:val="auto"/>
          <w:sz w:val="21"/>
          <w:szCs w:val="21"/>
          <w:highlight w:val="none"/>
        </w:rPr>
        <w:t>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val="en-US" w:eastAsia="zh-CN"/>
        </w:rPr>
        <w:t>上表年期、租赁期起始日、租赁期截止日暂定，根据实际交付时间为准。</w:t>
      </w:r>
    </w:p>
    <w:p w14:paraId="32C2A92D">
      <w:pPr>
        <w:keepNext w:val="0"/>
        <w:keepLines w:val="0"/>
        <w:pageBreakBefore w:val="0"/>
        <w:widowControl/>
        <w:numPr>
          <w:ilvl w:val="0"/>
          <w:numId w:val="2"/>
        </w:numPr>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E60C3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在本合同执行过程中，若国家法律、法规有关于税种、税率调整的，按相关规定执行，但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含税价租金不变。</w:t>
      </w:r>
    </w:p>
    <w:p w14:paraId="02FA5F7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第十条</w:t>
      </w:r>
      <w:r>
        <w:rPr>
          <w:rFonts w:hint="eastAsia" w:ascii="宋体" w:hAnsi="宋体" w:eastAsia="宋体" w:cs="宋体"/>
          <w:color w:val="auto"/>
          <w:sz w:val="21"/>
          <w:szCs w:val="21"/>
          <w:highlight w:val="none"/>
        </w:rPr>
        <w:tab/>
      </w:r>
    </w:p>
    <w:p w14:paraId="4CFF24C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乙方须接受甲方指定的物业公司管理，并承担相关费用。</w:t>
      </w:r>
    </w:p>
    <w:p w14:paraId="470FD50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第十一条</w:t>
      </w:r>
      <w:r>
        <w:rPr>
          <w:rFonts w:hint="eastAsia" w:ascii="宋体" w:hAnsi="宋体" w:eastAsia="宋体" w:cs="宋体"/>
          <w:color w:val="auto"/>
          <w:sz w:val="21"/>
          <w:szCs w:val="21"/>
          <w:highlight w:val="none"/>
        </w:rPr>
        <w:tab/>
      </w:r>
    </w:p>
    <w:p w14:paraId="062B58E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租金根据“先付后用”原则，按上述表格支付。乙方须在本合同签订后</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日内向甲方缴付第一期租金人民币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）。乙方须在每个租赁期届满的</w:t>
      </w:r>
      <w:r>
        <w:rPr>
          <w:rFonts w:hint="eastAsia" w:ascii="宋体" w:hAnsi="宋体" w:eastAsia="宋体" w:cs="宋体"/>
          <w:color w:val="auto"/>
          <w:sz w:val="21"/>
          <w:szCs w:val="21"/>
          <w:highlight w:val="none"/>
          <w:u w:val="none"/>
          <w:lang w:val="en-US" w:eastAsia="zh-CN"/>
        </w:rPr>
        <w:t>45</w:t>
      </w:r>
      <w:r>
        <w:rPr>
          <w:rFonts w:hint="eastAsia" w:ascii="宋体" w:hAnsi="宋体" w:eastAsia="宋体" w:cs="宋体"/>
          <w:color w:val="auto"/>
          <w:sz w:val="21"/>
          <w:szCs w:val="21"/>
          <w:highlight w:val="none"/>
        </w:rPr>
        <w:t>日前，预付下期租金。每次支付租金后，甲方应出具相应的票据。</w:t>
      </w:r>
    </w:p>
    <w:p w14:paraId="4324D58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en-US"/>
        </w:rPr>
      </w:pPr>
      <w:r>
        <w:rPr>
          <w:rFonts w:hint="eastAsia" w:ascii="宋体" w:hAnsi="宋体" w:eastAsia="宋体" w:cs="宋体"/>
          <w:b/>
          <w:bCs/>
          <w:color w:val="auto"/>
          <w:spacing w:val="2"/>
          <w:sz w:val="21"/>
          <w:szCs w:val="21"/>
          <w:highlight w:val="none"/>
          <w:lang w:val="en-US" w:eastAsia="en-US"/>
        </w:rPr>
        <w:t>第十二条</w:t>
      </w:r>
    </w:p>
    <w:p w14:paraId="049A6ED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乙方须在本合同签订前向甲方缴付履约保证金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甲方在收到乙方支付的履约保证金后，开具符合财税要求的收据给乙方。如乙方在合同期内无任何违约违法行为，合同期满或协商终止后，履约保证金由甲方退还给乙方，乙方应当出具符合财税要求的收据。如乙方在合同期发生违约违法行为，甲方有权直接从履约保证金中扣除乙方应付的违约金和费用，乙方须在履约保证金扣除后接到甲方通知之日起</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日内将其补足。履约保证金不足以支付违约金和费用的，乙方须在接到甲方通知后</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日内另行支付。如双方协商提前终止本合同的，履约保证金按终止协议中相关条款执行。</w:t>
      </w:r>
    </w:p>
    <w:p w14:paraId="4B5A407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第十三条</w:t>
      </w:r>
      <w:r>
        <w:rPr>
          <w:rFonts w:hint="eastAsia" w:ascii="宋体" w:hAnsi="宋体" w:eastAsia="宋体" w:cs="宋体"/>
          <w:color w:val="auto"/>
          <w:sz w:val="21"/>
          <w:szCs w:val="21"/>
          <w:highlight w:val="none"/>
        </w:rPr>
        <w:tab/>
      </w:r>
    </w:p>
    <w:p w14:paraId="1E85752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租赁范围的水、电等为有偿使用，其费用由乙方自行承担，甲方或其指定单位代收代缴。按</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规定的商业收费标准计算费用，乙方按甲方指定时间内缴纳。本条款各项费用均以甲方或其指定单位出具的缴费账单为准，乙方应在甲方指定时间内向甲方或其指定单位支付上述费用</w:t>
      </w:r>
      <w:r>
        <w:rPr>
          <w:rFonts w:hint="eastAsia" w:ascii="宋体" w:hAnsi="宋体" w:eastAsia="宋体" w:cs="宋体"/>
          <w:color w:val="auto"/>
          <w:sz w:val="21"/>
          <w:szCs w:val="21"/>
          <w:highlight w:val="none"/>
          <w:lang w:eastAsia="zh-CN"/>
        </w:rPr>
        <w:t>。</w:t>
      </w:r>
    </w:p>
    <w:p w14:paraId="49C5C20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第十四条</w:t>
      </w:r>
    </w:p>
    <w:p w14:paraId="79C100C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双方因签订和履行本合同而应当缴纳的税费，根据相关法律法规规定由双方各自依法承担。</w:t>
      </w:r>
    </w:p>
    <w:p w14:paraId="19F5F5F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第十五条</w:t>
      </w:r>
    </w:p>
    <w:p w14:paraId="43ACCB7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租金、履约保证金等费用收取账户信息如下（水、电费收取账户信息，甲方另行通知）：</w:t>
      </w:r>
    </w:p>
    <w:p w14:paraId="76966B7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户名：南通轨道资源开发有限公司</w:t>
      </w:r>
    </w:p>
    <w:p w14:paraId="49A5874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账号：326008602011000291381</w:t>
      </w:r>
    </w:p>
    <w:p w14:paraId="7AF17F3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开户银行：交通银行南通分行营业部</w:t>
      </w:r>
    </w:p>
    <w:p w14:paraId="720EE0A4">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w:t>
      </w:r>
      <w:r>
        <w:rPr>
          <w:rFonts w:hint="eastAsia" w:ascii="宋体" w:hAnsi="宋体" w:eastAsia="宋体" w:cs="宋体"/>
          <w:b/>
          <w:bCs/>
          <w:color w:val="auto"/>
          <w:spacing w:val="-6"/>
          <w:sz w:val="22"/>
          <w:szCs w:val="22"/>
          <w:highlight w:val="none"/>
          <w:lang w:val="en-US" w:eastAsia="zh-CN"/>
        </w:rPr>
        <w:t>五</w:t>
      </w:r>
      <w:r>
        <w:rPr>
          <w:rFonts w:hint="eastAsia" w:ascii="宋体" w:hAnsi="宋体" w:eastAsia="宋体" w:cs="宋体"/>
          <w:b/>
          <w:bCs/>
          <w:color w:val="auto"/>
          <w:spacing w:val="-6"/>
          <w:sz w:val="22"/>
          <w:szCs w:val="22"/>
          <w:highlight w:val="none"/>
        </w:rPr>
        <w:t>章  甲方权利和义务</w:t>
      </w:r>
    </w:p>
    <w:p w14:paraId="471ACCD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第十六条</w:t>
      </w:r>
    </w:p>
    <w:p w14:paraId="07311EF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甲方保证对该租赁便民用房有使用权和出租权。</w:t>
      </w:r>
    </w:p>
    <w:p w14:paraId="72194BE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第十七条</w:t>
      </w:r>
    </w:p>
    <w:p w14:paraId="62D9C0C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甲方应对乙方办理经营、设计、装修所需的或可能发生的环保、通讯、消防、卫生及其政府规定的申请报批手续给予必要的协助。</w:t>
      </w:r>
    </w:p>
    <w:p w14:paraId="0700433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第十八条</w:t>
      </w:r>
    </w:p>
    <w:p w14:paraId="7BFB834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甲方保留可不时制订、引进或修改、采用、废除任何其认为经营和维持便民用房所必要的一切管理规章制度的权利。</w:t>
      </w:r>
    </w:p>
    <w:p w14:paraId="3139D32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第十九条</w:t>
      </w:r>
    </w:p>
    <w:p w14:paraId="73EDAE7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对乙方在经营业态、安全管理、合法经营等合同执行方面有违反本合同约定，并且严重影响甲方、南通轨道交通形象和信誉的行为，甲方有权要求乙方限期整改，在合理整改期限内如乙方拒绝整改或怠于整改，甲方有权采取停止水、电供应等相关措施，直至终止合同。</w:t>
      </w:r>
    </w:p>
    <w:p w14:paraId="27FD5B2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第二十条</w:t>
      </w:r>
    </w:p>
    <w:p w14:paraId="1C3A155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在租赁期内，甲方有权进入租赁便民用房内对物业及设备设施进行检查，甲方应提前</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书面通知乙方，乙方应协助并配合甲方进入租赁便民用房内对物业及设备设施进行检查。如发现损坏或使用不当等情况，甲方立即告知乙方整改，乙方须在甲方规定的期限内完成整改，如遇特殊情况的，双方另行协商。否则甲方有权自行采取相应整改措施，所产生的费用由乙方承担。</w:t>
      </w:r>
    </w:p>
    <w:p w14:paraId="5601A80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第二十一条</w:t>
      </w:r>
    </w:p>
    <w:p w14:paraId="069802A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进行用电、消防等相关的检查，但不得影响乙方的正常经营活动，乙方应当对甲方的检查予以配合。对于检查发现的问题，甲方有权采取相应措施，责令乙方进行整改，乙方应当立即整改。</w:t>
      </w:r>
    </w:p>
    <w:p w14:paraId="2676855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第二十二条</w:t>
      </w:r>
    </w:p>
    <w:p w14:paraId="23179C7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如乙方因服务态度或商品质量问题被社会新闻等媒体曝光或造成不良影响的，甲方有权要求乙方停业整顿，乙方应承担因此给甲方造成的一切损失。</w:t>
      </w:r>
    </w:p>
    <w:p w14:paraId="457305A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第二十三条</w:t>
      </w:r>
    </w:p>
    <w:p w14:paraId="76EF863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便民用房所在地铁车站内的任何部分因电梯、自动扶梯、防火、保安设备、空气调节设备或其他设备的任何缺陷或故障，或因电力、自来水、电话等供应的失效、故障、暂停，或因有水、烟、火或任何其他物质泄漏，或因老鼠、白蚁、蟑螂、其他害虫的滋生，或因遭受爆炸、盗窃、抢劫，而对乙方或任何其他人员造成任何财产损失或破坏，甲方不必对乙方或任何其他人员负责。如上述情况是因甲方的过错直接引起的，甲方仅赔偿乙方因此而遭受的有形财产损毁而发生的直接经济损失。</w:t>
      </w:r>
    </w:p>
    <w:p w14:paraId="1B73DC5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第二十四条</w:t>
      </w:r>
    </w:p>
    <w:p w14:paraId="64E6D05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保留在租赁期内的任何时候，无需征得乙方的同意，变更、修缮、及临时封闭便民用房公共部位/区域或其部分包括走道、门户、窗户、电动装置、电缆电线、水管信道、电梯、自动楼梯、防火、保安设备、空气调节设备等结构的权利，同时亦保留更换便民用房公共部位/区域整体结构、布局及安排的权利。</w:t>
      </w:r>
    </w:p>
    <w:p w14:paraId="7107BB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第二十五条</w:t>
      </w:r>
    </w:p>
    <w:p w14:paraId="1F0693D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如在任何时间内非因甲方的过错，该便民用房的水、电供应或空调服务停止供应或便民用房的任何公共设施停止运作，甲方不必为此而向乙方承担任何赔偿责任或减免乙方租金、物业管理费（如有）及其他费用。甲方向该便民用房提供的保安人员、管理人员、任何性质的机械、电子防盗系统（如有），不构成甲方对该便民用房或其内之财物的保安、保管责任。 </w:t>
      </w:r>
    </w:p>
    <w:p w14:paraId="220E543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留利用租赁便民用房的外墙（如果有）作任何用途的权利，但行使该权利时不能影响乙方正常经营。根据南通轨道交通运营的需要，甲方有权调整、改进、扩充、增加、减少或取消该便民用房的权利。乙方如果不同意甲方的决议，则双方的合同解除。甲方退回乙方已支付但还未执行的租金及履约保证金，除此外，甲方不作任何补偿或赔偿，且不承担任何违约责任。</w:t>
      </w:r>
    </w:p>
    <w:p w14:paraId="201FF92C">
      <w:pPr>
        <w:bidi w:val="0"/>
        <w:ind w:right="-519" w:rightChars="-247"/>
        <w:rPr>
          <w:rFonts w:hint="eastAsia" w:ascii="宋体" w:hAnsi="宋体" w:eastAsia="宋体" w:cs="宋体"/>
          <w:sz w:val="20"/>
          <w:szCs w:val="20"/>
          <w:highlight w:val="none"/>
        </w:rPr>
      </w:pPr>
    </w:p>
    <w:p w14:paraId="17FE4FD4">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第六章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乙方权利和义务</w:t>
      </w:r>
    </w:p>
    <w:p w14:paraId="276F416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第二十六条</w:t>
      </w:r>
    </w:p>
    <w:p w14:paraId="43330E7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乙方保证接受并服从甲方的统一经营管理。</w:t>
      </w:r>
    </w:p>
    <w:p w14:paraId="4195771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第二十七条</w:t>
      </w:r>
    </w:p>
    <w:p w14:paraId="15CD566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乙方在便民用房内从事经营活动时，应当遵守包括环境保护、卫生、防疫、文化、治安、消防管理在内的各项法律、法规、规定。</w:t>
      </w:r>
    </w:p>
    <w:p w14:paraId="6BDDD62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第二十八条</w:t>
      </w:r>
    </w:p>
    <w:p w14:paraId="7602859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自行负责便民用房内物品的安全保卫工作，并承担因此而产生的一切费用和责任。因乙方经营管理等原因，发生的消防、治安等安全问题，由乙方承担全部责任。因此造成甲方损失的，乙方应赔偿甲方损失。甲乙双方另行签署《南通轨道资源开发有限公司外单位作业（商业经营、广告传媒、物业管理）安全、消防、治安内保协议》。</w:t>
      </w:r>
    </w:p>
    <w:p w14:paraId="550929B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第二十九条</w:t>
      </w:r>
    </w:p>
    <w:p w14:paraId="2ADCC01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加强经营管理，严格遵守《南通轨道交通便民用房日常经营管理规定》（附件7）等甲方制定的并不时修改的有关该便民用房管理的所有规章制度（包括日常管理规定、装修管理规定、商户手册等），并保证其经营行为不损害其他乙方、甲方及任何第三方的利益。如乙方管理不善，出现违反本合同、地铁运营规范或上述规章制度等要求的，给地铁安全、服务等造成严重不良社会影响的，甲方有权追究乙方相应的违约责任。</w:t>
      </w:r>
    </w:p>
    <w:p w14:paraId="2BEC8D2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第三十条</w:t>
      </w:r>
      <w:r>
        <w:rPr>
          <w:rFonts w:hint="eastAsia" w:ascii="宋体" w:hAnsi="宋体" w:eastAsia="宋体" w:cs="宋体"/>
          <w:color w:val="auto"/>
          <w:sz w:val="21"/>
          <w:szCs w:val="21"/>
          <w:highlight w:val="none"/>
        </w:rPr>
        <w:tab/>
      </w:r>
    </w:p>
    <w:p w14:paraId="111FB29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乙方确认，甲方不承担该便民用房内乙方、乙方工作人员、乙方顾客和访客或其他乙方相关人员的人身、财产的安全义务。</w:t>
      </w:r>
    </w:p>
    <w:p w14:paraId="4E04C34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第三十一条</w:t>
      </w:r>
      <w:r>
        <w:rPr>
          <w:rFonts w:hint="eastAsia" w:ascii="宋体" w:hAnsi="宋体" w:eastAsia="宋体" w:cs="宋体"/>
          <w:color w:val="auto"/>
          <w:sz w:val="21"/>
          <w:szCs w:val="21"/>
          <w:highlight w:val="none"/>
        </w:rPr>
        <w:tab/>
      </w:r>
    </w:p>
    <w:p w14:paraId="516C1D8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乙方在任何时间都应自行对该便民用房或其内之财物负责，对其放置于该便民用房内的货物、设备、材料等，应自行采取保护措施，否则，因此导致乙方的损失或给甲方及第三方造成的损失由乙方承担。</w:t>
      </w:r>
    </w:p>
    <w:p w14:paraId="5472A42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第三十二条</w:t>
      </w:r>
      <w:r>
        <w:rPr>
          <w:rFonts w:hint="eastAsia" w:ascii="宋体" w:hAnsi="宋体" w:eastAsia="宋体" w:cs="宋体"/>
          <w:color w:val="auto"/>
          <w:sz w:val="21"/>
          <w:szCs w:val="21"/>
          <w:highlight w:val="none"/>
        </w:rPr>
        <w:tab/>
      </w:r>
    </w:p>
    <w:p w14:paraId="1823877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乙方保证及时办齐经营相关的各类证照，并将复印件提交甲方备案。</w:t>
      </w:r>
    </w:p>
    <w:p w14:paraId="5AD1FA8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第三十三条</w:t>
      </w:r>
    </w:p>
    <w:p w14:paraId="5F62664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乙方因经营所涉及的消防等所有相关报验手续由乙方自行办理并承担相关费用，甲方须予以帮助配合。</w:t>
      </w:r>
    </w:p>
    <w:p w14:paraId="7E96BDA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第三十四条</w:t>
      </w:r>
    </w:p>
    <w:p w14:paraId="539A9FE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改变或损坏该便民用房的建筑结构、外墙部分、门头以及甲方提供的任何设施设备（包括专用设施设备和共用设施设备）；乙方不得擅自改变该便民用房相关设施（包括但不限于楼道、通道、大门、走廊、设备用房）的设计用途，亦不得采用封堵或阻挡等任何方式妨碍其使用，否则，甲方有权要求乙方恢复原状或不影响甲方再次招商。对于设置于便民用房内或通过该便民用房的设施设备，乙方应当给予充分的注意和保护。</w:t>
      </w:r>
    </w:p>
    <w:p w14:paraId="585C47F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第三十五条</w:t>
      </w:r>
      <w:r>
        <w:rPr>
          <w:rFonts w:hint="eastAsia" w:ascii="宋体" w:hAnsi="宋体" w:eastAsia="宋体" w:cs="宋体"/>
          <w:color w:val="auto"/>
          <w:sz w:val="21"/>
          <w:szCs w:val="21"/>
          <w:highlight w:val="none"/>
        </w:rPr>
        <w:tab/>
      </w:r>
    </w:p>
    <w:p w14:paraId="556D4EE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在经营范围内正常合理使用该便民用房及其设施设备，不得放置任何超过该便民用房设计荷载的物品，不得采取任何可能导致甲方的保险赔偿额减少、取消或保险费用增加的行为，不得采取任何可能导致不合理缩短该便民用房及其所在建筑物、相关设施设备使 用期限的行为。因乙方原因导致该便民用房的水、电等供应中断或空调、电梯等设施设备停止运行的，乙方应当承担修复所需的一切费用，并赔偿因此给甲方及第三方所造成的一切损失。</w:t>
      </w:r>
    </w:p>
    <w:p w14:paraId="6E838A6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第三十六条</w:t>
      </w:r>
    </w:p>
    <w:p w14:paraId="6BF804B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乙方在该便民用房经营项目如包含餐饮类业态，须按甲方要求安装独立隔油池、油烟净化器、排油烟设备等，所排放的污水、油烟须经过处理后方可排入便民用房主管道，并须定期自行负责清理。</w:t>
      </w:r>
    </w:p>
    <w:p w14:paraId="34B77F6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第三十七条</w:t>
      </w:r>
    </w:p>
    <w:p w14:paraId="473ABC2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不从事任何可能阻碍、影响相邻区域内甲方或其他乙方合法权利的行为，或其他不合理干涉、扰乱甲方或其他乙方正常经营的行为。如乙方经营产生特殊气味或者噪音干扰等，乙方应当采取有效的措施加以改正，因此造成的损失由乙方自行承担。</w:t>
      </w:r>
    </w:p>
    <w:p w14:paraId="1D11311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第三十八条</w:t>
      </w:r>
      <w:r>
        <w:rPr>
          <w:rFonts w:hint="eastAsia" w:ascii="宋体" w:hAnsi="宋体" w:eastAsia="宋体" w:cs="宋体"/>
          <w:color w:val="auto"/>
          <w:sz w:val="21"/>
          <w:szCs w:val="21"/>
          <w:highlight w:val="none"/>
        </w:rPr>
        <w:tab/>
      </w:r>
    </w:p>
    <w:p w14:paraId="010AC74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乙方对该便民用房内陈列或销售之商品或提供的服务负责，因乙方经营活动导致他人权益受到侵害或甲方权益受损的，乙方应承担相应的法律责任。</w:t>
      </w:r>
    </w:p>
    <w:p w14:paraId="617EA7E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第三十九条</w:t>
      </w:r>
    </w:p>
    <w:p w14:paraId="6AC2F3F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于因乙方原因导致的水、烟等相关物质外泄或因乙方原因导致火灾、爆炸等危害公共安全事件或乙方有不良经营行为的，则乙方应赔偿因此给甲方及第三方造成的损失。本款内所述乙方的责任同样适用于乙方工作人员、乙方顾客和访客或其他与乙方相关人员，并由乙方承担连带赔偿责任。</w:t>
      </w:r>
    </w:p>
    <w:p w14:paraId="2598DDD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第四十条</w:t>
      </w:r>
    </w:p>
    <w:p w14:paraId="31049D7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因第三方原因导致乙方商品、货物或其他财产发生损害，或导致乙方蒙受损失的，乙方自行向第三方索赔，甲方不承担任何责任。</w:t>
      </w:r>
    </w:p>
    <w:p w14:paraId="364F6B5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第四十一条</w:t>
      </w:r>
    </w:p>
    <w:p w14:paraId="0C84E71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租赁期内，未经甲方书面批准，乙方不得对该便民用房进行任何形式的转租、分租、转让、转借、调换、合作经营或联营，不得将该便民用房及设施对外实施抵押、质押等处分行为，否则视为严重违约。将便民用房转租的乙方将被纳入南通市国资委房屋租赁失信人员名单，不得参与南通市国资委监管企业房屋出租的竞租。</w:t>
      </w:r>
    </w:p>
    <w:p w14:paraId="676EB8F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第四十二条</w:t>
      </w:r>
    </w:p>
    <w:p w14:paraId="0DD375A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如乙方未经甲方书面批准的情况下通过转租、合作、对外承包经营等任何方式允许第三方在该便民用房内经营的，则因该第三方行为而导致甲方蒙受任何损失的，乙方承担连带赔偿责任。</w:t>
      </w:r>
    </w:p>
    <w:p w14:paraId="4B5E042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第四十三条</w:t>
      </w:r>
    </w:p>
    <w:p w14:paraId="08CC3BD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营业时间应在甲方指定的时间范围内，不得在非营业时间容留人员。未经甲方书面同意，营业时间不得超过城市轨道交通运营时间。甲方有权按情况需要经提前通知乙方后修改营业时间，乙方必须遵守，不得异议。未经甲方同意，不得推迟、提前及无故停止营业。</w:t>
      </w:r>
    </w:p>
    <w:p w14:paraId="523A04C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第四十四条</w:t>
      </w:r>
      <w:r>
        <w:rPr>
          <w:rFonts w:hint="eastAsia" w:ascii="宋体" w:hAnsi="宋体" w:eastAsia="宋体" w:cs="宋体"/>
          <w:color w:val="auto"/>
          <w:sz w:val="21"/>
          <w:szCs w:val="21"/>
          <w:highlight w:val="none"/>
        </w:rPr>
        <w:tab/>
      </w:r>
    </w:p>
    <w:p w14:paraId="3B5AB53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变更经营品牌、经营项目或超范围经营。对于乙方提出的变更经营品牌、经营项目的申请，甲方有权根据便民用房整体形象、规划布局、物业条件等各种因素予以拒绝，乙方必须遵守，不得异议，否则甲方有权提前解除合同。</w:t>
      </w:r>
    </w:p>
    <w:p w14:paraId="1100CAD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第四十五条</w:t>
      </w:r>
      <w:r>
        <w:rPr>
          <w:rFonts w:hint="eastAsia" w:ascii="宋体" w:hAnsi="宋体" w:eastAsia="宋体" w:cs="宋体"/>
          <w:color w:val="auto"/>
          <w:sz w:val="21"/>
          <w:szCs w:val="21"/>
          <w:highlight w:val="none"/>
        </w:rPr>
        <w:tab/>
      </w:r>
    </w:p>
    <w:p w14:paraId="61B9C3F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其工作人员在该便民用房内遵守国家、地方及甲方有关的消防管理规定，包括但不限于：不使用易燃易爆、有毒有害材料，不堵塞或占用消防通道，不使用明火、危险品、易燃物、电加热器，执行公共区域禁止吸烟规定，配齐消防器具，组织工作人员消防培训，具备火灾等突发事件紧急疏散等处置能力。乙方应确保其工作人员、装修及安装人员执行前述保证内容，否则产生任何损失或责任均由乙方自行处理和承担。乙方必须接受甲方的消防等安全检查，对于消防安全检查中发现的问题，乙方必须按要求无条件整改。</w:t>
      </w:r>
    </w:p>
    <w:p w14:paraId="21CA364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第四十六条</w:t>
      </w:r>
    </w:p>
    <w:p w14:paraId="739296B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特别明确，除非本合同另有特别明确约定，乙方不得以任何理由拒绝或拖延缴纳本合同项下租金、物业管理费（如有）或水、电等公用事业费或其他应当由乙方承担的费用。如涉及争议，乙方应按照本合同约定的争议解决办法依法处理。在按照争议解决办法处理期间，乙方应继续履行本合同项下各项缴费义务。</w:t>
      </w:r>
    </w:p>
    <w:p w14:paraId="7BB4363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第四十七条</w:t>
      </w:r>
    </w:p>
    <w:p w14:paraId="07C5ECB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乙方同意，如乙方欠付租金、物业管理费（如有）等费用，在欠费期间，未经甲方书面批准，该便民用房内乙方商品、货物及设施设备不得转移出该便民用房。</w:t>
      </w:r>
    </w:p>
    <w:p w14:paraId="26E19EB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第四十八条</w:t>
      </w:r>
    </w:p>
    <w:p w14:paraId="6295B12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乙方须允许甲方和甲方授权的人员在一切合理的时间进入该便民用房查看物业使用状况，如发现违章甲方可做出相应的处理决定。该处理决定对乙方有约束力，乙方必须严格执行，纠正违章的费用由乙方承担。</w:t>
      </w:r>
    </w:p>
    <w:p w14:paraId="4D5C7A4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第四十九条</w:t>
      </w:r>
    </w:p>
    <w:p w14:paraId="112045B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双方确认，甲方有权进入该便民用房进行维修、保养或其他与该便民用房相关事项，并采取一切相关的合理技术措施（但应尽量避免给乙方及其营业造成影响）。乙方不得因此向甲方提出营业损失、营业场地占用、人员加班费或任何形式的补偿或赔偿要求。</w:t>
      </w:r>
    </w:p>
    <w:p w14:paraId="58BA7A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第五十条</w:t>
      </w:r>
    </w:p>
    <w:p w14:paraId="3F62968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在甲方对相关的管道、线路和设备进行检修、调试或对于故障及时采取补救措施时给予必要的协助。若因乙方对该便民用房进行装饰装修或因乙方的其他行为，导致甲方无法实施上述行为的，因此造成甲方及第三方的损失，由乙方承担损害赔偿责任。</w:t>
      </w:r>
    </w:p>
    <w:p w14:paraId="100EBD8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第五十一条</w:t>
      </w:r>
    </w:p>
    <w:p w14:paraId="46B9810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由于不可抗力及非甲方原因等造成的乙方财产损失，由乙方自行承担。</w:t>
      </w:r>
    </w:p>
    <w:p w14:paraId="2DC3CB2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第五十二条</w:t>
      </w:r>
    </w:p>
    <w:p w14:paraId="61A85A7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乙方须于每个自然季度的首月</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lang w:val="en-US" w:eastAsia="zh-CN"/>
        </w:rPr>
        <w:t>日前报送上一个季度的经营情况报告（内容包括但不限于经营收入、人员用工情况等），每年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lang w:val="en-US" w:eastAsia="zh-CN"/>
        </w:rPr>
        <w:t>月底前书面上报上一年度经营情况报告。甲方有权对乙方销售工作进行了解和监督，但不得干扰乙方正常的经营活动。</w:t>
      </w:r>
    </w:p>
    <w:p w14:paraId="169935F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乙方不得侵犯第三人的知识产权和其他权利，因此产生的一切法律责任由乙方承担，甲方不承担任何责任。因此造成甲方损失的，乙方负责赔偿。</w:t>
      </w:r>
    </w:p>
    <w:p w14:paraId="2F38CB6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对前述合同条款及在履行本合同过程中知悉的甲方商业秘密予以保密，除非应法律、法院判决或行政命令的要求，未经甲方书面许可，不向甲方及乙方以外任何第三方透露，但乙方律师及/或顾问不在此限。</w:t>
      </w:r>
    </w:p>
    <w:p w14:paraId="248615C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2"/>
          <w:szCs w:val="22"/>
          <w:highlight w:val="none"/>
          <w:lang w:val="en-US" w:eastAsia="zh-CN"/>
        </w:rPr>
      </w:pPr>
    </w:p>
    <w:p w14:paraId="41C7465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第七章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交付及进场装修</w:t>
      </w:r>
    </w:p>
    <w:p w14:paraId="6B56CB9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第五十三条</w:t>
      </w:r>
    </w:p>
    <w:p w14:paraId="1E5A0C0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本合同签订时，乙方已对相关便民用房进行现场勘察，对于便民用房交付时的现状了解并予以认可。合同签订后甲方应及时将该便民用房及其附属设施交乙方使用，双方办理便民用房交接手续，届时该便民用房应达到的交付条件为：现状交付，双方在交付时签署包括</w:t>
      </w:r>
      <w:r>
        <w:rPr>
          <w:rFonts w:hint="eastAsia" w:ascii="宋体" w:hAnsi="宋体" w:eastAsia="宋体" w:cs="宋体"/>
          <w:color w:val="auto"/>
          <w:sz w:val="21"/>
          <w:szCs w:val="21"/>
          <w:highlight w:val="none"/>
          <w:u w:val="single"/>
          <w:lang w:val="en-US" w:eastAsia="zh-CN"/>
        </w:rPr>
        <w:t>物业交接表（附件6）</w:t>
      </w:r>
      <w:r>
        <w:rPr>
          <w:rFonts w:hint="eastAsia" w:ascii="宋体" w:hAnsi="宋体" w:eastAsia="宋体" w:cs="宋体"/>
          <w:color w:val="auto"/>
          <w:sz w:val="21"/>
          <w:szCs w:val="21"/>
          <w:highlight w:val="none"/>
          <w:lang w:val="en-US" w:eastAsia="zh-CN"/>
        </w:rPr>
        <w:t>在内的交付确认文件。乙方应在接到甲方通知后即时办理交接手续。若乙方在甲方通知交铺后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日内尚未办妥收铺手续，则甲方有权提前收回该便民用房、单方面解除本合同、重新招商并不退还履约保证金、租金、物业管理费（如有）等所有已交费用。</w:t>
      </w:r>
    </w:p>
    <w:p w14:paraId="5E2D017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第五十四条</w:t>
      </w:r>
      <w:r>
        <w:rPr>
          <w:rFonts w:hint="eastAsia" w:ascii="宋体" w:hAnsi="宋体" w:eastAsia="宋体" w:cs="宋体"/>
          <w:color w:val="auto"/>
          <w:sz w:val="21"/>
          <w:szCs w:val="21"/>
          <w:highlight w:val="none"/>
        </w:rPr>
        <w:tab/>
      </w:r>
    </w:p>
    <w:p w14:paraId="4F33055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便民用房的装饰装修工程由乙方自行实施，相应费用由乙方承担。乙方在对该便民用房进行装饰装修（包括再次装修）前，应按照甲方规定办妥全部施工手续，提供该便民用房装修设计文件（包括装修图纸等资料）供甲方审查，在获得甲方书面批准后方可开始对该便民用房进行装饰装修。上述装修设计文件经甲方批准后，未经甲方书面同意，乙方不得擅自变更。</w:t>
      </w:r>
    </w:p>
    <w:p w14:paraId="0D4FA66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第五十五条</w:t>
      </w:r>
      <w:r>
        <w:rPr>
          <w:rFonts w:hint="eastAsia" w:ascii="宋体" w:hAnsi="宋体" w:eastAsia="宋体" w:cs="宋体"/>
          <w:color w:val="auto"/>
          <w:sz w:val="21"/>
          <w:szCs w:val="21"/>
          <w:highlight w:val="none"/>
        </w:rPr>
        <w:tab/>
      </w:r>
    </w:p>
    <w:p w14:paraId="39D9884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的装饰装修须符合法律法规和消防相关要求，遵守甲方相关管理规章制度，不得破坏该便民用房主体结构和甲方已完成的公共区域装修。乙方承诺对装修设计文件自行承担全部责任，在装修过程中服从甲方及相关政府部门的管理和指挥，并按照甲方的规定缴纳装修相关收费，包括但不限于装修管理费、装修押金、垃圾清运费。如乙方对该便民用房进行装饰装修造成甲方或第三方损失，由乙方自行负责全部赔偿。乙方须在甲方指定时间范围内进行便民用房装修，不得影响邻铺正常营业。</w:t>
      </w:r>
    </w:p>
    <w:p w14:paraId="4C737E1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第五十六条</w:t>
      </w:r>
      <w:r>
        <w:rPr>
          <w:rFonts w:hint="eastAsia" w:ascii="宋体" w:hAnsi="宋体" w:eastAsia="宋体" w:cs="宋体"/>
          <w:color w:val="auto"/>
          <w:sz w:val="21"/>
          <w:szCs w:val="21"/>
          <w:highlight w:val="none"/>
        </w:rPr>
        <w:tab/>
      </w:r>
    </w:p>
    <w:p w14:paraId="45304AA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乙方承租该便民用房期间不得遮挡火灾报警探测器、自动喷水系统喷头、消防排烟口、室内消火栓等消防设施，不得影响防火卷帘的启降。</w:t>
      </w:r>
    </w:p>
    <w:p w14:paraId="129DB2A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第五十七条</w:t>
      </w:r>
      <w:r>
        <w:rPr>
          <w:rFonts w:hint="eastAsia" w:ascii="宋体" w:hAnsi="宋体" w:eastAsia="宋体" w:cs="宋体"/>
          <w:b/>
          <w:bCs/>
          <w:color w:val="auto"/>
          <w:spacing w:val="2"/>
          <w:sz w:val="21"/>
          <w:szCs w:val="21"/>
          <w:highlight w:val="none"/>
          <w:lang w:val="en-US" w:eastAsia="zh-CN"/>
        </w:rPr>
        <w:tab/>
      </w:r>
    </w:p>
    <w:p w14:paraId="025A2D2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乙方承租的该便民用房所有装修材料均应符合消防部门的要求。不得超负荷用电，电气线路应穿金属管敷设，不得私拉乱接。</w:t>
      </w:r>
    </w:p>
    <w:p w14:paraId="6698155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第五十八条</w:t>
      </w:r>
      <w:r>
        <w:rPr>
          <w:rFonts w:hint="eastAsia" w:ascii="宋体" w:hAnsi="宋体" w:eastAsia="宋体" w:cs="宋体"/>
          <w:color w:val="auto"/>
          <w:sz w:val="21"/>
          <w:szCs w:val="21"/>
          <w:highlight w:val="none"/>
        </w:rPr>
        <w:tab/>
      </w:r>
    </w:p>
    <w:p w14:paraId="7F54EFB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经乙方装修后该便民用房的装潢、添附，在合同终止后，除经甲方同意外，其所有权归甲方所有。</w:t>
      </w:r>
    </w:p>
    <w:p w14:paraId="2132F3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第五十九条</w:t>
      </w:r>
    </w:p>
    <w:p w14:paraId="4EEB599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违反本合同约定的各项要求对该便民用房进行装饰装修的（包括但不限于未经甲方批准，乙方擅自变更装修设计方案的情形），甲方有权要求乙方改正。甲方按其对建筑物的妨碍或损害程度，有权做出下述决定：（1）立即停工；（2）即时整改；（3）停止水、电等供应；（4）没收履约保证金、收回该便民用房、终止合同。因此而发生的一切损失和费用均由乙方承担。</w:t>
      </w:r>
    </w:p>
    <w:p w14:paraId="4306CE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第六十条</w:t>
      </w:r>
      <w:r>
        <w:rPr>
          <w:rFonts w:hint="eastAsia" w:ascii="宋体" w:hAnsi="宋体" w:eastAsia="宋体" w:cs="宋体"/>
          <w:color w:val="auto"/>
          <w:sz w:val="21"/>
          <w:szCs w:val="21"/>
          <w:highlight w:val="none"/>
        </w:rPr>
        <w:tab/>
      </w:r>
    </w:p>
    <w:p w14:paraId="1E759F6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乙方同意支付施工押金</w:t>
      </w:r>
      <w:r>
        <w:rPr>
          <w:rFonts w:hint="eastAsia" w:ascii="宋体" w:hAnsi="宋体" w:cs="宋体"/>
          <w:highlight w:val="none"/>
          <w:u w:val="single"/>
          <w:lang w:val="en-US" w:eastAsia="zh-CN"/>
        </w:rPr>
        <w:t>5</w:t>
      </w:r>
      <w:r>
        <w:rPr>
          <w:rFonts w:hint="eastAsia" w:ascii="宋体" w:hAnsi="宋体" w:eastAsia="宋体" w:cs="宋体"/>
          <w:highlight w:val="none"/>
          <w:u w:val="single"/>
        </w:rPr>
        <w:t>000</w:t>
      </w:r>
      <w:r>
        <w:rPr>
          <w:rFonts w:hint="eastAsia" w:ascii="宋体" w:hAnsi="宋体" w:eastAsia="宋体" w:cs="宋体"/>
          <w:highlight w:val="none"/>
        </w:rPr>
        <w:t>元/铺（大写</w:t>
      </w:r>
      <w:r>
        <w:rPr>
          <w:rFonts w:hint="eastAsia" w:ascii="宋体" w:hAnsi="宋体" w:cs="宋体"/>
          <w:highlight w:val="none"/>
          <w:u w:val="single"/>
          <w:lang w:val="en-US" w:eastAsia="zh-CN"/>
        </w:rPr>
        <w:t>伍仟</w:t>
      </w:r>
      <w:r>
        <w:rPr>
          <w:rFonts w:hint="eastAsia" w:ascii="宋体" w:hAnsi="宋体" w:eastAsia="宋体" w:cs="宋体"/>
          <w:highlight w:val="none"/>
          <w:u w:val="single"/>
        </w:rPr>
        <w:t>元整</w:t>
      </w:r>
      <w:r>
        <w:rPr>
          <w:rFonts w:hint="eastAsia" w:ascii="宋体" w:hAnsi="宋体" w:eastAsia="宋体" w:cs="宋体"/>
          <w:highlight w:val="none"/>
        </w:rPr>
        <w:t>）</w:t>
      </w:r>
      <w:r>
        <w:rPr>
          <w:rFonts w:hint="eastAsia" w:ascii="宋体" w:hAnsi="宋体" w:eastAsia="宋体" w:cs="宋体"/>
          <w:color w:val="auto"/>
          <w:sz w:val="21"/>
          <w:szCs w:val="21"/>
          <w:highlight w:val="none"/>
          <w:lang w:val="en-US" w:eastAsia="zh-CN"/>
        </w:rPr>
        <w:t>，并于施工开始前支付给甲方。装修完毕，经甲方检验合格，无息退还施工押金。</w:t>
      </w:r>
    </w:p>
    <w:p w14:paraId="7AEB86E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第六十一条</w:t>
      </w:r>
      <w:r>
        <w:rPr>
          <w:rFonts w:hint="eastAsia" w:ascii="宋体" w:hAnsi="宋体" w:eastAsia="宋体" w:cs="宋体"/>
          <w:color w:val="auto"/>
          <w:sz w:val="21"/>
          <w:szCs w:val="21"/>
          <w:highlight w:val="none"/>
        </w:rPr>
        <w:tab/>
      </w:r>
    </w:p>
    <w:p w14:paraId="008B235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装饰装修期间水电费用，由乙方承担并支付给甲方，在退还施工押金时一并结清。</w:t>
      </w:r>
    </w:p>
    <w:p w14:paraId="0ABA0FCE">
      <w:pPr>
        <w:bidi w:val="0"/>
        <w:ind w:right="-519" w:rightChars="-247"/>
        <w:rPr>
          <w:rFonts w:hint="eastAsia" w:ascii="宋体" w:hAnsi="宋体" w:eastAsia="宋体" w:cs="宋体"/>
          <w:sz w:val="20"/>
          <w:szCs w:val="20"/>
          <w:highlight w:val="none"/>
        </w:rPr>
      </w:pPr>
    </w:p>
    <w:p w14:paraId="043A88E9">
      <w:pPr>
        <w:keepNext w:val="0"/>
        <w:keepLines w:val="0"/>
        <w:pageBreakBefore w:val="0"/>
        <w:widowControl/>
        <w:numPr>
          <w:ilvl w:val="0"/>
          <w:numId w:val="3"/>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lang w:val="en-US" w:eastAsia="zh-CN"/>
        </w:rPr>
      </w:pPr>
      <w:r>
        <w:rPr>
          <w:rFonts w:hint="eastAsia" w:ascii="宋体" w:hAnsi="宋体" w:eastAsia="宋体" w:cs="宋体"/>
          <w:b/>
          <w:bCs/>
          <w:color w:val="auto"/>
          <w:spacing w:val="-6"/>
          <w:sz w:val="22"/>
          <w:szCs w:val="22"/>
          <w:highlight w:val="none"/>
          <w:lang w:val="en-US" w:eastAsia="zh-CN"/>
        </w:rPr>
        <w:t xml:space="preserve">  招牌、广告及宣传</w:t>
      </w:r>
    </w:p>
    <w:p w14:paraId="06A4B961">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spacing w:val="2"/>
          <w:kern w:val="0"/>
          <w:sz w:val="21"/>
          <w:szCs w:val="21"/>
          <w:highlight w:val="none"/>
          <w:lang w:val="en-US" w:eastAsia="zh-CN" w:bidi="ar-SA"/>
        </w:rPr>
        <w:t>第六十二条</w:t>
      </w:r>
    </w:p>
    <w:p w14:paraId="0329544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乙方在该便民用房外组织各种宣传活动须先征得甲方的同意，报甲方备案，不得从事不正当竞争活动。</w:t>
      </w:r>
    </w:p>
    <w:p w14:paraId="5F7A9234">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第六十三条</w:t>
      </w:r>
    </w:p>
    <w:p w14:paraId="71ACF44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于招牌和广告牌设置以及宣传事宜，乙方应当严格遵守甲方的管理规章制度，并缴纳相关费用。未经甲方同意，乙方不得在便民用房外或在其它公共部位张贴、张挂或展示任何广告、宣传标语、招牌、符号、装饰、灯饰或其他任何东西。店招及宣传画面内容所涉及的品牌仅限于本合同第四条约定的品牌并需经甲方审核后方可施工安装，不可出现任何其他品牌的宣传画面。乙方不得张贴、悬挂任何违法、违规、违禁的宣传广告、标语、画面、文字等。</w:t>
      </w:r>
    </w:p>
    <w:p w14:paraId="38A3D1B8">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第六十四条</w:t>
      </w:r>
    </w:p>
    <w:p w14:paraId="7447DBD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乙方违反法律规定或未经甲方的同意而设置招牌或广告牌等，或者乙方拒绝对出现毁损或渗漏现象的招牌、广告牌等予以维修或更换的，甲方有权直接予以拆除，并完成相关墙面等复原工作，因此而发生的拆除、复原等费用或造成损失均由乙方承担。</w:t>
      </w:r>
    </w:p>
    <w:p w14:paraId="3ADDE442">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第六十五条</w:t>
      </w:r>
    </w:p>
    <w:p w14:paraId="157237A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乙方同意，甲方为整体宣传便民用房的需要，可无偿使用其商标、商号、标识等。如乙方需使用甲方的名称、商标、商号、标识等，应事先取得甲方的书面同意。</w:t>
      </w:r>
    </w:p>
    <w:p w14:paraId="125BC1DE">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6F799D29">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第九章  紧急状态、</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维修及物业管理</w:t>
      </w:r>
    </w:p>
    <w:p w14:paraId="4A975536">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第六十六条</w:t>
      </w:r>
    </w:p>
    <w:p w14:paraId="7DEAAC4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租赁便民用房及其所在区域或其相邻的建筑发生火灾、爆炸、恐怖活动等危害公共安全的事件或发生重大的刑事犯罪行为等不可预测的突发性事件的情形，或存在发生上述危害公共安全的事件或突发性事件的潜在危险的情形等构成本合同项下所述紧急状态。</w:t>
      </w:r>
    </w:p>
    <w:p w14:paraId="0BD946C8">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第六十七条</w:t>
      </w:r>
    </w:p>
    <w:p w14:paraId="5E16C5A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发生紧急状态时，甲方可以在不通知乙方的情况下，自行决定中断对该便民用房的水、电等供应或停止空调、电梯等设施设备的运行。但事后应当通过适当途径尽快通知乙方，并做出说明。</w:t>
      </w:r>
    </w:p>
    <w:p w14:paraId="733B5EC0">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第六十八条</w:t>
      </w:r>
    </w:p>
    <w:p w14:paraId="7F9BF7B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因紧急状态或者公用事业部门或者政府部门要求、命令而导致该便民用房的水、电等供应中断或空调、电梯等设施设备停止运行的，甲方不承担任何责任。</w:t>
      </w:r>
    </w:p>
    <w:p w14:paraId="403F0D8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第六十九条</w:t>
      </w:r>
    </w:p>
    <w:p w14:paraId="2B53014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因处置紧急状态而造成该便民用房及相关设施设备受到损害或其他财产损失的（无论是因为甲方或相关政府部门工作人员的行为），其中属于乙方的财产，损失均由乙方自行承担。</w:t>
      </w:r>
    </w:p>
    <w:p w14:paraId="752ED55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第七十条</w:t>
      </w:r>
    </w:p>
    <w:p w14:paraId="70E093F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甲方将在租赁期内提供配电设备、电源、消防设备等设施，乙方应按照</w:t>
      </w:r>
      <w:r>
        <w:rPr>
          <w:rFonts w:hint="eastAsia" w:ascii="宋体" w:hAnsi="宋体" w:eastAsia="宋体" w:cs="宋体"/>
          <w:color w:val="auto"/>
          <w:kern w:val="0"/>
          <w:sz w:val="21"/>
          <w:szCs w:val="21"/>
          <w:highlight w:val="none"/>
          <w:lang w:val="en-US" w:eastAsia="zh-CN" w:bidi="ar"/>
        </w:rPr>
        <w:t>《南通轨道交通便民用房日常经营管理规定》</w:t>
      </w:r>
      <w:r>
        <w:rPr>
          <w:rFonts w:hint="eastAsia" w:ascii="宋体" w:hAnsi="宋体" w:eastAsia="宋体" w:cs="宋体"/>
          <w:color w:val="auto"/>
          <w:sz w:val="21"/>
          <w:szCs w:val="21"/>
          <w:highlight w:val="none"/>
          <w:lang w:val="en-US" w:eastAsia="zh-CN"/>
        </w:rPr>
        <w:t>中对设施设备使用相关要求执行。如因乙方使用原因，造成的故障，应由乙方维修并承担相关维修费用。</w:t>
      </w:r>
    </w:p>
    <w:p w14:paraId="247FCF0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第七十一条</w:t>
      </w:r>
    </w:p>
    <w:p w14:paraId="77B36DB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在租赁期间违反《南通轨道交通便民用房日常经营管理规定》中相关条款的，甲方有权对乙方行为进行处罚，乙方在日常经营过程中，应接受甲方的监督管理，对于日常经营中存在的问题，乙方应积极予以整改。对于占道经营、环境卫生等问题，应立即整改。否则将开具整改通知单，并处以当年合同年租金 5‰的违约金（不超过 2000 元）。对于不能立即整改的问题：一经发现，由甲方开具整改通知单，给予一定的整改期限，并处以当年合同年租金 5‰的违约金（不超过5000元）。逾期未整改到位或未进行整改的，处以当年合同年租金 2%的违约金（不超过10000元），并再次开具整改通知单。拒不整改的，甲方有权无条件提前终止便民用房租赁合同，并追究相应违约责任。对于同一类问题，发现两次以上的，甲方有权无条件提前终止便民用房租赁合同，并追究相应违约责任。</w:t>
      </w:r>
    </w:p>
    <w:p w14:paraId="561F253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第七十二条</w:t>
      </w:r>
      <w:r>
        <w:rPr>
          <w:rFonts w:hint="eastAsia" w:ascii="宋体" w:hAnsi="宋体" w:eastAsia="宋体" w:cs="宋体"/>
          <w:color w:val="auto"/>
          <w:sz w:val="21"/>
          <w:szCs w:val="21"/>
          <w:highlight w:val="none"/>
        </w:rPr>
        <w:t xml:space="preserve"> </w:t>
      </w:r>
    </w:p>
    <w:p w14:paraId="405A8A7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全事故（事件）处罚措施，乙方在便民用房经营过程中发生责任冒烟、火灾、伤人等安全事故（事件）时，甲方有权根据情节的严重性采取相关处罚措施。第一次发生责任冒烟、轻微伤人等事件，发放整改通知单，进行停业整顿，停业整顿不少于 7 日，并处以合同当年年租金 1%的违约金（不低于 2000 元），给甲方或任何第三方造成损失，将由乙方承担全部赔偿责任。第二次发生责任冒烟、轻微伤人等事件，发放整改通知单，进行停业整顿，停业整顿不少于 1 个月，并处以合同当年年租金4%的违约金（不低于10000元）。甲方有权提前终止合同，给甲方或任何第三方造成损失，将由乙方承担全部赔偿责任。发生责任火灾、重伤他人等安全事故，甲方有权提前终止合同，并追究相应违约责任，给甲方或任何第三方造成损失，将由乙方承担全部赔偿责任。同时列入招商黑名单，乙方不得参与南通地铁便民用房招商。如因乙方管理不善造成的一切安全事故，人员伤亡等；赔偿金额不包括在违约金范围内，乙方应另行承担相应的赔偿、法律责任、刑事责任等。</w:t>
      </w:r>
    </w:p>
    <w:p w14:paraId="3C9E92F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第七十三条</w:t>
      </w:r>
      <w:r>
        <w:rPr>
          <w:rFonts w:hint="eastAsia" w:ascii="宋体" w:hAnsi="宋体" w:eastAsia="宋体" w:cs="宋体"/>
          <w:color w:val="auto"/>
          <w:sz w:val="21"/>
          <w:szCs w:val="21"/>
          <w:highlight w:val="none"/>
        </w:rPr>
        <w:t xml:space="preserve"> </w:t>
      </w:r>
    </w:p>
    <w:p w14:paraId="7957EF1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除乙方使用原因外，该便民用房因工程质量原因发生损坏的，甲方应予以维修。但是，甲方不因对该便民用房及其相关设施设备和水、电供应系统的维修行为，而向乙方做出任何形式的赔偿或补偿。甲方对该便民用房的维修责任范围只限于该便民用房的结构部分及交接时甲方提供的设备设施（以便民用房交付时双方签订的交付确认文件内容为准，本合同另有约定的除外）。此外，甲方亦应维修便民用房的公共部位/区域。乙方装修或增设的设施设备由乙方自行维修。 </w:t>
      </w:r>
    </w:p>
    <w:p w14:paraId="52D9227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498C3BA8">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交还</w:t>
      </w:r>
    </w:p>
    <w:p w14:paraId="53AD62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第七十四条</w:t>
      </w:r>
      <w:r>
        <w:rPr>
          <w:rFonts w:hint="eastAsia" w:ascii="宋体" w:hAnsi="宋体" w:eastAsia="宋体" w:cs="宋体"/>
          <w:color w:val="auto"/>
          <w:sz w:val="21"/>
          <w:szCs w:val="21"/>
          <w:highlight w:val="none"/>
        </w:rPr>
        <w:t xml:space="preserve"> </w:t>
      </w:r>
    </w:p>
    <w:p w14:paraId="46AB208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本合同项下之租赁期限届满或本合同因任何原因而终止后 7 日内，乙方须将该便民用房完好交还甲方，并将便民用房恢复至甲方认可的状态，否则甲方有权在履约保证金中扣除因恢复便民用房而产生的损失，或向乙方追偿。该期限为本合同项下该便民用房之交还期。</w:t>
      </w:r>
    </w:p>
    <w:p w14:paraId="1ECBAF8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第七十五条</w:t>
      </w:r>
      <w:r>
        <w:rPr>
          <w:rFonts w:hint="eastAsia" w:ascii="宋体" w:hAnsi="宋体" w:eastAsia="宋体" w:cs="宋体"/>
          <w:color w:val="auto"/>
          <w:sz w:val="21"/>
          <w:szCs w:val="21"/>
          <w:highlight w:val="none"/>
        </w:rPr>
        <w:t xml:space="preserve"> </w:t>
      </w:r>
    </w:p>
    <w:p w14:paraId="492E79A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交还期内，乙方应向甲方归还所有甲方向乙方提供的物业管理和工程资料（如有）的全部原件和复印件，并使该便民用房符合约定的装修交还状态，以及通过甲方的验收。</w:t>
      </w:r>
    </w:p>
    <w:p w14:paraId="57E35C2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第七十六条</w:t>
      </w:r>
      <w:r>
        <w:rPr>
          <w:rFonts w:hint="eastAsia" w:ascii="宋体" w:hAnsi="宋体" w:eastAsia="宋体" w:cs="宋体"/>
          <w:color w:val="auto"/>
          <w:sz w:val="21"/>
          <w:szCs w:val="21"/>
          <w:highlight w:val="none"/>
        </w:rPr>
        <w:t xml:space="preserve"> </w:t>
      </w:r>
    </w:p>
    <w:p w14:paraId="54C9978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交还期内，乙方不得在该便民用房内从事任何经营行为。</w:t>
      </w:r>
    </w:p>
    <w:p w14:paraId="24BBB46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第七十七条</w:t>
      </w:r>
    </w:p>
    <w:p w14:paraId="65DBE95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交还期内，乙方无需支付租金和物业管理费（如有），但仍应当承担在此期间发生的水、电等各项费用及可能发生的迟延付款的违约责任。</w:t>
      </w:r>
    </w:p>
    <w:p w14:paraId="287E55B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第七十八条</w:t>
      </w:r>
    </w:p>
    <w:p w14:paraId="589D512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除不可抗力因素外，交还期届满后乙方仍未能将符合前述约定交还条件的该便民用房交还甲方的，则自交还期届满之日的次日起，乙方应当按照合同终止时该便民用房租金标准的 200%向甲方支付便民用房使用费，并按照合同终止时该便民用房物业管理费（如有）标准支付 物业管理费（如有）及承担相关的水、电等费用，直至乙方按照 合同要求交还该便民用房为止。如因此造成甲方延迟向新租户交付该便民用房而需承担违约金、中介费等，以及造成甲方其它损失的，乙方均应全额赔偿，费用从履约保证金中扣减。不足部分，乙方须在收到甲方通知后</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日内补足。</w:t>
      </w:r>
    </w:p>
    <w:p w14:paraId="0EAAA9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第七十九条</w:t>
      </w:r>
    </w:p>
    <w:p w14:paraId="4BAE979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交还期届满次日起，甲方有权采取对该便民用房停止水、电等供应、控制人员从便民用房进出、阻止乙方继续开业经营等强制措施。此种情况下，乙方所应承担的便民用房使用费、物业管理费（如有）及其它相关费用并不因此而得到减免。</w:t>
      </w:r>
    </w:p>
    <w:p w14:paraId="1ECF5BD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第八十条</w:t>
      </w:r>
    </w:p>
    <w:p w14:paraId="344EF95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乙方按约定向甲方交还本合同租赁范围内便民用房时，甲、乙双方应签署便民用房交还确认书。在双方签署了该确认书后，或虽未签署该确认书，但乙方已经实际撤离便民用房之后，乙方在便民用房内遗留的任何设施设备、物品等均视为乙方放弃一切权利，甲方有权自行处置（包括作为垃圾进行处理）。如甲方对乙方撤离后便民用房进行清理、整改或对有关设施设备进行维修、更换等使之符合前述约 定交还条件的，则因此而发生的费用支出均应由乙方承担，并且上述清理、维修期间（不超过 7 个工作日），乙方仍应按合同终止时便民用房租金标准的 200%支付清理、维修期间的便民用房使用费，以弥补甲方在此期间的损失，费用从履约保证金中扣减，不足部分，乙方须在收到甲方通知后 30 日内补足。</w:t>
      </w:r>
    </w:p>
    <w:p w14:paraId="05A8A9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3367BF81">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第十一章  保险</w:t>
      </w:r>
    </w:p>
    <w:p w14:paraId="45631B9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第八十一条</w:t>
      </w:r>
    </w:p>
    <w:p w14:paraId="29C83BF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装修期间的保险。乙方应当在交付日起</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个工作日内自费为承租便民用房在装修期间可能遇到的风险购买保险，该等保险的险种为 装修工程一切险及公众责任险，保险责任期间为开始装修之日起至开始营业之日止。如不购买，由乙方承担可能产生的相关后果。</w:t>
      </w:r>
    </w:p>
    <w:p w14:paraId="1CF6FD64">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第八十二条</w:t>
      </w:r>
    </w:p>
    <w:p w14:paraId="5919A7B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营业期间的保险。乙方应当于开业的</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日前自费为承租便民用房内自行增置的财产购买财产一切险以及公众责任险。保险的责任 期间从乙方开业日起至本合同所述的租期届满之日止。如不购买，由乙方承担可能产生的相关后果。</w:t>
      </w:r>
    </w:p>
    <w:p w14:paraId="4EC7916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第八十三条</w:t>
      </w:r>
    </w:p>
    <w:p w14:paraId="572737C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租赁期间，出租便民用房场地内属甲方的相关设备及其附属设施的投保由甲方负责。</w:t>
      </w:r>
    </w:p>
    <w:p w14:paraId="0642CAB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2A01C719">
      <w:pPr>
        <w:keepNext w:val="0"/>
        <w:keepLines w:val="0"/>
        <w:pageBreakBefore w:val="0"/>
        <w:widowControl/>
        <w:numPr>
          <w:ilvl w:val="0"/>
          <w:numId w:val="4"/>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违约责任</w:t>
      </w:r>
    </w:p>
    <w:p w14:paraId="3EC95E18">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第八十四条</w:t>
      </w:r>
    </w:p>
    <w:p w14:paraId="71C1283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乙双方应全面履行本合同，不履行或不完全履行的，视为违约，应承担相应的违约责任并向另一方赔偿经济损失，该损失包括但不限于为实现权利而支出的调查取证费、公证费、鉴定费、诉讼费、保全费、律师费等合理费用。本合同未约定的，按照中华人民共和国有关法律法规处理。</w:t>
      </w:r>
    </w:p>
    <w:p w14:paraId="6A25BDAF">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w:t>
      </w: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rPr>
        <w:t>条</w:t>
      </w:r>
    </w:p>
    <w:p w14:paraId="16D373D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乙方迟延缴纳本合同项下租金、物业管理费（如有）、水、电费用或其他应付费用的，则每迟延一日，甲方有权向乙方收取相当于欠费金额1‰（千分之一）的迟延履行违约金。乙方迟延缴纳上述费用超过</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经甲方书面催告，乙方仍不缴纳的，甲方可以对该便民用房暂停部分或全部水、电供应或物业管理服务，直至乙方履行相关付款义务为止。甲方无需因此向乙方或第三方承担任何责任。甲方因此受到第三方索赔的，则甲方有权向乙方追偿损失。</w:t>
      </w:r>
    </w:p>
    <w:p w14:paraId="2243D3F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第八十六条 </w:t>
      </w:r>
    </w:p>
    <w:p w14:paraId="640D5A0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有如下情形之一的，甲方有权解除合同：</w:t>
      </w:r>
    </w:p>
    <w:p w14:paraId="7F9976D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1、乙方在合同签订之日起</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日内未缴纳租金、物业管理费（如有）或履约保证金的；</w:t>
      </w:r>
    </w:p>
    <w:p w14:paraId="5FC0139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2、自甲方通知乙方办理便民用房交接后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日内，乙方未办妥收铺手续的；</w:t>
      </w:r>
    </w:p>
    <w:p w14:paraId="2AA693A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3、乙方在租赁期内，迟延缴纳租金、物业管理费（如有）或水、 电费用等超过 30 日的，或迟延缴纳租金、物业管理费（如有）或水、电费用等累计达 </w:t>
      </w:r>
      <w:r>
        <w:rPr>
          <w:rFonts w:hint="eastAsia" w:ascii="宋体" w:hAnsi="宋体" w:eastAsia="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次）以上的；</w:t>
      </w:r>
    </w:p>
    <w:p w14:paraId="30303B2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4、租赁期内，甲方扣除乙方履约保证金后，乙方未按照合同约定及时补足的；</w:t>
      </w:r>
    </w:p>
    <w:p w14:paraId="77A6C36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5、违反甲方各项管理制度并在甲方发出书面通知后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日内未予以纠正的；</w:t>
      </w:r>
    </w:p>
    <w:p w14:paraId="5635942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6、乙方在租赁期内收到甲方开出的《整改通知单》达</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 的；</w:t>
      </w:r>
    </w:p>
    <w:p w14:paraId="323F3D7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7、乙方未经甲方书面同意，对该便民用房进行改造、装饰装修的；</w:t>
      </w:r>
    </w:p>
    <w:p w14:paraId="21E6CE3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8、乙方未经甲方书面同意，变更经营品牌、经营项目或超范围经营的；</w:t>
      </w:r>
    </w:p>
    <w:p w14:paraId="71F29D3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9、乙方未经甲方书面同意，将该便民用房进行任何形式的转租、分租、转让、转借、调换、合作经营或联营，或将该便民用房及设施对外实施抵押、质押等处分行为的；</w:t>
      </w:r>
    </w:p>
    <w:p w14:paraId="4F66DCE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10、乙方从事的经营活动违反相关法律规定，被相关部门责令停业的；</w:t>
      </w:r>
    </w:p>
    <w:p w14:paraId="71C8051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11、乙方因服务态度或商品质量问题被社会新闻媒体曝光，情节严重的；</w:t>
      </w:r>
    </w:p>
    <w:p w14:paraId="62A01C8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12、乙方在该便民用房内的经营活动或提供的商品或商品商标构成侵权，或被指侵权并已影响到甲方声誉及利益的；</w:t>
      </w:r>
    </w:p>
    <w:p w14:paraId="056397D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13、乙方经营产生的特殊气味（包括油烟）或者噪音干扰等严重妨碍周边经营户和公共环境，经有关部门认定或具备法定资质机构测定后的；</w:t>
      </w:r>
    </w:p>
    <w:p w14:paraId="62FC7FC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14、该便民用房内或乙方之任何财物蒙受强制征收或查封的；</w:t>
      </w:r>
    </w:p>
    <w:p w14:paraId="1E3A4D2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15、任何人士向法院申请对乙方进行清算且法院受理该等申请的；</w:t>
      </w:r>
    </w:p>
    <w:p w14:paraId="1168129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16、乙方无论被强迫或自愿破产、被破产管理人接管、进入破产清算程序、进行清算的（经甲方批准为了重组、合并的目的除外）； </w:t>
      </w:r>
    </w:p>
    <w:p w14:paraId="099CE36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17、乙方擅自对便民用房的结构进行改造的； </w:t>
      </w:r>
    </w:p>
    <w:p w14:paraId="4D416B2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18、乙方严重违反本合同其它约定或法律规定。 </w:t>
      </w:r>
    </w:p>
    <w:p w14:paraId="02355C8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第八十七条</w:t>
      </w:r>
    </w:p>
    <w:p w14:paraId="1DC8FDE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当发生本合同各条款中约定的甲方有权终止本合同的情况，且甲方决定终止本合同的，自甲方决定之日，本合同终止，或乙方提出提前终止本合同的，自甲方收到乙方要求终止合同的书面通知或申请，并予以书面同意后的第</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本合同终止。乙方已经支付的履约保证金、已发生的租金、已发生的物业管理费（如有）不予退还，未发生的租金、未发生的物业管理费（如有）将予以无息退还（如租金发票已开具且无法退回税款的，乙方应同时按实承担已开具发票退票税金）。同时乙方应当按本合同约定将该便民用房恢复至相应状态。如乙方给甲方造成的损失金额超过上述扣缴金额，乙方还应赔偿不足的部分。</w:t>
      </w:r>
    </w:p>
    <w:p w14:paraId="4287A3A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第八十八条</w:t>
      </w:r>
    </w:p>
    <w:p w14:paraId="485DE50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若乙方未经甲方书面同意而提前终止合同的，乙方已支付的履约保证金、租金、物业管理费（如有）均不予退还。</w:t>
      </w:r>
    </w:p>
    <w:p w14:paraId="097C7C9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第八十九条</w:t>
      </w:r>
    </w:p>
    <w:p w14:paraId="771E451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由于甲方整体经营规划的调整及需要，甲方有权单方面解除本合同，但应提前</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日书面通知乙方，乙方在接到甲方通知后</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日内予以清场。给乙方造成损失的，甲乙双方应协商处理，同时退还乙方的履约保证金，但甲方的补偿数额以不超过</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lang w:val="en-US" w:eastAsia="zh-CN"/>
        </w:rPr>
        <w:t>个月租金为前提。</w:t>
      </w:r>
    </w:p>
    <w:p w14:paraId="4559904C">
      <w:pPr>
        <w:keepNext w:val="0"/>
        <w:keepLines w:val="0"/>
        <w:pageBreakBefore w:val="0"/>
        <w:widowControl/>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lang w:val="en-US" w:eastAsia="zh-CN"/>
        </w:rPr>
      </w:pPr>
    </w:p>
    <w:p w14:paraId="63AC125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第九十条</w:t>
      </w:r>
    </w:p>
    <w:p w14:paraId="7BA9CF5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经营期内，如双方协商一致均同意提前终止本合同的，可提前终止本合同。合同终止后，乙方应按本合同第</w:t>
      </w:r>
      <w:r>
        <w:rPr>
          <w:rFonts w:hint="eastAsia" w:ascii="宋体" w:hAnsi="宋体" w:eastAsia="宋体" w:cs="宋体"/>
          <w:color w:val="auto"/>
          <w:sz w:val="21"/>
          <w:szCs w:val="21"/>
          <w:highlight w:val="none"/>
          <w:u w:val="single"/>
          <w:lang w:val="en-US" w:eastAsia="zh-CN"/>
        </w:rPr>
        <w:t xml:space="preserve"> 十 </w:t>
      </w:r>
      <w:r>
        <w:rPr>
          <w:rFonts w:hint="eastAsia" w:ascii="宋体" w:hAnsi="宋体" w:eastAsia="宋体" w:cs="宋体"/>
          <w:color w:val="auto"/>
          <w:sz w:val="21"/>
          <w:szCs w:val="21"/>
          <w:highlight w:val="none"/>
          <w:lang w:val="en-US" w:eastAsia="zh-CN"/>
        </w:rPr>
        <w:t>章的交还条款执行。在甲方因自身的原因要求提前终止本合同的情形下，甲方只退还当期已经提前收取的部分租金，即按照本期实际经营的天数计取当期实际发生的租金，与已预收的当期金额之间的差额部分，由甲方退回乙方。除此甲方无须为此向乙方承担任何形式的补偿责任。</w:t>
      </w:r>
    </w:p>
    <w:p w14:paraId="52E7F6D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甲方需退还给乙方的当期已提前收取的部分租金＝甲方已预收的当期租金*【（当期自然天数－当期已实际经营天数）/当期自然天数】</w:t>
      </w:r>
    </w:p>
    <w:p w14:paraId="1C9D641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第九十一条</w:t>
      </w:r>
    </w:p>
    <w:p w14:paraId="564D220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租赁期内由于不可抗力引致租赁的便民用房被损毁及不能正常使用时，如甲方未能在6个月内将该损毁修复，且影响乙方正常运营时，甲乙双方任何一方可向对方发出书面通知，要求终止本合同。在此情况下，本合同将告终止，甲方将履约保证金（无息）退还给乙方（在乙方无其他违约的情况下）。甲乙双方均不可向对方要求任何赔偿。</w:t>
      </w:r>
    </w:p>
    <w:p w14:paraId="7466EB6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第九十二条</w:t>
      </w:r>
    </w:p>
    <w:p w14:paraId="1726C5C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甲方按合同约定单方解除合同、合同自然终止或其他任何情况下的合同解除和终止后，乙方应立即交清全部合同约定费用及其他应交费用。</w:t>
      </w:r>
    </w:p>
    <w:p w14:paraId="23833A2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第九十三条</w:t>
      </w:r>
    </w:p>
    <w:p w14:paraId="67FB84A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甲方按合同约定单方解除合同、合同自然终止或其他任何情况下的合同解除和终止后，乙方应在甲方要求的时间内无条件交还承租便民用房。交还的要求为：</w:t>
      </w:r>
    </w:p>
    <w:p w14:paraId="16E4D6DC">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乙方须按甲方要求将便民用房的所有物品全部搬出，并做好保洁工作，不能搬出的物品经甲方同意后可以保留在原地，但甲方不做任何经济补偿；</w:t>
      </w:r>
    </w:p>
    <w:p w14:paraId="5EC0E53B">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乙方应保证甲方的便民用房内的原有所有设备、设施等完好无损并能正常使用并连同钥匙一起交还甲方，如有任何损毁、损坏，应由乙方负责修复并承担相应费用；   </w:t>
      </w:r>
    </w:p>
    <w:p w14:paraId="326F0529">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甲乙双方共同对《物业交接表》及清单进行确认，有争议时由有关鉴定机构审验并认定为正常使用时，甲方才接收该便民用房，由此导致的鉴定费用由乙方承担；</w:t>
      </w:r>
    </w:p>
    <w:p w14:paraId="57688EA5">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未在甲方规定的时间内及时进行修复、更换后交还该便民用房或补偿甲方损失的，在此期间乙方仍需按合同规定交纳租金和物业管理费等费用。本条所涉及的所有费用甲方按合同约定单方解除合同或合同自然终止后，无论如何甲方对乙方用于该便民用房的任何投资或装修等不予任何补偿或赔偿。</w:t>
      </w:r>
    </w:p>
    <w:p w14:paraId="75BA5DE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第九十四条</w:t>
      </w:r>
    </w:p>
    <w:p w14:paraId="19EA5C1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不能以员工安置、存在小租户等任何原因拒绝交接便民用房，须无条件交还甲方。如乙方未按甲方要求时间交还便民用房的，每逾期一日，乙方应当按照合同终止时该便民用房租金标准的 200%向甲方支付便民用房使用费，并按照合同终止时该便民用房物业管理费（如有）标准支付 物业管理费（如有）及承担相关的水、电等费用，直至乙方按照合同要求交还该便民用房为止；在甲方发出相关《交接通知书》后仍不改正时，除按上述约定给付迟延履行金外，乙方确认并同意甲方有权采取下列任一措施：</w:t>
      </w:r>
    </w:p>
    <w:p w14:paraId="3AA7EE9D">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在拍摄录像记录现场情况的前提下或公证机构监督下有权自行开锁进入租赁便民用房，清理乙方留在该便民用房内的财物，逐一进行清点、登记，将清点后的财物另行存放，收回该便民用房，物品的保管费用由乙方承担，且在此期间物品发生的任何毁损、丢失甲方不承担任何责任。该便民用房内的装修及因装修、改造产生的添附物归甲方所有。甲方在现场记录的影像作为反映乙方当时在现场留存财物及数量的唯一证据，并以本合同约定的通讯地址为准通知乙方在规定的期限内取回，逾期不取回的财物由甲方自行处理；</w:t>
      </w:r>
    </w:p>
    <w:p w14:paraId="0448ABC5">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实施了上述任何一种处理方式时，均不对乙方承担任何责任。如对乙方造成任何损失的，甲方均不作任何补偿或赔偿，且乙方不得以任何形式进行追偿。同时乙方仍要继续承担交纳拖欠的租金及其他应交费用的责任，并赔偿甲方所有直接、间接损失。</w:t>
      </w:r>
    </w:p>
    <w:p w14:paraId="7141B63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第九十五条</w:t>
      </w:r>
    </w:p>
    <w:p w14:paraId="781D0C0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甲方有权直接从履约保证金扣除下列费用：合同约定的违约金，损害赔偿金，乙方应支付的租金、物业管理费等所有合同约定乙方应给付的费用，利息和迟延履行金等一切费用。履约保证金不够扣除的，甲方仍有权进行追偿。</w:t>
      </w:r>
    </w:p>
    <w:p w14:paraId="21F71ED8">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第十三章  通知及送达</w:t>
      </w:r>
    </w:p>
    <w:p w14:paraId="649CBEE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九十六</w:t>
      </w:r>
      <w:r>
        <w:rPr>
          <w:rFonts w:hint="eastAsia" w:ascii="宋体" w:hAnsi="宋体" w:eastAsia="宋体" w:cs="宋体"/>
          <w:b/>
          <w:bCs/>
          <w:color w:val="auto"/>
          <w:sz w:val="21"/>
          <w:szCs w:val="21"/>
          <w:highlight w:val="none"/>
        </w:rPr>
        <w:t>条</w:t>
      </w:r>
    </w:p>
    <w:p w14:paraId="3DC6F4A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甲方和乙方按以下列明的地址发送通知：</w:t>
      </w:r>
    </w:p>
    <w:p w14:paraId="377D466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1、甲方地址：</w:t>
      </w:r>
      <w:r>
        <w:rPr>
          <w:rFonts w:hint="eastAsia" w:ascii="宋体" w:hAnsi="宋体" w:eastAsia="宋体" w:cs="宋体"/>
          <w:color w:val="auto"/>
          <w:sz w:val="21"/>
          <w:szCs w:val="21"/>
          <w:highlight w:val="none"/>
          <w:lang w:val="en-US" w:eastAsia="zh-CN"/>
        </w:rPr>
        <w:t>南通市崇川区崇川路158号地铁大厦1808室</w:t>
      </w:r>
    </w:p>
    <w:p w14:paraId="379ADB5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南通轨道资源开发有限公司</w:t>
      </w:r>
    </w:p>
    <w:p w14:paraId="2373D1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226000</w:t>
      </w:r>
    </w:p>
    <w:p w14:paraId="0D781A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0513-80813998</w:t>
      </w:r>
    </w:p>
    <w:p w14:paraId="4170788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lang w:val="en-US" w:eastAsia="zh-CN"/>
        </w:rPr>
        <w:t>/</w:t>
      </w:r>
    </w:p>
    <w:p w14:paraId="31F4CE9A">
      <w:pPr>
        <w:keepNext w:val="0"/>
        <w:keepLines w:val="0"/>
        <w:pageBreakBefore w:val="0"/>
        <w:widowControl/>
        <w:numPr>
          <w:ilvl w:val="0"/>
          <w:numId w:val="7"/>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乙方地址：</w:t>
      </w:r>
      <w:r>
        <w:rPr>
          <w:rFonts w:hint="eastAsia" w:ascii="宋体" w:hAnsi="宋体" w:eastAsia="宋体" w:cs="宋体"/>
          <w:color w:val="auto"/>
          <w:sz w:val="21"/>
          <w:szCs w:val="21"/>
          <w:highlight w:val="none"/>
          <w:lang w:val="en-US" w:eastAsia="zh-CN"/>
        </w:rPr>
        <w:t xml:space="preserve"> </w:t>
      </w:r>
    </w:p>
    <w:p w14:paraId="52227FD3">
      <w:pPr>
        <w:keepNext w:val="0"/>
        <w:keepLines w:val="0"/>
        <w:pageBreakBefore w:val="0"/>
        <w:widowControl/>
        <w:numPr>
          <w:ilvl w:val="0"/>
          <w:numId w:val="0"/>
        </w:numPr>
        <w:wordWrap/>
        <w:topLinePunct w:val="0"/>
        <w:autoSpaceDE w:val="0"/>
        <w:autoSpaceDN w:val="0"/>
        <w:bidi w:val="0"/>
        <w:adjustRightInd w:val="0"/>
        <w:snapToGrid w:val="0"/>
        <w:spacing w:line="360" w:lineRule="auto"/>
        <w:ind w:leftChars="0"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2EB5206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 xml:space="preserve"> </w:t>
      </w:r>
    </w:p>
    <w:p w14:paraId="79F629D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 </w:t>
      </w:r>
    </w:p>
    <w:p w14:paraId="30F179C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w:t>
      </w:r>
    </w:p>
    <w:p w14:paraId="6654CDA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一方若指定其他地址或地址变更，须及时以书面形式通知另一方。怠于通知的一方应当承担对其不利的法律后果。</w:t>
      </w:r>
    </w:p>
    <w:p w14:paraId="2E28E86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条</w:t>
      </w:r>
    </w:p>
    <w:p w14:paraId="6D4378B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知可以专人手递方式、特快专递方式及挂号信方式。以专人手递方式发出的，发至指定地址之日视为收悉日，以对方的签收文据为发送凭证。以特快专递方式发出的，以对方签收之日为收悉日，最迟不超过通知交予特快专递公司后第 7 日，以交寄记录作为发送凭证。以挂号信方式发出的，以对方签收日之日为收悉日，最迟不超过寄信后第 7 日，以寄信回执作为发送凭证。通知送达对方之日依据发送凭证记载时间确定。乙方确认，租赁期内，该便民用房也是乙方的有效通知地址。因此，甲方有权选择将本合同项下的通知张贴于该便民用房的门窗或墙面上，该等通知一经张贴即视为已经向乙方送达通知，乙方于通知张贴当日知悉通知内容。</w:t>
      </w:r>
    </w:p>
    <w:p w14:paraId="10A8D2A4">
      <w:pPr>
        <w:bidi w:val="0"/>
        <w:ind w:right="-519" w:rightChars="-247"/>
        <w:rPr>
          <w:rFonts w:hint="eastAsia" w:ascii="宋体" w:hAnsi="宋体" w:eastAsia="宋体" w:cs="宋体"/>
          <w:sz w:val="20"/>
          <w:szCs w:val="20"/>
          <w:highlight w:val="none"/>
        </w:rPr>
      </w:pPr>
    </w:p>
    <w:p w14:paraId="7386083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第十</w:t>
      </w:r>
      <w:r>
        <w:rPr>
          <w:rFonts w:hint="eastAsia" w:ascii="宋体" w:hAnsi="宋体" w:eastAsia="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rPr>
        <w:t>章  不可抗力及征迁</w:t>
      </w:r>
    </w:p>
    <w:p w14:paraId="5724D47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w:t>
      </w:r>
    </w:p>
    <w:p w14:paraId="6B489ED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如该便民用房因不可抗力遭到严重损坏，导致乙方无法继续经营的，双方应当就是否继续履行本合同进行商议。如在不可抗力事件发生后</w:t>
      </w:r>
      <w:r>
        <w:rPr>
          <w:rFonts w:hint="eastAsia" w:ascii="宋体" w:hAnsi="宋体" w:eastAsia="宋体" w:cs="宋体"/>
          <w:color w:val="auto"/>
          <w:sz w:val="21"/>
          <w:szCs w:val="21"/>
          <w:highlight w:val="none"/>
          <w:u w:val="single"/>
          <w:lang w:val="en-US" w:eastAsia="zh-CN"/>
        </w:rPr>
        <w:t xml:space="preserve"> 6个月 </w:t>
      </w:r>
      <w:r>
        <w:rPr>
          <w:rFonts w:hint="eastAsia" w:ascii="宋体" w:hAnsi="宋体" w:eastAsia="宋体" w:cs="宋体"/>
          <w:color w:val="auto"/>
          <w:sz w:val="21"/>
          <w:szCs w:val="21"/>
          <w:highlight w:val="none"/>
          <w:lang w:val="en-US" w:eastAsia="zh-CN"/>
        </w:rPr>
        <w:t>内乙方仍无法继续经营，且双方未达成一致意见的，则任何一方均有权终止本合同，双方互不承担违约责任。</w:t>
      </w:r>
    </w:p>
    <w:p w14:paraId="471E54B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w:t>
      </w:r>
      <w:r>
        <w:rPr>
          <w:rFonts w:hint="eastAsia" w:ascii="宋体" w:hAnsi="宋体" w:eastAsia="宋体" w:cs="宋体"/>
          <w:b/>
          <w:bCs/>
          <w:color w:val="auto"/>
          <w:sz w:val="21"/>
          <w:szCs w:val="21"/>
          <w:highlight w:val="none"/>
        </w:rPr>
        <w:t>条</w:t>
      </w:r>
    </w:p>
    <w:p w14:paraId="4361ED4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lang w:val="en-US" w:eastAsia="zh-CN"/>
        </w:rPr>
        <w:t>合同期内，如因政府部门、城市轨道交通管理部门收回租赁场地、改变场地用途、禁止进入、场地征用等原因而造成该便民用房撤销、搬迁、基建维修或经营方式调整的，甲方应及时通知乙方，乙方应无条件接受。若因此造成乙方停业的，则停业期间甲方不向乙方收取租金。若因此造成双方无法继续履行合同的，乙方应无条件服从甲方的安排，同时本合同自行终止，双方互不承担违约责任。</w:t>
      </w:r>
    </w:p>
    <w:p w14:paraId="327BBF8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57626BB0">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第十五章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争议的解决</w:t>
      </w:r>
    </w:p>
    <w:p w14:paraId="690C20B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一百零一</w:t>
      </w:r>
      <w:r>
        <w:rPr>
          <w:rFonts w:hint="eastAsia" w:ascii="宋体" w:hAnsi="宋体" w:eastAsia="宋体" w:cs="宋体"/>
          <w:b/>
          <w:bCs/>
          <w:color w:val="auto"/>
          <w:sz w:val="21"/>
          <w:szCs w:val="21"/>
          <w:highlight w:val="none"/>
        </w:rPr>
        <w:t>条</w:t>
      </w:r>
    </w:p>
    <w:p w14:paraId="3E80424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本合同履行过程中，双方如发生争议，应友好协商解决。如果经上述协商双方未能达成解决方案，双方同意提交给南通仲裁委员会仲裁解决。</w:t>
      </w:r>
    </w:p>
    <w:p w14:paraId="554AB5B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BC2B790">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第十六章  其他</w:t>
      </w:r>
    </w:p>
    <w:p w14:paraId="276E933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一百零二</w:t>
      </w:r>
      <w:r>
        <w:rPr>
          <w:rFonts w:hint="eastAsia" w:ascii="宋体" w:hAnsi="宋体" w:eastAsia="宋体" w:cs="宋体"/>
          <w:b/>
          <w:bCs/>
          <w:color w:val="auto"/>
          <w:sz w:val="21"/>
          <w:szCs w:val="21"/>
          <w:highlight w:val="none"/>
        </w:rPr>
        <w:t>条</w:t>
      </w:r>
    </w:p>
    <w:p w14:paraId="738E28F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本合同未尽事宜由双方根据国家有关法律、法规的规定，共同协商订立补充协议，补充协议与本合同具有同等的法律效力。</w:t>
      </w:r>
    </w:p>
    <w:p w14:paraId="27A7E31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一百零三</w:t>
      </w:r>
      <w:r>
        <w:rPr>
          <w:rFonts w:hint="eastAsia" w:ascii="宋体" w:hAnsi="宋体" w:eastAsia="宋体" w:cs="宋体"/>
          <w:b/>
          <w:bCs/>
          <w:color w:val="auto"/>
          <w:sz w:val="21"/>
          <w:szCs w:val="21"/>
          <w:highlight w:val="none"/>
        </w:rPr>
        <w:t>条</w:t>
      </w:r>
    </w:p>
    <w:p w14:paraId="036CBE0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本合同经双方签字及盖章之日起生效。</w:t>
      </w:r>
    </w:p>
    <w:p w14:paraId="79EE41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一百零四</w:t>
      </w:r>
      <w:r>
        <w:rPr>
          <w:rFonts w:hint="eastAsia" w:ascii="宋体" w:hAnsi="宋体" w:eastAsia="宋体" w:cs="宋体"/>
          <w:b/>
          <w:bCs/>
          <w:color w:val="auto"/>
          <w:sz w:val="21"/>
          <w:szCs w:val="21"/>
          <w:highlight w:val="none"/>
        </w:rPr>
        <w:t xml:space="preserve">条 </w:t>
      </w:r>
    </w:p>
    <w:p w14:paraId="32AA24F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本合同附件及招商相关材料构成合同的一部分，与本合同具有同等法律效力。</w:t>
      </w:r>
    </w:p>
    <w:p w14:paraId="4D95C5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一百零五</w:t>
      </w:r>
      <w:r>
        <w:rPr>
          <w:rFonts w:hint="eastAsia" w:ascii="宋体" w:hAnsi="宋体" w:eastAsia="宋体" w:cs="宋体"/>
          <w:b/>
          <w:bCs/>
          <w:color w:val="auto"/>
          <w:sz w:val="21"/>
          <w:szCs w:val="21"/>
          <w:highlight w:val="none"/>
        </w:rPr>
        <w:t xml:space="preserve">条  </w:t>
      </w:r>
    </w:p>
    <w:p w14:paraId="00FEFC8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本合同一式</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lang w:val="en-US" w:eastAsia="zh-CN"/>
        </w:rPr>
        <w:t>份，甲方执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份，乙方执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份，具同等效力。</w:t>
      </w:r>
    </w:p>
    <w:p w14:paraId="002725C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147A9C3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p>
    <w:p w14:paraId="0279102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数量及面积清单</w:t>
      </w:r>
    </w:p>
    <w:p w14:paraId="77618D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位置平面示意图</w:t>
      </w:r>
    </w:p>
    <w:p w14:paraId="6FD7BCC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.承诺函</w:t>
      </w:r>
    </w:p>
    <w:p w14:paraId="3665CAD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.《南通轨道资源开发有限公司外单位作业安全、消防、治安管理协议》</w:t>
      </w:r>
    </w:p>
    <w:p w14:paraId="23F27B7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中选通知</w:t>
      </w:r>
      <w:r>
        <w:rPr>
          <w:rFonts w:hint="eastAsia" w:ascii="宋体" w:hAnsi="宋体" w:eastAsia="宋体" w:cs="宋体"/>
          <w:color w:val="auto"/>
          <w:sz w:val="21"/>
          <w:szCs w:val="21"/>
          <w:highlight w:val="none"/>
        </w:rPr>
        <w:t>书</w:t>
      </w:r>
    </w:p>
    <w:p w14:paraId="43FE013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.物业交接表</w:t>
      </w:r>
    </w:p>
    <w:p w14:paraId="23A9ECD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.南通轨道交通</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日常经营管理规定</w:t>
      </w:r>
    </w:p>
    <w:p w14:paraId="786CC3E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.廉政合同</w:t>
      </w:r>
    </w:p>
    <w:p w14:paraId="33EBA3B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（本合同正文到此结束）</w:t>
      </w:r>
      <w:r>
        <w:rPr>
          <w:rFonts w:hint="eastAsia" w:ascii="宋体" w:hAnsi="宋体" w:eastAsia="宋体" w:cs="宋体"/>
          <w:color w:val="auto"/>
          <w:sz w:val="21"/>
          <w:szCs w:val="21"/>
          <w:highlight w:val="none"/>
        </w:rPr>
        <w:br w:type="page"/>
      </w:r>
    </w:p>
    <w:p w14:paraId="239C750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（本页无正文）</w:t>
      </w:r>
    </w:p>
    <w:p w14:paraId="388E9C8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749F904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14:paraId="3B6A7B5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155D866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AB1D25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3EB4509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        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w:t>
      </w:r>
    </w:p>
    <w:p w14:paraId="7483B82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61BDBBB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4DECF7C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E3E505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经办人（签章）：                        经办人（签章）：</w:t>
      </w:r>
    </w:p>
    <w:p w14:paraId="03477372">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53B21E6B">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4667DB63">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5BABB935">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6A6074F6">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p w14:paraId="46A38D62">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tbl>
      <w:tblPr>
        <w:tblStyle w:val="23"/>
        <w:tblW w:w="887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01"/>
        <w:gridCol w:w="4270"/>
      </w:tblGrid>
      <w:tr w14:paraId="3F4285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601" w:type="dxa"/>
            <w:vAlign w:val="top"/>
          </w:tcPr>
          <w:p w14:paraId="5A12ADCA">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2026年  月   日</w:t>
            </w:r>
          </w:p>
        </w:tc>
        <w:tc>
          <w:tcPr>
            <w:tcW w:w="4270" w:type="dxa"/>
            <w:vAlign w:val="top"/>
          </w:tcPr>
          <w:p w14:paraId="0B90414F">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2026年  月</w:t>
            </w:r>
            <w:r>
              <w:rPr>
                <w:rFonts w:hint="eastAsia" w:ascii="宋体" w:hAnsi="宋体" w:eastAsia="宋体" w:cs="宋体"/>
                <w:color w:val="auto"/>
                <w:spacing w:val="-11"/>
                <w:sz w:val="21"/>
                <w:szCs w:val="21"/>
                <w:highlight w:val="none"/>
                <w:lang w:val="en-US" w:eastAsia="zh-CN"/>
              </w:rPr>
              <w:t xml:space="preserve">    日</w:t>
            </w:r>
          </w:p>
        </w:tc>
      </w:tr>
      <w:tr w14:paraId="4B7A13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4601" w:type="dxa"/>
            <w:vAlign w:val="top"/>
          </w:tcPr>
          <w:p w14:paraId="6E0CBA31">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单位地址：</w:t>
            </w:r>
            <w:r>
              <w:rPr>
                <w:rFonts w:hint="eastAsia" w:ascii="宋体" w:hAnsi="宋体" w:eastAsia="宋体" w:cs="宋体"/>
                <w:color w:val="auto"/>
                <w:spacing w:val="-3"/>
                <w:sz w:val="21"/>
                <w:szCs w:val="21"/>
                <w:highlight w:val="none"/>
                <w:lang w:val="en-US" w:eastAsia="zh-CN"/>
              </w:rPr>
              <w:t>南通市崇川区崇川路158号地铁大厦1808室</w:t>
            </w:r>
          </w:p>
        </w:tc>
        <w:tc>
          <w:tcPr>
            <w:tcW w:w="4270" w:type="dxa"/>
            <w:vAlign w:val="top"/>
          </w:tcPr>
          <w:p w14:paraId="1027D805">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地址：</w:t>
            </w:r>
          </w:p>
        </w:tc>
      </w:tr>
      <w:tr w14:paraId="2B856B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6F07C526">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电话：</w:t>
            </w:r>
            <w:r>
              <w:rPr>
                <w:rFonts w:hint="eastAsia" w:ascii="宋体" w:hAnsi="宋体" w:eastAsia="宋体" w:cs="宋体"/>
                <w:color w:val="auto"/>
                <w:sz w:val="21"/>
                <w:szCs w:val="21"/>
                <w:highlight w:val="none"/>
                <w:lang w:val="en-US" w:eastAsia="zh-CN"/>
              </w:rPr>
              <w:t>0513-80813998</w:t>
            </w:r>
          </w:p>
        </w:tc>
        <w:tc>
          <w:tcPr>
            <w:tcW w:w="4270" w:type="dxa"/>
            <w:vAlign w:val="top"/>
          </w:tcPr>
          <w:p w14:paraId="10276C70">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电话：</w:t>
            </w:r>
          </w:p>
        </w:tc>
      </w:tr>
      <w:tr w14:paraId="688573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013EEBB1">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lang w:val="en-US" w:eastAsia="zh-CN"/>
              </w:rPr>
              <w:t>226000</w:t>
            </w:r>
          </w:p>
        </w:tc>
        <w:tc>
          <w:tcPr>
            <w:tcW w:w="4270" w:type="dxa"/>
            <w:vAlign w:val="top"/>
          </w:tcPr>
          <w:p w14:paraId="7435550D">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邮编：</w:t>
            </w:r>
          </w:p>
        </w:tc>
      </w:tr>
      <w:tr w14:paraId="4B35F3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69D7670C">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开户银行：</w:t>
            </w:r>
            <w:r>
              <w:rPr>
                <w:rFonts w:hint="eastAsia" w:ascii="宋体" w:hAnsi="宋体" w:eastAsia="宋体" w:cs="宋体"/>
                <w:color w:val="auto"/>
                <w:spacing w:val="-2"/>
                <w:sz w:val="21"/>
                <w:szCs w:val="21"/>
                <w:highlight w:val="none"/>
                <w:lang w:val="en-US" w:eastAsia="zh-CN"/>
              </w:rPr>
              <w:t>江苏南通农村商业银行股份有限公司</w:t>
            </w:r>
          </w:p>
        </w:tc>
        <w:tc>
          <w:tcPr>
            <w:tcW w:w="4270" w:type="dxa"/>
            <w:vAlign w:val="top"/>
          </w:tcPr>
          <w:p w14:paraId="508A6FD1">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开户银行：</w:t>
            </w:r>
          </w:p>
        </w:tc>
      </w:tr>
      <w:tr w14:paraId="4ED48E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6" w:hRule="atLeast"/>
        </w:trPr>
        <w:tc>
          <w:tcPr>
            <w:tcW w:w="4601" w:type="dxa"/>
            <w:vAlign w:val="top"/>
          </w:tcPr>
          <w:p w14:paraId="5B6B7D59">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银行账号</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3206240011010000223177</w:t>
            </w:r>
          </w:p>
        </w:tc>
        <w:tc>
          <w:tcPr>
            <w:tcW w:w="4270" w:type="dxa"/>
            <w:vAlign w:val="top"/>
          </w:tcPr>
          <w:p w14:paraId="256A2F6B">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银行</w:t>
            </w:r>
            <w:r>
              <w:rPr>
                <w:rFonts w:hint="eastAsia" w:ascii="宋体" w:hAnsi="宋体" w:eastAsia="宋体" w:cs="宋体"/>
                <w:color w:val="auto"/>
                <w:spacing w:val="-3"/>
                <w:sz w:val="21"/>
                <w:szCs w:val="21"/>
                <w:highlight w:val="none"/>
                <w:lang w:eastAsia="zh-CN"/>
              </w:rPr>
              <w:t>账号</w:t>
            </w:r>
            <w:r>
              <w:rPr>
                <w:rFonts w:hint="eastAsia" w:ascii="宋体" w:hAnsi="宋体" w:eastAsia="宋体" w:cs="宋体"/>
                <w:color w:val="auto"/>
                <w:spacing w:val="-3"/>
                <w:sz w:val="21"/>
                <w:szCs w:val="21"/>
                <w:highlight w:val="none"/>
              </w:rPr>
              <w:t xml:space="preserve">： </w:t>
            </w:r>
          </w:p>
        </w:tc>
      </w:tr>
      <w:tr w14:paraId="193579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7" w:hRule="atLeast"/>
        </w:trPr>
        <w:tc>
          <w:tcPr>
            <w:tcW w:w="4601" w:type="dxa"/>
            <w:vAlign w:val="top"/>
          </w:tcPr>
          <w:p w14:paraId="735C7C1A">
            <w:pPr>
              <w:pStyle w:val="22"/>
              <w:keepNext w:val="0"/>
              <w:keepLines w:val="0"/>
              <w:pageBreakBefore w:val="0"/>
              <w:widowControl/>
              <w:wordWrap/>
              <w:topLinePunct w:val="0"/>
              <w:autoSpaceDE w:val="0"/>
              <w:autoSpaceDN w:val="0"/>
              <w:bidi w:val="0"/>
              <w:adjustRightInd w:val="0"/>
              <w:snapToGrid w:val="0"/>
              <w:spacing w:before="141"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税务登记号：</w:t>
            </w:r>
            <w:r>
              <w:rPr>
                <w:rFonts w:hint="eastAsia" w:ascii="宋体" w:hAnsi="宋体" w:eastAsia="宋体" w:cs="宋体"/>
                <w:color w:val="auto"/>
                <w:spacing w:val="-1"/>
                <w:sz w:val="21"/>
                <w:szCs w:val="21"/>
                <w:highlight w:val="none"/>
                <w:lang w:val="en-US" w:eastAsia="zh-CN"/>
              </w:rPr>
              <w:t>/</w:t>
            </w:r>
          </w:p>
        </w:tc>
        <w:tc>
          <w:tcPr>
            <w:tcW w:w="4270" w:type="dxa"/>
            <w:vAlign w:val="top"/>
          </w:tcPr>
          <w:p w14:paraId="0BE0F27D">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税务登记号：</w:t>
            </w:r>
          </w:p>
        </w:tc>
      </w:tr>
    </w:tbl>
    <w:p w14:paraId="74528072">
      <w:pPr>
        <w:pStyle w:val="6"/>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0CB8A41D">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57254C36">
      <w:pPr>
        <w:spacing w:line="400" w:lineRule="exact"/>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2"/>
          <w:szCs w:val="22"/>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附件1</w:t>
      </w:r>
    </w:p>
    <w:p w14:paraId="69C2CA72">
      <w:pPr>
        <w:spacing w:line="360" w:lineRule="auto"/>
        <w:jc w:val="center"/>
        <w:rPr>
          <w:rFonts w:hint="eastAsia" w:ascii="宋体" w:hAnsi="宋体" w:eastAsia="宋体" w:cs="宋体"/>
          <w:b/>
          <w:color w:val="auto"/>
          <w:sz w:val="24"/>
          <w:szCs w:val="24"/>
          <w:highlight w:val="none"/>
        </w:rPr>
      </w:pPr>
    </w:p>
    <w:p w14:paraId="4F83A77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便民用房</w:t>
      </w:r>
      <w:r>
        <w:rPr>
          <w:rFonts w:hint="eastAsia" w:ascii="宋体" w:hAnsi="宋体" w:eastAsia="宋体" w:cs="宋体"/>
          <w:b/>
          <w:color w:val="auto"/>
          <w:sz w:val="24"/>
          <w:szCs w:val="24"/>
          <w:highlight w:val="none"/>
        </w:rPr>
        <w:t>数量及面积清单</w:t>
      </w:r>
    </w:p>
    <w:tbl>
      <w:tblPr>
        <w:tblStyle w:val="14"/>
        <w:tblpPr w:leftFromText="180" w:rightFromText="180" w:vertAnchor="text" w:horzAnchor="page" w:tblpX="1790" w:tblpY="47"/>
        <w:tblOverlap w:val="never"/>
        <w:tblW w:w="500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932"/>
        <w:gridCol w:w="1476"/>
        <w:gridCol w:w="1321"/>
        <w:gridCol w:w="1825"/>
        <w:gridCol w:w="945"/>
        <w:gridCol w:w="1833"/>
      </w:tblGrid>
      <w:tr w14:paraId="47FCE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3E3ED70D">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序号</w:t>
            </w:r>
          </w:p>
        </w:tc>
        <w:tc>
          <w:tcPr>
            <w:tcW w:w="886" w:type="pct"/>
            <w:noWrap w:val="0"/>
            <w:vAlign w:val="center"/>
          </w:tcPr>
          <w:p w14:paraId="4C8CF509">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站点</w:t>
            </w:r>
          </w:p>
        </w:tc>
        <w:tc>
          <w:tcPr>
            <w:tcW w:w="793" w:type="pct"/>
            <w:noWrap w:val="0"/>
            <w:vAlign w:val="center"/>
          </w:tcPr>
          <w:p w14:paraId="7399FF29">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站层</w:t>
            </w:r>
          </w:p>
        </w:tc>
        <w:tc>
          <w:tcPr>
            <w:tcW w:w="1093" w:type="pct"/>
            <w:noWrap w:val="0"/>
            <w:vAlign w:val="center"/>
          </w:tcPr>
          <w:p w14:paraId="564D5B63">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位置</w:t>
            </w:r>
          </w:p>
        </w:tc>
        <w:tc>
          <w:tcPr>
            <w:tcW w:w="567" w:type="pct"/>
            <w:noWrap w:val="0"/>
            <w:vAlign w:val="center"/>
          </w:tcPr>
          <w:p w14:paraId="683B3B0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个数</w:t>
            </w:r>
          </w:p>
        </w:tc>
        <w:tc>
          <w:tcPr>
            <w:tcW w:w="1099" w:type="pct"/>
            <w:noWrap w:val="0"/>
            <w:vAlign w:val="center"/>
          </w:tcPr>
          <w:p w14:paraId="11E8A40F">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面积(㎡)</w:t>
            </w:r>
          </w:p>
        </w:tc>
      </w:tr>
      <w:tr w14:paraId="18124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3E2DE5BE">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1</w:t>
            </w:r>
          </w:p>
        </w:tc>
        <w:tc>
          <w:tcPr>
            <w:tcW w:w="886" w:type="pct"/>
            <w:noWrap w:val="0"/>
            <w:vAlign w:val="center"/>
          </w:tcPr>
          <w:p w14:paraId="21F473F8">
            <w:pPr>
              <w:pStyle w:val="13"/>
              <w:widowControl/>
              <w:jc w:val="center"/>
              <w:rPr>
                <w:rFonts w:hint="eastAsia" w:ascii="宋体" w:hAnsi="宋体" w:eastAsia="宋体" w:cs="宋体"/>
                <w:color w:val="auto"/>
                <w:sz w:val="21"/>
                <w:szCs w:val="18"/>
                <w:highlight w:val="none"/>
                <w:lang w:val="en-US" w:eastAsia="zh-CN"/>
              </w:rPr>
            </w:pPr>
          </w:p>
        </w:tc>
        <w:tc>
          <w:tcPr>
            <w:tcW w:w="793" w:type="pct"/>
            <w:noWrap w:val="0"/>
            <w:vAlign w:val="center"/>
          </w:tcPr>
          <w:p w14:paraId="2C312A7A">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站厅层</w:t>
            </w:r>
          </w:p>
        </w:tc>
        <w:tc>
          <w:tcPr>
            <w:tcW w:w="1093" w:type="pct"/>
            <w:noWrap w:val="0"/>
            <w:vAlign w:val="center"/>
          </w:tcPr>
          <w:p w14:paraId="7C54B63A">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详见合同附件2</w:t>
            </w:r>
          </w:p>
        </w:tc>
        <w:tc>
          <w:tcPr>
            <w:tcW w:w="567" w:type="pct"/>
            <w:noWrap w:val="0"/>
            <w:vAlign w:val="center"/>
          </w:tcPr>
          <w:p w14:paraId="4D497392">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1</w:t>
            </w:r>
          </w:p>
        </w:tc>
        <w:tc>
          <w:tcPr>
            <w:tcW w:w="1099" w:type="pct"/>
            <w:noWrap w:val="0"/>
            <w:vAlign w:val="center"/>
          </w:tcPr>
          <w:p w14:paraId="163D25ED">
            <w:pPr>
              <w:widowControl/>
              <w:jc w:val="center"/>
              <w:textAlignment w:val="center"/>
              <w:rPr>
                <w:rFonts w:hint="eastAsia" w:ascii="宋体" w:hAnsi="宋体" w:eastAsia="宋体" w:cs="宋体"/>
                <w:color w:val="auto"/>
                <w:sz w:val="21"/>
                <w:szCs w:val="18"/>
                <w:highlight w:val="none"/>
                <w:lang w:val="en-US" w:eastAsia="zh-CN"/>
              </w:rPr>
            </w:pPr>
          </w:p>
        </w:tc>
      </w:tr>
      <w:tr w14:paraId="00844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3333" w:type="pct"/>
            <w:gridSpan w:val="4"/>
            <w:noWrap w:val="0"/>
            <w:vAlign w:val="center"/>
          </w:tcPr>
          <w:p w14:paraId="024DCF9B">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合计</w:t>
            </w:r>
          </w:p>
        </w:tc>
        <w:tc>
          <w:tcPr>
            <w:tcW w:w="567" w:type="pct"/>
            <w:noWrap w:val="0"/>
            <w:vAlign w:val="center"/>
          </w:tcPr>
          <w:p w14:paraId="07458504">
            <w:pPr>
              <w:jc w:val="center"/>
              <w:rPr>
                <w:rFonts w:hint="eastAsia" w:ascii="宋体" w:hAnsi="宋体" w:eastAsia="宋体" w:cs="宋体"/>
                <w:color w:val="auto"/>
                <w:sz w:val="21"/>
                <w:szCs w:val="18"/>
                <w:highlight w:val="none"/>
                <w:lang w:val="en-US" w:eastAsia="zh-CN"/>
              </w:rPr>
            </w:pPr>
          </w:p>
        </w:tc>
        <w:tc>
          <w:tcPr>
            <w:tcW w:w="1099" w:type="pct"/>
            <w:noWrap w:val="0"/>
            <w:vAlign w:val="center"/>
          </w:tcPr>
          <w:p w14:paraId="6D465005">
            <w:pPr>
              <w:jc w:val="center"/>
              <w:rPr>
                <w:rFonts w:hint="eastAsia" w:ascii="宋体" w:hAnsi="宋体" w:eastAsia="宋体" w:cs="宋体"/>
                <w:color w:val="auto"/>
                <w:sz w:val="21"/>
                <w:szCs w:val="18"/>
                <w:highlight w:val="none"/>
                <w:lang w:val="en-US" w:eastAsia="zh-CN"/>
              </w:rPr>
            </w:pPr>
          </w:p>
        </w:tc>
      </w:tr>
      <w:tr w14:paraId="3BCDC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000" w:type="pct"/>
            <w:gridSpan w:val="6"/>
            <w:noWrap w:val="0"/>
            <w:vAlign w:val="center"/>
          </w:tcPr>
          <w:p w14:paraId="0DAF9EF8">
            <w:pPr>
              <w:jc w:val="left"/>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注：实际数据以现场测量为准。</w:t>
            </w:r>
          </w:p>
        </w:tc>
      </w:tr>
    </w:tbl>
    <w:p w14:paraId="07A732C3">
      <w:pPr>
        <w:bidi w:val="0"/>
        <w:rPr>
          <w:rFonts w:hint="eastAsia" w:ascii="宋体" w:hAnsi="宋体" w:eastAsia="宋体" w:cs="宋体"/>
          <w:color w:val="auto"/>
          <w:sz w:val="20"/>
          <w:szCs w:val="20"/>
          <w:highlight w:val="none"/>
        </w:rPr>
      </w:pPr>
    </w:p>
    <w:p w14:paraId="513D3273">
      <w:pPr>
        <w:bidi w:val="0"/>
        <w:rPr>
          <w:rFonts w:hint="eastAsia" w:ascii="宋体" w:hAnsi="宋体" w:eastAsia="宋体" w:cs="宋体"/>
          <w:sz w:val="20"/>
          <w:szCs w:val="20"/>
          <w:highlight w:val="none"/>
          <w:lang w:val="en-US" w:eastAsia="zh-CN"/>
        </w:rPr>
      </w:pPr>
    </w:p>
    <w:p w14:paraId="1761E965">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533C5038">
      <w:pPr>
        <w:spacing w:line="400" w:lineRule="exact"/>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合同附件2</w:t>
      </w:r>
    </w:p>
    <w:p w14:paraId="378C4E7B">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便民用房</w:t>
      </w:r>
      <w:r>
        <w:rPr>
          <w:rFonts w:hint="eastAsia" w:ascii="宋体" w:hAnsi="宋体" w:eastAsia="宋体" w:cs="宋体"/>
          <w:b/>
          <w:bCs/>
          <w:color w:val="auto"/>
          <w:sz w:val="24"/>
          <w:szCs w:val="24"/>
          <w:highlight w:val="none"/>
        </w:rPr>
        <w:t>位置平面示意图</w:t>
      </w:r>
    </w:p>
    <w:p w14:paraId="75FFE82C">
      <w:pPr>
        <w:bidi w:val="0"/>
        <w:rPr>
          <w:rFonts w:hint="eastAsia" w:ascii="宋体" w:hAnsi="宋体" w:eastAsia="宋体" w:cs="宋体"/>
          <w:sz w:val="20"/>
          <w:szCs w:val="20"/>
          <w:highlight w:val="none"/>
        </w:rPr>
      </w:pPr>
    </w:p>
    <w:p w14:paraId="3BA0A50A">
      <w:pPr>
        <w:spacing w:line="400" w:lineRule="exact"/>
        <w:ind w:right="-519" w:rightChars="-247"/>
        <w:jc w:val="both"/>
        <w:outlineLvl w:val="0"/>
        <w:rPr>
          <w:rFonts w:hint="eastAsia" w:ascii="宋体" w:hAnsi="宋体" w:eastAsia="宋体" w:cs="宋体"/>
          <w:bCs/>
          <w:color w:val="auto"/>
          <w:sz w:val="22"/>
          <w:szCs w:val="20"/>
          <w:highlight w:val="none"/>
          <w:lang w:val="en-US" w:eastAsia="zh-CN"/>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3</w:t>
      </w:r>
    </w:p>
    <w:p w14:paraId="7FB8355F">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承诺函</w:t>
      </w:r>
    </w:p>
    <w:p w14:paraId="08B64DAB">
      <w:pPr>
        <w:ind w:right="-519" w:rightChars="-247"/>
        <w:rPr>
          <w:rFonts w:hint="eastAsia" w:ascii="宋体" w:hAnsi="宋体" w:eastAsia="宋体" w:cs="宋体"/>
          <w:color w:val="auto"/>
          <w:sz w:val="22"/>
          <w:szCs w:val="20"/>
          <w:highlight w:val="none"/>
        </w:rPr>
      </w:pPr>
    </w:p>
    <w:p w14:paraId="6CE2C55E">
      <w:pPr>
        <w:spacing w:line="360" w:lineRule="auto"/>
        <w:ind w:right="-519" w:rightChars="-247"/>
        <w:rPr>
          <w:rFonts w:hint="eastAsia" w:ascii="宋体" w:hAnsi="宋体" w:eastAsia="宋体" w:cs="宋体"/>
          <w:color w:val="auto"/>
          <w:sz w:val="21"/>
          <w:szCs w:val="18"/>
          <w:highlight w:val="none"/>
        </w:rPr>
      </w:pPr>
      <w:r>
        <w:rPr>
          <w:rFonts w:hint="eastAsia" w:ascii="宋体" w:hAnsi="宋体" w:eastAsia="宋体" w:cs="宋体"/>
          <w:bCs/>
          <w:color w:val="auto"/>
          <w:sz w:val="21"/>
          <w:szCs w:val="18"/>
          <w:highlight w:val="none"/>
          <w:u w:val="single"/>
          <w:lang w:eastAsia="zh-CN"/>
        </w:rPr>
        <w:t>南通轨道资源开发有限公司</w:t>
      </w:r>
      <w:r>
        <w:rPr>
          <w:rFonts w:hint="eastAsia" w:ascii="宋体" w:hAnsi="宋体" w:eastAsia="宋体" w:cs="宋体"/>
          <w:color w:val="auto"/>
          <w:sz w:val="21"/>
          <w:szCs w:val="18"/>
          <w:highlight w:val="none"/>
        </w:rPr>
        <w:t>：</w:t>
      </w:r>
    </w:p>
    <w:p w14:paraId="52457C8E">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就贵司通过</w:t>
      </w:r>
      <w:r>
        <w:rPr>
          <w:rFonts w:hint="eastAsia" w:ascii="宋体" w:hAnsi="宋体" w:eastAsia="宋体" w:cs="宋体"/>
          <w:color w:val="auto"/>
          <w:sz w:val="21"/>
          <w:szCs w:val="18"/>
          <w:highlight w:val="none"/>
          <w:u w:val="single"/>
          <w:lang w:val="en-US" w:eastAsia="zh-CN"/>
        </w:rPr>
        <w:t>南通市公共资源交易网、</w:t>
      </w:r>
      <w:r>
        <w:rPr>
          <w:rFonts w:hint="eastAsia" w:ascii="宋体" w:hAnsi="宋体" w:eastAsia="宋体" w:cs="宋体"/>
          <w:color w:val="auto"/>
          <w:sz w:val="21"/>
          <w:szCs w:val="18"/>
          <w:highlight w:val="none"/>
          <w:u w:val="single"/>
        </w:rPr>
        <w:t>南通轨道交通官网</w:t>
      </w:r>
      <w:r>
        <w:rPr>
          <w:rFonts w:hint="eastAsia" w:ascii="宋体" w:hAnsi="宋体" w:eastAsia="宋体" w:cs="宋体"/>
          <w:color w:val="auto"/>
          <w:sz w:val="21"/>
          <w:szCs w:val="18"/>
          <w:highlight w:val="none"/>
          <w:u w:val="single"/>
          <w:lang w:eastAsia="zh-CN"/>
        </w:rPr>
        <w:t>、</w:t>
      </w:r>
      <w:r>
        <w:rPr>
          <w:rFonts w:hint="eastAsia" w:ascii="宋体" w:hAnsi="宋体" w:eastAsia="宋体" w:cs="宋体"/>
          <w:color w:val="auto"/>
          <w:sz w:val="21"/>
          <w:szCs w:val="18"/>
          <w:highlight w:val="none"/>
          <w:u w:val="single"/>
          <w:lang w:val="en-US" w:eastAsia="zh-CN"/>
        </w:rPr>
        <w:t>中国招标投标公共服务平台</w:t>
      </w:r>
      <w:r>
        <w:rPr>
          <w:rFonts w:hint="eastAsia" w:ascii="宋体" w:hAnsi="宋体" w:eastAsia="宋体" w:cs="宋体"/>
          <w:color w:val="auto"/>
          <w:sz w:val="21"/>
          <w:szCs w:val="18"/>
          <w:highlight w:val="none"/>
        </w:rPr>
        <w:t>发布的《</w:t>
      </w:r>
      <w:r>
        <w:rPr>
          <w:rFonts w:hint="eastAsia" w:ascii="宋体" w:hAnsi="宋体" w:eastAsia="宋体" w:cs="宋体"/>
          <w:color w:val="auto"/>
          <w:sz w:val="21"/>
          <w:szCs w:val="18"/>
          <w:highlight w:val="none"/>
          <w:u w:val="single"/>
          <w:lang w:val="en-US" w:eastAsia="zh-CN"/>
        </w:rPr>
        <w:t>南通轨道交通1、2号线一期工程便民用房出租项目</w:t>
      </w:r>
      <w:r>
        <w:rPr>
          <w:rFonts w:hint="eastAsia" w:ascii="宋体" w:hAnsi="宋体" w:eastAsia="宋体" w:cs="宋体"/>
          <w:color w:val="auto"/>
          <w:sz w:val="21"/>
          <w:szCs w:val="18"/>
          <w:highlight w:val="none"/>
        </w:rPr>
        <w:t>》</w:t>
      </w:r>
      <w:r>
        <w:rPr>
          <w:rFonts w:hint="eastAsia" w:ascii="宋体" w:hAnsi="宋体" w:eastAsia="宋体" w:cs="宋体"/>
          <w:color w:val="auto"/>
          <w:sz w:val="21"/>
          <w:szCs w:val="18"/>
          <w:highlight w:val="none"/>
          <w:lang w:eastAsia="zh-CN"/>
        </w:rPr>
        <w:t>招租</w:t>
      </w:r>
      <w:r>
        <w:rPr>
          <w:rFonts w:hint="eastAsia" w:ascii="宋体" w:hAnsi="宋体" w:eastAsia="宋体" w:cs="宋体"/>
          <w:color w:val="auto"/>
          <w:sz w:val="21"/>
          <w:szCs w:val="18"/>
          <w:highlight w:val="none"/>
        </w:rPr>
        <w:t>信息，我方已充分了解相关信息，并愿参与本次招租。现做出如下承诺：</w:t>
      </w:r>
    </w:p>
    <w:p w14:paraId="68F899BE">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一、我方已充分了解</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结构、出入口及设施设备等情况，并同意以现状交付。</w:t>
      </w:r>
    </w:p>
    <w:p w14:paraId="7AAAD046">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二、我方承诺信用良好，没有租房不良记录（如：与贵司存在拒签合同或我方合同违约等，承租贵司</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时因我方原因曾发生安全事故，擅自更改房屋功能或拖欠租金、物业费、水电费等）。</w:t>
      </w:r>
    </w:p>
    <w:p w14:paraId="2DA65B42">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三、我方承诺中选后装修方案报贵司审核同意，装修材料符合消防要求，并自行办理消防报验、证照等所有相关手续，装饰装修不破坏物业的外立面及物业内的设施设备。</w:t>
      </w:r>
    </w:p>
    <w:p w14:paraId="3082044B">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四、我方承诺签订</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租赁合同后一个月内办齐经营所需的所有合法证照。如未办齐，我方同意贵司没收我方缴纳的投标信誉保证金、租金、物业费及履约保证金并收回承租</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w:t>
      </w:r>
    </w:p>
    <w:p w14:paraId="5EE019E4">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如我方违反上述承诺，贵司有权要求我方承担违约责任，贵司亦有权要求我方赔偿贵司的实际损失。</w:t>
      </w:r>
    </w:p>
    <w:p w14:paraId="67F800C8">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承诺单位(盖章)：  </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 xml:space="preserve">            </w:t>
      </w:r>
    </w:p>
    <w:p w14:paraId="06E88421">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承诺代表人：        </w:t>
      </w:r>
    </w:p>
    <w:p w14:paraId="7B7F77D4">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日期：     </w:t>
      </w:r>
    </w:p>
    <w:p w14:paraId="4D6C052E">
      <w:pPr>
        <w:pStyle w:val="6"/>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71BB3B6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1F61C21D">
      <w:pPr>
        <w:bidi w:val="0"/>
        <w:ind w:right="-519" w:rightChars="-247"/>
        <w:rPr>
          <w:rFonts w:hint="eastAsia" w:ascii="宋体" w:hAnsi="宋体" w:eastAsia="宋体" w:cs="宋体"/>
          <w:color w:val="auto"/>
          <w:sz w:val="20"/>
          <w:szCs w:val="20"/>
          <w:highlight w:val="none"/>
        </w:rPr>
      </w:pPr>
      <w:r>
        <w:rPr>
          <w:rFonts w:hint="eastAsia" w:ascii="宋体" w:hAnsi="宋体" w:eastAsia="宋体" w:cs="宋体"/>
          <w:color w:val="auto"/>
          <w:sz w:val="22"/>
          <w:szCs w:val="22"/>
          <w:highlight w:val="none"/>
        </w:rPr>
        <w:br w:type="page"/>
      </w:r>
    </w:p>
    <w:p w14:paraId="236F43FB">
      <w:pPr>
        <w:spacing w:line="400" w:lineRule="exact"/>
        <w:ind w:right="-519" w:rightChars="-247"/>
        <w:outlineLvl w:val="0"/>
        <w:rPr>
          <w:rFonts w:hint="eastAsia" w:ascii="宋体" w:hAnsi="宋体" w:eastAsia="宋体" w:cs="宋体"/>
          <w:color w:val="auto"/>
          <w:sz w:val="20"/>
          <w:szCs w:val="20"/>
          <w:highlight w:val="none"/>
          <w:lang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4</w:t>
      </w:r>
    </w:p>
    <w:p w14:paraId="34CF62D9">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南通轨道资源开发有限公司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经营、租赁类</w:t>
      </w:r>
      <w:r>
        <w:rPr>
          <w:rFonts w:hint="eastAsia" w:ascii="宋体" w:hAnsi="宋体" w:eastAsia="宋体" w:cs="宋体"/>
          <w:b/>
          <w:bCs/>
          <w:color w:val="auto"/>
          <w:sz w:val="24"/>
          <w:szCs w:val="24"/>
          <w:highlight w:val="none"/>
          <w:lang w:eastAsia="zh-CN"/>
        </w:rPr>
        <w:t>）</w:t>
      </w:r>
    </w:p>
    <w:p w14:paraId="1B20B156">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外单位作业安全、消防、治安管理协议</w:t>
      </w:r>
    </w:p>
    <w:p w14:paraId="3650DC77">
      <w:pPr>
        <w:adjustRightInd w:val="0"/>
        <w:snapToGrid w:val="0"/>
        <w:spacing w:line="360" w:lineRule="auto"/>
        <w:ind w:firstLine="480" w:firstLineChars="200"/>
        <w:rPr>
          <w:rFonts w:hint="eastAsia" w:ascii="Times New Roman" w:hAnsi="Times New Roman" w:eastAsia="宋体" w:cs="Times New Roman"/>
          <w:sz w:val="24"/>
          <w:szCs w:val="24"/>
          <w:highlight w:val="none"/>
          <w14:ligatures w14:val="none"/>
        </w:rPr>
      </w:pPr>
    </w:p>
    <w:p w14:paraId="53D3253E">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甲方：南通轨道资源开发有限公司</w:t>
      </w:r>
    </w:p>
    <w:p w14:paraId="36272A53">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w:t>
      </w:r>
      <w:r>
        <w:rPr>
          <w:rFonts w:ascii="Times New Roman" w:hAnsi="Times New Roman" w:eastAsia="宋体" w:cs="Times New Roman"/>
          <w:sz w:val="21"/>
          <w:szCs w:val="21"/>
          <w:highlight w:val="none"/>
          <w14:ligatures w14:val="none"/>
        </w:rPr>
        <w:t xml:space="preserve">                        </w:t>
      </w:r>
    </w:p>
    <w:p w14:paraId="6628CCCE">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p>
    <w:p w14:paraId="0BBE7100">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为了进一步贯彻落实“安全第一、预防为主”的安全工作方针，严格执行国家和地方有关安全生产、劳动保护的法律法规和</w:t>
      </w:r>
      <w:r>
        <w:rPr>
          <w:rFonts w:hint="eastAsia" w:ascii="Times New Roman" w:hAnsi="Times New Roman" w:eastAsia="宋体" w:cs="Times New Roman"/>
          <w:sz w:val="21"/>
          <w:szCs w:val="21"/>
          <w:highlight w:val="none"/>
          <w:lang w:val="en-US" w:eastAsia="zh-CN"/>
          <w14:ligatures w14:val="none"/>
        </w:rPr>
        <w:t>南通轨道资源开发有限</w:t>
      </w:r>
      <w:r>
        <w:rPr>
          <w:rFonts w:hint="eastAsia" w:ascii="Times New Roman" w:hAnsi="Times New Roman" w:eastAsia="宋体" w:cs="Times New Roman"/>
          <w:sz w:val="21"/>
          <w:szCs w:val="21"/>
          <w:highlight w:val="none"/>
          <w14:ligatures w14:val="none"/>
        </w:rPr>
        <w:t>公司各项安全生产管理制度，强化安全生产管理，落实安全生产责任制，规范作业安全管理，保障地铁安全生产，创造安全的经营环境，经双方协商一致，特签订本协议。</w:t>
      </w:r>
    </w:p>
    <w:p w14:paraId="2FE793B5">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项目概况：</w:t>
      </w:r>
    </w:p>
    <w:p w14:paraId="49801B3E">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项目名称：</w:t>
      </w:r>
    </w:p>
    <w:p w14:paraId="7EE42479">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项目负责人：</w:t>
      </w:r>
    </w:p>
    <w:p w14:paraId="1A2D3DD4">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项目地点：</w:t>
      </w:r>
    </w:p>
    <w:p w14:paraId="4330257E">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作业内容：</w:t>
      </w:r>
    </w:p>
    <w:p w14:paraId="3F8B6109">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作业范围：</w:t>
      </w:r>
    </w:p>
    <w:p w14:paraId="4F14DD2D">
      <w:pPr>
        <w:adjustRightInd w:val="0"/>
        <w:snapToGrid w:val="0"/>
        <w:spacing w:line="360" w:lineRule="auto"/>
        <w:ind w:firstLine="420" w:firstLineChars="200"/>
        <w:rPr>
          <w:rFonts w:hint="default"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作业期限：</w:t>
      </w:r>
    </w:p>
    <w:p w14:paraId="4E32EDA6">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安全目标：</w:t>
      </w:r>
    </w:p>
    <w:p w14:paraId="1966FC5F">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不发生生产安全死亡事故及重伤事故。</w:t>
      </w:r>
    </w:p>
    <w:p w14:paraId="0B43D3F0">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不发生由政府相关部门负责调查处理的火灾（爆炸）事故。</w:t>
      </w:r>
    </w:p>
    <w:p w14:paraId="3BDB55D0">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不发生中毒、污染事故。</w:t>
      </w:r>
    </w:p>
    <w:p w14:paraId="2B087715">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不发生产生重大影响的社会安全事件和公共卫生事件。</w:t>
      </w:r>
    </w:p>
    <w:p w14:paraId="3C8218D8">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杜绝严重违章违纪行为。</w:t>
      </w:r>
    </w:p>
    <w:p w14:paraId="1CC72AED">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甲方安全责任和义务</w:t>
      </w:r>
    </w:p>
    <w:p w14:paraId="13D73C0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甲方应向乙方提供必要的技术或相关资料</w:t>
      </w:r>
      <w:r>
        <w:rPr>
          <w:rFonts w:hint="eastAsia" w:ascii="Times New Roman" w:hAnsi="Times New Roman" w:eastAsia="宋体" w:cs="Times New Roman"/>
          <w:sz w:val="21"/>
          <w:szCs w:val="21"/>
          <w:highlight w:val="none"/>
          <w:lang w:eastAsia="zh-CN"/>
          <w14:ligatures w14:val="none"/>
        </w:rPr>
        <w:t>。</w:t>
      </w:r>
    </w:p>
    <w:p w14:paraId="598974C4">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甲方应对乙方的安全生产工作统一协调、管理，定期进行安全检查并记录。</w:t>
      </w:r>
    </w:p>
    <w:p w14:paraId="224758D3">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督促乙方开展安全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活动，及时传达和部署上级的有关安全生产精神和要求，加强安全生产的指导和协调。</w:t>
      </w:r>
    </w:p>
    <w:p w14:paraId="5F561EC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对乙方安全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管理情况进行监督检查，对发现的不合格项甲方有权制止、责成其限期整改。因乙方的过失造成的经济损失由乙方承担。</w:t>
      </w:r>
    </w:p>
    <w:p w14:paraId="1A163DC9">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乙方安全责任和义务</w:t>
      </w:r>
    </w:p>
    <w:p w14:paraId="0720F852">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乙方明确项目安全负责人为：</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，身份证号码：</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。电话：</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w:t>
      </w:r>
    </w:p>
    <w:p w14:paraId="38F3B9B8">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安全生产坚持“谁主管，谁负责”的原则，乙方必须履行甲方各项安全生产管理规章制度，对违反相关安全管理制度和规章，造成事件和不良事件的，乙方承担相应责任。</w:t>
      </w:r>
    </w:p>
    <w:p w14:paraId="262B035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乙方在作业前须认真学习《</w:t>
      </w:r>
      <w:r>
        <w:rPr>
          <w:rFonts w:hint="eastAsia" w:ascii="Times New Roman" w:hAnsi="Times New Roman" w:eastAsia="宋体" w:cs="Times New Roman"/>
          <w:sz w:val="21"/>
          <w:szCs w:val="21"/>
          <w:highlight w:val="none"/>
          <w:lang w:val="en-US" w:eastAsia="zh-CN"/>
          <w14:ligatures w14:val="none"/>
        </w:rPr>
        <w:t>南通轨道资源开发有限公司安全生产</w:t>
      </w:r>
      <w:r>
        <w:rPr>
          <w:rFonts w:hint="eastAsia" w:ascii="Times New Roman" w:hAnsi="Times New Roman" w:eastAsia="宋体" w:cs="Times New Roman"/>
          <w:sz w:val="21"/>
          <w:szCs w:val="21"/>
          <w:highlight w:val="none"/>
          <w14:ligatures w14:val="none"/>
        </w:rPr>
        <w:t>管理办法》《南通轨道资源开发有限公司外单位作业安全管理办法》</w:t>
      </w:r>
      <w:r>
        <w:rPr>
          <w:rFonts w:hint="eastAsia" w:ascii="Times New Roman" w:hAnsi="Times New Roman" w:eastAsia="宋体" w:cs="Times New Roman"/>
          <w:sz w:val="21"/>
          <w:szCs w:val="21"/>
          <w:highlight w:val="none"/>
          <w:lang w:eastAsia="zh-CN"/>
          <w14:ligatures w14:val="none"/>
        </w:rPr>
        <w:t>《南通轨道资源开发有限公司特种作业管理制度》</w:t>
      </w:r>
      <w:r>
        <w:rPr>
          <w:rFonts w:hint="eastAsia" w:ascii="Times New Roman" w:hAnsi="Times New Roman" w:eastAsia="宋体" w:cs="Times New Roman"/>
          <w:sz w:val="21"/>
          <w:szCs w:val="21"/>
          <w:highlight w:val="none"/>
          <w14:ligatures w14:val="none"/>
        </w:rPr>
        <w:t>以及相关安全生产管理规定，并遵照规定要求执行</w:t>
      </w:r>
      <w:r>
        <w:rPr>
          <w:rFonts w:hint="eastAsia" w:ascii="Times New Roman" w:hAnsi="Times New Roman" w:eastAsia="宋体" w:cs="Times New Roman"/>
          <w:sz w:val="21"/>
          <w:szCs w:val="21"/>
          <w:highlight w:val="none"/>
          <w:lang w:eastAsia="zh-CN"/>
          <w14:ligatures w14:val="none"/>
        </w:rPr>
        <w:t>，</w:t>
      </w:r>
      <w:r>
        <w:rPr>
          <w:rFonts w:ascii="Times New Roman" w:hAnsi="Times New Roman" w:eastAsia="宋体" w:cs="Times New Roman"/>
          <w:sz w:val="21"/>
          <w:szCs w:val="21"/>
          <w:highlight w:val="none"/>
          <w14:ligatures w14:val="none"/>
        </w:rPr>
        <w:t>及时宣贯落实甲方管理要求，加强自身安全生产管理，履行自身的安全义务。</w:t>
      </w:r>
    </w:p>
    <w:p w14:paraId="372D67A9">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乙方应自觉遵守国家</w:t>
      </w:r>
      <w:r>
        <w:rPr>
          <w:rFonts w:hint="eastAsia" w:ascii="Times New Roman" w:hAnsi="Times New Roman" w:eastAsia="宋体" w:cs="Times New Roman"/>
          <w:sz w:val="21"/>
          <w:szCs w:val="21"/>
          <w:highlight w:val="none"/>
          <w:lang w:val="en-US" w:eastAsia="zh-CN"/>
          <w14:ligatures w14:val="none"/>
        </w:rPr>
        <w:t>和地方</w:t>
      </w:r>
      <w:r>
        <w:rPr>
          <w:rFonts w:ascii="Times New Roman" w:hAnsi="Times New Roman" w:eastAsia="宋体" w:cs="Times New Roman"/>
          <w:sz w:val="21"/>
          <w:szCs w:val="21"/>
          <w:highlight w:val="none"/>
          <w14:ligatures w14:val="none"/>
        </w:rPr>
        <w:t>有关安全生产的各项</w:t>
      </w:r>
      <w:r>
        <w:rPr>
          <w:rFonts w:hint="eastAsia" w:ascii="Times New Roman" w:hAnsi="Times New Roman" w:eastAsia="宋体" w:cs="Times New Roman"/>
          <w:sz w:val="21"/>
          <w:szCs w:val="21"/>
          <w:highlight w:val="none"/>
          <w:lang w:val="en-US" w:eastAsia="zh-CN"/>
          <w14:ligatures w14:val="none"/>
        </w:rPr>
        <w:t>规定和有关安全生产的法律法规，加强作业安全管理，履行安全管理责任，切实保障安全。</w:t>
      </w:r>
    </w:p>
    <w:p w14:paraId="3B1490FF">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乙方承诺其具备符合本项目需要的安全生产相关资质和条件，在签订本协议前书面提交相关资质、安全生产条件、特种作业人员资格等信息至甲方审核。</w:t>
      </w:r>
    </w:p>
    <w:p w14:paraId="4138782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安全管理人员应经</w:t>
      </w:r>
      <w:r>
        <w:rPr>
          <w:rFonts w:hint="eastAsia" w:ascii="Times New Roman" w:hAnsi="Times New Roman" w:eastAsia="宋体" w:cs="Times New Roman"/>
          <w:sz w:val="21"/>
          <w:szCs w:val="21"/>
          <w:highlight w:val="none"/>
          <w:lang w:eastAsia="zh-CN"/>
          <w14:ligatures w14:val="none"/>
        </w:rPr>
        <w:t>南通轨道资源开发有限公司</w:t>
      </w:r>
      <w:r>
        <w:rPr>
          <w:rFonts w:hint="eastAsia" w:ascii="Times New Roman" w:hAnsi="Times New Roman" w:eastAsia="宋体" w:cs="Times New Roman"/>
          <w:sz w:val="21"/>
          <w:szCs w:val="21"/>
          <w:highlight w:val="none"/>
          <w14:ligatures w14:val="none"/>
        </w:rPr>
        <w:t>的安全管理培训</w:t>
      </w:r>
      <w:r>
        <w:rPr>
          <w:rFonts w:hint="eastAsia" w:ascii="Times New Roman" w:hAnsi="Times New Roman" w:eastAsia="宋体" w:cs="Times New Roman"/>
          <w:sz w:val="21"/>
          <w:szCs w:val="21"/>
          <w:highlight w:val="none"/>
          <w:lang w:eastAsia="zh-CN"/>
          <w14:ligatures w14:val="none"/>
        </w:rPr>
        <w:t>。</w:t>
      </w:r>
    </w:p>
    <w:p w14:paraId="07CA97C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乙方必须对乙方各岗位人员进行安全教育培训</w:t>
      </w:r>
      <w:r>
        <w:rPr>
          <w:rFonts w:hint="eastAsia" w:ascii="Times New Roman" w:hAnsi="Times New Roman" w:eastAsia="宋体" w:cs="Times New Roman"/>
          <w:sz w:val="21"/>
          <w:szCs w:val="21"/>
          <w:highlight w:val="none"/>
          <w:lang w:val="en-US" w:eastAsia="zh-CN"/>
          <w14:ligatures w14:val="none"/>
        </w:rPr>
        <w:t>和演练</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lang w:val="en-US" w:eastAsia="zh-CN"/>
          <w14:ligatures w14:val="none"/>
        </w:rPr>
        <w:t>并做好记录，</w:t>
      </w:r>
      <w:r>
        <w:rPr>
          <w:rFonts w:ascii="Times New Roman" w:hAnsi="Times New Roman" w:eastAsia="宋体" w:cs="Times New Roman"/>
          <w:sz w:val="21"/>
          <w:szCs w:val="21"/>
          <w:highlight w:val="none"/>
          <w14:ligatures w14:val="none"/>
        </w:rPr>
        <w:t>保证相关人员具备安全生产知识，熟悉安全生产规章制度和安全操作规程，掌握本岗位的安全操作技能</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lang w:val="en-US" w:eastAsia="zh-CN"/>
          <w14:ligatures w14:val="none"/>
        </w:rPr>
        <w:t>应急处理和疏散能力</w:t>
      </w:r>
      <w:r>
        <w:rPr>
          <w:rFonts w:ascii="Times New Roman" w:hAnsi="Times New Roman" w:eastAsia="宋体" w:cs="Times New Roman"/>
          <w:sz w:val="21"/>
          <w:szCs w:val="21"/>
          <w:highlight w:val="none"/>
          <w14:ligatures w14:val="none"/>
        </w:rPr>
        <w:t>，了解事故（事件）应急处理措施。</w:t>
      </w:r>
    </w:p>
    <w:p w14:paraId="22DEAE84">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在签订安全协议前应提交经甲方确认的作业方案</w:t>
      </w:r>
      <w:r>
        <w:rPr>
          <w:rFonts w:hint="eastAsia" w:ascii="Times New Roman" w:hAnsi="Times New Roman" w:eastAsia="宋体" w:cs="Times New Roman"/>
          <w:sz w:val="21"/>
          <w:szCs w:val="21"/>
          <w:highlight w:val="none"/>
          <w:lang w:eastAsia="zh-CN"/>
          <w14:ligatures w14:val="none"/>
        </w:rPr>
        <w:t>。</w:t>
      </w:r>
    </w:p>
    <w:p w14:paraId="338A1BC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对</w:t>
      </w:r>
      <w:r>
        <w:rPr>
          <w:rFonts w:hint="eastAsia" w:ascii="Times New Roman" w:hAnsi="Times New Roman" w:eastAsia="宋体" w:cs="Times New Roman"/>
          <w:sz w:val="21"/>
          <w:szCs w:val="21"/>
          <w:highlight w:val="none"/>
          <w14:ligatures w14:val="none"/>
        </w:rPr>
        <w:t>甲方检查</w:t>
      </w:r>
      <w:r>
        <w:rPr>
          <w:rFonts w:hint="eastAsia" w:ascii="Times New Roman" w:hAnsi="Times New Roman" w:eastAsia="宋体" w:cs="Times New Roman"/>
          <w:sz w:val="21"/>
          <w:szCs w:val="21"/>
          <w:highlight w:val="none"/>
          <w:lang w:val="en-US" w:eastAsia="zh-CN"/>
          <w14:ligatures w14:val="none"/>
        </w:rPr>
        <w:t>发现的</w:t>
      </w:r>
      <w:r>
        <w:rPr>
          <w:rFonts w:hint="eastAsia" w:ascii="Times New Roman" w:hAnsi="Times New Roman" w:eastAsia="宋体" w:cs="Times New Roman"/>
          <w:sz w:val="21"/>
          <w:szCs w:val="21"/>
          <w:highlight w:val="none"/>
          <w14:ligatures w14:val="none"/>
        </w:rPr>
        <w:t>安全</w:t>
      </w:r>
      <w:r>
        <w:rPr>
          <w:rFonts w:hint="eastAsia" w:ascii="Times New Roman" w:hAnsi="Times New Roman" w:eastAsia="宋体" w:cs="Times New Roman"/>
          <w:sz w:val="21"/>
          <w:szCs w:val="21"/>
          <w:highlight w:val="none"/>
          <w:lang w:val="en-US" w:eastAsia="zh-CN"/>
          <w14:ligatures w14:val="none"/>
        </w:rPr>
        <w:t>生产、安全</w:t>
      </w:r>
      <w:r>
        <w:rPr>
          <w:rFonts w:hint="eastAsia" w:ascii="Times New Roman" w:hAnsi="Times New Roman" w:eastAsia="宋体" w:cs="Times New Roman"/>
          <w:sz w:val="21"/>
          <w:szCs w:val="21"/>
          <w:highlight w:val="none"/>
          <w14:ligatures w14:val="none"/>
        </w:rPr>
        <w:t>措施落实情况</w:t>
      </w:r>
      <w:r>
        <w:rPr>
          <w:rFonts w:hint="eastAsia" w:ascii="Times New Roman" w:hAnsi="Times New Roman" w:eastAsia="宋体" w:cs="Times New Roman"/>
          <w:sz w:val="21"/>
          <w:szCs w:val="21"/>
          <w:highlight w:val="none"/>
          <w:lang w:eastAsia="zh-CN"/>
          <w14:ligatures w14:val="none"/>
        </w:rPr>
        <w:t>的</w:t>
      </w:r>
      <w:r>
        <w:rPr>
          <w:rFonts w:hint="eastAsia" w:ascii="Times New Roman" w:hAnsi="Times New Roman" w:eastAsia="宋体" w:cs="Times New Roman"/>
          <w:sz w:val="21"/>
          <w:szCs w:val="21"/>
          <w:highlight w:val="none"/>
          <w:lang w:val="en-US" w:eastAsia="zh-CN"/>
          <w14:ligatures w14:val="none"/>
        </w:rPr>
        <w:t>相关问题</w:t>
      </w:r>
      <w:r>
        <w:rPr>
          <w:rFonts w:hint="eastAsia" w:ascii="Times New Roman" w:hAnsi="Times New Roman" w:eastAsia="宋体" w:cs="Times New Roman"/>
          <w:sz w:val="21"/>
          <w:szCs w:val="21"/>
          <w:highlight w:val="none"/>
          <w14:ligatures w14:val="none"/>
        </w:rPr>
        <w:t>，乙方应根据甲方的要求落实整改</w:t>
      </w:r>
      <w:r>
        <w:rPr>
          <w:rFonts w:hint="eastAsia" w:ascii="Times New Roman" w:hAnsi="Times New Roman" w:eastAsia="宋体" w:cs="Times New Roman"/>
          <w:sz w:val="21"/>
          <w:szCs w:val="21"/>
          <w:highlight w:val="none"/>
          <w:lang w:eastAsia="zh-CN"/>
          <w14:ligatures w14:val="none"/>
        </w:rPr>
        <w:t>。</w:t>
      </w:r>
    </w:p>
    <w:p w14:paraId="194B036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负责本项目承租部分的安全风险辨识、评估、管控和报告工作，并将较大以上安全风险有关信息向甲方书面通报，应当在本项目醒目位置公示较大以上安全风险信息，严格落实《南通轨道资源开发有限公司安全风险分级管控和隐患排查治理管理制度》相关要求。</w:t>
      </w:r>
    </w:p>
    <w:p w14:paraId="5FA289B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乙方应建立应急救援管理机制，明确职责和任务，制定应急预案，储备相关应急物资，定期开展应急救援培训，发生突发事件时及时启动相关预案。</w:t>
      </w:r>
    </w:p>
    <w:p w14:paraId="1A8F2C5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乙方的特种作业人员应按国家有关规定，持证上岗。</w:t>
      </w:r>
    </w:p>
    <w:p w14:paraId="206EAD73">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因乙方责任造成的甲方一切损失和负面影响，由乙方全部承担</w:t>
      </w:r>
      <w:r>
        <w:rPr>
          <w:rFonts w:hint="eastAsia" w:ascii="Times New Roman" w:hAnsi="Times New Roman" w:eastAsia="宋体" w:cs="Times New Roman"/>
          <w:sz w:val="21"/>
          <w:szCs w:val="21"/>
          <w:highlight w:val="none"/>
          <w:lang w:eastAsia="zh-CN"/>
          <w14:ligatures w14:val="none"/>
        </w:rPr>
        <w:t>。</w:t>
      </w:r>
    </w:p>
    <w:p w14:paraId="5BBB6C9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发生对甲方造成影响的事故，乙方必须立即向甲方报告。报告的内容主要有：时间、地点、事故性质、人员伤亡、初步处理情况及报告人的单位、姓名、电话号码等，事故的损失按责论处。</w:t>
      </w:r>
    </w:p>
    <w:p w14:paraId="185EA83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乙方应主动及时完成经营所需的工商登记、税务登记、食品卫生等证照，以及必要的环保、治安、消防等手续，严格执行政府职能部门有关商品质量、物价、安全、消防、卫生、环保等方面的法律、法规。</w:t>
      </w:r>
    </w:p>
    <w:p w14:paraId="7E91938D">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乙方须规范用工，遵从国家劳动人事法律法规，确保任何情况下不因其经济纠纷或与员工的任何纠纷，导致经营期间发生群体性事件，影响地铁的整体形象。</w:t>
      </w:r>
    </w:p>
    <w:p w14:paraId="3C596EED">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对于占用公共空间的乙方物品，甲方有权移去并对物品遗失概不负责，并有权向乙方收取因此产生的一切费用，若因乙方物品占用公共空间导致安全事故，相关责任及费用由乙方承担。</w:t>
      </w:r>
    </w:p>
    <w:p w14:paraId="6C04EDD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电梯运送货物或大件物品。</w:t>
      </w:r>
    </w:p>
    <w:p w14:paraId="5E399A2B">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甲方、地铁公安部门相关人员出示证件后有权进入本项目场地，对治安、消防、卫生及商品进行检查。乙方有责任配合工商、税务、公安等部门依法处理各种违法违纪事件。</w:t>
      </w:r>
    </w:p>
    <w:p w14:paraId="101A7F74">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乙方须定期对线路、</w:t>
      </w:r>
      <w:r>
        <w:rPr>
          <w:rFonts w:hint="eastAsia" w:ascii="Times New Roman" w:hAnsi="Times New Roman" w:eastAsia="宋体" w:cs="Times New Roman"/>
          <w:sz w:val="21"/>
          <w:szCs w:val="21"/>
          <w:highlight w:val="none"/>
          <w:lang w:val="en-US" w:eastAsia="zh-CN"/>
          <w14:ligatures w14:val="none"/>
        </w:rPr>
        <w:t>设施</w:t>
      </w:r>
      <w:r>
        <w:rPr>
          <w:rFonts w:hint="eastAsia" w:ascii="Times New Roman" w:hAnsi="Times New Roman" w:eastAsia="宋体" w:cs="Times New Roman"/>
          <w:sz w:val="21"/>
          <w:szCs w:val="21"/>
          <w:highlight w:val="none"/>
          <w14:ligatures w14:val="none"/>
        </w:rPr>
        <w:t>设备使用情况进行检查，发现故障、隐患须立即排除。</w:t>
      </w:r>
    </w:p>
    <w:p w14:paraId="4412B9B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保持本项目设施及其附属物，包括所有的卷帘门、电动装置、电线、水管等处于正常、良好、清洁及妥当的修缮状态；不得妨碍任何消防设备的正常操作，严禁占用或堵塞消防通道，保持消防区及楼梯通道和出口畅通无阻。</w:t>
      </w:r>
    </w:p>
    <w:p w14:paraId="7048F88B">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每日营业时间结束后，乙方及其员工须对本项目进行彻底检查，清除安全隐患，关闭不必要的用电设备，做好防火、防盗工作，检查无误后方可离开；乙方员工不允许在本项目内留宿，或利用其室内作住宿用途。</w:t>
      </w:r>
    </w:p>
    <w:p w14:paraId="1CAC818F">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发生治安、火灾等突发案件或发现可疑对象，乙方须及时报告地铁车站、车站派出所和甲方。</w:t>
      </w:r>
    </w:p>
    <w:p w14:paraId="2277AFF7">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乙方严格执行《南通轨道资源开发有限公司外单位作业安全管理办法》。</w:t>
      </w:r>
    </w:p>
    <w:p w14:paraId="5F8DE6D6">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治安消防工作要求</w:t>
      </w:r>
    </w:p>
    <w:p w14:paraId="28C2F2FE">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乙方必须认真遵守国家和地方的有关法律、法规。</w:t>
      </w:r>
    </w:p>
    <w:p w14:paraId="79652D7D">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乙方须配备至少一名专（兼）职治安消防管理人员，负责本作业区域的治安消防工作</w:t>
      </w:r>
      <w:r>
        <w:rPr>
          <w:rFonts w:hint="eastAsia" w:ascii="Times New Roman" w:hAnsi="Times New Roman" w:eastAsia="宋体" w:cs="Times New Roman"/>
          <w:sz w:val="21"/>
          <w:szCs w:val="21"/>
          <w:highlight w:val="none"/>
          <w:lang w:eastAsia="zh-CN"/>
          <w14:ligatures w14:val="none"/>
        </w:rPr>
        <w:t>。</w:t>
      </w:r>
    </w:p>
    <w:p w14:paraId="47CA4A16">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因乙方责任造成影响</w:t>
      </w:r>
      <w:r>
        <w:rPr>
          <w:rFonts w:hint="eastAsia" w:ascii="Times New Roman" w:hAnsi="Times New Roman" w:eastAsia="宋体" w:cs="Times New Roman"/>
          <w:sz w:val="21"/>
          <w:szCs w:val="21"/>
          <w:highlight w:val="none"/>
          <w:lang w:val="en-US" w:eastAsia="zh-CN"/>
          <w14:ligatures w14:val="none"/>
        </w:rPr>
        <w:t>南通</w:t>
      </w:r>
      <w:r>
        <w:rPr>
          <w:rFonts w:hint="eastAsia" w:ascii="Times New Roman" w:hAnsi="Times New Roman" w:eastAsia="宋体" w:cs="Times New Roman"/>
          <w:sz w:val="21"/>
          <w:szCs w:val="21"/>
          <w:highlight w:val="none"/>
          <w14:ligatures w14:val="none"/>
        </w:rPr>
        <w:t>地铁的案件如：火灾、治安事件等，事故经济责任、事故法律责任以及事故的善后处理均由乙方独自承担，因此给甲方造成的经济损失由乙方全部承担。</w:t>
      </w:r>
    </w:p>
    <w:p w14:paraId="75A62FBD">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乙方须根据消防规范要求在本项目内配备合格的灭火器，并定期检查、更换，确保各种消防器材和装置处于良好状态。灭火器应放置于容易取用的地方并遵守地铁属地管理单位提出的管理规定。</w:t>
      </w:r>
    </w:p>
    <w:p w14:paraId="1F4E3FE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乙方应维护本项目持续稳定经营的经营氛围与良好环境。严禁在本项目内起哄闹事，打架斗殴和聚赌等。</w:t>
      </w:r>
    </w:p>
    <w:p w14:paraId="4FC33622">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环保工作要求</w:t>
      </w:r>
    </w:p>
    <w:p w14:paraId="3E97AB9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不得将油类、化学品类等污染物倾倒丢弃在地铁管辖范围内</w:t>
      </w:r>
      <w:r>
        <w:rPr>
          <w:rFonts w:hint="eastAsia" w:ascii="Times New Roman" w:hAnsi="Times New Roman" w:eastAsia="宋体" w:cs="Times New Roman"/>
          <w:sz w:val="21"/>
          <w:szCs w:val="21"/>
          <w:highlight w:val="none"/>
          <w:lang w:eastAsia="zh-CN"/>
          <w14:ligatures w14:val="none"/>
        </w:rPr>
        <w:t>。</w:t>
      </w:r>
    </w:p>
    <w:p w14:paraId="2B38486B">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作业结束后应清理作业涉及的所有物料、垃圾</w:t>
      </w:r>
      <w:r>
        <w:rPr>
          <w:rFonts w:hint="eastAsia" w:ascii="Times New Roman" w:hAnsi="Times New Roman" w:eastAsia="宋体" w:cs="Times New Roman"/>
          <w:sz w:val="21"/>
          <w:szCs w:val="21"/>
          <w:highlight w:val="none"/>
          <w:lang w:eastAsia="zh-CN"/>
          <w14:ligatures w14:val="none"/>
        </w:rPr>
        <w:t>。</w:t>
      </w:r>
    </w:p>
    <w:p w14:paraId="17981700">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严格控制作业过程中“噪音、灰尘、振动、污水”等产生及排放。</w:t>
      </w:r>
    </w:p>
    <w:p w14:paraId="1C3E9651">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不出售或存放任何危险性、易燃易爆性、腐蚀性、毒性物品和所有管制物品</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不使用明火等同类性质的产品，不产生明烟、异味等干扰或有可能干扰地铁正常运营的因素。</w:t>
      </w:r>
    </w:p>
    <w:p w14:paraId="796FE4A9">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安全保证费用（性质属于违约金）</w:t>
      </w:r>
    </w:p>
    <w:p w14:paraId="7FAD8F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根据《南通轨道资源开发有限公司外单位作业安全管理办法》的规定，作业安全协议签订时，乙方应按审批意见向甲方一次性交纳作业履约保证金、安全保证金，按项目合同确定安全保证费用</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履约保证金</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金额。如有违反本协议或不服从管理，根据《南通轨道资源开发有限公司外单位作业安全管理办法》规定扣除部分或全部安全保证费用。安全保证费用在项目结束后，乙方凭由甲方最终确认的《作业安全评定表》及相关资料到南通轨道资源开发有限公司办理安全保证费用支付或返回手续。</w:t>
      </w:r>
    </w:p>
    <w:p w14:paraId="24A77E62">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争议的处理</w:t>
      </w:r>
    </w:p>
    <w:p w14:paraId="3D2305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r>
        <w:rPr>
          <w:rFonts w:hint="eastAsia" w:ascii="Times New Roman" w:hAnsi="Times New Roman" w:eastAsia="宋体" w:cs="Times New Roman"/>
          <w:sz w:val="21"/>
          <w:szCs w:val="21"/>
          <w:highlight w:val="none"/>
          <w14:ligatures w14:val="none"/>
        </w:rPr>
        <w:t>协议双方发生争议时，可以通过协商解决</w:t>
      </w:r>
      <w:r>
        <w:rPr>
          <w:rFonts w:hint="eastAsia" w:ascii="Times New Roman" w:hAnsi="Times New Roman" w:eastAsia="宋体" w:cs="Times New Roman"/>
          <w:sz w:val="21"/>
          <w:szCs w:val="21"/>
          <w:highlight w:val="none"/>
          <w:lang w:eastAsia="zh-CN"/>
          <w14:ligatures w14:val="none"/>
        </w:rPr>
        <w:t>。如果经上述协商双方未能达成解决方案，双方同意提交给南通仲裁委员会仲裁解决。</w:t>
      </w:r>
    </w:p>
    <w:p w14:paraId="1F4C4585">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本合同一式8份，甲方执4份，乙方执4份，具有同等效力。</w:t>
      </w:r>
    </w:p>
    <w:p w14:paraId="6868DE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自</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年</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月</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日生效至项目完成同时废止。</w:t>
      </w:r>
    </w:p>
    <w:p w14:paraId="086579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p>
    <w:p w14:paraId="192122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4044F6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7A8E8F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ascii="Times New Roman" w:hAnsi="Times New Roman" w:eastAsia="宋体" w:cs="Times New Roman"/>
          <w:sz w:val="21"/>
          <w:szCs w:val="21"/>
          <w:highlight w:val="none"/>
          <w14:ligatures w14:val="none"/>
        </w:rPr>
      </w:pPr>
    </w:p>
    <w:p w14:paraId="502E2837">
      <w:pPr>
        <w:adjustRightInd w:val="0"/>
        <w:snapToGrid w:val="0"/>
        <w:spacing w:line="360" w:lineRule="auto"/>
        <w:rPr>
          <w:rFonts w:ascii="Times New Roman" w:hAnsi="Times New Roman" w:eastAsia="宋体" w:cs="Times New Roman"/>
          <w:sz w:val="21"/>
          <w:szCs w:val="21"/>
          <w:highlight w:val="none"/>
          <w14:ligatures w14: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56"/>
      </w:tblGrid>
      <w:tr w14:paraId="0DCC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4034F647">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甲方(公章)：</w:t>
            </w:r>
          </w:p>
        </w:tc>
        <w:tc>
          <w:tcPr>
            <w:tcW w:w="4419" w:type="dxa"/>
            <w:vAlign w:val="center"/>
          </w:tcPr>
          <w:p w14:paraId="409FDCA3">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乙方(公章):</w:t>
            </w:r>
          </w:p>
        </w:tc>
      </w:tr>
      <w:tr w14:paraId="5130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4D81CED8">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c>
          <w:tcPr>
            <w:tcW w:w="4419" w:type="dxa"/>
            <w:vAlign w:val="center"/>
          </w:tcPr>
          <w:p w14:paraId="04328F06">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r>
      <w:tr w14:paraId="5A02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7F18FFB7">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c>
          <w:tcPr>
            <w:tcW w:w="4419" w:type="dxa"/>
            <w:vAlign w:val="center"/>
          </w:tcPr>
          <w:p w14:paraId="58ECFC0A">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r>
      <w:tr w14:paraId="2189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3B03C5B9">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c>
          <w:tcPr>
            <w:tcW w:w="4419" w:type="dxa"/>
            <w:vAlign w:val="center"/>
          </w:tcPr>
          <w:p w14:paraId="34CF09BE">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r>
    </w:tbl>
    <w:p w14:paraId="1F03D6BC">
      <w:pPr>
        <w:adjustRightInd w:val="0"/>
        <w:snapToGrid w:val="0"/>
        <w:spacing w:line="360" w:lineRule="auto"/>
        <w:rPr>
          <w:rFonts w:ascii="Times New Roman" w:hAnsi="Times New Roman" w:eastAsia="宋体" w:cs="Times New Roman"/>
          <w:sz w:val="24"/>
          <w:szCs w:val="24"/>
          <w:highlight w:val="none"/>
          <w14:ligatures w14:val="none"/>
        </w:rPr>
      </w:pPr>
    </w:p>
    <w:p w14:paraId="06F895C1">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r>
        <w:rPr>
          <w:rFonts w:ascii="Times New Roman" w:hAnsi="Times New Roman" w:eastAsia="宋体" w:cs="Times New Roman"/>
          <w:sz w:val="24"/>
          <w:szCs w:val="24"/>
          <w:highlight w:val="none"/>
          <w14:ligatures w14:val="none"/>
        </w:rPr>
        <w:t xml:space="preserve">       </w:t>
      </w:r>
    </w:p>
    <w:p w14:paraId="7F4C3E7E">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p>
    <w:p w14:paraId="7B358F9C">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20877AEF">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合同附件5</w:t>
      </w:r>
    </w:p>
    <w:p w14:paraId="36CD3446">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中选通知书</w:t>
      </w:r>
    </w:p>
    <w:p w14:paraId="191D199A">
      <w:pPr>
        <w:pStyle w:val="2"/>
        <w:ind w:right="-519" w:rightChars="-247"/>
        <w:rPr>
          <w:rFonts w:hint="eastAsia" w:ascii="宋体" w:hAnsi="宋体" w:eastAsia="宋体" w:cs="宋体"/>
          <w:b w:val="0"/>
          <w:bCs/>
          <w:color w:val="auto"/>
          <w:sz w:val="24"/>
          <w:szCs w:val="24"/>
          <w:highlight w:val="none"/>
          <w:lang w:val="en-US" w:eastAsia="zh-CN"/>
        </w:rPr>
      </w:pPr>
    </w:p>
    <w:p w14:paraId="3B171C7D">
      <w:pPr>
        <w:pStyle w:val="2"/>
        <w:ind w:right="-519" w:rightChars="-247"/>
        <w:rPr>
          <w:rFonts w:hint="eastAsia" w:ascii="宋体" w:hAnsi="宋体" w:eastAsia="宋体" w:cs="宋体"/>
          <w:b w:val="0"/>
          <w:bCs/>
          <w:color w:val="auto"/>
          <w:sz w:val="24"/>
          <w:szCs w:val="24"/>
          <w:highlight w:val="none"/>
          <w:lang w:val="en-US" w:eastAsia="zh-CN"/>
        </w:rPr>
      </w:pPr>
    </w:p>
    <w:p w14:paraId="523BD647">
      <w:pPr>
        <w:pStyle w:val="2"/>
        <w:ind w:right="-519" w:rightChars="-247"/>
        <w:rPr>
          <w:rFonts w:hint="eastAsia" w:ascii="宋体" w:hAnsi="宋体" w:eastAsia="宋体" w:cs="宋体"/>
          <w:b w:val="0"/>
          <w:bCs/>
          <w:color w:val="auto"/>
          <w:sz w:val="24"/>
          <w:szCs w:val="24"/>
          <w:highlight w:val="none"/>
          <w:lang w:val="en-US" w:eastAsia="zh-CN"/>
        </w:rPr>
      </w:pPr>
    </w:p>
    <w:p w14:paraId="19F2DB53">
      <w:pPr>
        <w:pStyle w:val="2"/>
        <w:ind w:right="-519" w:rightChars="-247"/>
        <w:rPr>
          <w:rFonts w:hint="eastAsia" w:ascii="宋体" w:hAnsi="宋体" w:eastAsia="宋体" w:cs="宋体"/>
          <w:b w:val="0"/>
          <w:bCs/>
          <w:color w:val="auto"/>
          <w:sz w:val="24"/>
          <w:szCs w:val="24"/>
          <w:highlight w:val="none"/>
          <w:lang w:val="en-US" w:eastAsia="zh-CN"/>
        </w:rPr>
      </w:pPr>
    </w:p>
    <w:p w14:paraId="4181E210">
      <w:pPr>
        <w:pStyle w:val="2"/>
        <w:ind w:right="-519" w:rightChars="-247"/>
        <w:rPr>
          <w:rFonts w:hint="eastAsia" w:ascii="宋体" w:hAnsi="宋体" w:eastAsia="宋体" w:cs="宋体"/>
          <w:b w:val="0"/>
          <w:bCs/>
          <w:color w:val="auto"/>
          <w:sz w:val="24"/>
          <w:szCs w:val="24"/>
          <w:highlight w:val="none"/>
          <w:lang w:val="en-US" w:eastAsia="zh-CN"/>
        </w:rPr>
      </w:pPr>
    </w:p>
    <w:p w14:paraId="680AD599">
      <w:pPr>
        <w:pStyle w:val="2"/>
        <w:ind w:right="-519" w:rightChars="-247"/>
        <w:rPr>
          <w:rFonts w:hint="eastAsia" w:ascii="宋体" w:hAnsi="宋体" w:eastAsia="宋体" w:cs="宋体"/>
          <w:b w:val="0"/>
          <w:bCs/>
          <w:color w:val="auto"/>
          <w:sz w:val="24"/>
          <w:szCs w:val="24"/>
          <w:highlight w:val="none"/>
          <w:lang w:val="en-US" w:eastAsia="zh-CN"/>
        </w:rPr>
      </w:pPr>
    </w:p>
    <w:p w14:paraId="29434643">
      <w:pPr>
        <w:pStyle w:val="2"/>
        <w:ind w:right="-519" w:rightChars="-247"/>
        <w:rPr>
          <w:rFonts w:hint="eastAsia" w:ascii="宋体" w:hAnsi="宋体" w:eastAsia="宋体" w:cs="宋体"/>
          <w:b w:val="0"/>
          <w:bCs/>
          <w:color w:val="auto"/>
          <w:sz w:val="24"/>
          <w:szCs w:val="24"/>
          <w:highlight w:val="none"/>
          <w:lang w:val="en-US" w:eastAsia="zh-CN"/>
        </w:rPr>
      </w:pPr>
    </w:p>
    <w:p w14:paraId="018F7AAB">
      <w:pPr>
        <w:pStyle w:val="2"/>
        <w:ind w:right="-519" w:rightChars="-247"/>
        <w:rPr>
          <w:rFonts w:hint="eastAsia" w:ascii="宋体" w:hAnsi="宋体" w:eastAsia="宋体" w:cs="宋体"/>
          <w:b w:val="0"/>
          <w:bCs/>
          <w:color w:val="auto"/>
          <w:sz w:val="24"/>
          <w:szCs w:val="24"/>
          <w:highlight w:val="none"/>
          <w:lang w:val="en-US" w:eastAsia="zh-CN"/>
        </w:rPr>
      </w:pPr>
    </w:p>
    <w:p w14:paraId="7FDAAD60">
      <w:pPr>
        <w:pStyle w:val="2"/>
        <w:ind w:right="-519" w:rightChars="-247"/>
        <w:rPr>
          <w:rFonts w:hint="eastAsia" w:ascii="宋体" w:hAnsi="宋体" w:eastAsia="宋体" w:cs="宋体"/>
          <w:b w:val="0"/>
          <w:bCs/>
          <w:color w:val="auto"/>
          <w:sz w:val="24"/>
          <w:szCs w:val="24"/>
          <w:highlight w:val="none"/>
          <w:lang w:val="en-US" w:eastAsia="zh-CN"/>
        </w:rPr>
      </w:pPr>
    </w:p>
    <w:p w14:paraId="0C13CBC6">
      <w:pPr>
        <w:pStyle w:val="2"/>
        <w:ind w:right="-519" w:rightChars="-247"/>
        <w:rPr>
          <w:rFonts w:hint="eastAsia" w:ascii="宋体" w:hAnsi="宋体" w:eastAsia="宋体" w:cs="宋体"/>
          <w:b w:val="0"/>
          <w:bCs/>
          <w:color w:val="auto"/>
          <w:sz w:val="24"/>
          <w:szCs w:val="24"/>
          <w:highlight w:val="none"/>
          <w:lang w:val="en-US" w:eastAsia="zh-CN"/>
        </w:rPr>
      </w:pPr>
    </w:p>
    <w:p w14:paraId="69899D7B">
      <w:pPr>
        <w:pStyle w:val="2"/>
        <w:ind w:right="-519" w:rightChars="-247"/>
        <w:rPr>
          <w:rFonts w:hint="eastAsia" w:ascii="宋体" w:hAnsi="宋体" w:eastAsia="宋体" w:cs="宋体"/>
          <w:b w:val="0"/>
          <w:bCs/>
          <w:color w:val="auto"/>
          <w:sz w:val="24"/>
          <w:szCs w:val="24"/>
          <w:highlight w:val="none"/>
          <w:lang w:val="en-US" w:eastAsia="zh-CN"/>
        </w:rPr>
      </w:pPr>
    </w:p>
    <w:p w14:paraId="4C603CC3">
      <w:pPr>
        <w:pStyle w:val="2"/>
        <w:ind w:right="-519" w:rightChars="-247"/>
        <w:rPr>
          <w:rFonts w:hint="eastAsia" w:ascii="宋体" w:hAnsi="宋体" w:eastAsia="宋体" w:cs="宋体"/>
          <w:b w:val="0"/>
          <w:bCs/>
          <w:color w:val="auto"/>
          <w:sz w:val="24"/>
          <w:szCs w:val="24"/>
          <w:highlight w:val="none"/>
          <w:lang w:val="en-US" w:eastAsia="zh-CN"/>
        </w:rPr>
      </w:pPr>
    </w:p>
    <w:p w14:paraId="17DB8277">
      <w:pPr>
        <w:pStyle w:val="2"/>
        <w:ind w:right="-519" w:rightChars="-247"/>
        <w:rPr>
          <w:rFonts w:hint="eastAsia" w:ascii="宋体" w:hAnsi="宋体" w:eastAsia="宋体" w:cs="宋体"/>
          <w:b w:val="0"/>
          <w:bCs/>
          <w:color w:val="auto"/>
          <w:sz w:val="24"/>
          <w:szCs w:val="24"/>
          <w:highlight w:val="none"/>
          <w:lang w:val="en-US" w:eastAsia="zh-CN"/>
        </w:rPr>
      </w:pPr>
    </w:p>
    <w:p w14:paraId="58ADED92">
      <w:pPr>
        <w:pStyle w:val="2"/>
        <w:ind w:right="-519" w:rightChars="-247"/>
        <w:rPr>
          <w:rFonts w:hint="eastAsia" w:ascii="宋体" w:hAnsi="宋体" w:eastAsia="宋体" w:cs="宋体"/>
          <w:b w:val="0"/>
          <w:bCs/>
          <w:color w:val="auto"/>
          <w:sz w:val="24"/>
          <w:szCs w:val="24"/>
          <w:highlight w:val="none"/>
          <w:lang w:val="en-US" w:eastAsia="zh-CN"/>
        </w:rPr>
      </w:pPr>
    </w:p>
    <w:p w14:paraId="6F4A6323">
      <w:pPr>
        <w:pStyle w:val="2"/>
        <w:ind w:right="-519" w:rightChars="-247"/>
        <w:rPr>
          <w:rFonts w:hint="eastAsia" w:ascii="宋体" w:hAnsi="宋体" w:eastAsia="宋体" w:cs="宋体"/>
          <w:b w:val="0"/>
          <w:bCs/>
          <w:color w:val="auto"/>
          <w:sz w:val="24"/>
          <w:szCs w:val="24"/>
          <w:highlight w:val="none"/>
          <w:lang w:val="en-US" w:eastAsia="zh-CN"/>
        </w:rPr>
      </w:pPr>
    </w:p>
    <w:p w14:paraId="0E5B2E62">
      <w:pPr>
        <w:pStyle w:val="2"/>
        <w:ind w:right="-519" w:rightChars="-247"/>
        <w:rPr>
          <w:rFonts w:hint="eastAsia" w:ascii="宋体" w:hAnsi="宋体" w:eastAsia="宋体" w:cs="宋体"/>
          <w:b w:val="0"/>
          <w:bCs/>
          <w:color w:val="auto"/>
          <w:sz w:val="24"/>
          <w:szCs w:val="24"/>
          <w:highlight w:val="none"/>
          <w:lang w:val="en-US" w:eastAsia="zh-CN"/>
        </w:rPr>
      </w:pPr>
    </w:p>
    <w:p w14:paraId="3467B71F">
      <w:pPr>
        <w:pStyle w:val="2"/>
        <w:ind w:right="-519" w:rightChars="-247"/>
        <w:rPr>
          <w:rFonts w:hint="eastAsia" w:ascii="宋体" w:hAnsi="宋体" w:eastAsia="宋体" w:cs="宋体"/>
          <w:b w:val="0"/>
          <w:bCs/>
          <w:color w:val="auto"/>
          <w:sz w:val="24"/>
          <w:szCs w:val="24"/>
          <w:highlight w:val="none"/>
          <w:lang w:val="en-US" w:eastAsia="zh-CN"/>
        </w:rPr>
      </w:pPr>
    </w:p>
    <w:p w14:paraId="522EBEDD">
      <w:pPr>
        <w:pStyle w:val="2"/>
        <w:ind w:right="-519" w:rightChars="-247"/>
        <w:rPr>
          <w:rFonts w:hint="eastAsia" w:ascii="宋体" w:hAnsi="宋体" w:eastAsia="宋体" w:cs="宋体"/>
          <w:b w:val="0"/>
          <w:bCs/>
          <w:color w:val="auto"/>
          <w:sz w:val="24"/>
          <w:szCs w:val="24"/>
          <w:highlight w:val="none"/>
          <w:lang w:val="en-US" w:eastAsia="zh-CN"/>
        </w:rPr>
      </w:pPr>
    </w:p>
    <w:p w14:paraId="064B63AC">
      <w:pPr>
        <w:pStyle w:val="2"/>
        <w:ind w:right="-519" w:rightChars="-247"/>
        <w:rPr>
          <w:rFonts w:hint="eastAsia" w:ascii="宋体" w:hAnsi="宋体" w:eastAsia="宋体" w:cs="宋体"/>
          <w:b w:val="0"/>
          <w:bCs/>
          <w:color w:val="auto"/>
          <w:sz w:val="24"/>
          <w:szCs w:val="24"/>
          <w:highlight w:val="none"/>
          <w:lang w:val="en-US" w:eastAsia="zh-CN"/>
        </w:rPr>
      </w:pPr>
    </w:p>
    <w:p w14:paraId="0E12565E">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1DB8BD9C">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合同附件6</w:t>
      </w:r>
    </w:p>
    <w:p w14:paraId="314A6F68">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物业交接表</w:t>
      </w:r>
    </w:p>
    <w:p w14:paraId="4A5C39C5">
      <w:pPr>
        <w:bidi w:val="0"/>
        <w:ind w:right="-519" w:rightChars="-247"/>
        <w:rPr>
          <w:rFonts w:hint="eastAsia" w:ascii="宋体" w:hAnsi="宋体" w:eastAsia="宋体" w:cs="宋体"/>
          <w:color w:val="auto"/>
          <w:sz w:val="20"/>
          <w:szCs w:val="20"/>
          <w:highlight w:val="none"/>
          <w:lang w:val="en-US" w:eastAsia="zh-CN"/>
        </w:rPr>
      </w:pPr>
    </w:p>
    <w:p w14:paraId="392C4B4C">
      <w:pPr>
        <w:bidi w:val="0"/>
        <w:ind w:right="-519" w:rightChars="-247"/>
        <w:rPr>
          <w:rFonts w:hint="eastAsia" w:ascii="宋体" w:hAnsi="宋体" w:eastAsia="宋体" w:cs="宋体"/>
          <w:color w:val="auto"/>
          <w:sz w:val="20"/>
          <w:szCs w:val="20"/>
          <w:highlight w:val="none"/>
          <w:lang w:val="en-US" w:eastAsia="zh-CN"/>
        </w:rPr>
      </w:pPr>
    </w:p>
    <w:p w14:paraId="3DA34AF3">
      <w:pPr>
        <w:bidi w:val="0"/>
        <w:ind w:right="-519" w:rightChars="-247"/>
        <w:rPr>
          <w:rFonts w:hint="eastAsia" w:ascii="宋体" w:hAnsi="宋体" w:eastAsia="宋体" w:cs="宋体"/>
          <w:color w:val="auto"/>
          <w:sz w:val="20"/>
          <w:szCs w:val="20"/>
          <w:highlight w:val="none"/>
          <w:lang w:val="en-US" w:eastAsia="zh-CN"/>
        </w:rPr>
      </w:pPr>
    </w:p>
    <w:p w14:paraId="25EA9DDB">
      <w:pPr>
        <w:bidi w:val="0"/>
        <w:ind w:right="-519" w:rightChars="-247"/>
        <w:rPr>
          <w:rFonts w:hint="eastAsia" w:ascii="宋体" w:hAnsi="宋体" w:eastAsia="宋体" w:cs="宋体"/>
          <w:color w:val="auto"/>
          <w:sz w:val="20"/>
          <w:szCs w:val="20"/>
          <w:highlight w:val="none"/>
          <w:lang w:val="en-US" w:eastAsia="zh-CN"/>
        </w:rPr>
      </w:pPr>
    </w:p>
    <w:p w14:paraId="52D081BD">
      <w:pPr>
        <w:bidi w:val="0"/>
        <w:ind w:right="-519" w:rightChars="-247"/>
        <w:rPr>
          <w:rFonts w:hint="eastAsia" w:ascii="宋体" w:hAnsi="宋体" w:eastAsia="宋体" w:cs="宋体"/>
          <w:color w:val="auto"/>
          <w:sz w:val="20"/>
          <w:szCs w:val="20"/>
          <w:highlight w:val="none"/>
          <w:lang w:val="en-US" w:eastAsia="zh-CN"/>
        </w:rPr>
      </w:pPr>
    </w:p>
    <w:p w14:paraId="6B3F7C45">
      <w:pPr>
        <w:bidi w:val="0"/>
        <w:ind w:right="-519" w:rightChars="-247"/>
        <w:rPr>
          <w:rFonts w:hint="eastAsia" w:ascii="宋体" w:hAnsi="宋体" w:eastAsia="宋体" w:cs="宋体"/>
          <w:color w:val="auto"/>
          <w:sz w:val="20"/>
          <w:szCs w:val="20"/>
          <w:highlight w:val="none"/>
          <w:lang w:val="en-US" w:eastAsia="zh-CN"/>
        </w:rPr>
      </w:pPr>
    </w:p>
    <w:p w14:paraId="7DB52835">
      <w:pPr>
        <w:bidi w:val="0"/>
        <w:ind w:right="-519" w:rightChars="-247"/>
        <w:rPr>
          <w:rFonts w:hint="eastAsia" w:ascii="宋体" w:hAnsi="宋体" w:eastAsia="宋体" w:cs="宋体"/>
          <w:color w:val="auto"/>
          <w:sz w:val="20"/>
          <w:szCs w:val="20"/>
          <w:highlight w:val="none"/>
          <w:lang w:val="en-US" w:eastAsia="zh-CN"/>
        </w:rPr>
      </w:pPr>
    </w:p>
    <w:p w14:paraId="78D6A7DE">
      <w:pPr>
        <w:bidi w:val="0"/>
        <w:ind w:right="-519" w:rightChars="-247"/>
        <w:rPr>
          <w:rFonts w:hint="eastAsia" w:ascii="宋体" w:hAnsi="宋体" w:eastAsia="宋体" w:cs="宋体"/>
          <w:color w:val="auto"/>
          <w:sz w:val="20"/>
          <w:szCs w:val="20"/>
          <w:highlight w:val="none"/>
          <w:lang w:val="en-US" w:eastAsia="zh-CN"/>
        </w:rPr>
      </w:pPr>
    </w:p>
    <w:p w14:paraId="4500558C">
      <w:pPr>
        <w:bidi w:val="0"/>
        <w:ind w:right="-519" w:rightChars="-247"/>
        <w:rPr>
          <w:rFonts w:hint="eastAsia" w:ascii="宋体" w:hAnsi="宋体" w:eastAsia="宋体" w:cs="宋体"/>
          <w:color w:val="auto"/>
          <w:sz w:val="20"/>
          <w:szCs w:val="20"/>
          <w:highlight w:val="none"/>
          <w:lang w:val="en-US" w:eastAsia="zh-CN"/>
        </w:rPr>
      </w:pPr>
    </w:p>
    <w:p w14:paraId="7D28A2C2">
      <w:pPr>
        <w:bidi w:val="0"/>
        <w:ind w:right="-519" w:rightChars="-247"/>
        <w:rPr>
          <w:rFonts w:hint="eastAsia" w:ascii="宋体" w:hAnsi="宋体" w:eastAsia="宋体" w:cs="宋体"/>
          <w:color w:val="auto"/>
          <w:sz w:val="20"/>
          <w:szCs w:val="20"/>
          <w:highlight w:val="none"/>
          <w:lang w:val="en-US" w:eastAsia="zh-CN"/>
        </w:rPr>
      </w:pPr>
    </w:p>
    <w:p w14:paraId="2B1E7CC7">
      <w:pPr>
        <w:bidi w:val="0"/>
        <w:ind w:right="-519" w:rightChars="-247"/>
        <w:rPr>
          <w:rFonts w:hint="eastAsia" w:ascii="宋体" w:hAnsi="宋体" w:eastAsia="宋体" w:cs="宋体"/>
          <w:color w:val="auto"/>
          <w:sz w:val="20"/>
          <w:szCs w:val="20"/>
          <w:highlight w:val="none"/>
          <w:lang w:val="en-US" w:eastAsia="zh-CN"/>
        </w:rPr>
      </w:pPr>
    </w:p>
    <w:p w14:paraId="6C9BF993">
      <w:pPr>
        <w:bidi w:val="0"/>
        <w:ind w:right="-519" w:rightChars="-247"/>
        <w:rPr>
          <w:rFonts w:hint="eastAsia" w:ascii="宋体" w:hAnsi="宋体" w:eastAsia="宋体" w:cs="宋体"/>
          <w:color w:val="auto"/>
          <w:sz w:val="20"/>
          <w:szCs w:val="20"/>
          <w:highlight w:val="none"/>
          <w:lang w:val="en-US" w:eastAsia="zh-CN"/>
        </w:rPr>
      </w:pPr>
    </w:p>
    <w:p w14:paraId="6908B4B8">
      <w:pPr>
        <w:bidi w:val="0"/>
        <w:ind w:right="-519" w:rightChars="-247"/>
        <w:rPr>
          <w:rFonts w:hint="eastAsia" w:ascii="宋体" w:hAnsi="宋体" w:eastAsia="宋体" w:cs="宋体"/>
          <w:color w:val="auto"/>
          <w:sz w:val="20"/>
          <w:szCs w:val="20"/>
          <w:highlight w:val="none"/>
          <w:lang w:val="en-US" w:eastAsia="zh-CN"/>
        </w:rPr>
      </w:pPr>
    </w:p>
    <w:p w14:paraId="1DE455F4">
      <w:pPr>
        <w:bidi w:val="0"/>
        <w:ind w:right="-519" w:rightChars="-247"/>
        <w:rPr>
          <w:rFonts w:hint="eastAsia" w:ascii="宋体" w:hAnsi="宋体" w:eastAsia="宋体" w:cs="宋体"/>
          <w:color w:val="auto"/>
          <w:sz w:val="20"/>
          <w:szCs w:val="20"/>
          <w:highlight w:val="none"/>
          <w:lang w:val="en-US" w:eastAsia="zh-CN"/>
        </w:rPr>
      </w:pPr>
    </w:p>
    <w:p w14:paraId="059F981A">
      <w:pPr>
        <w:bidi w:val="0"/>
        <w:ind w:right="-519" w:rightChars="-247"/>
        <w:rPr>
          <w:rFonts w:hint="eastAsia" w:ascii="宋体" w:hAnsi="宋体" w:eastAsia="宋体" w:cs="宋体"/>
          <w:color w:val="auto"/>
          <w:sz w:val="20"/>
          <w:szCs w:val="20"/>
          <w:highlight w:val="none"/>
          <w:lang w:val="en-US" w:eastAsia="zh-CN"/>
        </w:rPr>
      </w:pPr>
    </w:p>
    <w:p w14:paraId="26D94927">
      <w:pPr>
        <w:bidi w:val="0"/>
        <w:ind w:right="-519" w:rightChars="-247"/>
        <w:rPr>
          <w:rFonts w:hint="eastAsia" w:ascii="宋体" w:hAnsi="宋体" w:eastAsia="宋体" w:cs="宋体"/>
          <w:color w:val="auto"/>
          <w:sz w:val="20"/>
          <w:szCs w:val="20"/>
          <w:highlight w:val="none"/>
          <w:lang w:val="en-US" w:eastAsia="zh-CN"/>
        </w:rPr>
      </w:pPr>
    </w:p>
    <w:p w14:paraId="3E597776">
      <w:pPr>
        <w:bidi w:val="0"/>
        <w:ind w:right="-519" w:rightChars="-247"/>
        <w:rPr>
          <w:rFonts w:hint="eastAsia" w:ascii="宋体" w:hAnsi="宋体" w:eastAsia="宋体" w:cs="宋体"/>
          <w:color w:val="auto"/>
          <w:sz w:val="20"/>
          <w:szCs w:val="20"/>
          <w:highlight w:val="none"/>
          <w:lang w:val="en-US" w:eastAsia="zh-CN"/>
        </w:rPr>
      </w:pPr>
    </w:p>
    <w:p w14:paraId="5E914419">
      <w:pPr>
        <w:bidi w:val="0"/>
        <w:ind w:right="-519" w:rightChars="-247"/>
        <w:rPr>
          <w:rFonts w:hint="eastAsia" w:ascii="宋体" w:hAnsi="宋体" w:eastAsia="宋体" w:cs="宋体"/>
          <w:color w:val="auto"/>
          <w:sz w:val="20"/>
          <w:szCs w:val="20"/>
          <w:highlight w:val="none"/>
          <w:lang w:val="en-US" w:eastAsia="zh-CN"/>
        </w:rPr>
      </w:pPr>
    </w:p>
    <w:p w14:paraId="5E30512E">
      <w:pPr>
        <w:bidi w:val="0"/>
        <w:ind w:right="-519" w:rightChars="-247"/>
        <w:rPr>
          <w:rFonts w:hint="eastAsia" w:ascii="宋体" w:hAnsi="宋体" w:eastAsia="宋体" w:cs="宋体"/>
          <w:color w:val="auto"/>
          <w:sz w:val="20"/>
          <w:szCs w:val="20"/>
          <w:highlight w:val="none"/>
          <w:lang w:val="en-US" w:eastAsia="zh-CN"/>
        </w:rPr>
      </w:pPr>
    </w:p>
    <w:p w14:paraId="0577AFDE">
      <w:pPr>
        <w:bidi w:val="0"/>
        <w:ind w:right="-519" w:rightChars="-247"/>
        <w:rPr>
          <w:rFonts w:hint="eastAsia" w:ascii="宋体" w:hAnsi="宋体" w:eastAsia="宋体" w:cs="宋体"/>
          <w:color w:val="auto"/>
          <w:sz w:val="20"/>
          <w:szCs w:val="20"/>
          <w:highlight w:val="none"/>
          <w:lang w:val="en-US" w:eastAsia="zh-CN"/>
        </w:rPr>
      </w:pPr>
    </w:p>
    <w:p w14:paraId="694939D7">
      <w:pPr>
        <w:ind w:right="-519" w:rightChars="-247"/>
        <w:rPr>
          <w:rFonts w:hint="eastAsia" w:ascii="宋体" w:hAnsi="宋体" w:eastAsia="宋体" w:cs="宋体"/>
          <w:b w:val="0"/>
          <w:bCs/>
          <w:color w:val="auto"/>
          <w:sz w:val="24"/>
          <w:szCs w:val="24"/>
          <w:highlight w:val="none"/>
          <w:lang w:val="en-US" w:eastAsia="zh-CN"/>
        </w:rPr>
      </w:pPr>
    </w:p>
    <w:p w14:paraId="52769DBA">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33BC6959">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附件7</w:t>
      </w:r>
    </w:p>
    <w:p w14:paraId="651A2E17">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南通轨道交通便民用房日常经营管理规定</w:t>
      </w:r>
    </w:p>
    <w:p w14:paraId="61856749">
      <w:pPr>
        <w:spacing w:line="400" w:lineRule="exact"/>
        <w:ind w:right="-519" w:rightChars="-247" w:firstLine="440" w:firstLineChars="200"/>
        <w:rPr>
          <w:rFonts w:hint="eastAsia" w:ascii="宋体" w:hAnsi="宋体" w:eastAsia="宋体" w:cs="宋体"/>
          <w:color w:val="auto"/>
          <w:sz w:val="22"/>
          <w:szCs w:val="22"/>
          <w:highlight w:val="none"/>
        </w:rPr>
      </w:pPr>
    </w:p>
    <w:p w14:paraId="136E34C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运营安全与秩序良好，维护</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整体形象并营造</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规范有序、持续稳定的经营环境，根据相关法律规定、《南通市轨道交通条例》、《南通市城市轨道交通1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号线一期工程站厅</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运营管理规范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的约定等，制订本管理规定。</w:t>
      </w:r>
    </w:p>
    <w:p w14:paraId="7D4B4ED4">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便民用房</w:t>
      </w:r>
      <w:r>
        <w:rPr>
          <w:rFonts w:hint="eastAsia" w:ascii="宋体" w:hAnsi="宋体" w:eastAsia="宋体" w:cs="宋体"/>
          <w:b/>
          <w:bCs/>
          <w:color w:val="auto"/>
          <w:sz w:val="21"/>
          <w:szCs w:val="21"/>
          <w:highlight w:val="none"/>
        </w:rPr>
        <w:t>基本经营规范</w:t>
      </w:r>
    </w:p>
    <w:p w14:paraId="6EED5E2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1、经营户应遵守政府相关法律法规及各项规定，严禁从事下列经营活动：</w:t>
      </w:r>
    </w:p>
    <w:p w14:paraId="3C195B8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（1）销售假冒伪劣、“三无”、侵犯他人权利的商品；</w:t>
      </w:r>
    </w:p>
    <w:p w14:paraId="6FFB6D9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（2）投机诈骗，走私贩私；</w:t>
      </w:r>
    </w:p>
    <w:p w14:paraId="3173410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（3）欺行霸市，哄抬物价，强买强卖；</w:t>
      </w:r>
    </w:p>
    <w:p w14:paraId="0169C7F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（4）掺杂使假，短斤缺两；</w:t>
      </w:r>
    </w:p>
    <w:p w14:paraId="38F3760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（5）出售法律法规禁止出售的食品；</w:t>
      </w:r>
    </w:p>
    <w:p w14:paraId="64932FD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（6）出售反动、暴力、荒诞、淫秽、有碍社会风化的书刊、图片、音像制品等；</w:t>
      </w:r>
    </w:p>
    <w:p w14:paraId="0774BD0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（7）打卦、测字、算命及其他封建迷信活动；</w:t>
      </w:r>
    </w:p>
    <w:p w14:paraId="02FD2B5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（8）出售或存放任何危险性、易燃易爆性、腐蚀性、毒性物品和所有管制物品；</w:t>
      </w:r>
    </w:p>
    <w:p w14:paraId="1CC1A8D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通道、站厅层、站台层、商业层</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不得使用明火等同类性质的产品，不得产生明烟、异味，</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内不得销售开口饮料；</w:t>
      </w:r>
    </w:p>
    <w:p w14:paraId="15B2CDE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（10）用作任何非法或不道德的用途。</w:t>
      </w:r>
    </w:p>
    <w:p w14:paraId="26D4A9D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职业道德，树立顾客至上、信誉第一的经营观念，奉行文明经商，礼貌待客的经营作风，善待顾客，不让顾客吃亏、上当、受气。一旦遇到客户退货、换货等特殊情况，经营户应礼貌、文明接待，按照法律法规等规定双方协商解决。</w:t>
      </w:r>
    </w:p>
    <w:p w14:paraId="58BE5B9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3、严格遵守国家物价政策，合理定价、买卖公平，销售的商品须明码标价，做到一货一价，标价无误。</w:t>
      </w:r>
    </w:p>
    <w:p w14:paraId="3D6BF37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使用的衡量器具须准确，并定期或不定期由计量部门进行校验。</w:t>
      </w:r>
    </w:p>
    <w:p w14:paraId="550988D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5、凡拾到顾客遗忘的钱物，应及时上缴</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相关管理部门，不得隐瞒。</w:t>
      </w:r>
    </w:p>
    <w:p w14:paraId="6FF3028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6、经营户须自行及时办理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经营所需的工商登记、税务登记、食品卫生等证照，以及环保、治安、消防等手续，严格执行政府职能部门有关商品质量、物价、安全、消防、卫生、环保等方面的政策、法令和法规。</w:t>
      </w:r>
    </w:p>
    <w:p w14:paraId="5D661FD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7、经营户须规范用工，遵从国家劳动人事法律法规，所有员工须持证上岗（个人健康证、上岗证等）。</w:t>
      </w:r>
    </w:p>
    <w:p w14:paraId="4B4A291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8、经营户须确保任何情况下，不因其经济纠纷或与员工的任何纠纷，导致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发生群体性事件，影响</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的整体形象。</w:t>
      </w:r>
    </w:p>
    <w:p w14:paraId="16926F8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经营项目、经营品牌及经营品种须与租赁合同约定相一致。未经同意，不得超出租赁合同约定的经营范围或将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用作非商业用途。</w:t>
      </w:r>
    </w:p>
    <w:p w14:paraId="5E19B66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10、未经经营管理方同意，经营户不得转移、转让、转租、分租、特许他人使用租赁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，不得利用租赁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与第三方进行合作、承包、联营或其他方式的合作。</w:t>
      </w:r>
    </w:p>
    <w:p w14:paraId="5396650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11、经营户拥有的使用权仅限于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租赁范围内的地域和相应空间，严禁任何超出</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租赁范围的使用行为。经营范围及物品以不得超越</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卷帘门为标准，不可侵占公共空间。对于占用公共空间的物品，经营管理方有权移去并对物品遗失概不负责，并有权向经营户收取因此产生的一切费用。</w:t>
      </w:r>
    </w:p>
    <w:p w14:paraId="2EB3BE0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营业时间应在经营管理方指定的时间范围内，不得擅自停业、延迟开业、中途闭铺、关灯及提前打烊等。</w:t>
      </w:r>
    </w:p>
    <w:p w14:paraId="5FE980F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13、经营户若需在经营时间之外对商品进行盘点，须向经营管理方提出申请，得到批准后方可根据规定的时间进行盘点。</w:t>
      </w:r>
    </w:p>
    <w:p w14:paraId="465629F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线路改造、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安全或</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的整体调整等原因，需拆除或调整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时，经营户须无条件服从，不得以任何理由拒绝配合。</w:t>
      </w:r>
    </w:p>
    <w:p w14:paraId="70F3FF6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车站内严禁吸烟，携带宠物。经营户若发现顾客在本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内有吸烟、携带宠物行为，须及时阻止。</w:t>
      </w:r>
    </w:p>
    <w:p w14:paraId="725BFD7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16、经营户或其员工不允许在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内留宿，或利用其室内作住宿用途。</w:t>
      </w:r>
    </w:p>
    <w:p w14:paraId="06BA9AC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17、经营户不得制造或容许制造可能影响其它经营户之噪音、音乐、气味等滋扰。</w:t>
      </w:r>
    </w:p>
    <w:p w14:paraId="27D4E65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18、除餐饮类业态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内不得使用器具烹煮加热任何食物。</w:t>
      </w:r>
    </w:p>
    <w:p w14:paraId="7601D68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19、经营户经营项目如包含餐饮类业态，须安装独立隔油池、油烟净化器等，所排放的污水、油烟须经过处理后方可排入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主管道，并须定期自行负责清理。</w:t>
      </w:r>
    </w:p>
    <w:p w14:paraId="3F8FA5C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20、经营户须按照租赁合同规定购买相应保险。</w:t>
      </w:r>
    </w:p>
    <w:p w14:paraId="129680B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21、经营户运送营业用具、货物、设备、装置或大件物品的时间须避开</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运营高峰时段（以经营管理方指定的时间为准），仅可使用指定的设备及路线运送上述物件，不得妨碍交通、消防通道，不得影响</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的正常运营。严禁擅自使用客用手扶电梯和残疾人电梯运送货物或大件物品。</w:t>
      </w:r>
    </w:p>
    <w:p w14:paraId="3256DE4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22、经营管理方、</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公安部门相关人员出示证件后有权进入经营户经营场地，对治安、消防、卫生及商品进行检查。经营户有责任配合工商、税务、公安等部门依法处理各种违法违纪事件。</w:t>
      </w:r>
    </w:p>
    <w:p w14:paraId="02ECF74D">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二、清洁卫生规范</w:t>
      </w:r>
    </w:p>
    <w:p w14:paraId="4E7765D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1、经营户须共同维护公共区域的清洁卫生，不得随地吐痰，乱丢果皮、瓜壳等杂物。</w:t>
      </w:r>
    </w:p>
    <w:p w14:paraId="2A8F24D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2、经营户须每日对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内地面、墙壁、货架、商品、设备、店招、卷帘门等进行清洁，要求无尘、无杂物、无积水、无异味。</w:t>
      </w:r>
    </w:p>
    <w:p w14:paraId="6F2B08C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3、经营户应确保经营场所空气清新，及时清除或妥善处理散发异味、腥味等的物品。</w:t>
      </w:r>
    </w:p>
    <w:p w14:paraId="2D7AB0F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4、从事食品、餐饮类的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应符合卫生要求，自觉接受食品卫生等部门的监督和管理。</w:t>
      </w:r>
    </w:p>
    <w:p w14:paraId="4C63363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5、经营户须参加经营管理方定期安排的清扫活动。若有特殊任务，须服从</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有关部门、经营管理方安排，及时清扫。经营户拒不履行环境卫生责任制，未做好保洁区内保洁工作的，经营管理方将责令其立即整改。逾期未做整改或整改不力的，经营管理方将采取代为整改措施，措施费用由责任者（经营户）承担。</w:t>
      </w:r>
    </w:p>
    <w:p w14:paraId="75961726">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三、垃圾、废弃物处理规范</w:t>
      </w:r>
    </w:p>
    <w:p w14:paraId="40ACFEA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的垃圾（含废弃物）以干、湿区分，分别袋装及桶装化，及时送至经营管理方指定的地点。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废弃的包装箱应及时清理，不得随意占用公共空间。</w:t>
      </w:r>
    </w:p>
    <w:p w14:paraId="6EB6FAE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车站外随意堆积或倾倒垃圾。严禁在卫生间、</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结构渗水沟等公共区域倾倒污水。</w:t>
      </w:r>
    </w:p>
    <w:p w14:paraId="0EB504A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经营如产生油烟、雾气的，须自行加装防火油烟净化器和足够功率的排油烟设备，不得造成空气污染及消防系统报警。一旦发生消防系统报警，经营管理方有权立即停止该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经营。设备应定期进行清洁维护保养，及时排除消防安全隐患，保证正常运行。</w:t>
      </w:r>
    </w:p>
    <w:p w14:paraId="6DA48F3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4、对于有下水管口的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，经营户须在下水管口上自行安装过滤网，过滤网格间距须小于2mm。</w:t>
      </w:r>
    </w:p>
    <w:p w14:paraId="2C8B60D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5、对于有下水管口且需向下水管口排放含油污水的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，经营户须在下水管口上自行安装隔油池。对于含油污水中的固体杂质，经营户须进行一次过滤。</w:t>
      </w:r>
    </w:p>
    <w:p w14:paraId="45435B5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6、对于有下水管口但未安装隔油池的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，经营户严禁向下水管口倾倒含油污水。</w:t>
      </w:r>
    </w:p>
    <w:p w14:paraId="71E8F7B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7、对于无下水管口但车站内有总隔油设施的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，经营户须将含油污水进行一次过滤后，收集于密封容器内，在经营管理方监督下将含油污水倾倒入总隔油池。</w:t>
      </w:r>
    </w:p>
    <w:p w14:paraId="666DDB9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8、对于无下水管口且车站内无总隔油池的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，经营户须收集含油污水于密闭容器内，清运至</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站之外的合法地点处理。</w:t>
      </w:r>
    </w:p>
    <w:p w14:paraId="6C74459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9、隔油池应须定期清洁维护保养，保证正常运行，隔油池废弃物须日产日清。</w:t>
      </w:r>
    </w:p>
    <w:p w14:paraId="5CEF34A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隔油池、油烟净化器、排油烟风机设备须符合相关污水排放、油烟排放标准，上述设备须由正规厂家生产，经营户须提供设备的产品检测报告、合格证书等相关证明材料。</w:t>
      </w:r>
    </w:p>
    <w:p w14:paraId="2678C26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11、餐厨废弃物须由标有“餐厨废弃物”字样的密闭容器存放，日产日清，清除后的容器应及时清洗、消毒。</w:t>
      </w:r>
    </w:p>
    <w:p w14:paraId="54D7674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12、经营户应遵守《江苏省餐厨废弃物管理办法》等相关规定：</w:t>
      </w:r>
    </w:p>
    <w:p w14:paraId="13CBBE0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（1）对餐余废弃物设专人管理，建立处理档案并长期保存、备查（详细记录销售时间、种类、数量、收到单位、联系人姓名、电话、收货人签字等）；</w:t>
      </w:r>
    </w:p>
    <w:p w14:paraId="60D283E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（2）只能销售给具有资质的餐余废弃物和废弃油脂加工单位，不得销售给其它单位和个人，不得随意处置餐余废弃物；</w:t>
      </w:r>
    </w:p>
    <w:p w14:paraId="0738504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（3）如有违反政府相关规定的，由经营户承担全部责任。</w:t>
      </w:r>
    </w:p>
    <w:p w14:paraId="6298475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13、经营户在装修过程中应保持公共环境清洁，装修垃圾须袋装化，按照</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经营管理方指定地点清理废弃物。</w:t>
      </w:r>
    </w:p>
    <w:p w14:paraId="1F2C4563">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四、宣传推广规范</w:t>
      </w:r>
    </w:p>
    <w:p w14:paraId="26F787D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1、经营户如需安装店招，须向经营管理方提交书面申请及效果图，符合经营管理方的各项技术要求，在经营管理方指定区域安装，有关费用由经营户负担。</w:t>
      </w:r>
    </w:p>
    <w:p w14:paraId="45B1031F">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2、所有招牌（包括临时招牌、LED显示屏等电子显示屏）均须经过经营管理方书面批准，方可安装。所安装的招牌不能妨碍</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的出入口及妨碍视线。</w:t>
      </w:r>
    </w:p>
    <w:p w14:paraId="100151F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3、未经经营管理方批准，经营户不得摆放、张贴任何招牌、宣传招贴纸及其他宣传物品于公共区域、铺门、橱窗或外墙上，不得在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外及公共区域做出任何兜售行为及派发传单、广告、赠品及招工等。</w:t>
      </w:r>
    </w:p>
    <w:p w14:paraId="1FD065E0">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4、宣传招贴不得出现类似“清场、清仓、甩卖”等用语。</w:t>
      </w:r>
    </w:p>
    <w:p w14:paraId="252CF530">
      <w:pPr>
        <w:pStyle w:val="20"/>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内任何图案文字，经营管理方保留否决权。如确实设计制作低劣有碍美观，经营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"http://www.gongwen123.com/Article/zongjie/nianzhong/index.htm"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方有权要求经营户更改或拆除。</w:t>
      </w:r>
    </w:p>
    <w:p w14:paraId="29877CD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6、未经经营管理方批准，经营户不得擅自举办任何形式的促销活动等，包括邀请名人莅临、邀请媒体宣传报道等。</w:t>
      </w:r>
    </w:p>
    <w:p w14:paraId="0F84C0C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内开展与本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租赁合同约定经营范围无关的广告宣传。</w:t>
      </w:r>
    </w:p>
    <w:p w14:paraId="780C84E4">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内播放音乐须经过经营管理方同意，音量须调低至不影响其它</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及公共环境。音乐包括电视、音响系统及其它器材播放的音乐。</w:t>
      </w:r>
    </w:p>
    <w:p w14:paraId="0AD4BCCD">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内闪灯应不致从铺外看到。</w:t>
      </w:r>
    </w:p>
    <w:p w14:paraId="76093815">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五、装修、日常维护管理规范</w:t>
      </w:r>
    </w:p>
    <w:p w14:paraId="761CFBAF">
      <w:pPr>
        <w:pStyle w:val="21"/>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1、经营户在装饰装修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时，须遵守《</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装修管理规定》等规定，装修方案须经经营管理方等部门书面审核通过后方可施工。经营户须严格按照经营管理方批准的装修方案进行施工，不得擅自变更。装修结束后，须经经营管理方等部门验收合格后，方可开业经营。</w:t>
      </w:r>
    </w:p>
    <w:p w14:paraId="04F2019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2、未经经营管理方书面批准，经营户不得擅自改变</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原有结构、公共设施、消防设备，不得违章装修和私自设置附加装置。</w:t>
      </w:r>
    </w:p>
    <w:p w14:paraId="74C6198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装修用材，须符合消防管理部门以及国家相关标准、法规的要求。</w:t>
      </w:r>
    </w:p>
    <w:p w14:paraId="6F3A673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所有电线须使用阻燃或耐火铜芯导线。敷设管线时须使用金属穿线管。</w:t>
      </w:r>
    </w:p>
    <w:p w14:paraId="240CB89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照明须使用冷光源灯具，严禁使用小太阳灯、碘钨灯或大于100W以上的灯具照明，照明灯具与货物之间应保持不少于0.5米的间距。店招光源须采用“白色冷光源”设计。</w:t>
      </w:r>
    </w:p>
    <w:p w14:paraId="164E362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严禁私拉电线，严禁使用电加热器等大功率电器，严禁超负荷用电。</w:t>
      </w:r>
    </w:p>
    <w:p w14:paraId="1C49386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所有电器（包括接线板）须是经3C认证的产品，严禁使用“三无”产品。</w:t>
      </w:r>
    </w:p>
    <w:p w14:paraId="2C7E2B6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接线板不得串接，接线板上不得使用大功率电器，接线板接驳的电器累计功率须小于等于2000w）。</w:t>
      </w:r>
    </w:p>
    <w:p w14:paraId="336437D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9、经营户须定期对线路、设备使用情况进行检查，发现故障、隐患须立即排除。</w:t>
      </w:r>
    </w:p>
    <w:p w14:paraId="01D9EB2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10、经营户须保持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内部的地板、墙壁、天花板、结构、其他设施及其附属物，包括所有的卷帘门、电动装置、电线、水管等处于正常、良好、清洁及妥当的修缮状态。</w:t>
      </w:r>
    </w:p>
    <w:p w14:paraId="0DFD6F6C">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六、消防及安全管理规范</w:t>
      </w:r>
    </w:p>
    <w:p w14:paraId="44BB541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1、每日营业时间结束后，经营户及其员工须对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进行彻底检查，清除安全隐患，关闭不必要的用电设备，做好防火、防盗工作，检查无误后方可关门落锁离开。</w:t>
      </w:r>
    </w:p>
    <w:p w14:paraId="278FD89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2、经营户应加强承租</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的治安保卫工作，自行妥善保管商品和钱物。</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内不得存放贵重物品及现金。</w:t>
      </w:r>
    </w:p>
    <w:p w14:paraId="2A11F38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须根据消防规范要求配备合格的灭火器，并定期检查、更换，确保各种消防器材和装置处于良好状态。灭火器应放置于容易取用的地方。</w:t>
      </w:r>
    </w:p>
    <w:p w14:paraId="0E86E34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4、经营户须严格遵守有关消防管理规定，不得妨碍任何消防设备的正常操作，严禁占用或堵塞消防通道，保持消防区及楼梯通道和出口畅通无阻。</w:t>
      </w:r>
    </w:p>
    <w:p w14:paraId="19C58A6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5、经营户须加强对所有员工进行</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管理规定宣传、安全教育培训和管理，积极参加由经营管理方组织的教育活动，增强消防安全意识。经营户及员工须掌握消防器材使用，熟知突发事件处理的相应流程，</w:t>
      </w:r>
      <w:r>
        <w:rPr>
          <w:rFonts w:hint="eastAsia" w:ascii="宋体" w:hAnsi="宋体" w:eastAsia="宋体" w:cs="宋体"/>
          <w:color w:val="auto"/>
          <w:sz w:val="21"/>
          <w:szCs w:val="21"/>
          <w:highlight w:val="none"/>
          <w:lang w:eastAsia="zh-CN"/>
        </w:rPr>
        <w:t>防止</w:t>
      </w:r>
      <w:r>
        <w:rPr>
          <w:rFonts w:hint="eastAsia" w:ascii="宋体" w:hAnsi="宋体" w:eastAsia="宋体" w:cs="宋体"/>
          <w:color w:val="auto"/>
          <w:sz w:val="21"/>
          <w:szCs w:val="21"/>
          <w:highlight w:val="none"/>
        </w:rPr>
        <w:t>违反治安管理、安全管理行为发生。</w:t>
      </w:r>
    </w:p>
    <w:p w14:paraId="21AF0AF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6、友好处理经营户之间的关系，相互协商共同利用好现有物业条件，维护</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持续稳定经营的经营氛围与良好环境。严禁在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内起哄闹事，打架斗殴和聚赌等。</w:t>
      </w:r>
    </w:p>
    <w:p w14:paraId="18F838D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7、发生治安、火灾等突发案件或发现可疑对象，经营户须及时报告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车站派出所和经营管理方。</w:t>
      </w:r>
    </w:p>
    <w:p w14:paraId="763C2DA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8、经营户须服从</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管理部门及公安部门的治安管理并依法缴纳相关治安管理费用。</w:t>
      </w:r>
    </w:p>
    <w:p w14:paraId="6774B54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9、经营户有义务维护顾客的人身、财产安全，并有义务提醒顾客注意保管好自己的财物。</w:t>
      </w:r>
    </w:p>
    <w:p w14:paraId="38CBA3E6">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七、处罚办法</w:t>
      </w:r>
    </w:p>
    <w:p w14:paraId="4ABFF26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（一）日常经营发现问题整改措施及处罚措施</w:t>
      </w:r>
    </w:p>
    <w:p w14:paraId="0639D76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经营户在日常经营过程中，应接受出租方的监督管理，对于日常经营中存在的问题，经营户应积极予以整改。</w:t>
      </w:r>
    </w:p>
    <w:p w14:paraId="0A41D0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1、对于占道经营、环境卫生等问题，应立即整改。否则，对于占道经营物品予以暂扣，开具整改通知单，并处以当年合同年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302A594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2、对于不能立即整改的问题：</w:t>
      </w:r>
    </w:p>
    <w:p w14:paraId="2540356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一经发现，由出租方、委托管理方、运营公司开具《整改通知单》，给予一定的整改期限，并处以当年合同年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7F81680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逾期未整改到位或未进行整改的，处以当年合同年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2%的违约金，并再次开具整改通知单。</w:t>
      </w:r>
    </w:p>
    <w:p w14:paraId="00204B7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拒不整改的，出租方有权无条件提前终止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76B86CD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3、同一类问题，发现两次以上的，出租方有权无条件提前终止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538D557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（二）安全事故（事件）处罚措施</w:t>
      </w:r>
    </w:p>
    <w:p w14:paraId="095E083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经营过程中发生责任冒烟、火灾、伤人等安全事故（事件）时，出租方有权根据情节的严重性采取相关处罚措施。</w:t>
      </w:r>
    </w:p>
    <w:p w14:paraId="04E6C2C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1、发生责任冒烟、轻微伤人等事件</w:t>
      </w:r>
    </w:p>
    <w:p w14:paraId="6C0E1A6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第一次，发放整改通知单，进行停业整顿，停业整顿不少于7日，并处以合同当年年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1‰的违约金（不低于2000元），给出租方或任何第三方造成损失，将由经营户承担全部赔偿责任。</w:t>
      </w:r>
    </w:p>
    <w:p w14:paraId="17260D2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第二次，发放整改通知单，进行停业整顿，停业整顿不少于1个月，并处以合同当年</w:t>
      </w:r>
      <w:r>
        <w:rPr>
          <w:rFonts w:hint="eastAsia" w:ascii="宋体" w:hAnsi="宋体" w:eastAsia="宋体" w:cs="宋体"/>
          <w:color w:val="auto"/>
          <w:sz w:val="21"/>
          <w:szCs w:val="21"/>
          <w:highlight w:val="none"/>
          <w:lang w:val="en-US" w:eastAsia="zh-CN"/>
        </w:rPr>
        <w:t>经营权费4</w:t>
      </w:r>
      <w:r>
        <w:rPr>
          <w:rFonts w:hint="eastAsia" w:ascii="宋体" w:hAnsi="宋体" w:eastAsia="宋体" w:cs="宋体"/>
          <w:color w:val="auto"/>
          <w:sz w:val="21"/>
          <w:szCs w:val="21"/>
          <w:highlight w:val="none"/>
        </w:rPr>
        <w:t>‰的违约金（不低于10000元）。出租方有权提前终止合同，给出租方或任何第三方造成损失，将由经营户承担全部赔偿责任。</w:t>
      </w:r>
    </w:p>
    <w:p w14:paraId="261A534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2、发生责任火灾、重伤他人等安全事故</w:t>
      </w:r>
    </w:p>
    <w:p w14:paraId="3C90207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（1）出租方有权提前终止合同，并追究相应违约责任，给出租方或任何第三方造成损失，将由经营户承担全部赔偿责任。</w:t>
      </w:r>
    </w:p>
    <w:p w14:paraId="659C431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（2）列入黑名单，经营户不得参与</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招商</w:t>
      </w:r>
      <w:r>
        <w:rPr>
          <w:rFonts w:hint="eastAsia" w:ascii="宋体" w:hAnsi="宋体" w:eastAsia="宋体" w:cs="宋体"/>
          <w:color w:val="auto"/>
          <w:sz w:val="21"/>
          <w:szCs w:val="21"/>
          <w:highlight w:val="none"/>
          <w:lang w:val="en-US" w:eastAsia="zh-CN"/>
        </w:rPr>
        <w:t>或招租</w:t>
      </w:r>
      <w:r>
        <w:rPr>
          <w:rFonts w:hint="eastAsia" w:ascii="宋体" w:hAnsi="宋体" w:eastAsia="宋体" w:cs="宋体"/>
          <w:color w:val="auto"/>
          <w:sz w:val="21"/>
          <w:szCs w:val="21"/>
          <w:highlight w:val="none"/>
        </w:rPr>
        <w:t>。</w:t>
      </w:r>
    </w:p>
    <w:p w14:paraId="68BECE2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综上所述，如因乙方管理不善造成的一切安全事故，人员伤亡等；赔偿金额不包括在违约金范围内，乙方应另行承担相应的赔偿、法律责任、刑事责任等。</w:t>
      </w:r>
    </w:p>
    <w:p w14:paraId="45CF2B35">
      <w:pPr>
        <w:pStyle w:val="19"/>
        <w:pageBreakBefore w:val="0"/>
        <w:widowControl w:val="0"/>
        <w:kinsoku/>
        <w:wordWrap/>
        <w:overflowPunct/>
        <w:topLinePunct w:val="0"/>
        <w:autoSpaceDE/>
        <w:autoSpaceDN/>
        <w:bidi w:val="0"/>
        <w:adjustRightInd/>
        <w:snapToGrid/>
        <w:spacing w:line="480" w:lineRule="exact"/>
        <w:ind w:left="0" w:leftChars="0" w:right="-519" w:rightChars="-247" w:firstLine="411" w:firstLineChars="196"/>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八、其它</w:t>
      </w:r>
    </w:p>
    <w:p w14:paraId="53CAACE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本管理规定条款如与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租赁合同有冲突时，以租赁合同为准</w:t>
      </w:r>
      <w:r>
        <w:rPr>
          <w:rFonts w:hint="eastAsia" w:ascii="宋体" w:hAnsi="宋体" w:eastAsia="宋体" w:cs="宋体"/>
          <w:color w:val="auto"/>
          <w:sz w:val="21"/>
          <w:szCs w:val="21"/>
          <w:highlight w:val="none"/>
          <w:lang w:eastAsia="zh-CN"/>
        </w:rPr>
        <w:t>。</w:t>
      </w:r>
    </w:p>
    <w:p w14:paraId="5A48A8F9">
      <w:pPr>
        <w:ind w:right="-519" w:rightChars="-24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408B3EBC">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附件8</w:t>
      </w:r>
    </w:p>
    <w:p w14:paraId="3F99F3A7">
      <w:pPr>
        <w:spacing w:line="360" w:lineRule="auto"/>
        <w:ind w:left="0" w:leftChars="0" w:right="-519" w:rightChars="-247"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廉政合同</w:t>
      </w:r>
    </w:p>
    <w:p w14:paraId="5F9495D8">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sz w:val="21"/>
          <w:szCs w:val="21"/>
          <w:highlight w:val="none"/>
          <w:u w:val="single"/>
          <w:lang w:val="en-US" w:eastAsia="zh-CN"/>
        </w:rPr>
        <w:t>南通轨道交通1、2号线一期工程便民用房出租项目</w:t>
      </w:r>
      <w:r>
        <w:rPr>
          <w:rFonts w:hint="eastAsia" w:ascii="宋体" w:hAnsi="宋体" w:eastAsia="宋体" w:cs="宋体"/>
          <w:color w:val="auto"/>
          <w:sz w:val="21"/>
          <w:szCs w:val="21"/>
          <w:highlight w:val="none"/>
        </w:rPr>
        <w:t>的项目法人</w:t>
      </w:r>
      <w:r>
        <w:rPr>
          <w:rFonts w:hint="eastAsia" w:ascii="宋体" w:hAnsi="宋体" w:eastAsia="宋体" w:cs="宋体"/>
          <w:bCs/>
          <w:color w:val="auto"/>
          <w:sz w:val="21"/>
          <w:szCs w:val="21"/>
          <w:highlight w:val="none"/>
          <w:u w:val="single" w:color="000000"/>
          <w:lang w:eastAsia="zh-CN"/>
        </w:rPr>
        <w:t>南通轨道资源开发有限公司</w:t>
      </w:r>
      <w:r>
        <w:rPr>
          <w:rFonts w:hint="eastAsia" w:ascii="宋体" w:hAnsi="宋体" w:eastAsia="宋体" w:cs="宋体"/>
          <w:color w:val="auto"/>
          <w:sz w:val="21"/>
          <w:szCs w:val="21"/>
          <w:highlight w:val="none"/>
          <w:u w:val="single"/>
        </w:rPr>
        <w:t>(以下称甲方)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（以下称乙方）</w:t>
      </w:r>
      <w:r>
        <w:rPr>
          <w:rFonts w:hint="eastAsia" w:ascii="宋体" w:hAnsi="宋体" w:eastAsia="宋体" w:cs="宋体"/>
          <w:color w:val="auto"/>
          <w:sz w:val="21"/>
          <w:szCs w:val="21"/>
          <w:highlight w:val="none"/>
        </w:rPr>
        <w:t>，特订立如下合同。</w:t>
      </w:r>
    </w:p>
    <w:p w14:paraId="2B2DE4B2">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甲乙双方的权利和义务</w:t>
      </w:r>
    </w:p>
    <w:p w14:paraId="2A1CECB5">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（一）严格遵守党和国家有关法律法规及江苏省、南通市的有关规定，遵守南通轨道交通有限公司六不准则。</w:t>
      </w:r>
    </w:p>
    <w:p w14:paraId="5E511895">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的合同文件，自觉按合同办事。</w:t>
      </w:r>
    </w:p>
    <w:p w14:paraId="28A146AB">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（三）双方的业务活动坚持公开、公正、诚信、透明的原则（除法律认定的商业秘密和合同文件另有规定之外），不得损害国家和集体利益，违反工程建设规章制度。</w:t>
      </w:r>
    </w:p>
    <w:p w14:paraId="209A01F7">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（四）建立健全廉政制度，开展廉政教育，设立廉政告示牌，公布举报电话，监督并认真查处违法违纪行为。</w:t>
      </w:r>
    </w:p>
    <w:p w14:paraId="0C1D87F7">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（五）发现对方在业务活动中有违反廉政规定的行为，有及时提醒对方纠正的权利和义务。</w:t>
      </w:r>
    </w:p>
    <w:p w14:paraId="4DA376C4">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（六）发现对方严重违反本合同义务条款的行为，有向其上级有关部门举报、建议给予处理并要求告知处理结果的权利。</w:t>
      </w:r>
    </w:p>
    <w:p w14:paraId="2C924AAB">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甲方的义务</w:t>
      </w:r>
    </w:p>
    <w:p w14:paraId="26CBE458">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（一）甲方及其工作人员不得索要或接受乙方的礼金、有价证券和贵重物品，不得在乙方报销任何应由甲方或个人支付的费用等。</w:t>
      </w:r>
    </w:p>
    <w:p w14:paraId="664BEC2F">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（二）甲方工作人员不得参加乙方安排的超标准宴请和娱乐活动；不得接受乙方提供的通讯工具、交通工具和高档办公用品等。</w:t>
      </w:r>
    </w:p>
    <w:p w14:paraId="57C41A08">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（三）甲方及其工作人员不得要求或者接受乙方为其住房装修、婚丧嫁娶活动、配偶子女的工作安排以及出国出境、旅游等提供方便等。</w:t>
      </w:r>
    </w:p>
    <w:p w14:paraId="769212CD">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乙方义务</w:t>
      </w:r>
    </w:p>
    <w:p w14:paraId="1316B7A2">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（一）乙方不得以任何理由向甲方及其工作人员行贿或馈赠礼金、有价证券、贵重礼品。</w:t>
      </w:r>
    </w:p>
    <w:p w14:paraId="4242203E">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（二）乙方不得以任何名义为甲方及其工作人员报销应由甲方单位或个人支付的任何费用。</w:t>
      </w:r>
    </w:p>
    <w:p w14:paraId="4B897E8C">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（三）乙方不得以任何理由安排甲方工作人员参加超标准宴请及娱乐活动。</w:t>
      </w:r>
    </w:p>
    <w:p w14:paraId="08710264">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（四）乙方不得为甲方单位和个人购置或提供通讯工具、交通工具和高档办公用品等。</w:t>
      </w:r>
    </w:p>
    <w:p w14:paraId="2453E309">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违约责任</w:t>
      </w:r>
    </w:p>
    <w:p w14:paraId="1C09173D">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14:paraId="5A87CF0B">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253B7D39">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w:t>
      </w:r>
      <w:r>
        <w:rPr>
          <w:rFonts w:hint="eastAsia" w:ascii="宋体" w:hAnsi="宋体" w:eastAsia="宋体" w:cs="宋体"/>
          <w:color w:val="auto"/>
          <w:sz w:val="21"/>
          <w:szCs w:val="21"/>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39E504CB">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color w:val="auto"/>
          <w:sz w:val="21"/>
          <w:szCs w:val="21"/>
          <w:highlight w:val="none"/>
        </w:rPr>
        <w:t xml:space="preserve"> 本合同有效期为甲乙双方签署之日起至该工程项目竣工验收合格之日止。</w:t>
      </w:r>
    </w:p>
    <w:p w14:paraId="1542DE5C">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第七条</w:t>
      </w:r>
      <w:r>
        <w:rPr>
          <w:rFonts w:hint="eastAsia" w:ascii="宋体" w:hAnsi="宋体" w:eastAsia="宋体" w:cs="宋体"/>
          <w:color w:val="auto"/>
          <w:sz w:val="21"/>
          <w:szCs w:val="21"/>
          <w:highlight w:val="none"/>
        </w:rPr>
        <w:t xml:space="preserve"> 本合同作为</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合同的附件，与主合同具有同等法律效力。经合同双方签署立即生效。</w:t>
      </w:r>
    </w:p>
    <w:p w14:paraId="76D5EC51">
      <w:pPr>
        <w:spacing w:line="360" w:lineRule="auto"/>
        <w:ind w:right="-519" w:rightChars="-247" w:firstLine="420" w:firstLineChars="200"/>
        <w:rPr>
          <w:rFonts w:hint="eastAsia" w:ascii="宋体" w:hAnsi="宋体" w:eastAsia="宋体" w:cs="宋体"/>
          <w:color w:val="auto"/>
          <w:sz w:val="21"/>
          <w:szCs w:val="21"/>
          <w:highlight w:val="none"/>
        </w:rPr>
      </w:pPr>
    </w:p>
    <w:p w14:paraId="0CBEE7C7">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66443D37">
      <w:pPr>
        <w:spacing w:line="360" w:lineRule="auto"/>
        <w:ind w:right="-519" w:rightChars="-247" w:firstLine="420" w:firstLineChars="200"/>
        <w:rPr>
          <w:rFonts w:hint="eastAsia" w:ascii="宋体" w:hAnsi="宋体" w:eastAsia="宋体" w:cs="宋体"/>
          <w:color w:val="auto"/>
          <w:sz w:val="21"/>
          <w:szCs w:val="21"/>
          <w:highlight w:val="none"/>
        </w:rPr>
      </w:pPr>
    </w:p>
    <w:p w14:paraId="6F0C27F1">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7C72676E">
      <w:pPr>
        <w:spacing w:line="360" w:lineRule="auto"/>
        <w:ind w:right="-519" w:rightChars="-247"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p>
    <w:p w14:paraId="1626CA81">
      <w:pPr>
        <w:rPr>
          <w:rFonts w:hint="eastAsia" w:ascii="宋体" w:hAnsi="宋体" w:eastAsia="宋体" w:cs="宋体"/>
          <w:highlight w:val="none"/>
        </w:rPr>
      </w:pPr>
    </w:p>
    <w:p w14:paraId="210FC342">
      <w:pPr>
        <w:bidi w:val="0"/>
        <w:rPr>
          <w:rFonts w:hint="eastAsia" w:ascii="宋体" w:hAnsi="宋体" w:eastAsia="宋体" w:cs="宋体"/>
          <w:color w:val="auto"/>
          <w:highlight w:val="none"/>
        </w:rPr>
      </w:pPr>
    </w:p>
    <w:p w14:paraId="6CA83021">
      <w:pPr>
        <w:spacing w:line="360" w:lineRule="auto"/>
        <w:ind w:right="-199" w:rightChars="-95" w:firstLine="420" w:firstLineChars="200"/>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p>
    <w:p w14:paraId="68E9B7E0">
      <w:pPr>
        <w:pStyle w:val="4"/>
        <w:bidi w:val="0"/>
        <w:outlineLvl w:val="0"/>
        <w:rPr>
          <w:rFonts w:hint="eastAsia" w:ascii="宋体" w:hAnsi="宋体" w:eastAsia="宋体" w:cs="宋体"/>
          <w:color w:val="auto"/>
          <w:sz w:val="24"/>
          <w:szCs w:val="24"/>
          <w:highlight w:val="none"/>
          <w:lang w:val="en-US" w:eastAsia="zh-CN"/>
        </w:rPr>
      </w:pPr>
      <w:bookmarkStart w:id="37" w:name="_Toc30100"/>
      <w:bookmarkStart w:id="38" w:name="_Toc23606"/>
      <w:bookmarkStart w:id="39" w:name="_Toc20415"/>
      <w:bookmarkStart w:id="40" w:name="_Toc20468"/>
      <w:bookmarkStart w:id="41" w:name="_Toc29099"/>
      <w:bookmarkStart w:id="42" w:name="_Toc20680"/>
      <w:r>
        <w:rPr>
          <w:rFonts w:hint="eastAsia" w:ascii="宋体" w:hAnsi="宋体" w:eastAsia="宋体" w:cs="宋体"/>
          <w:color w:val="auto"/>
          <w:sz w:val="24"/>
          <w:szCs w:val="24"/>
          <w:highlight w:val="none"/>
          <w:lang w:val="en-US" w:eastAsia="zh-CN"/>
        </w:rPr>
        <w:t>附件5-1. 竞选文件格式</w:t>
      </w:r>
      <w:r>
        <w:rPr>
          <w:rFonts w:hint="eastAsia" w:ascii="宋体" w:hAnsi="宋体" w:eastAsia="宋体" w:cs="宋体"/>
          <w:b/>
          <w:bCs/>
          <w:color w:val="auto"/>
          <w:sz w:val="24"/>
          <w:szCs w:val="24"/>
          <w:highlight w:val="none"/>
          <w:lang w:val="en-US" w:eastAsia="zh-CN"/>
        </w:rPr>
        <w:t>（法人版）</w:t>
      </w:r>
      <w:bookmarkEnd w:id="37"/>
    </w:p>
    <w:p w14:paraId="5EABAA88">
      <w:pPr>
        <w:rPr>
          <w:rFonts w:hint="eastAsia" w:ascii="宋体" w:hAnsi="宋体" w:eastAsia="宋体" w:cs="宋体"/>
          <w:color w:val="auto"/>
          <w:highlight w:val="none"/>
        </w:rPr>
      </w:pPr>
    </w:p>
    <w:bookmarkEnd w:id="38"/>
    <w:bookmarkEnd w:id="39"/>
    <w:bookmarkEnd w:id="40"/>
    <w:bookmarkEnd w:id="41"/>
    <w:bookmarkEnd w:id="42"/>
    <w:p w14:paraId="3FCAD0B3">
      <w:pPr>
        <w:jc w:val="center"/>
        <w:outlineLvl w:val="1"/>
        <w:rPr>
          <w:rFonts w:hint="eastAsia" w:ascii="宋体" w:hAnsi="宋体" w:eastAsia="宋体" w:cs="宋体"/>
          <w:b/>
          <w:bCs/>
          <w:color w:val="auto"/>
          <w:sz w:val="32"/>
          <w:szCs w:val="32"/>
          <w:highlight w:val="none"/>
          <w:lang w:val="en-US" w:eastAsia="zh-CN"/>
        </w:rPr>
      </w:pPr>
      <w:bookmarkStart w:id="43" w:name="_Toc20605"/>
      <w:r>
        <w:rPr>
          <w:rFonts w:hint="eastAsia" w:ascii="宋体" w:hAnsi="宋体" w:eastAsia="宋体" w:cs="宋体"/>
          <w:b/>
          <w:bCs/>
          <w:color w:val="auto"/>
          <w:sz w:val="32"/>
          <w:szCs w:val="32"/>
          <w:highlight w:val="none"/>
          <w:lang w:val="en-US" w:eastAsia="zh-CN"/>
        </w:rPr>
        <w:t>一、授权委托书</w:t>
      </w:r>
      <w:bookmarkEnd w:id="43"/>
    </w:p>
    <w:p w14:paraId="65A930AC">
      <w:pPr>
        <w:keepNext w:val="0"/>
        <w:keepLines w:val="0"/>
        <w:widowControl/>
        <w:suppressLineNumbers w:val="0"/>
        <w:jc w:val="center"/>
        <w:rPr>
          <w:rFonts w:hint="eastAsia" w:ascii="宋体" w:hAnsi="宋体" w:eastAsia="宋体" w:cs="宋体"/>
          <w:color w:val="auto"/>
          <w:sz w:val="28"/>
          <w:szCs w:val="28"/>
          <w:highlight w:val="none"/>
        </w:rPr>
      </w:pPr>
    </w:p>
    <w:p w14:paraId="6D5C1E0D">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077D5ADF">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24EA3F5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（意向承租方名称）</w:t>
      </w:r>
      <w:r>
        <w:rPr>
          <w:rFonts w:hint="eastAsia" w:ascii="宋体" w:hAnsi="宋体" w:eastAsia="宋体" w:cs="宋体"/>
          <w:color w:val="auto"/>
          <w:kern w:val="0"/>
          <w:sz w:val="21"/>
          <w:szCs w:val="21"/>
          <w:highlight w:val="none"/>
          <w:lang w:val="en-US" w:eastAsia="zh-CN" w:bidi="ar"/>
        </w:rPr>
        <w:t>的法定代表人，现授权委托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（职务）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，为我公司委托代理人，以本公司的名义参加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72EE315F">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6CCB9537">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6E14260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5F5316B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意向承租方（公章）： </w:t>
      </w:r>
    </w:p>
    <w:p w14:paraId="47A2D6A1">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314C6C4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57AFE5F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1021143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1577130C">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6AEF12F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363F47E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76739ADD">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36E63B66">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70E9303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4DC332B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5B9FED1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4FD698F1">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注：1、本委托书后需附法定代表人及委托代理人身份证复印件并加盖公章； </w:t>
      </w:r>
    </w:p>
    <w:p w14:paraId="622F5DF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2、本委托书中委托代理人的签名笔迹是核对由其签发的文件有效性的依据。</w:t>
      </w:r>
    </w:p>
    <w:p w14:paraId="2A57EF41">
      <w:pPr>
        <w:rPr>
          <w:rFonts w:hint="eastAsia" w:ascii="宋体" w:hAnsi="宋体" w:eastAsia="宋体" w:cs="宋体"/>
          <w:b/>
          <w:bCs/>
          <w:color w:val="auto"/>
          <w:sz w:val="32"/>
          <w:szCs w:val="32"/>
          <w:highlight w:val="none"/>
          <w:lang w:val="en-US" w:eastAsia="zh-CN"/>
        </w:rPr>
      </w:pPr>
      <w:bookmarkStart w:id="44" w:name="_Toc6389"/>
      <w:r>
        <w:rPr>
          <w:rFonts w:hint="eastAsia" w:ascii="宋体" w:hAnsi="宋体" w:eastAsia="宋体" w:cs="宋体"/>
          <w:b/>
          <w:bCs/>
          <w:color w:val="auto"/>
          <w:sz w:val="32"/>
          <w:szCs w:val="32"/>
          <w:highlight w:val="none"/>
          <w:lang w:val="en-US" w:eastAsia="zh-CN"/>
        </w:rPr>
        <w:br w:type="page"/>
      </w:r>
    </w:p>
    <w:p w14:paraId="548424B0">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二、营业执照</w:t>
      </w:r>
      <w:bookmarkEnd w:id="44"/>
    </w:p>
    <w:p w14:paraId="4810456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须提供营业执照复印件或扫描件。</w:t>
      </w:r>
    </w:p>
    <w:p w14:paraId="0B8C025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4722430A">
      <w:pPr>
        <w:jc w:val="center"/>
        <w:outlineLvl w:val="1"/>
        <w:rPr>
          <w:rFonts w:hint="eastAsia" w:ascii="宋体" w:hAnsi="宋体" w:eastAsia="宋体" w:cs="宋体"/>
          <w:b/>
          <w:bCs/>
          <w:color w:val="auto"/>
          <w:sz w:val="32"/>
          <w:szCs w:val="32"/>
          <w:highlight w:val="none"/>
          <w:lang w:val="en-US" w:eastAsia="zh-CN"/>
        </w:rPr>
      </w:pPr>
      <w:bookmarkStart w:id="45" w:name="_Toc25060"/>
      <w:r>
        <w:rPr>
          <w:rFonts w:hint="eastAsia" w:ascii="宋体" w:hAnsi="宋体" w:eastAsia="宋体" w:cs="宋体"/>
          <w:b/>
          <w:bCs/>
          <w:color w:val="auto"/>
          <w:sz w:val="32"/>
          <w:szCs w:val="32"/>
          <w:highlight w:val="none"/>
          <w:lang w:val="en-US" w:eastAsia="zh-CN"/>
        </w:rPr>
        <w:t>三、承诺书</w:t>
      </w:r>
      <w:bookmarkEnd w:id="45"/>
    </w:p>
    <w:p w14:paraId="3F125F92">
      <w:pPr>
        <w:keepNext w:val="0"/>
        <w:keepLines w:val="0"/>
        <w:widowControl/>
        <w:suppressLineNumbers w:val="0"/>
        <w:jc w:val="center"/>
        <w:rPr>
          <w:rFonts w:hint="eastAsia" w:ascii="宋体" w:hAnsi="宋体" w:eastAsia="宋体" w:cs="宋体"/>
          <w:color w:val="auto"/>
          <w:sz w:val="28"/>
          <w:szCs w:val="28"/>
          <w:highlight w:val="none"/>
        </w:rPr>
      </w:pPr>
    </w:p>
    <w:p w14:paraId="5EBD2F1B">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B93F7F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我公司郑重承诺： </w:t>
      </w:r>
    </w:p>
    <w:p w14:paraId="6304F3E5">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我公司的竞租行为已经获得必要的内部决策批准、同意及授权，按照规定缴纳相应的交易保证金，相关资金均为合法所得。 </w:t>
      </w:r>
    </w:p>
    <w:p w14:paraId="106CCB7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我公司已认真阅读出租方所有挂牌文件，完全同意并接受出租方《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》（以下简称“招租公告”）及附件中对意向承租方提出的各项要求，自愿按照《招租公告》及附件中的要求合法参与竞租，如有违反，我公司愿意承担相应法律后果。 </w:t>
      </w:r>
    </w:p>
    <w:p w14:paraId="19C6F3E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我公司认可《合同主要条款》所有内容，不对单价或其它条款和条件做任何改变。 </w:t>
      </w:r>
    </w:p>
    <w:p w14:paraId="6FA7BFA4">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我公司递交的全部报名材料均为真实材料，相关证明文件属实。 </w:t>
      </w:r>
    </w:p>
    <w:p w14:paraId="1BD8A3E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我公司在“信用中国”平台中没有不良记录</w:t>
      </w:r>
      <w:r>
        <w:rPr>
          <w:rFonts w:hint="eastAsia" w:ascii="宋体" w:hAnsi="宋体" w:eastAsia="宋体" w:cs="宋体"/>
          <w:color w:val="auto"/>
          <w:kern w:val="0"/>
          <w:sz w:val="21"/>
          <w:szCs w:val="21"/>
          <w:highlight w:val="none"/>
          <w:lang w:val="en-US" w:eastAsia="zh-CN" w:bidi="ar"/>
        </w:rPr>
        <w:t xml:space="preserve">，我公司及我公司法定代表人未被人民法院列入失信被执行人名单。 </w:t>
      </w:r>
    </w:p>
    <w:p w14:paraId="7DEF902F">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 我公司承诺租赁期内未经出租方书面批准，不对便民用房进行任何形式的转租、分租、转让、转借、调换、合作经营或联营，不将便民用房及设施对外实施抵押、质押等处分行为；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2D32BFDA">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7. 我公司承诺已知悉便民用房交付状态为现状交付，并已自行完成便民用房现场踏勘，知悉便民用房的供电量、上/下水、排污排烟等情况。 </w:t>
      </w:r>
    </w:p>
    <w:p w14:paraId="0654ADFE">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我公司已认真阅读，本公司如有违反承诺内容的行为，自愿依法接受取消报名资格、计入信用档案、取消承租资格、没收保证金等有关处理，愿意承担法律责任，给出租方造成损失的，依法承担赔偿责任。</w:t>
      </w:r>
    </w:p>
    <w:p w14:paraId="40E5E5E8">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2AB2214B">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意向承租方（公章）： </w:t>
      </w:r>
    </w:p>
    <w:p w14:paraId="57AC3D93">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法定代表人或其委托代理人（签字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 w:val="21"/>
          <w:szCs w:val="21"/>
          <w:highlight w:val="none"/>
          <w:lang w:val="en-US" w:eastAsia="zh-CN"/>
        </w:rPr>
        <w:t xml:space="preserve">）： </w:t>
      </w:r>
    </w:p>
    <w:p w14:paraId="063C472F">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4BC8AB9E">
      <w:pPr>
        <w:jc w:val="center"/>
        <w:outlineLvl w:val="1"/>
        <w:rPr>
          <w:rFonts w:hint="eastAsia" w:ascii="宋体" w:hAnsi="宋体" w:eastAsia="宋体" w:cs="宋体"/>
          <w:b/>
          <w:bCs/>
          <w:color w:val="auto"/>
          <w:sz w:val="32"/>
          <w:szCs w:val="32"/>
          <w:highlight w:val="none"/>
          <w:lang w:val="en-US" w:eastAsia="zh-CN"/>
        </w:rPr>
      </w:pPr>
      <w:bookmarkStart w:id="46" w:name="_Toc22080"/>
      <w:r>
        <w:rPr>
          <w:rFonts w:hint="eastAsia" w:ascii="宋体" w:hAnsi="宋体" w:eastAsia="宋体" w:cs="宋体"/>
          <w:b/>
          <w:bCs/>
          <w:color w:val="auto"/>
          <w:sz w:val="32"/>
          <w:szCs w:val="32"/>
          <w:highlight w:val="none"/>
          <w:lang w:val="en-US" w:eastAsia="zh-CN"/>
        </w:rPr>
        <w:t>四、经营业态</w:t>
      </w:r>
      <w:bookmarkEnd w:id="46"/>
    </w:p>
    <w:p w14:paraId="3C6A07AE">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03F7773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86468B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3AF87908">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043B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9DA199F">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221DB90F">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3BEE8D93">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07CF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6716B5D5">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057EB7E3">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42CFA8CC">
            <w:pPr>
              <w:bidi w:val="0"/>
              <w:jc w:val="center"/>
              <w:rPr>
                <w:rFonts w:hint="eastAsia" w:ascii="宋体" w:hAnsi="宋体" w:eastAsia="宋体" w:cs="宋体"/>
                <w:color w:val="auto"/>
                <w:highlight w:val="none"/>
                <w:vertAlign w:val="baseline"/>
                <w:lang w:val="en-US" w:eastAsia="zh-CN"/>
              </w:rPr>
            </w:pPr>
          </w:p>
        </w:tc>
      </w:tr>
      <w:tr w14:paraId="2C39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D9ED186">
            <w:pPr>
              <w:bidi w:val="0"/>
              <w:jc w:val="center"/>
              <w:rPr>
                <w:rFonts w:hint="eastAsia" w:ascii="宋体" w:hAnsi="宋体" w:eastAsia="宋体" w:cs="宋体"/>
                <w:color w:val="auto"/>
                <w:highlight w:val="none"/>
                <w:vertAlign w:val="baseline"/>
                <w:lang w:val="en-US" w:eastAsia="zh-CN"/>
              </w:rPr>
            </w:pPr>
          </w:p>
        </w:tc>
        <w:tc>
          <w:tcPr>
            <w:tcW w:w="2988" w:type="dxa"/>
          </w:tcPr>
          <w:p w14:paraId="10F2551C">
            <w:pPr>
              <w:bidi w:val="0"/>
              <w:jc w:val="both"/>
              <w:rPr>
                <w:rFonts w:hint="eastAsia" w:ascii="宋体" w:hAnsi="宋体" w:eastAsia="宋体" w:cs="宋体"/>
                <w:color w:val="auto"/>
                <w:highlight w:val="none"/>
                <w:vertAlign w:val="baseline"/>
                <w:lang w:val="en-US" w:eastAsia="zh-CN"/>
              </w:rPr>
            </w:pPr>
          </w:p>
        </w:tc>
        <w:tc>
          <w:tcPr>
            <w:tcW w:w="2988" w:type="dxa"/>
          </w:tcPr>
          <w:p w14:paraId="72248812">
            <w:pPr>
              <w:bidi w:val="0"/>
              <w:jc w:val="both"/>
              <w:rPr>
                <w:rFonts w:hint="eastAsia" w:ascii="宋体" w:hAnsi="宋体" w:eastAsia="宋体" w:cs="宋体"/>
                <w:color w:val="auto"/>
                <w:highlight w:val="none"/>
                <w:vertAlign w:val="baseline"/>
                <w:lang w:val="en-US" w:eastAsia="zh-CN"/>
              </w:rPr>
            </w:pPr>
          </w:p>
        </w:tc>
      </w:tr>
      <w:tr w14:paraId="1D7A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56BFE05D">
            <w:pPr>
              <w:bidi w:val="0"/>
              <w:jc w:val="center"/>
              <w:rPr>
                <w:rFonts w:hint="eastAsia" w:ascii="宋体" w:hAnsi="宋体" w:eastAsia="宋体" w:cs="宋体"/>
                <w:color w:val="auto"/>
                <w:highlight w:val="none"/>
                <w:vertAlign w:val="baseline"/>
                <w:lang w:val="en-US" w:eastAsia="zh-CN"/>
              </w:rPr>
            </w:pPr>
          </w:p>
        </w:tc>
        <w:tc>
          <w:tcPr>
            <w:tcW w:w="2988" w:type="dxa"/>
          </w:tcPr>
          <w:p w14:paraId="75A723F5">
            <w:pPr>
              <w:bidi w:val="0"/>
              <w:jc w:val="both"/>
              <w:rPr>
                <w:rFonts w:hint="eastAsia" w:ascii="宋体" w:hAnsi="宋体" w:eastAsia="宋体" w:cs="宋体"/>
                <w:color w:val="auto"/>
                <w:highlight w:val="none"/>
                <w:vertAlign w:val="baseline"/>
                <w:lang w:val="en-US" w:eastAsia="zh-CN"/>
              </w:rPr>
            </w:pPr>
          </w:p>
        </w:tc>
        <w:tc>
          <w:tcPr>
            <w:tcW w:w="2988" w:type="dxa"/>
          </w:tcPr>
          <w:p w14:paraId="5895A66E">
            <w:pPr>
              <w:bidi w:val="0"/>
              <w:jc w:val="both"/>
              <w:rPr>
                <w:rFonts w:hint="eastAsia" w:ascii="宋体" w:hAnsi="宋体" w:eastAsia="宋体" w:cs="宋体"/>
                <w:color w:val="auto"/>
                <w:highlight w:val="none"/>
                <w:vertAlign w:val="baseline"/>
                <w:lang w:val="en-US" w:eastAsia="zh-CN"/>
              </w:rPr>
            </w:pPr>
          </w:p>
        </w:tc>
      </w:tr>
      <w:tr w14:paraId="77BA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77118512">
            <w:pPr>
              <w:bidi w:val="0"/>
              <w:jc w:val="center"/>
              <w:rPr>
                <w:rFonts w:hint="eastAsia" w:ascii="宋体" w:hAnsi="宋体" w:eastAsia="宋体" w:cs="宋体"/>
                <w:color w:val="auto"/>
                <w:highlight w:val="none"/>
                <w:vertAlign w:val="baseline"/>
                <w:lang w:val="en-US" w:eastAsia="zh-CN"/>
              </w:rPr>
            </w:pPr>
          </w:p>
        </w:tc>
        <w:tc>
          <w:tcPr>
            <w:tcW w:w="2988" w:type="dxa"/>
          </w:tcPr>
          <w:p w14:paraId="295F347C">
            <w:pPr>
              <w:bidi w:val="0"/>
              <w:jc w:val="both"/>
              <w:rPr>
                <w:rFonts w:hint="eastAsia" w:ascii="宋体" w:hAnsi="宋体" w:eastAsia="宋体" w:cs="宋体"/>
                <w:color w:val="auto"/>
                <w:highlight w:val="none"/>
                <w:vertAlign w:val="baseline"/>
                <w:lang w:val="en-US" w:eastAsia="zh-CN"/>
              </w:rPr>
            </w:pPr>
          </w:p>
        </w:tc>
        <w:tc>
          <w:tcPr>
            <w:tcW w:w="2988" w:type="dxa"/>
          </w:tcPr>
          <w:p w14:paraId="4BFD2FD7">
            <w:pPr>
              <w:bidi w:val="0"/>
              <w:jc w:val="both"/>
              <w:rPr>
                <w:rFonts w:hint="eastAsia" w:ascii="宋体" w:hAnsi="宋体" w:eastAsia="宋体" w:cs="宋体"/>
                <w:color w:val="auto"/>
                <w:highlight w:val="none"/>
                <w:vertAlign w:val="baseline"/>
                <w:lang w:val="en-US" w:eastAsia="zh-CN"/>
              </w:rPr>
            </w:pPr>
          </w:p>
        </w:tc>
      </w:tr>
    </w:tbl>
    <w:p w14:paraId="006E658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087A128F">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16657A48">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2861E0AD">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0238D03B">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21CC3C40">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2C5CB1F0">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54B0FB6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31EAC914">
      <w:pPr>
        <w:jc w:val="center"/>
        <w:outlineLvl w:val="1"/>
        <w:rPr>
          <w:rFonts w:hint="eastAsia" w:ascii="宋体" w:hAnsi="宋体" w:eastAsia="宋体" w:cs="宋体"/>
          <w:b/>
          <w:bCs/>
          <w:color w:val="auto"/>
          <w:sz w:val="32"/>
          <w:szCs w:val="32"/>
          <w:highlight w:val="none"/>
          <w:lang w:val="en-US" w:eastAsia="zh-CN"/>
        </w:rPr>
      </w:pPr>
      <w:bookmarkStart w:id="47" w:name="_Toc10532"/>
      <w:r>
        <w:rPr>
          <w:rFonts w:hint="eastAsia" w:ascii="宋体" w:hAnsi="宋体" w:eastAsia="宋体" w:cs="宋体"/>
          <w:b/>
          <w:bCs/>
          <w:color w:val="auto"/>
          <w:sz w:val="32"/>
          <w:szCs w:val="32"/>
          <w:highlight w:val="none"/>
          <w:lang w:val="en-US" w:eastAsia="zh-CN"/>
        </w:rPr>
        <w:t>五、报价函</w:t>
      </w:r>
      <w:bookmarkEnd w:id="47"/>
    </w:p>
    <w:p w14:paraId="0BE2C7F1">
      <w:pPr>
        <w:keepNext w:val="0"/>
        <w:keepLines w:val="0"/>
        <w:widowControl/>
        <w:suppressLineNumbers w:val="0"/>
        <w:jc w:val="center"/>
        <w:rPr>
          <w:rFonts w:hint="eastAsia" w:ascii="宋体" w:hAnsi="宋体" w:eastAsia="宋体" w:cs="宋体"/>
          <w:color w:val="auto"/>
          <w:sz w:val="28"/>
          <w:szCs w:val="28"/>
          <w:highlight w:val="none"/>
        </w:rPr>
      </w:pPr>
    </w:p>
    <w:p w14:paraId="3F84985B">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01209F4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2E1AF62E">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68817BD6">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4E18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3F7EF8F4">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79DE3DDA">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5873EAFF">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0B745245">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首年租金报价（元/</w:t>
            </w:r>
            <w:r>
              <w:rPr>
                <w:rFonts w:hint="eastAsia" w:ascii="宋体" w:hAnsi="宋体" w:cs="宋体"/>
                <w:color w:val="auto"/>
                <w:highlight w:val="none"/>
                <w:vertAlign w:val="baseline"/>
                <w:lang w:val="en-US" w:eastAsia="zh-CN"/>
              </w:rPr>
              <w:t>年</w:t>
            </w:r>
            <w:r>
              <w:rPr>
                <w:rFonts w:hint="eastAsia" w:ascii="宋体" w:hAnsi="宋体" w:eastAsia="宋体" w:cs="宋体"/>
                <w:color w:val="auto"/>
                <w:highlight w:val="none"/>
                <w:vertAlign w:val="baseline"/>
                <w:lang w:val="en-US" w:eastAsia="zh-CN"/>
              </w:rPr>
              <w:t>，小写报价保留小数点后两位）</w:t>
            </w:r>
          </w:p>
        </w:tc>
      </w:tr>
      <w:tr w14:paraId="1B4E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0871128">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33206B4D">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46C6DE73">
            <w:pPr>
              <w:bidi w:val="0"/>
              <w:jc w:val="center"/>
              <w:rPr>
                <w:rFonts w:hint="eastAsia" w:ascii="宋体" w:hAnsi="宋体" w:eastAsia="宋体" w:cs="宋体"/>
                <w:color w:val="auto"/>
                <w:highlight w:val="none"/>
                <w:vertAlign w:val="baseline"/>
                <w:lang w:val="en-US" w:eastAsia="zh-CN"/>
              </w:rPr>
            </w:pPr>
          </w:p>
        </w:tc>
        <w:tc>
          <w:tcPr>
            <w:tcW w:w="3486" w:type="dxa"/>
          </w:tcPr>
          <w:p w14:paraId="64D6DC0B">
            <w:pPr>
              <w:bidi w:val="0"/>
              <w:jc w:val="center"/>
              <w:rPr>
                <w:rFonts w:hint="eastAsia" w:ascii="宋体" w:hAnsi="宋体" w:eastAsia="宋体" w:cs="宋体"/>
                <w:color w:val="auto"/>
                <w:highlight w:val="none"/>
                <w:vertAlign w:val="baseline"/>
                <w:lang w:val="en-US" w:eastAsia="zh-CN"/>
              </w:rPr>
            </w:pPr>
          </w:p>
        </w:tc>
      </w:tr>
      <w:tr w14:paraId="25BB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2D2C3BC4">
            <w:pPr>
              <w:bidi w:val="0"/>
              <w:jc w:val="center"/>
              <w:rPr>
                <w:rFonts w:hint="eastAsia" w:ascii="宋体" w:hAnsi="宋体" w:eastAsia="宋体" w:cs="宋体"/>
                <w:color w:val="auto"/>
                <w:highlight w:val="none"/>
                <w:vertAlign w:val="baseline"/>
                <w:lang w:val="en-US" w:eastAsia="zh-CN"/>
              </w:rPr>
            </w:pPr>
          </w:p>
        </w:tc>
        <w:tc>
          <w:tcPr>
            <w:tcW w:w="1399" w:type="dxa"/>
          </w:tcPr>
          <w:p w14:paraId="42088DB4">
            <w:pPr>
              <w:bidi w:val="0"/>
              <w:jc w:val="both"/>
              <w:rPr>
                <w:rFonts w:hint="eastAsia" w:ascii="宋体" w:hAnsi="宋体" w:eastAsia="宋体" w:cs="宋体"/>
                <w:color w:val="auto"/>
                <w:highlight w:val="none"/>
                <w:vertAlign w:val="baseline"/>
                <w:lang w:val="en-US" w:eastAsia="zh-CN"/>
              </w:rPr>
            </w:pPr>
          </w:p>
        </w:tc>
        <w:tc>
          <w:tcPr>
            <w:tcW w:w="2089" w:type="dxa"/>
          </w:tcPr>
          <w:p w14:paraId="0D713B7C">
            <w:pPr>
              <w:bidi w:val="0"/>
              <w:jc w:val="both"/>
              <w:rPr>
                <w:rFonts w:hint="eastAsia" w:ascii="宋体" w:hAnsi="宋体" w:eastAsia="宋体" w:cs="宋体"/>
                <w:color w:val="auto"/>
                <w:highlight w:val="none"/>
                <w:vertAlign w:val="baseline"/>
                <w:lang w:val="en-US" w:eastAsia="zh-CN"/>
              </w:rPr>
            </w:pPr>
          </w:p>
        </w:tc>
        <w:tc>
          <w:tcPr>
            <w:tcW w:w="3486" w:type="dxa"/>
          </w:tcPr>
          <w:p w14:paraId="57988565">
            <w:pPr>
              <w:bidi w:val="0"/>
              <w:jc w:val="both"/>
              <w:rPr>
                <w:rFonts w:hint="eastAsia" w:ascii="宋体" w:hAnsi="宋体" w:eastAsia="宋体" w:cs="宋体"/>
                <w:color w:val="auto"/>
                <w:highlight w:val="none"/>
                <w:vertAlign w:val="baseline"/>
                <w:lang w:val="en-US" w:eastAsia="zh-CN"/>
              </w:rPr>
            </w:pPr>
          </w:p>
        </w:tc>
      </w:tr>
      <w:tr w14:paraId="102D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ED97DF4">
            <w:pPr>
              <w:bidi w:val="0"/>
              <w:jc w:val="center"/>
              <w:rPr>
                <w:rFonts w:hint="eastAsia" w:ascii="宋体" w:hAnsi="宋体" w:eastAsia="宋体" w:cs="宋体"/>
                <w:color w:val="auto"/>
                <w:highlight w:val="none"/>
                <w:vertAlign w:val="baseline"/>
                <w:lang w:val="en-US" w:eastAsia="zh-CN"/>
              </w:rPr>
            </w:pPr>
          </w:p>
        </w:tc>
        <w:tc>
          <w:tcPr>
            <w:tcW w:w="1399" w:type="dxa"/>
          </w:tcPr>
          <w:p w14:paraId="64638323">
            <w:pPr>
              <w:bidi w:val="0"/>
              <w:jc w:val="both"/>
              <w:rPr>
                <w:rFonts w:hint="eastAsia" w:ascii="宋体" w:hAnsi="宋体" w:eastAsia="宋体" w:cs="宋体"/>
                <w:color w:val="auto"/>
                <w:highlight w:val="none"/>
                <w:vertAlign w:val="baseline"/>
                <w:lang w:val="en-US" w:eastAsia="zh-CN"/>
              </w:rPr>
            </w:pPr>
          </w:p>
        </w:tc>
        <w:tc>
          <w:tcPr>
            <w:tcW w:w="2089" w:type="dxa"/>
          </w:tcPr>
          <w:p w14:paraId="647F2F8E">
            <w:pPr>
              <w:bidi w:val="0"/>
              <w:jc w:val="both"/>
              <w:rPr>
                <w:rFonts w:hint="eastAsia" w:ascii="宋体" w:hAnsi="宋体" w:eastAsia="宋体" w:cs="宋体"/>
                <w:color w:val="auto"/>
                <w:highlight w:val="none"/>
                <w:vertAlign w:val="baseline"/>
                <w:lang w:val="en-US" w:eastAsia="zh-CN"/>
              </w:rPr>
            </w:pPr>
          </w:p>
        </w:tc>
        <w:tc>
          <w:tcPr>
            <w:tcW w:w="3486" w:type="dxa"/>
          </w:tcPr>
          <w:p w14:paraId="2473EC55">
            <w:pPr>
              <w:bidi w:val="0"/>
              <w:jc w:val="both"/>
              <w:rPr>
                <w:rFonts w:hint="eastAsia" w:ascii="宋体" w:hAnsi="宋体" w:eastAsia="宋体" w:cs="宋体"/>
                <w:color w:val="auto"/>
                <w:highlight w:val="none"/>
                <w:vertAlign w:val="baseline"/>
                <w:lang w:val="en-US" w:eastAsia="zh-CN"/>
              </w:rPr>
            </w:pPr>
          </w:p>
        </w:tc>
      </w:tr>
      <w:tr w14:paraId="67F3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18459C1">
            <w:pPr>
              <w:bidi w:val="0"/>
              <w:jc w:val="center"/>
              <w:rPr>
                <w:rFonts w:hint="eastAsia" w:ascii="宋体" w:hAnsi="宋体" w:eastAsia="宋体" w:cs="宋体"/>
                <w:color w:val="auto"/>
                <w:highlight w:val="none"/>
                <w:vertAlign w:val="baseline"/>
                <w:lang w:val="en-US" w:eastAsia="zh-CN"/>
              </w:rPr>
            </w:pPr>
          </w:p>
        </w:tc>
        <w:tc>
          <w:tcPr>
            <w:tcW w:w="1399" w:type="dxa"/>
          </w:tcPr>
          <w:p w14:paraId="5454A7ED">
            <w:pPr>
              <w:bidi w:val="0"/>
              <w:jc w:val="both"/>
              <w:rPr>
                <w:rFonts w:hint="eastAsia" w:ascii="宋体" w:hAnsi="宋体" w:eastAsia="宋体" w:cs="宋体"/>
                <w:color w:val="auto"/>
                <w:highlight w:val="none"/>
                <w:vertAlign w:val="baseline"/>
                <w:lang w:val="en-US" w:eastAsia="zh-CN"/>
              </w:rPr>
            </w:pPr>
          </w:p>
        </w:tc>
        <w:tc>
          <w:tcPr>
            <w:tcW w:w="2089" w:type="dxa"/>
          </w:tcPr>
          <w:p w14:paraId="090A1ED1">
            <w:pPr>
              <w:bidi w:val="0"/>
              <w:jc w:val="both"/>
              <w:rPr>
                <w:rFonts w:hint="eastAsia" w:ascii="宋体" w:hAnsi="宋体" w:eastAsia="宋体" w:cs="宋体"/>
                <w:color w:val="auto"/>
                <w:highlight w:val="none"/>
                <w:vertAlign w:val="baseline"/>
                <w:lang w:val="en-US" w:eastAsia="zh-CN"/>
              </w:rPr>
            </w:pPr>
          </w:p>
        </w:tc>
        <w:tc>
          <w:tcPr>
            <w:tcW w:w="3486" w:type="dxa"/>
          </w:tcPr>
          <w:p w14:paraId="29D46F1B">
            <w:pPr>
              <w:bidi w:val="0"/>
              <w:jc w:val="both"/>
              <w:rPr>
                <w:rFonts w:hint="eastAsia" w:ascii="宋体" w:hAnsi="宋体" w:eastAsia="宋体" w:cs="宋体"/>
                <w:color w:val="auto"/>
                <w:highlight w:val="none"/>
                <w:vertAlign w:val="baseline"/>
                <w:lang w:val="en-US" w:eastAsia="zh-CN"/>
              </w:rPr>
            </w:pPr>
          </w:p>
        </w:tc>
      </w:tr>
      <w:tr w14:paraId="006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3BF72F7E">
            <w:pPr>
              <w:bidi w:val="0"/>
              <w:jc w:val="center"/>
              <w:rPr>
                <w:rFonts w:hint="eastAsia" w:ascii="宋体" w:hAnsi="宋体" w:eastAsia="宋体" w:cs="宋体"/>
                <w:color w:val="auto"/>
                <w:highlight w:val="none"/>
                <w:vertAlign w:val="baseline"/>
                <w:lang w:val="en-US" w:eastAsia="zh-CN"/>
              </w:rPr>
            </w:pPr>
          </w:p>
        </w:tc>
        <w:tc>
          <w:tcPr>
            <w:tcW w:w="1399" w:type="dxa"/>
          </w:tcPr>
          <w:p w14:paraId="62DF1D30">
            <w:pPr>
              <w:bidi w:val="0"/>
              <w:jc w:val="both"/>
              <w:rPr>
                <w:rFonts w:hint="eastAsia" w:ascii="宋体" w:hAnsi="宋体" w:eastAsia="宋体" w:cs="宋体"/>
                <w:color w:val="auto"/>
                <w:highlight w:val="none"/>
                <w:vertAlign w:val="baseline"/>
                <w:lang w:val="en-US" w:eastAsia="zh-CN"/>
              </w:rPr>
            </w:pPr>
          </w:p>
        </w:tc>
        <w:tc>
          <w:tcPr>
            <w:tcW w:w="2089" w:type="dxa"/>
          </w:tcPr>
          <w:p w14:paraId="552061FF">
            <w:pPr>
              <w:bidi w:val="0"/>
              <w:jc w:val="both"/>
              <w:rPr>
                <w:rFonts w:hint="eastAsia" w:ascii="宋体" w:hAnsi="宋体" w:eastAsia="宋体" w:cs="宋体"/>
                <w:color w:val="auto"/>
                <w:highlight w:val="none"/>
                <w:vertAlign w:val="baseline"/>
                <w:lang w:val="en-US" w:eastAsia="zh-CN"/>
              </w:rPr>
            </w:pPr>
          </w:p>
        </w:tc>
        <w:tc>
          <w:tcPr>
            <w:tcW w:w="3486" w:type="dxa"/>
          </w:tcPr>
          <w:p w14:paraId="53697767">
            <w:pPr>
              <w:bidi w:val="0"/>
              <w:jc w:val="both"/>
              <w:rPr>
                <w:rFonts w:hint="eastAsia" w:ascii="宋体" w:hAnsi="宋体" w:eastAsia="宋体" w:cs="宋体"/>
                <w:color w:val="auto"/>
                <w:highlight w:val="none"/>
                <w:vertAlign w:val="baseline"/>
                <w:lang w:val="en-US" w:eastAsia="zh-CN"/>
              </w:rPr>
            </w:pPr>
          </w:p>
        </w:tc>
      </w:tr>
      <w:tr w14:paraId="3762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316813EE">
            <w:pPr>
              <w:bidi w:val="0"/>
              <w:jc w:val="center"/>
              <w:rPr>
                <w:rFonts w:hint="eastAsia" w:ascii="宋体" w:hAnsi="宋体" w:eastAsia="宋体" w:cs="宋体"/>
                <w:color w:val="auto"/>
                <w:highlight w:val="none"/>
                <w:vertAlign w:val="baseline"/>
                <w:lang w:val="en-US" w:eastAsia="zh-CN"/>
              </w:rPr>
            </w:pPr>
          </w:p>
        </w:tc>
        <w:tc>
          <w:tcPr>
            <w:tcW w:w="1399" w:type="dxa"/>
          </w:tcPr>
          <w:p w14:paraId="3D7BF44B">
            <w:pPr>
              <w:bidi w:val="0"/>
              <w:jc w:val="both"/>
              <w:rPr>
                <w:rFonts w:hint="eastAsia" w:ascii="宋体" w:hAnsi="宋体" w:eastAsia="宋体" w:cs="宋体"/>
                <w:color w:val="auto"/>
                <w:highlight w:val="none"/>
                <w:vertAlign w:val="baseline"/>
                <w:lang w:val="en-US" w:eastAsia="zh-CN"/>
              </w:rPr>
            </w:pPr>
          </w:p>
        </w:tc>
        <w:tc>
          <w:tcPr>
            <w:tcW w:w="2089" w:type="dxa"/>
          </w:tcPr>
          <w:p w14:paraId="1B3FEFFC">
            <w:pPr>
              <w:bidi w:val="0"/>
              <w:jc w:val="both"/>
              <w:rPr>
                <w:rFonts w:hint="eastAsia" w:ascii="宋体" w:hAnsi="宋体" w:eastAsia="宋体" w:cs="宋体"/>
                <w:color w:val="auto"/>
                <w:highlight w:val="none"/>
                <w:vertAlign w:val="baseline"/>
                <w:lang w:val="en-US" w:eastAsia="zh-CN"/>
              </w:rPr>
            </w:pPr>
          </w:p>
        </w:tc>
        <w:tc>
          <w:tcPr>
            <w:tcW w:w="3486" w:type="dxa"/>
          </w:tcPr>
          <w:p w14:paraId="3178E666">
            <w:pPr>
              <w:bidi w:val="0"/>
              <w:jc w:val="both"/>
              <w:rPr>
                <w:rFonts w:hint="eastAsia" w:ascii="宋体" w:hAnsi="宋体" w:eastAsia="宋体" w:cs="宋体"/>
                <w:color w:val="auto"/>
                <w:highlight w:val="none"/>
                <w:vertAlign w:val="baseline"/>
                <w:lang w:val="en-US" w:eastAsia="zh-CN"/>
              </w:rPr>
            </w:pPr>
          </w:p>
        </w:tc>
      </w:tr>
      <w:tr w14:paraId="1FEB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16D2FD8F">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02600432">
            <w:pPr>
              <w:bidi w:val="0"/>
              <w:jc w:val="both"/>
              <w:rPr>
                <w:rFonts w:hint="eastAsia" w:ascii="宋体" w:hAnsi="宋体" w:eastAsia="宋体" w:cs="宋体"/>
                <w:color w:val="auto"/>
                <w:highlight w:val="none"/>
                <w:vertAlign w:val="baseline"/>
                <w:lang w:val="en-US" w:eastAsia="zh-CN"/>
              </w:rPr>
            </w:pPr>
          </w:p>
        </w:tc>
        <w:tc>
          <w:tcPr>
            <w:tcW w:w="2089" w:type="dxa"/>
          </w:tcPr>
          <w:p w14:paraId="0C5AC4F1">
            <w:pPr>
              <w:bidi w:val="0"/>
              <w:jc w:val="both"/>
              <w:rPr>
                <w:rFonts w:hint="eastAsia" w:ascii="宋体" w:hAnsi="宋体" w:eastAsia="宋体" w:cs="宋体"/>
                <w:color w:val="auto"/>
                <w:highlight w:val="none"/>
                <w:vertAlign w:val="baseline"/>
                <w:lang w:val="en-US" w:eastAsia="zh-CN"/>
              </w:rPr>
            </w:pPr>
          </w:p>
        </w:tc>
        <w:tc>
          <w:tcPr>
            <w:tcW w:w="3486" w:type="dxa"/>
          </w:tcPr>
          <w:p w14:paraId="7FC9CEBA">
            <w:pPr>
              <w:bidi w:val="0"/>
              <w:jc w:val="both"/>
              <w:rPr>
                <w:rFonts w:hint="eastAsia" w:ascii="宋体" w:hAnsi="宋体" w:eastAsia="宋体" w:cs="宋体"/>
                <w:color w:val="auto"/>
                <w:highlight w:val="none"/>
                <w:vertAlign w:val="baseline"/>
                <w:lang w:val="en-US" w:eastAsia="zh-CN"/>
              </w:rPr>
            </w:pPr>
          </w:p>
        </w:tc>
      </w:tr>
    </w:tbl>
    <w:p w14:paraId="393CCFEC">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7E756A72">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693DB5BD">
      <w:pPr>
        <w:bidi w:val="0"/>
        <w:ind w:left="0" w:leftChars="0" w:firstLine="420" w:firstLineChars="200"/>
        <w:rPr>
          <w:rFonts w:hint="eastAsia" w:ascii="宋体" w:hAnsi="宋体" w:eastAsia="宋体" w:cs="宋体"/>
          <w:color w:val="auto"/>
          <w:highlight w:val="none"/>
          <w:lang w:val="en-US" w:eastAsia="zh-CN"/>
        </w:rPr>
      </w:pPr>
    </w:p>
    <w:p w14:paraId="3869453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61E9747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7E096739">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1AD4708E">
      <w:pPr>
        <w:jc w:val="center"/>
        <w:outlineLvl w:val="1"/>
        <w:rPr>
          <w:rFonts w:hint="eastAsia" w:ascii="宋体" w:hAnsi="宋体" w:eastAsia="宋体" w:cs="宋体"/>
          <w:b/>
          <w:bCs/>
          <w:color w:val="auto"/>
          <w:sz w:val="32"/>
          <w:szCs w:val="32"/>
          <w:highlight w:val="none"/>
          <w:lang w:val="en-US" w:eastAsia="zh-CN"/>
        </w:rPr>
      </w:pPr>
      <w:bookmarkStart w:id="48" w:name="_Toc2117"/>
      <w:r>
        <w:rPr>
          <w:rFonts w:hint="eastAsia" w:ascii="宋体" w:hAnsi="宋体" w:eastAsia="宋体" w:cs="宋体"/>
          <w:b/>
          <w:bCs/>
          <w:color w:val="auto"/>
          <w:sz w:val="32"/>
          <w:szCs w:val="32"/>
          <w:highlight w:val="none"/>
          <w:lang w:val="en-US" w:eastAsia="zh-CN"/>
        </w:rPr>
        <w:t>六、交易保证金</w:t>
      </w:r>
    </w:p>
    <w:p w14:paraId="254D44B7">
      <w:pPr>
        <w:keepNext w:val="0"/>
        <w:keepLines w:val="0"/>
        <w:widowControl/>
        <w:suppressLineNumbers w:val="0"/>
        <w:jc w:val="center"/>
        <w:rPr>
          <w:rFonts w:hint="eastAsia" w:ascii="宋体" w:hAnsi="宋体" w:eastAsia="宋体" w:cs="宋体"/>
          <w:color w:val="auto"/>
          <w:sz w:val="28"/>
          <w:szCs w:val="28"/>
          <w:highlight w:val="none"/>
        </w:rPr>
      </w:pPr>
    </w:p>
    <w:p w14:paraId="5832C20D">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007A445A">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234C63A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6CD5D2E">
      <w:pPr>
        <w:pStyle w:val="4"/>
        <w:bidi w:val="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附件5-2. 竞选文件格式</w:t>
      </w:r>
      <w:r>
        <w:rPr>
          <w:rFonts w:hint="eastAsia" w:ascii="宋体" w:hAnsi="宋体" w:eastAsia="宋体" w:cs="宋体"/>
          <w:b/>
          <w:bCs/>
          <w:color w:val="auto"/>
          <w:sz w:val="24"/>
          <w:szCs w:val="24"/>
          <w:highlight w:val="none"/>
          <w:lang w:val="en-US" w:eastAsia="zh-CN"/>
        </w:rPr>
        <w:t>（自然人版）</w:t>
      </w:r>
      <w:bookmarkEnd w:id="48"/>
    </w:p>
    <w:p w14:paraId="437AA55D">
      <w:pPr>
        <w:spacing w:line="440" w:lineRule="exact"/>
        <w:jc w:val="center"/>
        <w:rPr>
          <w:rFonts w:hint="eastAsia" w:ascii="宋体" w:hAnsi="宋体" w:eastAsia="宋体" w:cs="宋体"/>
          <w:b/>
          <w:color w:val="auto"/>
          <w:sz w:val="36"/>
          <w:szCs w:val="36"/>
          <w:highlight w:val="none"/>
        </w:rPr>
      </w:pPr>
    </w:p>
    <w:p w14:paraId="45E3AB01">
      <w:pPr>
        <w:jc w:val="center"/>
        <w:outlineLvl w:val="1"/>
        <w:rPr>
          <w:rFonts w:hint="eastAsia" w:ascii="宋体" w:hAnsi="宋体" w:eastAsia="宋体" w:cs="宋体"/>
          <w:b/>
          <w:bCs/>
          <w:color w:val="auto"/>
          <w:sz w:val="32"/>
          <w:szCs w:val="32"/>
          <w:highlight w:val="none"/>
          <w:lang w:val="en-US" w:eastAsia="zh-CN"/>
        </w:rPr>
      </w:pPr>
      <w:bookmarkStart w:id="49" w:name="_Toc27754"/>
      <w:r>
        <w:rPr>
          <w:rFonts w:hint="eastAsia" w:ascii="宋体" w:hAnsi="宋体" w:eastAsia="宋体" w:cs="宋体"/>
          <w:b/>
          <w:bCs/>
          <w:color w:val="auto"/>
          <w:sz w:val="32"/>
          <w:szCs w:val="32"/>
          <w:highlight w:val="none"/>
          <w:lang w:val="en-US" w:eastAsia="zh-CN"/>
        </w:rPr>
        <w:t>一、授权委托书</w:t>
      </w:r>
      <w:bookmarkEnd w:id="49"/>
    </w:p>
    <w:p w14:paraId="584F849D">
      <w:pPr>
        <w:keepNext w:val="0"/>
        <w:keepLines w:val="0"/>
        <w:widowControl/>
        <w:suppressLineNumbers w:val="0"/>
        <w:jc w:val="center"/>
        <w:rPr>
          <w:rFonts w:hint="eastAsia" w:ascii="宋体" w:hAnsi="宋体" w:eastAsia="宋体" w:cs="宋体"/>
          <w:color w:val="auto"/>
          <w:sz w:val="28"/>
          <w:szCs w:val="28"/>
          <w:highlight w:val="none"/>
        </w:rPr>
      </w:pPr>
    </w:p>
    <w:p w14:paraId="1889FDC7">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039E67D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05640B5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，联系方式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，为本人委托代理人，以本人的名义参加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699C954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4E1EEBD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4D785BC2">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39FDEBD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委托人（签字并加盖手印）： </w:t>
      </w:r>
    </w:p>
    <w:p w14:paraId="2FAF5463">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委托代理人（签字并加盖手印）： </w:t>
      </w:r>
    </w:p>
    <w:p w14:paraId="55EB61CB">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4957B01D">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47057484">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2C3FA661">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3124D708">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7D97F34A">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2F33DB6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3ACC9322">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798DB3CD">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2E7E55F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30912BAC">
      <w:pPr>
        <w:keepNext w:val="0"/>
        <w:keepLines w:val="0"/>
        <w:widowControl/>
        <w:suppressLineNumbers w:val="0"/>
        <w:ind w:left="0" w:leftChars="0" w:right="-512" w:rightChars="-244"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注：1、本委托书中委托代理人的签名笔迹是核对由其签发的文件有效性的依据；</w:t>
      </w:r>
    </w:p>
    <w:p w14:paraId="62EEAF6C">
      <w:pPr>
        <w:keepNext w:val="0"/>
        <w:keepLines w:val="0"/>
        <w:widowControl/>
        <w:numPr>
          <w:ilvl w:val="0"/>
          <w:numId w:val="0"/>
        </w:numPr>
        <w:suppressLineNumbers w:val="0"/>
        <w:ind w:left="0" w:leftChars="0" w:right="-512" w:rightChars="-244"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2、若为自然人本人参加竞选，本授权委托书仍需提供，其中，“现授权委托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”此处无需填写。</w:t>
      </w:r>
    </w:p>
    <w:p w14:paraId="01118FB7">
      <w:pPr>
        <w:rPr>
          <w:rFonts w:hint="eastAsia" w:ascii="宋体" w:hAnsi="宋体" w:eastAsia="宋体" w:cs="宋体"/>
          <w:b/>
          <w:bCs/>
          <w:color w:val="auto"/>
          <w:sz w:val="32"/>
          <w:szCs w:val="32"/>
          <w:highlight w:val="none"/>
          <w:lang w:val="en-US" w:eastAsia="zh-CN"/>
        </w:rPr>
      </w:pPr>
      <w:bookmarkStart w:id="50" w:name="_Toc24723"/>
      <w:r>
        <w:rPr>
          <w:rFonts w:hint="eastAsia" w:ascii="宋体" w:hAnsi="宋体" w:eastAsia="宋体" w:cs="宋体"/>
          <w:b/>
          <w:bCs/>
          <w:color w:val="auto"/>
          <w:sz w:val="32"/>
          <w:szCs w:val="32"/>
          <w:highlight w:val="none"/>
          <w:lang w:val="en-US" w:eastAsia="zh-CN"/>
        </w:rPr>
        <w:br w:type="page"/>
      </w:r>
    </w:p>
    <w:p w14:paraId="42903C2B">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二、身份证复印件</w:t>
      </w:r>
      <w:bookmarkEnd w:id="50"/>
    </w:p>
    <w:p w14:paraId="661E8863">
      <w:pPr>
        <w:rPr>
          <w:rFonts w:hint="eastAsia" w:ascii="宋体" w:hAnsi="宋体" w:eastAsia="宋体" w:cs="宋体"/>
          <w:color w:val="auto"/>
          <w:highlight w:val="none"/>
          <w:lang w:val="en-US" w:eastAsia="zh-CN"/>
        </w:rPr>
      </w:pPr>
    </w:p>
    <w:p w14:paraId="00798DD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须提供委托人及委托代理人身份证复印件或扫描件。</w:t>
      </w:r>
    </w:p>
    <w:p w14:paraId="6CAC4FD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注：若为自然人本人参加竞选，仅需提供自然人本人身份证复印件或扫描件。</w:t>
      </w:r>
    </w:p>
    <w:p w14:paraId="1ADA2CFB">
      <w:pPr>
        <w:pStyle w:val="2"/>
        <w:rPr>
          <w:rFonts w:hint="eastAsia" w:ascii="宋体" w:hAnsi="宋体" w:eastAsia="宋体" w:cs="宋体"/>
          <w:color w:val="auto"/>
          <w:highlight w:val="none"/>
          <w:lang w:val="en-US" w:eastAsia="zh-CN"/>
        </w:rPr>
      </w:pPr>
    </w:p>
    <w:p w14:paraId="562A9627">
      <w:pPr>
        <w:pStyle w:val="2"/>
        <w:rPr>
          <w:rFonts w:hint="eastAsia" w:ascii="宋体" w:hAnsi="宋体" w:eastAsia="宋体" w:cs="宋体"/>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p>
    <w:p w14:paraId="10D0DD0A">
      <w:pPr>
        <w:jc w:val="center"/>
        <w:outlineLvl w:val="1"/>
        <w:rPr>
          <w:rFonts w:hint="eastAsia" w:ascii="宋体" w:hAnsi="宋体" w:eastAsia="宋体" w:cs="宋体"/>
          <w:b/>
          <w:bCs/>
          <w:color w:val="auto"/>
          <w:sz w:val="32"/>
          <w:szCs w:val="32"/>
          <w:highlight w:val="none"/>
          <w:lang w:val="en-US" w:eastAsia="zh-CN"/>
        </w:rPr>
      </w:pPr>
      <w:bookmarkStart w:id="51" w:name="_Toc29370"/>
      <w:r>
        <w:rPr>
          <w:rFonts w:hint="eastAsia" w:ascii="宋体" w:hAnsi="宋体" w:eastAsia="宋体" w:cs="宋体"/>
          <w:b/>
          <w:bCs/>
          <w:color w:val="auto"/>
          <w:sz w:val="32"/>
          <w:szCs w:val="32"/>
          <w:highlight w:val="none"/>
          <w:lang w:val="en-US" w:eastAsia="zh-CN"/>
        </w:rPr>
        <w:t>三、承诺书</w:t>
      </w:r>
      <w:bookmarkEnd w:id="51"/>
    </w:p>
    <w:p w14:paraId="3A51350D">
      <w:pPr>
        <w:keepNext w:val="0"/>
        <w:keepLines w:val="0"/>
        <w:widowControl/>
        <w:suppressLineNumbers w:val="0"/>
        <w:jc w:val="center"/>
        <w:rPr>
          <w:rFonts w:hint="eastAsia" w:ascii="宋体" w:hAnsi="宋体" w:eastAsia="宋体" w:cs="宋体"/>
          <w:color w:val="auto"/>
          <w:sz w:val="28"/>
          <w:szCs w:val="28"/>
          <w:highlight w:val="none"/>
        </w:rPr>
      </w:pPr>
    </w:p>
    <w:p w14:paraId="08B84D0B">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120924C">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本人郑重承诺： </w:t>
      </w:r>
    </w:p>
    <w:p w14:paraId="4076AC99">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本人的竞租行为已经获得必要的内部决策批准、同意及授权，按照规定缴纳相应的交易保证金，相关资金均为合法所得。 </w:t>
      </w:r>
    </w:p>
    <w:p w14:paraId="3A20295E">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本人已认真阅读出租方所有挂牌文件，完全同意并接受出租方《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》（以下简称“招租公告”）及附件中对意向承租方提出的各项要求，自愿按照《招租公告》及附件中的要求合法参与竞租，如有违反，本人愿意承担相应法律后果。 </w:t>
      </w:r>
    </w:p>
    <w:p w14:paraId="70792FA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本人认可《合同主要条款》所有内容，不对单价或其它条款和条件做任何改变。 </w:t>
      </w:r>
    </w:p>
    <w:p w14:paraId="0F37F5A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本人递交的全部报名材料均为真实材料，相关证明文件属实。 </w:t>
      </w:r>
    </w:p>
    <w:p w14:paraId="70C1A8B8">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本人在“信用中国”平台中没有不良记录</w:t>
      </w:r>
      <w:r>
        <w:rPr>
          <w:rFonts w:hint="eastAsia" w:ascii="宋体" w:hAnsi="宋体" w:eastAsia="宋体" w:cs="宋体"/>
          <w:color w:val="auto"/>
          <w:kern w:val="0"/>
          <w:sz w:val="21"/>
          <w:szCs w:val="21"/>
          <w:highlight w:val="none"/>
          <w:lang w:val="en-US" w:eastAsia="zh-CN" w:bidi="ar"/>
        </w:rPr>
        <w:t xml:space="preserve">，本人及本人法定代表人未被人民法院列入失信被执行人名单。 </w:t>
      </w:r>
    </w:p>
    <w:p w14:paraId="7EF46DC8">
      <w:pPr>
        <w:keepNext w:val="0"/>
        <w:keepLines w:val="0"/>
        <w:widowControl/>
        <w:suppressLineNumbers w:val="0"/>
        <w:ind w:left="0" w:leftChars="0" w:right="-512" w:rightChars="-244" w:firstLine="367" w:firstLineChars="175"/>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本人承诺具有良好的财务状况和支付能力。</w:t>
      </w:r>
    </w:p>
    <w:p w14:paraId="0850285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本人承诺租赁期内未经出租方书面批准，不对便民用房进行任何形式的转租、分租、转让、转借、调换、合作经营或联营，不将便民用房及设施对外实施抵押、质押等处分行为；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2147D7F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 本人承诺已知悉便民用房交付状态为现状交付，并已自行完成便民用房现场踏勘，知悉便民用房的供电量、上/下水、排污排烟等情况。 </w:t>
      </w:r>
    </w:p>
    <w:p w14:paraId="5D23366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以上内容本人已认真阅读，本公司如有违反承诺内容的行为，自愿依法接受取消报名资格、计入信用档案、取消承租资格、没收保证金等有关处理，愿意承担法律责任，给出租方造成损失的，依法承担赔偿责任。</w:t>
      </w:r>
    </w:p>
    <w:p w14:paraId="61F5BED2">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61AC6AC9">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1C8FCD50">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7262963A">
      <w:pPr>
        <w:jc w:val="center"/>
        <w:outlineLvl w:val="1"/>
        <w:rPr>
          <w:rFonts w:hint="eastAsia" w:ascii="宋体" w:hAnsi="宋体" w:eastAsia="宋体" w:cs="宋体"/>
          <w:b/>
          <w:bCs/>
          <w:color w:val="auto"/>
          <w:sz w:val="32"/>
          <w:szCs w:val="32"/>
          <w:highlight w:val="none"/>
          <w:lang w:val="en-US" w:eastAsia="zh-CN"/>
        </w:rPr>
      </w:pPr>
      <w:bookmarkStart w:id="52" w:name="_Toc16138"/>
      <w:r>
        <w:rPr>
          <w:rFonts w:hint="eastAsia" w:ascii="宋体" w:hAnsi="宋体" w:eastAsia="宋体" w:cs="宋体"/>
          <w:b/>
          <w:bCs/>
          <w:color w:val="auto"/>
          <w:sz w:val="32"/>
          <w:szCs w:val="32"/>
          <w:highlight w:val="none"/>
          <w:lang w:val="en-US" w:eastAsia="zh-CN"/>
        </w:rPr>
        <w:t>四、经营业态</w:t>
      </w:r>
      <w:bookmarkEnd w:id="52"/>
    </w:p>
    <w:p w14:paraId="487133A0">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3FEC8D13">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BD31621">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537177C2">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2372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442" w:type="dxa"/>
            <w:vAlign w:val="center"/>
          </w:tcPr>
          <w:p w14:paraId="5956649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3D03857C">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13BAA2AA">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6CD5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82A4C2D">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152795DE">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159D3907">
            <w:pPr>
              <w:bidi w:val="0"/>
              <w:jc w:val="center"/>
              <w:rPr>
                <w:rFonts w:hint="eastAsia" w:ascii="宋体" w:hAnsi="宋体" w:eastAsia="宋体" w:cs="宋体"/>
                <w:color w:val="auto"/>
                <w:highlight w:val="none"/>
                <w:vertAlign w:val="baseline"/>
                <w:lang w:val="en-US" w:eastAsia="zh-CN"/>
              </w:rPr>
            </w:pPr>
          </w:p>
        </w:tc>
      </w:tr>
      <w:tr w14:paraId="74B5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36C9EC0">
            <w:pPr>
              <w:bidi w:val="0"/>
              <w:jc w:val="center"/>
              <w:rPr>
                <w:rFonts w:hint="eastAsia" w:ascii="宋体" w:hAnsi="宋体" w:eastAsia="宋体" w:cs="宋体"/>
                <w:color w:val="auto"/>
                <w:highlight w:val="none"/>
                <w:vertAlign w:val="baseline"/>
                <w:lang w:val="en-US" w:eastAsia="zh-CN"/>
              </w:rPr>
            </w:pPr>
          </w:p>
        </w:tc>
        <w:tc>
          <w:tcPr>
            <w:tcW w:w="2988" w:type="dxa"/>
          </w:tcPr>
          <w:p w14:paraId="381BFA49">
            <w:pPr>
              <w:bidi w:val="0"/>
              <w:jc w:val="both"/>
              <w:rPr>
                <w:rFonts w:hint="eastAsia" w:ascii="宋体" w:hAnsi="宋体" w:eastAsia="宋体" w:cs="宋体"/>
                <w:color w:val="auto"/>
                <w:highlight w:val="none"/>
                <w:vertAlign w:val="baseline"/>
                <w:lang w:val="en-US" w:eastAsia="zh-CN"/>
              </w:rPr>
            </w:pPr>
          </w:p>
        </w:tc>
        <w:tc>
          <w:tcPr>
            <w:tcW w:w="2988" w:type="dxa"/>
          </w:tcPr>
          <w:p w14:paraId="01525505">
            <w:pPr>
              <w:bidi w:val="0"/>
              <w:jc w:val="both"/>
              <w:rPr>
                <w:rFonts w:hint="eastAsia" w:ascii="宋体" w:hAnsi="宋体" w:eastAsia="宋体" w:cs="宋体"/>
                <w:color w:val="auto"/>
                <w:highlight w:val="none"/>
                <w:vertAlign w:val="baseline"/>
                <w:lang w:val="en-US" w:eastAsia="zh-CN"/>
              </w:rPr>
            </w:pPr>
          </w:p>
        </w:tc>
      </w:tr>
      <w:tr w14:paraId="24C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41E6FE0E">
            <w:pPr>
              <w:bidi w:val="0"/>
              <w:jc w:val="center"/>
              <w:rPr>
                <w:rFonts w:hint="eastAsia" w:ascii="宋体" w:hAnsi="宋体" w:eastAsia="宋体" w:cs="宋体"/>
                <w:color w:val="auto"/>
                <w:highlight w:val="none"/>
                <w:vertAlign w:val="baseline"/>
                <w:lang w:val="en-US" w:eastAsia="zh-CN"/>
              </w:rPr>
            </w:pPr>
          </w:p>
        </w:tc>
        <w:tc>
          <w:tcPr>
            <w:tcW w:w="2988" w:type="dxa"/>
          </w:tcPr>
          <w:p w14:paraId="4EF01E46">
            <w:pPr>
              <w:bidi w:val="0"/>
              <w:jc w:val="both"/>
              <w:rPr>
                <w:rFonts w:hint="eastAsia" w:ascii="宋体" w:hAnsi="宋体" w:eastAsia="宋体" w:cs="宋体"/>
                <w:color w:val="auto"/>
                <w:highlight w:val="none"/>
                <w:vertAlign w:val="baseline"/>
                <w:lang w:val="en-US" w:eastAsia="zh-CN"/>
              </w:rPr>
            </w:pPr>
          </w:p>
        </w:tc>
        <w:tc>
          <w:tcPr>
            <w:tcW w:w="2988" w:type="dxa"/>
          </w:tcPr>
          <w:p w14:paraId="4600F8EF">
            <w:pPr>
              <w:bidi w:val="0"/>
              <w:jc w:val="both"/>
              <w:rPr>
                <w:rFonts w:hint="eastAsia" w:ascii="宋体" w:hAnsi="宋体" w:eastAsia="宋体" w:cs="宋体"/>
                <w:color w:val="auto"/>
                <w:highlight w:val="none"/>
                <w:vertAlign w:val="baseline"/>
                <w:lang w:val="en-US" w:eastAsia="zh-CN"/>
              </w:rPr>
            </w:pPr>
          </w:p>
        </w:tc>
      </w:tr>
      <w:tr w14:paraId="38DF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153F4072">
            <w:pPr>
              <w:bidi w:val="0"/>
              <w:jc w:val="center"/>
              <w:rPr>
                <w:rFonts w:hint="eastAsia" w:ascii="宋体" w:hAnsi="宋体" w:eastAsia="宋体" w:cs="宋体"/>
                <w:color w:val="auto"/>
                <w:highlight w:val="none"/>
                <w:vertAlign w:val="baseline"/>
                <w:lang w:val="en-US" w:eastAsia="zh-CN"/>
              </w:rPr>
            </w:pPr>
          </w:p>
        </w:tc>
        <w:tc>
          <w:tcPr>
            <w:tcW w:w="2988" w:type="dxa"/>
          </w:tcPr>
          <w:p w14:paraId="52FB4D5C">
            <w:pPr>
              <w:bidi w:val="0"/>
              <w:jc w:val="both"/>
              <w:rPr>
                <w:rFonts w:hint="eastAsia" w:ascii="宋体" w:hAnsi="宋体" w:eastAsia="宋体" w:cs="宋体"/>
                <w:color w:val="auto"/>
                <w:highlight w:val="none"/>
                <w:vertAlign w:val="baseline"/>
                <w:lang w:val="en-US" w:eastAsia="zh-CN"/>
              </w:rPr>
            </w:pPr>
          </w:p>
        </w:tc>
        <w:tc>
          <w:tcPr>
            <w:tcW w:w="2988" w:type="dxa"/>
          </w:tcPr>
          <w:p w14:paraId="0D83F0FB">
            <w:pPr>
              <w:bidi w:val="0"/>
              <w:jc w:val="both"/>
              <w:rPr>
                <w:rFonts w:hint="eastAsia" w:ascii="宋体" w:hAnsi="宋体" w:eastAsia="宋体" w:cs="宋体"/>
                <w:color w:val="auto"/>
                <w:highlight w:val="none"/>
                <w:vertAlign w:val="baseline"/>
                <w:lang w:val="en-US" w:eastAsia="zh-CN"/>
              </w:rPr>
            </w:pPr>
          </w:p>
        </w:tc>
      </w:tr>
    </w:tbl>
    <w:p w14:paraId="27B35A70">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002C577D">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4782ABD5">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78D68727">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26138A93">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55DB063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3E0EBAD4">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6851279A">
      <w:pPr>
        <w:jc w:val="center"/>
        <w:outlineLvl w:val="1"/>
        <w:rPr>
          <w:rFonts w:hint="eastAsia" w:ascii="宋体" w:hAnsi="宋体" w:eastAsia="宋体" w:cs="宋体"/>
          <w:b/>
          <w:bCs/>
          <w:color w:val="auto"/>
          <w:sz w:val="32"/>
          <w:szCs w:val="32"/>
          <w:highlight w:val="none"/>
          <w:lang w:val="en-US" w:eastAsia="zh-CN"/>
        </w:rPr>
      </w:pPr>
      <w:bookmarkStart w:id="53" w:name="_Toc9664"/>
      <w:r>
        <w:rPr>
          <w:rFonts w:hint="eastAsia" w:ascii="宋体" w:hAnsi="宋体" w:eastAsia="宋体" w:cs="宋体"/>
          <w:b/>
          <w:bCs/>
          <w:color w:val="auto"/>
          <w:sz w:val="32"/>
          <w:szCs w:val="32"/>
          <w:highlight w:val="none"/>
          <w:lang w:val="en-US" w:eastAsia="zh-CN"/>
        </w:rPr>
        <w:t>五、报价函</w:t>
      </w:r>
      <w:bookmarkEnd w:id="53"/>
    </w:p>
    <w:p w14:paraId="485A856D">
      <w:pPr>
        <w:keepNext w:val="0"/>
        <w:keepLines w:val="0"/>
        <w:widowControl/>
        <w:suppressLineNumbers w:val="0"/>
        <w:jc w:val="center"/>
        <w:rPr>
          <w:rFonts w:hint="eastAsia" w:ascii="宋体" w:hAnsi="宋体" w:eastAsia="宋体" w:cs="宋体"/>
          <w:color w:val="auto"/>
          <w:sz w:val="28"/>
          <w:szCs w:val="28"/>
          <w:highlight w:val="none"/>
        </w:rPr>
      </w:pPr>
    </w:p>
    <w:p w14:paraId="455D0C83">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E591100">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419E6A4B">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119EEE5C">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5C10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0AE1E644">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19B473EA">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29717736">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48824B11">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首年租金报价（元/</w:t>
            </w:r>
            <w:r>
              <w:rPr>
                <w:rFonts w:hint="eastAsia" w:ascii="宋体" w:hAnsi="宋体" w:cs="宋体"/>
                <w:color w:val="auto"/>
                <w:highlight w:val="none"/>
                <w:vertAlign w:val="baseline"/>
                <w:lang w:val="en-US" w:eastAsia="zh-CN"/>
              </w:rPr>
              <w:t>年</w:t>
            </w:r>
            <w:r>
              <w:rPr>
                <w:rFonts w:hint="eastAsia" w:ascii="宋体" w:hAnsi="宋体" w:eastAsia="宋体" w:cs="宋体"/>
                <w:color w:val="auto"/>
                <w:highlight w:val="none"/>
                <w:vertAlign w:val="baseline"/>
                <w:lang w:val="en-US" w:eastAsia="zh-CN"/>
              </w:rPr>
              <w:t>，小写报价保留小数点后两位）</w:t>
            </w:r>
          </w:p>
        </w:tc>
      </w:tr>
      <w:tr w14:paraId="1EA8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109CFE58">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56FD666F">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6C54C4FD">
            <w:pPr>
              <w:bidi w:val="0"/>
              <w:jc w:val="center"/>
              <w:rPr>
                <w:rFonts w:hint="eastAsia" w:ascii="宋体" w:hAnsi="宋体" w:eastAsia="宋体" w:cs="宋体"/>
                <w:color w:val="auto"/>
                <w:highlight w:val="none"/>
                <w:vertAlign w:val="baseline"/>
                <w:lang w:val="en-US" w:eastAsia="zh-CN"/>
              </w:rPr>
            </w:pPr>
          </w:p>
        </w:tc>
        <w:tc>
          <w:tcPr>
            <w:tcW w:w="3486" w:type="dxa"/>
          </w:tcPr>
          <w:p w14:paraId="41087D96">
            <w:pPr>
              <w:bidi w:val="0"/>
              <w:jc w:val="center"/>
              <w:rPr>
                <w:rFonts w:hint="eastAsia" w:ascii="宋体" w:hAnsi="宋体" w:eastAsia="宋体" w:cs="宋体"/>
                <w:color w:val="auto"/>
                <w:highlight w:val="none"/>
                <w:vertAlign w:val="baseline"/>
                <w:lang w:val="en-US" w:eastAsia="zh-CN"/>
              </w:rPr>
            </w:pPr>
          </w:p>
        </w:tc>
      </w:tr>
      <w:tr w14:paraId="16B3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94EDA3C">
            <w:pPr>
              <w:bidi w:val="0"/>
              <w:jc w:val="center"/>
              <w:rPr>
                <w:rFonts w:hint="eastAsia" w:ascii="宋体" w:hAnsi="宋体" w:eastAsia="宋体" w:cs="宋体"/>
                <w:color w:val="auto"/>
                <w:highlight w:val="none"/>
                <w:vertAlign w:val="baseline"/>
                <w:lang w:val="en-US" w:eastAsia="zh-CN"/>
              </w:rPr>
            </w:pPr>
          </w:p>
        </w:tc>
        <w:tc>
          <w:tcPr>
            <w:tcW w:w="1399" w:type="dxa"/>
          </w:tcPr>
          <w:p w14:paraId="6B2B11E8">
            <w:pPr>
              <w:bidi w:val="0"/>
              <w:jc w:val="both"/>
              <w:rPr>
                <w:rFonts w:hint="eastAsia" w:ascii="宋体" w:hAnsi="宋体" w:eastAsia="宋体" w:cs="宋体"/>
                <w:color w:val="auto"/>
                <w:highlight w:val="none"/>
                <w:vertAlign w:val="baseline"/>
                <w:lang w:val="en-US" w:eastAsia="zh-CN"/>
              </w:rPr>
            </w:pPr>
          </w:p>
        </w:tc>
        <w:tc>
          <w:tcPr>
            <w:tcW w:w="2089" w:type="dxa"/>
          </w:tcPr>
          <w:p w14:paraId="5EEBA11B">
            <w:pPr>
              <w:bidi w:val="0"/>
              <w:jc w:val="both"/>
              <w:rPr>
                <w:rFonts w:hint="eastAsia" w:ascii="宋体" w:hAnsi="宋体" w:eastAsia="宋体" w:cs="宋体"/>
                <w:color w:val="auto"/>
                <w:highlight w:val="none"/>
                <w:vertAlign w:val="baseline"/>
                <w:lang w:val="en-US" w:eastAsia="zh-CN"/>
              </w:rPr>
            </w:pPr>
          </w:p>
        </w:tc>
        <w:tc>
          <w:tcPr>
            <w:tcW w:w="3486" w:type="dxa"/>
          </w:tcPr>
          <w:p w14:paraId="73F50E59">
            <w:pPr>
              <w:bidi w:val="0"/>
              <w:jc w:val="both"/>
              <w:rPr>
                <w:rFonts w:hint="eastAsia" w:ascii="宋体" w:hAnsi="宋体" w:eastAsia="宋体" w:cs="宋体"/>
                <w:color w:val="auto"/>
                <w:highlight w:val="none"/>
                <w:vertAlign w:val="baseline"/>
                <w:lang w:val="en-US" w:eastAsia="zh-CN"/>
              </w:rPr>
            </w:pPr>
          </w:p>
        </w:tc>
      </w:tr>
      <w:tr w14:paraId="58C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8953846">
            <w:pPr>
              <w:bidi w:val="0"/>
              <w:jc w:val="center"/>
              <w:rPr>
                <w:rFonts w:hint="eastAsia" w:ascii="宋体" w:hAnsi="宋体" w:eastAsia="宋体" w:cs="宋体"/>
                <w:color w:val="auto"/>
                <w:highlight w:val="none"/>
                <w:vertAlign w:val="baseline"/>
                <w:lang w:val="en-US" w:eastAsia="zh-CN"/>
              </w:rPr>
            </w:pPr>
          </w:p>
        </w:tc>
        <w:tc>
          <w:tcPr>
            <w:tcW w:w="1399" w:type="dxa"/>
          </w:tcPr>
          <w:p w14:paraId="1C319294">
            <w:pPr>
              <w:bidi w:val="0"/>
              <w:jc w:val="both"/>
              <w:rPr>
                <w:rFonts w:hint="eastAsia" w:ascii="宋体" w:hAnsi="宋体" w:eastAsia="宋体" w:cs="宋体"/>
                <w:color w:val="auto"/>
                <w:highlight w:val="none"/>
                <w:vertAlign w:val="baseline"/>
                <w:lang w:val="en-US" w:eastAsia="zh-CN"/>
              </w:rPr>
            </w:pPr>
          </w:p>
        </w:tc>
        <w:tc>
          <w:tcPr>
            <w:tcW w:w="2089" w:type="dxa"/>
          </w:tcPr>
          <w:p w14:paraId="27259263">
            <w:pPr>
              <w:bidi w:val="0"/>
              <w:jc w:val="both"/>
              <w:rPr>
                <w:rFonts w:hint="eastAsia" w:ascii="宋体" w:hAnsi="宋体" w:eastAsia="宋体" w:cs="宋体"/>
                <w:color w:val="auto"/>
                <w:highlight w:val="none"/>
                <w:vertAlign w:val="baseline"/>
                <w:lang w:val="en-US" w:eastAsia="zh-CN"/>
              </w:rPr>
            </w:pPr>
          </w:p>
        </w:tc>
        <w:tc>
          <w:tcPr>
            <w:tcW w:w="3486" w:type="dxa"/>
          </w:tcPr>
          <w:p w14:paraId="185E02D2">
            <w:pPr>
              <w:bidi w:val="0"/>
              <w:jc w:val="both"/>
              <w:rPr>
                <w:rFonts w:hint="eastAsia" w:ascii="宋体" w:hAnsi="宋体" w:eastAsia="宋体" w:cs="宋体"/>
                <w:color w:val="auto"/>
                <w:highlight w:val="none"/>
                <w:vertAlign w:val="baseline"/>
                <w:lang w:val="en-US" w:eastAsia="zh-CN"/>
              </w:rPr>
            </w:pPr>
          </w:p>
        </w:tc>
      </w:tr>
      <w:tr w14:paraId="38C7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450D6D2">
            <w:pPr>
              <w:bidi w:val="0"/>
              <w:jc w:val="center"/>
              <w:rPr>
                <w:rFonts w:hint="eastAsia" w:ascii="宋体" w:hAnsi="宋体" w:eastAsia="宋体" w:cs="宋体"/>
                <w:color w:val="auto"/>
                <w:highlight w:val="none"/>
                <w:vertAlign w:val="baseline"/>
                <w:lang w:val="en-US" w:eastAsia="zh-CN"/>
              </w:rPr>
            </w:pPr>
          </w:p>
        </w:tc>
        <w:tc>
          <w:tcPr>
            <w:tcW w:w="1399" w:type="dxa"/>
          </w:tcPr>
          <w:p w14:paraId="47EAC949">
            <w:pPr>
              <w:bidi w:val="0"/>
              <w:jc w:val="both"/>
              <w:rPr>
                <w:rFonts w:hint="eastAsia" w:ascii="宋体" w:hAnsi="宋体" w:eastAsia="宋体" w:cs="宋体"/>
                <w:color w:val="auto"/>
                <w:highlight w:val="none"/>
                <w:vertAlign w:val="baseline"/>
                <w:lang w:val="en-US" w:eastAsia="zh-CN"/>
              </w:rPr>
            </w:pPr>
          </w:p>
        </w:tc>
        <w:tc>
          <w:tcPr>
            <w:tcW w:w="2089" w:type="dxa"/>
          </w:tcPr>
          <w:p w14:paraId="31CC9B92">
            <w:pPr>
              <w:bidi w:val="0"/>
              <w:jc w:val="both"/>
              <w:rPr>
                <w:rFonts w:hint="eastAsia" w:ascii="宋体" w:hAnsi="宋体" w:eastAsia="宋体" w:cs="宋体"/>
                <w:color w:val="auto"/>
                <w:highlight w:val="none"/>
                <w:vertAlign w:val="baseline"/>
                <w:lang w:val="en-US" w:eastAsia="zh-CN"/>
              </w:rPr>
            </w:pPr>
          </w:p>
        </w:tc>
        <w:tc>
          <w:tcPr>
            <w:tcW w:w="3486" w:type="dxa"/>
          </w:tcPr>
          <w:p w14:paraId="1C3C01E7">
            <w:pPr>
              <w:bidi w:val="0"/>
              <w:jc w:val="both"/>
              <w:rPr>
                <w:rFonts w:hint="eastAsia" w:ascii="宋体" w:hAnsi="宋体" w:eastAsia="宋体" w:cs="宋体"/>
                <w:color w:val="auto"/>
                <w:highlight w:val="none"/>
                <w:vertAlign w:val="baseline"/>
                <w:lang w:val="en-US" w:eastAsia="zh-CN"/>
              </w:rPr>
            </w:pPr>
          </w:p>
        </w:tc>
      </w:tr>
      <w:tr w14:paraId="30E2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3DFF04EC">
            <w:pPr>
              <w:bidi w:val="0"/>
              <w:jc w:val="center"/>
              <w:rPr>
                <w:rFonts w:hint="eastAsia" w:ascii="宋体" w:hAnsi="宋体" w:eastAsia="宋体" w:cs="宋体"/>
                <w:color w:val="auto"/>
                <w:highlight w:val="none"/>
                <w:vertAlign w:val="baseline"/>
                <w:lang w:val="en-US" w:eastAsia="zh-CN"/>
              </w:rPr>
            </w:pPr>
          </w:p>
        </w:tc>
        <w:tc>
          <w:tcPr>
            <w:tcW w:w="1399" w:type="dxa"/>
          </w:tcPr>
          <w:p w14:paraId="4430CB3E">
            <w:pPr>
              <w:bidi w:val="0"/>
              <w:jc w:val="both"/>
              <w:rPr>
                <w:rFonts w:hint="eastAsia" w:ascii="宋体" w:hAnsi="宋体" w:eastAsia="宋体" w:cs="宋体"/>
                <w:color w:val="auto"/>
                <w:highlight w:val="none"/>
                <w:vertAlign w:val="baseline"/>
                <w:lang w:val="en-US" w:eastAsia="zh-CN"/>
              </w:rPr>
            </w:pPr>
          </w:p>
        </w:tc>
        <w:tc>
          <w:tcPr>
            <w:tcW w:w="2089" w:type="dxa"/>
          </w:tcPr>
          <w:p w14:paraId="439E5F27">
            <w:pPr>
              <w:bidi w:val="0"/>
              <w:jc w:val="both"/>
              <w:rPr>
                <w:rFonts w:hint="eastAsia" w:ascii="宋体" w:hAnsi="宋体" w:eastAsia="宋体" w:cs="宋体"/>
                <w:color w:val="auto"/>
                <w:highlight w:val="none"/>
                <w:vertAlign w:val="baseline"/>
                <w:lang w:val="en-US" w:eastAsia="zh-CN"/>
              </w:rPr>
            </w:pPr>
          </w:p>
        </w:tc>
        <w:tc>
          <w:tcPr>
            <w:tcW w:w="3486" w:type="dxa"/>
          </w:tcPr>
          <w:p w14:paraId="58C18073">
            <w:pPr>
              <w:bidi w:val="0"/>
              <w:jc w:val="both"/>
              <w:rPr>
                <w:rFonts w:hint="eastAsia" w:ascii="宋体" w:hAnsi="宋体" w:eastAsia="宋体" w:cs="宋体"/>
                <w:color w:val="auto"/>
                <w:highlight w:val="none"/>
                <w:vertAlign w:val="baseline"/>
                <w:lang w:val="en-US" w:eastAsia="zh-CN"/>
              </w:rPr>
            </w:pPr>
          </w:p>
        </w:tc>
      </w:tr>
      <w:tr w14:paraId="69A0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B368BBD">
            <w:pPr>
              <w:bidi w:val="0"/>
              <w:jc w:val="center"/>
              <w:rPr>
                <w:rFonts w:hint="eastAsia" w:ascii="宋体" w:hAnsi="宋体" w:eastAsia="宋体" w:cs="宋体"/>
                <w:color w:val="auto"/>
                <w:highlight w:val="none"/>
                <w:vertAlign w:val="baseline"/>
                <w:lang w:val="en-US" w:eastAsia="zh-CN"/>
              </w:rPr>
            </w:pPr>
          </w:p>
        </w:tc>
        <w:tc>
          <w:tcPr>
            <w:tcW w:w="1399" w:type="dxa"/>
          </w:tcPr>
          <w:p w14:paraId="37110A83">
            <w:pPr>
              <w:bidi w:val="0"/>
              <w:jc w:val="both"/>
              <w:rPr>
                <w:rFonts w:hint="eastAsia" w:ascii="宋体" w:hAnsi="宋体" w:eastAsia="宋体" w:cs="宋体"/>
                <w:color w:val="auto"/>
                <w:highlight w:val="none"/>
                <w:vertAlign w:val="baseline"/>
                <w:lang w:val="en-US" w:eastAsia="zh-CN"/>
              </w:rPr>
            </w:pPr>
          </w:p>
        </w:tc>
        <w:tc>
          <w:tcPr>
            <w:tcW w:w="2089" w:type="dxa"/>
          </w:tcPr>
          <w:p w14:paraId="073669C7">
            <w:pPr>
              <w:bidi w:val="0"/>
              <w:jc w:val="both"/>
              <w:rPr>
                <w:rFonts w:hint="eastAsia" w:ascii="宋体" w:hAnsi="宋体" w:eastAsia="宋体" w:cs="宋体"/>
                <w:color w:val="auto"/>
                <w:highlight w:val="none"/>
                <w:vertAlign w:val="baseline"/>
                <w:lang w:val="en-US" w:eastAsia="zh-CN"/>
              </w:rPr>
            </w:pPr>
          </w:p>
        </w:tc>
        <w:tc>
          <w:tcPr>
            <w:tcW w:w="3486" w:type="dxa"/>
          </w:tcPr>
          <w:p w14:paraId="41BEBC1B">
            <w:pPr>
              <w:bidi w:val="0"/>
              <w:jc w:val="both"/>
              <w:rPr>
                <w:rFonts w:hint="eastAsia" w:ascii="宋体" w:hAnsi="宋体" w:eastAsia="宋体" w:cs="宋体"/>
                <w:color w:val="auto"/>
                <w:highlight w:val="none"/>
                <w:vertAlign w:val="baseline"/>
                <w:lang w:val="en-US" w:eastAsia="zh-CN"/>
              </w:rPr>
            </w:pPr>
          </w:p>
        </w:tc>
      </w:tr>
      <w:tr w14:paraId="5112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18266617">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24E547E4">
            <w:pPr>
              <w:bidi w:val="0"/>
              <w:jc w:val="both"/>
              <w:rPr>
                <w:rFonts w:hint="eastAsia" w:ascii="宋体" w:hAnsi="宋体" w:eastAsia="宋体" w:cs="宋体"/>
                <w:color w:val="auto"/>
                <w:highlight w:val="none"/>
                <w:vertAlign w:val="baseline"/>
                <w:lang w:val="en-US" w:eastAsia="zh-CN"/>
              </w:rPr>
            </w:pPr>
          </w:p>
        </w:tc>
        <w:tc>
          <w:tcPr>
            <w:tcW w:w="2089" w:type="dxa"/>
          </w:tcPr>
          <w:p w14:paraId="5D65D74F">
            <w:pPr>
              <w:bidi w:val="0"/>
              <w:jc w:val="both"/>
              <w:rPr>
                <w:rFonts w:hint="eastAsia" w:ascii="宋体" w:hAnsi="宋体" w:eastAsia="宋体" w:cs="宋体"/>
                <w:color w:val="auto"/>
                <w:highlight w:val="none"/>
                <w:vertAlign w:val="baseline"/>
                <w:lang w:val="en-US" w:eastAsia="zh-CN"/>
              </w:rPr>
            </w:pPr>
          </w:p>
        </w:tc>
        <w:tc>
          <w:tcPr>
            <w:tcW w:w="3486" w:type="dxa"/>
          </w:tcPr>
          <w:p w14:paraId="44ADEEB3">
            <w:pPr>
              <w:bidi w:val="0"/>
              <w:jc w:val="both"/>
              <w:rPr>
                <w:rFonts w:hint="eastAsia" w:ascii="宋体" w:hAnsi="宋体" w:eastAsia="宋体" w:cs="宋体"/>
                <w:color w:val="auto"/>
                <w:highlight w:val="none"/>
                <w:vertAlign w:val="baseline"/>
                <w:lang w:val="en-US" w:eastAsia="zh-CN"/>
              </w:rPr>
            </w:pPr>
          </w:p>
        </w:tc>
      </w:tr>
    </w:tbl>
    <w:p w14:paraId="397D35F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2E74552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1EF8EF05">
      <w:pPr>
        <w:bidi w:val="0"/>
        <w:ind w:left="0" w:leftChars="0" w:firstLine="420" w:firstLineChars="200"/>
        <w:rPr>
          <w:rFonts w:hint="eastAsia" w:ascii="宋体" w:hAnsi="宋体" w:eastAsia="宋体" w:cs="宋体"/>
          <w:color w:val="auto"/>
          <w:highlight w:val="none"/>
          <w:lang w:val="en-US" w:eastAsia="zh-CN"/>
        </w:rPr>
      </w:pPr>
    </w:p>
    <w:p w14:paraId="196AD14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0854E84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p>
    <w:p w14:paraId="49A1093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C84DDFE">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六、交易保证金</w:t>
      </w:r>
    </w:p>
    <w:p w14:paraId="511B3957">
      <w:pPr>
        <w:keepNext w:val="0"/>
        <w:keepLines w:val="0"/>
        <w:widowControl/>
        <w:suppressLineNumbers w:val="0"/>
        <w:jc w:val="center"/>
        <w:rPr>
          <w:rFonts w:hint="eastAsia" w:ascii="宋体" w:hAnsi="宋体" w:eastAsia="宋体" w:cs="宋体"/>
          <w:color w:val="auto"/>
          <w:sz w:val="28"/>
          <w:szCs w:val="28"/>
          <w:highlight w:val="none"/>
        </w:rPr>
      </w:pPr>
    </w:p>
    <w:p w14:paraId="7A9B8C50">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48A75C6A">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6F7641BD">
      <w:pPr>
        <w:pStyle w:val="2"/>
        <w:rPr>
          <w:rFonts w:hint="eastAsia" w:ascii="宋体" w:hAnsi="宋体" w:eastAsia="宋体" w:cs="宋体"/>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2D7290C0-3231-49DA-9AB9-4234A6E7576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82FC">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77A7">
    <w:pPr>
      <w:pStyle w:val="11"/>
      <w:ind w:right="36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B3B1">
    <w:pPr>
      <w:pStyle w:val="11"/>
      <w:ind w:right="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DEB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6EDEB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BFF7">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C13D">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40DC13D">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D3C3">
    <w:pPr>
      <w:pStyle w:val="12"/>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F020">
    <w:pPr>
      <w:pStyle w:val="12"/>
      <w:rPr>
        <w:rFonts w:hint="defau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7B6A">
    <w:pPr>
      <w:pBdr>
        <w:bottom w:val="none" w:color="auto" w:sz="0" w:space="0"/>
      </w:pBdr>
      <w:ind w:left="-315" w:leftChars="-150"/>
      <w:jc w:val="left"/>
      <w:rPr>
        <w:rFonts w:hint="default" w:ascii="Times New Roman" w:hAnsi="Times New Roman" w:cs="Times New Roman"/>
        <w:b w:val="0"/>
        <w:bCs w:val="0"/>
        <w:color w:val="auto"/>
        <w:kern w:val="0"/>
        <w:sz w:val="18"/>
        <w:szCs w:val="18"/>
        <w:highlight w:val="none"/>
        <w:u w:val="single"/>
        <w:lang w:eastAsia="zh-CN" w:bidi="ar"/>
      </w:rPr>
    </w:pPr>
  </w:p>
  <w:p w14:paraId="1F4050E3">
    <w:pPr>
      <w:pBdr>
        <w:bottom w:val="none" w:color="auto" w:sz="0" w:space="0"/>
      </w:pBdr>
      <w:ind w:left="-315" w:leftChars="-150" w:firstLine="420" w:firstLineChars="200"/>
      <w:jc w:val="left"/>
      <w:rPr>
        <w:rFonts w:hint="default"/>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7861"/>
    <w:multiLevelType w:val="singleLevel"/>
    <w:tmpl w:val="9CAD7861"/>
    <w:lvl w:ilvl="0" w:tentative="0">
      <w:start w:val="1"/>
      <w:numFmt w:val="decimal"/>
      <w:lvlText w:val="(%1)"/>
      <w:lvlJc w:val="left"/>
      <w:pPr>
        <w:ind w:left="425" w:hanging="425"/>
      </w:pPr>
      <w:rPr>
        <w:rFonts w:hint="default"/>
      </w:rPr>
    </w:lvl>
  </w:abstractNum>
  <w:abstractNum w:abstractNumId="1">
    <w:nsid w:val="C3F5A306"/>
    <w:multiLevelType w:val="singleLevel"/>
    <w:tmpl w:val="C3F5A306"/>
    <w:lvl w:ilvl="0" w:tentative="0">
      <w:start w:val="1"/>
      <w:numFmt w:val="decimal"/>
      <w:lvlText w:val="%1."/>
      <w:lvlJc w:val="left"/>
      <w:pPr>
        <w:ind w:left="425" w:hanging="425"/>
      </w:pPr>
      <w:rPr>
        <w:rFonts w:hint="default"/>
      </w:rPr>
    </w:lvl>
  </w:abstractNum>
  <w:abstractNum w:abstractNumId="2">
    <w:nsid w:val="C834FB3B"/>
    <w:multiLevelType w:val="singleLevel"/>
    <w:tmpl w:val="C834FB3B"/>
    <w:lvl w:ilvl="0" w:tentative="0">
      <w:start w:val="1"/>
      <w:numFmt w:val="decimal"/>
      <w:lvlText w:val="%1."/>
      <w:lvlJc w:val="left"/>
      <w:pPr>
        <w:ind w:left="425" w:hanging="425"/>
      </w:pPr>
      <w:rPr>
        <w:rFonts w:hint="default"/>
      </w:rPr>
    </w:lvl>
  </w:abstractNum>
  <w:abstractNum w:abstractNumId="3">
    <w:nsid w:val="C8C9F862"/>
    <w:multiLevelType w:val="singleLevel"/>
    <w:tmpl w:val="C8C9F862"/>
    <w:lvl w:ilvl="0" w:tentative="0">
      <w:start w:val="1"/>
      <w:numFmt w:val="decimal"/>
      <w:lvlText w:val="%1."/>
      <w:lvlJc w:val="left"/>
      <w:pPr>
        <w:ind w:left="425" w:hanging="425"/>
      </w:pPr>
      <w:rPr>
        <w:rFonts w:hint="default"/>
      </w:rPr>
    </w:lvl>
  </w:abstractNum>
  <w:abstractNum w:abstractNumId="4">
    <w:nsid w:val="CEACAAE4"/>
    <w:multiLevelType w:val="singleLevel"/>
    <w:tmpl w:val="CEACAAE4"/>
    <w:lvl w:ilvl="0" w:tentative="0">
      <w:start w:val="1"/>
      <w:numFmt w:val="decimal"/>
      <w:lvlText w:val="%1."/>
      <w:lvlJc w:val="left"/>
      <w:pPr>
        <w:ind w:left="425" w:hanging="425"/>
      </w:pPr>
      <w:rPr>
        <w:rFonts w:hint="default"/>
      </w:rPr>
    </w:lvl>
  </w:abstractNum>
  <w:abstractNum w:abstractNumId="5">
    <w:nsid w:val="D82DE858"/>
    <w:multiLevelType w:val="singleLevel"/>
    <w:tmpl w:val="D82DE858"/>
    <w:lvl w:ilvl="0" w:tentative="0">
      <w:start w:val="2"/>
      <w:numFmt w:val="decimal"/>
      <w:suff w:val="nothing"/>
      <w:lvlText w:val="%1、"/>
      <w:lvlJc w:val="left"/>
    </w:lvl>
  </w:abstractNum>
  <w:abstractNum w:abstractNumId="6">
    <w:nsid w:val="DEC8FD88"/>
    <w:multiLevelType w:val="singleLevel"/>
    <w:tmpl w:val="DEC8FD88"/>
    <w:lvl w:ilvl="0" w:tentative="0">
      <w:start w:val="8"/>
      <w:numFmt w:val="chineseCounting"/>
      <w:suff w:val="space"/>
      <w:lvlText w:val="第%1章"/>
      <w:lvlJc w:val="left"/>
      <w:rPr>
        <w:rFonts w:hint="eastAsia"/>
      </w:rPr>
    </w:lvl>
  </w:abstractNum>
  <w:abstractNum w:abstractNumId="7">
    <w:nsid w:val="F1B9FFFF"/>
    <w:multiLevelType w:val="singleLevel"/>
    <w:tmpl w:val="F1B9FFFF"/>
    <w:lvl w:ilvl="0" w:tentative="0">
      <w:start w:val="1"/>
      <w:numFmt w:val="decimal"/>
      <w:suff w:val="space"/>
      <w:lvlText w:val="%1."/>
      <w:lvlJc w:val="left"/>
    </w:lvl>
  </w:abstractNum>
  <w:abstractNum w:abstractNumId="8">
    <w:nsid w:val="03AAB2C9"/>
    <w:multiLevelType w:val="singleLevel"/>
    <w:tmpl w:val="03AAB2C9"/>
    <w:lvl w:ilvl="0" w:tentative="0">
      <w:start w:val="9"/>
      <w:numFmt w:val="chineseCounting"/>
      <w:suff w:val="space"/>
      <w:lvlText w:val="第%1条"/>
      <w:lvlJc w:val="left"/>
      <w:rPr>
        <w:rFonts w:hint="eastAsia"/>
        <w:b/>
        <w:bCs/>
      </w:rPr>
    </w:lvl>
  </w:abstractNum>
  <w:abstractNum w:abstractNumId="9">
    <w:nsid w:val="130789DA"/>
    <w:multiLevelType w:val="singleLevel"/>
    <w:tmpl w:val="130789DA"/>
    <w:lvl w:ilvl="0" w:tentative="0">
      <w:start w:val="12"/>
      <w:numFmt w:val="chineseCounting"/>
      <w:suff w:val="space"/>
      <w:lvlText w:val="第%1章"/>
      <w:lvlJc w:val="left"/>
      <w:rPr>
        <w:rFonts w:hint="eastAsia"/>
      </w:rPr>
    </w:lvl>
  </w:abstractNum>
  <w:abstractNum w:abstractNumId="10">
    <w:nsid w:val="265A1571"/>
    <w:multiLevelType w:val="singleLevel"/>
    <w:tmpl w:val="265A1571"/>
    <w:lvl w:ilvl="0" w:tentative="0">
      <w:start w:val="1"/>
      <w:numFmt w:val="decimal"/>
      <w:lvlText w:val="%1."/>
      <w:lvlJc w:val="left"/>
      <w:pPr>
        <w:ind w:left="425" w:hanging="425"/>
      </w:pPr>
      <w:rPr>
        <w:rFonts w:hint="default"/>
      </w:rPr>
    </w:lvl>
  </w:abstractNum>
  <w:abstractNum w:abstractNumId="11">
    <w:nsid w:val="4954CB11"/>
    <w:multiLevelType w:val="singleLevel"/>
    <w:tmpl w:val="4954CB11"/>
    <w:lvl w:ilvl="0" w:tentative="0">
      <w:start w:val="1"/>
      <w:numFmt w:val="decimal"/>
      <w:lvlText w:val="(%1)"/>
      <w:lvlJc w:val="left"/>
      <w:pPr>
        <w:ind w:left="425" w:hanging="425"/>
      </w:pPr>
      <w:rPr>
        <w:rFonts w:hint="default"/>
      </w:rPr>
    </w:lvl>
  </w:abstractNum>
  <w:abstractNum w:abstractNumId="12">
    <w:nsid w:val="5500E3D8"/>
    <w:multiLevelType w:val="singleLevel"/>
    <w:tmpl w:val="5500E3D8"/>
    <w:lvl w:ilvl="0" w:tentative="0">
      <w:start w:val="1"/>
      <w:numFmt w:val="chineseCounting"/>
      <w:suff w:val="nothing"/>
      <w:lvlText w:val="%1、"/>
      <w:lvlJc w:val="left"/>
      <w:pPr>
        <w:ind w:left="0" w:firstLine="420"/>
      </w:pPr>
      <w:rPr>
        <w:rFonts w:hint="eastAsia"/>
      </w:rPr>
    </w:lvl>
  </w:abstractNum>
  <w:num w:numId="1">
    <w:abstractNumId w:val="7"/>
  </w:num>
  <w:num w:numId="2">
    <w:abstractNumId w:val="8"/>
  </w:num>
  <w:num w:numId="3">
    <w:abstractNumId w:val="6"/>
  </w:num>
  <w:num w:numId="4">
    <w:abstractNumId w:val="9"/>
  </w:num>
  <w:num w:numId="5">
    <w:abstractNumId w:val="11"/>
  </w:num>
  <w:num w:numId="6">
    <w:abstractNumId w:val="0"/>
  </w:num>
  <w:num w:numId="7">
    <w:abstractNumId w:val="5"/>
  </w:num>
  <w:num w:numId="8">
    <w:abstractNumId w:val="12"/>
  </w:num>
  <w:num w:numId="9">
    <w:abstractNumId w:val="2"/>
  </w:num>
  <w:num w:numId="10">
    <w:abstractNumId w:val="4"/>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NiYjJjY2JiNmZiNWFmZjc0NDBkYzA4OTk2YWEifQ=="/>
    <w:docVar w:name="KSO_WPS_MARK_KEY" w:val="805536b9-8b6c-4015-b4c4-952fbf3b8aa2"/>
  </w:docVars>
  <w:rsids>
    <w:rsidRoot w:val="00000000"/>
    <w:rsid w:val="002D7F8E"/>
    <w:rsid w:val="00357EAC"/>
    <w:rsid w:val="004161EF"/>
    <w:rsid w:val="007A51B4"/>
    <w:rsid w:val="00CA1485"/>
    <w:rsid w:val="00CF317D"/>
    <w:rsid w:val="00EA285D"/>
    <w:rsid w:val="00F9257D"/>
    <w:rsid w:val="010121B4"/>
    <w:rsid w:val="0109531D"/>
    <w:rsid w:val="01641E30"/>
    <w:rsid w:val="016E1CBE"/>
    <w:rsid w:val="01AA7D1B"/>
    <w:rsid w:val="01E7328E"/>
    <w:rsid w:val="02153485"/>
    <w:rsid w:val="022C5CCC"/>
    <w:rsid w:val="02480252"/>
    <w:rsid w:val="024C31F1"/>
    <w:rsid w:val="024C492F"/>
    <w:rsid w:val="026305F6"/>
    <w:rsid w:val="0273635F"/>
    <w:rsid w:val="02740C51"/>
    <w:rsid w:val="02836E2C"/>
    <w:rsid w:val="02900CBF"/>
    <w:rsid w:val="02D23086"/>
    <w:rsid w:val="02FB1542"/>
    <w:rsid w:val="030805AB"/>
    <w:rsid w:val="0318530E"/>
    <w:rsid w:val="03630182"/>
    <w:rsid w:val="038A570F"/>
    <w:rsid w:val="039713C7"/>
    <w:rsid w:val="03A965F3"/>
    <w:rsid w:val="03BE7AAE"/>
    <w:rsid w:val="03E85332"/>
    <w:rsid w:val="03EB3968"/>
    <w:rsid w:val="040E6340"/>
    <w:rsid w:val="043C7483"/>
    <w:rsid w:val="04464DB7"/>
    <w:rsid w:val="044C50BA"/>
    <w:rsid w:val="048C0A12"/>
    <w:rsid w:val="049A5E25"/>
    <w:rsid w:val="04A515D1"/>
    <w:rsid w:val="04A82509"/>
    <w:rsid w:val="04AE18D1"/>
    <w:rsid w:val="04B36EE7"/>
    <w:rsid w:val="04C15D7E"/>
    <w:rsid w:val="04D67ACD"/>
    <w:rsid w:val="04E866C7"/>
    <w:rsid w:val="051D48D0"/>
    <w:rsid w:val="054144F3"/>
    <w:rsid w:val="056703FD"/>
    <w:rsid w:val="05B3073B"/>
    <w:rsid w:val="05CB0F22"/>
    <w:rsid w:val="060F639F"/>
    <w:rsid w:val="065B0739"/>
    <w:rsid w:val="067A4160"/>
    <w:rsid w:val="07124399"/>
    <w:rsid w:val="0714685F"/>
    <w:rsid w:val="07165338"/>
    <w:rsid w:val="07292279"/>
    <w:rsid w:val="072F1F7F"/>
    <w:rsid w:val="0739074D"/>
    <w:rsid w:val="077E37DC"/>
    <w:rsid w:val="07927789"/>
    <w:rsid w:val="07A44317"/>
    <w:rsid w:val="07CD1D1A"/>
    <w:rsid w:val="07CD79EE"/>
    <w:rsid w:val="07DE09F6"/>
    <w:rsid w:val="080918FE"/>
    <w:rsid w:val="083A66C8"/>
    <w:rsid w:val="08406CE4"/>
    <w:rsid w:val="086622CE"/>
    <w:rsid w:val="0874698D"/>
    <w:rsid w:val="087B2EE5"/>
    <w:rsid w:val="08A47272"/>
    <w:rsid w:val="08B77429"/>
    <w:rsid w:val="08D12ACB"/>
    <w:rsid w:val="08FD0DEE"/>
    <w:rsid w:val="09025EC2"/>
    <w:rsid w:val="091034BB"/>
    <w:rsid w:val="091A65C5"/>
    <w:rsid w:val="091E3C1E"/>
    <w:rsid w:val="09267C87"/>
    <w:rsid w:val="094840A2"/>
    <w:rsid w:val="094871EF"/>
    <w:rsid w:val="095C18FB"/>
    <w:rsid w:val="09A25560"/>
    <w:rsid w:val="09CD54A7"/>
    <w:rsid w:val="09CF47C3"/>
    <w:rsid w:val="0A0655BF"/>
    <w:rsid w:val="0A121772"/>
    <w:rsid w:val="0A142DE8"/>
    <w:rsid w:val="0A193C90"/>
    <w:rsid w:val="0A3B4C36"/>
    <w:rsid w:val="0A507397"/>
    <w:rsid w:val="0A5333E7"/>
    <w:rsid w:val="0A60541B"/>
    <w:rsid w:val="0A61061C"/>
    <w:rsid w:val="0ABF4F8E"/>
    <w:rsid w:val="0ABF7134"/>
    <w:rsid w:val="0AF17B72"/>
    <w:rsid w:val="0B112BB9"/>
    <w:rsid w:val="0B1D330C"/>
    <w:rsid w:val="0B204BAA"/>
    <w:rsid w:val="0B3C7C36"/>
    <w:rsid w:val="0B5D6E75"/>
    <w:rsid w:val="0B934561"/>
    <w:rsid w:val="0B9E444D"/>
    <w:rsid w:val="0BB82352"/>
    <w:rsid w:val="0BC33EB3"/>
    <w:rsid w:val="0C120C2A"/>
    <w:rsid w:val="0C377CE0"/>
    <w:rsid w:val="0C3B0516"/>
    <w:rsid w:val="0C434FF4"/>
    <w:rsid w:val="0C57284E"/>
    <w:rsid w:val="0C871385"/>
    <w:rsid w:val="0CA1357C"/>
    <w:rsid w:val="0CAD24E9"/>
    <w:rsid w:val="0CE856F2"/>
    <w:rsid w:val="0CE87CB7"/>
    <w:rsid w:val="0CF60C3C"/>
    <w:rsid w:val="0CF63E15"/>
    <w:rsid w:val="0D0E5602"/>
    <w:rsid w:val="0D336E17"/>
    <w:rsid w:val="0D786F20"/>
    <w:rsid w:val="0DC1331A"/>
    <w:rsid w:val="0E2A646C"/>
    <w:rsid w:val="0E2F75DE"/>
    <w:rsid w:val="0E3D3800"/>
    <w:rsid w:val="0E4868F2"/>
    <w:rsid w:val="0EA559D4"/>
    <w:rsid w:val="0EED7891"/>
    <w:rsid w:val="0EFC308E"/>
    <w:rsid w:val="0F427347"/>
    <w:rsid w:val="0F4A0448"/>
    <w:rsid w:val="0F582B65"/>
    <w:rsid w:val="0F5C08A7"/>
    <w:rsid w:val="0F870082"/>
    <w:rsid w:val="0FCB77DB"/>
    <w:rsid w:val="0FDC34BA"/>
    <w:rsid w:val="10123A37"/>
    <w:rsid w:val="104532A7"/>
    <w:rsid w:val="106B68C8"/>
    <w:rsid w:val="106C658C"/>
    <w:rsid w:val="107C2883"/>
    <w:rsid w:val="108160EB"/>
    <w:rsid w:val="108F3E01"/>
    <w:rsid w:val="109D6E49"/>
    <w:rsid w:val="10AA3894"/>
    <w:rsid w:val="10C13168"/>
    <w:rsid w:val="10C761F4"/>
    <w:rsid w:val="114C66F9"/>
    <w:rsid w:val="115455AE"/>
    <w:rsid w:val="1154735C"/>
    <w:rsid w:val="117F087D"/>
    <w:rsid w:val="11805498"/>
    <w:rsid w:val="118670D0"/>
    <w:rsid w:val="119423A3"/>
    <w:rsid w:val="11C42733"/>
    <w:rsid w:val="11E365EE"/>
    <w:rsid w:val="121C60CC"/>
    <w:rsid w:val="12AA1929"/>
    <w:rsid w:val="12CC5D44"/>
    <w:rsid w:val="12EC1F42"/>
    <w:rsid w:val="132A4818"/>
    <w:rsid w:val="134C29E0"/>
    <w:rsid w:val="13825B09"/>
    <w:rsid w:val="139E41CE"/>
    <w:rsid w:val="13A41848"/>
    <w:rsid w:val="13B563E8"/>
    <w:rsid w:val="14447B5C"/>
    <w:rsid w:val="144E2CEA"/>
    <w:rsid w:val="14902DA1"/>
    <w:rsid w:val="14990ECA"/>
    <w:rsid w:val="149C04EF"/>
    <w:rsid w:val="15022873"/>
    <w:rsid w:val="1538020A"/>
    <w:rsid w:val="15392994"/>
    <w:rsid w:val="153C6A85"/>
    <w:rsid w:val="15597637"/>
    <w:rsid w:val="157306F8"/>
    <w:rsid w:val="157733D6"/>
    <w:rsid w:val="159C3E2E"/>
    <w:rsid w:val="15A40262"/>
    <w:rsid w:val="15D31197"/>
    <w:rsid w:val="15D46CBD"/>
    <w:rsid w:val="15F15AC1"/>
    <w:rsid w:val="15F7286A"/>
    <w:rsid w:val="163B7B5C"/>
    <w:rsid w:val="16936993"/>
    <w:rsid w:val="16A21A3D"/>
    <w:rsid w:val="16AB2114"/>
    <w:rsid w:val="16FB6BF7"/>
    <w:rsid w:val="171C4DC0"/>
    <w:rsid w:val="173D0101"/>
    <w:rsid w:val="1749181B"/>
    <w:rsid w:val="1757048F"/>
    <w:rsid w:val="178713E9"/>
    <w:rsid w:val="17BD3EAD"/>
    <w:rsid w:val="17CA3799"/>
    <w:rsid w:val="17CB6D2A"/>
    <w:rsid w:val="17D8798D"/>
    <w:rsid w:val="17E4463B"/>
    <w:rsid w:val="18227444"/>
    <w:rsid w:val="183D0B4A"/>
    <w:rsid w:val="18A61E2D"/>
    <w:rsid w:val="18CE3E98"/>
    <w:rsid w:val="18F67FE4"/>
    <w:rsid w:val="193364B1"/>
    <w:rsid w:val="19A06E8F"/>
    <w:rsid w:val="19A215AC"/>
    <w:rsid w:val="19CB76F3"/>
    <w:rsid w:val="1A0E09F0"/>
    <w:rsid w:val="1A1F2BFD"/>
    <w:rsid w:val="1A457E1B"/>
    <w:rsid w:val="1A485F02"/>
    <w:rsid w:val="1A8C5DB8"/>
    <w:rsid w:val="1AB86BAD"/>
    <w:rsid w:val="1AE87493"/>
    <w:rsid w:val="1B0167A6"/>
    <w:rsid w:val="1B0D514B"/>
    <w:rsid w:val="1B124510"/>
    <w:rsid w:val="1B2129A5"/>
    <w:rsid w:val="1B3B0954"/>
    <w:rsid w:val="1BA614D5"/>
    <w:rsid w:val="1BAD48DC"/>
    <w:rsid w:val="1C0A31BC"/>
    <w:rsid w:val="1C0B16B2"/>
    <w:rsid w:val="1C3B0046"/>
    <w:rsid w:val="1C42354D"/>
    <w:rsid w:val="1C4C606B"/>
    <w:rsid w:val="1C5F1FCC"/>
    <w:rsid w:val="1C6C3216"/>
    <w:rsid w:val="1C7865F4"/>
    <w:rsid w:val="1C7D599E"/>
    <w:rsid w:val="1CB9513A"/>
    <w:rsid w:val="1CBB4733"/>
    <w:rsid w:val="1CC17F9B"/>
    <w:rsid w:val="1CDF5E05"/>
    <w:rsid w:val="1CFF2872"/>
    <w:rsid w:val="1D3369BF"/>
    <w:rsid w:val="1D395A93"/>
    <w:rsid w:val="1D57445C"/>
    <w:rsid w:val="1D903E12"/>
    <w:rsid w:val="1DB91FA2"/>
    <w:rsid w:val="1DC55869"/>
    <w:rsid w:val="1DCD24FF"/>
    <w:rsid w:val="1DFC761D"/>
    <w:rsid w:val="1E5260D6"/>
    <w:rsid w:val="1E6037E4"/>
    <w:rsid w:val="1E7B1416"/>
    <w:rsid w:val="1EE90004"/>
    <w:rsid w:val="1EF14D5D"/>
    <w:rsid w:val="1EF71E01"/>
    <w:rsid w:val="1F226FF4"/>
    <w:rsid w:val="1F462AF7"/>
    <w:rsid w:val="1FB22FA9"/>
    <w:rsid w:val="1FF97A4C"/>
    <w:rsid w:val="20126D60"/>
    <w:rsid w:val="202A22FB"/>
    <w:rsid w:val="203D162A"/>
    <w:rsid w:val="20727F31"/>
    <w:rsid w:val="208C08C0"/>
    <w:rsid w:val="20967991"/>
    <w:rsid w:val="20B261AA"/>
    <w:rsid w:val="20CA738D"/>
    <w:rsid w:val="20D56FB3"/>
    <w:rsid w:val="20F529F5"/>
    <w:rsid w:val="20F85F56"/>
    <w:rsid w:val="2110329F"/>
    <w:rsid w:val="211767EC"/>
    <w:rsid w:val="215527F4"/>
    <w:rsid w:val="21590828"/>
    <w:rsid w:val="215D4C09"/>
    <w:rsid w:val="217F21D3"/>
    <w:rsid w:val="21994430"/>
    <w:rsid w:val="21CD3C24"/>
    <w:rsid w:val="21D37BF6"/>
    <w:rsid w:val="220821C8"/>
    <w:rsid w:val="221130BF"/>
    <w:rsid w:val="22274D44"/>
    <w:rsid w:val="223435D0"/>
    <w:rsid w:val="224C2AC4"/>
    <w:rsid w:val="224D0523"/>
    <w:rsid w:val="22BB723B"/>
    <w:rsid w:val="22DB168B"/>
    <w:rsid w:val="22F8223D"/>
    <w:rsid w:val="2306260B"/>
    <w:rsid w:val="23106395"/>
    <w:rsid w:val="23425BAE"/>
    <w:rsid w:val="235668BB"/>
    <w:rsid w:val="239E554B"/>
    <w:rsid w:val="23CE155A"/>
    <w:rsid w:val="23D902C0"/>
    <w:rsid w:val="23FC3CB2"/>
    <w:rsid w:val="24184C16"/>
    <w:rsid w:val="24397462"/>
    <w:rsid w:val="24561911"/>
    <w:rsid w:val="247450D6"/>
    <w:rsid w:val="247955FF"/>
    <w:rsid w:val="24B60A64"/>
    <w:rsid w:val="25072C0B"/>
    <w:rsid w:val="2540611D"/>
    <w:rsid w:val="255A0F8D"/>
    <w:rsid w:val="25706A02"/>
    <w:rsid w:val="25C6334C"/>
    <w:rsid w:val="25D0124F"/>
    <w:rsid w:val="25D845A8"/>
    <w:rsid w:val="264659B5"/>
    <w:rsid w:val="26532A92"/>
    <w:rsid w:val="266100F9"/>
    <w:rsid w:val="26671663"/>
    <w:rsid w:val="26C64400"/>
    <w:rsid w:val="26E84487"/>
    <w:rsid w:val="26FB0D17"/>
    <w:rsid w:val="272730F1"/>
    <w:rsid w:val="274E4B21"/>
    <w:rsid w:val="27910EB2"/>
    <w:rsid w:val="279F712B"/>
    <w:rsid w:val="27B01338"/>
    <w:rsid w:val="27C13545"/>
    <w:rsid w:val="27CC57D7"/>
    <w:rsid w:val="27D33279"/>
    <w:rsid w:val="27E31511"/>
    <w:rsid w:val="28237D5C"/>
    <w:rsid w:val="28247630"/>
    <w:rsid w:val="28264EC0"/>
    <w:rsid w:val="282763A0"/>
    <w:rsid w:val="284035F2"/>
    <w:rsid w:val="28553020"/>
    <w:rsid w:val="285844AB"/>
    <w:rsid w:val="28641ED9"/>
    <w:rsid w:val="28674000"/>
    <w:rsid w:val="2879797C"/>
    <w:rsid w:val="287E31E4"/>
    <w:rsid w:val="288333D3"/>
    <w:rsid w:val="28A30A63"/>
    <w:rsid w:val="28AD1D1C"/>
    <w:rsid w:val="28BE5577"/>
    <w:rsid w:val="28C16C72"/>
    <w:rsid w:val="2907740F"/>
    <w:rsid w:val="29380E15"/>
    <w:rsid w:val="29492534"/>
    <w:rsid w:val="295126A7"/>
    <w:rsid w:val="29583A35"/>
    <w:rsid w:val="2996455E"/>
    <w:rsid w:val="29A62ABE"/>
    <w:rsid w:val="29EE79BF"/>
    <w:rsid w:val="2A16744D"/>
    <w:rsid w:val="2A186697"/>
    <w:rsid w:val="2A191012"/>
    <w:rsid w:val="2A2B4A1F"/>
    <w:rsid w:val="2A6B7798"/>
    <w:rsid w:val="2A71788C"/>
    <w:rsid w:val="2A9C2048"/>
    <w:rsid w:val="2A9F38E6"/>
    <w:rsid w:val="2AA341B6"/>
    <w:rsid w:val="2AAF65D8"/>
    <w:rsid w:val="2AF94DA4"/>
    <w:rsid w:val="2B02634F"/>
    <w:rsid w:val="2B326508"/>
    <w:rsid w:val="2B603075"/>
    <w:rsid w:val="2B6F5568"/>
    <w:rsid w:val="2BB2311B"/>
    <w:rsid w:val="2BC2788C"/>
    <w:rsid w:val="2BCA752F"/>
    <w:rsid w:val="2BCC47F9"/>
    <w:rsid w:val="2BE94E19"/>
    <w:rsid w:val="2BEE4D0C"/>
    <w:rsid w:val="2BFA11B7"/>
    <w:rsid w:val="2C05145A"/>
    <w:rsid w:val="2C09398B"/>
    <w:rsid w:val="2C5D1AC1"/>
    <w:rsid w:val="2CBA7AA0"/>
    <w:rsid w:val="2CBC252D"/>
    <w:rsid w:val="2CCA2E9C"/>
    <w:rsid w:val="2CCE763C"/>
    <w:rsid w:val="2CD77367"/>
    <w:rsid w:val="2CDA0C05"/>
    <w:rsid w:val="2CF77A09"/>
    <w:rsid w:val="2D0A3299"/>
    <w:rsid w:val="2D1C65E4"/>
    <w:rsid w:val="2D241372"/>
    <w:rsid w:val="2D687FBF"/>
    <w:rsid w:val="2D6C5D01"/>
    <w:rsid w:val="2DA65C71"/>
    <w:rsid w:val="2DBF215E"/>
    <w:rsid w:val="2E4C78E1"/>
    <w:rsid w:val="2E5C02D7"/>
    <w:rsid w:val="2E5F5866"/>
    <w:rsid w:val="2EC8630A"/>
    <w:rsid w:val="2ED8717E"/>
    <w:rsid w:val="2EE86D67"/>
    <w:rsid w:val="2F0401BB"/>
    <w:rsid w:val="2F097B74"/>
    <w:rsid w:val="2F3E2A9A"/>
    <w:rsid w:val="2F4771AC"/>
    <w:rsid w:val="2F4A5776"/>
    <w:rsid w:val="2F5E2038"/>
    <w:rsid w:val="2F71773B"/>
    <w:rsid w:val="2FB41AEB"/>
    <w:rsid w:val="2FB90FA6"/>
    <w:rsid w:val="2FE853E7"/>
    <w:rsid w:val="30142680"/>
    <w:rsid w:val="301800B0"/>
    <w:rsid w:val="306F5936"/>
    <w:rsid w:val="309B06AC"/>
    <w:rsid w:val="309D4424"/>
    <w:rsid w:val="30A8579E"/>
    <w:rsid w:val="30C15DBD"/>
    <w:rsid w:val="30C47234"/>
    <w:rsid w:val="30C66D61"/>
    <w:rsid w:val="30D8545C"/>
    <w:rsid w:val="30DC319E"/>
    <w:rsid w:val="31022300"/>
    <w:rsid w:val="311F0C14"/>
    <w:rsid w:val="3159659D"/>
    <w:rsid w:val="31853836"/>
    <w:rsid w:val="31872740"/>
    <w:rsid w:val="31943A79"/>
    <w:rsid w:val="31E75CF0"/>
    <w:rsid w:val="3203475A"/>
    <w:rsid w:val="321D139D"/>
    <w:rsid w:val="324F6CE6"/>
    <w:rsid w:val="32575633"/>
    <w:rsid w:val="325F5E35"/>
    <w:rsid w:val="328238D1"/>
    <w:rsid w:val="32B14707"/>
    <w:rsid w:val="32B863F6"/>
    <w:rsid w:val="33053731"/>
    <w:rsid w:val="3321758E"/>
    <w:rsid w:val="332D5F33"/>
    <w:rsid w:val="33891BF7"/>
    <w:rsid w:val="33AE4B9D"/>
    <w:rsid w:val="33C56012"/>
    <w:rsid w:val="33CF0D98"/>
    <w:rsid w:val="33D60872"/>
    <w:rsid w:val="33F05D7C"/>
    <w:rsid w:val="34637732"/>
    <w:rsid w:val="34BE1A71"/>
    <w:rsid w:val="34EE16F2"/>
    <w:rsid w:val="34EF3BC3"/>
    <w:rsid w:val="35103416"/>
    <w:rsid w:val="35435A90"/>
    <w:rsid w:val="35623574"/>
    <w:rsid w:val="356D19CB"/>
    <w:rsid w:val="357E2FC7"/>
    <w:rsid w:val="359009FB"/>
    <w:rsid w:val="359A7184"/>
    <w:rsid w:val="35D72186"/>
    <w:rsid w:val="35FC03DF"/>
    <w:rsid w:val="36323860"/>
    <w:rsid w:val="3646658E"/>
    <w:rsid w:val="36AF1D05"/>
    <w:rsid w:val="36BE6899"/>
    <w:rsid w:val="36C0574C"/>
    <w:rsid w:val="36EB2481"/>
    <w:rsid w:val="374227B5"/>
    <w:rsid w:val="37476E97"/>
    <w:rsid w:val="378A2E2C"/>
    <w:rsid w:val="37904CE2"/>
    <w:rsid w:val="37D17B69"/>
    <w:rsid w:val="37D20707"/>
    <w:rsid w:val="37D3697D"/>
    <w:rsid w:val="37D50947"/>
    <w:rsid w:val="37DB479F"/>
    <w:rsid w:val="37E4574A"/>
    <w:rsid w:val="37F94729"/>
    <w:rsid w:val="38005912"/>
    <w:rsid w:val="3827150A"/>
    <w:rsid w:val="382C4A0B"/>
    <w:rsid w:val="383438BF"/>
    <w:rsid w:val="384653A1"/>
    <w:rsid w:val="386F66A6"/>
    <w:rsid w:val="3892556F"/>
    <w:rsid w:val="38D676C9"/>
    <w:rsid w:val="38DB1F8D"/>
    <w:rsid w:val="38F1683E"/>
    <w:rsid w:val="3907263C"/>
    <w:rsid w:val="3911775D"/>
    <w:rsid w:val="39243934"/>
    <w:rsid w:val="396566E9"/>
    <w:rsid w:val="397321C6"/>
    <w:rsid w:val="397A79F8"/>
    <w:rsid w:val="397C3770"/>
    <w:rsid w:val="39821158"/>
    <w:rsid w:val="39987E7E"/>
    <w:rsid w:val="39A22AAB"/>
    <w:rsid w:val="39C80763"/>
    <w:rsid w:val="39D23390"/>
    <w:rsid w:val="39E10598"/>
    <w:rsid w:val="3A15327D"/>
    <w:rsid w:val="3A7B3A28"/>
    <w:rsid w:val="3A923B26"/>
    <w:rsid w:val="3AA33248"/>
    <w:rsid w:val="3AE4135E"/>
    <w:rsid w:val="3AEF1D20"/>
    <w:rsid w:val="3B050B60"/>
    <w:rsid w:val="3B375A1C"/>
    <w:rsid w:val="3B4D5F19"/>
    <w:rsid w:val="3B985F13"/>
    <w:rsid w:val="3B9F3746"/>
    <w:rsid w:val="3BA743A8"/>
    <w:rsid w:val="3BEE647B"/>
    <w:rsid w:val="3BF22272"/>
    <w:rsid w:val="3C0E0A2E"/>
    <w:rsid w:val="3C3A0A68"/>
    <w:rsid w:val="3C3A35F9"/>
    <w:rsid w:val="3C50632E"/>
    <w:rsid w:val="3C591B6F"/>
    <w:rsid w:val="3C60782F"/>
    <w:rsid w:val="3CCA6B71"/>
    <w:rsid w:val="3CD06FA6"/>
    <w:rsid w:val="3D2E2ED5"/>
    <w:rsid w:val="3D54230E"/>
    <w:rsid w:val="3D5E1BDE"/>
    <w:rsid w:val="3D71271B"/>
    <w:rsid w:val="3D8F5611"/>
    <w:rsid w:val="3D92443C"/>
    <w:rsid w:val="3DC456E6"/>
    <w:rsid w:val="3DF77869"/>
    <w:rsid w:val="3DF93E00"/>
    <w:rsid w:val="3E0E2161"/>
    <w:rsid w:val="3E174CFF"/>
    <w:rsid w:val="3E4D33B6"/>
    <w:rsid w:val="3E5A3954"/>
    <w:rsid w:val="3E6D4B50"/>
    <w:rsid w:val="3E6E73FF"/>
    <w:rsid w:val="3E974FE5"/>
    <w:rsid w:val="3E9B64DE"/>
    <w:rsid w:val="3F222FE0"/>
    <w:rsid w:val="3F3811B0"/>
    <w:rsid w:val="3F6A39FC"/>
    <w:rsid w:val="3F9136D3"/>
    <w:rsid w:val="3F9D4665"/>
    <w:rsid w:val="3FC4377B"/>
    <w:rsid w:val="3FE77469"/>
    <w:rsid w:val="40015983"/>
    <w:rsid w:val="400E6E52"/>
    <w:rsid w:val="40186DD6"/>
    <w:rsid w:val="402604EF"/>
    <w:rsid w:val="406861BB"/>
    <w:rsid w:val="406D6BDC"/>
    <w:rsid w:val="4071063D"/>
    <w:rsid w:val="407F58F4"/>
    <w:rsid w:val="408D6737"/>
    <w:rsid w:val="40E02ED9"/>
    <w:rsid w:val="40EB2F89"/>
    <w:rsid w:val="40FC0CF2"/>
    <w:rsid w:val="410D73A4"/>
    <w:rsid w:val="41272213"/>
    <w:rsid w:val="41326E0A"/>
    <w:rsid w:val="41375092"/>
    <w:rsid w:val="41390199"/>
    <w:rsid w:val="41573CA6"/>
    <w:rsid w:val="41835FC1"/>
    <w:rsid w:val="418807D8"/>
    <w:rsid w:val="41C26BC6"/>
    <w:rsid w:val="424E1A22"/>
    <w:rsid w:val="42634441"/>
    <w:rsid w:val="42663B1B"/>
    <w:rsid w:val="4282730C"/>
    <w:rsid w:val="42C1377E"/>
    <w:rsid w:val="42C46384"/>
    <w:rsid w:val="43255A95"/>
    <w:rsid w:val="43291FA2"/>
    <w:rsid w:val="434B0223"/>
    <w:rsid w:val="4363194B"/>
    <w:rsid w:val="43BD65A7"/>
    <w:rsid w:val="43CE2C49"/>
    <w:rsid w:val="43D9356D"/>
    <w:rsid w:val="43E4263E"/>
    <w:rsid w:val="442F3894"/>
    <w:rsid w:val="443E0598"/>
    <w:rsid w:val="4450450E"/>
    <w:rsid w:val="446104E2"/>
    <w:rsid w:val="446B5898"/>
    <w:rsid w:val="44735DE3"/>
    <w:rsid w:val="4484172B"/>
    <w:rsid w:val="44B55D88"/>
    <w:rsid w:val="44C91833"/>
    <w:rsid w:val="44F468B0"/>
    <w:rsid w:val="45042241"/>
    <w:rsid w:val="4516325F"/>
    <w:rsid w:val="452D0283"/>
    <w:rsid w:val="456D4F53"/>
    <w:rsid w:val="456E6C58"/>
    <w:rsid w:val="45786689"/>
    <w:rsid w:val="45886FF9"/>
    <w:rsid w:val="458F1D63"/>
    <w:rsid w:val="459C0CF6"/>
    <w:rsid w:val="46674E60"/>
    <w:rsid w:val="46A47E62"/>
    <w:rsid w:val="46AF23CF"/>
    <w:rsid w:val="46BF6A4A"/>
    <w:rsid w:val="46F10BCE"/>
    <w:rsid w:val="46F72688"/>
    <w:rsid w:val="46F92AD7"/>
    <w:rsid w:val="470E69E3"/>
    <w:rsid w:val="47246F9A"/>
    <w:rsid w:val="47745A86"/>
    <w:rsid w:val="477C6453"/>
    <w:rsid w:val="478F28C0"/>
    <w:rsid w:val="47B91DC2"/>
    <w:rsid w:val="47BA3749"/>
    <w:rsid w:val="47BE78EA"/>
    <w:rsid w:val="47C36A0E"/>
    <w:rsid w:val="47CF7161"/>
    <w:rsid w:val="47DE621C"/>
    <w:rsid w:val="47E671FA"/>
    <w:rsid w:val="47FF4A18"/>
    <w:rsid w:val="48080ABE"/>
    <w:rsid w:val="484A6384"/>
    <w:rsid w:val="486F3910"/>
    <w:rsid w:val="48D52555"/>
    <w:rsid w:val="490D3273"/>
    <w:rsid w:val="49162F24"/>
    <w:rsid w:val="49216A74"/>
    <w:rsid w:val="49470ABD"/>
    <w:rsid w:val="49490CA3"/>
    <w:rsid w:val="494D658F"/>
    <w:rsid w:val="49583186"/>
    <w:rsid w:val="495F2766"/>
    <w:rsid w:val="49971F00"/>
    <w:rsid w:val="49E136AB"/>
    <w:rsid w:val="49E62540"/>
    <w:rsid w:val="49EE33FF"/>
    <w:rsid w:val="4A0D0EF6"/>
    <w:rsid w:val="4A2D38C8"/>
    <w:rsid w:val="4A5606F5"/>
    <w:rsid w:val="4A610183"/>
    <w:rsid w:val="4A9B3185"/>
    <w:rsid w:val="4B180E1F"/>
    <w:rsid w:val="4B1B6510"/>
    <w:rsid w:val="4B1F0475"/>
    <w:rsid w:val="4B282AE6"/>
    <w:rsid w:val="4B4B7415"/>
    <w:rsid w:val="4B955F8C"/>
    <w:rsid w:val="4B9A5F9D"/>
    <w:rsid w:val="4BBC79FC"/>
    <w:rsid w:val="4BEF3A38"/>
    <w:rsid w:val="4C234D35"/>
    <w:rsid w:val="4C4719BC"/>
    <w:rsid w:val="4C4D4AF8"/>
    <w:rsid w:val="4C7262BA"/>
    <w:rsid w:val="4C9646F1"/>
    <w:rsid w:val="4CAA3CF8"/>
    <w:rsid w:val="4CBA7AAF"/>
    <w:rsid w:val="4CC55FE4"/>
    <w:rsid w:val="4CEA2347"/>
    <w:rsid w:val="4D2515D1"/>
    <w:rsid w:val="4D465454"/>
    <w:rsid w:val="4D8602C2"/>
    <w:rsid w:val="4D862B22"/>
    <w:rsid w:val="4DA45A84"/>
    <w:rsid w:val="4DAA0571"/>
    <w:rsid w:val="4DC949F8"/>
    <w:rsid w:val="4DDA060D"/>
    <w:rsid w:val="4DF6443C"/>
    <w:rsid w:val="4DF91E57"/>
    <w:rsid w:val="4E2E7429"/>
    <w:rsid w:val="4E306AEB"/>
    <w:rsid w:val="4E400918"/>
    <w:rsid w:val="4E975F97"/>
    <w:rsid w:val="4EA64E0F"/>
    <w:rsid w:val="4ED65F9C"/>
    <w:rsid w:val="4ED82D9F"/>
    <w:rsid w:val="4EFB4CDF"/>
    <w:rsid w:val="4F0E786D"/>
    <w:rsid w:val="4F5477AA"/>
    <w:rsid w:val="4F6211FF"/>
    <w:rsid w:val="4FC25F8E"/>
    <w:rsid w:val="4FE65048"/>
    <w:rsid w:val="50033E4B"/>
    <w:rsid w:val="50506965"/>
    <w:rsid w:val="50A55552"/>
    <w:rsid w:val="50C730CB"/>
    <w:rsid w:val="50EA0B67"/>
    <w:rsid w:val="51416C84"/>
    <w:rsid w:val="515E03EA"/>
    <w:rsid w:val="51763829"/>
    <w:rsid w:val="518B234A"/>
    <w:rsid w:val="519421B9"/>
    <w:rsid w:val="51A15F4C"/>
    <w:rsid w:val="51A76A58"/>
    <w:rsid w:val="51AE1D36"/>
    <w:rsid w:val="51BA2C30"/>
    <w:rsid w:val="52165F73"/>
    <w:rsid w:val="522105B9"/>
    <w:rsid w:val="52323085"/>
    <w:rsid w:val="52C46986"/>
    <w:rsid w:val="530B665A"/>
    <w:rsid w:val="531B5950"/>
    <w:rsid w:val="53523B59"/>
    <w:rsid w:val="538434F5"/>
    <w:rsid w:val="538F59F6"/>
    <w:rsid w:val="53C94C04"/>
    <w:rsid w:val="53CB2ED2"/>
    <w:rsid w:val="53CF1BBC"/>
    <w:rsid w:val="53D1600F"/>
    <w:rsid w:val="541505F1"/>
    <w:rsid w:val="543A0058"/>
    <w:rsid w:val="544E6AA7"/>
    <w:rsid w:val="5455702E"/>
    <w:rsid w:val="548F2E8A"/>
    <w:rsid w:val="549C661D"/>
    <w:rsid w:val="54F14BBA"/>
    <w:rsid w:val="54F63C74"/>
    <w:rsid w:val="551E742C"/>
    <w:rsid w:val="552503C0"/>
    <w:rsid w:val="553552CC"/>
    <w:rsid w:val="553C7AB7"/>
    <w:rsid w:val="554613D4"/>
    <w:rsid w:val="55594A70"/>
    <w:rsid w:val="558D3F54"/>
    <w:rsid w:val="55986DE4"/>
    <w:rsid w:val="55B445E8"/>
    <w:rsid w:val="55D10548"/>
    <w:rsid w:val="561934D3"/>
    <w:rsid w:val="563504A3"/>
    <w:rsid w:val="564146E8"/>
    <w:rsid w:val="568B7E35"/>
    <w:rsid w:val="56B7773E"/>
    <w:rsid w:val="56C625D3"/>
    <w:rsid w:val="571132F2"/>
    <w:rsid w:val="571F7A0F"/>
    <w:rsid w:val="57482A8C"/>
    <w:rsid w:val="57874C1F"/>
    <w:rsid w:val="57AA5EAC"/>
    <w:rsid w:val="57B53D1C"/>
    <w:rsid w:val="57BE4AFC"/>
    <w:rsid w:val="57D0648F"/>
    <w:rsid w:val="57FF48DC"/>
    <w:rsid w:val="58095D77"/>
    <w:rsid w:val="58543AB8"/>
    <w:rsid w:val="58586CFE"/>
    <w:rsid w:val="5862192B"/>
    <w:rsid w:val="58825949"/>
    <w:rsid w:val="58A3441E"/>
    <w:rsid w:val="58CA1EBD"/>
    <w:rsid w:val="58D04AE7"/>
    <w:rsid w:val="58D520FD"/>
    <w:rsid w:val="58F20F01"/>
    <w:rsid w:val="590D0758"/>
    <w:rsid w:val="59435A08"/>
    <w:rsid w:val="596F6A33"/>
    <w:rsid w:val="59761A20"/>
    <w:rsid w:val="59AA17DC"/>
    <w:rsid w:val="59C17497"/>
    <w:rsid w:val="59EC6FE0"/>
    <w:rsid w:val="5A04039C"/>
    <w:rsid w:val="5A250854"/>
    <w:rsid w:val="5A2D1404"/>
    <w:rsid w:val="5A33768E"/>
    <w:rsid w:val="5A565B2E"/>
    <w:rsid w:val="5A871B1D"/>
    <w:rsid w:val="5AC97A40"/>
    <w:rsid w:val="5AD52888"/>
    <w:rsid w:val="5AE76118"/>
    <w:rsid w:val="5AFC1BC3"/>
    <w:rsid w:val="5AFD0698"/>
    <w:rsid w:val="5AFD593B"/>
    <w:rsid w:val="5B074697"/>
    <w:rsid w:val="5B61411C"/>
    <w:rsid w:val="5B765E19"/>
    <w:rsid w:val="5B90055D"/>
    <w:rsid w:val="5BB46942"/>
    <w:rsid w:val="5BEC1C38"/>
    <w:rsid w:val="5C123256"/>
    <w:rsid w:val="5C1B251D"/>
    <w:rsid w:val="5CD01559"/>
    <w:rsid w:val="5CFD22D5"/>
    <w:rsid w:val="5D0459D8"/>
    <w:rsid w:val="5D064610"/>
    <w:rsid w:val="5D443618"/>
    <w:rsid w:val="5D855930"/>
    <w:rsid w:val="5D8B07A4"/>
    <w:rsid w:val="5DA45FC7"/>
    <w:rsid w:val="5DB3182E"/>
    <w:rsid w:val="5DC17507"/>
    <w:rsid w:val="5DEF3DFE"/>
    <w:rsid w:val="5E162772"/>
    <w:rsid w:val="5E343D6A"/>
    <w:rsid w:val="5E54073A"/>
    <w:rsid w:val="5E5A2CD6"/>
    <w:rsid w:val="5E741D96"/>
    <w:rsid w:val="5E7E71B6"/>
    <w:rsid w:val="5E875C48"/>
    <w:rsid w:val="5EDB41E5"/>
    <w:rsid w:val="5F105C3D"/>
    <w:rsid w:val="5F1A793B"/>
    <w:rsid w:val="5FB2375F"/>
    <w:rsid w:val="5FBC5DC5"/>
    <w:rsid w:val="5FD119D0"/>
    <w:rsid w:val="5FE86BBA"/>
    <w:rsid w:val="5FEC48FC"/>
    <w:rsid w:val="5FFE053C"/>
    <w:rsid w:val="60082DB8"/>
    <w:rsid w:val="604B774D"/>
    <w:rsid w:val="6061058D"/>
    <w:rsid w:val="606C77EB"/>
    <w:rsid w:val="608A1A1F"/>
    <w:rsid w:val="609603C4"/>
    <w:rsid w:val="60964922"/>
    <w:rsid w:val="60A65731"/>
    <w:rsid w:val="60BB607C"/>
    <w:rsid w:val="60D07D7A"/>
    <w:rsid w:val="60E6759D"/>
    <w:rsid w:val="60ED31FA"/>
    <w:rsid w:val="60F04023"/>
    <w:rsid w:val="615C160D"/>
    <w:rsid w:val="61AD5C4B"/>
    <w:rsid w:val="61BE4076"/>
    <w:rsid w:val="620677CB"/>
    <w:rsid w:val="62131744"/>
    <w:rsid w:val="62256111"/>
    <w:rsid w:val="62285994"/>
    <w:rsid w:val="62310D49"/>
    <w:rsid w:val="6233339B"/>
    <w:rsid w:val="62373E29"/>
    <w:rsid w:val="62571DD5"/>
    <w:rsid w:val="626B762E"/>
    <w:rsid w:val="62816E52"/>
    <w:rsid w:val="62AF39BF"/>
    <w:rsid w:val="62E25B42"/>
    <w:rsid w:val="632C0E07"/>
    <w:rsid w:val="633671EC"/>
    <w:rsid w:val="63540F7F"/>
    <w:rsid w:val="6390490C"/>
    <w:rsid w:val="63B8083F"/>
    <w:rsid w:val="6410048D"/>
    <w:rsid w:val="64134D3F"/>
    <w:rsid w:val="64430863"/>
    <w:rsid w:val="64552344"/>
    <w:rsid w:val="645A43CD"/>
    <w:rsid w:val="647252EF"/>
    <w:rsid w:val="64A15589"/>
    <w:rsid w:val="64D616D7"/>
    <w:rsid w:val="650D2C1F"/>
    <w:rsid w:val="65342AB6"/>
    <w:rsid w:val="655817B4"/>
    <w:rsid w:val="655A481C"/>
    <w:rsid w:val="65640A91"/>
    <w:rsid w:val="657E652A"/>
    <w:rsid w:val="65896749"/>
    <w:rsid w:val="65B14824"/>
    <w:rsid w:val="65BA2DA7"/>
    <w:rsid w:val="65D5198E"/>
    <w:rsid w:val="662446C4"/>
    <w:rsid w:val="664803B2"/>
    <w:rsid w:val="66535093"/>
    <w:rsid w:val="665D7914"/>
    <w:rsid w:val="6687626C"/>
    <w:rsid w:val="66A070C9"/>
    <w:rsid w:val="66B772E6"/>
    <w:rsid w:val="66FC2F4B"/>
    <w:rsid w:val="67490DDC"/>
    <w:rsid w:val="675D1525"/>
    <w:rsid w:val="67656D42"/>
    <w:rsid w:val="677B0314"/>
    <w:rsid w:val="67A31DBB"/>
    <w:rsid w:val="67E660D5"/>
    <w:rsid w:val="68001EB2"/>
    <w:rsid w:val="68285BED"/>
    <w:rsid w:val="684C492A"/>
    <w:rsid w:val="68727968"/>
    <w:rsid w:val="68931B3D"/>
    <w:rsid w:val="689A2A1B"/>
    <w:rsid w:val="68C305E8"/>
    <w:rsid w:val="690B56C7"/>
    <w:rsid w:val="690E43C7"/>
    <w:rsid w:val="69164568"/>
    <w:rsid w:val="69261CB9"/>
    <w:rsid w:val="693B4187"/>
    <w:rsid w:val="693C34C5"/>
    <w:rsid w:val="69401DA6"/>
    <w:rsid w:val="69852275"/>
    <w:rsid w:val="699670B1"/>
    <w:rsid w:val="69CC1E41"/>
    <w:rsid w:val="69D12417"/>
    <w:rsid w:val="69D962BC"/>
    <w:rsid w:val="69E16C41"/>
    <w:rsid w:val="69F75F14"/>
    <w:rsid w:val="6A0E4801"/>
    <w:rsid w:val="6A1375FF"/>
    <w:rsid w:val="6A1F7952"/>
    <w:rsid w:val="6A22716C"/>
    <w:rsid w:val="6A246A40"/>
    <w:rsid w:val="6A3826FB"/>
    <w:rsid w:val="6A3F044D"/>
    <w:rsid w:val="6A7C687C"/>
    <w:rsid w:val="6A8F6C71"/>
    <w:rsid w:val="6A900637"/>
    <w:rsid w:val="6A917E7A"/>
    <w:rsid w:val="6AA62479"/>
    <w:rsid w:val="6AB778B5"/>
    <w:rsid w:val="6ADB7A47"/>
    <w:rsid w:val="6AF04CEE"/>
    <w:rsid w:val="6B15360A"/>
    <w:rsid w:val="6B4849B1"/>
    <w:rsid w:val="6B5735A0"/>
    <w:rsid w:val="6B763727"/>
    <w:rsid w:val="6B9246C9"/>
    <w:rsid w:val="6B9E0A74"/>
    <w:rsid w:val="6BA64490"/>
    <w:rsid w:val="6BAC3191"/>
    <w:rsid w:val="6BAF004B"/>
    <w:rsid w:val="6BCA0DB1"/>
    <w:rsid w:val="6BCC55E2"/>
    <w:rsid w:val="6BF52EDA"/>
    <w:rsid w:val="6BFA38B5"/>
    <w:rsid w:val="6C64793D"/>
    <w:rsid w:val="6C6A0FE1"/>
    <w:rsid w:val="6CA83959"/>
    <w:rsid w:val="6CC462B9"/>
    <w:rsid w:val="6CCF746F"/>
    <w:rsid w:val="6CF41951"/>
    <w:rsid w:val="6D2F4CC8"/>
    <w:rsid w:val="6D4738C9"/>
    <w:rsid w:val="6D57712D"/>
    <w:rsid w:val="6D6078E9"/>
    <w:rsid w:val="6D7221B9"/>
    <w:rsid w:val="6DB84B1B"/>
    <w:rsid w:val="6DB85E1E"/>
    <w:rsid w:val="6E0948CB"/>
    <w:rsid w:val="6E5870E1"/>
    <w:rsid w:val="6E5A3C07"/>
    <w:rsid w:val="6EA445F4"/>
    <w:rsid w:val="6EB505AF"/>
    <w:rsid w:val="6EB721B0"/>
    <w:rsid w:val="6EF07839"/>
    <w:rsid w:val="6EFB7A06"/>
    <w:rsid w:val="6F100606"/>
    <w:rsid w:val="6F252FCD"/>
    <w:rsid w:val="6F3E546B"/>
    <w:rsid w:val="6F8A10CB"/>
    <w:rsid w:val="6F906306"/>
    <w:rsid w:val="6F93306C"/>
    <w:rsid w:val="6F944668"/>
    <w:rsid w:val="6FB03C97"/>
    <w:rsid w:val="6FB06044"/>
    <w:rsid w:val="6FB5491F"/>
    <w:rsid w:val="6FB645DF"/>
    <w:rsid w:val="6FB95E7D"/>
    <w:rsid w:val="6FD41A75"/>
    <w:rsid w:val="6FD96722"/>
    <w:rsid w:val="6FF3325D"/>
    <w:rsid w:val="6FFC6DE8"/>
    <w:rsid w:val="70041A7E"/>
    <w:rsid w:val="70250894"/>
    <w:rsid w:val="702F613F"/>
    <w:rsid w:val="708752DE"/>
    <w:rsid w:val="70F826F5"/>
    <w:rsid w:val="71200960"/>
    <w:rsid w:val="713E488C"/>
    <w:rsid w:val="716B489A"/>
    <w:rsid w:val="71795452"/>
    <w:rsid w:val="71A32941"/>
    <w:rsid w:val="720C498A"/>
    <w:rsid w:val="720E1013"/>
    <w:rsid w:val="7216210F"/>
    <w:rsid w:val="72203F91"/>
    <w:rsid w:val="72205DA8"/>
    <w:rsid w:val="72253C9E"/>
    <w:rsid w:val="72364E85"/>
    <w:rsid w:val="723A3AE3"/>
    <w:rsid w:val="72563E57"/>
    <w:rsid w:val="725D55AA"/>
    <w:rsid w:val="729A338A"/>
    <w:rsid w:val="72C277F2"/>
    <w:rsid w:val="72D54D7C"/>
    <w:rsid w:val="72F01BB6"/>
    <w:rsid w:val="72F23216"/>
    <w:rsid w:val="73013DC3"/>
    <w:rsid w:val="73034F50"/>
    <w:rsid w:val="730B2E93"/>
    <w:rsid w:val="734615F1"/>
    <w:rsid w:val="736D365C"/>
    <w:rsid w:val="73726A6F"/>
    <w:rsid w:val="737E4983"/>
    <w:rsid w:val="73852C46"/>
    <w:rsid w:val="738A200A"/>
    <w:rsid w:val="739811CC"/>
    <w:rsid w:val="73BD2F1E"/>
    <w:rsid w:val="73C65949"/>
    <w:rsid w:val="73CA3B68"/>
    <w:rsid w:val="73E536E4"/>
    <w:rsid w:val="74400EDB"/>
    <w:rsid w:val="748C590E"/>
    <w:rsid w:val="74BB250E"/>
    <w:rsid w:val="74BD1F6B"/>
    <w:rsid w:val="7500325A"/>
    <w:rsid w:val="75071439"/>
    <w:rsid w:val="750B14E6"/>
    <w:rsid w:val="750E45A3"/>
    <w:rsid w:val="75396AE8"/>
    <w:rsid w:val="755723C0"/>
    <w:rsid w:val="75613802"/>
    <w:rsid w:val="759F2699"/>
    <w:rsid w:val="75AE7B06"/>
    <w:rsid w:val="762D4ECF"/>
    <w:rsid w:val="764566BC"/>
    <w:rsid w:val="76544D27"/>
    <w:rsid w:val="766D34B0"/>
    <w:rsid w:val="767E7212"/>
    <w:rsid w:val="76884D7F"/>
    <w:rsid w:val="769B452E"/>
    <w:rsid w:val="76EA2176"/>
    <w:rsid w:val="771A5634"/>
    <w:rsid w:val="771B04C1"/>
    <w:rsid w:val="77253DF8"/>
    <w:rsid w:val="77440722"/>
    <w:rsid w:val="774D7179"/>
    <w:rsid w:val="77505319"/>
    <w:rsid w:val="7756298E"/>
    <w:rsid w:val="778B45A3"/>
    <w:rsid w:val="778E0927"/>
    <w:rsid w:val="779010FA"/>
    <w:rsid w:val="77C83101"/>
    <w:rsid w:val="780103C1"/>
    <w:rsid w:val="78216CB5"/>
    <w:rsid w:val="79053957"/>
    <w:rsid w:val="79095F83"/>
    <w:rsid w:val="790B0D2A"/>
    <w:rsid w:val="79293B6D"/>
    <w:rsid w:val="793A5AB1"/>
    <w:rsid w:val="796926C2"/>
    <w:rsid w:val="797C23F5"/>
    <w:rsid w:val="79A31741"/>
    <w:rsid w:val="79B27BE3"/>
    <w:rsid w:val="79B37DE1"/>
    <w:rsid w:val="79B71E5D"/>
    <w:rsid w:val="79C02027"/>
    <w:rsid w:val="79F3642F"/>
    <w:rsid w:val="7A543372"/>
    <w:rsid w:val="7A5769BE"/>
    <w:rsid w:val="7A995229"/>
    <w:rsid w:val="7B3749B5"/>
    <w:rsid w:val="7BAE260E"/>
    <w:rsid w:val="7BCE0F02"/>
    <w:rsid w:val="7BDA00C6"/>
    <w:rsid w:val="7BE86DCA"/>
    <w:rsid w:val="7BFA3AA5"/>
    <w:rsid w:val="7C4B60AF"/>
    <w:rsid w:val="7C6C0E1F"/>
    <w:rsid w:val="7C86358B"/>
    <w:rsid w:val="7CB974BC"/>
    <w:rsid w:val="7CCD4D16"/>
    <w:rsid w:val="7CD41E02"/>
    <w:rsid w:val="7CEA3B1A"/>
    <w:rsid w:val="7D2C4132"/>
    <w:rsid w:val="7D5316BF"/>
    <w:rsid w:val="7D7B29C4"/>
    <w:rsid w:val="7D8575B6"/>
    <w:rsid w:val="7D893333"/>
    <w:rsid w:val="7D8A1398"/>
    <w:rsid w:val="7D9B56F8"/>
    <w:rsid w:val="7DAC51BA"/>
    <w:rsid w:val="7DE44A0D"/>
    <w:rsid w:val="7DF84014"/>
    <w:rsid w:val="7E0A29B9"/>
    <w:rsid w:val="7E134240"/>
    <w:rsid w:val="7E6F7359"/>
    <w:rsid w:val="7E7B6E1F"/>
    <w:rsid w:val="7EB1209C"/>
    <w:rsid w:val="7EBB39C0"/>
    <w:rsid w:val="7EC64112"/>
    <w:rsid w:val="7EE84089"/>
    <w:rsid w:val="7F1323A1"/>
    <w:rsid w:val="7F20732F"/>
    <w:rsid w:val="7F532EF0"/>
    <w:rsid w:val="7F5E5A33"/>
    <w:rsid w:val="7F6000C3"/>
    <w:rsid w:val="7F643B5C"/>
    <w:rsid w:val="7F967F89"/>
    <w:rsid w:val="7FB126CD"/>
    <w:rsid w:val="7FB4040F"/>
    <w:rsid w:val="7FD34D39"/>
    <w:rsid w:val="FFF7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6"/>
    <w:unhideWhenUsed/>
    <w:qFormat/>
    <w:uiPriority w:val="0"/>
    <w:pPr>
      <w:keepNext/>
      <w:keepLines/>
      <w:spacing w:line="560" w:lineRule="exact"/>
      <w:outlineLvl w:val="2"/>
    </w:pPr>
    <w:rPr>
      <w:rFonts w:ascii="仿宋" w:hAnsi="仿宋" w:cs="Times New Roman"/>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7">
    <w:name w:val="Normal Indent"/>
    <w:basedOn w:val="1"/>
    <w:unhideWhenUsed/>
    <w:qFormat/>
    <w:uiPriority w:val="99"/>
    <w:pPr>
      <w:ind w:firstLine="420" w:firstLineChars="200"/>
    </w:pPr>
    <w:rPr>
      <w:rFonts w:ascii="Times New Roman" w:hAnsi="Times New Roman" w:eastAsia="宋体" w:cs="Times New Roman"/>
      <w14:ligatures w14:val="none"/>
    </w:r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leftChars="200"/>
    </w:pPr>
    <w:rPr>
      <w:rFonts w:hint="eastAsia"/>
      <w:szCs w:val="20"/>
    </w:rPr>
  </w:style>
  <w:style w:type="paragraph" w:styleId="10">
    <w:name w:val="Plain Text"/>
    <w:basedOn w:val="1"/>
    <w:qFormat/>
    <w:uiPriority w:val="99"/>
    <w:pPr>
      <w:jc w:val="center"/>
    </w:pPr>
    <w:rPr>
      <w:rFonts w:ascii="方正小标宋简体" w:hAnsi="Courier New" w:cs="方正小标宋简体"/>
      <w:lang w:val="zh-CN"/>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0"/>
    <w:rPr>
      <w:color w:val="3665C3"/>
      <w:u w:val="none"/>
    </w:rPr>
  </w:style>
  <w:style w:type="paragraph" w:customStyle="1" w:styleId="19">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1">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22043</Words>
  <Characters>22466</Characters>
  <Lines>0</Lines>
  <Paragraphs>0</Paragraphs>
  <TotalTime>2</TotalTime>
  <ScaleCrop>false</ScaleCrop>
  <LinksUpToDate>false</LinksUpToDate>
  <CharactersWithSpaces>23536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2023-02-20T04:13:00Z</dcterms:created>
  <dc:creator>Administrator</dc:creator>
  <cp:lastModifiedBy>·L·</cp:lastModifiedBy>
  <cp:lastPrinted>2023-09-28T01:23:00Z</cp:lastPrinted>
  <dcterms:modified xsi:type="dcterms:W3CDTF">2026-01-15T07:51:46Z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EB4AA17A1819491ABFF13417E4E735A9_13</vt:lpwstr>
  </property>
  <property fmtid="{D5CDD505-2E9C-101B-9397-08002B2CF9AE}" pid="4" name="KSOTemplateDocerSaveRecord">
    <vt:lpwstr>eyJoZGlkIjoiYmE5OTM3NjNjNDRmYzMyMTg2MWRiNGRmNmJlZmQ0NTYiLCJ1c2VySWQiOiI1NzY2MTkzMDYifQ==</vt:lpwstr>
  </property>
</Properties>
</file>