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E32C3">
      <w:pPr>
        <w:tabs>
          <w:tab w:val="left" w:pos="6300"/>
        </w:tabs>
        <w:snapToGrid w:val="0"/>
        <w:spacing w:line="440" w:lineRule="exact"/>
        <w:ind w:right="-941" w:rightChars="-448"/>
        <w:jc w:val="center"/>
        <w:rPr>
          <w:rFonts w:hint="eastAsia" w:ascii="宋体" w:hAnsi="宋体" w:eastAsia="宋体" w:cs="宋体"/>
          <w:b/>
          <w:color w:val="auto"/>
          <w:sz w:val="52"/>
          <w:szCs w:val="52"/>
          <w:highlight w:val="none"/>
        </w:rPr>
      </w:pPr>
    </w:p>
    <w:p w14:paraId="3D3E631E">
      <w:pPr>
        <w:tabs>
          <w:tab w:val="left" w:pos="6300"/>
        </w:tabs>
        <w:snapToGrid w:val="0"/>
        <w:spacing w:line="360" w:lineRule="auto"/>
        <w:ind w:right="-941" w:rightChars="-448"/>
        <w:rPr>
          <w:rFonts w:hint="eastAsia" w:ascii="宋体" w:hAnsi="宋体" w:eastAsia="宋体" w:cs="宋体"/>
          <w:b/>
          <w:color w:val="auto"/>
          <w:sz w:val="52"/>
          <w:szCs w:val="52"/>
          <w:highlight w:val="none"/>
        </w:rPr>
      </w:pPr>
    </w:p>
    <w:p w14:paraId="056AD968">
      <w:pPr>
        <w:spacing w:line="360" w:lineRule="auto"/>
        <w:ind w:right="-338" w:rightChars="-161"/>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lang w:eastAsia="zh-CN"/>
        </w:rPr>
        <w:t>钟秀西</w:t>
      </w:r>
      <w:r>
        <w:rPr>
          <w:rFonts w:hint="eastAsia" w:ascii="宋体" w:hAnsi="宋体" w:cs="宋体"/>
          <w:b/>
          <w:color w:val="auto"/>
          <w:sz w:val="52"/>
          <w:szCs w:val="52"/>
          <w:highlight w:val="none"/>
          <w:lang w:val="en-US" w:eastAsia="zh-CN"/>
        </w:rPr>
        <w:t>地铁大</w:t>
      </w:r>
      <w:r>
        <w:rPr>
          <w:rFonts w:hint="eastAsia" w:ascii="宋体" w:hAnsi="宋体" w:eastAsia="宋体" w:cs="宋体"/>
          <w:b/>
          <w:color w:val="auto"/>
          <w:sz w:val="52"/>
          <w:szCs w:val="52"/>
          <w:highlight w:val="none"/>
          <w:lang w:eastAsia="zh-CN"/>
        </w:rPr>
        <w:t>食堂改造工程</w:t>
      </w:r>
      <w:r>
        <w:rPr>
          <w:rFonts w:hint="eastAsia" w:ascii="宋体" w:hAnsi="宋体" w:cs="宋体"/>
          <w:b/>
          <w:color w:val="auto"/>
          <w:sz w:val="52"/>
          <w:szCs w:val="52"/>
          <w:highlight w:val="none"/>
          <w:lang w:eastAsia="zh-CN"/>
        </w:rPr>
        <w:t>（</w:t>
      </w:r>
      <w:r>
        <w:rPr>
          <w:rFonts w:hint="eastAsia" w:ascii="宋体" w:hAnsi="宋体" w:cs="宋体"/>
          <w:b/>
          <w:color w:val="auto"/>
          <w:sz w:val="52"/>
          <w:szCs w:val="52"/>
          <w:highlight w:val="none"/>
          <w:lang w:val="en-US" w:eastAsia="zh-CN"/>
        </w:rPr>
        <w:t>二次</w:t>
      </w:r>
      <w:r>
        <w:rPr>
          <w:rFonts w:hint="eastAsia" w:ascii="宋体" w:hAnsi="宋体" w:cs="宋体"/>
          <w:b/>
          <w:color w:val="auto"/>
          <w:sz w:val="52"/>
          <w:szCs w:val="52"/>
          <w:highlight w:val="none"/>
          <w:lang w:eastAsia="zh-CN"/>
        </w:rPr>
        <w:t>）</w:t>
      </w:r>
      <w:r>
        <w:rPr>
          <w:rFonts w:hint="eastAsia" w:ascii="宋体" w:hAnsi="宋体" w:eastAsia="宋体" w:cs="宋体"/>
          <w:b/>
          <w:color w:val="auto"/>
          <w:sz w:val="52"/>
          <w:szCs w:val="52"/>
          <w:highlight w:val="none"/>
        </w:rPr>
        <w:t xml:space="preserve">                                                                                                                                                                                                                                                                                                                                                                                                                                                                                                                                                                                                                                                                                                                                                                                                                                                                                                                                                                                                                                                                                                                                                                                                                                                                                                                                                                                                                                                                                                                                                                                                                                                                                                                                                                                                                                                                                                                                                                                                                                                                                                                                                                                                                                                                                                                                                                                                                                                                                                                                                                                                                                                                                                                                                                                                                                                                                                                                                                                                                                                                                                                                                                                                                                                                                                                                                                                                                                                                                                                                                                                                                                                                                                                                                                                                                                                                                                                                                                                                                                                                                                                                                                                                                </w:t>
      </w:r>
      <w:r>
        <w:rPr>
          <w:rFonts w:hint="eastAsia" w:ascii="宋体" w:hAnsi="宋体" w:eastAsia="宋体" w:cs="宋体"/>
          <w:b/>
          <w:color w:val="auto"/>
          <w:sz w:val="52"/>
          <w:szCs w:val="52"/>
          <w:highlight w:val="none"/>
        </w:rPr>
        <w:t xml:space="preserve">                                                                                                                                                                                                                                                                                                                                                                                                                                                                                                                                                                                                                                                                                                                                                                                                                                                                                                                                                                                                                                                                                                                                                                                                                                                                                                                                                                                                                                                                                                                                                                                                                                                                                                                                                                                                                                                              </w:t>
      </w:r>
    </w:p>
    <w:p w14:paraId="6F231304">
      <w:pPr>
        <w:spacing w:line="360" w:lineRule="auto"/>
        <w:ind w:right="-338" w:rightChars="-161"/>
        <w:jc w:val="center"/>
        <w:rPr>
          <w:rFonts w:hint="eastAsia" w:ascii="宋体" w:hAnsi="宋体" w:eastAsia="宋体" w:cs="宋体"/>
          <w:b/>
          <w:color w:val="auto"/>
          <w:sz w:val="100"/>
          <w:szCs w:val="100"/>
          <w:highlight w:val="none"/>
        </w:rPr>
      </w:pPr>
    </w:p>
    <w:p w14:paraId="2F9D6F0C">
      <w:pPr>
        <w:spacing w:line="360" w:lineRule="auto"/>
        <w:ind w:right="-338" w:rightChars="-161"/>
        <w:jc w:val="center"/>
        <w:rPr>
          <w:rFonts w:hint="eastAsia" w:ascii="宋体" w:hAnsi="宋体" w:eastAsia="宋体" w:cs="宋体"/>
          <w:b/>
          <w:color w:val="auto"/>
          <w:sz w:val="100"/>
          <w:szCs w:val="100"/>
          <w:highlight w:val="none"/>
          <w:lang w:eastAsia="zh-CN"/>
        </w:rPr>
      </w:pPr>
      <w:r>
        <w:rPr>
          <w:rFonts w:hint="eastAsia" w:ascii="宋体" w:hAnsi="宋体" w:eastAsia="宋体" w:cs="宋体"/>
          <w:b/>
          <w:color w:val="auto"/>
          <w:sz w:val="100"/>
          <w:szCs w:val="100"/>
          <w:highlight w:val="none"/>
          <w:lang w:eastAsia="zh-CN"/>
        </w:rPr>
        <w:t>招标文件</w:t>
      </w:r>
    </w:p>
    <w:p w14:paraId="45B9FD18">
      <w:pPr>
        <w:spacing w:line="360" w:lineRule="auto"/>
        <w:ind w:right="-338" w:rightChars="-161"/>
        <w:rPr>
          <w:rFonts w:hint="eastAsia" w:ascii="宋体" w:hAnsi="宋体" w:eastAsia="宋体" w:cs="宋体"/>
          <w:color w:val="auto"/>
          <w:sz w:val="36"/>
          <w:szCs w:val="36"/>
          <w:highlight w:val="none"/>
        </w:rPr>
      </w:pPr>
    </w:p>
    <w:p w14:paraId="0B2F647A">
      <w:pPr>
        <w:keepNext/>
        <w:spacing w:line="360" w:lineRule="auto"/>
        <w:ind w:right="-338" w:rightChars="-161"/>
        <w:jc w:val="center"/>
        <w:rPr>
          <w:rFonts w:hint="eastAsia" w:ascii="宋体" w:hAnsi="宋体" w:eastAsia="宋体" w:cs="宋体"/>
          <w:color w:val="auto"/>
          <w:sz w:val="36"/>
          <w:szCs w:val="36"/>
          <w:highlight w:val="none"/>
        </w:rPr>
      </w:pPr>
    </w:p>
    <w:p w14:paraId="342E5F3B">
      <w:pPr>
        <w:spacing w:line="440" w:lineRule="exact"/>
        <w:ind w:right="-338" w:rightChars="-161"/>
        <w:jc w:val="center"/>
        <w:rPr>
          <w:rFonts w:hint="eastAsia" w:ascii="宋体" w:hAnsi="宋体" w:eastAsia="宋体" w:cs="宋体"/>
          <w:b/>
          <w:color w:val="auto"/>
          <w:sz w:val="36"/>
          <w:highlight w:val="none"/>
        </w:rPr>
      </w:pPr>
    </w:p>
    <w:p w14:paraId="72083C23">
      <w:pPr>
        <w:spacing w:line="440" w:lineRule="exact"/>
        <w:ind w:right="-338" w:rightChars="-161"/>
        <w:jc w:val="center"/>
        <w:rPr>
          <w:rFonts w:hint="eastAsia" w:ascii="宋体" w:hAnsi="宋体" w:eastAsia="宋体" w:cs="宋体"/>
          <w:b/>
          <w:color w:val="auto"/>
          <w:sz w:val="36"/>
          <w:highlight w:val="none"/>
        </w:rPr>
      </w:pPr>
    </w:p>
    <w:p w14:paraId="40F80586">
      <w:pPr>
        <w:spacing w:line="440" w:lineRule="exact"/>
        <w:ind w:right="-338" w:rightChars="-161"/>
        <w:jc w:val="center"/>
        <w:rPr>
          <w:rFonts w:hint="eastAsia" w:ascii="宋体" w:hAnsi="宋体" w:eastAsia="宋体" w:cs="宋体"/>
          <w:b/>
          <w:color w:val="auto"/>
          <w:sz w:val="36"/>
          <w:highlight w:val="none"/>
        </w:rPr>
      </w:pPr>
    </w:p>
    <w:p w14:paraId="05F8B46F">
      <w:pPr>
        <w:spacing w:line="440" w:lineRule="exact"/>
        <w:ind w:right="-338" w:rightChars="-161"/>
        <w:rPr>
          <w:rFonts w:hint="eastAsia" w:ascii="宋体" w:hAnsi="宋体" w:eastAsia="宋体" w:cs="宋体"/>
          <w:color w:val="auto"/>
          <w:highlight w:val="none"/>
        </w:rPr>
      </w:pPr>
    </w:p>
    <w:p w14:paraId="312EB621">
      <w:pPr>
        <w:ind w:right="-338" w:rightChars="-161"/>
        <w:rPr>
          <w:rFonts w:hint="eastAsia" w:ascii="宋体" w:hAnsi="宋体" w:eastAsia="宋体" w:cs="宋体"/>
          <w:color w:val="auto"/>
          <w:highlight w:val="none"/>
        </w:rPr>
      </w:pPr>
    </w:p>
    <w:p w14:paraId="680DE57B">
      <w:pPr>
        <w:snapToGrid w:val="0"/>
        <w:spacing w:line="440" w:lineRule="exact"/>
        <w:ind w:right="-338" w:rightChars="-161"/>
        <w:rPr>
          <w:rFonts w:hint="eastAsia" w:ascii="宋体" w:hAnsi="宋体" w:eastAsia="宋体" w:cs="宋体"/>
          <w:bCs/>
          <w:color w:val="auto"/>
          <w:sz w:val="36"/>
          <w:highlight w:val="none"/>
        </w:rPr>
      </w:pPr>
    </w:p>
    <w:p w14:paraId="7829832F">
      <w:pPr>
        <w:tabs>
          <w:tab w:val="left" w:pos="8715"/>
        </w:tabs>
        <w:spacing w:line="360" w:lineRule="auto"/>
        <w:ind w:right="-338" w:rightChars="-161"/>
        <w:jc w:val="center"/>
        <w:rPr>
          <w:rFonts w:hint="eastAsia" w:ascii="宋体" w:hAnsi="宋体" w:eastAsia="宋体" w:cs="宋体"/>
          <w:bCs/>
          <w:color w:val="auto"/>
          <w:spacing w:val="19"/>
          <w:kern w:val="0"/>
          <w:sz w:val="30"/>
          <w:szCs w:val="30"/>
          <w:highlight w:val="none"/>
        </w:rPr>
      </w:pPr>
    </w:p>
    <w:p w14:paraId="6B9AAAAB">
      <w:pPr>
        <w:tabs>
          <w:tab w:val="left" w:pos="8715"/>
        </w:tabs>
        <w:spacing w:line="360" w:lineRule="auto"/>
        <w:ind w:right="-338" w:rightChars="-161"/>
        <w:jc w:val="center"/>
        <w:rPr>
          <w:rFonts w:hint="eastAsia" w:ascii="宋体" w:hAnsi="宋体" w:eastAsia="宋体" w:cs="宋体"/>
          <w:bCs/>
          <w:color w:val="auto"/>
          <w:kern w:val="0"/>
          <w:sz w:val="30"/>
          <w:szCs w:val="30"/>
          <w:highlight w:val="none"/>
        </w:rPr>
      </w:pPr>
    </w:p>
    <w:p w14:paraId="39CA4440">
      <w:pPr>
        <w:tabs>
          <w:tab w:val="left" w:pos="8715"/>
        </w:tabs>
        <w:spacing w:line="360" w:lineRule="auto"/>
        <w:ind w:right="-338" w:rightChars="-161"/>
        <w:jc w:val="center"/>
        <w:rPr>
          <w:rFonts w:hint="eastAsia" w:ascii="宋体" w:hAnsi="宋体" w:eastAsia="宋体" w:cs="宋体"/>
          <w:bCs/>
          <w:color w:val="auto"/>
          <w:kern w:val="0"/>
          <w:sz w:val="30"/>
          <w:szCs w:val="30"/>
          <w:highlight w:val="none"/>
          <w:lang w:eastAsia="zh-CN"/>
        </w:rPr>
      </w:pPr>
    </w:p>
    <w:p w14:paraId="2792410F">
      <w:pPr>
        <w:tabs>
          <w:tab w:val="left" w:pos="8715"/>
        </w:tabs>
        <w:spacing w:line="360" w:lineRule="auto"/>
        <w:ind w:right="-338" w:rightChars="-161"/>
        <w:jc w:val="center"/>
        <w:rPr>
          <w:rFonts w:hint="eastAsia" w:ascii="宋体" w:hAnsi="宋体" w:eastAsia="宋体" w:cs="宋体"/>
          <w:bCs/>
          <w:color w:val="auto"/>
          <w:kern w:val="0"/>
          <w:sz w:val="30"/>
          <w:szCs w:val="30"/>
          <w:highlight w:val="none"/>
        </w:rPr>
      </w:pPr>
      <w:r>
        <w:rPr>
          <w:rFonts w:hint="eastAsia" w:ascii="宋体" w:hAnsi="宋体" w:eastAsia="宋体" w:cs="宋体"/>
          <w:bCs/>
          <w:color w:val="auto"/>
          <w:kern w:val="0"/>
          <w:sz w:val="30"/>
          <w:szCs w:val="30"/>
          <w:highlight w:val="none"/>
          <w:lang w:eastAsia="zh-CN"/>
        </w:rPr>
        <w:t>招标人</w:t>
      </w:r>
      <w:r>
        <w:rPr>
          <w:rFonts w:hint="eastAsia" w:ascii="宋体" w:hAnsi="宋体" w:eastAsia="宋体" w:cs="宋体"/>
          <w:bCs/>
          <w:color w:val="auto"/>
          <w:kern w:val="0"/>
          <w:sz w:val="30"/>
          <w:szCs w:val="30"/>
          <w:highlight w:val="none"/>
        </w:rPr>
        <w:t>：南通轨道城市服务有限公司</w:t>
      </w:r>
    </w:p>
    <w:p w14:paraId="30D69552">
      <w:pPr>
        <w:spacing w:line="360" w:lineRule="auto"/>
        <w:ind w:right="-338" w:rightChars="-161"/>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招标代理机构：中达工程管理咨询有限公司</w:t>
      </w:r>
    </w:p>
    <w:p w14:paraId="332B3F76">
      <w:pPr>
        <w:spacing w:line="360" w:lineRule="auto"/>
        <w:ind w:right="-338" w:rightChars="-161"/>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202</w:t>
      </w:r>
      <w:r>
        <w:rPr>
          <w:rFonts w:hint="eastAsia" w:ascii="宋体" w:hAnsi="宋体" w:cs="宋体"/>
          <w:bCs/>
          <w:color w:val="auto"/>
          <w:sz w:val="30"/>
          <w:szCs w:val="30"/>
          <w:highlight w:val="none"/>
          <w:lang w:val="en-US" w:eastAsia="zh-CN"/>
        </w:rPr>
        <w:t>6</w:t>
      </w:r>
      <w:r>
        <w:rPr>
          <w:rFonts w:hint="eastAsia" w:ascii="宋体" w:hAnsi="宋体" w:eastAsia="宋体" w:cs="宋体"/>
          <w:bCs/>
          <w:color w:val="auto"/>
          <w:sz w:val="30"/>
          <w:szCs w:val="30"/>
          <w:highlight w:val="none"/>
        </w:rPr>
        <w:t>年1月</w:t>
      </w:r>
    </w:p>
    <w:sdt>
      <w:sdtPr>
        <w:rPr>
          <w:rFonts w:ascii="宋体" w:hAnsi="宋体" w:eastAsia="宋体" w:cs="Times New Roman"/>
          <w:kern w:val="2"/>
          <w:sz w:val="21"/>
          <w:szCs w:val="24"/>
          <w:highlight w:val="none"/>
          <w:lang w:val="en-US" w:eastAsia="zh-CN" w:bidi="ar-SA"/>
        </w:rPr>
        <w:id w:val="147460207"/>
        <w15:color w:val="DBDBDB"/>
      </w:sdtPr>
      <w:sdtEndPr>
        <w:rPr>
          <w:rFonts w:hint="eastAsia" w:ascii="宋体" w:hAnsi="宋体" w:eastAsia="宋体" w:cs="Times New Roman"/>
          <w:kern w:val="2"/>
          <w:sz w:val="21"/>
          <w:szCs w:val="24"/>
          <w:highlight w:val="none"/>
          <w:lang w:val="en-US" w:eastAsia="zh-CN" w:bidi="ar-SA"/>
        </w:rPr>
      </w:sdtEndPr>
      <w:sdtContent>
        <w:p w14:paraId="608D62A9">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highlight w:val="none"/>
              <w:lang w:val="en-US" w:eastAsia="zh-CN" w:bidi="ar-SA"/>
            </w:rPr>
          </w:pPr>
          <w:bookmarkStart w:id="0" w:name="_Toc3931"/>
        </w:p>
        <w:p w14:paraId="4975392E">
          <w:pPr>
            <w:rPr>
              <w:rFonts w:ascii="宋体" w:hAnsi="宋体" w:eastAsia="宋体" w:cs="Times New Roman"/>
              <w:kern w:val="2"/>
              <w:sz w:val="21"/>
              <w:szCs w:val="24"/>
              <w:highlight w:val="none"/>
              <w:lang w:val="en-US" w:eastAsia="zh-CN" w:bidi="ar-SA"/>
            </w:rPr>
          </w:pPr>
          <w:r>
            <w:rPr>
              <w:rFonts w:ascii="宋体" w:hAnsi="宋体" w:eastAsia="宋体" w:cs="Times New Roman"/>
              <w:kern w:val="2"/>
              <w:sz w:val="21"/>
              <w:szCs w:val="24"/>
              <w:highlight w:val="none"/>
              <w:lang w:val="en-US" w:eastAsia="zh-CN" w:bidi="ar-SA"/>
            </w:rPr>
            <w:br w:type="page"/>
          </w:r>
        </w:p>
        <w:p w14:paraId="64974F20">
          <w:pPr>
            <w:spacing w:before="0" w:beforeLines="0" w:after="0" w:afterLines="0" w:line="240" w:lineRule="auto"/>
            <w:ind w:left="0" w:leftChars="0" w:right="0" w:rightChars="0" w:firstLine="0" w:firstLineChars="0"/>
            <w:jc w:val="center"/>
            <w:rPr>
              <w:b/>
              <w:bCs/>
              <w:sz w:val="28"/>
              <w:szCs w:val="28"/>
              <w:highlight w:val="none"/>
            </w:rPr>
          </w:pPr>
          <w:r>
            <w:rPr>
              <w:rFonts w:ascii="宋体" w:hAnsi="宋体" w:eastAsia="宋体"/>
              <w:b/>
              <w:bCs/>
              <w:sz w:val="28"/>
              <w:szCs w:val="28"/>
              <w:highlight w:val="none"/>
            </w:rPr>
            <w:t>目录</w:t>
          </w:r>
        </w:p>
        <w:p w14:paraId="0E8DF842">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TOC \o "1-2" \h \u </w:instrText>
          </w:r>
          <w:r>
            <w:rPr>
              <w:rFonts w:hint="eastAsia" w:ascii="宋体" w:hAnsi="宋体" w:eastAsia="宋体" w:cs="宋体"/>
              <w:b/>
              <w:bCs/>
              <w:sz w:val="21"/>
              <w:szCs w:val="21"/>
              <w:highlight w:val="none"/>
            </w:rPr>
            <w:fldChar w:fldCharType="separate"/>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HYPERLINK \l _Toc9420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第一章  招标公告</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_Toc9420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1</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rPr>
            <w:fldChar w:fldCharType="end"/>
          </w:r>
        </w:p>
        <w:p w14:paraId="1761400C">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_Toc5063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一、项目基本情况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_Toc5063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15143635">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_Toc566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二、投标人的资格要求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_Toc566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31503E23">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_Toc23289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三、获取招标文件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_Toc23289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6529D99C">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_Toc8686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四、提交投标文件截止时间、开标时间和地点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_Toc8686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6FEC451B">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_Toc4305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五、对本次招标提出询问，请按以下方式联系</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_Toc4305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0A357ED2">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_Toc32618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六、异议处理方式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_Toc32618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1A5CDD2F">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HYPERLINK \l _Toc10764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第二章  投标须知</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_Toc10764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4</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rPr>
            <w:fldChar w:fldCharType="end"/>
          </w:r>
        </w:p>
        <w:p w14:paraId="2B621016">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219" w:firstLineChars="104"/>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_Toc13716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投标人须知前附表</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_Toc13716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4</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55938556">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219" w:firstLineChars="104"/>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_Toc15044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投标人须知</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_Toc15044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7C2255A8">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_Toc20765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一、总则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_Toc20765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025B6CB2">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_Toc2151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二、招标文件构成</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_Toc2151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4CDFDA2C">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_Toc6644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三、招标文件由招标人解释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_Toc6644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79D17816">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_Toc3003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四、招标文件的澄清、修改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_Toc3003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142FC077">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_Toc7437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五、投标文件的</w:t>
          </w:r>
          <w:r>
            <w:rPr>
              <w:rFonts w:hint="eastAsia" w:ascii="宋体" w:hAnsi="宋体" w:eastAsia="宋体" w:cs="宋体"/>
              <w:sz w:val="21"/>
              <w:szCs w:val="21"/>
              <w:highlight w:val="none"/>
              <w:lang w:val="en-US" w:eastAsia="zh-CN"/>
            </w:rPr>
            <w:t>组成、编制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密封</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_Toc7437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14468E5D">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_Toc26451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六、投标报价</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_Toc26451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327EA6B8">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_Toc14142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七、投标有效期和投标保证金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_Toc14142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4132E5C0">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_Toc32504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八、投标费用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_Toc32504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6E9D2C24">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_Toc30288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九、开标与评标流程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_Toc30288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5E263D36">
          <w:pPr>
            <w:pStyle w:val="16"/>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\l _Toc1507 </w:instrText>
          </w:r>
          <w:r>
            <w:rPr>
              <w:rFonts w:hint="eastAsia" w:ascii="宋体" w:hAnsi="宋体" w:eastAsia="宋体" w:cs="宋体"/>
              <w:bCs/>
              <w:sz w:val="21"/>
              <w:szCs w:val="21"/>
              <w:highlight w:val="none"/>
            </w:rPr>
            <w:fldChar w:fldCharType="separate"/>
          </w:r>
          <w:r>
            <w:rPr>
              <w:rFonts w:hint="eastAsia" w:ascii="宋体" w:hAnsi="宋体" w:eastAsia="宋体" w:cs="宋体"/>
              <w:kern w:val="2"/>
              <w:sz w:val="21"/>
              <w:szCs w:val="21"/>
              <w:highlight w:val="none"/>
              <w:lang w:val="en-US" w:eastAsia="zh-CN" w:bidi="ar-SA"/>
            </w:rPr>
            <w:t>十、</w:t>
          </w:r>
          <w:r>
            <w:rPr>
              <w:rFonts w:hint="eastAsia" w:ascii="宋体" w:hAnsi="宋体" w:eastAsia="宋体" w:cs="宋体"/>
              <w:sz w:val="21"/>
              <w:szCs w:val="21"/>
              <w:highlight w:val="none"/>
              <w:lang w:val="en-US" w:eastAsia="zh-CN"/>
            </w:rPr>
            <w:t>现场考察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_Toc1507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bCs/>
              <w:sz w:val="21"/>
              <w:szCs w:val="21"/>
              <w:highlight w:val="none"/>
            </w:rPr>
            <w:fldChar w:fldCharType="end"/>
          </w:r>
        </w:p>
        <w:p w14:paraId="1FABA4A3">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HYPERLINK \l _Toc4806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第三章  评标办法与评标标准</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_Toc4806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10</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rPr>
            <w:fldChar w:fldCharType="end"/>
          </w:r>
        </w:p>
        <w:p w14:paraId="05CA801F">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HYPERLINK \l _Toc24646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lang w:eastAsia="zh-CN"/>
            </w:rPr>
            <w:t>第</w:t>
          </w:r>
          <w:r>
            <w:rPr>
              <w:rFonts w:hint="eastAsia" w:ascii="宋体" w:hAnsi="宋体" w:eastAsia="宋体" w:cs="宋体"/>
              <w:b/>
              <w:bCs w:val="0"/>
              <w:sz w:val="21"/>
              <w:szCs w:val="21"/>
              <w:highlight w:val="none"/>
              <w:lang w:val="en-US" w:eastAsia="zh-CN"/>
            </w:rPr>
            <w:t>四</w:t>
          </w:r>
          <w:r>
            <w:rPr>
              <w:rFonts w:hint="eastAsia" w:ascii="宋体" w:hAnsi="宋体" w:eastAsia="宋体" w:cs="宋体"/>
              <w:b/>
              <w:bCs w:val="0"/>
              <w:sz w:val="21"/>
              <w:szCs w:val="21"/>
              <w:highlight w:val="none"/>
              <w:lang w:eastAsia="zh-CN"/>
            </w:rPr>
            <w:t>章</w:t>
          </w:r>
          <w:r>
            <w:rPr>
              <w:rFonts w:hint="eastAsia" w:ascii="宋体" w:hAnsi="宋体" w:eastAsia="宋体" w:cs="宋体"/>
              <w:b/>
              <w:bCs w:val="0"/>
              <w:sz w:val="21"/>
              <w:szCs w:val="21"/>
              <w:highlight w:val="none"/>
            </w:rPr>
            <w:t xml:space="preserve">  </w:t>
          </w:r>
          <w:r>
            <w:rPr>
              <w:rFonts w:hint="eastAsia" w:ascii="宋体" w:hAnsi="宋体" w:eastAsia="宋体" w:cs="宋体"/>
              <w:b/>
              <w:bCs w:val="0"/>
              <w:sz w:val="21"/>
              <w:szCs w:val="21"/>
              <w:highlight w:val="none"/>
              <w:lang w:val="en-US" w:eastAsia="zh-CN"/>
            </w:rPr>
            <w:t>用户需求书</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_Toc24646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19</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rPr>
            <w:fldChar w:fldCharType="end"/>
          </w:r>
        </w:p>
        <w:p w14:paraId="6616A3D9">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HYPERLINK \l _Toc11604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lang w:val="zh-CN" w:eastAsia="zh-CN"/>
            </w:rPr>
            <w:t>第</w:t>
          </w:r>
          <w:r>
            <w:rPr>
              <w:rFonts w:hint="eastAsia" w:ascii="宋体" w:hAnsi="宋体" w:eastAsia="宋体" w:cs="宋体"/>
              <w:b/>
              <w:bCs w:val="0"/>
              <w:sz w:val="21"/>
              <w:szCs w:val="21"/>
              <w:highlight w:val="none"/>
              <w:lang w:val="en-US" w:eastAsia="zh-CN"/>
            </w:rPr>
            <w:t>五</w:t>
          </w:r>
          <w:r>
            <w:rPr>
              <w:rFonts w:hint="eastAsia" w:ascii="宋体" w:hAnsi="宋体" w:eastAsia="宋体" w:cs="宋体"/>
              <w:b/>
              <w:bCs w:val="0"/>
              <w:sz w:val="21"/>
              <w:szCs w:val="21"/>
              <w:highlight w:val="none"/>
              <w:lang w:val="zh-CN" w:eastAsia="zh-CN"/>
            </w:rPr>
            <w:t>章  工程量清单</w:t>
          </w:r>
          <w:r>
            <w:rPr>
              <w:rFonts w:hint="eastAsia" w:ascii="宋体" w:hAnsi="宋体" w:eastAsia="宋体" w:cs="宋体"/>
              <w:b/>
              <w:bCs w:val="0"/>
              <w:sz w:val="21"/>
              <w:szCs w:val="21"/>
              <w:highlight w:val="none"/>
              <w:lang w:val="en-US" w:eastAsia="zh-CN"/>
            </w:rPr>
            <w:t>及招标控制价</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_Toc11604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20</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rPr>
            <w:fldChar w:fldCharType="end"/>
          </w:r>
        </w:p>
        <w:p w14:paraId="4381CD28">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HYPERLINK \l _Toc2317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lang w:eastAsia="zh-CN"/>
            </w:rPr>
            <w:t>第</w:t>
          </w:r>
          <w:r>
            <w:rPr>
              <w:rFonts w:hint="eastAsia" w:ascii="宋体" w:hAnsi="宋体" w:eastAsia="宋体" w:cs="宋体"/>
              <w:b/>
              <w:bCs w:val="0"/>
              <w:sz w:val="21"/>
              <w:szCs w:val="21"/>
              <w:highlight w:val="none"/>
              <w:lang w:val="en-US" w:eastAsia="zh-CN"/>
            </w:rPr>
            <w:t>六</w:t>
          </w:r>
          <w:r>
            <w:rPr>
              <w:rFonts w:hint="eastAsia" w:ascii="宋体" w:hAnsi="宋体" w:eastAsia="宋体" w:cs="宋体"/>
              <w:b/>
              <w:bCs w:val="0"/>
              <w:sz w:val="21"/>
              <w:szCs w:val="21"/>
              <w:highlight w:val="none"/>
              <w:lang w:eastAsia="zh-CN"/>
            </w:rPr>
            <w:t>章</w:t>
          </w:r>
          <w:r>
            <w:rPr>
              <w:rFonts w:hint="eastAsia" w:ascii="宋体" w:hAnsi="宋体" w:eastAsia="宋体" w:cs="宋体"/>
              <w:b/>
              <w:bCs w:val="0"/>
              <w:sz w:val="21"/>
              <w:szCs w:val="21"/>
              <w:highlight w:val="none"/>
            </w:rPr>
            <w:t xml:space="preserve">  </w:t>
          </w:r>
          <w:r>
            <w:rPr>
              <w:rFonts w:hint="eastAsia" w:ascii="宋体" w:hAnsi="宋体" w:eastAsia="宋体" w:cs="宋体"/>
              <w:b/>
              <w:bCs w:val="0"/>
              <w:sz w:val="21"/>
              <w:szCs w:val="21"/>
              <w:highlight w:val="none"/>
              <w:lang w:val="en-US" w:eastAsia="zh-CN"/>
            </w:rPr>
            <w:t>图纸</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_Toc2317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29</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rPr>
            <w:fldChar w:fldCharType="end"/>
          </w:r>
        </w:p>
        <w:p w14:paraId="5B7F523D">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HYPERLINK \l _Toc1582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lang w:val="en-US" w:eastAsia="zh-CN"/>
            </w:rPr>
            <w:t xml:space="preserve">第七章  </w:t>
          </w:r>
          <w:r>
            <w:rPr>
              <w:rFonts w:hint="eastAsia" w:ascii="宋体" w:hAnsi="宋体" w:eastAsia="宋体" w:cs="宋体"/>
              <w:b/>
              <w:bCs w:val="0"/>
              <w:sz w:val="21"/>
              <w:szCs w:val="21"/>
              <w:highlight w:val="none"/>
            </w:rPr>
            <w:t>合同条款</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_Toc1582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30</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rPr>
            <w:fldChar w:fldCharType="end"/>
          </w:r>
        </w:p>
        <w:p w14:paraId="3E41308B">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HYPERLINK \l _Toc24640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lang w:val="zh-CN"/>
            </w:rPr>
            <w:t>第八章  质疑提出和处理</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_Toc24640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70</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rPr>
            <w:fldChar w:fldCharType="end"/>
          </w:r>
        </w:p>
        <w:p w14:paraId="5EED7B60">
          <w:pPr>
            <w:pStyle w:val="15"/>
            <w:keepNext w:val="0"/>
            <w:keepLines w:val="0"/>
            <w:pageBreakBefore w:val="0"/>
            <w:widowControl w:val="0"/>
            <w:tabs>
              <w:tab w:val="right" w:leader="dot" w:pos="8299"/>
            </w:tabs>
            <w:kinsoku/>
            <w:wordWrap/>
            <w:overflowPunct/>
            <w:topLinePunct w:val="0"/>
            <w:autoSpaceDE/>
            <w:autoSpaceDN/>
            <w:bidi w:val="0"/>
            <w:adjustRightInd/>
            <w:snapToGrid/>
            <w:spacing w:line="440" w:lineRule="exact"/>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HYPERLINK \l _Toc6898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lang w:val="zh-CN"/>
            </w:rPr>
            <w:t>第九章  投标文件组成</w:t>
          </w:r>
          <w:r>
            <w:rPr>
              <w:rFonts w:hint="eastAsia" w:ascii="宋体" w:hAnsi="宋体" w:eastAsia="宋体" w:cs="宋体"/>
              <w:b/>
              <w:bCs w:val="0"/>
              <w:sz w:val="21"/>
              <w:szCs w:val="21"/>
              <w:highlight w:val="none"/>
            </w:rPr>
            <w:tab/>
          </w:r>
          <w:r>
            <w:rPr>
              <w:rFonts w:hint="eastAsia" w:ascii="宋体" w:hAnsi="宋体" w:eastAsia="宋体" w:cs="宋体"/>
              <w:b/>
              <w:bCs w:val="0"/>
              <w:sz w:val="21"/>
              <w:szCs w:val="21"/>
              <w:highlight w:val="none"/>
            </w:rPr>
            <w:fldChar w:fldCharType="begin"/>
          </w:r>
          <w:r>
            <w:rPr>
              <w:rFonts w:hint="eastAsia" w:ascii="宋体" w:hAnsi="宋体" w:eastAsia="宋体" w:cs="宋体"/>
              <w:b/>
              <w:bCs w:val="0"/>
              <w:sz w:val="21"/>
              <w:szCs w:val="21"/>
              <w:highlight w:val="none"/>
            </w:rPr>
            <w:instrText xml:space="preserve"> PAGEREF _Toc6898 \h </w:instrText>
          </w:r>
          <w:r>
            <w:rPr>
              <w:rFonts w:hint="eastAsia" w:ascii="宋体" w:hAnsi="宋体" w:eastAsia="宋体" w:cs="宋体"/>
              <w:b/>
              <w:bCs w:val="0"/>
              <w:sz w:val="21"/>
              <w:szCs w:val="21"/>
              <w:highlight w:val="none"/>
            </w:rPr>
            <w:fldChar w:fldCharType="separate"/>
          </w:r>
          <w:r>
            <w:rPr>
              <w:rFonts w:hint="eastAsia" w:ascii="宋体" w:hAnsi="宋体" w:eastAsia="宋体" w:cs="宋体"/>
              <w:b/>
              <w:bCs w:val="0"/>
              <w:sz w:val="21"/>
              <w:szCs w:val="21"/>
              <w:highlight w:val="none"/>
            </w:rPr>
            <w:t>72</w:t>
          </w:r>
          <w:r>
            <w:rPr>
              <w:rFonts w:hint="eastAsia" w:ascii="宋体" w:hAnsi="宋体" w:eastAsia="宋体" w:cs="宋体"/>
              <w:b/>
              <w:bCs w:val="0"/>
              <w:sz w:val="21"/>
              <w:szCs w:val="21"/>
              <w:highlight w:val="none"/>
            </w:rPr>
            <w:fldChar w:fldCharType="end"/>
          </w:r>
          <w:r>
            <w:rPr>
              <w:rFonts w:hint="eastAsia" w:ascii="宋体" w:hAnsi="宋体" w:eastAsia="宋体" w:cs="宋体"/>
              <w:b/>
              <w:bCs w:val="0"/>
              <w:sz w:val="21"/>
              <w:szCs w:val="21"/>
              <w:highlight w:val="none"/>
            </w:rPr>
            <w:fldChar w:fldCharType="end"/>
          </w:r>
        </w:p>
        <w:p w14:paraId="225DD56F">
          <w:pPr>
            <w:bidi w:val="0"/>
            <w:rPr>
              <w:rFonts w:hint="eastAsia"/>
              <w:highlight w:val="none"/>
              <w:lang w:val="en-US" w:eastAsia="zh-CN"/>
            </w:rPr>
          </w:pPr>
          <w:r>
            <w:rPr>
              <w:rFonts w:hint="eastAsia"/>
              <w:highlight w:val="none"/>
            </w:rPr>
            <w:fldChar w:fldCharType="end"/>
          </w:r>
        </w:p>
      </w:sdtContent>
    </w:sdt>
    <w:p w14:paraId="6C1D9575">
      <w:pPr>
        <w:spacing w:line="440" w:lineRule="exact"/>
        <w:ind w:right="-739" w:rightChars="-352"/>
        <w:jc w:val="center"/>
        <w:outlineLvl w:val="0"/>
        <w:rPr>
          <w:rFonts w:hint="eastAsia" w:ascii="宋体" w:hAnsi="宋体" w:eastAsia="宋体" w:cs="宋体"/>
          <w:bCs/>
          <w:kern w:val="2"/>
          <w:sz w:val="21"/>
          <w:szCs w:val="32"/>
          <w:highlight w:val="none"/>
          <w:lang w:val="en-US" w:eastAsia="zh-CN" w:bidi="ar-SA"/>
        </w:rPr>
        <w:sectPr>
          <w:footerReference r:id="rId3" w:type="default"/>
          <w:pgSz w:w="11905"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start="1"/>
          <w:cols w:space="720" w:num="1"/>
          <w:docGrid w:type="lines" w:linePitch="325" w:charSpace="0"/>
        </w:sectPr>
      </w:pPr>
    </w:p>
    <w:bookmarkEnd w:id="0"/>
    <w:p w14:paraId="5239B5D7">
      <w:pPr>
        <w:spacing w:line="440" w:lineRule="exact"/>
        <w:ind w:left="-1" w:right="-212" w:rightChars="-101"/>
        <w:jc w:val="center"/>
        <w:outlineLvl w:val="0"/>
        <w:rPr>
          <w:rFonts w:hint="eastAsia" w:ascii="宋体" w:hAnsi="宋体" w:cs="宋体"/>
          <w:b/>
          <w:bCs/>
          <w:sz w:val="32"/>
          <w:szCs w:val="32"/>
          <w:highlight w:val="none"/>
        </w:rPr>
      </w:pPr>
      <w:bookmarkStart w:id="1" w:name="_Toc9420"/>
      <w:bookmarkStart w:id="2" w:name="OLE_LINK7"/>
      <w:bookmarkStart w:id="3" w:name="OLE_LINK6"/>
      <w:bookmarkStart w:id="4" w:name="OLE_LINK5"/>
      <w:r>
        <w:rPr>
          <w:rFonts w:hint="eastAsia" w:ascii="宋体" w:hAnsi="宋体" w:cs="宋体"/>
          <w:b/>
          <w:bCs/>
          <w:sz w:val="32"/>
          <w:szCs w:val="32"/>
          <w:highlight w:val="none"/>
        </w:rPr>
        <w:t>第一章  招标公告</w:t>
      </w:r>
      <w:bookmarkEnd w:id="1"/>
    </w:p>
    <w:p w14:paraId="0B01CA7B">
      <w:pPr>
        <w:spacing w:line="440" w:lineRule="exact"/>
        <w:ind w:left="420" w:leftChars="200" w:right="-212" w:rightChars="-101" w:firstLine="314" w:firstLineChars="131"/>
        <w:rPr>
          <w:rFonts w:hint="eastAsia" w:ascii="宋体" w:hAnsi="宋体" w:cs="宋体"/>
          <w:kern w:val="58"/>
          <w:sz w:val="24"/>
          <w:highlight w:val="none"/>
          <w:u w:val="single"/>
        </w:rPr>
      </w:pPr>
    </w:p>
    <w:p w14:paraId="5EC18E33">
      <w:pPr>
        <w:spacing w:line="440" w:lineRule="exact"/>
        <w:ind w:right="-212" w:rightChars="-101" w:firstLine="420" w:firstLineChars="200"/>
        <w:rPr>
          <w:rFonts w:hint="eastAsia" w:ascii="宋体" w:hAnsi="宋体" w:cs="宋体"/>
          <w:szCs w:val="21"/>
          <w:highlight w:val="none"/>
        </w:rPr>
      </w:pPr>
      <w:r>
        <w:rPr>
          <w:rFonts w:hint="eastAsia" w:ascii="宋体" w:hAnsi="宋体" w:cs="宋体"/>
          <w:kern w:val="58"/>
          <w:szCs w:val="21"/>
          <w:highlight w:val="none"/>
          <w:u w:val="single"/>
        </w:rPr>
        <w:t>中达工程管理咨询有限公司</w:t>
      </w:r>
      <w:r>
        <w:rPr>
          <w:rFonts w:hint="eastAsia" w:ascii="宋体" w:hAnsi="宋体" w:cs="宋体"/>
          <w:kern w:val="58"/>
          <w:szCs w:val="21"/>
          <w:highlight w:val="none"/>
        </w:rPr>
        <w:t>受</w:t>
      </w:r>
      <w:r>
        <w:rPr>
          <w:rFonts w:hint="eastAsia" w:ascii="宋体" w:hAnsi="宋体" w:cs="宋体"/>
          <w:kern w:val="58"/>
          <w:szCs w:val="21"/>
          <w:highlight w:val="none"/>
          <w:u w:val="single"/>
        </w:rPr>
        <w:t>南通轨道城市服务有限公司</w:t>
      </w:r>
      <w:r>
        <w:rPr>
          <w:rFonts w:hint="eastAsia" w:ascii="宋体" w:hAnsi="宋体" w:cs="宋体"/>
          <w:kern w:val="58"/>
          <w:szCs w:val="21"/>
          <w:highlight w:val="none"/>
        </w:rPr>
        <w:t>委托，依据相关法律、法规及规章的规定，现对</w:t>
      </w:r>
      <w:r>
        <w:rPr>
          <w:rFonts w:hint="eastAsia" w:ascii="宋体" w:hAnsi="宋体" w:cs="宋体"/>
          <w:kern w:val="58"/>
          <w:szCs w:val="21"/>
          <w:highlight w:val="none"/>
          <w:u w:val="single"/>
          <w:lang w:eastAsia="zh-CN"/>
        </w:rPr>
        <w:t>钟秀西</w:t>
      </w:r>
      <w:r>
        <w:rPr>
          <w:rFonts w:hint="eastAsia" w:ascii="宋体" w:hAnsi="宋体" w:cs="宋体"/>
          <w:kern w:val="58"/>
          <w:szCs w:val="21"/>
          <w:highlight w:val="none"/>
          <w:u w:val="single"/>
          <w:lang w:val="en-US" w:eastAsia="zh-CN"/>
        </w:rPr>
        <w:t>地铁大</w:t>
      </w:r>
      <w:r>
        <w:rPr>
          <w:rFonts w:hint="eastAsia" w:ascii="宋体" w:hAnsi="宋体" w:cs="宋体"/>
          <w:kern w:val="58"/>
          <w:szCs w:val="21"/>
          <w:highlight w:val="none"/>
          <w:u w:val="single"/>
          <w:lang w:eastAsia="zh-CN"/>
        </w:rPr>
        <w:t>食堂改造工程（</w:t>
      </w:r>
      <w:r>
        <w:rPr>
          <w:rFonts w:hint="eastAsia" w:ascii="宋体" w:hAnsi="宋体" w:cs="宋体"/>
          <w:kern w:val="58"/>
          <w:szCs w:val="21"/>
          <w:highlight w:val="none"/>
          <w:u w:val="single"/>
          <w:lang w:val="en-US" w:eastAsia="zh-CN"/>
        </w:rPr>
        <w:t>二次</w:t>
      </w:r>
      <w:r>
        <w:rPr>
          <w:rFonts w:hint="eastAsia" w:ascii="宋体" w:hAnsi="宋体" w:cs="宋体"/>
          <w:kern w:val="58"/>
          <w:szCs w:val="21"/>
          <w:highlight w:val="none"/>
          <w:u w:val="single"/>
          <w:lang w:eastAsia="zh-CN"/>
        </w:rPr>
        <w:t>）</w:t>
      </w:r>
      <w:r>
        <w:rPr>
          <w:rFonts w:hint="eastAsia" w:ascii="宋体" w:hAnsi="宋体" w:cs="宋体"/>
          <w:kern w:val="58"/>
          <w:szCs w:val="21"/>
          <w:highlight w:val="none"/>
        </w:rPr>
        <w:t>进行公开招标。</w:t>
      </w:r>
    </w:p>
    <w:p w14:paraId="4279193D">
      <w:pPr>
        <w:spacing w:line="440" w:lineRule="exact"/>
        <w:ind w:right="-212" w:rightChars="-101" w:firstLine="422" w:firstLineChars="200"/>
        <w:outlineLvl w:val="1"/>
        <w:rPr>
          <w:rFonts w:hint="eastAsia" w:ascii="宋体" w:hAnsi="宋体" w:cs="宋体"/>
          <w:b/>
          <w:szCs w:val="21"/>
          <w:highlight w:val="none"/>
        </w:rPr>
      </w:pPr>
      <w:bookmarkStart w:id="5" w:name="_Toc5063"/>
      <w:bookmarkStart w:id="6" w:name="_Toc17556"/>
      <w:bookmarkStart w:id="7" w:name="_Toc15898"/>
      <w:bookmarkStart w:id="8" w:name="_Toc823"/>
      <w:r>
        <w:rPr>
          <w:rFonts w:hint="eastAsia" w:ascii="宋体" w:hAnsi="宋体" w:cs="宋体"/>
          <w:b/>
          <w:szCs w:val="21"/>
          <w:highlight w:val="none"/>
        </w:rPr>
        <w:t>一、项目基本情况</w:t>
      </w:r>
      <w:bookmarkEnd w:id="5"/>
      <w:bookmarkEnd w:id="6"/>
      <w:bookmarkEnd w:id="7"/>
      <w:bookmarkEnd w:id="8"/>
    </w:p>
    <w:p w14:paraId="2C53CEFC">
      <w:pPr>
        <w:spacing w:line="440" w:lineRule="exact"/>
        <w:ind w:right="-212" w:rightChars="-101" w:firstLine="420" w:firstLineChars="200"/>
        <w:rPr>
          <w:rFonts w:hint="default" w:ascii="宋体" w:hAnsi="宋体" w:eastAsia="宋体" w:cs="宋体"/>
          <w:szCs w:val="21"/>
          <w:highlight w:val="none"/>
          <w:lang w:val="en-US"/>
        </w:rPr>
      </w:pPr>
      <w:bookmarkStart w:id="9" w:name="_Toc27384"/>
      <w:bookmarkStart w:id="10" w:name="_Toc15757"/>
      <w:bookmarkStart w:id="11" w:name="_Toc13419"/>
      <w:r>
        <w:rPr>
          <w:rFonts w:hint="eastAsia" w:ascii="宋体" w:hAnsi="宋体" w:eastAsia="宋体" w:cs="宋体"/>
          <w:szCs w:val="21"/>
          <w:highlight w:val="none"/>
          <w:lang w:val="en-US" w:eastAsia="zh-CN"/>
        </w:rPr>
        <w:t>1、建设地点：南通市地铁2号线钟秀路站</w:t>
      </w:r>
      <w:r>
        <w:rPr>
          <w:rFonts w:hint="eastAsia" w:ascii="宋体" w:hAnsi="宋体" w:cs="宋体"/>
          <w:szCs w:val="21"/>
          <w:highlight w:val="none"/>
          <w:lang w:val="en-US" w:eastAsia="zh-CN"/>
        </w:rPr>
        <w:t>商业配套区</w:t>
      </w:r>
    </w:p>
    <w:p w14:paraId="42BF25AC">
      <w:pPr>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2、工期</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共</w:t>
      </w:r>
      <w:r>
        <w:rPr>
          <w:rFonts w:hint="eastAsia" w:ascii="宋体" w:hAnsi="宋体" w:cs="宋体"/>
          <w:szCs w:val="21"/>
          <w:highlight w:val="none"/>
          <w:lang w:val="en-US" w:eastAsia="zh-CN"/>
        </w:rPr>
        <w:t>25</w:t>
      </w:r>
      <w:r>
        <w:rPr>
          <w:rFonts w:hint="eastAsia" w:ascii="宋体" w:hAnsi="宋体" w:eastAsia="宋体" w:cs="宋体"/>
          <w:szCs w:val="21"/>
          <w:highlight w:val="none"/>
          <w:lang w:val="en-US" w:eastAsia="zh-CN"/>
        </w:rPr>
        <w:t>日历天，具体开工时间以开工报告为准</w:t>
      </w:r>
      <w:r>
        <w:rPr>
          <w:rFonts w:hint="eastAsia" w:ascii="宋体" w:hAnsi="宋体" w:eastAsia="宋体" w:cs="宋体"/>
          <w:szCs w:val="21"/>
          <w:highlight w:val="none"/>
        </w:rPr>
        <w:t>。</w:t>
      </w:r>
    </w:p>
    <w:p w14:paraId="600FBB7F">
      <w:pPr>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3、招标控制价</w:t>
      </w:r>
      <w:r>
        <w:rPr>
          <w:rFonts w:hint="eastAsia" w:ascii="宋体" w:hAnsi="宋体" w:eastAsia="宋体" w:cs="宋体"/>
          <w:szCs w:val="21"/>
          <w:highlight w:val="none"/>
        </w:rPr>
        <w:t>：</w:t>
      </w:r>
      <w:r>
        <w:rPr>
          <w:rFonts w:hint="eastAsia" w:ascii="宋体" w:hAnsi="宋体" w:cs="宋体"/>
          <w:szCs w:val="21"/>
          <w:highlight w:val="none"/>
          <w:lang w:val="en-US" w:eastAsia="zh-CN"/>
        </w:rPr>
        <w:t>2878592.55</w:t>
      </w:r>
      <w:r>
        <w:rPr>
          <w:rFonts w:hint="eastAsia" w:ascii="宋体" w:hAnsi="宋体" w:eastAsia="宋体" w:cs="宋体"/>
          <w:szCs w:val="21"/>
          <w:highlight w:val="none"/>
        </w:rPr>
        <w:t>元。</w:t>
      </w:r>
    </w:p>
    <w:p w14:paraId="44D74438">
      <w:pPr>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4、质量要求：合格。</w:t>
      </w:r>
    </w:p>
    <w:p w14:paraId="42E2A783">
      <w:pPr>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5、施工范围</w:t>
      </w:r>
      <w:r>
        <w:rPr>
          <w:rFonts w:hint="eastAsia" w:ascii="宋体" w:hAnsi="宋体" w:eastAsia="宋体" w:cs="宋体"/>
          <w:szCs w:val="21"/>
          <w:highlight w:val="none"/>
        </w:rPr>
        <w:t>：</w:t>
      </w:r>
      <w:r>
        <w:rPr>
          <w:rFonts w:hint="eastAsia" w:ascii="宋体" w:hAnsi="宋体" w:eastAsia="宋体" w:cs="宋体"/>
          <w:szCs w:val="21"/>
          <w:highlight w:val="none"/>
          <w:lang w:eastAsia="zh-CN"/>
        </w:rPr>
        <w:t>钟秀西</w:t>
      </w:r>
      <w:r>
        <w:rPr>
          <w:rFonts w:hint="eastAsia" w:ascii="宋体" w:hAnsi="宋体" w:cs="宋体"/>
          <w:szCs w:val="21"/>
          <w:highlight w:val="none"/>
          <w:lang w:val="en-US" w:eastAsia="zh-CN"/>
        </w:rPr>
        <w:t>地铁大</w:t>
      </w:r>
      <w:r>
        <w:rPr>
          <w:rFonts w:hint="eastAsia" w:ascii="宋体" w:hAnsi="宋体" w:eastAsia="宋体" w:cs="宋体"/>
          <w:szCs w:val="21"/>
          <w:highlight w:val="none"/>
          <w:lang w:eastAsia="zh-CN"/>
        </w:rPr>
        <w:t>食堂</w:t>
      </w:r>
      <w:r>
        <w:rPr>
          <w:rFonts w:hint="eastAsia" w:ascii="宋体" w:hAnsi="宋体" w:eastAsia="宋体" w:cs="宋体"/>
          <w:szCs w:val="21"/>
          <w:highlight w:val="none"/>
          <w:lang w:val="en-US" w:eastAsia="zh-CN"/>
        </w:rPr>
        <w:t>改造</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主要包括：门窗工程、屋面及防水工程、楼地面装饰工程、幕墙工程、给水排水、消火栓（水系统）喷淋（水系统）、消防弱电（火灾报警及设备监控）、空调、强电、智能化</w:t>
      </w:r>
      <w:r>
        <w:rPr>
          <w:rFonts w:hint="eastAsia" w:ascii="宋体" w:hAnsi="宋体" w:cs="宋体"/>
          <w:szCs w:val="21"/>
          <w:highlight w:val="none"/>
          <w:lang w:val="en-US" w:eastAsia="zh-CN"/>
        </w:rPr>
        <w:t>等</w:t>
      </w:r>
      <w:r>
        <w:rPr>
          <w:rFonts w:hint="eastAsia" w:ascii="宋体" w:hAnsi="宋体" w:eastAsia="宋体" w:cs="宋体"/>
          <w:szCs w:val="21"/>
          <w:highlight w:val="none"/>
          <w:lang w:val="en-US" w:eastAsia="zh-CN"/>
        </w:rPr>
        <w:t>。具体内容详见图纸和清单。</w:t>
      </w:r>
    </w:p>
    <w:p w14:paraId="3593995B">
      <w:pPr>
        <w:spacing w:line="440" w:lineRule="exact"/>
        <w:ind w:right="-212" w:rightChars="-101" w:firstLine="422" w:firstLineChars="200"/>
        <w:outlineLvl w:val="1"/>
        <w:rPr>
          <w:rFonts w:hint="eastAsia" w:ascii="宋体" w:hAnsi="宋体" w:cs="宋体"/>
          <w:b/>
          <w:szCs w:val="21"/>
          <w:highlight w:val="none"/>
        </w:rPr>
      </w:pPr>
      <w:bookmarkStart w:id="12" w:name="_Toc566"/>
      <w:r>
        <w:rPr>
          <w:rFonts w:hint="eastAsia" w:ascii="宋体" w:hAnsi="宋体" w:cs="宋体"/>
          <w:b/>
          <w:szCs w:val="21"/>
          <w:highlight w:val="none"/>
        </w:rPr>
        <w:t>二、投标人的资格要求</w:t>
      </w:r>
      <w:bookmarkEnd w:id="9"/>
      <w:bookmarkEnd w:id="10"/>
      <w:bookmarkEnd w:id="11"/>
      <w:bookmarkEnd w:id="12"/>
    </w:p>
    <w:p w14:paraId="01434BDF">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投标人</w:t>
      </w:r>
      <w:r>
        <w:rPr>
          <w:rFonts w:hint="eastAsia" w:ascii="宋体" w:hAnsi="宋体" w:eastAsia="宋体" w:cs="宋体"/>
          <w:szCs w:val="21"/>
          <w:highlight w:val="none"/>
          <w:lang w:val="en-US" w:eastAsia="zh-CN"/>
        </w:rPr>
        <w:t>须具备建设行政主管部门颁发的建筑工程施工总承包叁级及以上资质，并在人员、设备、资金等方面具有相应的施工能力。</w:t>
      </w:r>
    </w:p>
    <w:p w14:paraId="465765EA">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2、拟派项目负责人须具备有效的建筑工程专业二级及以上注册建造师，同时具有建筑施工企业安全生产考核合格证（B证）（以上证书必须注册在投标单位），且必须满足下列条件：</w:t>
      </w:r>
    </w:p>
    <w:p w14:paraId="60AE50C9">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（1）项目负责人不得同时在两个或者两个以上单位受聘或者执业。</w:t>
      </w:r>
    </w:p>
    <w:p w14:paraId="68AE95A1">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31EB3F6D">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特别提醒：</w:t>
      </w:r>
    </w:p>
    <w:p w14:paraId="6FBB0C86">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①如本项目投标人拟派的项目负责人为一级注册建造师的，必须根据《办公厅关于全面实行一级建造师电子注册证书的通知》（建办市〔2021〕40号）文件要求执行。</w:t>
      </w:r>
    </w:p>
    <w:p w14:paraId="04F3CF4F">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②注册地为江苏省内的企业，如拟派项目负责人为二级建造师的，必须按照《省住房和城乡建设厅关于我省二级建造师、二级造价工程师、二级注册建筑师、二级注册结构工程师注册证书电子证照换发的公告》（〔2023〕26号）文件要求换发新的注册证书电子证照，否则不予认可。</w:t>
      </w:r>
    </w:p>
    <w:p w14:paraId="67053A6B">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3、投标人及拟派项目负责人应具备其他要求：</w:t>
      </w:r>
    </w:p>
    <w:p w14:paraId="2E11DB5F">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（1）有独立订立合同的能力；</w:t>
      </w:r>
    </w:p>
    <w:p w14:paraId="4AE9C98B">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（2）企业具备安全生产条件，并取得安全生产许可证；</w:t>
      </w:r>
    </w:p>
    <w:p w14:paraId="4B6D21CD">
      <w:pPr>
        <w:wordWrap w:val="0"/>
        <w:spacing w:line="440" w:lineRule="exact"/>
        <w:ind w:right="-212" w:rightChars="-101"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（3）投标企业业绩：自2022年12月1日（以竣工验收日期为准）以来，投标人至少承担过一项城市轨道交通项目以下任一业绩：①机电安装施工②房建维修或维保③风水电维修或维保</w:t>
      </w:r>
      <w:r>
        <w:rPr>
          <w:rFonts w:hint="eastAsia" w:ascii="宋体" w:hAnsi="宋体" w:cs="宋体"/>
          <w:szCs w:val="21"/>
          <w:highlight w:val="none"/>
          <w:lang w:val="en-US" w:eastAsia="zh-CN"/>
        </w:rPr>
        <w:t>。</w:t>
      </w:r>
    </w:p>
    <w:p w14:paraId="69B0E235">
      <w:pPr>
        <w:wordWrap w:val="0"/>
        <w:spacing w:line="440" w:lineRule="exact"/>
        <w:ind w:right="-212" w:rightChars="-101"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注：</w:t>
      </w:r>
      <w:r>
        <w:rPr>
          <w:rFonts w:hint="eastAsia" w:ascii="宋体" w:hAnsi="宋体" w:eastAsia="宋体" w:cs="宋体"/>
          <w:b w:val="0"/>
          <w:bCs w:val="0"/>
          <w:kern w:val="2"/>
          <w:sz w:val="21"/>
          <w:szCs w:val="24"/>
          <w:highlight w:val="none"/>
          <w:lang w:val="en-US" w:eastAsia="zh-CN"/>
        </w:rPr>
        <w:t>“城市轨道交通”不含城际铁路、有轨电车、单轨系统。</w:t>
      </w:r>
    </w:p>
    <w:p w14:paraId="1829C449">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（4）拟派项目负责人必须为投标企业正式人员，须提供拟派项目负责人与投标企业双方签订的有效劳动合同书（注：本工程不接受退休返聘人员担任拟派项目负责人）。</w:t>
      </w:r>
    </w:p>
    <w:p w14:paraId="2B14151E">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w:t>
      </w:r>
      <w:r>
        <w:rPr>
          <w:rFonts w:hint="eastAsia" w:ascii="宋体" w:hAnsi="宋体" w:eastAsia="宋体" w:cs="宋体"/>
          <w:szCs w:val="21"/>
          <w:highlight w:val="none"/>
        </w:rPr>
        <w:t>根据苏建招办（2022）2 号文要求，投标人在本招标项目投标文件递交截止时间当日，建筑业企业资质（特指：本项目招标文件要求资质）动态监管结果不处于不合格状态。</w:t>
      </w:r>
    </w:p>
    <w:p w14:paraId="5E9AFFA6">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（6）根据苏建函建管〔2025〕183号文要求，被限制市场准入的建筑施工企业和人员不得参与省内工程投标。</w:t>
      </w:r>
    </w:p>
    <w:p w14:paraId="5AE6C867">
      <w:pPr>
        <w:wordWrap w:val="0"/>
        <w:spacing w:line="440" w:lineRule="exact"/>
        <w:ind w:right="-212" w:rightChars="-101"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）本项目不接受联合体投标。</w:t>
      </w:r>
    </w:p>
    <w:p w14:paraId="3A8BB65C">
      <w:pPr>
        <w:spacing w:line="440" w:lineRule="exact"/>
        <w:ind w:right="-212" w:rightChars="-101" w:firstLine="422" w:firstLineChars="200"/>
        <w:outlineLvl w:val="1"/>
        <w:rPr>
          <w:rFonts w:hint="eastAsia" w:ascii="宋体" w:hAnsi="宋体" w:cs="宋体"/>
          <w:b/>
          <w:szCs w:val="21"/>
          <w:highlight w:val="none"/>
        </w:rPr>
      </w:pPr>
      <w:bookmarkStart w:id="13" w:name="_Toc21654"/>
      <w:bookmarkStart w:id="14" w:name="_Toc22911"/>
      <w:bookmarkStart w:id="15" w:name="_Toc819"/>
      <w:bookmarkStart w:id="16" w:name="_Toc23289"/>
      <w:r>
        <w:rPr>
          <w:rFonts w:hint="eastAsia" w:ascii="宋体" w:hAnsi="宋体" w:cs="宋体"/>
          <w:b/>
          <w:szCs w:val="21"/>
          <w:highlight w:val="none"/>
        </w:rPr>
        <w:t>三、获取招标文件</w:t>
      </w:r>
      <w:bookmarkEnd w:id="13"/>
      <w:bookmarkEnd w:id="14"/>
      <w:bookmarkEnd w:id="15"/>
      <w:bookmarkEnd w:id="16"/>
    </w:p>
    <w:p w14:paraId="1CDFC22A">
      <w:pPr>
        <w:wordWrap w:val="0"/>
        <w:spacing w:line="440" w:lineRule="exact"/>
        <w:ind w:right="-212" w:rightChars="-101" w:firstLine="420" w:firstLineChars="200"/>
        <w:rPr>
          <w:rFonts w:hint="eastAsia" w:ascii="宋体" w:hAnsi="宋体" w:cs="宋体"/>
          <w:szCs w:val="21"/>
          <w:highlight w:val="none"/>
        </w:rPr>
      </w:pPr>
      <w:bookmarkStart w:id="17" w:name="_Toc10576"/>
      <w:r>
        <w:rPr>
          <w:rFonts w:hint="eastAsia" w:ascii="宋体" w:hAnsi="宋体" w:cs="宋体"/>
          <w:szCs w:val="21"/>
          <w:highlight w:val="none"/>
        </w:rPr>
        <w:t>本次招标公告在南通轨道交通集团有限公司官网、中国招标投标公共服务平台上发布。</w:t>
      </w:r>
      <w:r>
        <w:rPr>
          <w:rFonts w:hint="eastAsia" w:ascii="宋体" w:hAnsi="宋体" w:cs="宋体"/>
          <w:szCs w:val="21"/>
          <w:highlight w:val="none"/>
          <w:lang w:eastAsia="zh-CN"/>
        </w:rPr>
        <w:t>如不一致的，以南通轨道交通集团有限公司官网发布的为准。</w:t>
      </w:r>
      <w:bookmarkStart w:id="629" w:name="_GoBack"/>
      <w:bookmarkEnd w:id="629"/>
    </w:p>
    <w:p w14:paraId="4F287776">
      <w:pPr>
        <w:wordWrap w:val="0"/>
        <w:spacing w:line="440" w:lineRule="exact"/>
        <w:ind w:right="-212" w:rightChars="-101"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有意参加本项目投标的单位，请在南通轨道交通集团有限公司官网</w:t>
      </w:r>
      <w:r>
        <w:rPr>
          <w:rFonts w:hint="eastAsia" w:ascii="宋体" w:hAnsi="宋体" w:cs="宋体"/>
          <w:szCs w:val="21"/>
          <w:highlight w:val="none"/>
          <w:lang w:val="en-US" w:eastAsia="zh-CN"/>
        </w:rPr>
        <w:t>本公告下方</w:t>
      </w:r>
      <w:r>
        <w:rPr>
          <w:rFonts w:hint="eastAsia" w:ascii="宋体" w:hAnsi="宋体" w:cs="宋体"/>
          <w:szCs w:val="21"/>
          <w:highlight w:val="none"/>
        </w:rPr>
        <w:t>获取电子招标文件</w:t>
      </w:r>
      <w:r>
        <w:rPr>
          <w:rFonts w:hint="eastAsia" w:ascii="宋体" w:hAnsi="宋体" w:cs="宋体"/>
          <w:szCs w:val="21"/>
          <w:highlight w:val="none"/>
          <w:lang w:eastAsia="zh-CN"/>
        </w:rPr>
        <w:t>。</w:t>
      </w:r>
    </w:p>
    <w:p w14:paraId="5E7BB82A">
      <w:pPr>
        <w:spacing w:line="440" w:lineRule="exact"/>
        <w:ind w:right="-212" w:rightChars="-101" w:firstLine="422" w:firstLineChars="200"/>
        <w:outlineLvl w:val="1"/>
        <w:rPr>
          <w:rFonts w:hint="eastAsia" w:ascii="宋体" w:hAnsi="宋体" w:cs="宋体"/>
          <w:b/>
          <w:szCs w:val="21"/>
          <w:highlight w:val="none"/>
        </w:rPr>
      </w:pPr>
      <w:bookmarkStart w:id="18" w:name="_Toc29490"/>
      <w:bookmarkStart w:id="19" w:name="_Toc30270"/>
      <w:bookmarkStart w:id="20" w:name="_Toc8686"/>
      <w:r>
        <w:rPr>
          <w:rFonts w:hint="eastAsia" w:ascii="宋体" w:hAnsi="宋体" w:cs="宋体"/>
          <w:b/>
          <w:szCs w:val="21"/>
          <w:highlight w:val="none"/>
        </w:rPr>
        <w:t>四、提交投标文件截止时间、开标时间和地点</w:t>
      </w:r>
      <w:bookmarkEnd w:id="17"/>
      <w:bookmarkEnd w:id="18"/>
      <w:bookmarkEnd w:id="19"/>
      <w:bookmarkEnd w:id="20"/>
    </w:p>
    <w:p w14:paraId="4B551C57">
      <w:pPr>
        <w:spacing w:line="440" w:lineRule="exact"/>
        <w:ind w:right="-212" w:rightChars="-101" w:firstLine="420" w:firstLineChars="200"/>
        <w:rPr>
          <w:rFonts w:hint="eastAsia" w:ascii="宋体" w:hAnsi="宋体" w:cs="宋体"/>
          <w:szCs w:val="21"/>
          <w:highlight w:val="none"/>
        </w:rPr>
      </w:pPr>
      <w:bookmarkStart w:id="21" w:name="_Toc11233"/>
      <w:r>
        <w:rPr>
          <w:rFonts w:hint="eastAsia" w:ascii="宋体" w:hAnsi="宋体" w:cs="宋体"/>
          <w:szCs w:val="21"/>
          <w:highlight w:val="none"/>
        </w:rPr>
        <w:t>投标文件递交起止时间：202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eastAsia="zh-CN"/>
        </w:rPr>
        <w:t>1</w:t>
      </w:r>
      <w:r>
        <w:rPr>
          <w:rFonts w:hint="eastAsia" w:ascii="宋体" w:hAnsi="宋体" w:cs="宋体"/>
          <w:szCs w:val="21"/>
          <w:highlight w:val="none"/>
        </w:rPr>
        <w:t>月</w:t>
      </w:r>
      <w:r>
        <w:rPr>
          <w:rFonts w:hint="eastAsia" w:ascii="宋体" w:hAnsi="宋体" w:cs="宋体"/>
          <w:szCs w:val="21"/>
          <w:highlight w:val="none"/>
          <w:lang w:eastAsia="zh-CN"/>
        </w:rPr>
        <w:t>27</w:t>
      </w:r>
      <w:r>
        <w:rPr>
          <w:rFonts w:hint="eastAsia" w:ascii="宋体" w:hAnsi="宋体" w:cs="宋体"/>
          <w:szCs w:val="21"/>
          <w:highlight w:val="none"/>
        </w:rPr>
        <w:t>日</w:t>
      </w:r>
      <w:r>
        <w:rPr>
          <w:rFonts w:hint="eastAsia" w:ascii="宋体" w:hAnsi="宋体" w:cs="宋体"/>
          <w:szCs w:val="21"/>
          <w:highlight w:val="none"/>
          <w:lang w:eastAsia="zh-CN"/>
        </w:rPr>
        <w:t>9</w:t>
      </w:r>
      <w:r>
        <w:rPr>
          <w:rFonts w:hint="eastAsia" w:ascii="宋体" w:hAnsi="宋体" w:cs="宋体"/>
          <w:szCs w:val="21"/>
          <w:highlight w:val="none"/>
        </w:rPr>
        <w:t>时</w:t>
      </w:r>
      <w:r>
        <w:rPr>
          <w:rFonts w:hint="eastAsia" w:ascii="宋体" w:hAnsi="宋体" w:cs="宋体"/>
          <w:szCs w:val="21"/>
          <w:highlight w:val="none"/>
          <w:lang w:eastAsia="zh-CN"/>
        </w:rPr>
        <w:t>00</w:t>
      </w:r>
      <w:r>
        <w:rPr>
          <w:rFonts w:hint="eastAsia" w:ascii="宋体" w:hAnsi="宋体" w:cs="宋体"/>
          <w:szCs w:val="21"/>
          <w:highlight w:val="none"/>
        </w:rPr>
        <w:t>分-</w:t>
      </w:r>
      <w:r>
        <w:rPr>
          <w:rFonts w:hint="eastAsia" w:ascii="宋体" w:hAnsi="宋体" w:cs="宋体"/>
          <w:szCs w:val="21"/>
          <w:highlight w:val="none"/>
          <w:lang w:eastAsia="zh-CN"/>
        </w:rPr>
        <w:t>9</w:t>
      </w:r>
      <w:r>
        <w:rPr>
          <w:rFonts w:hint="eastAsia" w:ascii="宋体" w:hAnsi="宋体" w:cs="宋体"/>
          <w:szCs w:val="21"/>
          <w:highlight w:val="none"/>
        </w:rPr>
        <w:t>时</w:t>
      </w:r>
      <w:r>
        <w:rPr>
          <w:rFonts w:hint="eastAsia" w:ascii="宋体" w:hAnsi="宋体" w:cs="宋体"/>
          <w:szCs w:val="21"/>
          <w:highlight w:val="none"/>
          <w:lang w:eastAsia="zh-CN"/>
        </w:rPr>
        <w:t>30</w:t>
      </w:r>
      <w:r>
        <w:rPr>
          <w:rFonts w:hint="eastAsia" w:ascii="宋体" w:hAnsi="宋体" w:cs="宋体"/>
          <w:szCs w:val="21"/>
          <w:highlight w:val="none"/>
        </w:rPr>
        <w:t>分</w:t>
      </w:r>
    </w:p>
    <w:p w14:paraId="1B2D23D4">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投标截止时间</w:t>
      </w:r>
      <w:r>
        <w:rPr>
          <w:rFonts w:hint="eastAsia" w:ascii="宋体" w:hAnsi="宋体" w:cs="宋体"/>
          <w:szCs w:val="21"/>
          <w:highlight w:val="none"/>
          <w:lang w:eastAsia="zh-CN"/>
        </w:rPr>
        <w:t>（</w:t>
      </w:r>
      <w:r>
        <w:rPr>
          <w:rFonts w:hint="eastAsia" w:ascii="宋体" w:hAnsi="宋体" w:cs="宋体"/>
          <w:szCs w:val="21"/>
          <w:highlight w:val="none"/>
          <w:lang w:val="en-US" w:eastAsia="zh-CN"/>
        </w:rPr>
        <w:t>同</w:t>
      </w:r>
      <w:r>
        <w:rPr>
          <w:rFonts w:hint="eastAsia" w:ascii="宋体" w:hAnsi="宋体" w:cs="宋体"/>
          <w:szCs w:val="21"/>
          <w:highlight w:val="none"/>
        </w:rPr>
        <w:t>开标时间</w:t>
      </w:r>
      <w:r>
        <w:rPr>
          <w:rFonts w:hint="eastAsia" w:ascii="宋体" w:hAnsi="宋体" w:cs="宋体"/>
          <w:szCs w:val="21"/>
          <w:highlight w:val="none"/>
          <w:lang w:eastAsia="zh-CN"/>
        </w:rPr>
        <w:t>）</w:t>
      </w:r>
      <w:r>
        <w:rPr>
          <w:rFonts w:hint="eastAsia" w:ascii="宋体" w:hAnsi="宋体" w:cs="宋体"/>
          <w:szCs w:val="21"/>
          <w:highlight w:val="none"/>
        </w:rPr>
        <w:t>为：202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eastAsia="zh-CN"/>
        </w:rPr>
        <w:t>1</w:t>
      </w:r>
      <w:r>
        <w:rPr>
          <w:rFonts w:hint="eastAsia" w:ascii="宋体" w:hAnsi="宋体" w:eastAsia="宋体" w:cs="宋体"/>
          <w:kern w:val="2"/>
          <w:sz w:val="21"/>
          <w:szCs w:val="21"/>
          <w:highlight w:val="none"/>
          <w:lang w:val="en-US" w:eastAsia="zh-CN" w:bidi="ar-SA"/>
        </w:rPr>
        <w:t>月</w:t>
      </w:r>
      <w:r>
        <w:rPr>
          <w:rFonts w:hint="eastAsia" w:ascii="宋体" w:hAnsi="宋体" w:cs="宋体"/>
          <w:kern w:val="2"/>
          <w:sz w:val="21"/>
          <w:szCs w:val="21"/>
          <w:highlight w:val="none"/>
          <w:lang w:val="en-US" w:eastAsia="zh-CN" w:bidi="ar-SA"/>
        </w:rPr>
        <w:t>27</w:t>
      </w:r>
      <w:r>
        <w:rPr>
          <w:rFonts w:hint="eastAsia" w:ascii="宋体" w:hAnsi="宋体" w:cs="宋体"/>
          <w:szCs w:val="21"/>
          <w:highlight w:val="none"/>
        </w:rPr>
        <w:t>日</w:t>
      </w:r>
      <w:r>
        <w:rPr>
          <w:rFonts w:hint="eastAsia" w:ascii="宋体" w:hAnsi="宋体" w:cs="宋体"/>
          <w:szCs w:val="21"/>
          <w:highlight w:val="none"/>
          <w:lang w:eastAsia="zh-CN"/>
        </w:rPr>
        <w:t>9</w:t>
      </w:r>
      <w:r>
        <w:rPr>
          <w:rFonts w:hint="eastAsia" w:ascii="宋体" w:hAnsi="宋体" w:cs="宋体"/>
          <w:szCs w:val="21"/>
          <w:highlight w:val="none"/>
        </w:rPr>
        <w:t>时</w:t>
      </w:r>
      <w:r>
        <w:rPr>
          <w:rFonts w:hint="eastAsia" w:ascii="宋体" w:hAnsi="宋体" w:cs="宋体"/>
          <w:szCs w:val="21"/>
          <w:highlight w:val="none"/>
          <w:lang w:eastAsia="zh-CN"/>
        </w:rPr>
        <w:t>3</w:t>
      </w:r>
      <w:r>
        <w:rPr>
          <w:rFonts w:hint="eastAsia" w:ascii="宋体" w:hAnsi="宋体" w:cs="宋体"/>
          <w:szCs w:val="21"/>
          <w:highlight w:val="none"/>
        </w:rPr>
        <w:t>0分</w:t>
      </w:r>
    </w:p>
    <w:p w14:paraId="5B7B59A4">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开标地点：南通市崇川区崇川路158号15楼1506开标室</w:t>
      </w:r>
    </w:p>
    <w:p w14:paraId="262ACFFB">
      <w:pPr>
        <w:spacing w:line="440" w:lineRule="exact"/>
        <w:ind w:right="-212" w:rightChars="-101" w:firstLine="422" w:firstLineChars="200"/>
        <w:outlineLvl w:val="1"/>
        <w:rPr>
          <w:rFonts w:hint="eastAsia" w:ascii="宋体" w:hAnsi="宋体" w:cs="宋体"/>
          <w:b/>
          <w:szCs w:val="21"/>
          <w:highlight w:val="none"/>
        </w:rPr>
      </w:pPr>
      <w:bookmarkStart w:id="22" w:name="_Toc29729"/>
      <w:bookmarkStart w:id="23" w:name="_Toc20467"/>
      <w:bookmarkStart w:id="24" w:name="_Toc4305"/>
      <w:r>
        <w:rPr>
          <w:rFonts w:hint="eastAsia" w:ascii="宋体" w:hAnsi="宋体" w:cs="宋体"/>
          <w:b/>
          <w:szCs w:val="21"/>
          <w:highlight w:val="none"/>
        </w:rPr>
        <w:t>五、对本次招标提出询问，请按以下方式联系</w:t>
      </w:r>
      <w:bookmarkEnd w:id="21"/>
      <w:bookmarkEnd w:id="22"/>
      <w:bookmarkEnd w:id="23"/>
      <w:bookmarkEnd w:id="24"/>
    </w:p>
    <w:p w14:paraId="53799D22">
      <w:pPr>
        <w:spacing w:line="440" w:lineRule="exact"/>
        <w:ind w:right="-212" w:rightChars="-101" w:firstLine="420" w:firstLineChars="200"/>
        <w:rPr>
          <w:rFonts w:hint="eastAsia" w:ascii="宋体" w:hAnsi="宋体" w:cs="宋体"/>
          <w:szCs w:val="21"/>
          <w:highlight w:val="none"/>
        </w:rPr>
      </w:pPr>
      <w:bookmarkStart w:id="25" w:name="_Toc11164"/>
      <w:r>
        <w:rPr>
          <w:rFonts w:hint="eastAsia" w:ascii="宋体" w:hAnsi="宋体" w:cs="宋体"/>
          <w:szCs w:val="21"/>
          <w:highlight w:val="none"/>
        </w:rPr>
        <w:t>招标人信息</w:t>
      </w:r>
      <w:bookmarkEnd w:id="25"/>
    </w:p>
    <w:p w14:paraId="7B8E1018">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 xml:space="preserve">名    称：南通轨道城市服务有限公司 </w:t>
      </w:r>
    </w:p>
    <w:p w14:paraId="140C5465">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地    址：南通市崇川区崇川路158号18楼</w:t>
      </w:r>
    </w:p>
    <w:p w14:paraId="380E5AEB">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联系方式：刘女士，18862988660</w:t>
      </w:r>
    </w:p>
    <w:p w14:paraId="19C2B401">
      <w:pPr>
        <w:spacing w:line="440" w:lineRule="exact"/>
        <w:ind w:right="-212" w:rightChars="-101" w:firstLine="420" w:firstLineChars="200"/>
        <w:rPr>
          <w:rFonts w:hint="eastAsia" w:ascii="宋体" w:hAnsi="宋体" w:cs="宋体"/>
          <w:szCs w:val="21"/>
          <w:highlight w:val="none"/>
        </w:rPr>
      </w:pPr>
      <w:bookmarkStart w:id="26" w:name="_Toc24651"/>
      <w:r>
        <w:rPr>
          <w:rFonts w:hint="eastAsia" w:ascii="宋体" w:hAnsi="宋体" w:cs="宋体"/>
          <w:szCs w:val="21"/>
          <w:highlight w:val="none"/>
        </w:rPr>
        <w:t>招标代理机构信息</w:t>
      </w:r>
      <w:bookmarkEnd w:id="26"/>
    </w:p>
    <w:p w14:paraId="5D803A8A">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 xml:space="preserve">名    称：中达工程管理咨询有限公司 </w:t>
      </w:r>
    </w:p>
    <w:p w14:paraId="1B52B878">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联系方式：李先生，15151361032</w:t>
      </w:r>
    </w:p>
    <w:p w14:paraId="4F7BA27E">
      <w:pPr>
        <w:spacing w:line="440" w:lineRule="exact"/>
        <w:ind w:right="-212" w:rightChars="-101" w:firstLine="422" w:firstLineChars="200"/>
        <w:outlineLvl w:val="1"/>
        <w:rPr>
          <w:rFonts w:hint="eastAsia" w:ascii="宋体" w:hAnsi="宋体" w:cs="宋体"/>
          <w:b/>
          <w:szCs w:val="21"/>
          <w:highlight w:val="none"/>
        </w:rPr>
      </w:pPr>
      <w:bookmarkStart w:id="27" w:name="_Toc32618"/>
      <w:bookmarkStart w:id="28" w:name="_Toc5248"/>
      <w:r>
        <w:rPr>
          <w:rFonts w:hint="eastAsia" w:ascii="宋体" w:hAnsi="宋体" w:cs="宋体"/>
          <w:b/>
          <w:szCs w:val="21"/>
          <w:highlight w:val="none"/>
        </w:rPr>
        <w:t>六、异议处理方式</w:t>
      </w:r>
      <w:bookmarkEnd w:id="27"/>
      <w:bookmarkEnd w:id="28"/>
    </w:p>
    <w:p w14:paraId="55159FE0">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投标人或者其他利害关系人对招标文件有异议的，应当向招标人提出。受理异议部门：综合管理部；电话：0513-80813993（请在工作时间上午9：00－11：30，下午13：30－17：30联系）；通信地址：南通市崇川区崇川路158号18楼1801。</w:t>
      </w:r>
    </w:p>
    <w:p w14:paraId="44E3E0D9">
      <w:pPr>
        <w:rPr>
          <w:rFonts w:hint="eastAsia" w:ascii="宋体" w:hAnsi="宋体" w:cs="宋体"/>
          <w:b/>
          <w:bCs/>
          <w:sz w:val="32"/>
          <w:szCs w:val="32"/>
          <w:highlight w:val="none"/>
        </w:rPr>
      </w:pPr>
      <w:bookmarkStart w:id="29" w:name="_Toc18453"/>
      <w:bookmarkStart w:id="30" w:name="_Toc10764"/>
      <w:bookmarkStart w:id="31" w:name="_Toc28142"/>
      <w:bookmarkStart w:id="32" w:name="_Toc26213"/>
      <w:bookmarkStart w:id="33" w:name="_Toc27473"/>
      <w:bookmarkStart w:id="34" w:name="_Toc11734"/>
      <w:bookmarkStart w:id="35" w:name="_Toc13379"/>
      <w:bookmarkStart w:id="36" w:name="_Toc32507"/>
      <w:bookmarkStart w:id="37" w:name="_Toc21401"/>
      <w:r>
        <w:rPr>
          <w:rFonts w:hint="eastAsia" w:ascii="宋体" w:hAnsi="宋体" w:cs="宋体"/>
          <w:b/>
          <w:bCs/>
          <w:sz w:val="32"/>
          <w:szCs w:val="32"/>
          <w:highlight w:val="none"/>
        </w:rPr>
        <w:br w:type="page"/>
      </w:r>
    </w:p>
    <w:p w14:paraId="1D0B080C">
      <w:pPr>
        <w:spacing w:line="440" w:lineRule="exact"/>
        <w:ind w:right="-739" w:rightChars="-352"/>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第二章  投标须知</w:t>
      </w:r>
      <w:bookmarkEnd w:id="29"/>
      <w:bookmarkEnd w:id="30"/>
      <w:bookmarkEnd w:id="31"/>
      <w:bookmarkEnd w:id="32"/>
      <w:bookmarkEnd w:id="33"/>
      <w:bookmarkEnd w:id="34"/>
      <w:bookmarkEnd w:id="35"/>
      <w:bookmarkEnd w:id="36"/>
      <w:bookmarkEnd w:id="37"/>
    </w:p>
    <w:p w14:paraId="4B4064D6">
      <w:pPr>
        <w:rPr>
          <w:rFonts w:hint="eastAsia" w:ascii="宋体" w:hAnsi="宋体" w:cs="宋体"/>
          <w:highlight w:val="none"/>
        </w:rPr>
      </w:pPr>
      <w:bookmarkStart w:id="38" w:name="_Toc8671"/>
      <w:bookmarkStart w:id="39" w:name="_Toc21125"/>
      <w:bookmarkStart w:id="40" w:name="_Toc27566"/>
    </w:p>
    <w:p w14:paraId="27B97888">
      <w:pPr>
        <w:pStyle w:val="3"/>
        <w:keepNext/>
        <w:keepLines/>
        <w:spacing w:before="0" w:beforeLines="0" w:after="0" w:afterLines="0" w:line="360" w:lineRule="auto"/>
        <w:ind w:right="-619" w:rightChars="-295"/>
        <w:rPr>
          <w:rFonts w:hint="eastAsia" w:ascii="宋体" w:hAnsi="宋体" w:eastAsia="宋体" w:cs="宋体"/>
          <w:sz w:val="28"/>
          <w:szCs w:val="40"/>
          <w:highlight w:val="none"/>
        </w:rPr>
      </w:pPr>
      <w:bookmarkStart w:id="41" w:name="_Toc498006642"/>
      <w:bookmarkStart w:id="42" w:name="_Toc74756451"/>
      <w:bookmarkStart w:id="43" w:name="_Toc13716"/>
      <w:bookmarkStart w:id="44" w:name="_Toc613"/>
      <w:bookmarkStart w:id="45" w:name="_Toc389065143"/>
      <w:bookmarkStart w:id="46" w:name="_Toc4743"/>
      <w:bookmarkStart w:id="47" w:name="_Toc13592"/>
      <w:bookmarkStart w:id="48" w:name="_Toc26282"/>
      <w:bookmarkStart w:id="49" w:name="_Toc8228"/>
      <w:bookmarkStart w:id="50" w:name="_Toc15035"/>
      <w:bookmarkStart w:id="51" w:name="_Toc13484"/>
      <w:r>
        <w:rPr>
          <w:rFonts w:hint="eastAsia" w:ascii="宋体" w:hAnsi="宋体" w:eastAsia="宋体" w:cs="宋体"/>
          <w:sz w:val="28"/>
          <w:szCs w:val="40"/>
          <w:highlight w:val="none"/>
        </w:rPr>
        <w:t>投标人须知前附表</w:t>
      </w:r>
      <w:bookmarkEnd w:id="41"/>
      <w:bookmarkEnd w:id="42"/>
      <w:bookmarkEnd w:id="43"/>
      <w:bookmarkEnd w:id="44"/>
      <w:bookmarkEnd w:id="45"/>
      <w:bookmarkEnd w:id="46"/>
      <w:bookmarkEnd w:id="47"/>
      <w:bookmarkEnd w:id="48"/>
      <w:bookmarkEnd w:id="49"/>
    </w:p>
    <w:tbl>
      <w:tblPr>
        <w:tblStyle w:val="34"/>
        <w:tblW w:w="91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755"/>
      </w:tblGrid>
      <w:tr w14:paraId="6E92EEBB">
        <w:tblPrEx>
          <w:tblLayout w:type="fixed"/>
        </w:tblPrEx>
        <w:trPr>
          <w:trHeight w:val="490" w:hRule="atLeast"/>
        </w:trPr>
        <w:tc>
          <w:tcPr>
            <w:tcW w:w="2364" w:type="dxa"/>
            <w:tcBorders>
              <w:tl2br w:val="nil"/>
              <w:tr2bl w:val="nil"/>
            </w:tcBorders>
            <w:shd w:val="clear" w:color="auto" w:fill="E6E6E6"/>
            <w:vAlign w:val="center"/>
          </w:tcPr>
          <w:p w14:paraId="1151BE6B">
            <w:pPr>
              <w:spacing w:line="400" w:lineRule="exact"/>
              <w:jc w:val="center"/>
              <w:rPr>
                <w:rFonts w:hint="eastAsia" w:ascii="宋体" w:hAnsi="宋体" w:cs="宋体"/>
                <w:b/>
                <w:szCs w:val="21"/>
                <w:highlight w:val="none"/>
              </w:rPr>
            </w:pPr>
            <w:r>
              <w:rPr>
                <w:rFonts w:hint="eastAsia" w:ascii="宋体" w:hAnsi="宋体" w:cs="宋体"/>
                <w:b/>
                <w:szCs w:val="21"/>
                <w:highlight w:val="none"/>
              </w:rPr>
              <w:t>条款名称</w:t>
            </w:r>
          </w:p>
        </w:tc>
        <w:tc>
          <w:tcPr>
            <w:tcW w:w="6755" w:type="dxa"/>
            <w:tcBorders>
              <w:tl2br w:val="nil"/>
              <w:tr2bl w:val="nil"/>
            </w:tcBorders>
            <w:shd w:val="clear" w:color="auto" w:fill="E6E6E6"/>
            <w:vAlign w:val="center"/>
          </w:tcPr>
          <w:p w14:paraId="0802CD84">
            <w:pPr>
              <w:spacing w:line="400" w:lineRule="exact"/>
              <w:jc w:val="center"/>
              <w:rPr>
                <w:rFonts w:hint="eastAsia" w:ascii="宋体" w:hAnsi="宋体" w:cs="宋体"/>
                <w:b/>
                <w:szCs w:val="21"/>
                <w:highlight w:val="none"/>
              </w:rPr>
            </w:pPr>
            <w:r>
              <w:rPr>
                <w:rFonts w:hint="eastAsia" w:ascii="宋体" w:hAnsi="宋体" w:cs="宋体"/>
                <w:b/>
                <w:szCs w:val="21"/>
                <w:highlight w:val="none"/>
              </w:rPr>
              <w:t>编列内容</w:t>
            </w:r>
          </w:p>
        </w:tc>
      </w:tr>
      <w:tr w14:paraId="3FEF8A2C">
        <w:tblPrEx>
          <w:tblLayout w:type="fixed"/>
        </w:tblPrEx>
        <w:trPr>
          <w:trHeight w:val="1379" w:hRule="atLeast"/>
        </w:trPr>
        <w:tc>
          <w:tcPr>
            <w:tcW w:w="2364" w:type="dxa"/>
            <w:tcBorders>
              <w:tl2br w:val="nil"/>
              <w:tr2bl w:val="nil"/>
            </w:tcBorders>
            <w:vAlign w:val="center"/>
          </w:tcPr>
          <w:p w14:paraId="15DD7B77">
            <w:pPr>
              <w:spacing w:line="400" w:lineRule="exact"/>
              <w:rPr>
                <w:rFonts w:hint="eastAsia" w:ascii="宋体" w:hAnsi="宋体" w:cs="宋体"/>
                <w:szCs w:val="21"/>
                <w:highlight w:val="none"/>
              </w:rPr>
            </w:pPr>
            <w:r>
              <w:rPr>
                <w:rFonts w:hint="eastAsia" w:ascii="宋体" w:hAnsi="宋体" w:cs="宋体"/>
                <w:szCs w:val="21"/>
                <w:highlight w:val="none"/>
              </w:rPr>
              <w:t>招标人</w:t>
            </w:r>
          </w:p>
        </w:tc>
        <w:tc>
          <w:tcPr>
            <w:tcW w:w="6755" w:type="dxa"/>
            <w:tcBorders>
              <w:tl2br w:val="nil"/>
              <w:tr2bl w:val="nil"/>
            </w:tcBorders>
            <w:vAlign w:val="center"/>
          </w:tcPr>
          <w:p w14:paraId="6F1FD8AA">
            <w:pPr>
              <w:spacing w:line="400" w:lineRule="exact"/>
              <w:rPr>
                <w:rFonts w:hint="eastAsia" w:ascii="宋体" w:hAnsi="宋体" w:cs="宋体"/>
                <w:bCs/>
                <w:kern w:val="0"/>
                <w:szCs w:val="21"/>
                <w:highlight w:val="none"/>
              </w:rPr>
            </w:pPr>
            <w:r>
              <w:rPr>
                <w:rFonts w:hint="eastAsia" w:ascii="宋体" w:hAnsi="宋体" w:cs="宋体"/>
                <w:bCs/>
                <w:kern w:val="0"/>
                <w:szCs w:val="21"/>
                <w:highlight w:val="none"/>
              </w:rPr>
              <w:t>名    称：</w:t>
            </w:r>
            <w:r>
              <w:rPr>
                <w:rFonts w:hint="eastAsia" w:ascii="宋体" w:hAnsi="宋体" w:cs="宋体"/>
                <w:bCs/>
                <w:kern w:val="0"/>
                <w:szCs w:val="21"/>
                <w:highlight w:val="none"/>
                <w:lang w:eastAsia="zh-CN"/>
              </w:rPr>
              <w:t>南通轨道城市服务有限公司</w:t>
            </w:r>
            <w:r>
              <w:rPr>
                <w:rFonts w:hint="eastAsia" w:ascii="宋体" w:hAnsi="宋体" w:cs="宋体"/>
                <w:bCs/>
                <w:kern w:val="0"/>
                <w:szCs w:val="21"/>
                <w:highlight w:val="none"/>
              </w:rPr>
              <w:t xml:space="preserve"> </w:t>
            </w:r>
          </w:p>
          <w:p w14:paraId="1494D996">
            <w:pPr>
              <w:spacing w:line="400" w:lineRule="exact"/>
              <w:rPr>
                <w:rFonts w:hint="eastAsia" w:ascii="宋体" w:hAnsi="宋体" w:cs="宋体"/>
                <w:bCs/>
                <w:kern w:val="0"/>
                <w:szCs w:val="21"/>
                <w:highlight w:val="none"/>
                <w:lang w:val="en-US" w:eastAsia="zh-CN"/>
              </w:rPr>
            </w:pPr>
            <w:r>
              <w:rPr>
                <w:rFonts w:hint="eastAsia" w:ascii="宋体" w:hAnsi="宋体" w:cs="宋体"/>
                <w:bCs/>
                <w:kern w:val="0"/>
                <w:szCs w:val="21"/>
                <w:highlight w:val="none"/>
              </w:rPr>
              <w:t>地    址：南通市崇川区崇川路158号</w:t>
            </w:r>
            <w:r>
              <w:rPr>
                <w:rFonts w:hint="eastAsia" w:ascii="宋体" w:hAnsi="宋体" w:cs="宋体"/>
                <w:bCs/>
                <w:kern w:val="0"/>
                <w:szCs w:val="21"/>
                <w:highlight w:val="none"/>
                <w:lang w:val="en-US" w:eastAsia="zh-CN"/>
              </w:rPr>
              <w:t>18楼</w:t>
            </w:r>
          </w:p>
          <w:p w14:paraId="1159F986">
            <w:pPr>
              <w:spacing w:line="400" w:lineRule="exact"/>
              <w:rPr>
                <w:rFonts w:hint="eastAsia" w:ascii="宋体" w:hAnsi="宋体" w:cs="宋体"/>
                <w:bCs/>
                <w:kern w:val="0"/>
                <w:szCs w:val="21"/>
                <w:highlight w:val="none"/>
              </w:rPr>
            </w:pPr>
            <w:r>
              <w:rPr>
                <w:rFonts w:hint="eastAsia" w:ascii="宋体" w:hAnsi="宋体" w:cs="宋体"/>
                <w:bCs/>
                <w:kern w:val="0"/>
                <w:szCs w:val="21"/>
                <w:highlight w:val="none"/>
              </w:rPr>
              <w:t>联系方式：</w:t>
            </w:r>
            <w:r>
              <w:rPr>
                <w:rFonts w:hint="eastAsia" w:ascii="宋体" w:hAnsi="宋体" w:cs="宋体"/>
                <w:bCs/>
                <w:kern w:val="0"/>
                <w:szCs w:val="21"/>
                <w:highlight w:val="none"/>
                <w:lang w:val="en-US" w:eastAsia="zh-CN"/>
              </w:rPr>
              <w:t>刘</w:t>
            </w:r>
            <w:r>
              <w:rPr>
                <w:rFonts w:hint="eastAsia" w:ascii="宋体" w:hAnsi="宋体" w:cs="宋体"/>
                <w:szCs w:val="21"/>
                <w:highlight w:val="none"/>
              </w:rPr>
              <w:t>女士</w:t>
            </w:r>
            <w:r>
              <w:rPr>
                <w:rFonts w:hint="eastAsia" w:ascii="宋体" w:hAnsi="宋体" w:cs="宋体"/>
                <w:bCs/>
                <w:kern w:val="0"/>
                <w:szCs w:val="21"/>
                <w:highlight w:val="none"/>
              </w:rPr>
              <w:t>，</w:t>
            </w:r>
            <w:r>
              <w:rPr>
                <w:rFonts w:hint="eastAsia" w:ascii="宋体" w:hAnsi="宋体" w:cs="宋体"/>
                <w:bCs/>
                <w:kern w:val="0"/>
                <w:szCs w:val="21"/>
                <w:highlight w:val="none"/>
                <w:lang w:val="en-US" w:eastAsia="zh-CN"/>
              </w:rPr>
              <w:t>18862988660</w:t>
            </w:r>
          </w:p>
        </w:tc>
      </w:tr>
      <w:tr w14:paraId="7B566C4A">
        <w:tblPrEx>
          <w:tblLayout w:type="fixed"/>
        </w:tblPrEx>
        <w:trPr>
          <w:trHeight w:val="923" w:hRule="atLeast"/>
        </w:trPr>
        <w:tc>
          <w:tcPr>
            <w:tcW w:w="2364" w:type="dxa"/>
            <w:tcBorders>
              <w:tl2br w:val="nil"/>
              <w:tr2bl w:val="nil"/>
            </w:tcBorders>
            <w:vAlign w:val="center"/>
          </w:tcPr>
          <w:p w14:paraId="63949DA3">
            <w:pPr>
              <w:spacing w:line="400" w:lineRule="exact"/>
              <w:rPr>
                <w:rFonts w:hint="eastAsia" w:ascii="宋体" w:hAnsi="宋体" w:cs="宋体"/>
                <w:szCs w:val="21"/>
                <w:highlight w:val="none"/>
              </w:rPr>
            </w:pPr>
            <w:r>
              <w:rPr>
                <w:rFonts w:hint="eastAsia" w:ascii="宋体" w:hAnsi="宋体" w:cs="宋体"/>
                <w:szCs w:val="21"/>
                <w:highlight w:val="none"/>
              </w:rPr>
              <w:t>招标代理机构</w:t>
            </w:r>
          </w:p>
        </w:tc>
        <w:tc>
          <w:tcPr>
            <w:tcW w:w="6755" w:type="dxa"/>
            <w:tcBorders>
              <w:tl2br w:val="nil"/>
              <w:tr2bl w:val="nil"/>
            </w:tcBorders>
            <w:vAlign w:val="center"/>
          </w:tcPr>
          <w:p w14:paraId="577074C5">
            <w:pPr>
              <w:spacing w:line="400" w:lineRule="exact"/>
              <w:rPr>
                <w:rFonts w:hint="eastAsia" w:ascii="宋体" w:hAnsi="宋体" w:cs="宋体"/>
                <w:bCs/>
                <w:kern w:val="0"/>
                <w:szCs w:val="21"/>
                <w:highlight w:val="none"/>
              </w:rPr>
            </w:pPr>
            <w:r>
              <w:rPr>
                <w:rFonts w:hint="eastAsia" w:ascii="宋体" w:hAnsi="宋体" w:cs="宋体"/>
                <w:bCs/>
                <w:kern w:val="0"/>
                <w:szCs w:val="21"/>
                <w:highlight w:val="none"/>
              </w:rPr>
              <w:t xml:space="preserve">名    称：中达工程管理咨询有限公司 </w:t>
            </w:r>
          </w:p>
          <w:p w14:paraId="103C7B64">
            <w:pPr>
              <w:spacing w:line="400" w:lineRule="exact"/>
              <w:rPr>
                <w:rFonts w:hint="eastAsia" w:ascii="宋体" w:hAnsi="宋体" w:cs="宋体"/>
                <w:bCs/>
                <w:kern w:val="0"/>
                <w:szCs w:val="21"/>
                <w:highlight w:val="none"/>
              </w:rPr>
            </w:pPr>
            <w:r>
              <w:rPr>
                <w:rFonts w:hint="eastAsia" w:ascii="宋体" w:hAnsi="宋体" w:cs="宋体"/>
                <w:bCs/>
                <w:kern w:val="0"/>
                <w:szCs w:val="21"/>
                <w:highlight w:val="none"/>
              </w:rPr>
              <w:t>联系方式：</w:t>
            </w:r>
            <w:r>
              <w:rPr>
                <w:rFonts w:hint="eastAsia" w:ascii="宋体" w:hAnsi="宋体" w:cs="宋体"/>
                <w:color w:val="auto"/>
                <w:sz w:val="21"/>
                <w:szCs w:val="21"/>
                <w:highlight w:val="none"/>
                <w:lang w:val="en-US" w:eastAsia="zh-CN"/>
              </w:rPr>
              <w:t>李</w:t>
            </w:r>
            <w:r>
              <w:rPr>
                <w:rFonts w:hint="eastAsia" w:ascii="宋体" w:hAnsi="宋体" w:cs="宋体"/>
                <w:szCs w:val="21"/>
                <w:highlight w:val="none"/>
              </w:rPr>
              <w:t>先生</w:t>
            </w:r>
            <w:r>
              <w:rPr>
                <w:rFonts w:hint="eastAsia" w:ascii="宋体" w:hAnsi="宋体" w:cs="宋体"/>
                <w:bCs/>
                <w:kern w:val="0"/>
                <w:szCs w:val="21"/>
                <w:highlight w:val="none"/>
              </w:rPr>
              <w:t>，15151361032</w:t>
            </w:r>
          </w:p>
        </w:tc>
      </w:tr>
      <w:tr w14:paraId="566629DD">
        <w:tblPrEx>
          <w:tblLayout w:type="fixed"/>
        </w:tblPrEx>
        <w:trPr>
          <w:trHeight w:val="467" w:hRule="atLeast"/>
        </w:trPr>
        <w:tc>
          <w:tcPr>
            <w:tcW w:w="2364" w:type="dxa"/>
            <w:tcBorders>
              <w:tl2br w:val="nil"/>
              <w:tr2bl w:val="nil"/>
            </w:tcBorders>
            <w:vAlign w:val="center"/>
          </w:tcPr>
          <w:p w14:paraId="3D853F3B">
            <w:pPr>
              <w:spacing w:line="400" w:lineRule="exact"/>
              <w:rPr>
                <w:rFonts w:hint="eastAsia" w:ascii="宋体" w:hAnsi="宋体" w:cs="宋体"/>
                <w:szCs w:val="21"/>
                <w:highlight w:val="none"/>
              </w:rPr>
            </w:pPr>
            <w:r>
              <w:rPr>
                <w:rFonts w:hint="eastAsia" w:ascii="宋体" w:hAnsi="宋体" w:cs="宋体"/>
                <w:szCs w:val="21"/>
                <w:highlight w:val="none"/>
              </w:rPr>
              <w:t>招标项目及标段名称</w:t>
            </w:r>
          </w:p>
        </w:tc>
        <w:tc>
          <w:tcPr>
            <w:tcW w:w="6755" w:type="dxa"/>
            <w:tcBorders>
              <w:tl2br w:val="nil"/>
              <w:tr2bl w:val="nil"/>
            </w:tcBorders>
            <w:vAlign w:val="center"/>
          </w:tcPr>
          <w:p w14:paraId="3BD78716">
            <w:pPr>
              <w:spacing w:line="400" w:lineRule="exact"/>
              <w:rPr>
                <w:rFonts w:hint="eastAsia" w:ascii="宋体" w:hAnsi="宋体" w:cs="宋体"/>
                <w:bCs/>
                <w:kern w:val="0"/>
                <w:szCs w:val="21"/>
                <w:highlight w:val="none"/>
              </w:rPr>
            </w:pPr>
            <w:r>
              <w:rPr>
                <w:rFonts w:hint="eastAsia" w:ascii="宋体" w:hAnsi="宋体" w:cs="宋体"/>
                <w:bCs/>
                <w:kern w:val="0"/>
                <w:szCs w:val="21"/>
                <w:highlight w:val="none"/>
                <w:lang w:eastAsia="zh-CN"/>
              </w:rPr>
              <w:t>钟秀西地铁大食堂改造工程（</w:t>
            </w:r>
            <w:r>
              <w:rPr>
                <w:rFonts w:hint="eastAsia" w:ascii="宋体" w:hAnsi="宋体" w:cs="宋体"/>
                <w:bCs/>
                <w:kern w:val="0"/>
                <w:szCs w:val="21"/>
                <w:highlight w:val="none"/>
                <w:lang w:val="en-US" w:eastAsia="zh-CN"/>
              </w:rPr>
              <w:t>二次</w:t>
            </w:r>
            <w:r>
              <w:rPr>
                <w:rFonts w:hint="eastAsia" w:ascii="宋体" w:hAnsi="宋体" w:cs="宋体"/>
                <w:bCs/>
                <w:kern w:val="0"/>
                <w:szCs w:val="21"/>
                <w:highlight w:val="none"/>
                <w:lang w:eastAsia="zh-CN"/>
              </w:rPr>
              <w:t>）</w:t>
            </w:r>
          </w:p>
        </w:tc>
      </w:tr>
      <w:tr w14:paraId="652874E7">
        <w:tblPrEx>
          <w:tblLayout w:type="fixed"/>
        </w:tblPrEx>
        <w:trPr>
          <w:trHeight w:val="467" w:hRule="atLeast"/>
        </w:trPr>
        <w:tc>
          <w:tcPr>
            <w:tcW w:w="2364" w:type="dxa"/>
            <w:tcBorders>
              <w:tl2br w:val="nil"/>
              <w:tr2bl w:val="nil"/>
            </w:tcBorders>
            <w:vAlign w:val="center"/>
          </w:tcPr>
          <w:p w14:paraId="2860D914">
            <w:pPr>
              <w:spacing w:line="400" w:lineRule="exact"/>
              <w:rPr>
                <w:rFonts w:hint="eastAsia" w:ascii="宋体" w:hAnsi="宋体" w:cs="宋体"/>
                <w:szCs w:val="21"/>
                <w:highlight w:val="none"/>
              </w:rPr>
            </w:pPr>
            <w:r>
              <w:rPr>
                <w:rFonts w:hint="eastAsia" w:ascii="宋体" w:hAnsi="宋体" w:cs="宋体"/>
                <w:szCs w:val="21"/>
                <w:highlight w:val="none"/>
              </w:rPr>
              <w:t>招标范围</w:t>
            </w:r>
          </w:p>
        </w:tc>
        <w:tc>
          <w:tcPr>
            <w:tcW w:w="6755" w:type="dxa"/>
            <w:tcBorders>
              <w:tl2br w:val="nil"/>
              <w:tr2bl w:val="nil"/>
            </w:tcBorders>
            <w:vAlign w:val="center"/>
          </w:tcPr>
          <w:p w14:paraId="2674AD48">
            <w:pPr>
              <w:spacing w:line="400" w:lineRule="exact"/>
              <w:outlineLvl w:val="0"/>
              <w:rPr>
                <w:rFonts w:hint="eastAsia" w:ascii="宋体" w:hAnsi="宋体" w:cs="宋体"/>
                <w:szCs w:val="21"/>
                <w:highlight w:val="none"/>
              </w:rPr>
            </w:pPr>
            <w:bookmarkStart w:id="52" w:name="_Toc25765"/>
            <w:bookmarkStart w:id="53" w:name="_Toc26602"/>
            <w:bookmarkStart w:id="54" w:name="_Toc31859"/>
            <w:r>
              <w:rPr>
                <w:rFonts w:hint="eastAsia" w:ascii="宋体" w:hAnsi="宋体" w:cs="宋体"/>
                <w:szCs w:val="21"/>
                <w:highlight w:val="none"/>
              </w:rPr>
              <w:t>见招标公告</w:t>
            </w:r>
            <w:bookmarkEnd w:id="52"/>
            <w:bookmarkEnd w:id="53"/>
            <w:bookmarkEnd w:id="54"/>
          </w:p>
        </w:tc>
      </w:tr>
      <w:tr w14:paraId="079A0EB0">
        <w:tblPrEx>
          <w:tblLayout w:type="fixed"/>
        </w:tblPrEx>
        <w:trPr>
          <w:trHeight w:val="467" w:hRule="atLeast"/>
        </w:trPr>
        <w:tc>
          <w:tcPr>
            <w:tcW w:w="2364" w:type="dxa"/>
            <w:tcBorders>
              <w:tl2br w:val="nil"/>
              <w:tr2bl w:val="nil"/>
            </w:tcBorders>
            <w:vAlign w:val="center"/>
          </w:tcPr>
          <w:p w14:paraId="5C19A246">
            <w:pPr>
              <w:spacing w:line="400" w:lineRule="exact"/>
              <w:rPr>
                <w:rFonts w:hint="eastAsia" w:ascii="宋体" w:hAnsi="宋体" w:cs="宋体"/>
                <w:szCs w:val="21"/>
                <w:highlight w:val="none"/>
              </w:rPr>
            </w:pPr>
            <w:r>
              <w:rPr>
                <w:rFonts w:hint="eastAsia" w:ascii="宋体" w:hAnsi="宋体" w:cs="宋体"/>
                <w:szCs w:val="21"/>
                <w:highlight w:val="none"/>
              </w:rPr>
              <w:t>工期要求</w:t>
            </w:r>
          </w:p>
        </w:tc>
        <w:tc>
          <w:tcPr>
            <w:tcW w:w="6755" w:type="dxa"/>
            <w:tcBorders>
              <w:tl2br w:val="nil"/>
              <w:tr2bl w:val="nil"/>
            </w:tcBorders>
            <w:vAlign w:val="center"/>
          </w:tcPr>
          <w:p w14:paraId="5E7347E5">
            <w:pPr>
              <w:spacing w:line="400" w:lineRule="exact"/>
              <w:outlineLvl w:val="0"/>
              <w:rPr>
                <w:rFonts w:hint="eastAsia" w:ascii="宋体" w:hAnsi="宋体" w:cs="宋体"/>
                <w:szCs w:val="21"/>
                <w:highlight w:val="none"/>
              </w:rPr>
            </w:pPr>
            <w:bookmarkStart w:id="55" w:name="_Toc10127"/>
            <w:bookmarkStart w:id="56" w:name="_Toc18082"/>
            <w:bookmarkStart w:id="57" w:name="_Toc25204"/>
            <w:r>
              <w:rPr>
                <w:rFonts w:hint="eastAsia" w:ascii="宋体" w:hAnsi="宋体" w:cs="宋体"/>
                <w:szCs w:val="21"/>
                <w:highlight w:val="none"/>
              </w:rPr>
              <w:t>见招标公告</w:t>
            </w:r>
            <w:bookmarkEnd w:id="55"/>
            <w:bookmarkEnd w:id="56"/>
            <w:bookmarkEnd w:id="57"/>
          </w:p>
        </w:tc>
      </w:tr>
      <w:tr w14:paraId="2A105C78">
        <w:tblPrEx>
          <w:tblLayout w:type="fixed"/>
        </w:tblPrEx>
        <w:trPr>
          <w:trHeight w:val="467" w:hRule="atLeast"/>
        </w:trPr>
        <w:tc>
          <w:tcPr>
            <w:tcW w:w="2364" w:type="dxa"/>
            <w:tcBorders>
              <w:tl2br w:val="nil"/>
              <w:tr2bl w:val="nil"/>
            </w:tcBorders>
            <w:vAlign w:val="center"/>
          </w:tcPr>
          <w:p w14:paraId="3C321808">
            <w:pPr>
              <w:spacing w:line="400" w:lineRule="exact"/>
              <w:rPr>
                <w:rFonts w:hint="eastAsia" w:ascii="宋体" w:hAnsi="宋体" w:cs="宋体"/>
                <w:szCs w:val="21"/>
                <w:highlight w:val="none"/>
              </w:rPr>
            </w:pPr>
            <w:r>
              <w:rPr>
                <w:rFonts w:hint="eastAsia" w:ascii="宋体" w:hAnsi="宋体" w:cs="宋体"/>
                <w:szCs w:val="21"/>
                <w:highlight w:val="none"/>
              </w:rPr>
              <w:t>投标人资格要求</w:t>
            </w:r>
          </w:p>
        </w:tc>
        <w:tc>
          <w:tcPr>
            <w:tcW w:w="6755" w:type="dxa"/>
            <w:tcBorders>
              <w:tl2br w:val="nil"/>
              <w:tr2bl w:val="nil"/>
            </w:tcBorders>
            <w:vAlign w:val="center"/>
          </w:tcPr>
          <w:p w14:paraId="68D0B72E">
            <w:pPr>
              <w:spacing w:line="400" w:lineRule="exact"/>
              <w:outlineLvl w:val="0"/>
              <w:rPr>
                <w:rFonts w:hint="eastAsia" w:ascii="宋体" w:hAnsi="宋体" w:cs="宋体"/>
                <w:szCs w:val="21"/>
                <w:highlight w:val="none"/>
              </w:rPr>
            </w:pPr>
            <w:bookmarkStart w:id="58" w:name="_Toc24836"/>
            <w:bookmarkStart w:id="59" w:name="_Toc26256"/>
            <w:bookmarkStart w:id="60" w:name="_Toc32339"/>
            <w:r>
              <w:rPr>
                <w:rFonts w:hint="eastAsia" w:ascii="宋体" w:hAnsi="宋体" w:cs="宋体"/>
                <w:szCs w:val="21"/>
                <w:highlight w:val="none"/>
              </w:rPr>
              <w:t>见招标公告</w:t>
            </w:r>
            <w:bookmarkEnd w:id="58"/>
            <w:bookmarkEnd w:id="59"/>
            <w:bookmarkEnd w:id="60"/>
          </w:p>
        </w:tc>
      </w:tr>
      <w:tr w14:paraId="619581D7">
        <w:tblPrEx>
          <w:tblLayout w:type="fixed"/>
        </w:tblPrEx>
        <w:trPr>
          <w:trHeight w:val="962" w:hRule="atLeast"/>
        </w:trPr>
        <w:tc>
          <w:tcPr>
            <w:tcW w:w="2364" w:type="dxa"/>
            <w:tcBorders>
              <w:tl2br w:val="nil"/>
              <w:tr2bl w:val="nil"/>
            </w:tcBorders>
            <w:vAlign w:val="center"/>
          </w:tcPr>
          <w:p w14:paraId="50B82BA1">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投标人要求澄清招标文件的截止时间</w:t>
            </w:r>
            <w:r>
              <w:rPr>
                <w:rFonts w:hint="eastAsia" w:ascii="宋体" w:hAnsi="宋体" w:cs="宋体"/>
                <w:szCs w:val="21"/>
                <w:highlight w:val="none"/>
                <w:lang w:val="en-US" w:eastAsia="zh-CN"/>
              </w:rPr>
              <w:t>及方式</w:t>
            </w:r>
          </w:p>
        </w:tc>
        <w:tc>
          <w:tcPr>
            <w:tcW w:w="6755" w:type="dxa"/>
            <w:tcBorders>
              <w:tl2br w:val="nil"/>
              <w:tr2bl w:val="nil"/>
            </w:tcBorders>
            <w:vAlign w:val="center"/>
          </w:tcPr>
          <w:p w14:paraId="5EEE2C9C">
            <w:pPr>
              <w:spacing w:line="400" w:lineRule="exact"/>
              <w:rPr>
                <w:rFonts w:hint="eastAsia" w:ascii="宋体" w:hAnsi="宋体" w:cs="宋体"/>
                <w:szCs w:val="21"/>
                <w:highlight w:val="none"/>
              </w:rPr>
            </w:pP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lang w:val="en-US" w:eastAsia="zh-CN"/>
              </w:rPr>
              <w:t>1</w:t>
            </w:r>
            <w:r>
              <w:rPr>
                <w:rFonts w:hint="eastAsia" w:ascii="宋体" w:hAnsi="宋体" w:cs="宋体"/>
                <w:szCs w:val="21"/>
                <w:highlight w:val="none"/>
              </w:rPr>
              <w:t>月</w:t>
            </w:r>
            <w:r>
              <w:rPr>
                <w:rFonts w:hint="eastAsia" w:ascii="宋体" w:hAnsi="宋体" w:cs="宋体"/>
                <w:szCs w:val="21"/>
                <w:highlight w:val="none"/>
                <w:u w:val="single"/>
                <w:lang w:val="en-US" w:eastAsia="zh-CN"/>
              </w:rPr>
              <w:t>20</w:t>
            </w:r>
            <w:r>
              <w:rPr>
                <w:rFonts w:hint="eastAsia" w:ascii="宋体" w:hAnsi="宋体" w:cs="宋体"/>
                <w:szCs w:val="21"/>
                <w:highlight w:val="none"/>
              </w:rPr>
              <w:t>日</w:t>
            </w:r>
            <w:r>
              <w:rPr>
                <w:rFonts w:hint="eastAsia" w:ascii="宋体" w:hAnsi="宋体" w:cs="宋体"/>
                <w:szCs w:val="21"/>
                <w:highlight w:val="none"/>
                <w:u w:val="single"/>
                <w:lang w:val="en-US" w:eastAsia="zh-CN"/>
              </w:rPr>
              <w:t>17</w:t>
            </w:r>
            <w:r>
              <w:rPr>
                <w:rFonts w:hint="eastAsia" w:ascii="宋体" w:hAnsi="宋体" w:cs="宋体"/>
                <w:szCs w:val="21"/>
                <w:highlight w:val="none"/>
              </w:rPr>
              <w:t>时</w:t>
            </w:r>
            <w:r>
              <w:rPr>
                <w:rFonts w:hint="eastAsia" w:ascii="宋体" w:hAnsi="宋体" w:cs="宋体"/>
                <w:szCs w:val="21"/>
                <w:highlight w:val="none"/>
                <w:u w:val="single"/>
                <w:lang w:val="en-US" w:eastAsia="zh-CN"/>
              </w:rPr>
              <w:t>0</w:t>
            </w:r>
            <w:r>
              <w:rPr>
                <w:rFonts w:hint="eastAsia" w:ascii="宋体" w:hAnsi="宋体" w:cs="宋体"/>
                <w:szCs w:val="21"/>
                <w:highlight w:val="none"/>
                <w:u w:val="single"/>
              </w:rPr>
              <w:t>0</w:t>
            </w:r>
            <w:r>
              <w:rPr>
                <w:rFonts w:hint="eastAsia" w:ascii="宋体" w:hAnsi="宋体" w:cs="宋体"/>
                <w:szCs w:val="21"/>
                <w:highlight w:val="none"/>
              </w:rPr>
              <w:t>分前</w:t>
            </w:r>
          </w:p>
          <w:p w14:paraId="446E96A1">
            <w:pPr>
              <w:spacing w:line="400" w:lineRule="exac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以电子邮件形式（Word版）发送至邮箱：3257573920@qq.com</w:t>
            </w:r>
          </w:p>
        </w:tc>
      </w:tr>
      <w:tr w14:paraId="24A8135E">
        <w:tblPrEx>
          <w:tblLayout w:type="fixed"/>
        </w:tblPrEx>
        <w:trPr>
          <w:trHeight w:val="467" w:hRule="atLeast"/>
        </w:trPr>
        <w:tc>
          <w:tcPr>
            <w:tcW w:w="2364" w:type="dxa"/>
            <w:tcBorders>
              <w:tl2br w:val="nil"/>
              <w:tr2bl w:val="nil"/>
            </w:tcBorders>
            <w:vAlign w:val="center"/>
          </w:tcPr>
          <w:p w14:paraId="7BC5B2F8">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投标文件份数</w:t>
            </w:r>
          </w:p>
        </w:tc>
        <w:tc>
          <w:tcPr>
            <w:tcW w:w="6755" w:type="dxa"/>
            <w:tcBorders>
              <w:tl2br w:val="nil"/>
              <w:tr2bl w:val="nil"/>
            </w:tcBorders>
            <w:vAlign w:val="center"/>
          </w:tcPr>
          <w:p w14:paraId="5D7D1323">
            <w:pPr>
              <w:spacing w:line="400" w:lineRule="exact"/>
              <w:rPr>
                <w:rFonts w:hint="eastAsia" w:ascii="宋体" w:hAnsi="宋体" w:cs="宋体"/>
                <w:szCs w:val="21"/>
                <w:highlight w:val="none"/>
                <w:lang w:val="en-US" w:eastAsia="zh-CN"/>
              </w:rPr>
            </w:pPr>
            <w:r>
              <w:rPr>
                <w:rFonts w:hint="eastAsia" w:ascii="宋体" w:hAnsi="宋体" w:eastAsia="宋体" w:cs="宋体"/>
                <w:sz w:val="21"/>
                <w:szCs w:val="21"/>
                <w:highlight w:val="none"/>
              </w:rPr>
              <w:t>投标文件纸质正本一份，纸质副本四份，电子文本一份。</w:t>
            </w:r>
          </w:p>
        </w:tc>
      </w:tr>
      <w:tr w14:paraId="00F01BC3">
        <w:tblPrEx>
          <w:tblLayout w:type="fixed"/>
        </w:tblPrEx>
        <w:trPr>
          <w:trHeight w:val="467" w:hRule="atLeast"/>
        </w:trPr>
        <w:tc>
          <w:tcPr>
            <w:tcW w:w="2364" w:type="dxa"/>
            <w:tcBorders>
              <w:tl2br w:val="nil"/>
              <w:tr2bl w:val="nil"/>
            </w:tcBorders>
            <w:vAlign w:val="center"/>
          </w:tcPr>
          <w:p w14:paraId="3FA30FC3">
            <w:pPr>
              <w:spacing w:line="400" w:lineRule="exact"/>
              <w:jc w:val="left"/>
              <w:rPr>
                <w:rFonts w:hint="eastAsia" w:ascii="宋体" w:hAnsi="宋体" w:cs="宋体"/>
                <w:szCs w:val="21"/>
                <w:highlight w:val="none"/>
              </w:rPr>
            </w:pPr>
            <w:r>
              <w:rPr>
                <w:rFonts w:hint="eastAsia" w:ascii="宋体" w:hAnsi="宋体" w:cs="宋体"/>
                <w:szCs w:val="21"/>
                <w:highlight w:val="none"/>
              </w:rPr>
              <w:t>招标控制价</w:t>
            </w:r>
          </w:p>
        </w:tc>
        <w:tc>
          <w:tcPr>
            <w:tcW w:w="6755" w:type="dxa"/>
            <w:tcBorders>
              <w:tl2br w:val="nil"/>
              <w:tr2bl w:val="nil"/>
            </w:tcBorders>
            <w:vAlign w:val="center"/>
          </w:tcPr>
          <w:p w14:paraId="4D102F36">
            <w:pPr>
              <w:spacing w:line="400" w:lineRule="exact"/>
              <w:jc w:val="left"/>
              <w:rPr>
                <w:rFonts w:hint="default" w:ascii="宋体" w:hAnsi="宋体" w:cs="宋体"/>
                <w:b/>
                <w:bCs/>
                <w:highlight w:val="none"/>
                <w:lang w:val="en-US"/>
              </w:rPr>
            </w:pPr>
            <w:r>
              <w:rPr>
                <w:rFonts w:hint="eastAsia" w:ascii="宋体" w:hAnsi="宋体" w:cs="宋体"/>
                <w:szCs w:val="21"/>
                <w:highlight w:val="none"/>
                <w:lang w:val="en-US" w:eastAsia="zh-CN"/>
              </w:rPr>
              <w:t>2878592.55</w:t>
            </w:r>
            <w:r>
              <w:rPr>
                <w:rFonts w:hint="eastAsia" w:ascii="宋体" w:hAnsi="宋体" w:eastAsia="宋体" w:cs="宋体"/>
                <w:szCs w:val="21"/>
                <w:highlight w:val="none"/>
              </w:rPr>
              <w:t>元</w:t>
            </w:r>
          </w:p>
        </w:tc>
      </w:tr>
      <w:tr w14:paraId="087D3473">
        <w:tblPrEx>
          <w:tblLayout w:type="fixed"/>
        </w:tblPrEx>
        <w:trPr>
          <w:trHeight w:val="467" w:hRule="atLeast"/>
        </w:trPr>
        <w:tc>
          <w:tcPr>
            <w:tcW w:w="2364" w:type="dxa"/>
            <w:tcBorders>
              <w:tl2br w:val="nil"/>
              <w:tr2bl w:val="nil"/>
            </w:tcBorders>
            <w:vAlign w:val="center"/>
          </w:tcPr>
          <w:p w14:paraId="1665C5F5">
            <w:pPr>
              <w:spacing w:line="400" w:lineRule="exact"/>
              <w:rPr>
                <w:rFonts w:hint="eastAsia" w:ascii="宋体" w:hAnsi="宋体" w:cs="宋体"/>
                <w:szCs w:val="21"/>
                <w:highlight w:val="none"/>
              </w:rPr>
            </w:pPr>
            <w:r>
              <w:rPr>
                <w:rFonts w:hint="eastAsia" w:ascii="宋体" w:hAnsi="宋体" w:cs="宋体"/>
                <w:szCs w:val="21"/>
                <w:highlight w:val="none"/>
              </w:rPr>
              <w:t>投标有效期</w:t>
            </w:r>
          </w:p>
        </w:tc>
        <w:tc>
          <w:tcPr>
            <w:tcW w:w="6755" w:type="dxa"/>
            <w:tcBorders>
              <w:tl2br w:val="nil"/>
              <w:tr2bl w:val="nil"/>
            </w:tcBorders>
            <w:vAlign w:val="center"/>
          </w:tcPr>
          <w:p w14:paraId="596811BC">
            <w:pPr>
              <w:spacing w:line="400" w:lineRule="exact"/>
              <w:rPr>
                <w:rFonts w:hint="eastAsia" w:ascii="宋体" w:hAnsi="宋体" w:cs="宋体"/>
                <w:szCs w:val="21"/>
                <w:highlight w:val="none"/>
              </w:rPr>
            </w:pPr>
            <w:r>
              <w:rPr>
                <w:rFonts w:hint="eastAsia" w:ascii="宋体" w:hAnsi="宋体" w:cs="宋体"/>
                <w:szCs w:val="21"/>
                <w:highlight w:val="none"/>
              </w:rPr>
              <w:t>投标截止日后</w:t>
            </w:r>
            <w:r>
              <w:rPr>
                <w:rFonts w:hint="eastAsia" w:ascii="宋体" w:hAnsi="宋体" w:cs="宋体"/>
                <w:szCs w:val="21"/>
                <w:highlight w:val="none"/>
                <w:u w:val="single"/>
              </w:rPr>
              <w:t xml:space="preserve"> 90 </w:t>
            </w:r>
            <w:r>
              <w:rPr>
                <w:rFonts w:hint="eastAsia" w:ascii="宋体" w:hAnsi="宋体" w:cs="宋体"/>
                <w:szCs w:val="21"/>
                <w:highlight w:val="none"/>
              </w:rPr>
              <w:t xml:space="preserve">日历天 </w:t>
            </w:r>
          </w:p>
        </w:tc>
      </w:tr>
      <w:tr w14:paraId="61A30454">
        <w:tblPrEx>
          <w:tblLayout w:type="fixed"/>
        </w:tblPrEx>
        <w:trPr>
          <w:trHeight w:val="467" w:hRule="atLeast"/>
        </w:trPr>
        <w:tc>
          <w:tcPr>
            <w:tcW w:w="2364" w:type="dxa"/>
            <w:tcBorders>
              <w:tl2br w:val="nil"/>
              <w:tr2bl w:val="nil"/>
            </w:tcBorders>
            <w:vAlign w:val="center"/>
          </w:tcPr>
          <w:p w14:paraId="4651E529">
            <w:pPr>
              <w:spacing w:line="400" w:lineRule="exact"/>
              <w:rPr>
                <w:rFonts w:hint="eastAsia" w:ascii="宋体" w:hAnsi="宋体" w:cs="宋体"/>
                <w:szCs w:val="21"/>
                <w:highlight w:val="none"/>
              </w:rPr>
            </w:pPr>
            <w:r>
              <w:rPr>
                <w:rFonts w:hint="eastAsia" w:ascii="宋体" w:hAnsi="宋体" w:cs="宋体"/>
                <w:szCs w:val="21"/>
                <w:highlight w:val="none"/>
              </w:rPr>
              <w:t>投标保证金递交</w:t>
            </w:r>
          </w:p>
        </w:tc>
        <w:tc>
          <w:tcPr>
            <w:tcW w:w="6755" w:type="dxa"/>
            <w:tcBorders>
              <w:tl2br w:val="nil"/>
              <w:tr2bl w:val="nil"/>
            </w:tcBorders>
            <w:vAlign w:val="center"/>
          </w:tcPr>
          <w:p w14:paraId="4ED13760">
            <w:pPr>
              <w:spacing w:line="400" w:lineRule="exact"/>
              <w:rPr>
                <w:rFonts w:hint="eastAsia" w:ascii="宋体" w:hAnsi="宋体" w:cs="宋体"/>
                <w:b/>
                <w:bCs/>
                <w:szCs w:val="21"/>
                <w:highlight w:val="none"/>
              </w:rPr>
            </w:pPr>
            <w:r>
              <w:rPr>
                <w:rFonts w:hint="eastAsia" w:ascii="宋体" w:hAnsi="宋体" w:cs="宋体"/>
                <w:szCs w:val="21"/>
                <w:highlight w:val="none"/>
              </w:rPr>
              <w:t>（1）投标保证金的形式：</w:t>
            </w:r>
            <w:r>
              <w:rPr>
                <w:rFonts w:hint="eastAsia" w:ascii="宋体" w:hAnsi="宋体" w:cs="宋体"/>
                <w:b/>
                <w:bCs/>
                <w:szCs w:val="21"/>
                <w:highlight w:val="none"/>
              </w:rPr>
              <w:t xml:space="preserve">电汇（必须是本单位基本帐户开出）或保函或数字人民币 </w:t>
            </w:r>
          </w:p>
          <w:p w14:paraId="233CFEF6">
            <w:pPr>
              <w:spacing w:line="400" w:lineRule="exact"/>
              <w:rPr>
                <w:rFonts w:hint="eastAsia" w:ascii="宋体" w:hAnsi="宋体" w:eastAsia="宋体" w:cs="宋体"/>
                <w:szCs w:val="21"/>
                <w:highlight w:val="none"/>
                <w:lang w:val="en-US" w:eastAsia="zh-CN"/>
              </w:rPr>
            </w:pPr>
            <w:r>
              <w:rPr>
                <w:rFonts w:hint="eastAsia" w:ascii="宋体" w:hAnsi="宋体" w:cs="宋体"/>
                <w:szCs w:val="21"/>
                <w:highlight w:val="none"/>
              </w:rPr>
              <w:t>（2）投标保证金的金额：</w:t>
            </w:r>
            <w:r>
              <w:rPr>
                <w:rFonts w:hint="eastAsia" w:ascii="宋体" w:hAnsi="宋体" w:cs="宋体"/>
                <w:b/>
                <w:bCs/>
                <w:szCs w:val="21"/>
                <w:highlight w:val="none"/>
                <w:u w:val="single"/>
              </w:rPr>
              <w:t>人民币</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rPr>
              <w:t>万元</w:t>
            </w:r>
            <w:r>
              <w:rPr>
                <w:rFonts w:hint="eastAsia" w:ascii="宋体" w:hAnsi="宋体" w:cs="宋体"/>
                <w:b/>
                <w:bCs/>
                <w:szCs w:val="21"/>
                <w:highlight w:val="none"/>
              </w:rPr>
              <w:t xml:space="preserve"> </w:t>
            </w:r>
          </w:p>
        </w:tc>
      </w:tr>
      <w:tr w14:paraId="0C8D001C">
        <w:tblPrEx>
          <w:tblLayout w:type="fixed"/>
        </w:tblPrEx>
        <w:trPr>
          <w:trHeight w:val="467" w:hRule="atLeast"/>
        </w:trPr>
        <w:tc>
          <w:tcPr>
            <w:tcW w:w="2364" w:type="dxa"/>
            <w:tcBorders>
              <w:tl2br w:val="nil"/>
              <w:tr2bl w:val="nil"/>
            </w:tcBorders>
            <w:shd w:val="clear" w:color="auto" w:fill="auto"/>
            <w:vAlign w:val="center"/>
          </w:tcPr>
          <w:p w14:paraId="20044DEB">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投标保证金退还</w:t>
            </w:r>
          </w:p>
        </w:tc>
        <w:tc>
          <w:tcPr>
            <w:tcW w:w="6755" w:type="dxa"/>
            <w:tcBorders>
              <w:tl2br w:val="nil"/>
              <w:tr2bl w:val="nil"/>
            </w:tcBorders>
            <w:shd w:val="clear" w:color="auto" w:fill="auto"/>
            <w:vAlign w:val="center"/>
          </w:tcPr>
          <w:p w14:paraId="69944240">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投标保证金计算利息，退还投标保证金时，本金与利息一并划付至投标保证金付款人基本账户。为提高效率，在规定时间内，由招标代理或招标人统一代为办理中标人和未中标人的保证金退还工作。如本项目招标中遇质疑，投诉，复议等特殊情况，保证金退还按相关规定执行。</w:t>
            </w:r>
          </w:p>
        </w:tc>
      </w:tr>
      <w:tr w14:paraId="1142D8FC">
        <w:tblPrEx>
          <w:tblLayout w:type="fixed"/>
        </w:tblPrEx>
        <w:trPr>
          <w:trHeight w:val="467" w:hRule="atLeast"/>
        </w:trPr>
        <w:tc>
          <w:tcPr>
            <w:tcW w:w="2364" w:type="dxa"/>
            <w:tcBorders>
              <w:tl2br w:val="nil"/>
              <w:tr2bl w:val="nil"/>
            </w:tcBorders>
            <w:vAlign w:val="center"/>
          </w:tcPr>
          <w:p w14:paraId="7BFA015B">
            <w:pPr>
              <w:spacing w:line="400" w:lineRule="exact"/>
              <w:jc w:val="left"/>
              <w:rPr>
                <w:rFonts w:hint="eastAsia" w:ascii="宋体" w:hAnsi="宋体" w:cs="宋体"/>
                <w:szCs w:val="21"/>
                <w:highlight w:val="none"/>
              </w:rPr>
            </w:pPr>
            <w:r>
              <w:rPr>
                <w:rFonts w:hint="eastAsia" w:ascii="宋体" w:hAnsi="宋体" w:cs="宋体"/>
                <w:szCs w:val="21"/>
                <w:highlight w:val="none"/>
              </w:rPr>
              <w:t>投标截止时间</w:t>
            </w:r>
          </w:p>
        </w:tc>
        <w:tc>
          <w:tcPr>
            <w:tcW w:w="6755" w:type="dxa"/>
            <w:tcBorders>
              <w:tl2br w:val="nil"/>
              <w:tr2bl w:val="nil"/>
            </w:tcBorders>
            <w:vAlign w:val="center"/>
          </w:tcPr>
          <w:p w14:paraId="4113020F">
            <w:pPr>
              <w:spacing w:line="400" w:lineRule="exact"/>
              <w:rPr>
                <w:rFonts w:hint="eastAsia" w:ascii="宋体" w:hAnsi="宋体" w:cs="宋体"/>
                <w:szCs w:val="21"/>
                <w:highlight w:val="none"/>
              </w:rPr>
            </w:pP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lang w:val="en-US" w:eastAsia="zh-CN"/>
              </w:rPr>
              <w:t>1</w:t>
            </w:r>
            <w:r>
              <w:rPr>
                <w:rFonts w:hint="eastAsia" w:ascii="宋体" w:hAnsi="宋体" w:cs="宋体"/>
                <w:szCs w:val="21"/>
                <w:highlight w:val="none"/>
              </w:rPr>
              <w:t>月</w:t>
            </w:r>
            <w:r>
              <w:rPr>
                <w:rFonts w:hint="eastAsia" w:ascii="宋体" w:hAnsi="宋体" w:cs="宋体"/>
                <w:szCs w:val="21"/>
                <w:highlight w:val="none"/>
                <w:u w:val="single"/>
                <w:lang w:val="en-US" w:eastAsia="zh-CN"/>
              </w:rPr>
              <w:t>27</w:t>
            </w:r>
            <w:r>
              <w:rPr>
                <w:rFonts w:hint="eastAsia" w:ascii="宋体" w:hAnsi="宋体" w:cs="宋体"/>
                <w:szCs w:val="21"/>
                <w:highlight w:val="none"/>
              </w:rPr>
              <w:t>日</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hint="eastAsia" w:ascii="宋体" w:hAnsi="宋体" w:cs="宋体"/>
                <w:szCs w:val="21"/>
                <w:highlight w:val="none"/>
                <w:u w:val="single"/>
                <w:lang w:eastAsia="zh-CN"/>
              </w:rPr>
              <w:t>30</w:t>
            </w:r>
            <w:r>
              <w:rPr>
                <w:rFonts w:hint="eastAsia" w:ascii="宋体" w:hAnsi="宋体" w:cs="宋体"/>
                <w:szCs w:val="21"/>
                <w:highlight w:val="none"/>
              </w:rPr>
              <w:t>分</w:t>
            </w:r>
          </w:p>
        </w:tc>
      </w:tr>
      <w:tr w14:paraId="7A32FB74">
        <w:tblPrEx>
          <w:tblLayout w:type="fixed"/>
        </w:tblPrEx>
        <w:trPr>
          <w:trHeight w:val="467" w:hRule="atLeast"/>
        </w:trPr>
        <w:tc>
          <w:tcPr>
            <w:tcW w:w="2364" w:type="dxa"/>
            <w:tcBorders>
              <w:tl2br w:val="nil"/>
              <w:tr2bl w:val="nil"/>
            </w:tcBorders>
            <w:vAlign w:val="center"/>
          </w:tcPr>
          <w:p w14:paraId="4C8B05BA">
            <w:pPr>
              <w:spacing w:line="400" w:lineRule="exact"/>
              <w:rPr>
                <w:rFonts w:hint="eastAsia" w:ascii="宋体" w:hAnsi="宋体" w:cs="宋体"/>
                <w:szCs w:val="21"/>
                <w:highlight w:val="none"/>
              </w:rPr>
            </w:pPr>
            <w:r>
              <w:rPr>
                <w:rFonts w:hint="eastAsia" w:ascii="宋体" w:hAnsi="宋体" w:cs="宋体"/>
                <w:szCs w:val="21"/>
                <w:highlight w:val="none"/>
              </w:rPr>
              <w:t>递交投标文件地点</w:t>
            </w:r>
          </w:p>
        </w:tc>
        <w:tc>
          <w:tcPr>
            <w:tcW w:w="6755" w:type="dxa"/>
            <w:tcBorders>
              <w:tl2br w:val="nil"/>
              <w:tr2bl w:val="nil"/>
            </w:tcBorders>
            <w:vAlign w:val="center"/>
          </w:tcPr>
          <w:p w14:paraId="0C6783AB">
            <w:pPr>
              <w:spacing w:line="400" w:lineRule="exact"/>
              <w:rPr>
                <w:rFonts w:hint="eastAsia" w:ascii="宋体" w:hAnsi="宋体" w:cs="宋体"/>
                <w:szCs w:val="21"/>
                <w:highlight w:val="none"/>
              </w:rPr>
            </w:pPr>
            <w:r>
              <w:rPr>
                <w:rFonts w:hint="eastAsia" w:ascii="宋体" w:hAnsi="宋体" w:cs="宋体"/>
                <w:szCs w:val="21"/>
                <w:highlight w:val="none"/>
              </w:rPr>
              <w:t>南通市崇川区崇川路158号15楼1506开标室</w:t>
            </w:r>
          </w:p>
        </w:tc>
      </w:tr>
      <w:tr w14:paraId="198D1886">
        <w:tblPrEx>
          <w:tblLayout w:type="fixed"/>
        </w:tblPrEx>
        <w:trPr>
          <w:trHeight w:val="923" w:hRule="atLeast"/>
        </w:trPr>
        <w:tc>
          <w:tcPr>
            <w:tcW w:w="2364" w:type="dxa"/>
            <w:tcBorders>
              <w:tl2br w:val="nil"/>
              <w:tr2bl w:val="nil"/>
            </w:tcBorders>
            <w:vAlign w:val="center"/>
          </w:tcPr>
          <w:p w14:paraId="10E58429">
            <w:pPr>
              <w:spacing w:line="400" w:lineRule="exact"/>
              <w:rPr>
                <w:rFonts w:hint="eastAsia" w:ascii="宋体" w:hAnsi="宋体" w:cs="宋体"/>
                <w:szCs w:val="21"/>
                <w:highlight w:val="none"/>
              </w:rPr>
            </w:pPr>
            <w:r>
              <w:rPr>
                <w:rFonts w:hint="eastAsia" w:ascii="宋体" w:hAnsi="宋体" w:cs="宋体"/>
                <w:szCs w:val="21"/>
                <w:highlight w:val="none"/>
              </w:rPr>
              <w:t>开标时间和地点</w:t>
            </w:r>
          </w:p>
        </w:tc>
        <w:tc>
          <w:tcPr>
            <w:tcW w:w="6755" w:type="dxa"/>
            <w:tcBorders>
              <w:tl2br w:val="nil"/>
              <w:tr2bl w:val="nil"/>
            </w:tcBorders>
            <w:vAlign w:val="center"/>
          </w:tcPr>
          <w:p w14:paraId="500BC57A">
            <w:pPr>
              <w:spacing w:line="400" w:lineRule="exact"/>
              <w:rPr>
                <w:rFonts w:hint="eastAsia" w:ascii="宋体" w:hAnsi="宋体" w:cs="宋体"/>
                <w:szCs w:val="21"/>
                <w:highlight w:val="none"/>
              </w:rPr>
            </w:pPr>
            <w:r>
              <w:rPr>
                <w:rFonts w:hint="eastAsia" w:ascii="宋体" w:hAnsi="宋体" w:cs="宋体"/>
                <w:szCs w:val="21"/>
                <w:highlight w:val="none"/>
              </w:rPr>
              <w:t>开标时间：同投标截止时间。</w:t>
            </w:r>
          </w:p>
          <w:p w14:paraId="6EA3B614">
            <w:pPr>
              <w:spacing w:line="400" w:lineRule="exact"/>
              <w:rPr>
                <w:rFonts w:hint="eastAsia" w:ascii="宋体" w:hAnsi="宋体" w:cs="宋体"/>
                <w:szCs w:val="21"/>
                <w:highlight w:val="none"/>
              </w:rPr>
            </w:pPr>
            <w:r>
              <w:rPr>
                <w:rFonts w:hint="eastAsia" w:ascii="宋体" w:hAnsi="宋体" w:cs="宋体"/>
                <w:szCs w:val="21"/>
                <w:highlight w:val="none"/>
              </w:rPr>
              <w:t>开标地点：南通市崇川区崇川路158号15楼1506开标室</w:t>
            </w:r>
          </w:p>
        </w:tc>
      </w:tr>
      <w:tr w14:paraId="1B503AF0">
        <w:tblPrEx>
          <w:tblLayout w:type="fixed"/>
        </w:tblPrEx>
        <w:trPr>
          <w:trHeight w:val="4114" w:hRule="atLeast"/>
        </w:trPr>
        <w:tc>
          <w:tcPr>
            <w:tcW w:w="2364" w:type="dxa"/>
            <w:tcBorders>
              <w:tl2br w:val="nil"/>
              <w:tr2bl w:val="nil"/>
            </w:tcBorders>
            <w:vAlign w:val="center"/>
          </w:tcPr>
          <w:p w14:paraId="3C396F97">
            <w:pPr>
              <w:spacing w:line="400" w:lineRule="exact"/>
              <w:rPr>
                <w:rFonts w:hint="eastAsia" w:ascii="宋体" w:hAnsi="宋体" w:cs="宋体"/>
                <w:szCs w:val="21"/>
                <w:highlight w:val="none"/>
              </w:rPr>
            </w:pPr>
            <w:r>
              <w:rPr>
                <w:rFonts w:hint="eastAsia" w:ascii="宋体" w:hAnsi="宋体" w:cs="宋体"/>
                <w:szCs w:val="21"/>
                <w:highlight w:val="none"/>
              </w:rPr>
              <w:t>开标程序</w:t>
            </w:r>
          </w:p>
        </w:tc>
        <w:tc>
          <w:tcPr>
            <w:tcW w:w="6755" w:type="dxa"/>
            <w:tcBorders>
              <w:tl2br w:val="nil"/>
              <w:tr2bl w:val="nil"/>
            </w:tcBorders>
            <w:vAlign w:val="center"/>
          </w:tcPr>
          <w:p w14:paraId="65F273C8">
            <w:pPr>
              <w:spacing w:line="400" w:lineRule="exact"/>
              <w:rPr>
                <w:rFonts w:hint="eastAsia" w:ascii="宋体" w:hAnsi="宋体" w:cs="宋体"/>
                <w:szCs w:val="21"/>
                <w:highlight w:val="none"/>
              </w:rPr>
            </w:pPr>
            <w:r>
              <w:rPr>
                <w:rFonts w:hint="eastAsia" w:ascii="宋体" w:hAnsi="宋体" w:cs="宋体"/>
                <w:szCs w:val="21"/>
                <w:highlight w:val="none"/>
              </w:rPr>
              <w:t>（1）公布在投标截止时间前递交投标文件的投标人名称，点名确认是否按招标文件要求派人到场；</w:t>
            </w:r>
          </w:p>
          <w:p w14:paraId="5EDBA6AC">
            <w:pPr>
              <w:spacing w:line="400" w:lineRule="exact"/>
              <w:rPr>
                <w:rFonts w:hint="eastAsia" w:ascii="宋体" w:hAnsi="宋体" w:cs="宋体"/>
                <w:szCs w:val="21"/>
                <w:highlight w:val="none"/>
              </w:rPr>
            </w:pPr>
            <w:r>
              <w:rPr>
                <w:rFonts w:hint="eastAsia" w:ascii="宋体" w:hAnsi="宋体" w:cs="宋体"/>
                <w:szCs w:val="21"/>
                <w:highlight w:val="none"/>
              </w:rPr>
              <w:t>（2）由投标人代表相互检查投标文件密封情况；</w:t>
            </w:r>
          </w:p>
          <w:p w14:paraId="303DF12A">
            <w:pPr>
              <w:spacing w:line="400" w:lineRule="exact"/>
              <w:rPr>
                <w:rFonts w:hint="eastAsia" w:ascii="宋体" w:hAnsi="宋体" w:cs="宋体"/>
                <w:szCs w:val="21"/>
                <w:highlight w:val="none"/>
              </w:rPr>
            </w:pPr>
            <w:r>
              <w:rPr>
                <w:rFonts w:hint="eastAsia" w:ascii="宋体" w:hAnsi="宋体" w:cs="宋体"/>
                <w:szCs w:val="21"/>
                <w:highlight w:val="none"/>
              </w:rPr>
              <w:t>（3）评标委员会进行资格审查文件评审；</w:t>
            </w:r>
          </w:p>
          <w:p w14:paraId="27154B1C">
            <w:pPr>
              <w:spacing w:line="400" w:lineRule="exact"/>
              <w:rPr>
                <w:rFonts w:hint="eastAsia" w:ascii="宋体" w:hAnsi="宋体" w:cs="宋体"/>
                <w:szCs w:val="21"/>
                <w:highlight w:val="none"/>
              </w:rPr>
            </w:pPr>
            <w:r>
              <w:rPr>
                <w:rFonts w:hint="eastAsia" w:ascii="宋体" w:hAnsi="宋体" w:cs="宋体"/>
                <w:szCs w:val="21"/>
                <w:highlight w:val="none"/>
              </w:rPr>
              <w:t>（4）评标委员会进行商务和标书评审；</w:t>
            </w:r>
          </w:p>
          <w:p w14:paraId="6E0797D2">
            <w:pPr>
              <w:spacing w:line="400" w:lineRule="exact"/>
              <w:rPr>
                <w:rFonts w:hint="eastAsia" w:ascii="宋体" w:hAnsi="宋体" w:cs="宋体"/>
                <w:szCs w:val="21"/>
                <w:highlight w:val="none"/>
              </w:rPr>
            </w:pPr>
            <w:r>
              <w:rPr>
                <w:rFonts w:hint="eastAsia" w:ascii="宋体" w:hAnsi="宋体" w:cs="宋体"/>
                <w:szCs w:val="21"/>
                <w:highlight w:val="none"/>
              </w:rPr>
              <w:t>（5）对商务标书详细评审结束后，进入下一阶段报价评审；</w:t>
            </w:r>
          </w:p>
          <w:p w14:paraId="2BF51A36">
            <w:pPr>
              <w:spacing w:line="400" w:lineRule="exact"/>
              <w:rPr>
                <w:rFonts w:hint="eastAsia" w:ascii="宋体" w:hAnsi="宋体" w:cs="宋体"/>
                <w:szCs w:val="21"/>
                <w:highlight w:val="none"/>
              </w:rPr>
            </w:pPr>
            <w:r>
              <w:rPr>
                <w:rFonts w:hint="eastAsia" w:ascii="宋体" w:hAnsi="宋体" w:cs="宋体"/>
                <w:szCs w:val="21"/>
                <w:highlight w:val="none"/>
              </w:rPr>
              <w:t xml:space="preserve">（6）当众开启报价文件，进行唱标，并记录在案； </w:t>
            </w:r>
          </w:p>
          <w:p w14:paraId="104E2372">
            <w:pPr>
              <w:spacing w:line="400" w:lineRule="exact"/>
              <w:rPr>
                <w:rFonts w:hint="eastAsia" w:ascii="宋体" w:hAnsi="宋体" w:cs="宋体"/>
                <w:szCs w:val="21"/>
                <w:highlight w:val="none"/>
              </w:rPr>
            </w:pPr>
            <w:r>
              <w:rPr>
                <w:rFonts w:hint="eastAsia" w:ascii="宋体" w:hAnsi="宋体" w:cs="宋体"/>
                <w:szCs w:val="21"/>
                <w:highlight w:val="none"/>
              </w:rPr>
              <w:t>（7）汇总商务、报价</w:t>
            </w:r>
            <w:r>
              <w:rPr>
                <w:rFonts w:hint="eastAsia" w:ascii="宋体" w:hAnsi="宋体" w:cs="宋体"/>
                <w:szCs w:val="21"/>
                <w:highlight w:val="none"/>
                <w:lang w:eastAsia="zh-CN"/>
              </w:rPr>
              <w:t>两</w:t>
            </w:r>
            <w:r>
              <w:rPr>
                <w:rFonts w:hint="eastAsia" w:ascii="宋体" w:hAnsi="宋体" w:cs="宋体"/>
                <w:szCs w:val="21"/>
                <w:highlight w:val="none"/>
              </w:rPr>
              <w:t>部分得分，形成评审结果；</w:t>
            </w:r>
          </w:p>
          <w:p w14:paraId="4D28E555">
            <w:pPr>
              <w:spacing w:line="400" w:lineRule="exact"/>
              <w:rPr>
                <w:rFonts w:hint="eastAsia" w:ascii="宋体" w:hAnsi="宋体" w:cs="宋体"/>
                <w:szCs w:val="21"/>
                <w:highlight w:val="none"/>
              </w:rPr>
            </w:pPr>
            <w:r>
              <w:rPr>
                <w:rFonts w:hint="eastAsia" w:ascii="宋体" w:hAnsi="宋体" w:cs="宋体"/>
                <w:szCs w:val="21"/>
                <w:highlight w:val="none"/>
              </w:rPr>
              <w:t>（8）宣布中标候选人；</w:t>
            </w:r>
          </w:p>
          <w:p w14:paraId="1AC236F2">
            <w:pPr>
              <w:spacing w:line="400" w:lineRule="exact"/>
              <w:rPr>
                <w:rFonts w:hint="eastAsia" w:ascii="宋体" w:hAnsi="宋体" w:cs="宋体"/>
                <w:szCs w:val="21"/>
                <w:highlight w:val="none"/>
              </w:rPr>
            </w:pPr>
            <w:r>
              <w:rPr>
                <w:rFonts w:hint="eastAsia" w:ascii="宋体" w:hAnsi="宋体" w:cs="宋体"/>
                <w:szCs w:val="21"/>
                <w:highlight w:val="none"/>
              </w:rPr>
              <w:t>（9）开标会议结束。</w:t>
            </w:r>
          </w:p>
        </w:tc>
      </w:tr>
      <w:tr w14:paraId="47A1FAB8">
        <w:tblPrEx>
          <w:tblLayout w:type="fixed"/>
        </w:tblPrEx>
        <w:trPr>
          <w:trHeight w:val="467" w:hRule="atLeast"/>
        </w:trPr>
        <w:tc>
          <w:tcPr>
            <w:tcW w:w="2364" w:type="dxa"/>
            <w:tcBorders>
              <w:tl2br w:val="nil"/>
              <w:tr2bl w:val="nil"/>
            </w:tcBorders>
            <w:vAlign w:val="center"/>
          </w:tcPr>
          <w:p w14:paraId="65D849C5">
            <w:pPr>
              <w:spacing w:line="400" w:lineRule="exact"/>
              <w:rPr>
                <w:rFonts w:hint="eastAsia" w:ascii="宋体" w:hAnsi="宋体" w:cs="宋体"/>
                <w:szCs w:val="21"/>
                <w:highlight w:val="none"/>
              </w:rPr>
            </w:pPr>
            <w:r>
              <w:rPr>
                <w:rFonts w:hint="eastAsia" w:ascii="宋体" w:hAnsi="宋体" w:cs="宋体"/>
                <w:szCs w:val="21"/>
                <w:highlight w:val="none"/>
              </w:rPr>
              <w:t>评标委员会的组建</w:t>
            </w:r>
          </w:p>
        </w:tc>
        <w:tc>
          <w:tcPr>
            <w:tcW w:w="6755" w:type="dxa"/>
            <w:tcBorders>
              <w:tl2br w:val="nil"/>
              <w:tr2bl w:val="nil"/>
            </w:tcBorders>
            <w:vAlign w:val="center"/>
          </w:tcPr>
          <w:p w14:paraId="6405A544">
            <w:pPr>
              <w:spacing w:line="400" w:lineRule="exact"/>
              <w:rPr>
                <w:rFonts w:hint="eastAsia" w:ascii="宋体" w:hAnsi="宋体" w:cs="宋体"/>
                <w:szCs w:val="21"/>
                <w:highlight w:val="none"/>
              </w:rPr>
            </w:pPr>
            <w:r>
              <w:rPr>
                <w:rFonts w:hint="eastAsia" w:ascii="宋体" w:hAnsi="宋体" w:cs="宋体"/>
                <w:szCs w:val="21"/>
                <w:highlight w:val="none"/>
              </w:rPr>
              <w:t>评标委员会构成：</w:t>
            </w:r>
            <w:r>
              <w:rPr>
                <w:rFonts w:hint="eastAsia" w:ascii="宋体" w:hAnsi="宋体" w:cs="宋体"/>
                <w:kern w:val="0"/>
                <w:szCs w:val="21"/>
                <w:highlight w:val="none"/>
                <w:u w:val="single"/>
              </w:rPr>
              <w:t>5人或5人以上单数</w:t>
            </w:r>
            <w:r>
              <w:rPr>
                <w:rFonts w:hint="eastAsia" w:ascii="宋体" w:hAnsi="宋体" w:cs="宋体"/>
                <w:szCs w:val="21"/>
                <w:highlight w:val="none"/>
                <w:u w:val="single"/>
              </w:rPr>
              <w:t>。</w:t>
            </w:r>
          </w:p>
        </w:tc>
      </w:tr>
      <w:tr w14:paraId="3DBE571F">
        <w:tblPrEx>
          <w:tblLayout w:type="fixed"/>
        </w:tblPrEx>
        <w:trPr>
          <w:trHeight w:val="957" w:hRule="atLeast"/>
        </w:trPr>
        <w:tc>
          <w:tcPr>
            <w:tcW w:w="2364" w:type="dxa"/>
            <w:tcBorders>
              <w:tl2br w:val="nil"/>
              <w:tr2bl w:val="nil"/>
            </w:tcBorders>
            <w:vAlign w:val="center"/>
          </w:tcPr>
          <w:p w14:paraId="2C1C3698">
            <w:pPr>
              <w:spacing w:line="400" w:lineRule="exact"/>
              <w:rPr>
                <w:rFonts w:hint="eastAsia" w:ascii="宋体" w:hAnsi="宋体" w:cs="宋体"/>
                <w:szCs w:val="21"/>
                <w:highlight w:val="none"/>
              </w:rPr>
            </w:pPr>
            <w:r>
              <w:rPr>
                <w:rFonts w:hint="eastAsia" w:ascii="宋体" w:hAnsi="宋体" w:cs="宋体"/>
                <w:szCs w:val="21"/>
                <w:highlight w:val="none"/>
              </w:rPr>
              <w:t>是否授权评标委员会确定中标人</w:t>
            </w:r>
          </w:p>
        </w:tc>
        <w:tc>
          <w:tcPr>
            <w:tcW w:w="6755" w:type="dxa"/>
            <w:tcBorders>
              <w:tl2br w:val="nil"/>
              <w:tr2bl w:val="nil"/>
            </w:tcBorders>
            <w:vAlign w:val="center"/>
          </w:tcPr>
          <w:p w14:paraId="51671F36">
            <w:pPr>
              <w:spacing w:line="400" w:lineRule="exact"/>
              <w:rPr>
                <w:rFonts w:hint="eastAsia" w:ascii="宋体" w:hAnsi="宋体" w:cs="宋体"/>
                <w:szCs w:val="21"/>
                <w:highlight w:val="none"/>
              </w:rPr>
            </w:pPr>
            <w:r>
              <w:rPr>
                <w:rFonts w:hint="eastAsia" w:ascii="宋体" w:hAnsi="宋体" w:cs="宋体"/>
                <w:highlight w:val="none"/>
              </w:rPr>
              <w:t>□是</w:t>
            </w:r>
          </w:p>
          <w:p w14:paraId="7C254B15">
            <w:pPr>
              <w:spacing w:line="400" w:lineRule="exact"/>
              <w:rPr>
                <w:rFonts w:hint="eastAsia" w:ascii="宋体" w:hAnsi="宋体" w:cs="宋体"/>
                <w:szCs w:val="21"/>
                <w:highlight w:val="none"/>
              </w:rPr>
            </w:pPr>
            <w:r>
              <w:rPr>
                <w:rFonts w:hint="eastAsia" w:ascii="宋体" w:hAnsi="宋体" w:cs="宋体"/>
                <w:szCs w:val="21"/>
                <w:highlight w:val="none"/>
              </w:rPr>
              <w:t>☑否，推荐的中标候选人数：</w:t>
            </w:r>
            <w:r>
              <w:rPr>
                <w:rFonts w:hint="eastAsia" w:ascii="宋体" w:hAnsi="宋体" w:cs="宋体"/>
                <w:szCs w:val="21"/>
                <w:highlight w:val="none"/>
                <w:u w:val="single"/>
              </w:rPr>
              <w:t xml:space="preserve">  1  </w:t>
            </w:r>
          </w:p>
        </w:tc>
      </w:tr>
    </w:tbl>
    <w:p w14:paraId="31C00A84">
      <w:pPr>
        <w:rPr>
          <w:rFonts w:hint="eastAsia" w:ascii="宋体" w:hAnsi="宋体" w:cs="宋体"/>
          <w:b/>
          <w:szCs w:val="21"/>
          <w:highlight w:val="none"/>
        </w:rPr>
      </w:pPr>
      <w:r>
        <w:rPr>
          <w:rFonts w:hint="eastAsia" w:ascii="宋体" w:hAnsi="宋体" w:cs="宋体"/>
          <w:b/>
          <w:szCs w:val="21"/>
          <w:highlight w:val="none"/>
        </w:rPr>
        <w:br w:type="page"/>
      </w:r>
    </w:p>
    <w:p w14:paraId="7671FEAB">
      <w:pPr>
        <w:pStyle w:val="3"/>
        <w:keepNext/>
        <w:keepLines/>
        <w:spacing w:before="325" w:after="325" w:line="360" w:lineRule="auto"/>
        <w:ind w:right="-619" w:rightChars="-295"/>
        <w:rPr>
          <w:rFonts w:hint="eastAsia" w:ascii="宋体" w:hAnsi="宋体" w:eastAsia="宋体" w:cs="宋体"/>
          <w:b/>
          <w:bCs/>
          <w:sz w:val="28"/>
          <w:szCs w:val="40"/>
          <w:highlight w:val="none"/>
        </w:rPr>
      </w:pPr>
      <w:bookmarkStart w:id="61" w:name="_Toc11171"/>
      <w:bookmarkStart w:id="62" w:name="_Toc15044"/>
      <w:bookmarkStart w:id="63" w:name="_Toc27194"/>
      <w:bookmarkStart w:id="64" w:name="_Toc26928"/>
      <w:bookmarkStart w:id="65" w:name="_Toc19915"/>
      <w:bookmarkStart w:id="66" w:name="_Toc14769"/>
      <w:r>
        <w:rPr>
          <w:rFonts w:hint="eastAsia" w:ascii="宋体" w:hAnsi="宋体" w:eastAsia="宋体" w:cs="宋体"/>
          <w:b/>
          <w:bCs/>
          <w:sz w:val="28"/>
          <w:szCs w:val="40"/>
          <w:highlight w:val="none"/>
        </w:rPr>
        <w:t>投标人须知</w:t>
      </w:r>
      <w:bookmarkEnd w:id="61"/>
      <w:bookmarkEnd w:id="62"/>
      <w:bookmarkEnd w:id="63"/>
      <w:bookmarkEnd w:id="64"/>
      <w:bookmarkEnd w:id="65"/>
      <w:bookmarkEnd w:id="66"/>
    </w:p>
    <w:p w14:paraId="00695397">
      <w:pPr>
        <w:spacing w:line="440" w:lineRule="exact"/>
        <w:ind w:right="-739" w:rightChars="-352" w:firstLine="422" w:firstLineChars="200"/>
        <w:outlineLvl w:val="1"/>
        <w:rPr>
          <w:rFonts w:hint="eastAsia" w:ascii="宋体" w:hAnsi="宋体" w:cs="宋体"/>
          <w:b/>
          <w:szCs w:val="21"/>
          <w:highlight w:val="none"/>
        </w:rPr>
      </w:pPr>
      <w:bookmarkStart w:id="67" w:name="_Toc20765"/>
      <w:bookmarkStart w:id="68" w:name="_Toc14082"/>
      <w:r>
        <w:rPr>
          <w:rFonts w:hint="eastAsia" w:ascii="宋体" w:hAnsi="宋体" w:cs="宋体"/>
          <w:b/>
          <w:szCs w:val="21"/>
          <w:highlight w:val="none"/>
        </w:rPr>
        <w:t>一、总则</w:t>
      </w:r>
      <w:bookmarkEnd w:id="38"/>
      <w:bookmarkEnd w:id="39"/>
      <w:bookmarkEnd w:id="50"/>
      <w:bookmarkEnd w:id="51"/>
      <w:bookmarkEnd w:id="67"/>
      <w:bookmarkEnd w:id="68"/>
    </w:p>
    <w:p w14:paraId="63B88645">
      <w:pPr>
        <w:spacing w:line="440" w:lineRule="exact"/>
        <w:ind w:right="-739" w:rightChars="-352" w:firstLine="420" w:firstLineChars="200"/>
        <w:rPr>
          <w:rFonts w:hint="eastAsia" w:ascii="宋体" w:hAnsi="宋体" w:cs="宋体"/>
          <w:szCs w:val="21"/>
          <w:highlight w:val="none"/>
        </w:rPr>
      </w:pPr>
      <w:bookmarkStart w:id="69" w:name="_Hlt16619475"/>
      <w:bookmarkEnd w:id="69"/>
      <w:bookmarkStart w:id="70" w:name="_Toc458694821"/>
      <w:bookmarkStart w:id="71" w:name="_Toc16938520"/>
      <w:bookmarkStart w:id="72" w:name="_Toc29623"/>
      <w:bookmarkStart w:id="73" w:name="_Toc513029204"/>
      <w:bookmarkStart w:id="74" w:name="_Toc20823276"/>
      <w:r>
        <w:rPr>
          <w:rFonts w:hint="eastAsia" w:ascii="宋体" w:hAnsi="宋体" w:cs="宋体"/>
          <w:szCs w:val="21"/>
          <w:highlight w:val="none"/>
        </w:rPr>
        <w:t>1</w:t>
      </w:r>
      <w:bookmarkEnd w:id="70"/>
      <w:r>
        <w:rPr>
          <w:rFonts w:hint="eastAsia" w:ascii="宋体" w:hAnsi="宋体" w:cs="宋体"/>
          <w:szCs w:val="21"/>
          <w:highlight w:val="none"/>
        </w:rPr>
        <w:t>、招标方式</w:t>
      </w:r>
      <w:bookmarkEnd w:id="71"/>
      <w:bookmarkEnd w:id="72"/>
      <w:bookmarkEnd w:id="73"/>
      <w:bookmarkEnd w:id="74"/>
    </w:p>
    <w:p w14:paraId="3903EAAC">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本次招标采取公开招标方式，本招标文件仅适用于招标公告中所述项目。</w:t>
      </w:r>
    </w:p>
    <w:p w14:paraId="664E9608">
      <w:pPr>
        <w:spacing w:line="440" w:lineRule="exact"/>
        <w:ind w:right="-739" w:rightChars="-352" w:firstLine="420" w:firstLineChars="200"/>
        <w:rPr>
          <w:rFonts w:hint="eastAsia" w:ascii="宋体" w:hAnsi="宋体" w:cs="宋体"/>
          <w:szCs w:val="21"/>
          <w:highlight w:val="none"/>
        </w:rPr>
      </w:pPr>
      <w:bookmarkStart w:id="75" w:name="_Toc20823277"/>
      <w:bookmarkStart w:id="76" w:name="_Toc513029205"/>
      <w:bookmarkStart w:id="77" w:name="_Toc16938521"/>
      <w:bookmarkStart w:id="78" w:name="_Toc30478"/>
      <w:r>
        <w:rPr>
          <w:rFonts w:hint="eastAsia" w:ascii="宋体" w:hAnsi="宋体" w:cs="宋体"/>
          <w:szCs w:val="21"/>
          <w:highlight w:val="none"/>
        </w:rPr>
        <w:t>2、</w:t>
      </w:r>
      <w:bookmarkEnd w:id="75"/>
      <w:bookmarkEnd w:id="76"/>
      <w:bookmarkEnd w:id="77"/>
      <w:bookmarkStart w:id="79" w:name="_Toc16938522"/>
      <w:bookmarkStart w:id="80" w:name="_Toc513029206"/>
      <w:bookmarkStart w:id="81" w:name="_Toc20823278"/>
      <w:r>
        <w:rPr>
          <w:rFonts w:hint="eastAsia" w:ascii="宋体" w:hAnsi="宋体" w:cs="宋体"/>
          <w:szCs w:val="21"/>
          <w:highlight w:val="none"/>
        </w:rPr>
        <w:t>适用法律</w:t>
      </w:r>
      <w:bookmarkEnd w:id="78"/>
      <w:bookmarkEnd w:id="79"/>
      <w:bookmarkEnd w:id="80"/>
      <w:bookmarkEnd w:id="81"/>
    </w:p>
    <w:p w14:paraId="6FDEB108">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本次招标及由此产生的合同受中华人民共和国有关的法律法规制约和保护。</w:t>
      </w:r>
    </w:p>
    <w:p w14:paraId="4D3A70F9">
      <w:pPr>
        <w:spacing w:line="440" w:lineRule="exact"/>
        <w:ind w:right="-739" w:rightChars="-352" w:firstLine="422" w:firstLineChars="200"/>
        <w:outlineLvl w:val="1"/>
        <w:rPr>
          <w:rFonts w:hint="eastAsia" w:ascii="宋体" w:hAnsi="宋体" w:cs="宋体"/>
          <w:b/>
          <w:szCs w:val="21"/>
          <w:highlight w:val="none"/>
        </w:rPr>
      </w:pPr>
      <w:bookmarkStart w:id="82" w:name="_Toc4689"/>
      <w:bookmarkStart w:id="83" w:name="_Toc18575"/>
      <w:bookmarkStart w:id="84" w:name="_Toc28374"/>
      <w:bookmarkStart w:id="85" w:name="_Toc12063"/>
      <w:bookmarkStart w:id="86" w:name="_Toc2151"/>
      <w:bookmarkStart w:id="87" w:name="_Toc13554"/>
      <w:r>
        <w:rPr>
          <w:rFonts w:hint="eastAsia" w:ascii="宋体" w:hAnsi="宋体" w:cs="宋体"/>
          <w:b/>
          <w:szCs w:val="21"/>
          <w:highlight w:val="none"/>
        </w:rPr>
        <w:t>二、招标文件构成</w:t>
      </w:r>
      <w:bookmarkEnd w:id="82"/>
      <w:bookmarkEnd w:id="83"/>
      <w:bookmarkEnd w:id="84"/>
      <w:bookmarkEnd w:id="85"/>
      <w:bookmarkEnd w:id="86"/>
      <w:bookmarkEnd w:id="87"/>
    </w:p>
    <w:p w14:paraId="560CDE0B">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招标文件由以下部分组成：</w:t>
      </w:r>
    </w:p>
    <w:p w14:paraId="46AF20D1">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（1）招标公告</w:t>
      </w:r>
    </w:p>
    <w:p w14:paraId="478ABD14">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（2）投标须知</w:t>
      </w:r>
    </w:p>
    <w:p w14:paraId="30848939">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（3）评标方法与评标标准</w:t>
      </w:r>
    </w:p>
    <w:p w14:paraId="5FFA7797">
      <w:pPr>
        <w:spacing w:line="440" w:lineRule="exact"/>
        <w:ind w:right="-739" w:rightChars="-352" w:firstLine="420" w:firstLineChars="200"/>
        <w:rPr>
          <w:rFonts w:hint="default" w:ascii="宋体" w:hAnsi="宋体" w:cs="宋体"/>
          <w:szCs w:val="21"/>
          <w:highlight w:val="none"/>
          <w:lang w:val="en-US"/>
        </w:rPr>
      </w:pPr>
      <w:r>
        <w:rPr>
          <w:rFonts w:hint="eastAsia" w:ascii="宋体" w:hAnsi="宋体" w:cs="宋体"/>
          <w:szCs w:val="21"/>
          <w:highlight w:val="none"/>
        </w:rPr>
        <w:t>（4）</w:t>
      </w:r>
      <w:r>
        <w:rPr>
          <w:rFonts w:hint="eastAsia" w:ascii="宋体" w:hAnsi="宋体" w:cs="宋体"/>
          <w:szCs w:val="21"/>
          <w:highlight w:val="none"/>
          <w:lang w:val="en-US" w:eastAsia="zh-CN"/>
        </w:rPr>
        <w:t>用户需求书</w:t>
      </w:r>
    </w:p>
    <w:p w14:paraId="0C591441">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zh-CN"/>
        </w:rPr>
        <w:t>工程量清单</w:t>
      </w:r>
      <w:r>
        <w:rPr>
          <w:rFonts w:hint="eastAsia" w:ascii="宋体" w:hAnsi="宋体" w:cs="宋体"/>
          <w:szCs w:val="21"/>
          <w:highlight w:val="none"/>
          <w:lang w:val="en-US" w:eastAsia="zh-CN"/>
        </w:rPr>
        <w:t>及招标控制价</w:t>
      </w:r>
    </w:p>
    <w:p w14:paraId="06F37DF4">
      <w:pPr>
        <w:spacing w:line="440" w:lineRule="exact"/>
        <w:ind w:right="-739" w:rightChars="-352"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（6）</w:t>
      </w:r>
      <w:r>
        <w:rPr>
          <w:rFonts w:hint="eastAsia" w:ascii="宋体" w:hAnsi="宋体" w:cs="宋体"/>
          <w:szCs w:val="21"/>
          <w:highlight w:val="none"/>
          <w:lang w:val="en-US" w:eastAsia="zh-CN"/>
        </w:rPr>
        <w:t>图纸</w:t>
      </w:r>
    </w:p>
    <w:p w14:paraId="67912B31">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）合同条款</w:t>
      </w:r>
    </w:p>
    <w:p w14:paraId="4732EEB0">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）质疑提出和处理</w:t>
      </w:r>
    </w:p>
    <w:p w14:paraId="07FBA165">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）投标文件组成</w:t>
      </w:r>
    </w:p>
    <w:bookmarkEnd w:id="40"/>
    <w:p w14:paraId="3C8DB28B">
      <w:pPr>
        <w:spacing w:line="440" w:lineRule="exact"/>
        <w:ind w:right="-739" w:rightChars="-352" w:firstLine="420" w:firstLineChars="200"/>
        <w:rPr>
          <w:rFonts w:hint="eastAsia" w:ascii="宋体" w:hAnsi="宋体" w:eastAsia="宋体" w:cs="宋体"/>
          <w:color w:val="auto"/>
          <w:sz w:val="21"/>
          <w:szCs w:val="21"/>
          <w:highlight w:val="none"/>
        </w:rPr>
      </w:pPr>
      <w:bookmarkStart w:id="88" w:name="_Toc22603"/>
      <w:bookmarkStart w:id="89" w:name="_Toc8201"/>
      <w:r>
        <w:rPr>
          <w:rFonts w:hint="eastAsia" w:ascii="宋体" w:hAnsi="宋体" w:eastAsia="宋体" w:cs="宋体"/>
          <w:color w:val="auto"/>
          <w:sz w:val="21"/>
          <w:szCs w:val="21"/>
          <w:highlight w:val="none"/>
        </w:rPr>
        <w:t>对招标文件所作的澄清、修改，构成招标文件的组成部分。</w:t>
      </w:r>
    </w:p>
    <w:p w14:paraId="44E94473">
      <w:pPr>
        <w:spacing w:line="440" w:lineRule="exact"/>
        <w:ind w:right="-212" w:rightChars="-101" w:firstLine="422" w:firstLineChars="200"/>
        <w:outlineLvl w:val="1"/>
        <w:rPr>
          <w:rFonts w:hint="eastAsia" w:ascii="宋体" w:hAnsi="宋体" w:cs="宋体"/>
          <w:b/>
          <w:szCs w:val="21"/>
          <w:highlight w:val="none"/>
        </w:rPr>
      </w:pPr>
      <w:bookmarkStart w:id="90" w:name="_Toc6644"/>
      <w:bookmarkStart w:id="91" w:name="_Toc217"/>
      <w:bookmarkStart w:id="92" w:name="_Toc28896"/>
      <w:bookmarkStart w:id="93" w:name="_Toc22080"/>
      <w:r>
        <w:rPr>
          <w:rFonts w:hint="eastAsia" w:ascii="宋体" w:hAnsi="宋体" w:cs="宋体"/>
          <w:b/>
          <w:szCs w:val="21"/>
          <w:highlight w:val="none"/>
        </w:rPr>
        <w:t>三、招标文件由招标人解释</w:t>
      </w:r>
      <w:bookmarkEnd w:id="90"/>
      <w:bookmarkEnd w:id="91"/>
      <w:bookmarkEnd w:id="92"/>
      <w:bookmarkEnd w:id="93"/>
    </w:p>
    <w:p w14:paraId="27DABB28">
      <w:pPr>
        <w:spacing w:line="440" w:lineRule="exact"/>
        <w:ind w:right="-739" w:rightChars="-352"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后，应仔细检查</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的所有内容，如对采购活动事项有疑问的，应当在</w:t>
      </w:r>
      <w:r>
        <w:rPr>
          <w:rFonts w:hint="eastAsia" w:ascii="宋体" w:hAnsi="宋体" w:cs="宋体"/>
          <w:color w:val="auto"/>
          <w:sz w:val="21"/>
          <w:szCs w:val="21"/>
          <w:highlight w:val="none"/>
          <w:lang w:val="en-US" w:eastAsia="zh-CN"/>
        </w:rPr>
        <w:t>投标人须知前附表规定的时间</w:t>
      </w:r>
      <w:r>
        <w:rPr>
          <w:rFonts w:hint="eastAsia" w:ascii="宋体" w:hAnsi="宋体" w:eastAsia="宋体" w:cs="宋体"/>
          <w:color w:val="auto"/>
          <w:sz w:val="21"/>
          <w:szCs w:val="21"/>
          <w:highlight w:val="none"/>
          <w:lang w:val="en-US" w:eastAsia="zh-CN"/>
        </w:rPr>
        <w:t>前提出</w:t>
      </w:r>
      <w:r>
        <w:rPr>
          <w:rFonts w:hint="eastAsia" w:ascii="宋体" w:hAnsi="宋体" w:eastAsia="宋体" w:cs="宋体"/>
          <w:color w:val="auto"/>
          <w:sz w:val="21"/>
          <w:szCs w:val="21"/>
          <w:highlight w:val="none"/>
        </w:rPr>
        <w:t>，未在规定时间内提出询问或疑问的，视同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理解并接受本</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所有内容，并由此引起的损失自负。</w:t>
      </w:r>
      <w:r>
        <w:rPr>
          <w:rFonts w:hint="eastAsia" w:ascii="宋体" w:hAnsi="宋体" w:cs="宋体"/>
          <w:b/>
          <w:bCs/>
          <w:szCs w:val="21"/>
          <w:highlight w:val="none"/>
        </w:rPr>
        <w:t>答疑文件会</w:t>
      </w:r>
      <w:r>
        <w:rPr>
          <w:rFonts w:hint="eastAsia" w:ascii="宋体" w:hAnsi="宋体" w:cs="宋体"/>
          <w:b/>
          <w:bCs/>
          <w:szCs w:val="21"/>
          <w:highlight w:val="none"/>
          <w:lang w:val="en-US" w:eastAsia="zh-CN"/>
        </w:rPr>
        <w:t>以补充公告</w:t>
      </w:r>
      <w:r>
        <w:rPr>
          <w:rFonts w:hint="eastAsia" w:ascii="宋体" w:hAnsi="宋体" w:cs="宋体"/>
          <w:b/>
          <w:bCs/>
          <w:szCs w:val="21"/>
          <w:highlight w:val="none"/>
        </w:rPr>
        <w:t>形式发布，投标人应及时查看，因投标人错看漏看引起的一切问题由投标人自行承担。</w:t>
      </w:r>
    </w:p>
    <w:p w14:paraId="529CA11C">
      <w:pPr>
        <w:spacing w:line="440" w:lineRule="exact"/>
        <w:ind w:right="-739" w:rightChars="-35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认真审阅招标文件中所有的事项、格式、条款和规范要求等，如果投标人没有按照招标文件要求提交投标文件，或者投标文件没有对招标文件做出实质性响应，其投标将被拒绝，投标人自行承担责任。</w:t>
      </w:r>
    </w:p>
    <w:p w14:paraId="626B9311">
      <w:pPr>
        <w:spacing w:line="440" w:lineRule="exact"/>
        <w:ind w:right="-739" w:rightChars="-352" w:firstLine="422" w:firstLineChars="200"/>
        <w:outlineLvl w:val="1"/>
        <w:rPr>
          <w:rFonts w:hint="eastAsia" w:ascii="宋体" w:hAnsi="宋体" w:eastAsia="宋体" w:cs="宋体"/>
          <w:b/>
          <w:color w:val="auto"/>
          <w:sz w:val="21"/>
          <w:szCs w:val="21"/>
          <w:highlight w:val="none"/>
        </w:rPr>
      </w:pPr>
      <w:bookmarkStart w:id="94" w:name="_Toc15175"/>
      <w:bookmarkStart w:id="95" w:name="_Toc3003"/>
      <w:bookmarkStart w:id="96" w:name="_Toc15402"/>
      <w:bookmarkStart w:id="97" w:name="_Toc26341"/>
      <w:bookmarkStart w:id="98" w:name="_Toc11936"/>
      <w:bookmarkStart w:id="99" w:name="_Toc23295"/>
      <w:bookmarkStart w:id="100" w:name="_Toc25909"/>
      <w:r>
        <w:rPr>
          <w:rFonts w:hint="eastAsia" w:ascii="宋体" w:hAnsi="宋体" w:eastAsia="宋体" w:cs="宋体"/>
          <w:b/>
          <w:color w:val="auto"/>
          <w:sz w:val="21"/>
          <w:szCs w:val="21"/>
          <w:highlight w:val="none"/>
        </w:rPr>
        <w:t>四、招标文件的澄清、修改</w:t>
      </w:r>
      <w:bookmarkEnd w:id="94"/>
      <w:bookmarkEnd w:id="95"/>
      <w:bookmarkEnd w:id="96"/>
      <w:bookmarkEnd w:id="97"/>
      <w:bookmarkEnd w:id="98"/>
      <w:bookmarkEnd w:id="99"/>
    </w:p>
    <w:bookmarkEnd w:id="100"/>
    <w:p w14:paraId="51E0160D">
      <w:pPr>
        <w:spacing w:line="440" w:lineRule="exact"/>
        <w:ind w:right="-739" w:rightChars="-352" w:firstLine="420" w:firstLineChars="200"/>
        <w:rPr>
          <w:rFonts w:hint="eastAsia" w:ascii="宋体" w:hAnsi="宋体" w:eastAsia="宋体" w:cs="宋体"/>
          <w:color w:val="auto"/>
          <w:sz w:val="21"/>
          <w:szCs w:val="21"/>
          <w:highlight w:val="none"/>
        </w:rPr>
      </w:pPr>
      <w:bookmarkStart w:id="101" w:name="_Toc873"/>
      <w:bookmarkStart w:id="102" w:name="_Toc26312"/>
      <w:bookmarkStart w:id="103" w:name="_Toc1420"/>
      <w:bookmarkStart w:id="104" w:name="_Toc27128"/>
      <w:bookmarkStart w:id="105" w:name="_Toc25974"/>
      <w:bookmarkStart w:id="106" w:name="_Toc10876"/>
      <w:r>
        <w:rPr>
          <w:rFonts w:hint="eastAsia" w:ascii="宋体" w:hAnsi="宋体" w:eastAsia="宋体" w:cs="宋体"/>
          <w:color w:val="auto"/>
          <w:sz w:val="21"/>
          <w:szCs w:val="21"/>
          <w:highlight w:val="none"/>
        </w:rPr>
        <w:t>1、招标人有权对发出的招标文件进行必要的澄清或修改。修改招标文件的时间距投标截止时间不足15日的，并且修改内容可能影响投标文件编制的，将相应延长投标截止时间。</w:t>
      </w:r>
      <w:r>
        <w:rPr>
          <w:rFonts w:hint="eastAsia" w:ascii="宋体" w:hAnsi="宋体" w:eastAsia="宋体" w:cs="宋体"/>
          <w:b/>
          <w:bCs/>
          <w:color w:val="auto"/>
          <w:sz w:val="21"/>
          <w:szCs w:val="21"/>
          <w:highlight w:val="none"/>
        </w:rPr>
        <w:t>澄清文件会</w:t>
      </w:r>
      <w:r>
        <w:rPr>
          <w:rFonts w:hint="eastAsia" w:ascii="宋体" w:hAnsi="宋体" w:eastAsia="宋体" w:cs="宋体"/>
          <w:b/>
          <w:bCs/>
          <w:color w:val="auto"/>
          <w:sz w:val="21"/>
          <w:szCs w:val="21"/>
          <w:highlight w:val="none"/>
          <w:lang w:val="en-US" w:eastAsia="zh-CN"/>
        </w:rPr>
        <w:t>以补充公告</w:t>
      </w:r>
      <w:r>
        <w:rPr>
          <w:rFonts w:hint="eastAsia" w:ascii="宋体" w:hAnsi="宋体" w:eastAsia="宋体" w:cs="宋体"/>
          <w:b/>
          <w:bCs/>
          <w:color w:val="auto"/>
          <w:sz w:val="21"/>
          <w:szCs w:val="21"/>
          <w:highlight w:val="none"/>
        </w:rPr>
        <w:t>形式发布，投标人应及时查看，因投标人错看漏看引起的一切问题由投标人自行承担。</w:t>
      </w:r>
    </w:p>
    <w:p w14:paraId="7CF4F864">
      <w:pPr>
        <w:spacing w:line="440" w:lineRule="exact"/>
        <w:ind w:right="-739" w:rightChars="-35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2、招标人对招标文件的澄清、修改将构成招标文件的一部分，对投标人具有约束力。</w:t>
      </w:r>
    </w:p>
    <w:p w14:paraId="24FD7D94">
      <w:pPr>
        <w:spacing w:line="440" w:lineRule="exact"/>
        <w:ind w:right="-739" w:rightChars="-352" w:firstLine="422" w:firstLineChars="200"/>
        <w:outlineLvl w:val="1"/>
        <w:rPr>
          <w:rFonts w:hint="eastAsia" w:ascii="宋体" w:hAnsi="宋体" w:eastAsia="宋体" w:cs="宋体"/>
          <w:b/>
          <w:color w:val="auto"/>
          <w:sz w:val="21"/>
          <w:szCs w:val="21"/>
          <w:highlight w:val="none"/>
          <w:lang w:val="en-US" w:eastAsia="zh-CN"/>
        </w:rPr>
      </w:pPr>
      <w:bookmarkStart w:id="107" w:name="_Toc7437"/>
      <w:r>
        <w:rPr>
          <w:rFonts w:hint="eastAsia" w:ascii="宋体" w:hAnsi="宋体" w:eastAsia="宋体" w:cs="宋体"/>
          <w:b/>
          <w:color w:val="auto"/>
          <w:sz w:val="21"/>
          <w:szCs w:val="21"/>
          <w:highlight w:val="none"/>
        </w:rPr>
        <w:t>五、投标文件的</w:t>
      </w:r>
      <w:r>
        <w:rPr>
          <w:rFonts w:hint="eastAsia" w:ascii="宋体" w:hAnsi="宋体" w:eastAsia="宋体" w:cs="宋体"/>
          <w:b/>
          <w:color w:val="auto"/>
          <w:sz w:val="21"/>
          <w:szCs w:val="21"/>
          <w:highlight w:val="none"/>
          <w:lang w:val="en-US" w:eastAsia="zh-CN"/>
        </w:rPr>
        <w:t>组成、</w:t>
      </w:r>
      <w:bookmarkEnd w:id="101"/>
      <w:r>
        <w:rPr>
          <w:rFonts w:hint="eastAsia" w:ascii="宋体" w:hAnsi="宋体" w:eastAsia="宋体" w:cs="宋体"/>
          <w:b/>
          <w:color w:val="auto"/>
          <w:sz w:val="21"/>
          <w:szCs w:val="21"/>
          <w:highlight w:val="none"/>
          <w:lang w:val="en-US" w:eastAsia="zh-CN"/>
        </w:rPr>
        <w:t>编制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密封</w:t>
      </w:r>
      <w:bookmarkEnd w:id="102"/>
      <w:bookmarkEnd w:id="103"/>
      <w:bookmarkEnd w:id="104"/>
      <w:bookmarkEnd w:id="105"/>
      <w:bookmarkEnd w:id="107"/>
    </w:p>
    <w:bookmarkEnd w:id="106"/>
    <w:p w14:paraId="0C119971">
      <w:pPr>
        <w:pStyle w:val="9"/>
        <w:spacing w:line="440" w:lineRule="exact"/>
        <w:ind w:left="0" w:right="-212" w:rightChars="-101" w:firstLine="422" w:firstLineChars="200"/>
        <w:contextualSpacing/>
        <w:rPr>
          <w:rFonts w:hint="eastAsia" w:ascii="宋体" w:hAnsi="宋体" w:eastAsia="宋体" w:cs="宋体"/>
          <w:b/>
          <w:bCs/>
          <w:sz w:val="21"/>
          <w:szCs w:val="21"/>
          <w:highlight w:val="none"/>
        </w:rPr>
      </w:pPr>
      <w:bookmarkStart w:id="108" w:name="_Toc4234"/>
      <w:bookmarkStart w:id="109" w:name="_Toc15066"/>
      <w:bookmarkStart w:id="110" w:name="_Toc14973"/>
      <w:bookmarkStart w:id="111" w:name="_Toc9590"/>
      <w:r>
        <w:rPr>
          <w:rFonts w:hint="eastAsia" w:ascii="宋体" w:hAnsi="宋体" w:eastAsia="宋体" w:cs="宋体"/>
          <w:b/>
          <w:bCs/>
          <w:sz w:val="21"/>
          <w:szCs w:val="21"/>
          <w:highlight w:val="none"/>
        </w:rPr>
        <w:t>1、投标文件的组成</w:t>
      </w:r>
    </w:p>
    <w:p w14:paraId="1A3834FB">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投标文件由资格审查文件、商务投标文件、报价投标文件、电子投标文件（电子U盘）组成。</w:t>
      </w:r>
      <w:r>
        <w:rPr>
          <w:rFonts w:hint="eastAsia" w:ascii="宋体" w:hAnsi="宋体" w:eastAsia="宋体" w:cs="宋体"/>
          <w:b/>
          <w:bCs/>
          <w:sz w:val="21"/>
          <w:szCs w:val="21"/>
          <w:highlight w:val="none"/>
        </w:rPr>
        <w:t>电子投标文件须含资格审查文件、商务投标文件、报价投标文件</w:t>
      </w:r>
      <w:r>
        <w:rPr>
          <w:rFonts w:hint="eastAsia" w:ascii="宋体" w:hAnsi="宋体" w:eastAsia="宋体" w:cs="宋体"/>
          <w:b/>
          <w:bCs/>
          <w:sz w:val="21"/>
          <w:szCs w:val="21"/>
          <w:highlight w:val="none"/>
          <w:lang w:val="en-US" w:eastAsia="zh-CN"/>
        </w:rPr>
        <w:t>加盖公章后的扫描件</w:t>
      </w:r>
      <w:r>
        <w:rPr>
          <w:rFonts w:hint="eastAsia" w:ascii="宋体" w:hAnsi="宋体" w:eastAsia="宋体" w:cs="宋体"/>
          <w:sz w:val="21"/>
          <w:szCs w:val="21"/>
          <w:highlight w:val="none"/>
        </w:rPr>
        <w:t>。</w:t>
      </w:r>
    </w:p>
    <w:p w14:paraId="79554C1C">
      <w:pPr>
        <w:pStyle w:val="9"/>
        <w:spacing w:line="440" w:lineRule="exact"/>
        <w:ind w:left="0" w:right="-739" w:rightChars="-352" w:firstLine="422" w:firstLineChars="200"/>
        <w:contextualSpacing/>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2、投标文件的编制</w:t>
      </w:r>
    </w:p>
    <w:p w14:paraId="7C8C28CD">
      <w:pPr>
        <w:pStyle w:val="9"/>
        <w:spacing w:line="440" w:lineRule="exact"/>
        <w:ind w:left="0" w:right="-739" w:rightChars="-352" w:firstLine="422" w:firstLineChars="200"/>
        <w:contextualSpacing/>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2.1</w:t>
      </w:r>
      <w:r>
        <w:rPr>
          <w:rFonts w:hint="eastAsia" w:ascii="宋体" w:hAnsi="宋体" w:eastAsia="宋体" w:cs="宋体"/>
          <w:b/>
          <w:bCs/>
          <w:sz w:val="21"/>
          <w:szCs w:val="21"/>
          <w:highlight w:val="none"/>
        </w:rPr>
        <w:t>资格审查文件、商务投标文件、报价投标文件</w:t>
      </w:r>
      <w:r>
        <w:rPr>
          <w:rFonts w:hint="eastAsia" w:ascii="宋体" w:hAnsi="宋体" w:eastAsia="宋体" w:cs="宋体"/>
          <w:b/>
          <w:bCs/>
          <w:sz w:val="21"/>
          <w:szCs w:val="21"/>
          <w:highlight w:val="none"/>
          <w:lang w:val="en-US" w:eastAsia="zh-CN"/>
        </w:rPr>
        <w:t>编制要求：</w:t>
      </w:r>
    </w:p>
    <w:p w14:paraId="5855C096">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投标文件应按</w:t>
      </w:r>
      <w:r>
        <w:rPr>
          <w:rFonts w:hint="eastAsia" w:ascii="宋体" w:hAnsi="宋体" w:eastAsia="宋体" w:cs="宋体"/>
          <w:sz w:val="21"/>
          <w:szCs w:val="21"/>
          <w:highlight w:val="none"/>
          <w:lang w:eastAsia="zh-CN"/>
        </w:rPr>
        <w:t>第</w:t>
      </w: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lang w:eastAsia="zh-CN"/>
        </w:rPr>
        <w:t>章</w:t>
      </w:r>
      <w:r>
        <w:rPr>
          <w:rFonts w:hint="eastAsia" w:ascii="宋体" w:hAnsi="宋体" w:eastAsia="宋体" w:cs="宋体"/>
          <w:sz w:val="21"/>
          <w:szCs w:val="21"/>
          <w:highlight w:val="none"/>
        </w:rPr>
        <w:t>“投标文件组成”进行编写，如有必要，可以增加附页，作为投标文件的组成部分。</w:t>
      </w:r>
    </w:p>
    <w:p w14:paraId="6CCA226A">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应用不褪色的材料书写或打印，并由投标人的法定代表人或其委托代理人签字或盖单位公章。委托代理人签字的，投标文件应附法定代表人签署的授权委托书。投标文件应尽量避免涂改、行间插字或删除。如果出现上述情况，改动之处应加盖单位章或由投标人的法定代表人或其授权的代理人签字确认。</w:t>
      </w:r>
    </w:p>
    <w:p w14:paraId="21973A3D">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正本和副本的封面上应清楚地标记“正本”或“副本”的字样。当副本和正本不一致时，以正本为准。</w:t>
      </w:r>
    </w:p>
    <w:p w14:paraId="77120ABB">
      <w:pPr>
        <w:pStyle w:val="9"/>
        <w:spacing w:line="440" w:lineRule="exact"/>
        <w:ind w:left="0" w:right="-739" w:rightChars="-352" w:firstLine="420" w:firstLineChars="200"/>
        <w:contextualSpacing/>
        <w:rPr>
          <w:rFonts w:hint="eastAsia" w:ascii="宋体" w:hAnsi="宋体" w:eastAsia="宋体" w:cs="宋体"/>
          <w:b/>
          <w:bCs/>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投标文件的正本与副本应分别装订成册，并编制目录。</w:t>
      </w:r>
    </w:p>
    <w:p w14:paraId="2748183F">
      <w:pPr>
        <w:pStyle w:val="9"/>
        <w:spacing w:line="440" w:lineRule="exact"/>
        <w:ind w:left="0" w:right="-212" w:rightChars="-101" w:firstLine="422" w:firstLineChars="200"/>
        <w:contextualSpacing/>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3、投标文件的密封</w:t>
      </w:r>
    </w:p>
    <w:p w14:paraId="13D6F684">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3.1资格审查文件、商务投标文件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报价投标文件、电子投标文件（电子U盘）应分别密封。封袋上（最外面）都应写明投标单位名称、项目名称，并于封袋上加盖投标单位公章。</w:t>
      </w:r>
    </w:p>
    <w:p w14:paraId="38BBEEB6">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3.2未按本章第3.1项要求密封和加写标记的投标文件，招标人不予受理。</w:t>
      </w:r>
    </w:p>
    <w:p w14:paraId="2E9B9344">
      <w:pPr>
        <w:spacing w:line="440" w:lineRule="exact"/>
        <w:ind w:right="-739" w:rightChars="-352" w:firstLine="422" w:firstLineChars="200"/>
        <w:outlineLvl w:val="1"/>
        <w:rPr>
          <w:rFonts w:hint="eastAsia" w:ascii="宋体" w:hAnsi="宋体" w:cs="宋体"/>
          <w:b/>
          <w:szCs w:val="21"/>
          <w:highlight w:val="none"/>
        </w:rPr>
      </w:pPr>
      <w:bookmarkStart w:id="112" w:name="_Toc26451"/>
      <w:r>
        <w:rPr>
          <w:rFonts w:hint="eastAsia" w:ascii="宋体" w:hAnsi="宋体" w:cs="宋体"/>
          <w:b/>
          <w:szCs w:val="21"/>
          <w:highlight w:val="none"/>
        </w:rPr>
        <w:t>六、投标报价</w:t>
      </w:r>
      <w:bookmarkEnd w:id="88"/>
      <w:bookmarkEnd w:id="108"/>
      <w:bookmarkEnd w:id="109"/>
      <w:bookmarkEnd w:id="110"/>
      <w:bookmarkEnd w:id="111"/>
      <w:bookmarkEnd w:id="112"/>
    </w:p>
    <w:bookmarkEnd w:id="89"/>
    <w:p w14:paraId="7C878BBD">
      <w:pPr>
        <w:pStyle w:val="40"/>
        <w:spacing w:line="440" w:lineRule="exact"/>
        <w:ind w:right="-739" w:rightChars="-352" w:firstLine="422" w:firstLineChars="200"/>
        <w:rPr>
          <w:rFonts w:hint="eastAsia" w:ascii="宋体" w:hAnsi="宋体" w:cs="宋体"/>
          <w:szCs w:val="21"/>
          <w:highlight w:val="none"/>
        </w:rPr>
      </w:pPr>
      <w:bookmarkStart w:id="113" w:name="_Toc7787"/>
      <w:r>
        <w:rPr>
          <w:rFonts w:hint="eastAsia" w:ascii="宋体" w:hAnsi="宋体" w:cs="宋体"/>
          <w:szCs w:val="21"/>
          <w:highlight w:val="none"/>
        </w:rPr>
        <w:t>投标报价由投标人在招标控制价范围内自行报价。</w:t>
      </w:r>
      <w:r>
        <w:rPr>
          <w:rFonts w:hint="eastAsia" w:ascii="宋体" w:hAnsi="宋体" w:cs="宋体"/>
          <w:bCs/>
          <w:highlight w:val="none"/>
          <w:u w:val="single"/>
        </w:rPr>
        <w:t>投标报价</w:t>
      </w:r>
      <w:r>
        <w:rPr>
          <w:rFonts w:hint="eastAsia" w:ascii="宋体" w:hAnsi="宋体" w:cs="宋体"/>
          <w:szCs w:val="21"/>
          <w:highlight w:val="none"/>
          <w:u w:val="single"/>
        </w:rPr>
        <w:t>不得超过招标控制价，</w:t>
      </w:r>
      <w:r>
        <w:rPr>
          <w:rFonts w:hint="eastAsia" w:ascii="宋体" w:hAnsi="宋体" w:cs="宋体"/>
          <w:szCs w:val="21"/>
          <w:highlight w:val="none"/>
          <w:u w:val="single"/>
          <w:lang w:val="en-US" w:eastAsia="zh-CN"/>
        </w:rPr>
        <w:t>否则</w:t>
      </w:r>
      <w:r>
        <w:rPr>
          <w:rFonts w:hint="eastAsia" w:ascii="宋体" w:hAnsi="宋体" w:cs="宋体"/>
          <w:szCs w:val="21"/>
          <w:highlight w:val="none"/>
          <w:u w:val="single"/>
        </w:rPr>
        <w:t>其投标将予以否决。</w:t>
      </w:r>
      <w:r>
        <w:rPr>
          <w:rFonts w:hint="eastAsia" w:ascii="宋体" w:hAnsi="宋体" w:cs="宋体"/>
          <w:szCs w:val="21"/>
          <w:highlight w:val="none"/>
        </w:rPr>
        <w:t>报价表中的投标报价为投标人的最终报价，招标人不接受投标人递交的降价函、调价函及按比例优惠等任何其他形式的报价，只允许一个投标报价，投标币种为人民币。</w:t>
      </w:r>
    </w:p>
    <w:p w14:paraId="7708BAC8">
      <w:pPr>
        <w:pStyle w:val="40"/>
        <w:spacing w:line="440" w:lineRule="exact"/>
        <w:ind w:right="-739" w:rightChars="-352" w:firstLine="422" w:firstLineChars="200"/>
        <w:rPr>
          <w:rFonts w:hint="eastAsia" w:ascii="宋体" w:hAnsi="宋体" w:cs="宋体"/>
          <w:szCs w:val="21"/>
          <w:highlight w:val="none"/>
        </w:rPr>
      </w:pPr>
      <w:r>
        <w:rPr>
          <w:rFonts w:hint="eastAsia" w:ascii="宋体" w:hAnsi="宋体" w:cs="宋体"/>
          <w:szCs w:val="21"/>
          <w:highlight w:val="none"/>
        </w:rPr>
        <w:t>投标人应依据国家的有关费用标准和企业自身状况，并对报价的各项因素进行了充分了解和考虑后编制投标报价，并对此报价负责，投标人未报、漏报的内容招标人将认为已包含在投标报价内。在合同履行过程中，中标价不进行调整。</w:t>
      </w:r>
    </w:p>
    <w:p w14:paraId="24F284DE">
      <w:pPr>
        <w:spacing w:line="440" w:lineRule="exact"/>
        <w:ind w:right="-739" w:rightChars="-352" w:firstLine="422" w:firstLineChars="200"/>
        <w:outlineLvl w:val="1"/>
        <w:rPr>
          <w:rFonts w:hint="eastAsia" w:ascii="宋体" w:hAnsi="宋体" w:cs="宋体"/>
          <w:b/>
          <w:szCs w:val="21"/>
          <w:highlight w:val="none"/>
        </w:rPr>
      </w:pPr>
      <w:bookmarkStart w:id="114" w:name="_Toc31207"/>
      <w:bookmarkStart w:id="115" w:name="_Toc1933"/>
      <w:bookmarkStart w:id="116" w:name="_Toc14142"/>
      <w:bookmarkStart w:id="117" w:name="_Toc3712"/>
      <w:bookmarkStart w:id="118" w:name="_Toc23410"/>
      <w:bookmarkStart w:id="119" w:name="_Toc22324"/>
      <w:r>
        <w:rPr>
          <w:rFonts w:hint="eastAsia" w:ascii="宋体" w:hAnsi="宋体" w:cs="宋体"/>
          <w:b/>
          <w:szCs w:val="21"/>
          <w:highlight w:val="none"/>
        </w:rPr>
        <w:t>七、投标有效期和投标保证金</w:t>
      </w:r>
      <w:bookmarkEnd w:id="114"/>
      <w:bookmarkEnd w:id="115"/>
      <w:bookmarkEnd w:id="116"/>
      <w:bookmarkEnd w:id="117"/>
      <w:bookmarkEnd w:id="118"/>
      <w:bookmarkEnd w:id="119"/>
    </w:p>
    <w:p w14:paraId="06DFF605">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1、投标有效期为本项目开标之日后九十天，在投标有效期内投标人不得要求撤销或修改其投标文件。</w:t>
      </w:r>
    </w:p>
    <w:p w14:paraId="58EDC83A">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5272B91">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3、投标保证金</w:t>
      </w:r>
    </w:p>
    <w:p w14:paraId="584AAAFC">
      <w:pPr>
        <w:spacing w:line="440" w:lineRule="exact"/>
        <w:ind w:right="-739" w:rightChars="-352" w:firstLine="420" w:firstLineChars="200"/>
        <w:rPr>
          <w:rFonts w:hint="eastAsia" w:ascii="宋体" w:hAnsi="宋体" w:cs="宋体"/>
          <w:szCs w:val="21"/>
          <w:highlight w:val="none"/>
        </w:rPr>
      </w:pPr>
      <w:bookmarkStart w:id="120" w:name="_Toc1940"/>
      <w:bookmarkStart w:id="121" w:name="_Toc15223"/>
      <w:bookmarkStart w:id="122" w:name="_Toc32504"/>
      <w:bookmarkStart w:id="123" w:name="_Toc20387"/>
      <w:bookmarkStart w:id="124" w:name="_Toc10623"/>
      <w:bookmarkStart w:id="125" w:name="_Toc16795"/>
      <w:r>
        <w:rPr>
          <w:rFonts w:hint="eastAsia" w:ascii="宋体" w:hAnsi="宋体" w:cs="宋体"/>
          <w:szCs w:val="21"/>
          <w:highlight w:val="none"/>
        </w:rPr>
        <w:t>（1）电汇形式</w:t>
      </w:r>
    </w:p>
    <w:p w14:paraId="38ACA5C9">
      <w:pPr>
        <w:spacing w:line="440" w:lineRule="exact"/>
        <w:ind w:right="-739" w:rightChars="-352" w:firstLine="420" w:firstLineChars="200"/>
        <w:rPr>
          <w:rFonts w:hint="eastAsia" w:ascii="宋体" w:hAnsi="宋体" w:cs="宋体"/>
          <w:szCs w:val="21"/>
        </w:rPr>
      </w:pPr>
      <w:r>
        <w:rPr>
          <w:rFonts w:hint="eastAsia" w:ascii="宋体" w:hAnsi="宋体" w:cs="宋体"/>
          <w:szCs w:val="21"/>
        </w:rPr>
        <w:t>公司名称：南通轨道城市服务有限公司</w:t>
      </w:r>
    </w:p>
    <w:p w14:paraId="031DD09B">
      <w:pPr>
        <w:spacing w:line="440" w:lineRule="exact"/>
        <w:ind w:right="-739" w:rightChars="-352" w:firstLine="420" w:firstLineChars="200"/>
        <w:rPr>
          <w:rFonts w:hint="eastAsia" w:ascii="宋体" w:hAnsi="宋体" w:cs="宋体"/>
          <w:szCs w:val="21"/>
        </w:rPr>
      </w:pPr>
      <w:r>
        <w:rPr>
          <w:rFonts w:hint="eastAsia" w:ascii="宋体" w:hAnsi="宋体" w:cs="宋体"/>
          <w:szCs w:val="21"/>
        </w:rPr>
        <w:t>开户行：华夏银行南通分行营业部</w:t>
      </w:r>
    </w:p>
    <w:p w14:paraId="3AA6D031">
      <w:pPr>
        <w:spacing w:line="440" w:lineRule="exact"/>
        <w:ind w:right="-739" w:rightChars="-352" w:firstLine="420" w:firstLineChars="200"/>
        <w:rPr>
          <w:rFonts w:hint="eastAsia" w:ascii="宋体" w:hAnsi="宋体" w:cs="宋体"/>
          <w:szCs w:val="21"/>
        </w:rPr>
      </w:pPr>
      <w:r>
        <w:rPr>
          <w:rFonts w:hint="eastAsia" w:ascii="宋体" w:hAnsi="宋体" w:cs="宋体"/>
          <w:szCs w:val="21"/>
        </w:rPr>
        <w:t>账户：13950000001124559</w:t>
      </w:r>
    </w:p>
    <w:p w14:paraId="589803F6">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投标保证金递交截止时间：递交投标文件截止时间。（须备注“</w:t>
      </w:r>
      <w:r>
        <w:rPr>
          <w:rFonts w:hint="eastAsia" w:ascii="宋体" w:hAnsi="宋体" w:cs="宋体"/>
          <w:szCs w:val="21"/>
          <w:highlight w:val="none"/>
          <w:lang w:val="en-US" w:eastAsia="zh-CN"/>
        </w:rPr>
        <w:t>食堂改造</w:t>
      </w:r>
      <w:r>
        <w:rPr>
          <w:rFonts w:hint="eastAsia" w:ascii="宋体" w:hAnsi="宋体" w:cs="宋体"/>
          <w:szCs w:val="21"/>
          <w:highlight w:val="none"/>
        </w:rPr>
        <w:t>投标保证金”）。</w:t>
      </w:r>
    </w:p>
    <w:p w14:paraId="5ADCDAA5">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（2）保函形式</w:t>
      </w:r>
    </w:p>
    <w:p w14:paraId="65BCC375">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以银行保函形式提交的，由国有商业银行或股份制商业银行的分行及以上银行开具。投标人未按格式开具保函，其投标可能会被否决。以银行保函形式提交的复印件放进投标文件资格审查部分。</w:t>
      </w:r>
    </w:p>
    <w:p w14:paraId="15A33F57">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 xml:space="preserve">（3）数字人民币形式  </w:t>
      </w:r>
    </w:p>
    <w:p w14:paraId="32C1AC4C">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采用数字人民币形式缴纳的投标人请提前与招标人联系。</w:t>
      </w:r>
    </w:p>
    <w:p w14:paraId="314CD24C">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投标保证金的退还：招标人最迟将在中标通知书发出后10日内向未中标单位退还投标保证金，与中标人签订合同后5日内向中标人退还投标保证金。</w:t>
      </w:r>
    </w:p>
    <w:p w14:paraId="1A73B815">
      <w:pPr>
        <w:spacing w:line="440" w:lineRule="exact"/>
        <w:ind w:right="-739" w:rightChars="-352" w:firstLine="422" w:firstLineChars="200"/>
        <w:outlineLvl w:val="1"/>
        <w:rPr>
          <w:rFonts w:hint="eastAsia" w:ascii="宋体" w:hAnsi="宋体" w:cs="宋体"/>
          <w:b/>
          <w:szCs w:val="21"/>
          <w:highlight w:val="none"/>
        </w:rPr>
      </w:pPr>
      <w:r>
        <w:rPr>
          <w:rFonts w:hint="eastAsia" w:ascii="宋体" w:hAnsi="宋体" w:cs="宋体"/>
          <w:b/>
          <w:szCs w:val="21"/>
          <w:highlight w:val="none"/>
        </w:rPr>
        <w:t>八、投标费用</w:t>
      </w:r>
      <w:bookmarkEnd w:id="120"/>
      <w:bookmarkEnd w:id="121"/>
      <w:bookmarkEnd w:id="122"/>
      <w:bookmarkEnd w:id="123"/>
      <w:bookmarkEnd w:id="124"/>
      <w:bookmarkEnd w:id="125"/>
    </w:p>
    <w:bookmarkEnd w:id="113"/>
    <w:p w14:paraId="6469B5C0">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1、投标人承担参与投标可能发生的全部费用，招标人在任何情况下均无义务和责任承担这些费用。</w:t>
      </w:r>
    </w:p>
    <w:p w14:paraId="466E6276">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2、招标人不收取任何费用。</w:t>
      </w:r>
    </w:p>
    <w:p w14:paraId="49E34BE5">
      <w:pPr>
        <w:spacing w:line="440" w:lineRule="exact"/>
        <w:ind w:right="-739" w:rightChars="-352" w:firstLine="422" w:firstLineChars="200"/>
        <w:outlineLvl w:val="1"/>
        <w:rPr>
          <w:rFonts w:hint="eastAsia" w:ascii="宋体" w:hAnsi="宋体" w:eastAsia="宋体" w:cs="宋体"/>
          <w:b/>
          <w:color w:val="auto"/>
          <w:sz w:val="21"/>
          <w:szCs w:val="21"/>
          <w:highlight w:val="none"/>
        </w:rPr>
      </w:pPr>
      <w:bookmarkStart w:id="126" w:name="_Toc11900"/>
      <w:bookmarkStart w:id="127" w:name="_Toc4056"/>
      <w:bookmarkStart w:id="128" w:name="_Toc31525"/>
      <w:bookmarkStart w:id="129" w:name="_Toc30288"/>
      <w:bookmarkStart w:id="130" w:name="_Toc13485"/>
      <w:bookmarkStart w:id="131" w:name="_Toc23378"/>
      <w:bookmarkStart w:id="132" w:name="_Toc14486"/>
      <w:r>
        <w:rPr>
          <w:rFonts w:hint="eastAsia" w:ascii="宋体" w:hAnsi="宋体" w:eastAsia="宋体" w:cs="宋体"/>
          <w:b/>
          <w:color w:val="auto"/>
          <w:sz w:val="21"/>
          <w:szCs w:val="21"/>
          <w:highlight w:val="none"/>
        </w:rPr>
        <w:t>九、开标与评标流程</w:t>
      </w:r>
      <w:bookmarkEnd w:id="126"/>
      <w:bookmarkEnd w:id="127"/>
      <w:bookmarkEnd w:id="128"/>
      <w:bookmarkEnd w:id="129"/>
      <w:bookmarkEnd w:id="130"/>
      <w:bookmarkEnd w:id="131"/>
    </w:p>
    <w:bookmarkEnd w:id="132"/>
    <w:p w14:paraId="37EC1379">
      <w:pPr>
        <w:spacing w:line="440" w:lineRule="exact"/>
        <w:ind w:right="-739" w:rightChars="-352" w:firstLine="420" w:firstLineChars="200"/>
        <w:rPr>
          <w:rFonts w:hint="eastAsia" w:ascii="宋体" w:hAnsi="宋体" w:cs="宋体"/>
          <w:szCs w:val="21"/>
          <w:highlight w:val="none"/>
        </w:rPr>
      </w:pPr>
      <w:bookmarkStart w:id="133" w:name="_Toc17626"/>
      <w:bookmarkStart w:id="134" w:name="_Toc21198"/>
      <w:bookmarkStart w:id="135" w:name="_Toc32137"/>
      <w:bookmarkStart w:id="136" w:name="_Toc5229"/>
      <w:bookmarkStart w:id="137" w:name="_Toc25274"/>
      <w:r>
        <w:rPr>
          <w:rFonts w:hint="eastAsia" w:ascii="宋体" w:hAnsi="宋体" w:cs="宋体"/>
          <w:szCs w:val="21"/>
          <w:highlight w:val="none"/>
        </w:rPr>
        <w:t>1、</w:t>
      </w:r>
      <w:bookmarkEnd w:id="133"/>
      <w:bookmarkStart w:id="138" w:name="_Toc13869"/>
      <w:r>
        <w:rPr>
          <w:rFonts w:hint="eastAsia" w:ascii="宋体" w:hAnsi="宋体" w:cs="宋体"/>
          <w:szCs w:val="21"/>
          <w:highlight w:val="none"/>
        </w:rPr>
        <w:t>开标程序</w:t>
      </w:r>
      <w:bookmarkEnd w:id="138"/>
    </w:p>
    <w:p w14:paraId="76B3E497">
      <w:pPr>
        <w:spacing w:line="440" w:lineRule="exact"/>
        <w:ind w:right="-739" w:rightChars="-352" w:firstLine="420" w:firstLineChars="200"/>
        <w:rPr>
          <w:rFonts w:hint="default" w:ascii="宋体" w:hAnsi="宋体" w:eastAsia="宋体" w:cs="宋体"/>
          <w:szCs w:val="21"/>
          <w:highlight w:val="none"/>
          <w:lang w:val="en-US" w:eastAsia="zh-CN"/>
        </w:rPr>
      </w:pPr>
      <w:bookmarkStart w:id="139" w:name="_Toc19329"/>
      <w:r>
        <w:rPr>
          <w:rFonts w:hint="eastAsia" w:ascii="宋体" w:hAnsi="宋体" w:cs="宋体"/>
          <w:szCs w:val="21"/>
          <w:highlight w:val="none"/>
          <w:lang w:val="en-US" w:eastAsia="zh-CN"/>
        </w:rPr>
        <w:t>详见投标人须知前附表。</w:t>
      </w:r>
    </w:p>
    <w:p w14:paraId="6E557AAD">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2、评标委员会</w:t>
      </w:r>
      <w:bookmarkEnd w:id="139"/>
    </w:p>
    <w:p w14:paraId="60502892">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评标由招标人依法组建的评标委员会负责。</w:t>
      </w:r>
    </w:p>
    <w:p w14:paraId="7E314E44">
      <w:pPr>
        <w:spacing w:line="440" w:lineRule="exact"/>
        <w:ind w:right="-739" w:rightChars="-352" w:firstLine="420" w:firstLineChars="200"/>
        <w:rPr>
          <w:rFonts w:hint="eastAsia" w:ascii="宋体" w:hAnsi="宋体" w:cs="宋体"/>
          <w:szCs w:val="21"/>
          <w:highlight w:val="none"/>
        </w:rPr>
      </w:pPr>
      <w:bookmarkStart w:id="140" w:name="_Toc1289"/>
      <w:r>
        <w:rPr>
          <w:rFonts w:hint="eastAsia" w:ascii="宋体" w:hAnsi="宋体" w:cs="宋体"/>
          <w:szCs w:val="21"/>
          <w:highlight w:val="none"/>
        </w:rPr>
        <w:t>3、评标</w:t>
      </w:r>
      <w:bookmarkEnd w:id="140"/>
    </w:p>
    <w:p w14:paraId="44946FC1">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评标活动遵循公平、公正、科学和择优的原则。评标委员会按照第三章“评标办法与评标标准”规定的方法、评审因素、标准和程序对投标文件进行评审。第三章“评标办法与评标标准”没有规定的方法、评审因素和标准，不作为评标依据。</w:t>
      </w:r>
    </w:p>
    <w:p w14:paraId="0D900C11">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对投标文件中含义不明确、同类问题表述不一致或者有明显文字和计算错误的内容，评标委员会可以要求投标人做出必要的澄清、说明或者纠正。投标人的澄清、说明或者补正应当采用书面形式，由其授权的代表签字，并不得超出投标文件的范围或者改变投标文件的实质性内容。</w:t>
      </w:r>
    </w:p>
    <w:p w14:paraId="6A2BB08E">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若某标段中标人放弃中标或者因被投诉且已查实的，不影响其他标段结果，招标人将组织该标段重新招标。</w:t>
      </w:r>
    </w:p>
    <w:bookmarkEnd w:id="134"/>
    <w:p w14:paraId="41B218ED">
      <w:pPr>
        <w:numPr>
          <w:ilvl w:val="0"/>
          <w:numId w:val="0"/>
        </w:numPr>
        <w:spacing w:line="440" w:lineRule="exact"/>
        <w:ind w:right="-739" w:rightChars="-352" w:firstLine="422" w:firstLineChars="200"/>
        <w:outlineLvl w:val="1"/>
        <w:rPr>
          <w:rFonts w:hint="eastAsia" w:ascii="宋体" w:hAnsi="宋体" w:eastAsia="宋体" w:cs="宋体"/>
          <w:b/>
          <w:color w:val="auto"/>
          <w:sz w:val="21"/>
          <w:szCs w:val="21"/>
          <w:highlight w:val="none"/>
          <w:lang w:val="en-US" w:eastAsia="zh-CN"/>
        </w:rPr>
      </w:pPr>
      <w:bookmarkStart w:id="141" w:name="_Toc1507"/>
      <w:bookmarkStart w:id="142" w:name="_Toc1606"/>
      <w:r>
        <w:rPr>
          <w:rFonts w:hint="eastAsia" w:ascii="宋体" w:hAnsi="宋体" w:eastAsia="宋体" w:cs="宋体"/>
          <w:b/>
          <w:color w:val="auto"/>
          <w:kern w:val="2"/>
          <w:sz w:val="21"/>
          <w:szCs w:val="21"/>
          <w:highlight w:val="none"/>
          <w:lang w:val="en-US" w:eastAsia="zh-CN" w:bidi="ar-SA"/>
        </w:rPr>
        <w:t>十、</w:t>
      </w:r>
      <w:r>
        <w:rPr>
          <w:rFonts w:hint="eastAsia" w:ascii="宋体" w:hAnsi="宋体" w:eastAsia="宋体" w:cs="宋体"/>
          <w:b/>
          <w:color w:val="auto"/>
          <w:sz w:val="21"/>
          <w:szCs w:val="21"/>
          <w:highlight w:val="none"/>
          <w:lang w:val="en-US" w:eastAsia="zh-CN"/>
        </w:rPr>
        <w:t>现场考察</w:t>
      </w:r>
      <w:bookmarkEnd w:id="135"/>
      <w:bookmarkEnd w:id="136"/>
      <w:bookmarkEnd w:id="137"/>
      <w:bookmarkEnd w:id="141"/>
      <w:bookmarkEnd w:id="142"/>
    </w:p>
    <w:p w14:paraId="79BE4151">
      <w:pPr>
        <w:spacing w:line="440" w:lineRule="exact"/>
        <w:ind w:right="-739" w:rightChars="-352"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投标人可自行</w:t>
      </w:r>
      <w:r>
        <w:rPr>
          <w:rFonts w:hint="eastAsia" w:ascii="宋体" w:hAnsi="宋体" w:eastAsia="宋体" w:cs="宋体"/>
          <w:color w:val="auto"/>
          <w:sz w:val="21"/>
          <w:szCs w:val="21"/>
          <w:highlight w:val="none"/>
          <w:lang w:val="en-US" w:eastAsia="zh-CN"/>
        </w:rPr>
        <w:t>考察踏勘，如需踏勘，请与招标人联系。</w:t>
      </w:r>
    </w:p>
    <w:p w14:paraId="5A8CFBF0">
      <w:pPr>
        <w:spacing w:line="440" w:lineRule="exact"/>
        <w:ind w:right="-739" w:rightChars="-352"/>
        <w:jc w:val="center"/>
        <w:outlineLvl w:val="0"/>
        <w:rPr>
          <w:rFonts w:hint="eastAsia" w:ascii="宋体" w:hAnsi="宋体" w:cs="宋体"/>
          <w:b/>
          <w:bCs/>
          <w:sz w:val="32"/>
          <w:szCs w:val="32"/>
          <w:highlight w:val="none"/>
        </w:rPr>
      </w:pPr>
      <w:r>
        <w:rPr>
          <w:rFonts w:hint="eastAsia" w:ascii="宋体" w:hAnsi="宋体" w:cs="宋体"/>
          <w:b/>
          <w:sz w:val="32"/>
          <w:szCs w:val="32"/>
          <w:highlight w:val="none"/>
        </w:rPr>
        <w:br w:type="page"/>
      </w:r>
      <w:bookmarkEnd w:id="2"/>
      <w:bookmarkEnd w:id="3"/>
      <w:bookmarkEnd w:id="4"/>
      <w:bookmarkStart w:id="143" w:name="_Toc15053"/>
      <w:bookmarkStart w:id="144" w:name="_Toc22169"/>
      <w:bookmarkStart w:id="145" w:name="_Toc4806"/>
      <w:bookmarkStart w:id="146" w:name="_Toc11640"/>
      <w:bookmarkStart w:id="147" w:name="_Toc912"/>
      <w:bookmarkStart w:id="148" w:name="_Toc1207"/>
      <w:bookmarkStart w:id="149" w:name="_Toc12936"/>
      <w:bookmarkStart w:id="150" w:name="_Toc14593"/>
      <w:bookmarkStart w:id="151" w:name="_Toc12485"/>
      <w:r>
        <w:rPr>
          <w:rFonts w:hint="eastAsia" w:ascii="宋体" w:hAnsi="宋体" w:cs="宋体"/>
          <w:b/>
          <w:bCs/>
          <w:sz w:val="32"/>
          <w:szCs w:val="32"/>
          <w:highlight w:val="none"/>
        </w:rPr>
        <w:t xml:space="preserve">第三章  </w:t>
      </w:r>
      <w:bookmarkEnd w:id="143"/>
      <w:r>
        <w:rPr>
          <w:rFonts w:hint="eastAsia" w:ascii="宋体" w:hAnsi="宋体" w:cs="宋体"/>
          <w:b/>
          <w:bCs/>
          <w:sz w:val="32"/>
          <w:szCs w:val="32"/>
          <w:highlight w:val="none"/>
        </w:rPr>
        <w:t>评标办法与评标标准</w:t>
      </w:r>
      <w:bookmarkEnd w:id="144"/>
      <w:bookmarkEnd w:id="145"/>
      <w:bookmarkEnd w:id="146"/>
      <w:bookmarkEnd w:id="147"/>
      <w:bookmarkEnd w:id="148"/>
      <w:bookmarkEnd w:id="149"/>
      <w:bookmarkEnd w:id="150"/>
      <w:bookmarkEnd w:id="151"/>
    </w:p>
    <w:p w14:paraId="6DAA0D5C">
      <w:pPr>
        <w:spacing w:line="440" w:lineRule="exact"/>
        <w:ind w:right="-941" w:rightChars="-448" w:firstLine="570"/>
        <w:rPr>
          <w:rFonts w:hint="eastAsia" w:ascii="宋体" w:hAnsi="宋体" w:cs="宋体"/>
          <w:b/>
          <w:bCs/>
          <w:sz w:val="24"/>
          <w:highlight w:val="none"/>
        </w:rPr>
      </w:pPr>
    </w:p>
    <w:p w14:paraId="2FCF8732">
      <w:pPr>
        <w:spacing w:line="440" w:lineRule="exact"/>
        <w:ind w:right="-739" w:rightChars="-352" w:firstLine="422" w:firstLineChars="200"/>
        <w:outlineLvl w:val="1"/>
        <w:rPr>
          <w:rFonts w:hint="eastAsia" w:ascii="宋体" w:hAnsi="宋体" w:cs="宋体"/>
          <w:b/>
          <w:bCs/>
          <w:szCs w:val="21"/>
          <w:highlight w:val="none"/>
        </w:rPr>
      </w:pPr>
      <w:bookmarkStart w:id="152" w:name="_Toc9436"/>
      <w:bookmarkStart w:id="153" w:name="_Toc9211"/>
      <w:bookmarkStart w:id="154" w:name="_Toc27087"/>
      <w:bookmarkStart w:id="155" w:name="_Toc1903"/>
      <w:r>
        <w:rPr>
          <w:rFonts w:hint="eastAsia" w:ascii="宋体" w:hAnsi="宋体" w:cs="宋体"/>
          <w:b/>
          <w:bCs/>
          <w:szCs w:val="21"/>
          <w:highlight w:val="none"/>
        </w:rPr>
        <w:t>一、招标人组织开标。</w:t>
      </w:r>
      <w:bookmarkEnd w:id="152"/>
      <w:bookmarkEnd w:id="153"/>
      <w:bookmarkEnd w:id="154"/>
      <w:bookmarkEnd w:id="155"/>
    </w:p>
    <w:p w14:paraId="47825DE8">
      <w:pPr>
        <w:spacing w:line="440" w:lineRule="exact"/>
        <w:ind w:right="-739" w:rightChars="-352" w:firstLine="422" w:firstLineChars="200"/>
        <w:rPr>
          <w:rFonts w:hint="eastAsia" w:ascii="宋体" w:hAnsi="宋体" w:cs="宋体"/>
          <w:b/>
          <w:bCs/>
          <w:szCs w:val="21"/>
          <w:highlight w:val="none"/>
        </w:rPr>
      </w:pPr>
      <w:r>
        <w:rPr>
          <w:rFonts w:hint="eastAsia" w:ascii="宋体" w:hAnsi="宋体" w:cs="宋体"/>
          <w:b/>
          <w:bCs/>
          <w:szCs w:val="21"/>
          <w:highlight w:val="none"/>
        </w:rPr>
        <w:t>二、评委会由有关专家和</w:t>
      </w:r>
      <w:r>
        <w:rPr>
          <w:rFonts w:hint="eastAsia" w:ascii="宋体" w:hAnsi="宋体" w:cs="宋体"/>
          <w:b/>
          <w:szCs w:val="21"/>
          <w:highlight w:val="none"/>
        </w:rPr>
        <w:t>招标人代表</w:t>
      </w:r>
      <w:r>
        <w:rPr>
          <w:rFonts w:hint="eastAsia" w:ascii="宋体" w:hAnsi="宋体" w:cs="宋体"/>
          <w:b/>
          <w:bCs/>
          <w:szCs w:val="21"/>
          <w:highlight w:val="none"/>
        </w:rPr>
        <w:t>组成</w:t>
      </w:r>
      <w:r>
        <w:rPr>
          <w:rFonts w:hint="eastAsia" w:ascii="宋体" w:hAnsi="宋体" w:cs="宋体"/>
          <w:b/>
          <w:szCs w:val="21"/>
          <w:highlight w:val="none"/>
        </w:rPr>
        <w:t>，按照</w:t>
      </w:r>
      <w:r>
        <w:rPr>
          <w:rFonts w:hint="eastAsia" w:ascii="宋体" w:hAnsi="宋体" w:cs="宋体"/>
          <w:b/>
          <w:bCs/>
          <w:szCs w:val="21"/>
          <w:highlight w:val="none"/>
        </w:rPr>
        <w:t>公平、公正、择优的原则进行</w:t>
      </w:r>
      <w:r>
        <w:rPr>
          <w:rFonts w:hint="eastAsia" w:ascii="宋体" w:hAnsi="宋体" w:cs="宋体"/>
          <w:b/>
          <w:szCs w:val="21"/>
          <w:highlight w:val="none"/>
        </w:rPr>
        <w:t>独立</w:t>
      </w:r>
      <w:r>
        <w:rPr>
          <w:rFonts w:hint="eastAsia" w:ascii="宋体" w:hAnsi="宋体" w:cs="宋体"/>
          <w:b/>
          <w:bCs/>
          <w:szCs w:val="21"/>
          <w:highlight w:val="none"/>
        </w:rPr>
        <w:t>评标。</w:t>
      </w:r>
    </w:p>
    <w:p w14:paraId="6F5977D4">
      <w:pPr>
        <w:spacing w:line="440" w:lineRule="exact"/>
        <w:ind w:right="-739" w:rightChars="-352" w:firstLine="420" w:firstLineChars="200"/>
        <w:rPr>
          <w:rFonts w:hint="eastAsia" w:ascii="宋体" w:hAnsi="宋体" w:cs="宋体"/>
          <w:bCs/>
          <w:szCs w:val="21"/>
          <w:highlight w:val="none"/>
        </w:rPr>
      </w:pPr>
      <w:r>
        <w:rPr>
          <w:rFonts w:hint="eastAsia" w:ascii="宋体" w:hAnsi="宋体" w:cs="宋体"/>
          <w:bCs/>
          <w:szCs w:val="21"/>
          <w:highlight w:val="none"/>
        </w:rPr>
        <w:t>由评标委员会对投标人资格性、符合性审查，对未通过审查的投标人，现场告知原因。评标委员会对合格投标人的投标文件进行评审。</w:t>
      </w:r>
    </w:p>
    <w:p w14:paraId="5656E518">
      <w:pPr>
        <w:spacing w:line="440" w:lineRule="exact"/>
        <w:ind w:right="-739" w:rightChars="-352" w:firstLine="422" w:firstLineChars="200"/>
        <w:rPr>
          <w:rFonts w:hint="eastAsia" w:ascii="宋体" w:hAnsi="宋体" w:cs="宋体"/>
          <w:b/>
          <w:bCs/>
          <w:szCs w:val="21"/>
          <w:highlight w:val="none"/>
        </w:rPr>
      </w:pPr>
      <w:r>
        <w:rPr>
          <w:rFonts w:hint="eastAsia" w:ascii="宋体" w:hAnsi="宋体" w:cs="宋体"/>
          <w:b/>
          <w:bCs/>
          <w:szCs w:val="21"/>
          <w:highlight w:val="none"/>
        </w:rPr>
        <w:t>（一）评审内容</w:t>
      </w:r>
    </w:p>
    <w:p w14:paraId="5E9FA4E8">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1、投标资格是否符合；</w:t>
      </w:r>
    </w:p>
    <w:p w14:paraId="2D86344B">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2、投标文件是否完整；</w:t>
      </w:r>
    </w:p>
    <w:p w14:paraId="1090FD30">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3、投标文件是否恰当地签署；</w:t>
      </w:r>
    </w:p>
    <w:p w14:paraId="254DC90B">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4、是否作出实质性响应（是否有实质性响应，只根据投标文件本身，而不寻求外部证据）；</w:t>
      </w:r>
    </w:p>
    <w:p w14:paraId="34268416">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5、是否有计算错误。</w:t>
      </w:r>
    </w:p>
    <w:p w14:paraId="44A618B5">
      <w:pPr>
        <w:spacing w:line="440" w:lineRule="exact"/>
        <w:ind w:right="-739" w:rightChars="-352" w:firstLine="422" w:firstLineChars="200"/>
        <w:rPr>
          <w:rFonts w:hint="eastAsia" w:ascii="宋体" w:hAnsi="宋体" w:cs="宋体"/>
          <w:b/>
          <w:bCs/>
          <w:szCs w:val="21"/>
          <w:highlight w:val="none"/>
        </w:rPr>
      </w:pPr>
      <w:r>
        <w:rPr>
          <w:rFonts w:hint="eastAsia" w:ascii="宋体" w:hAnsi="宋体" w:cs="宋体"/>
          <w:b/>
          <w:bCs/>
          <w:szCs w:val="21"/>
          <w:highlight w:val="none"/>
        </w:rPr>
        <w:t>（二）相应的规定</w:t>
      </w:r>
    </w:p>
    <w:p w14:paraId="330EB3FE">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1、如果单价汇总金额与总价金额有出入，以单价金额计算结果为准；</w:t>
      </w:r>
    </w:p>
    <w:p w14:paraId="561BE1C0">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2、单价金额小数点有明显错位的，应以总价为准；</w:t>
      </w:r>
    </w:p>
    <w:p w14:paraId="06B071B9">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3、若文件大写表示的数据与数字表示的有差别，以大写表示的数据为准；</w:t>
      </w:r>
    </w:p>
    <w:p w14:paraId="3A077A0F">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4、投标文件中投标报价表内容与投标文件中其他内容不一致的，以投标报价表为准。</w:t>
      </w:r>
    </w:p>
    <w:p w14:paraId="4BE25F99">
      <w:pPr>
        <w:spacing w:line="440" w:lineRule="exact"/>
        <w:ind w:right="-739" w:rightChars="-352" w:firstLine="422" w:firstLineChars="200"/>
        <w:outlineLvl w:val="1"/>
        <w:rPr>
          <w:rFonts w:hint="eastAsia" w:ascii="宋体" w:hAnsi="宋体" w:cs="宋体"/>
          <w:b/>
          <w:bCs/>
          <w:szCs w:val="21"/>
          <w:highlight w:val="none"/>
        </w:rPr>
      </w:pPr>
      <w:bookmarkStart w:id="156" w:name="_Toc16312"/>
      <w:bookmarkStart w:id="157" w:name="_Toc18608"/>
      <w:bookmarkStart w:id="158" w:name="_Toc17513"/>
      <w:bookmarkStart w:id="159" w:name="_Toc21678"/>
      <w:r>
        <w:rPr>
          <w:rFonts w:hint="eastAsia" w:ascii="宋体" w:hAnsi="宋体" w:cs="宋体"/>
          <w:b/>
          <w:bCs/>
          <w:szCs w:val="21"/>
          <w:highlight w:val="none"/>
        </w:rPr>
        <w:t>三、陈述、演示、答疑、澄清</w:t>
      </w:r>
      <w:bookmarkEnd w:id="156"/>
      <w:bookmarkEnd w:id="157"/>
      <w:bookmarkEnd w:id="158"/>
      <w:bookmarkEnd w:id="159"/>
    </w:p>
    <w:p w14:paraId="467A5BBB">
      <w:pPr>
        <w:spacing w:line="440" w:lineRule="exact"/>
        <w:ind w:right="-739" w:rightChars="-352" w:firstLine="420" w:firstLineChars="200"/>
        <w:rPr>
          <w:rFonts w:hint="eastAsia" w:ascii="宋体" w:hAnsi="宋体" w:cs="宋体"/>
          <w:b/>
          <w:szCs w:val="21"/>
          <w:highlight w:val="none"/>
        </w:rPr>
      </w:pPr>
      <w:r>
        <w:rPr>
          <w:rFonts w:hint="eastAsia" w:ascii="宋体" w:hAnsi="宋体" w:cs="宋体"/>
          <w:szCs w:val="21"/>
          <w:highlight w:val="none"/>
          <w:shd w:val="clear" w:color="auto" w:fill="FFFFFF"/>
        </w:rPr>
        <w:t>如评委会认为有必要，投标人按评委会的要求作陈述、演示、</w:t>
      </w:r>
      <w:r>
        <w:rPr>
          <w:rFonts w:hint="eastAsia" w:ascii="宋体" w:hAnsi="宋体" w:cs="宋体"/>
          <w:szCs w:val="21"/>
          <w:highlight w:val="none"/>
        </w:rPr>
        <w:t>答疑及澄清其投标内容。时间由评委会掌握。</w:t>
      </w:r>
    </w:p>
    <w:p w14:paraId="5F1DE508">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重要澄清答复应是书面的，但不得对投标内容进行实质性修改。</w:t>
      </w:r>
    </w:p>
    <w:p w14:paraId="18E8446B">
      <w:pPr>
        <w:spacing w:line="440" w:lineRule="exact"/>
        <w:ind w:right="-739" w:rightChars="-352" w:firstLine="422" w:firstLineChars="200"/>
        <w:outlineLvl w:val="1"/>
        <w:rPr>
          <w:rFonts w:hint="eastAsia" w:ascii="宋体" w:hAnsi="宋体" w:cs="宋体"/>
          <w:b/>
          <w:bCs/>
          <w:szCs w:val="21"/>
          <w:highlight w:val="none"/>
        </w:rPr>
      </w:pPr>
      <w:bookmarkStart w:id="160" w:name="_Toc25636"/>
      <w:bookmarkStart w:id="161" w:name="_Toc32734"/>
      <w:bookmarkStart w:id="162" w:name="_Toc4554"/>
      <w:bookmarkStart w:id="163" w:name="_Toc13209"/>
      <w:r>
        <w:rPr>
          <w:rFonts w:hint="eastAsia" w:ascii="宋体" w:hAnsi="宋体" w:cs="宋体"/>
          <w:b/>
          <w:bCs/>
          <w:szCs w:val="21"/>
          <w:highlight w:val="none"/>
        </w:rPr>
        <w:t>四、投标人不得存在下列情形之一：</w:t>
      </w:r>
      <w:bookmarkEnd w:id="160"/>
      <w:bookmarkEnd w:id="161"/>
      <w:bookmarkEnd w:id="162"/>
      <w:bookmarkEnd w:id="163"/>
    </w:p>
    <w:p w14:paraId="21956E8D">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1、与招标人存在利害关系且可能影响招标公正性；</w:t>
      </w:r>
    </w:p>
    <w:p w14:paraId="7CBEDB1B">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2、与本招标项目的其他投标人为同一个单位负责人；</w:t>
      </w:r>
    </w:p>
    <w:p w14:paraId="40E88A61">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3、与本招标项目的其他投标人存在控股、管理关系；</w:t>
      </w:r>
    </w:p>
    <w:p w14:paraId="3411708C">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4、被依法暂停或者取消投标资格；</w:t>
      </w:r>
    </w:p>
    <w:p w14:paraId="1C178560">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5、被责令停产停业、暂扣或者吊销许可证、暂扣或者吊销执照；</w:t>
      </w:r>
    </w:p>
    <w:p w14:paraId="4D647789">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6、进入清算程序，或被宣告破产，或其他丧失履约能力的情形；</w:t>
      </w:r>
    </w:p>
    <w:p w14:paraId="224A9D6F">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7、在最近三年内有骗取中标或严重违约或重大工程质量、环境、安全问题的；</w:t>
      </w:r>
    </w:p>
    <w:p w14:paraId="23867CEC">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8、被最高人民法院在“信用中国”网站（www.creditchina.gov.cn）或各级信用信息共享平台中列入失信被执行人名单；</w:t>
      </w:r>
    </w:p>
    <w:p w14:paraId="79733C27">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9、法律法规或投标人须知前附表规定的其他情形。</w:t>
      </w:r>
    </w:p>
    <w:p w14:paraId="54D79CE0">
      <w:pPr>
        <w:spacing w:line="440" w:lineRule="exact"/>
        <w:ind w:right="-739" w:rightChars="-352" w:firstLine="422" w:firstLineChars="200"/>
        <w:outlineLvl w:val="1"/>
        <w:rPr>
          <w:rFonts w:hint="eastAsia" w:ascii="宋体" w:hAnsi="宋体" w:cs="宋体"/>
          <w:b/>
          <w:bCs/>
          <w:szCs w:val="21"/>
          <w:highlight w:val="none"/>
        </w:rPr>
      </w:pPr>
      <w:bookmarkStart w:id="164" w:name="_Toc4159"/>
      <w:bookmarkStart w:id="165" w:name="_Toc20338"/>
      <w:bookmarkStart w:id="166" w:name="_Toc9819"/>
      <w:bookmarkStart w:id="167" w:name="_Toc30207"/>
      <w:r>
        <w:rPr>
          <w:rFonts w:hint="eastAsia" w:ascii="宋体" w:hAnsi="宋体" w:cs="宋体"/>
          <w:b/>
          <w:bCs/>
          <w:szCs w:val="21"/>
          <w:highlight w:val="none"/>
        </w:rPr>
        <w:t>五、出现下列情形之一的，作无效投标处理：</w:t>
      </w:r>
      <w:bookmarkEnd w:id="164"/>
      <w:bookmarkEnd w:id="165"/>
      <w:bookmarkEnd w:id="166"/>
      <w:bookmarkEnd w:id="167"/>
    </w:p>
    <w:p w14:paraId="1DE9B1D1">
      <w:pPr>
        <w:spacing w:line="440" w:lineRule="exact"/>
        <w:ind w:right="-212" w:rightChars="-101" w:firstLine="420" w:firstLineChars="200"/>
        <w:rPr>
          <w:rFonts w:hint="eastAsia" w:ascii="宋体" w:hAnsi="宋体" w:cs="宋体"/>
          <w:szCs w:val="21"/>
          <w:highlight w:val="none"/>
        </w:rPr>
      </w:pPr>
      <w:bookmarkStart w:id="168" w:name="_Toc6175"/>
      <w:bookmarkStart w:id="169" w:name="_Toc22594"/>
      <w:bookmarkStart w:id="170" w:name="_Toc7466"/>
      <w:r>
        <w:rPr>
          <w:rFonts w:hint="eastAsia" w:ascii="宋体" w:hAnsi="宋体" w:cs="宋体"/>
          <w:szCs w:val="21"/>
          <w:highlight w:val="none"/>
        </w:rPr>
        <w:t>1、未按照招标文件规定要求签署、签章的；</w:t>
      </w:r>
    </w:p>
    <w:p w14:paraId="29577432">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2、不具备招标文件中规定的资格要求的；</w:t>
      </w:r>
    </w:p>
    <w:p w14:paraId="1B1170C4">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3、报价超过招标文件中规定的预算金额或者</w:t>
      </w:r>
      <w:r>
        <w:rPr>
          <w:rFonts w:hint="eastAsia" w:ascii="宋体" w:hAnsi="宋体" w:cs="宋体"/>
          <w:szCs w:val="21"/>
          <w:highlight w:val="none"/>
          <w:lang w:val="en-US" w:eastAsia="zh-CN"/>
        </w:rPr>
        <w:t>招标控制价</w:t>
      </w:r>
      <w:r>
        <w:rPr>
          <w:rFonts w:hint="eastAsia" w:ascii="宋体" w:hAnsi="宋体" w:cs="宋体"/>
          <w:szCs w:val="21"/>
          <w:highlight w:val="none"/>
        </w:rPr>
        <w:t>的；</w:t>
      </w:r>
    </w:p>
    <w:p w14:paraId="071FD770">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4、投标文件含有招标人不能接受的附加条件的；</w:t>
      </w:r>
    </w:p>
    <w:p w14:paraId="6F2FE0A6">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rPr>
        <w:t xml:space="preserve">5、与招标文件规定的暂估价、暂列金额及甲供材料价格不一致的； </w:t>
      </w:r>
    </w:p>
    <w:p w14:paraId="0B7CCE7F">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 xml:space="preserve">与招标文件明确列出的不可竞争费用项目或费率或计算基础不一致的； </w:t>
      </w:r>
    </w:p>
    <w:p w14:paraId="781C515F">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 xml:space="preserve">与招标文件提供的工程量清单中的项目编码、项目名称、项目特征、计量单位、工程量不一致的； </w:t>
      </w:r>
    </w:p>
    <w:p w14:paraId="0935829E">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lang w:val="en-US" w:eastAsia="zh-CN"/>
        </w:rPr>
        <w:t>8、技术投标文件</w:t>
      </w:r>
      <w:r>
        <w:rPr>
          <w:rFonts w:hint="eastAsia" w:ascii="宋体" w:hAnsi="宋体" w:cs="宋体"/>
          <w:szCs w:val="21"/>
          <w:highlight w:val="none"/>
        </w:rPr>
        <w:t>不符合招标文件有关暗标要求的；</w:t>
      </w:r>
    </w:p>
    <w:p w14:paraId="6B989B0F">
      <w:pPr>
        <w:spacing w:line="440" w:lineRule="exact"/>
        <w:ind w:right="-212" w:rightChars="-101" w:firstLine="420" w:firstLineChars="20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不符合法律、法规和招标文件中规定的其他实质性要求的。</w:t>
      </w:r>
    </w:p>
    <w:p w14:paraId="7EAE1963">
      <w:pPr>
        <w:spacing w:line="440" w:lineRule="exact"/>
        <w:ind w:right="-739" w:rightChars="-352" w:firstLine="422" w:firstLineChars="200"/>
        <w:outlineLvl w:val="1"/>
        <w:rPr>
          <w:rFonts w:hint="eastAsia" w:ascii="宋体" w:hAnsi="宋体" w:cs="宋体"/>
          <w:b/>
          <w:bCs/>
          <w:szCs w:val="21"/>
          <w:highlight w:val="none"/>
        </w:rPr>
      </w:pPr>
      <w:bookmarkStart w:id="171" w:name="_Toc18753"/>
      <w:r>
        <w:rPr>
          <w:rFonts w:hint="eastAsia" w:ascii="宋体" w:hAnsi="宋体" w:cs="宋体"/>
          <w:b/>
          <w:bCs/>
          <w:szCs w:val="21"/>
          <w:highlight w:val="none"/>
        </w:rPr>
        <w:t>六、出现下列情形之一的，作流标或废标处理：</w:t>
      </w:r>
      <w:bookmarkEnd w:id="168"/>
      <w:bookmarkEnd w:id="169"/>
      <w:bookmarkEnd w:id="170"/>
      <w:bookmarkEnd w:id="171"/>
    </w:p>
    <w:p w14:paraId="7810DCC7">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1、符合专业条件的投标人或者对招标文件作实质响应的投标人不足3家的；</w:t>
      </w:r>
    </w:p>
    <w:p w14:paraId="39F2BB33">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2、出现影响招标公正的违法违规行为的；</w:t>
      </w:r>
    </w:p>
    <w:p w14:paraId="30046593">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3、投标人的报价均超过了采购预算，招标人不能支付的；</w:t>
      </w:r>
    </w:p>
    <w:p w14:paraId="33B98E45">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4、因重大变故，招标任务取消的。</w:t>
      </w:r>
    </w:p>
    <w:p w14:paraId="7093CD0C">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上述均保留评委会认定可以确定为无效投标或废标的其他情况。</w:t>
      </w:r>
    </w:p>
    <w:p w14:paraId="712E3958">
      <w:pPr>
        <w:spacing w:line="440" w:lineRule="exact"/>
        <w:ind w:right="-739" w:rightChars="-352" w:firstLine="422" w:firstLineChars="200"/>
        <w:outlineLvl w:val="1"/>
        <w:rPr>
          <w:rFonts w:hint="eastAsia" w:ascii="宋体" w:hAnsi="宋体" w:cs="宋体"/>
          <w:b/>
          <w:bCs/>
          <w:szCs w:val="21"/>
          <w:highlight w:val="none"/>
        </w:rPr>
      </w:pPr>
      <w:bookmarkStart w:id="172" w:name="_Toc31749"/>
      <w:bookmarkStart w:id="173" w:name="_Toc12043"/>
      <w:bookmarkStart w:id="174" w:name="_Toc27192"/>
      <w:bookmarkStart w:id="175" w:name="_Toc998"/>
      <w:r>
        <w:rPr>
          <w:rFonts w:hint="eastAsia" w:ascii="宋体" w:hAnsi="宋体" w:cs="宋体"/>
          <w:b/>
          <w:bCs/>
          <w:szCs w:val="21"/>
          <w:highlight w:val="none"/>
        </w:rPr>
        <w:t>七、不再招标和重新招标</w:t>
      </w:r>
      <w:bookmarkEnd w:id="172"/>
      <w:bookmarkEnd w:id="173"/>
      <w:bookmarkEnd w:id="174"/>
      <w:bookmarkEnd w:id="175"/>
    </w:p>
    <w:p w14:paraId="155AEC11">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1、有下列情形之一的，招标人可重新组织招标：</w:t>
      </w:r>
    </w:p>
    <w:p w14:paraId="5C1F0ED5">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（1）投标截止时间止，投标人少于3个的；</w:t>
      </w:r>
    </w:p>
    <w:p w14:paraId="2E88E63C">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（2）经评标委员会评审后否决所有投标的；</w:t>
      </w:r>
    </w:p>
    <w:p w14:paraId="54F55201">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（3）中标人放弃中标或者因被投诉且已查实的，招标人决定重新招标的；</w:t>
      </w:r>
    </w:p>
    <w:p w14:paraId="6257D1C5">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（4）评标委员会或主管部门认定的其他原因。</w:t>
      </w:r>
    </w:p>
    <w:p w14:paraId="5619E783">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2、本项目重新招标后投标人仍少于3个或者所有投标被否决的，属于必须审批或核准的项目，经原审批或核准部门批准后可不再进行招标。</w:t>
      </w:r>
    </w:p>
    <w:p w14:paraId="5E175180">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color w:val="auto"/>
          <w:highlight w:val="none"/>
        </w:rPr>
        <w:t>排名第一的中标候选人因质疑投诉问题被取消中标候选人资格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w:t>
      </w:r>
      <w:r>
        <w:rPr>
          <w:rFonts w:hint="eastAsia" w:ascii="宋体" w:hAnsi="宋体" w:cs="宋体"/>
          <w:color w:val="auto"/>
          <w:highlight w:val="none"/>
        </w:rPr>
        <w:t>放弃中标，或因不可抗力提出不能履行合同，或不按照招标文件要求提交履约保证金，或者被查实存在影响中标结果的违法行为等情形，不符合中标条件的，招标人将重新招标。</w:t>
      </w:r>
    </w:p>
    <w:p w14:paraId="3F9E7AA9">
      <w:pPr>
        <w:spacing w:line="440" w:lineRule="exact"/>
        <w:ind w:right="-739" w:rightChars="-352" w:firstLine="422" w:firstLineChars="200"/>
        <w:outlineLvl w:val="1"/>
        <w:rPr>
          <w:rFonts w:hint="eastAsia" w:ascii="宋体" w:hAnsi="宋体" w:cs="宋体"/>
          <w:b/>
          <w:bCs/>
          <w:szCs w:val="21"/>
          <w:highlight w:val="none"/>
        </w:rPr>
      </w:pPr>
      <w:bookmarkStart w:id="176" w:name="_Toc6539"/>
      <w:bookmarkStart w:id="177" w:name="_Toc11571"/>
      <w:bookmarkStart w:id="178" w:name="_Toc26787"/>
      <w:bookmarkStart w:id="179" w:name="_Toc19065"/>
      <w:r>
        <w:rPr>
          <w:rFonts w:hint="eastAsia" w:ascii="宋体" w:hAnsi="宋体" w:cs="宋体"/>
          <w:b/>
          <w:bCs/>
          <w:szCs w:val="21"/>
          <w:highlight w:val="none"/>
        </w:rPr>
        <w:t>八、评标方法</w:t>
      </w:r>
      <w:bookmarkEnd w:id="176"/>
      <w:bookmarkEnd w:id="177"/>
      <w:bookmarkEnd w:id="178"/>
      <w:bookmarkEnd w:id="179"/>
    </w:p>
    <w:p w14:paraId="3DD47318">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采用</w:t>
      </w:r>
      <w:r>
        <w:rPr>
          <w:rFonts w:hint="eastAsia" w:ascii="宋体" w:hAnsi="宋体" w:cs="宋体"/>
          <w:szCs w:val="21"/>
          <w:highlight w:val="none"/>
          <w:lang w:eastAsia="zh-CN"/>
        </w:rPr>
        <w:t>合理低价</w:t>
      </w:r>
      <w:r>
        <w:rPr>
          <w:rFonts w:hint="eastAsia" w:ascii="宋体" w:hAnsi="宋体" w:cs="宋体"/>
          <w:szCs w:val="21"/>
          <w:highlight w:val="none"/>
        </w:rPr>
        <w:t>法。分资格审查、商务标、价格标三部分评审，总分值为100分。</w:t>
      </w:r>
    </w:p>
    <w:p w14:paraId="1A50476C">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首先由评标委员会评审投标人资格性、符合性，对合格的投标人由评委会评审商务标，待商务标评审结束后，再开启价格标。</w:t>
      </w:r>
    </w:p>
    <w:p w14:paraId="14D0BCB3">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评委在认真审阅投标文件的基础上，根据各投标文件的商</w:t>
      </w:r>
      <w:r>
        <w:rPr>
          <w:rFonts w:hint="eastAsia" w:ascii="宋体" w:hAnsi="宋体" w:cs="宋体"/>
          <w:szCs w:val="21"/>
          <w:highlight w:val="none"/>
          <w:lang w:eastAsia="zh-CN"/>
        </w:rPr>
        <w:t>务</w:t>
      </w:r>
      <w:r>
        <w:rPr>
          <w:rFonts w:hint="eastAsia" w:ascii="宋体" w:hAnsi="宋体" w:cs="宋体"/>
          <w:szCs w:val="21"/>
          <w:highlight w:val="none"/>
        </w:rPr>
        <w:t>部分的响应情况，对各评分项目进行评分，不得统一打分。</w:t>
      </w:r>
    </w:p>
    <w:p w14:paraId="26E3D6ED">
      <w:pPr>
        <w:spacing w:line="440" w:lineRule="exact"/>
        <w:ind w:right="-739" w:rightChars="-352" w:firstLine="422" w:firstLineChars="200"/>
        <w:jc w:val="left"/>
        <w:rPr>
          <w:rFonts w:hint="eastAsia" w:ascii="宋体" w:hAnsi="宋体" w:cs="宋体"/>
          <w:b/>
          <w:szCs w:val="21"/>
          <w:highlight w:val="none"/>
          <w:lang w:val="zh-CN"/>
        </w:rPr>
      </w:pPr>
      <w:r>
        <w:rPr>
          <w:rFonts w:hint="eastAsia" w:ascii="宋体" w:hAnsi="宋体" w:cs="宋体"/>
          <w:b/>
          <w:szCs w:val="21"/>
          <w:highlight w:val="none"/>
          <w:lang w:val="zh-CN"/>
        </w:rPr>
        <w:t>（一）评标委员会对投标人资格性、符合性审查。</w:t>
      </w:r>
    </w:p>
    <w:p w14:paraId="00DB908E">
      <w:pPr>
        <w:pStyle w:val="41"/>
        <w:spacing w:line="440" w:lineRule="exact"/>
        <w:ind w:right="-739" w:rightChars="-352" w:firstLine="420" w:firstLineChars="200"/>
        <w:contextualSpacing/>
        <w:rPr>
          <w:rFonts w:hint="eastAsia" w:ascii="宋体" w:eastAsia="宋体" w:cs="宋体"/>
          <w:sz w:val="21"/>
          <w:szCs w:val="21"/>
          <w:highlight w:val="none"/>
        </w:rPr>
      </w:pPr>
      <w:r>
        <w:rPr>
          <w:rFonts w:hint="eastAsia" w:ascii="宋体" w:eastAsia="宋体" w:cs="宋体"/>
          <w:sz w:val="21"/>
          <w:szCs w:val="21"/>
          <w:highlight w:val="none"/>
        </w:rPr>
        <w:t>投标人资格性、符合性不合格的，其投标文件判定为无效投标文件。合格的，评委对其投标文件继续评审。</w:t>
      </w:r>
    </w:p>
    <w:tbl>
      <w:tblPr>
        <w:tblStyle w:val="33"/>
        <w:tblW w:w="92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60"/>
        <w:gridCol w:w="3399"/>
        <w:gridCol w:w="4038"/>
      </w:tblGrid>
      <w:tr w14:paraId="53CBDF2D">
        <w:tblPrEx>
          <w:tblLayout w:type="fixed"/>
        </w:tblPrEx>
        <w:trPr>
          <w:trHeight w:val="610" w:hRule="atLeast"/>
        </w:trPr>
        <w:tc>
          <w:tcPr>
            <w:tcW w:w="643" w:type="dxa"/>
            <w:tcBorders>
              <w:tl2br w:val="nil"/>
              <w:tr2bl w:val="nil"/>
            </w:tcBorders>
            <w:vAlign w:val="center"/>
          </w:tcPr>
          <w:p w14:paraId="04CB3E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0" w:type="dxa"/>
            <w:tcBorders>
              <w:tl2br w:val="nil"/>
              <w:tr2bl w:val="nil"/>
            </w:tcBorders>
            <w:vAlign w:val="center"/>
          </w:tcPr>
          <w:p w14:paraId="060359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3399" w:type="dxa"/>
            <w:tcBorders>
              <w:tl2br w:val="nil"/>
              <w:tr2bl w:val="nil"/>
            </w:tcBorders>
            <w:vAlign w:val="center"/>
          </w:tcPr>
          <w:p w14:paraId="5228D5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合格条件</w:t>
            </w:r>
          </w:p>
        </w:tc>
        <w:tc>
          <w:tcPr>
            <w:tcW w:w="4038" w:type="dxa"/>
            <w:tcBorders>
              <w:tl2br w:val="nil"/>
              <w:tr2bl w:val="nil"/>
            </w:tcBorders>
            <w:vAlign w:val="center"/>
          </w:tcPr>
          <w:p w14:paraId="206DD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需提供的证明材料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或扫描件</w:t>
            </w:r>
            <w:r>
              <w:rPr>
                <w:rFonts w:hint="eastAsia" w:ascii="宋体" w:hAnsi="宋体" w:eastAsia="宋体" w:cs="宋体"/>
                <w:color w:val="auto"/>
                <w:sz w:val="21"/>
                <w:szCs w:val="21"/>
                <w:highlight w:val="none"/>
                <w:lang w:eastAsia="zh-CN"/>
              </w:rPr>
              <w:t>）</w:t>
            </w:r>
          </w:p>
        </w:tc>
      </w:tr>
      <w:tr w14:paraId="60493DD4">
        <w:tblPrEx>
          <w:tblLayout w:type="fixed"/>
        </w:tblPrEx>
        <w:trPr>
          <w:trHeight w:val="846" w:hRule="atLeast"/>
        </w:trPr>
        <w:tc>
          <w:tcPr>
            <w:tcW w:w="643" w:type="dxa"/>
            <w:vMerge w:val="restart"/>
            <w:tcBorders>
              <w:tl2br w:val="nil"/>
              <w:tr2bl w:val="nil"/>
            </w:tcBorders>
            <w:vAlign w:val="center"/>
          </w:tcPr>
          <w:p w14:paraId="095CC2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p w14:paraId="47A0A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p>
        </w:tc>
        <w:tc>
          <w:tcPr>
            <w:tcW w:w="1160" w:type="dxa"/>
            <w:vMerge w:val="restart"/>
            <w:tcBorders>
              <w:tl2br w:val="nil"/>
              <w:tr2bl w:val="nil"/>
            </w:tcBorders>
            <w:vAlign w:val="center"/>
          </w:tcPr>
          <w:p w14:paraId="77472C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应具备的资质条件</w:t>
            </w:r>
          </w:p>
        </w:tc>
        <w:tc>
          <w:tcPr>
            <w:tcW w:w="3399" w:type="dxa"/>
            <w:tcBorders>
              <w:tl2br w:val="nil"/>
              <w:tr2bl w:val="nil"/>
            </w:tcBorders>
            <w:vAlign w:val="center"/>
          </w:tcPr>
          <w:p w14:paraId="34E25E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有独立订立合同的能力</w:t>
            </w:r>
          </w:p>
        </w:tc>
        <w:tc>
          <w:tcPr>
            <w:tcW w:w="4038" w:type="dxa"/>
            <w:tcBorders>
              <w:tl2br w:val="nil"/>
              <w:tr2bl w:val="nil"/>
            </w:tcBorders>
            <w:vAlign w:val="center"/>
          </w:tcPr>
          <w:p w14:paraId="1F7F32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营业执照；</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若为事业法人单位须提供事业单位法人证书</w:t>
            </w:r>
          </w:p>
        </w:tc>
      </w:tr>
      <w:tr w14:paraId="1897FA03">
        <w:tblPrEx>
          <w:tblLayout w:type="fixed"/>
        </w:tblPrEx>
        <w:trPr>
          <w:trHeight w:val="1007" w:hRule="atLeast"/>
        </w:trPr>
        <w:tc>
          <w:tcPr>
            <w:tcW w:w="643" w:type="dxa"/>
            <w:vMerge w:val="continue"/>
            <w:tcBorders>
              <w:tl2br w:val="nil"/>
              <w:tr2bl w:val="nil"/>
            </w:tcBorders>
            <w:vAlign w:val="center"/>
          </w:tcPr>
          <w:p w14:paraId="66D6FE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p>
        </w:tc>
        <w:tc>
          <w:tcPr>
            <w:tcW w:w="1160" w:type="dxa"/>
            <w:vMerge w:val="continue"/>
            <w:tcBorders>
              <w:tl2br w:val="nil"/>
              <w:tr2bl w:val="nil"/>
            </w:tcBorders>
            <w:vAlign w:val="center"/>
          </w:tcPr>
          <w:p w14:paraId="04C20D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399" w:type="dxa"/>
            <w:tcBorders>
              <w:tl2br w:val="nil"/>
              <w:tr2bl w:val="nil"/>
            </w:tcBorders>
            <w:vAlign w:val="center"/>
          </w:tcPr>
          <w:p w14:paraId="61140C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投标人须具备建设行政主管部门颁发的建筑工程施工总承包叁级及以上资质，并在人员、设备、资金等方面具有相应的施工能力。</w:t>
            </w:r>
          </w:p>
        </w:tc>
        <w:tc>
          <w:tcPr>
            <w:tcW w:w="4038" w:type="dxa"/>
            <w:tcBorders>
              <w:tl2br w:val="nil"/>
              <w:tr2bl w:val="nil"/>
            </w:tcBorders>
            <w:vAlign w:val="center"/>
          </w:tcPr>
          <w:p w14:paraId="2BB98A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资质证书</w:t>
            </w:r>
          </w:p>
        </w:tc>
      </w:tr>
      <w:tr w14:paraId="113E147C">
        <w:tblPrEx>
          <w:tblLayout w:type="fixed"/>
        </w:tblPrEx>
        <w:trPr>
          <w:trHeight w:val="397" w:hRule="atLeast"/>
        </w:trPr>
        <w:tc>
          <w:tcPr>
            <w:tcW w:w="643" w:type="dxa"/>
            <w:vMerge w:val="continue"/>
            <w:tcBorders>
              <w:tl2br w:val="nil"/>
              <w:tr2bl w:val="nil"/>
            </w:tcBorders>
            <w:vAlign w:val="center"/>
          </w:tcPr>
          <w:p w14:paraId="4A248F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60" w:type="dxa"/>
            <w:vMerge w:val="continue"/>
            <w:tcBorders>
              <w:tl2br w:val="nil"/>
              <w:tr2bl w:val="nil"/>
            </w:tcBorders>
            <w:vAlign w:val="center"/>
          </w:tcPr>
          <w:p w14:paraId="0938D9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399" w:type="dxa"/>
            <w:tcBorders>
              <w:tl2br w:val="nil"/>
              <w:tr2bl w:val="nil"/>
            </w:tcBorders>
            <w:vAlign w:val="center"/>
          </w:tcPr>
          <w:p w14:paraId="457657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企业具备安全生产条件，并取得安全生产许可证</w:t>
            </w:r>
          </w:p>
        </w:tc>
        <w:tc>
          <w:tcPr>
            <w:tcW w:w="4038" w:type="dxa"/>
            <w:tcBorders>
              <w:tl2br w:val="nil"/>
              <w:tr2bl w:val="nil"/>
            </w:tcBorders>
            <w:vAlign w:val="center"/>
          </w:tcPr>
          <w:p w14:paraId="24EA79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安全生产许可证</w:t>
            </w:r>
          </w:p>
        </w:tc>
      </w:tr>
      <w:tr w14:paraId="0610398C">
        <w:tblPrEx>
          <w:tblLayout w:type="fixed"/>
        </w:tblPrEx>
        <w:trPr>
          <w:trHeight w:val="397" w:hRule="atLeast"/>
        </w:trPr>
        <w:tc>
          <w:tcPr>
            <w:tcW w:w="643" w:type="dxa"/>
            <w:vMerge w:val="continue"/>
            <w:tcBorders>
              <w:tl2br w:val="nil"/>
              <w:tr2bl w:val="nil"/>
            </w:tcBorders>
            <w:vAlign w:val="center"/>
          </w:tcPr>
          <w:p w14:paraId="6673A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60" w:type="dxa"/>
            <w:vMerge w:val="continue"/>
            <w:tcBorders>
              <w:tl2br w:val="nil"/>
              <w:tr2bl w:val="nil"/>
            </w:tcBorders>
            <w:vAlign w:val="center"/>
          </w:tcPr>
          <w:p w14:paraId="068FD4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399" w:type="dxa"/>
            <w:tcBorders>
              <w:tl2br w:val="nil"/>
              <w:tr2bl w:val="nil"/>
            </w:tcBorders>
            <w:vAlign w:val="center"/>
          </w:tcPr>
          <w:p w14:paraId="06DC9F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自2022年12月1日（以竣工验收日期为准）以来，投标人至少承担过一项城市轨道交通项目以下任一业绩：①机电安装施工②房建维修或维保③风水电维修或维保。</w:t>
            </w:r>
          </w:p>
          <w:p w14:paraId="22B6CB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注：“城市轨道交通”不含城际铁路、有轨电车、单轨系统。</w:t>
            </w:r>
            <w:r>
              <w:rPr>
                <w:rFonts w:hint="eastAsia" w:ascii="宋体" w:hAnsi="宋体" w:cs="宋体"/>
                <w:color w:val="auto"/>
                <w:sz w:val="21"/>
                <w:szCs w:val="21"/>
                <w:highlight w:val="none"/>
                <w:lang w:val="en-US" w:eastAsia="zh-CN"/>
              </w:rPr>
              <w:t>下同。</w:t>
            </w:r>
          </w:p>
        </w:tc>
        <w:tc>
          <w:tcPr>
            <w:tcW w:w="4038" w:type="dxa"/>
            <w:tcBorders>
              <w:tl2br w:val="nil"/>
              <w:tr2bl w:val="nil"/>
            </w:tcBorders>
            <w:vAlign w:val="center"/>
          </w:tcPr>
          <w:p w14:paraId="185E13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施工</w:t>
            </w:r>
            <w:r>
              <w:rPr>
                <w:rFonts w:hint="eastAsia" w:ascii="宋体" w:hAnsi="宋体" w:eastAsia="宋体" w:cs="宋体"/>
                <w:color w:val="auto"/>
                <w:sz w:val="21"/>
                <w:szCs w:val="21"/>
                <w:highlight w:val="none"/>
                <w:lang w:val="en-US" w:eastAsia="zh-CN"/>
              </w:rPr>
              <w:t>业绩证明材料须同时提供对应业绩的（下同）中标通知书或直接发包通知书、施工合同、竣工验收证明（竣工验收证明是指由建设单位（或监理）组织工程建设各方验收合格，并签署相应的单位工程质量竣工验收记录或者分部工程质量验收记录等验收文件。竣工验收证明须同时有建设单位、监理单位、设计单位、施工单位、勘察单位盖章）。</w:t>
            </w:r>
          </w:p>
          <w:p w14:paraId="35EC2A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维保</w:t>
            </w:r>
            <w:r>
              <w:rPr>
                <w:rFonts w:hint="eastAsia" w:ascii="宋体" w:hAnsi="宋体" w:eastAsia="宋体" w:cs="宋体"/>
                <w:color w:val="auto"/>
                <w:sz w:val="21"/>
                <w:szCs w:val="21"/>
                <w:highlight w:val="none"/>
                <w:lang w:val="en-US" w:eastAsia="zh-CN"/>
              </w:rPr>
              <w:t>业绩证明材料须同时提供对应业绩的中标通知书或直接发包通知书、合同、业主证明</w:t>
            </w:r>
            <w:r>
              <w:rPr>
                <w:rFonts w:hint="eastAsia" w:ascii="宋体" w:hAnsi="宋体" w:cs="宋体"/>
                <w:color w:val="auto"/>
                <w:sz w:val="21"/>
                <w:szCs w:val="21"/>
                <w:highlight w:val="none"/>
                <w:lang w:val="en-US" w:eastAsia="zh-CN"/>
              </w:rPr>
              <w:t>。</w:t>
            </w:r>
          </w:p>
          <w:p w14:paraId="7DB338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②时间以“竣工验收证明”</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业主证明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上注明的竣工验收日期</w:t>
            </w:r>
            <w:r>
              <w:rPr>
                <w:rFonts w:hint="eastAsia" w:ascii="宋体" w:hAnsi="宋体" w:cs="宋体"/>
                <w:color w:val="auto"/>
                <w:sz w:val="21"/>
                <w:szCs w:val="21"/>
                <w:highlight w:val="none"/>
                <w:lang w:val="en-US" w:eastAsia="zh-CN"/>
              </w:rPr>
              <w:t>或服务结束时间</w:t>
            </w:r>
            <w:r>
              <w:rPr>
                <w:rFonts w:hint="eastAsia" w:ascii="宋体" w:hAnsi="宋体" w:eastAsia="宋体" w:cs="宋体"/>
                <w:color w:val="auto"/>
                <w:sz w:val="21"/>
                <w:szCs w:val="21"/>
                <w:highlight w:val="none"/>
                <w:lang w:val="en-US" w:eastAsia="zh-CN"/>
              </w:rPr>
              <w:t>为准(如为分批验收的，时间以竣工验收证明上验收日期在后的为准)。</w:t>
            </w:r>
          </w:p>
          <w:p w14:paraId="420F61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③工程总承包（EPC或设计施工一体化）业绩及联合体业绩予以认可，但仅认定投标人在该项目中承担的施工部分，如业绩资料中未载明其承担部分的内容的，需提供建设单位出具的相关证明材料，否则不予认可。</w:t>
            </w:r>
          </w:p>
          <w:p w14:paraId="4B63BC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④上述业绩证明材料的施工单位名称应与投标人单位名称一致，投标人单位名称变更的，须同时提供变更材料。</w:t>
            </w:r>
          </w:p>
        </w:tc>
      </w:tr>
      <w:tr w14:paraId="6A4DC997">
        <w:tblPrEx>
          <w:tblLayout w:type="fixed"/>
        </w:tblPrEx>
        <w:trPr>
          <w:trHeight w:val="1115" w:hRule="atLeast"/>
        </w:trPr>
        <w:tc>
          <w:tcPr>
            <w:tcW w:w="643" w:type="dxa"/>
            <w:vMerge w:val="restart"/>
            <w:tcBorders>
              <w:tl2br w:val="nil"/>
              <w:tr2bl w:val="nil"/>
            </w:tcBorders>
            <w:vAlign w:val="center"/>
          </w:tcPr>
          <w:p w14:paraId="0BD4FD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0" w:type="dxa"/>
            <w:vMerge w:val="restart"/>
            <w:tcBorders>
              <w:tl2br w:val="nil"/>
              <w:tr2bl w:val="nil"/>
            </w:tcBorders>
            <w:vAlign w:val="center"/>
          </w:tcPr>
          <w:p w14:paraId="4306C1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拟投入的项目负责人要求</w:t>
            </w:r>
          </w:p>
        </w:tc>
        <w:tc>
          <w:tcPr>
            <w:tcW w:w="3399" w:type="dxa"/>
            <w:tcBorders>
              <w:tl2br w:val="nil"/>
              <w:tr2bl w:val="nil"/>
            </w:tcBorders>
            <w:vAlign w:val="center"/>
          </w:tcPr>
          <w:p w14:paraId="5B94F0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拟派项目负责人必须为投标企业正式人员，须提供拟派项目负责人与投标企业双方签订的有效劳动合同书（注：本工程不接受退休返聘人员担任拟派项目负责人）。</w:t>
            </w:r>
          </w:p>
        </w:tc>
        <w:tc>
          <w:tcPr>
            <w:tcW w:w="4038" w:type="dxa"/>
            <w:tcBorders>
              <w:tl2br w:val="nil"/>
              <w:tr2bl w:val="nil"/>
            </w:tcBorders>
            <w:vAlign w:val="center"/>
          </w:tcPr>
          <w:p w14:paraId="2B5C88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劳动合同</w:t>
            </w:r>
          </w:p>
        </w:tc>
      </w:tr>
      <w:tr w14:paraId="17101E4B">
        <w:tblPrEx>
          <w:tblLayout w:type="fixed"/>
        </w:tblPrEx>
        <w:trPr>
          <w:trHeight w:val="401" w:hRule="atLeast"/>
        </w:trPr>
        <w:tc>
          <w:tcPr>
            <w:tcW w:w="643" w:type="dxa"/>
            <w:vMerge w:val="continue"/>
            <w:tcBorders>
              <w:tl2br w:val="nil"/>
              <w:tr2bl w:val="nil"/>
            </w:tcBorders>
            <w:vAlign w:val="center"/>
          </w:tcPr>
          <w:p w14:paraId="6C751F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p>
        </w:tc>
        <w:tc>
          <w:tcPr>
            <w:tcW w:w="1160" w:type="dxa"/>
            <w:vMerge w:val="continue"/>
            <w:tcBorders>
              <w:tl2br w:val="nil"/>
              <w:tr2bl w:val="nil"/>
            </w:tcBorders>
            <w:vAlign w:val="center"/>
          </w:tcPr>
          <w:p w14:paraId="68291F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p>
        </w:tc>
        <w:tc>
          <w:tcPr>
            <w:tcW w:w="3399" w:type="dxa"/>
            <w:tcBorders>
              <w:tl2br w:val="nil"/>
              <w:tr2bl w:val="nil"/>
            </w:tcBorders>
            <w:vAlign w:val="center"/>
          </w:tcPr>
          <w:p w14:paraId="488BD9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拟派项目负责人须具备有效的建筑工程专业二级及以上注册建造师，同时具有建筑施工企业安全生产考核合格证（B证）（以上证书必须注册在投标单位），且必须满足下列条件：</w:t>
            </w:r>
          </w:p>
          <w:p w14:paraId="21E8B5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（1）项目负责人不得同时在两个或者两个以上单位受聘或者执业。</w:t>
            </w:r>
          </w:p>
          <w:p w14:paraId="233EFD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tc>
        <w:tc>
          <w:tcPr>
            <w:tcW w:w="4038" w:type="dxa"/>
            <w:tcBorders>
              <w:tl2br w:val="nil"/>
              <w:tr2bl w:val="nil"/>
            </w:tcBorders>
            <w:vAlign w:val="center"/>
          </w:tcPr>
          <w:p w14:paraId="46BC07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eastAsia="zh-CN"/>
              </w:rPr>
              <w:t>、项目经理安全生产考核合格证（B证）</w:t>
            </w:r>
          </w:p>
        </w:tc>
      </w:tr>
      <w:tr w14:paraId="785D55AA">
        <w:tblPrEx>
          <w:tblLayout w:type="fixed"/>
        </w:tblPrEx>
        <w:trPr>
          <w:trHeight w:val="1049" w:hRule="atLeast"/>
        </w:trPr>
        <w:tc>
          <w:tcPr>
            <w:tcW w:w="643" w:type="dxa"/>
            <w:vMerge w:val="restart"/>
            <w:tcBorders>
              <w:tl2br w:val="nil"/>
              <w:tr2bl w:val="nil"/>
            </w:tcBorders>
            <w:vAlign w:val="center"/>
          </w:tcPr>
          <w:p w14:paraId="6D2B2C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60" w:type="dxa"/>
            <w:vMerge w:val="restart"/>
            <w:tcBorders>
              <w:tl2br w:val="nil"/>
              <w:tr2bl w:val="nil"/>
            </w:tcBorders>
            <w:vAlign w:val="center"/>
          </w:tcPr>
          <w:p w14:paraId="20329C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tc>
        <w:tc>
          <w:tcPr>
            <w:tcW w:w="3399" w:type="dxa"/>
            <w:tcBorders>
              <w:tl2br w:val="nil"/>
              <w:tr2bl w:val="nil"/>
            </w:tcBorders>
            <w:vAlign w:val="center"/>
          </w:tcPr>
          <w:p w14:paraId="7871FB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根据苏建招办（2022）2 号文要求，投标人在本招标项目投标文件递交截止时间当日，建筑业企业资质（特指：本项目招标文件要求资质）动态监管结果不处于不合格状态。</w:t>
            </w:r>
          </w:p>
        </w:tc>
        <w:tc>
          <w:tcPr>
            <w:tcW w:w="4038" w:type="dxa"/>
            <w:tcBorders>
              <w:tl2br w:val="nil"/>
              <w:tr2bl w:val="nil"/>
            </w:tcBorders>
            <w:vAlign w:val="center"/>
          </w:tcPr>
          <w:p w14:paraId="66788A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或招标代理机构在投标文件递交截止时间当日，登录“江苏省建筑市场监管与诚信信息一体化平台”，检查投标人的建筑业企业资质动态监管状态，对动态监管处于不合格状态的投标人进行截图保存，提供给评标委员会。</w:t>
            </w:r>
          </w:p>
        </w:tc>
      </w:tr>
      <w:tr w14:paraId="4E0958EC">
        <w:tblPrEx>
          <w:tblLayout w:type="fixed"/>
        </w:tblPrEx>
        <w:trPr>
          <w:trHeight w:val="1049" w:hRule="atLeast"/>
        </w:trPr>
        <w:tc>
          <w:tcPr>
            <w:tcW w:w="643" w:type="dxa"/>
            <w:vMerge w:val="continue"/>
            <w:tcBorders>
              <w:tl2br w:val="nil"/>
              <w:tr2bl w:val="nil"/>
            </w:tcBorders>
            <w:vAlign w:val="center"/>
          </w:tcPr>
          <w:p w14:paraId="387F04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p>
        </w:tc>
        <w:tc>
          <w:tcPr>
            <w:tcW w:w="1160" w:type="dxa"/>
            <w:vMerge w:val="continue"/>
            <w:tcBorders>
              <w:tl2br w:val="nil"/>
              <w:tr2bl w:val="nil"/>
            </w:tcBorders>
            <w:vAlign w:val="center"/>
          </w:tcPr>
          <w:p w14:paraId="04955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p>
        </w:tc>
        <w:tc>
          <w:tcPr>
            <w:tcW w:w="3399" w:type="dxa"/>
            <w:tcBorders>
              <w:tl2br w:val="nil"/>
              <w:tr2bl w:val="nil"/>
            </w:tcBorders>
            <w:vAlign w:val="center"/>
          </w:tcPr>
          <w:p w14:paraId="4B78A8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根据苏建函建管〔2025〕183号文要求，被限制市场准入的建筑施工企业和人员不得参与省内工程投标。</w:t>
            </w:r>
          </w:p>
        </w:tc>
        <w:tc>
          <w:tcPr>
            <w:tcW w:w="4038" w:type="dxa"/>
            <w:tcBorders>
              <w:tl2br w:val="nil"/>
              <w:tr2bl w:val="nil"/>
            </w:tcBorders>
            <w:vAlign w:val="center"/>
          </w:tcPr>
          <w:p w14:paraId="6273E7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47CD5FAD">
      <w:pPr>
        <w:spacing w:line="440" w:lineRule="exact"/>
        <w:ind w:firstLine="422" w:firstLineChars="200"/>
        <w:jc w:val="left"/>
        <w:rPr>
          <w:rFonts w:hint="eastAsia" w:ascii="宋体" w:hAnsi="宋体" w:cs="宋体"/>
          <w:szCs w:val="21"/>
          <w:highlight w:val="none"/>
          <w:lang w:val="zh-CN"/>
        </w:rPr>
      </w:pPr>
      <w:r>
        <w:rPr>
          <w:rFonts w:hint="eastAsia" w:ascii="宋体" w:hAnsi="宋体" w:cs="宋体"/>
          <w:b/>
          <w:szCs w:val="21"/>
          <w:highlight w:val="none"/>
          <w:lang w:val="zh-CN"/>
        </w:rPr>
        <w:t xml:space="preserve"> (二)评审因素和标准（总分100分）</w:t>
      </w:r>
    </w:p>
    <w:tbl>
      <w:tblPr>
        <w:tblStyle w:val="33"/>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45"/>
        <w:gridCol w:w="6157"/>
        <w:gridCol w:w="673"/>
      </w:tblGrid>
      <w:tr w14:paraId="4FB94E01">
        <w:tblPrEx>
          <w:tblLayout w:type="fixed"/>
        </w:tblPrEx>
        <w:trPr>
          <w:trHeight w:val="769" w:hRule="atLeast"/>
        </w:trPr>
        <w:tc>
          <w:tcPr>
            <w:tcW w:w="2384" w:type="dxa"/>
            <w:gridSpan w:val="2"/>
            <w:vAlign w:val="center"/>
          </w:tcPr>
          <w:p w14:paraId="4D61CC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highlight w:val="none"/>
              </w:rPr>
            </w:pPr>
            <w:bookmarkStart w:id="180" w:name="_Toc16477"/>
            <w:bookmarkStart w:id="181" w:name="_Toc32367"/>
            <w:bookmarkStart w:id="182" w:name="_Toc20578"/>
            <w:bookmarkStart w:id="183" w:name="_Toc29173"/>
            <w:r>
              <w:rPr>
                <w:rFonts w:hint="eastAsia" w:ascii="宋体" w:hAnsi="宋体" w:eastAsia="宋体" w:cs="宋体"/>
                <w:sz w:val="21"/>
                <w:szCs w:val="21"/>
                <w:highlight w:val="none"/>
              </w:rPr>
              <w:t>分值构成</w:t>
            </w:r>
          </w:p>
          <w:p w14:paraId="2DAC1C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6830" w:type="dxa"/>
            <w:gridSpan w:val="2"/>
            <w:vAlign w:val="center"/>
          </w:tcPr>
          <w:p w14:paraId="700D643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商务：</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rPr>
              <w:t>分；报价：</w:t>
            </w:r>
            <w:r>
              <w:rPr>
                <w:rFonts w:hint="eastAsia" w:ascii="宋体" w:hAnsi="宋体" w:cs="宋体"/>
                <w:sz w:val="21"/>
                <w:szCs w:val="21"/>
                <w:highlight w:val="none"/>
                <w:u w:val="single"/>
                <w:lang w:val="en-US" w:eastAsia="zh-CN"/>
              </w:rPr>
              <w:t>98</w:t>
            </w:r>
            <w:r>
              <w:rPr>
                <w:rFonts w:hint="eastAsia" w:ascii="宋体" w:hAnsi="宋体" w:eastAsia="宋体" w:cs="宋体"/>
                <w:sz w:val="21"/>
                <w:szCs w:val="21"/>
                <w:highlight w:val="none"/>
              </w:rPr>
              <w:t>分</w:t>
            </w:r>
          </w:p>
        </w:tc>
      </w:tr>
      <w:tr w14:paraId="570536A1">
        <w:tblPrEx>
          <w:tblLayout w:type="fixed"/>
        </w:tblPrEx>
        <w:trPr>
          <w:trHeight w:val="454" w:hRule="atLeast"/>
        </w:trPr>
        <w:tc>
          <w:tcPr>
            <w:tcW w:w="939" w:type="dxa"/>
            <w:vAlign w:val="center"/>
          </w:tcPr>
          <w:p w14:paraId="2491F4A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1445" w:type="dxa"/>
            <w:vAlign w:val="center"/>
          </w:tcPr>
          <w:p w14:paraId="663ABF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6157" w:type="dxa"/>
            <w:vAlign w:val="center"/>
          </w:tcPr>
          <w:p w14:paraId="00F8B1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c>
          <w:tcPr>
            <w:tcW w:w="673" w:type="dxa"/>
            <w:vAlign w:val="center"/>
          </w:tcPr>
          <w:p w14:paraId="0BE28F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highlight w:val="none"/>
              </w:rPr>
            </w:pPr>
            <w:r>
              <w:rPr>
                <w:rFonts w:hint="eastAsia" w:ascii="宋体" w:hAnsi="宋体" w:eastAsia="宋体" w:cs="宋体"/>
                <w:b/>
                <w:bCs/>
                <w:sz w:val="21"/>
                <w:szCs w:val="21"/>
                <w:highlight w:val="none"/>
              </w:rPr>
              <w:t>分值</w:t>
            </w:r>
          </w:p>
        </w:tc>
      </w:tr>
      <w:tr w14:paraId="5DA7DBE0">
        <w:tblPrEx>
          <w:tblLayout w:type="fixed"/>
        </w:tblPrEx>
        <w:trPr>
          <w:trHeight w:val="476" w:hRule="atLeast"/>
        </w:trPr>
        <w:tc>
          <w:tcPr>
            <w:tcW w:w="939" w:type="dxa"/>
            <w:vAlign w:val="center"/>
          </w:tcPr>
          <w:p w14:paraId="135FB68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商务</w:t>
            </w:r>
          </w:p>
          <w:p w14:paraId="0C5AC0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部分</w:t>
            </w:r>
          </w:p>
          <w:p w14:paraId="3EA2F9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1445" w:type="dxa"/>
            <w:vAlign w:val="center"/>
          </w:tcPr>
          <w:p w14:paraId="19CF8A02">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项目负责人业绩</w:t>
            </w:r>
          </w:p>
        </w:tc>
        <w:tc>
          <w:tcPr>
            <w:tcW w:w="6157" w:type="dxa"/>
            <w:vAlign w:val="center"/>
          </w:tcPr>
          <w:p w14:paraId="173C2F28">
            <w:pPr>
              <w:spacing w:line="400" w:lineRule="exact"/>
              <w:ind w:left="0" w:leftChars="0" w:right="0" w:rightChars="0"/>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自2020年12月1日（以竣工验收日期为准）以来，投标人拟派项目负责人作为项目负责人承担过一项城市轨道交通项目以下任一业绩：①机电安装施工②房建维修或维保③风水电维修或维保，每提供一个得1分，最多得2分。</w:t>
            </w:r>
          </w:p>
          <w:p w14:paraId="3F567E8D">
            <w:pPr>
              <w:spacing w:line="400" w:lineRule="exact"/>
              <w:ind w:left="0" w:leftChars="0" w:right="0" w:rightChars="0"/>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证明材料详见备注。</w:t>
            </w:r>
          </w:p>
        </w:tc>
        <w:tc>
          <w:tcPr>
            <w:tcW w:w="673" w:type="dxa"/>
            <w:vAlign w:val="center"/>
          </w:tcPr>
          <w:p w14:paraId="4E240EB7">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cs="宋体"/>
                <w:b/>
                <w:bCs/>
                <w:sz w:val="21"/>
                <w:szCs w:val="21"/>
                <w:highlight w:val="none"/>
                <w:lang w:val="en-US" w:eastAsia="zh-CN"/>
              </w:rPr>
            </w:pPr>
            <w:r>
              <w:rPr>
                <w:rFonts w:hint="eastAsia" w:ascii="宋体" w:hAnsi="宋体" w:eastAsia="宋体" w:cs="宋体"/>
                <w:kern w:val="2"/>
                <w:sz w:val="21"/>
                <w:szCs w:val="21"/>
                <w:highlight w:val="none"/>
                <w:lang w:val="en-US" w:eastAsia="zh-CN"/>
              </w:rPr>
              <w:t>2</w:t>
            </w:r>
          </w:p>
        </w:tc>
      </w:tr>
      <w:tr w14:paraId="712CA0D8">
        <w:tblPrEx>
          <w:tblLayout w:type="fixed"/>
        </w:tblPrEx>
        <w:trPr>
          <w:trHeight w:val="454" w:hRule="atLeast"/>
        </w:trPr>
        <w:tc>
          <w:tcPr>
            <w:tcW w:w="939" w:type="dxa"/>
            <w:vMerge w:val="restart"/>
            <w:vAlign w:val="center"/>
          </w:tcPr>
          <w:p w14:paraId="73E2E72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w:t>
            </w:r>
          </w:p>
          <w:p w14:paraId="3985648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部分</w:t>
            </w:r>
          </w:p>
          <w:p w14:paraId="6C570F0D">
            <w:pPr>
              <w:spacing w:line="400" w:lineRule="exact"/>
              <w:ind w:left="0" w:leftChars="0" w:right="0" w:rightChars="0"/>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98</w:t>
            </w:r>
            <w:r>
              <w:rPr>
                <w:rFonts w:hint="eastAsia" w:ascii="宋体" w:hAnsi="宋体" w:eastAsia="宋体" w:cs="宋体"/>
                <w:sz w:val="21"/>
                <w:szCs w:val="21"/>
                <w:highlight w:val="none"/>
              </w:rPr>
              <w:t>分</w:t>
            </w:r>
          </w:p>
        </w:tc>
        <w:tc>
          <w:tcPr>
            <w:tcW w:w="1445" w:type="dxa"/>
            <w:vAlign w:val="center"/>
          </w:tcPr>
          <w:p w14:paraId="4A37E9D0">
            <w:pPr>
              <w:spacing w:line="400" w:lineRule="exact"/>
              <w:ind w:left="0" w:leftChars="0" w:right="0" w:right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rPr>
              <w:t>评标基准价计算方法</w:t>
            </w:r>
          </w:p>
        </w:tc>
        <w:tc>
          <w:tcPr>
            <w:tcW w:w="6830" w:type="dxa"/>
            <w:gridSpan w:val="2"/>
            <w:vAlign w:val="center"/>
          </w:tcPr>
          <w:p w14:paraId="1F4409CC">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评标入围方法： </w:t>
            </w:r>
          </w:p>
          <w:p w14:paraId="069280C2">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☑直接确定： </w:t>
            </w:r>
          </w:p>
          <w:p w14:paraId="468DBD3F">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☑方法一；□方法二；□方法三； </w:t>
            </w:r>
          </w:p>
          <w:p w14:paraId="0F772A7E">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1、评标基准值计算方法的确定 </w:t>
            </w:r>
          </w:p>
          <w:p w14:paraId="0C4EA5B2">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□直接确定：□方法五； </w:t>
            </w:r>
          </w:p>
          <w:p w14:paraId="602163C8">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☑开标时由招标人代表从以下方法中随机抽取确定： </w:t>
            </w:r>
          </w:p>
          <w:p w14:paraId="0817BD76">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☑方法一；☑方法二；□方法三；□方法四；□方法五； </w:t>
            </w:r>
          </w:p>
          <w:p w14:paraId="78810871">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2、评标基准值计算具体细则见附件B，参数设置如下： </w:t>
            </w:r>
          </w:p>
          <w:p w14:paraId="2658EA2D">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方法一：K值取值范围：</w:t>
            </w:r>
            <w:r>
              <w:rPr>
                <w:rFonts w:hint="eastAsia" w:ascii="宋体" w:hAnsi="宋体" w:eastAsia="宋体" w:cs="宋体"/>
                <w:sz w:val="21"/>
                <w:szCs w:val="21"/>
                <w:highlight w:val="none"/>
                <w:u w:val="single"/>
              </w:rPr>
              <w:t xml:space="preserve"> 95%、96%、97%、98% </w:t>
            </w:r>
            <w:r>
              <w:rPr>
                <w:rFonts w:hint="eastAsia" w:ascii="宋体" w:hAnsi="宋体" w:eastAsia="宋体" w:cs="宋体"/>
                <w:sz w:val="21"/>
                <w:szCs w:val="21"/>
                <w:highlight w:val="none"/>
              </w:rPr>
              <w:t xml:space="preserve">。开标时由投标人推选的代表随机抽取确定； </w:t>
            </w:r>
          </w:p>
          <w:p w14:paraId="5310C858">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方法二：K1值取值范围：</w:t>
            </w:r>
            <w:r>
              <w:rPr>
                <w:rFonts w:hint="eastAsia" w:ascii="宋体" w:hAnsi="宋体" w:eastAsia="宋体" w:cs="宋体"/>
                <w:sz w:val="21"/>
                <w:szCs w:val="21"/>
                <w:highlight w:val="none"/>
                <w:u w:val="single"/>
              </w:rPr>
              <w:t xml:space="preserve"> 95%、96%、97%、98% </w:t>
            </w:r>
            <w:r>
              <w:rPr>
                <w:rFonts w:hint="eastAsia" w:ascii="宋体" w:hAnsi="宋体" w:eastAsia="宋体" w:cs="宋体"/>
                <w:sz w:val="21"/>
                <w:szCs w:val="21"/>
                <w:highlight w:val="none"/>
              </w:rPr>
              <w:t xml:space="preserve">，开标时投标人推选的代表随机抽取确定； </w:t>
            </w:r>
          </w:p>
          <w:p w14:paraId="6F050EAB">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Q1值取值范围：</w:t>
            </w:r>
            <w:r>
              <w:rPr>
                <w:rFonts w:hint="eastAsia" w:ascii="宋体" w:hAnsi="宋体" w:eastAsia="宋体" w:cs="宋体"/>
                <w:sz w:val="21"/>
                <w:szCs w:val="21"/>
                <w:highlight w:val="none"/>
                <w:u w:val="single"/>
              </w:rPr>
              <w:t xml:space="preserve"> 65%、70%、75%、80%、85% </w:t>
            </w:r>
            <w:r>
              <w:rPr>
                <w:rFonts w:hint="eastAsia" w:ascii="宋体" w:hAnsi="宋体" w:eastAsia="宋体" w:cs="宋体"/>
                <w:sz w:val="21"/>
                <w:szCs w:val="21"/>
                <w:highlight w:val="none"/>
              </w:rPr>
              <w:t xml:space="preserve">，开标时投标人推选的代表随机抽取确定； </w:t>
            </w:r>
          </w:p>
          <w:p w14:paraId="3468A4C3">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K2取值为：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90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4063C219">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3、特殊情形下，评标基准价调整方式： </w:t>
            </w:r>
          </w:p>
          <w:p w14:paraId="2698A144">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□评标基准价不因招投标当事人质疑、投诉、复议以及其它任何情形而改变； </w:t>
            </w:r>
          </w:p>
          <w:p w14:paraId="5993FD4D">
            <w:pPr>
              <w:spacing w:line="400" w:lineRule="exact"/>
              <w:ind w:firstLine="218" w:firstLineChars="10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☑除确认存在评委评审和计算错误外，评标基准价不因招投标当事人质疑、投诉、复议以及其它任何情形而改变； </w:t>
            </w:r>
          </w:p>
          <w:p w14:paraId="2B4852A1">
            <w:pPr>
              <w:widowControl/>
              <w:shd w:val="clear" w:color="auto" w:fill="FFFFFF"/>
              <w:spacing w:line="400" w:lineRule="exact"/>
              <w:ind w:left="-59" w:leftChars="-28" w:right="0" w:rightChars="0" w:firstLine="282" w:firstLine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□除确认存在计算错误外，评标基准价不因招投标当事人质疑、投诉、复议以及其它任何情形而改变。</w:t>
            </w:r>
          </w:p>
        </w:tc>
      </w:tr>
      <w:tr w14:paraId="1C6668C1">
        <w:tblPrEx>
          <w:tblLayout w:type="fixed"/>
        </w:tblPrEx>
        <w:trPr>
          <w:trHeight w:val="454" w:hRule="atLeast"/>
        </w:trPr>
        <w:tc>
          <w:tcPr>
            <w:tcW w:w="939" w:type="dxa"/>
            <w:vMerge w:val="continue"/>
            <w:vAlign w:val="center"/>
          </w:tcPr>
          <w:p w14:paraId="3C5F381E">
            <w:pPr>
              <w:pStyle w:val="4"/>
              <w:spacing w:before="0" w:after="0" w:line="400" w:lineRule="exact"/>
              <w:ind w:left="0" w:leftChars="0" w:right="0" w:rightChars="0" w:firstLine="420" w:firstLineChars="200"/>
              <w:jc w:val="center"/>
              <w:rPr>
                <w:rFonts w:hint="eastAsia" w:ascii="宋体" w:hAnsi="宋体" w:eastAsia="宋体" w:cs="宋体"/>
                <w:sz w:val="21"/>
                <w:szCs w:val="21"/>
                <w:highlight w:val="none"/>
                <w:lang w:val="en-US" w:eastAsia="zh-CN"/>
              </w:rPr>
            </w:pPr>
          </w:p>
        </w:tc>
        <w:tc>
          <w:tcPr>
            <w:tcW w:w="1445" w:type="dxa"/>
            <w:vAlign w:val="center"/>
          </w:tcPr>
          <w:p w14:paraId="2B510381">
            <w:pPr>
              <w:widowControl/>
              <w:shd w:val="clear" w:color="auto" w:fill="FFFFFF"/>
              <w:spacing w:line="400" w:lineRule="exact"/>
              <w:ind w:left="-59" w:leftChars="-28"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报价的偏差率计算公式</w:t>
            </w:r>
          </w:p>
        </w:tc>
        <w:tc>
          <w:tcPr>
            <w:tcW w:w="6830" w:type="dxa"/>
            <w:gridSpan w:val="2"/>
            <w:vAlign w:val="center"/>
          </w:tcPr>
          <w:p w14:paraId="49FBF0FE">
            <w:pPr>
              <w:widowControl/>
              <w:shd w:val="clear" w:color="auto" w:fill="FFFFFF"/>
              <w:spacing w:line="400" w:lineRule="exact"/>
              <w:ind w:left="-59" w:leftChars="-28"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偏差率=100%×（投标人报价－评标基准价）/评标基准价</w:t>
            </w:r>
          </w:p>
        </w:tc>
      </w:tr>
      <w:tr w14:paraId="072A9C3E">
        <w:tblPrEx>
          <w:tblLayout w:type="fixed"/>
        </w:tblPrEx>
        <w:trPr>
          <w:trHeight w:val="454" w:hRule="atLeast"/>
        </w:trPr>
        <w:tc>
          <w:tcPr>
            <w:tcW w:w="939" w:type="dxa"/>
            <w:vMerge w:val="continue"/>
            <w:vAlign w:val="center"/>
          </w:tcPr>
          <w:p w14:paraId="5E83F8DA">
            <w:pPr>
              <w:pStyle w:val="4"/>
              <w:spacing w:before="0" w:after="0" w:line="400" w:lineRule="exact"/>
              <w:ind w:left="0" w:leftChars="0" w:right="0" w:rightChars="0" w:firstLine="420" w:firstLineChars="200"/>
              <w:jc w:val="center"/>
              <w:rPr>
                <w:rFonts w:hint="eastAsia" w:ascii="宋体" w:hAnsi="宋体" w:eastAsia="宋体" w:cs="宋体"/>
                <w:sz w:val="21"/>
                <w:szCs w:val="21"/>
                <w:highlight w:val="none"/>
                <w:lang w:val="en-US" w:eastAsia="zh-CN"/>
              </w:rPr>
            </w:pPr>
          </w:p>
        </w:tc>
        <w:tc>
          <w:tcPr>
            <w:tcW w:w="8275" w:type="dxa"/>
            <w:gridSpan w:val="3"/>
            <w:vAlign w:val="center"/>
          </w:tcPr>
          <w:p w14:paraId="699C318D">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报价得分计算公式示例：</w:t>
            </w:r>
          </w:p>
          <w:p w14:paraId="64E739B7">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（1）如果投标人的报价＞评标基准价，则报价得分=</w:t>
            </w:r>
            <w:r>
              <w:rPr>
                <w:rFonts w:hint="eastAsia" w:ascii="宋体" w:hAnsi="宋体" w:cs="宋体"/>
                <w:sz w:val="21"/>
                <w:szCs w:val="21"/>
                <w:highlight w:val="none"/>
                <w:lang w:eastAsia="zh-CN"/>
              </w:rPr>
              <w:t>98</w:t>
            </w:r>
            <w:r>
              <w:rPr>
                <w:rFonts w:hint="eastAsia" w:ascii="宋体" w:hAnsi="宋体" w:eastAsia="宋体" w:cs="宋体"/>
                <w:sz w:val="21"/>
                <w:szCs w:val="21"/>
                <w:highlight w:val="none"/>
              </w:rPr>
              <w:t>-偏差率×100×E1；</w:t>
            </w:r>
          </w:p>
          <w:p w14:paraId="51D10491">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（2）如果投标人的报价≤评标基准价，则报价得分=</w:t>
            </w:r>
            <w:r>
              <w:rPr>
                <w:rFonts w:hint="eastAsia" w:ascii="宋体" w:hAnsi="宋体" w:cs="宋体"/>
                <w:sz w:val="21"/>
                <w:szCs w:val="21"/>
                <w:highlight w:val="none"/>
                <w:lang w:eastAsia="zh-CN"/>
              </w:rPr>
              <w:t>98</w:t>
            </w:r>
            <w:r>
              <w:rPr>
                <w:rFonts w:hint="eastAsia" w:ascii="宋体" w:hAnsi="宋体" w:eastAsia="宋体" w:cs="宋体"/>
                <w:sz w:val="21"/>
                <w:szCs w:val="21"/>
                <w:highlight w:val="none"/>
              </w:rPr>
              <w:t>+偏差率×100×E2；</w:t>
            </w:r>
          </w:p>
          <w:p w14:paraId="0983C377">
            <w:pPr>
              <w:widowControl/>
              <w:shd w:val="clear" w:color="auto" w:fill="FFFFFF"/>
              <w:spacing w:line="400" w:lineRule="exact"/>
              <w:ind w:left="-4" w:leftChars="0" w:right="0" w:rightChars="0" w:firstLine="4"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其中：E1是评标价每高于评标基准价一个百分点的扣分值；E2是评标价每低于评标基准价一个百分点的扣分值。E1=0.9，E2=0.6，扣完为止。评分计算过程中的偏差率和分值计算结果均保留两位小数，第三位四舍五入。</w:t>
            </w:r>
          </w:p>
        </w:tc>
      </w:tr>
      <w:tr w14:paraId="71D4D569">
        <w:tblPrEx>
          <w:tblLayout w:type="fixed"/>
        </w:tblPrEx>
        <w:trPr>
          <w:trHeight w:val="454" w:hRule="atLeast"/>
        </w:trPr>
        <w:tc>
          <w:tcPr>
            <w:tcW w:w="939" w:type="dxa"/>
            <w:tcBorders>
              <w:bottom w:val="single" w:color="000000" w:sz="12" w:space="0"/>
            </w:tcBorders>
            <w:vAlign w:val="center"/>
          </w:tcPr>
          <w:p w14:paraId="432F7A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8275" w:type="dxa"/>
            <w:gridSpan w:val="3"/>
            <w:tcBorders>
              <w:bottom w:val="single" w:color="000000" w:sz="12" w:space="0"/>
            </w:tcBorders>
            <w:vAlign w:val="center"/>
          </w:tcPr>
          <w:p w14:paraId="5ACB8999">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业绩证明材料：</w:t>
            </w:r>
          </w:p>
          <w:p w14:paraId="620086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施工</w:t>
            </w:r>
            <w:r>
              <w:rPr>
                <w:rFonts w:hint="eastAsia" w:ascii="宋体" w:hAnsi="宋体" w:eastAsia="宋体" w:cs="宋体"/>
                <w:color w:val="auto"/>
                <w:sz w:val="21"/>
                <w:szCs w:val="21"/>
                <w:highlight w:val="none"/>
                <w:lang w:val="en-US" w:eastAsia="zh-CN"/>
              </w:rPr>
              <w:t>业绩证明材料须同时提供对应业绩的（下同）中标通知书或直接发包通知书、施工合同、竣工验收证明（竣工验收证明是指由建设单位（或监理）组织工程建设各方验收合格，并签署相应的单位工程质量竣工验收记录或者分部工程质量验收记录等验收文件。竣工验收证明须同时有建设单位、监理单位、设计单位、施工单位、勘察单位盖章）。</w:t>
            </w:r>
          </w:p>
          <w:p w14:paraId="1218B6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维保</w:t>
            </w:r>
            <w:r>
              <w:rPr>
                <w:rFonts w:hint="eastAsia" w:ascii="宋体" w:hAnsi="宋体" w:eastAsia="宋体" w:cs="宋体"/>
                <w:color w:val="auto"/>
                <w:sz w:val="21"/>
                <w:szCs w:val="21"/>
                <w:highlight w:val="none"/>
                <w:lang w:val="en-US" w:eastAsia="zh-CN"/>
              </w:rPr>
              <w:t>业绩证明材料须同时提供对应业绩的中标通知书或直接发包通知书、合同、业主证明</w:t>
            </w:r>
            <w:r>
              <w:rPr>
                <w:rFonts w:hint="eastAsia" w:ascii="宋体" w:hAnsi="宋体" w:cs="宋体"/>
                <w:color w:val="auto"/>
                <w:sz w:val="21"/>
                <w:szCs w:val="21"/>
                <w:highlight w:val="none"/>
                <w:lang w:val="en-US" w:eastAsia="zh-CN"/>
              </w:rPr>
              <w:t>。</w:t>
            </w:r>
          </w:p>
          <w:p w14:paraId="2A7975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②时间以“竣工验收证明”</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业主证明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上注明的竣工验收日期</w:t>
            </w:r>
            <w:r>
              <w:rPr>
                <w:rFonts w:hint="eastAsia" w:ascii="宋体" w:hAnsi="宋体" w:cs="宋体"/>
                <w:color w:val="auto"/>
                <w:sz w:val="21"/>
                <w:szCs w:val="21"/>
                <w:highlight w:val="none"/>
                <w:lang w:val="en-US" w:eastAsia="zh-CN"/>
              </w:rPr>
              <w:t>或服务结束时间</w:t>
            </w:r>
            <w:r>
              <w:rPr>
                <w:rFonts w:hint="eastAsia" w:ascii="宋体" w:hAnsi="宋体" w:eastAsia="宋体" w:cs="宋体"/>
                <w:color w:val="auto"/>
                <w:sz w:val="21"/>
                <w:szCs w:val="21"/>
                <w:highlight w:val="none"/>
                <w:lang w:val="en-US" w:eastAsia="zh-CN"/>
              </w:rPr>
              <w:t>为准(如为分批验收的，时间以竣工验收证明上验收日期在后的为准)。</w:t>
            </w:r>
          </w:p>
          <w:p w14:paraId="269D57E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③工程总承包（EPC或设计施工一体化）业绩及联合体业绩予以认可，但仅认定投标人在该项目中承担的施工部分，如业绩资料中未载明其承担部分的内容的，需提供建设单位出具的相关证明材料，否则不予认可。</w:t>
            </w:r>
          </w:p>
          <w:p w14:paraId="3F99A64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color w:val="auto"/>
                <w:sz w:val="21"/>
                <w:szCs w:val="21"/>
                <w:highlight w:val="none"/>
                <w:lang w:val="en-US" w:eastAsia="zh-CN"/>
              </w:rPr>
              <w:t>④上述业绩证明材料的施工单位名称应与投标人单位名称一致，投标人单位名称变更的，须同时提供变更材料。</w:t>
            </w:r>
          </w:p>
          <w:p w14:paraId="5D2ABA0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highlight w:val="none"/>
              </w:rPr>
            </w:pPr>
            <w:r>
              <w:rPr>
                <w:rFonts w:hint="eastAsia" w:ascii="宋体" w:hAnsi="宋体" w:cs="宋体"/>
                <w:b w:val="0"/>
                <w:bCs w:val="0"/>
                <w:sz w:val="21"/>
                <w:szCs w:val="21"/>
                <w:highlight w:val="none"/>
                <w:lang w:val="en-US" w:eastAsia="zh-CN"/>
              </w:rPr>
              <w:t>⑤</w:t>
            </w:r>
            <w:r>
              <w:rPr>
                <w:rFonts w:hint="eastAsia" w:ascii="宋体" w:hAnsi="宋体" w:eastAsia="宋体" w:cs="宋体"/>
                <w:b w:val="0"/>
                <w:bCs w:val="0"/>
                <w:sz w:val="21"/>
                <w:szCs w:val="21"/>
                <w:highlight w:val="none"/>
                <w:lang w:val="en-US" w:eastAsia="zh-CN"/>
              </w:rPr>
              <w:t>上述业绩证明材料中至少有一项须体现项目负责人姓名，未体现的另须提供业主证明；若项目负责人发生过变更的，该业绩属于变更后的项目负责人，且须提供变更证明文件（或业主证明）。</w:t>
            </w:r>
          </w:p>
        </w:tc>
      </w:tr>
    </w:tbl>
    <w:p w14:paraId="4B3FE9A1">
      <w:pPr>
        <w:spacing w:line="440" w:lineRule="exact"/>
        <w:ind w:right="-739" w:rightChars="-352" w:firstLine="420"/>
        <w:outlineLvl w:val="1"/>
        <w:rPr>
          <w:rFonts w:hint="eastAsia" w:ascii="宋体" w:hAnsi="宋体" w:cs="宋体"/>
          <w:b/>
          <w:bCs/>
          <w:szCs w:val="21"/>
          <w:highlight w:val="none"/>
        </w:rPr>
      </w:pPr>
      <w:r>
        <w:rPr>
          <w:rFonts w:hint="eastAsia" w:ascii="宋体" w:hAnsi="宋体" w:cs="宋体"/>
          <w:b/>
          <w:bCs/>
          <w:szCs w:val="21"/>
          <w:highlight w:val="none"/>
        </w:rPr>
        <w:t>九、中标候选人的确定</w:t>
      </w:r>
      <w:bookmarkEnd w:id="180"/>
      <w:bookmarkEnd w:id="181"/>
      <w:bookmarkEnd w:id="182"/>
      <w:bookmarkEnd w:id="183"/>
    </w:p>
    <w:p w14:paraId="6DF2A3AC">
      <w:pPr>
        <w:spacing w:line="440" w:lineRule="exact"/>
        <w:ind w:right="-739" w:rightChars="-352" w:firstLine="420"/>
        <w:rPr>
          <w:rFonts w:hint="eastAsia" w:ascii="宋体" w:hAnsi="宋体" w:cs="宋体"/>
          <w:bCs/>
          <w:szCs w:val="21"/>
          <w:highlight w:val="none"/>
        </w:rPr>
      </w:pPr>
      <w:r>
        <w:rPr>
          <w:rFonts w:hint="eastAsia" w:ascii="宋体" w:hAnsi="宋体" w:cs="宋体"/>
          <w:bCs/>
          <w:szCs w:val="21"/>
          <w:highlight w:val="none"/>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107DE3B1">
      <w:pPr>
        <w:spacing w:line="440" w:lineRule="exact"/>
        <w:ind w:right="-739" w:rightChars="-352" w:firstLine="420"/>
        <w:rPr>
          <w:rFonts w:hint="eastAsia" w:ascii="宋体" w:hAnsi="宋体" w:cs="宋体"/>
          <w:b/>
          <w:bCs/>
          <w:szCs w:val="21"/>
          <w:highlight w:val="none"/>
        </w:rPr>
      </w:pPr>
      <w:r>
        <w:rPr>
          <w:rFonts w:hint="eastAsia" w:ascii="宋体" w:hAnsi="宋体" w:cs="宋体"/>
          <w:szCs w:val="21"/>
          <w:highlight w:val="none"/>
        </w:rPr>
        <w:t>评委会汇总各评委评分后，推荐得分最高的投标人为中标候选人。如出现相同最高分，按投标报价低的推荐为中标候选人；如得分且投标报价相同的，由招标人抽签确定中标候选人。</w:t>
      </w:r>
    </w:p>
    <w:p w14:paraId="4894A77C">
      <w:pPr>
        <w:spacing w:line="440" w:lineRule="exact"/>
        <w:ind w:right="-739" w:rightChars="-352" w:firstLine="420"/>
        <w:outlineLvl w:val="1"/>
        <w:rPr>
          <w:rFonts w:hint="eastAsia" w:ascii="宋体" w:hAnsi="宋体" w:cs="宋体"/>
          <w:b/>
          <w:bCs/>
          <w:szCs w:val="21"/>
          <w:highlight w:val="none"/>
        </w:rPr>
      </w:pPr>
      <w:bookmarkStart w:id="184" w:name="_Toc12429"/>
      <w:bookmarkStart w:id="185" w:name="_Toc7798"/>
      <w:bookmarkStart w:id="186" w:name="_Toc9082"/>
      <w:bookmarkStart w:id="187" w:name="_Toc6820"/>
      <w:r>
        <w:rPr>
          <w:rFonts w:hint="eastAsia" w:ascii="宋体" w:hAnsi="宋体" w:cs="宋体"/>
          <w:b/>
          <w:bCs/>
          <w:szCs w:val="21"/>
          <w:highlight w:val="none"/>
        </w:rPr>
        <w:t>十、注意事项</w:t>
      </w:r>
      <w:bookmarkEnd w:id="184"/>
      <w:bookmarkEnd w:id="185"/>
      <w:bookmarkEnd w:id="186"/>
      <w:bookmarkEnd w:id="187"/>
    </w:p>
    <w:p w14:paraId="09EA2401">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1、在投标、开标时间，投标人不得向评委询问情况，不得进行旨在影响评标结果的活动。</w:t>
      </w:r>
    </w:p>
    <w:p w14:paraId="7673F9AD">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2、评委会不得向投标人解释落标原因。</w:t>
      </w:r>
    </w:p>
    <w:p w14:paraId="5A3E4E58">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3、在投标、评标过程中，如果投标人联合故意抬高报价或出现其他不正当行为，招标人有权中止投标或评标。</w:t>
      </w:r>
    </w:p>
    <w:p w14:paraId="23506069">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4、凡在投标、开标过程中，招标人已提示是否异议的事项，投标人当时没有提出异议的，事后投标人不得针对上述事项提出质疑。比如：招标人在开标中提示评委是否回避，投标人现场未提出异议的，事后不得针对评委回避事项提出质疑。</w:t>
      </w:r>
    </w:p>
    <w:p w14:paraId="5D8F58D6">
      <w:pPr>
        <w:spacing w:line="440" w:lineRule="exact"/>
        <w:ind w:right="-739" w:rightChars="-352" w:firstLine="420"/>
        <w:outlineLvl w:val="1"/>
        <w:rPr>
          <w:rFonts w:hint="eastAsia" w:ascii="宋体" w:hAnsi="宋体" w:cs="宋体"/>
          <w:b/>
          <w:bCs/>
          <w:szCs w:val="21"/>
          <w:highlight w:val="none"/>
        </w:rPr>
      </w:pPr>
      <w:bookmarkStart w:id="188" w:name="_Toc7762"/>
      <w:bookmarkStart w:id="189" w:name="_Toc30689"/>
      <w:bookmarkStart w:id="190" w:name="_Toc23969"/>
      <w:bookmarkStart w:id="191" w:name="_Toc13957"/>
      <w:r>
        <w:rPr>
          <w:rFonts w:hint="eastAsia" w:ascii="宋体" w:hAnsi="宋体" w:cs="宋体"/>
          <w:b/>
          <w:bCs/>
          <w:szCs w:val="21"/>
          <w:highlight w:val="none"/>
        </w:rPr>
        <w:t>十一、合同授予</w:t>
      </w:r>
      <w:bookmarkEnd w:id="188"/>
      <w:bookmarkEnd w:id="189"/>
      <w:bookmarkEnd w:id="190"/>
      <w:bookmarkEnd w:id="191"/>
    </w:p>
    <w:p w14:paraId="5F4FE886">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1、中标候选人公示</w:t>
      </w:r>
    </w:p>
    <w:p w14:paraId="17985445">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招标人在收到评标报告之日起3日内，在南通轨道交通集团有限公司官网、中国招标投标公共服务平台公示中标候选人，公示期不得少于3天。</w:t>
      </w:r>
    </w:p>
    <w:p w14:paraId="49E58AA5">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2、评标结果异议</w:t>
      </w:r>
    </w:p>
    <w:p w14:paraId="0604C2E6">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投标人或者其他利害关系人对评标结果有异议的，应当在中标候选人公示期间提出。招标人将在收到异议之日起 3 日内作出答复；作出答复前，将暂停招标投标活动。</w:t>
      </w:r>
    </w:p>
    <w:p w14:paraId="7FB594B1">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3、中标通知书</w:t>
      </w:r>
    </w:p>
    <w:p w14:paraId="741651C5">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在本项目的投标有效期内，招标人以书面形式向中标人发出中标通知书。</w:t>
      </w:r>
    </w:p>
    <w:p w14:paraId="174BDBFE">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4、履约保证金</w:t>
      </w:r>
    </w:p>
    <w:p w14:paraId="544368A1">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中标人在接到中标通知书10日内，签订合同之前提交履约保证金，履约保证金采用银行转账或履约保函形式（格式详见</w:t>
      </w:r>
      <w:r>
        <w:rPr>
          <w:rFonts w:hint="eastAsia" w:ascii="宋体" w:hAnsi="宋体" w:cs="宋体"/>
          <w:szCs w:val="21"/>
          <w:highlight w:val="none"/>
          <w:lang w:val="en-US" w:eastAsia="zh-CN"/>
        </w:rPr>
        <w:t>合同</w:t>
      </w:r>
      <w:r>
        <w:rPr>
          <w:rFonts w:hint="eastAsia" w:ascii="宋体" w:hAnsi="宋体" w:cs="宋体"/>
          <w:szCs w:val="21"/>
          <w:highlight w:val="none"/>
        </w:rPr>
        <w:t>附件），履约保证金为中标合同金额的</w:t>
      </w:r>
      <w:r>
        <w:rPr>
          <w:rFonts w:hint="eastAsia" w:ascii="宋体" w:hAnsi="宋体" w:cs="宋体"/>
          <w:szCs w:val="21"/>
          <w:highlight w:val="none"/>
          <w:u w:val="single"/>
        </w:rPr>
        <w:t>5%</w:t>
      </w:r>
      <w:r>
        <w:rPr>
          <w:rFonts w:hint="eastAsia" w:ascii="宋体" w:hAnsi="宋体" w:cs="宋体"/>
          <w:szCs w:val="21"/>
          <w:highlight w:val="none"/>
        </w:rPr>
        <w:t>。</w:t>
      </w:r>
    </w:p>
    <w:p w14:paraId="3911BBA9">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未按招标文件规定提交履约保证金，招标人将取消其中标资格。</w:t>
      </w:r>
    </w:p>
    <w:p w14:paraId="78590DB2">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5、签订合同</w:t>
      </w:r>
    </w:p>
    <w:p w14:paraId="0B6F5490">
      <w:pPr>
        <w:spacing w:line="440" w:lineRule="exact"/>
        <w:ind w:right="-739" w:rightChars="-352" w:firstLine="420"/>
        <w:rPr>
          <w:rFonts w:hint="eastAsia" w:ascii="宋体" w:hAnsi="宋体" w:cs="宋体"/>
          <w:szCs w:val="21"/>
          <w:highlight w:val="none"/>
        </w:rPr>
      </w:pPr>
      <w:r>
        <w:rPr>
          <w:rFonts w:hint="eastAsia" w:ascii="宋体" w:hAnsi="宋体" w:cs="宋体"/>
          <w:szCs w:val="21"/>
          <w:highlight w:val="none"/>
        </w:rPr>
        <w:t>招标人和中标人应当自中标通知书发出之日起30天内，根据招标文件和中标人的投标文件订立书面合同。中标人无正当理由拒签合同的，招标人取消其中标资格；给招标人造成的损失的，中标人还应当予以赔偿。</w:t>
      </w:r>
    </w:p>
    <w:p w14:paraId="1648D1E9">
      <w:pPr>
        <w:spacing w:line="440" w:lineRule="exact"/>
        <w:ind w:right="-739" w:rightChars="-352" w:firstLine="420"/>
        <w:rPr>
          <w:rFonts w:hint="eastAsia" w:ascii="宋体" w:hAnsi="宋体" w:eastAsia="宋体" w:cs="宋体"/>
          <w:sz w:val="21"/>
          <w:szCs w:val="21"/>
          <w:highlight w:val="none"/>
        </w:rPr>
      </w:pPr>
      <w:r>
        <w:rPr>
          <w:rFonts w:hint="eastAsia" w:ascii="宋体" w:hAnsi="宋体" w:cs="宋体"/>
          <w:szCs w:val="21"/>
          <w:highlight w:val="none"/>
        </w:rPr>
        <w:t>发出中标通知书后，招标人无正当理由拒签合同，或者在签订合同时向中标人提出附加条件的，给中标人造成损失的，应当赔偿损失。</w:t>
      </w:r>
      <w:r>
        <w:rPr>
          <w:rFonts w:hint="eastAsia" w:ascii="宋体" w:hAnsi="宋体" w:cs="宋体"/>
          <w:b/>
          <w:sz w:val="24"/>
          <w:highlight w:val="none"/>
        </w:rPr>
        <w:br w:type="page"/>
      </w:r>
      <w:bookmarkStart w:id="192" w:name="_Toc26644"/>
      <w:bookmarkStart w:id="193" w:name="_Toc8456"/>
      <w:bookmarkStart w:id="194" w:name="_Toc26394"/>
      <w:bookmarkStart w:id="195" w:name="_Toc26066"/>
      <w:bookmarkStart w:id="196" w:name="_Toc30950"/>
      <w:bookmarkStart w:id="197" w:name="_Toc2576"/>
      <w:bookmarkStart w:id="198" w:name="_Toc26011"/>
      <w:bookmarkStart w:id="199" w:name="_Toc27827"/>
      <w:r>
        <w:rPr>
          <w:rFonts w:hint="eastAsia" w:ascii="宋体" w:hAnsi="宋体" w:eastAsia="宋体" w:cs="宋体"/>
          <w:kern w:val="0"/>
          <w:sz w:val="21"/>
          <w:szCs w:val="21"/>
          <w:highlight w:val="none"/>
        </w:rPr>
        <w:t xml:space="preserve">附件 A </w:t>
      </w:r>
    </w:p>
    <w:p w14:paraId="23A4E190">
      <w:pPr>
        <w:widowControl/>
        <w:ind w:right="-739" w:rightChars="-352"/>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评标入围方法</w:t>
      </w:r>
    </w:p>
    <w:p w14:paraId="6B038B16">
      <w:pPr>
        <w:widowControl/>
        <w:spacing w:line="360" w:lineRule="auto"/>
        <w:ind w:right="-739" w:rightChars="-352" w:firstLine="420" w:firstLineChars="199"/>
        <w:rPr>
          <w:rFonts w:hint="eastAsia" w:ascii="宋体" w:hAnsi="宋体" w:eastAsia="宋体" w:cs="宋体"/>
          <w:b/>
          <w:kern w:val="0"/>
          <w:sz w:val="21"/>
          <w:szCs w:val="21"/>
          <w:highlight w:val="none"/>
        </w:rPr>
      </w:pPr>
    </w:p>
    <w:p w14:paraId="60529FD1">
      <w:pPr>
        <w:widowControl/>
        <w:tabs>
          <w:tab w:val="left" w:pos="8820"/>
        </w:tabs>
        <w:spacing w:line="360" w:lineRule="auto"/>
        <w:ind w:right="-739" w:rightChars="-352"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方法一：全部入围。 </w:t>
      </w:r>
    </w:p>
    <w:p w14:paraId="452BDE5A">
      <w:pPr>
        <w:widowControl/>
        <w:tabs>
          <w:tab w:val="left" w:pos="8820"/>
        </w:tabs>
        <w:spacing w:line="360" w:lineRule="auto"/>
        <w:ind w:right="-739" w:rightChars="-352"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进入评标入围环节的投标人全部进入后续评标程序。 </w:t>
      </w:r>
    </w:p>
    <w:p w14:paraId="55017C2B">
      <w:pPr>
        <w:ind w:right="-739" w:rightChars="-352"/>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br w:type="page"/>
      </w:r>
    </w:p>
    <w:p w14:paraId="228BA61A">
      <w:pPr>
        <w:ind w:right="-739" w:rightChars="-352"/>
        <w:rPr>
          <w:rFonts w:hint="eastAsia" w:ascii="宋体" w:hAnsi="宋体" w:eastAsia="宋体" w:cs="宋体"/>
          <w:bCs/>
          <w:sz w:val="21"/>
          <w:szCs w:val="21"/>
          <w:highlight w:val="none"/>
        </w:rPr>
      </w:pPr>
      <w:r>
        <w:rPr>
          <w:rFonts w:hint="eastAsia" w:ascii="宋体" w:hAnsi="宋体" w:eastAsia="宋体" w:cs="宋体"/>
          <w:bCs/>
          <w:kern w:val="0"/>
          <w:sz w:val="21"/>
          <w:szCs w:val="21"/>
          <w:highlight w:val="none"/>
        </w:rPr>
        <w:t xml:space="preserve">附件 B </w:t>
      </w:r>
    </w:p>
    <w:p w14:paraId="0312D11E">
      <w:pPr>
        <w:widowControl/>
        <w:ind w:right="-739" w:rightChars="-352"/>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评标基准价的计算</w:t>
      </w:r>
    </w:p>
    <w:p w14:paraId="3192429E">
      <w:pPr>
        <w:widowControl/>
        <w:spacing w:line="360" w:lineRule="auto"/>
        <w:ind w:right="-739" w:rightChars="-352" w:firstLine="417" w:firstLineChars="199"/>
        <w:rPr>
          <w:rFonts w:hint="eastAsia" w:ascii="宋体" w:hAnsi="宋体" w:eastAsia="宋体" w:cs="宋体"/>
          <w:kern w:val="0"/>
          <w:sz w:val="21"/>
          <w:szCs w:val="21"/>
          <w:highlight w:val="none"/>
        </w:rPr>
      </w:pPr>
    </w:p>
    <w:p w14:paraId="7CD6B6E6">
      <w:pPr>
        <w:widowControl/>
        <w:tabs>
          <w:tab w:val="left" w:pos="8820"/>
        </w:tabs>
        <w:spacing w:line="360" w:lineRule="auto"/>
        <w:ind w:right="-739" w:rightChars="-352"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方法一：以有效投标文件（有效投标文件是指初步评审合格的投标文件，下同）的评标价（评标价是指经澄清、补正和修正算术计算错误的投标报价，下同）算术平均值为A[当有效投标文件≥7家时，去掉最高和最低20%（四舍五入取整，末位投标报价相同的均保留）后进行平均；当有效投标文件4-6家时，剔除最高报价（最高报价相同的均剔除）后进行算术平均；当有效投标文件＜4家时，则次低报价作为投标平均价A]。</w:t>
      </w:r>
    </w:p>
    <w:p w14:paraId="31945A1F">
      <w:pPr>
        <w:widowControl/>
        <w:tabs>
          <w:tab w:val="left" w:pos="8820"/>
        </w:tabs>
        <w:spacing w:line="360" w:lineRule="auto"/>
        <w:ind w:right="-739" w:rightChars="-352"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评标基准价 =A×K，K 值在开标时由招标人代表随机抽取确定，K值的取值范围为95%-98%。 </w:t>
      </w:r>
    </w:p>
    <w:p w14:paraId="105E90A1">
      <w:pPr>
        <w:widowControl/>
        <w:tabs>
          <w:tab w:val="left" w:pos="8820"/>
        </w:tabs>
        <w:spacing w:line="360" w:lineRule="auto"/>
        <w:ind w:right="-739" w:rightChars="-352"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方法二：以有效投标文件的评标价算术平均值为A[当有效投标文件≥7家时，去掉最高和最低20%（四舍五入取整）后进行平均；当有效投标文件4-6家时，剔除最高报价（最高报价相同的均剔除）后进行算术平均；当有效投标文件＜4家时，则次低报价作为投标平均价A]，招标控制价为B，则：</w:t>
      </w:r>
    </w:p>
    <w:p w14:paraId="7FB90F49">
      <w:pPr>
        <w:widowControl/>
        <w:tabs>
          <w:tab w:val="left" w:pos="8820"/>
        </w:tabs>
        <w:spacing w:line="360" w:lineRule="auto"/>
        <w:ind w:right="-739" w:rightChars="-352"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评标基准价=A×K1×Q1+B×K2×Q2 </w:t>
      </w:r>
    </w:p>
    <w:p w14:paraId="359B5B3F">
      <w:pPr>
        <w:widowControl/>
        <w:tabs>
          <w:tab w:val="left" w:pos="8820"/>
        </w:tabs>
        <w:spacing w:line="360" w:lineRule="auto"/>
        <w:ind w:right="-739" w:rightChars="-352" w:firstLine="420" w:firstLineChars="200"/>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Q2=1-Q1, Q1 取值范围为 65%～85%；K1 的取值范围为 95%～98%；Q1、K1 值在开标时由招标人代表随机抽取确定。K2 的取值范围由招标人在招标文件中明确。</w:t>
      </w:r>
    </w:p>
    <w:p w14:paraId="655B2BAC">
      <w:pPr>
        <w:rPr>
          <w:rFonts w:hint="eastAsia" w:ascii="宋体" w:hAnsi="宋体" w:cs="宋体"/>
          <w:b/>
          <w:sz w:val="24"/>
          <w:highlight w:val="none"/>
        </w:rPr>
      </w:pPr>
      <w:r>
        <w:rPr>
          <w:rFonts w:hint="eastAsia" w:ascii="宋体" w:hAnsi="宋体" w:cs="宋体"/>
          <w:b/>
          <w:sz w:val="24"/>
          <w:highlight w:val="none"/>
        </w:rPr>
        <w:br w:type="page"/>
      </w:r>
    </w:p>
    <w:p w14:paraId="3DFBC08B">
      <w:pPr>
        <w:spacing w:line="440" w:lineRule="exact"/>
        <w:ind w:right="-739" w:rightChars="-352"/>
        <w:jc w:val="center"/>
        <w:outlineLvl w:val="0"/>
        <w:rPr>
          <w:rFonts w:hint="default" w:ascii="宋体" w:hAnsi="宋体" w:eastAsia="宋体" w:cs="宋体"/>
          <w:b/>
          <w:bCs/>
          <w:sz w:val="32"/>
          <w:szCs w:val="32"/>
          <w:highlight w:val="none"/>
          <w:lang w:val="en-US" w:eastAsia="zh-CN"/>
        </w:rPr>
      </w:pPr>
      <w:bookmarkStart w:id="200" w:name="_Toc24646"/>
      <w:r>
        <w:rPr>
          <w:rFonts w:hint="eastAsia" w:ascii="宋体" w:hAnsi="宋体" w:cs="宋体"/>
          <w:b/>
          <w:bCs/>
          <w:sz w:val="32"/>
          <w:szCs w:val="32"/>
          <w:highlight w:val="none"/>
          <w:lang w:eastAsia="zh-CN"/>
        </w:rPr>
        <w:t>第</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lang w:eastAsia="zh-CN"/>
        </w:rPr>
        <w:t>章</w:t>
      </w:r>
      <w:r>
        <w:rPr>
          <w:rFonts w:hint="eastAsia" w:ascii="宋体" w:hAnsi="宋体" w:cs="宋体"/>
          <w:b/>
          <w:bCs/>
          <w:sz w:val="32"/>
          <w:szCs w:val="32"/>
          <w:highlight w:val="none"/>
        </w:rPr>
        <w:t xml:space="preserve">  </w:t>
      </w:r>
      <w:r>
        <w:rPr>
          <w:rFonts w:hint="eastAsia" w:ascii="宋体" w:hAnsi="宋体" w:cs="宋体"/>
          <w:b/>
          <w:bCs/>
          <w:sz w:val="32"/>
          <w:szCs w:val="32"/>
          <w:highlight w:val="none"/>
          <w:lang w:val="en-US" w:eastAsia="zh-CN"/>
        </w:rPr>
        <w:t>用户需求书</w:t>
      </w:r>
      <w:bookmarkEnd w:id="192"/>
      <w:bookmarkEnd w:id="200"/>
    </w:p>
    <w:p w14:paraId="067BB74F">
      <w:pPr>
        <w:widowControl/>
        <w:spacing w:line="440" w:lineRule="exact"/>
        <w:ind w:right="-739" w:rightChars="-352" w:firstLine="420" w:firstLineChars="200"/>
        <w:jc w:val="left"/>
        <w:rPr>
          <w:rFonts w:hint="eastAsia" w:ascii="宋体" w:hAnsi="宋体" w:cs="宋体"/>
          <w:color w:val="000008"/>
          <w:kern w:val="0"/>
          <w:szCs w:val="21"/>
          <w:highlight w:val="none"/>
          <w:lang w:val="en-US" w:eastAsia="zh-CN" w:bidi="ar"/>
        </w:rPr>
      </w:pPr>
    </w:p>
    <w:p w14:paraId="0B385799">
      <w:pPr>
        <w:widowControl/>
        <w:spacing w:line="440" w:lineRule="exact"/>
        <w:ind w:right="-739" w:rightChars="-352" w:firstLine="420" w:firstLineChars="200"/>
        <w:jc w:val="left"/>
        <w:rPr>
          <w:rFonts w:hint="eastAsia" w:ascii="宋体" w:hAnsi="宋体" w:eastAsia="宋体" w:cs="宋体"/>
          <w:color w:val="000008"/>
          <w:kern w:val="0"/>
          <w:szCs w:val="21"/>
          <w:highlight w:val="none"/>
          <w:lang w:val="en-US" w:eastAsia="zh-CN" w:bidi="ar"/>
        </w:rPr>
      </w:pPr>
      <w:r>
        <w:rPr>
          <w:rFonts w:hint="eastAsia" w:ascii="宋体" w:hAnsi="宋体" w:cs="宋体"/>
          <w:color w:val="000008"/>
          <w:kern w:val="0"/>
          <w:szCs w:val="21"/>
          <w:highlight w:val="none"/>
          <w:lang w:val="en-US" w:eastAsia="zh-CN" w:bidi="ar"/>
        </w:rPr>
        <w:t>另册，投标人在公告下方自行下载。</w:t>
      </w:r>
    </w:p>
    <w:p w14:paraId="6FC532AE">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7290DDC0">
      <w:pPr>
        <w:spacing w:line="440" w:lineRule="exact"/>
        <w:ind w:right="-739" w:rightChars="-352"/>
        <w:jc w:val="center"/>
        <w:outlineLvl w:val="0"/>
        <w:rPr>
          <w:rFonts w:hint="eastAsia" w:ascii="宋体" w:hAnsi="宋体" w:eastAsia="宋体" w:cs="宋体"/>
          <w:b/>
          <w:bCs/>
          <w:sz w:val="32"/>
          <w:szCs w:val="32"/>
          <w:highlight w:val="none"/>
          <w:lang w:val="en-US" w:eastAsia="zh-CN"/>
        </w:rPr>
      </w:pPr>
      <w:bookmarkStart w:id="201" w:name="_Toc10008"/>
      <w:bookmarkStart w:id="202" w:name="_Toc11604"/>
      <w:bookmarkStart w:id="203" w:name="_Toc4592"/>
      <w:r>
        <w:rPr>
          <w:rFonts w:hint="eastAsia" w:ascii="宋体" w:hAnsi="宋体" w:eastAsia="宋体" w:cs="宋体"/>
          <w:b/>
          <w:bCs/>
          <w:sz w:val="32"/>
          <w:szCs w:val="32"/>
          <w:highlight w:val="none"/>
          <w:lang w:val="zh-CN" w:eastAsia="zh-CN"/>
        </w:rPr>
        <w:t>第</w:t>
      </w:r>
      <w:r>
        <w:rPr>
          <w:rFonts w:hint="eastAsia" w:ascii="宋体" w:hAnsi="宋体" w:eastAsia="宋体" w:cs="宋体"/>
          <w:b/>
          <w:bCs/>
          <w:sz w:val="32"/>
          <w:szCs w:val="32"/>
          <w:highlight w:val="none"/>
          <w:lang w:val="en-US" w:eastAsia="zh-CN"/>
        </w:rPr>
        <w:t>五</w:t>
      </w:r>
      <w:r>
        <w:rPr>
          <w:rFonts w:hint="eastAsia" w:ascii="宋体" w:hAnsi="宋体" w:eastAsia="宋体" w:cs="宋体"/>
          <w:b/>
          <w:bCs/>
          <w:sz w:val="32"/>
          <w:szCs w:val="32"/>
          <w:highlight w:val="none"/>
          <w:lang w:val="zh-CN" w:eastAsia="zh-CN"/>
        </w:rPr>
        <w:t>章  工程量清单</w:t>
      </w:r>
      <w:bookmarkEnd w:id="201"/>
      <w:bookmarkEnd w:id="202"/>
      <w:r>
        <w:rPr>
          <w:rFonts w:hint="eastAsia" w:ascii="宋体" w:hAnsi="宋体" w:eastAsia="宋体" w:cs="宋体"/>
          <w:b/>
          <w:bCs/>
          <w:sz w:val="32"/>
          <w:szCs w:val="32"/>
          <w:highlight w:val="none"/>
          <w:lang w:val="en-US" w:eastAsia="zh-CN"/>
        </w:rPr>
        <w:t>及招标控制价</w:t>
      </w:r>
    </w:p>
    <w:p w14:paraId="2698D15A">
      <w:pPr>
        <w:keepNext w:val="0"/>
        <w:keepLines w:val="0"/>
        <w:pageBreakBefore w:val="0"/>
        <w:widowControl w:val="0"/>
        <w:kinsoku/>
        <w:wordWrap/>
        <w:overflowPunct/>
        <w:topLinePunct w:val="0"/>
        <w:autoSpaceDE w:val="0"/>
        <w:autoSpaceDN w:val="0"/>
        <w:bidi w:val="0"/>
        <w:adjustRightInd w:val="0"/>
        <w:snapToGrid/>
        <w:spacing w:line="440" w:lineRule="exact"/>
        <w:ind w:right="-521" w:rightChars="-248"/>
        <w:jc w:val="left"/>
        <w:textAlignment w:val="auto"/>
        <w:outlineLvl w:val="1"/>
        <w:rPr>
          <w:rFonts w:hint="eastAsia" w:ascii="宋体" w:hAnsi="宋体" w:eastAsia="宋体" w:cs="宋体"/>
          <w:b/>
          <w:bCs/>
          <w:color w:val="auto"/>
          <w:kern w:val="0"/>
          <w:sz w:val="21"/>
          <w:szCs w:val="21"/>
          <w:highlight w:val="none"/>
          <w:lang w:eastAsia="zh-CN"/>
        </w:rPr>
      </w:pPr>
      <w:bookmarkStart w:id="204" w:name="_Toc22514"/>
      <w:bookmarkStart w:id="205" w:name="_Toc18151"/>
      <w:bookmarkStart w:id="206" w:name="_Toc10621"/>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lang w:eastAsia="zh-CN"/>
        </w:rPr>
        <w:t>现场条件</w:t>
      </w:r>
      <w:bookmarkEnd w:id="204"/>
      <w:bookmarkEnd w:id="205"/>
      <w:bookmarkEnd w:id="206"/>
    </w:p>
    <w:p w14:paraId="489A0358">
      <w:pPr>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（1）施工现场拆迁及平整情况：具备施工条件。</w:t>
      </w:r>
    </w:p>
    <w:p w14:paraId="070024AE">
      <w:pPr>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（2）施工用水、电：施工用水、用电由承包人自行考虑，费用计入报价。</w:t>
      </w:r>
    </w:p>
    <w:p w14:paraId="234C9A27">
      <w:pPr>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（3）场内外道路：场内、外道路已通。施工便道由投标人自行考虑，并列入投标报价，工程结算时不作调整。</w:t>
      </w:r>
    </w:p>
    <w:p w14:paraId="32F7A239">
      <w:pPr>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其他：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p>
    <w:p w14:paraId="4ABDC111">
      <w:pPr>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做调整，并无条件接受发包单位的协调、管理。投标人务必自行认真踏勘现场条件，如若对现场施工条件有疑问，请在提交疑问截止时间之前提出，否则视同认可。一旦中标不得对现场条件提出额外要求，且不得要求增加费用。</w:t>
      </w:r>
    </w:p>
    <w:p w14:paraId="3562C571">
      <w:pPr>
        <w:keepNext w:val="0"/>
        <w:keepLines w:val="0"/>
        <w:pageBreakBefore w:val="0"/>
        <w:widowControl w:val="0"/>
        <w:kinsoku/>
        <w:wordWrap/>
        <w:overflowPunct/>
        <w:topLinePunct w:val="0"/>
        <w:autoSpaceDE w:val="0"/>
        <w:autoSpaceDN w:val="0"/>
        <w:bidi w:val="0"/>
        <w:adjustRightInd w:val="0"/>
        <w:snapToGrid/>
        <w:spacing w:line="440" w:lineRule="exact"/>
        <w:ind w:right="-521" w:rightChars="-248"/>
        <w:jc w:val="left"/>
        <w:textAlignment w:val="auto"/>
        <w:outlineLvl w:val="1"/>
        <w:rPr>
          <w:rFonts w:hint="eastAsia" w:ascii="宋体" w:hAnsi="宋体" w:eastAsia="宋体" w:cs="宋体"/>
          <w:b/>
          <w:bCs/>
          <w:color w:val="auto"/>
          <w:kern w:val="0"/>
          <w:sz w:val="21"/>
          <w:szCs w:val="21"/>
          <w:highlight w:val="none"/>
          <w:lang w:val="en-US" w:eastAsia="zh-CN"/>
        </w:rPr>
      </w:pPr>
      <w:bookmarkStart w:id="207" w:name="_Toc351"/>
      <w:bookmarkStart w:id="208" w:name="_Toc14572"/>
      <w:bookmarkStart w:id="209" w:name="_Toc11254"/>
      <w:r>
        <w:rPr>
          <w:rFonts w:hint="eastAsia" w:ascii="宋体" w:hAnsi="宋体" w:eastAsia="宋体" w:cs="宋体"/>
          <w:b/>
          <w:bCs/>
          <w:color w:val="auto"/>
          <w:kern w:val="0"/>
          <w:sz w:val="21"/>
          <w:szCs w:val="21"/>
          <w:highlight w:val="none"/>
          <w:lang w:val="en-US" w:eastAsia="zh-CN"/>
        </w:rPr>
        <w:t>2、招标控制价编制依据</w:t>
      </w:r>
      <w:bookmarkEnd w:id="207"/>
      <w:bookmarkEnd w:id="208"/>
      <w:bookmarkEnd w:id="209"/>
    </w:p>
    <w:p w14:paraId="6B91E6FA">
      <w:pPr>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（1）本工程施工图及其工程量清单。</w:t>
      </w:r>
    </w:p>
    <w:p w14:paraId="051847A8">
      <w:pPr>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建筑工程工程量清单计价规范》GB50500-2013及配套的工程量计算规范、《江苏省建筑与装饰工程计价定额》2014年版、《江苏省建设工程费用定额》（2014年）以及相应的补充规定和省市颁布的有关工程造价文件。</w:t>
      </w:r>
    </w:p>
    <w:p w14:paraId="5962295A">
      <w:pPr>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（3）《省住房和城乡建设厅关于发布 2025年下半年建设工程人工工资指导价的通知》（苏建价〔2025〕273号），材料价格参照 2025年第1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期《南通建设工程造价信息》中的信息价及市场价。若《南通建设工程造价信息》无信息价的材料的价格，则按市场价执行。《省住房城乡建设厅关于调整建设工程按质论价等费用计取方法的公告》（[2018]第24号）。</w:t>
      </w:r>
    </w:p>
    <w:p w14:paraId="0A8D6D1F">
      <w:pPr>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本工程采用一般计税方法，具体按“省住房和城乡建设厅关于建筑业实施营改增后江苏省建设工程计价依据调整的通知”苏建价〔2016〕154号文、《省住房城乡建设厅关于调整建设工程计价增值税税率的通知》 苏建函价〔2019〕178号 以及相应的补充规定和南通市现行的有关文件。</w:t>
      </w:r>
    </w:p>
    <w:p w14:paraId="51EDD937">
      <w:pPr>
        <w:keepNext w:val="0"/>
        <w:keepLines w:val="0"/>
        <w:pageBreakBefore w:val="0"/>
        <w:widowControl w:val="0"/>
        <w:kinsoku/>
        <w:wordWrap/>
        <w:overflowPunct/>
        <w:topLinePunct w:val="0"/>
        <w:autoSpaceDE/>
        <w:autoSpaceDN/>
        <w:bidi w:val="0"/>
        <w:adjustRightInd/>
        <w:snapToGrid/>
        <w:spacing w:line="440" w:lineRule="exact"/>
        <w:ind w:right="-521" w:rightChars="-248"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（5）本工程不可竞争费用项目及其费率见下表（%）：</w:t>
      </w:r>
    </w:p>
    <w:p w14:paraId="57E489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p>
    <w:tbl>
      <w:tblPr>
        <w:tblStyle w:val="50"/>
        <w:tblW w:w="88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1"/>
        <w:gridCol w:w="1315"/>
        <w:gridCol w:w="2461"/>
        <w:gridCol w:w="1981"/>
        <w:gridCol w:w="1168"/>
        <w:gridCol w:w="1159"/>
      </w:tblGrid>
      <w:tr w14:paraId="5AF4A66B">
        <w:tblPrEx>
          <w:tblLayout w:type="fixed"/>
        </w:tblPrEx>
        <w:trPr>
          <w:trHeight w:val="554" w:hRule="atLeast"/>
        </w:trPr>
        <w:tc>
          <w:tcPr>
            <w:tcW w:w="731" w:type="dxa"/>
            <w:vAlign w:val="top"/>
          </w:tcPr>
          <w:p w14:paraId="09B5F056">
            <w:pPr>
              <w:pStyle w:val="52"/>
              <w:keepNext w:val="0"/>
              <w:keepLines w:val="0"/>
              <w:pageBreakBefore w:val="0"/>
              <w:widowControl w:val="0"/>
              <w:kinsoku/>
              <w:wordWrap/>
              <w:overflowPunct/>
              <w:topLinePunct w:val="0"/>
              <w:autoSpaceDE/>
              <w:autoSpaceDN/>
              <w:bidi w:val="0"/>
              <w:adjustRightInd/>
              <w:snapToGrid/>
              <w:spacing w:line="440" w:lineRule="exact"/>
              <w:ind w:left="11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1315" w:type="dxa"/>
            <w:vAlign w:val="top"/>
          </w:tcPr>
          <w:p w14:paraId="3D6ED84B">
            <w:pPr>
              <w:pStyle w:val="52"/>
              <w:keepNext w:val="0"/>
              <w:keepLines w:val="0"/>
              <w:pageBreakBefore w:val="0"/>
              <w:widowControl w:val="0"/>
              <w:kinsoku/>
              <w:wordWrap/>
              <w:overflowPunct/>
              <w:topLinePunct w:val="0"/>
              <w:autoSpaceDE/>
              <w:autoSpaceDN/>
              <w:bidi w:val="0"/>
              <w:adjustRightInd/>
              <w:snapToGrid/>
              <w:spacing w:line="440" w:lineRule="exact"/>
              <w:ind w:left="12" w:leftChars="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费用类别</w:t>
            </w:r>
          </w:p>
        </w:tc>
        <w:tc>
          <w:tcPr>
            <w:tcW w:w="2461" w:type="dxa"/>
            <w:vAlign w:val="top"/>
          </w:tcPr>
          <w:p w14:paraId="47AC55FE">
            <w:pPr>
              <w:pStyle w:val="52"/>
              <w:keepNext w:val="0"/>
              <w:keepLines w:val="0"/>
              <w:pageBreakBefore w:val="0"/>
              <w:widowControl w:val="0"/>
              <w:kinsoku/>
              <w:wordWrap/>
              <w:overflowPunct/>
              <w:topLinePunct w:val="0"/>
              <w:autoSpaceDE/>
              <w:autoSpaceDN/>
              <w:bidi w:val="0"/>
              <w:adjustRightInd/>
              <w:snapToGrid/>
              <w:spacing w:line="440" w:lineRule="exact"/>
              <w:ind w:left="-216" w:leftChars="-103" w:firstLine="216" w:firstLineChars="10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费用名称</w:t>
            </w:r>
          </w:p>
        </w:tc>
        <w:tc>
          <w:tcPr>
            <w:tcW w:w="1981" w:type="dxa"/>
            <w:vAlign w:val="top"/>
          </w:tcPr>
          <w:p w14:paraId="6E486F0C">
            <w:pPr>
              <w:pStyle w:val="5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计费基数</w:t>
            </w:r>
          </w:p>
        </w:tc>
        <w:tc>
          <w:tcPr>
            <w:tcW w:w="1168" w:type="dxa"/>
            <w:vAlign w:val="top"/>
          </w:tcPr>
          <w:p w14:paraId="23778C72">
            <w:pPr>
              <w:pStyle w:val="52"/>
              <w:keepNext w:val="0"/>
              <w:keepLines w:val="0"/>
              <w:pageBreakBefore w:val="0"/>
              <w:widowControl w:val="0"/>
              <w:kinsoku/>
              <w:wordWrap/>
              <w:overflowPunct/>
              <w:topLinePunct w:val="0"/>
              <w:autoSpaceDE/>
              <w:autoSpaceDN/>
              <w:bidi w:val="0"/>
              <w:adjustRightInd/>
              <w:snapToGrid/>
              <w:spacing w:line="440" w:lineRule="exact"/>
              <w:ind w:left="33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安装</w:t>
            </w:r>
          </w:p>
        </w:tc>
        <w:tc>
          <w:tcPr>
            <w:tcW w:w="1159" w:type="dxa"/>
            <w:vAlign w:val="top"/>
          </w:tcPr>
          <w:p w14:paraId="776B4940">
            <w:pPr>
              <w:pStyle w:val="52"/>
              <w:keepNext w:val="0"/>
              <w:keepLines w:val="0"/>
              <w:pageBreakBefore w:val="0"/>
              <w:widowControl w:val="0"/>
              <w:kinsoku/>
              <w:wordWrap/>
              <w:overflowPunct/>
              <w:topLinePunct w:val="0"/>
              <w:autoSpaceDE/>
              <w:autoSpaceDN/>
              <w:bidi w:val="0"/>
              <w:adjustRightInd/>
              <w:snapToGrid/>
              <w:spacing w:line="440" w:lineRule="exact"/>
              <w:ind w:left="330"/>
              <w:textAlignment w:val="auto"/>
              <w:rPr>
                <w:rFonts w:hint="eastAsia" w:ascii="宋体" w:hAnsi="宋体" w:eastAsia="宋体" w:cs="宋体"/>
                <w:color w:val="auto"/>
                <w:sz w:val="21"/>
                <w:szCs w:val="21"/>
                <w:highlight w:val="none"/>
                <w:lang w:eastAsia="zh-CN"/>
              </w:rPr>
            </w:pPr>
            <w:r>
              <w:rPr>
                <w:rFonts w:hint="eastAsia" w:cs="宋体"/>
                <w:color w:val="auto"/>
                <w:spacing w:val="-3"/>
                <w:sz w:val="21"/>
                <w:szCs w:val="21"/>
                <w:highlight w:val="none"/>
                <w:lang w:val="en-US" w:eastAsia="zh-CN"/>
              </w:rPr>
              <w:t>装饰</w:t>
            </w:r>
          </w:p>
        </w:tc>
      </w:tr>
      <w:tr w14:paraId="3C682660">
        <w:tblPrEx>
          <w:tblLayout w:type="fixed"/>
        </w:tblPrEx>
        <w:trPr>
          <w:trHeight w:val="561" w:hRule="atLeast"/>
        </w:trPr>
        <w:tc>
          <w:tcPr>
            <w:tcW w:w="731" w:type="dxa"/>
            <w:vAlign w:val="top"/>
          </w:tcPr>
          <w:p w14:paraId="1D85CFCA">
            <w:pPr>
              <w:pStyle w:val="52"/>
              <w:keepNext w:val="0"/>
              <w:keepLines w:val="0"/>
              <w:pageBreakBefore w:val="0"/>
              <w:widowControl w:val="0"/>
              <w:kinsoku/>
              <w:wordWrap/>
              <w:overflowPunct/>
              <w:topLinePunct w:val="0"/>
              <w:autoSpaceDE/>
              <w:autoSpaceDN/>
              <w:bidi w:val="0"/>
              <w:adjustRightInd/>
              <w:snapToGrid/>
              <w:spacing w:line="440" w:lineRule="exact"/>
              <w:ind w:left="2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15" w:type="dxa"/>
            <w:vMerge w:val="restart"/>
            <w:tcBorders>
              <w:bottom w:val="nil"/>
            </w:tcBorders>
            <w:vAlign w:val="center"/>
          </w:tcPr>
          <w:p w14:paraId="419CB5D8">
            <w:pPr>
              <w:pStyle w:val="52"/>
              <w:keepNext w:val="0"/>
              <w:keepLines w:val="0"/>
              <w:pageBreakBefore w:val="0"/>
              <w:widowControl w:val="0"/>
              <w:kinsoku/>
              <w:wordWrap/>
              <w:overflowPunct/>
              <w:topLinePunct w:val="0"/>
              <w:autoSpaceDE/>
              <w:autoSpaceDN/>
              <w:bidi w:val="0"/>
              <w:adjustRightInd/>
              <w:snapToGrid/>
              <w:spacing w:line="440" w:lineRule="exact"/>
              <w:ind w:left="12" w:leftChars="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规费</w:t>
            </w:r>
          </w:p>
        </w:tc>
        <w:tc>
          <w:tcPr>
            <w:tcW w:w="2461" w:type="dxa"/>
            <w:vAlign w:val="top"/>
          </w:tcPr>
          <w:p w14:paraId="4E99C217">
            <w:pPr>
              <w:pStyle w:val="52"/>
              <w:keepNext w:val="0"/>
              <w:keepLines w:val="0"/>
              <w:pageBreakBefore w:val="0"/>
              <w:widowControl w:val="0"/>
              <w:kinsoku/>
              <w:wordWrap/>
              <w:overflowPunct/>
              <w:topLinePunct w:val="0"/>
              <w:autoSpaceDE/>
              <w:autoSpaceDN/>
              <w:bidi w:val="0"/>
              <w:adjustRightInd/>
              <w:snapToGrid/>
              <w:spacing w:line="440" w:lineRule="exact"/>
              <w:ind w:left="-216" w:leftChars="-103" w:firstLine="220" w:firstLineChars="10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社会保障费</w:t>
            </w:r>
          </w:p>
        </w:tc>
        <w:tc>
          <w:tcPr>
            <w:tcW w:w="1981" w:type="dxa"/>
            <w:vAlign w:val="top"/>
          </w:tcPr>
          <w:p w14:paraId="27D8DC3C">
            <w:pPr>
              <w:pStyle w:val="5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A+B+C-D</w:t>
            </w:r>
          </w:p>
        </w:tc>
        <w:tc>
          <w:tcPr>
            <w:tcW w:w="1168" w:type="dxa"/>
            <w:vAlign w:val="top"/>
          </w:tcPr>
          <w:p w14:paraId="104F26BB">
            <w:pPr>
              <w:pStyle w:val="52"/>
              <w:keepNext w:val="0"/>
              <w:keepLines w:val="0"/>
              <w:pageBreakBefore w:val="0"/>
              <w:widowControl w:val="0"/>
              <w:kinsoku/>
              <w:wordWrap/>
              <w:overflowPunct/>
              <w:topLinePunct w:val="0"/>
              <w:autoSpaceDE/>
              <w:autoSpaceDN/>
              <w:bidi w:val="0"/>
              <w:adjustRightInd/>
              <w:snapToGrid/>
              <w:spacing w:line="440" w:lineRule="exact"/>
              <w:ind w:left="3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2.40</w:t>
            </w:r>
          </w:p>
        </w:tc>
        <w:tc>
          <w:tcPr>
            <w:tcW w:w="1159" w:type="dxa"/>
            <w:shd w:val="clear" w:color="auto" w:fill="auto"/>
            <w:vAlign w:val="top"/>
          </w:tcPr>
          <w:p w14:paraId="57B28135">
            <w:pPr>
              <w:pStyle w:val="52"/>
              <w:keepNext w:val="0"/>
              <w:keepLines w:val="0"/>
              <w:pageBreakBefore w:val="0"/>
              <w:widowControl w:val="0"/>
              <w:kinsoku/>
              <w:wordWrap/>
              <w:overflowPunct/>
              <w:topLinePunct w:val="0"/>
              <w:autoSpaceDE/>
              <w:autoSpaceDN/>
              <w:bidi w:val="0"/>
              <w:adjustRightInd/>
              <w:snapToGrid/>
              <w:spacing w:line="440" w:lineRule="exact"/>
              <w:ind w:left="330" w:leftChars="0"/>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3"/>
                <w:sz w:val="21"/>
                <w:szCs w:val="21"/>
                <w:highlight w:val="none"/>
              </w:rPr>
              <w:t>2.40</w:t>
            </w:r>
          </w:p>
        </w:tc>
      </w:tr>
      <w:tr w14:paraId="1E6D9B4A">
        <w:tblPrEx>
          <w:tblLayout w:type="fixed"/>
        </w:tblPrEx>
        <w:trPr>
          <w:trHeight w:val="546" w:hRule="atLeast"/>
        </w:trPr>
        <w:tc>
          <w:tcPr>
            <w:tcW w:w="731" w:type="dxa"/>
            <w:vAlign w:val="top"/>
          </w:tcPr>
          <w:p w14:paraId="65DBDC61">
            <w:pPr>
              <w:pStyle w:val="52"/>
              <w:keepNext w:val="0"/>
              <w:keepLines w:val="0"/>
              <w:pageBreakBefore w:val="0"/>
              <w:widowControl w:val="0"/>
              <w:kinsoku/>
              <w:wordWrap/>
              <w:overflowPunct/>
              <w:topLinePunct w:val="0"/>
              <w:autoSpaceDE/>
              <w:autoSpaceDN/>
              <w:bidi w:val="0"/>
              <w:adjustRightInd/>
              <w:snapToGrid/>
              <w:spacing w:line="440" w:lineRule="exact"/>
              <w:ind w:left="2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15" w:type="dxa"/>
            <w:vMerge w:val="continue"/>
            <w:tcBorders>
              <w:top w:val="nil"/>
            </w:tcBorders>
            <w:vAlign w:val="center"/>
          </w:tcPr>
          <w:p w14:paraId="5BED8D53">
            <w:pPr>
              <w:keepNext w:val="0"/>
              <w:keepLines w:val="0"/>
              <w:pageBreakBefore w:val="0"/>
              <w:widowControl w:val="0"/>
              <w:kinsoku/>
              <w:wordWrap/>
              <w:overflowPunct/>
              <w:topLinePunct w:val="0"/>
              <w:autoSpaceDE/>
              <w:autoSpaceDN/>
              <w:bidi w:val="0"/>
              <w:adjustRightInd/>
              <w:snapToGrid/>
              <w:spacing w:line="440" w:lineRule="exact"/>
              <w:ind w:left="12" w:leftChars="0" w:hanging="12" w:hangingChars="6"/>
              <w:jc w:val="center"/>
              <w:textAlignment w:val="auto"/>
              <w:rPr>
                <w:rFonts w:hint="eastAsia" w:ascii="宋体" w:hAnsi="宋体" w:eastAsia="宋体" w:cs="宋体"/>
                <w:color w:val="auto"/>
                <w:sz w:val="21"/>
                <w:szCs w:val="21"/>
                <w:highlight w:val="none"/>
              </w:rPr>
            </w:pPr>
          </w:p>
        </w:tc>
        <w:tc>
          <w:tcPr>
            <w:tcW w:w="2461" w:type="dxa"/>
            <w:vAlign w:val="top"/>
          </w:tcPr>
          <w:p w14:paraId="7E17DDF5">
            <w:pPr>
              <w:pStyle w:val="52"/>
              <w:keepNext w:val="0"/>
              <w:keepLines w:val="0"/>
              <w:pageBreakBefore w:val="0"/>
              <w:widowControl w:val="0"/>
              <w:kinsoku/>
              <w:wordWrap/>
              <w:overflowPunct/>
              <w:topLinePunct w:val="0"/>
              <w:autoSpaceDE/>
              <w:autoSpaceDN/>
              <w:bidi w:val="0"/>
              <w:adjustRightInd/>
              <w:snapToGrid/>
              <w:spacing w:line="440" w:lineRule="exact"/>
              <w:ind w:left="-216" w:leftChars="-103" w:firstLine="222" w:firstLineChars="10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住房公积金</w:t>
            </w:r>
          </w:p>
        </w:tc>
        <w:tc>
          <w:tcPr>
            <w:tcW w:w="1981" w:type="dxa"/>
            <w:vAlign w:val="top"/>
          </w:tcPr>
          <w:p w14:paraId="31E4EA76">
            <w:pPr>
              <w:pStyle w:val="5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A+B+C-D</w:t>
            </w:r>
          </w:p>
        </w:tc>
        <w:tc>
          <w:tcPr>
            <w:tcW w:w="1168" w:type="dxa"/>
            <w:vAlign w:val="top"/>
          </w:tcPr>
          <w:p w14:paraId="703A18A5">
            <w:pPr>
              <w:pStyle w:val="52"/>
              <w:keepNext w:val="0"/>
              <w:keepLines w:val="0"/>
              <w:pageBreakBefore w:val="0"/>
              <w:widowControl w:val="0"/>
              <w:kinsoku/>
              <w:wordWrap/>
              <w:overflowPunct/>
              <w:topLinePunct w:val="0"/>
              <w:autoSpaceDE/>
              <w:autoSpaceDN/>
              <w:bidi w:val="0"/>
              <w:adjustRightInd/>
              <w:snapToGrid/>
              <w:spacing w:line="440" w:lineRule="exact"/>
              <w:ind w:left="32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0.42</w:t>
            </w:r>
          </w:p>
        </w:tc>
        <w:tc>
          <w:tcPr>
            <w:tcW w:w="1159" w:type="dxa"/>
            <w:shd w:val="clear" w:color="auto" w:fill="auto"/>
            <w:vAlign w:val="top"/>
          </w:tcPr>
          <w:p w14:paraId="2326F009">
            <w:pPr>
              <w:pStyle w:val="52"/>
              <w:keepNext w:val="0"/>
              <w:keepLines w:val="0"/>
              <w:pageBreakBefore w:val="0"/>
              <w:widowControl w:val="0"/>
              <w:kinsoku/>
              <w:wordWrap/>
              <w:overflowPunct/>
              <w:topLinePunct w:val="0"/>
              <w:autoSpaceDE/>
              <w:autoSpaceDN/>
              <w:bidi w:val="0"/>
              <w:adjustRightInd/>
              <w:snapToGrid/>
              <w:spacing w:line="440" w:lineRule="exact"/>
              <w:ind w:left="329" w:leftChars="0"/>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3"/>
                <w:sz w:val="21"/>
                <w:szCs w:val="21"/>
                <w:highlight w:val="none"/>
              </w:rPr>
              <w:t>0.42</w:t>
            </w:r>
          </w:p>
        </w:tc>
      </w:tr>
      <w:tr w14:paraId="7B2A370E">
        <w:tblPrEx>
          <w:tblLayout w:type="fixed"/>
        </w:tblPrEx>
        <w:trPr>
          <w:trHeight w:val="561" w:hRule="atLeast"/>
        </w:trPr>
        <w:tc>
          <w:tcPr>
            <w:tcW w:w="731" w:type="dxa"/>
            <w:vAlign w:val="top"/>
          </w:tcPr>
          <w:p w14:paraId="4ED15BF0">
            <w:pPr>
              <w:pStyle w:val="52"/>
              <w:keepNext w:val="0"/>
              <w:keepLines w:val="0"/>
              <w:pageBreakBefore w:val="0"/>
              <w:widowControl w:val="0"/>
              <w:kinsoku/>
              <w:wordWrap/>
              <w:overflowPunct/>
              <w:topLinePunct w:val="0"/>
              <w:autoSpaceDE/>
              <w:autoSpaceDN/>
              <w:bidi w:val="0"/>
              <w:adjustRightInd/>
              <w:snapToGrid/>
              <w:spacing w:line="440" w:lineRule="exact"/>
              <w:ind w:left="12" w:leftChars="0" w:hanging="12" w:hangingChars="6"/>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w:t>
            </w:r>
          </w:p>
        </w:tc>
        <w:tc>
          <w:tcPr>
            <w:tcW w:w="1315" w:type="dxa"/>
            <w:vMerge w:val="restart"/>
            <w:tcBorders>
              <w:bottom w:val="nil"/>
            </w:tcBorders>
            <w:vAlign w:val="center"/>
          </w:tcPr>
          <w:p w14:paraId="555C6FD8">
            <w:pPr>
              <w:pStyle w:val="52"/>
              <w:keepNext w:val="0"/>
              <w:keepLines w:val="0"/>
              <w:pageBreakBefore w:val="0"/>
              <w:widowControl w:val="0"/>
              <w:kinsoku/>
              <w:wordWrap/>
              <w:overflowPunct/>
              <w:topLinePunct w:val="0"/>
              <w:autoSpaceDE/>
              <w:autoSpaceDN/>
              <w:bidi w:val="0"/>
              <w:adjustRightInd/>
              <w:snapToGrid/>
              <w:spacing w:line="440" w:lineRule="exact"/>
              <w:ind w:left="12" w:leftChars="0" w:hanging="12" w:hangingChars="6"/>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现场安全文明施工措施费</w:t>
            </w:r>
          </w:p>
        </w:tc>
        <w:tc>
          <w:tcPr>
            <w:tcW w:w="2461" w:type="dxa"/>
            <w:vAlign w:val="top"/>
          </w:tcPr>
          <w:p w14:paraId="454AA518">
            <w:pPr>
              <w:pStyle w:val="52"/>
              <w:keepNext w:val="0"/>
              <w:keepLines w:val="0"/>
              <w:pageBreakBefore w:val="0"/>
              <w:widowControl w:val="0"/>
              <w:kinsoku/>
              <w:wordWrap/>
              <w:overflowPunct/>
              <w:topLinePunct w:val="0"/>
              <w:autoSpaceDE/>
              <w:autoSpaceDN/>
              <w:bidi w:val="0"/>
              <w:adjustRightInd/>
              <w:snapToGrid/>
              <w:spacing w:line="440" w:lineRule="exact"/>
              <w:ind w:left="-216" w:leftChars="-103" w:firstLine="222" w:firstLineChars="10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基本费费率</w:t>
            </w:r>
          </w:p>
        </w:tc>
        <w:tc>
          <w:tcPr>
            <w:tcW w:w="1981" w:type="dxa"/>
            <w:vAlign w:val="top"/>
          </w:tcPr>
          <w:p w14:paraId="06CBE813">
            <w:pPr>
              <w:pStyle w:val="5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A+E-D</w:t>
            </w:r>
          </w:p>
        </w:tc>
        <w:tc>
          <w:tcPr>
            <w:tcW w:w="1168" w:type="dxa"/>
            <w:vAlign w:val="top"/>
          </w:tcPr>
          <w:p w14:paraId="5052585E">
            <w:pPr>
              <w:pStyle w:val="52"/>
              <w:keepNext w:val="0"/>
              <w:keepLines w:val="0"/>
              <w:pageBreakBefore w:val="0"/>
              <w:widowControl w:val="0"/>
              <w:kinsoku/>
              <w:wordWrap/>
              <w:overflowPunct/>
              <w:topLinePunct w:val="0"/>
              <w:autoSpaceDE/>
              <w:autoSpaceDN/>
              <w:bidi w:val="0"/>
              <w:adjustRightInd/>
              <w:snapToGrid/>
              <w:spacing w:line="440" w:lineRule="exact"/>
              <w:ind w:left="34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1.50</w:t>
            </w:r>
          </w:p>
        </w:tc>
        <w:tc>
          <w:tcPr>
            <w:tcW w:w="1159" w:type="dxa"/>
            <w:vAlign w:val="top"/>
          </w:tcPr>
          <w:p w14:paraId="4A580816">
            <w:pPr>
              <w:pStyle w:val="52"/>
              <w:keepNext w:val="0"/>
              <w:keepLines w:val="0"/>
              <w:pageBreakBefore w:val="0"/>
              <w:widowControl w:val="0"/>
              <w:kinsoku/>
              <w:wordWrap/>
              <w:overflowPunct/>
              <w:topLinePunct w:val="0"/>
              <w:autoSpaceDE/>
              <w:autoSpaceDN/>
              <w:bidi w:val="0"/>
              <w:adjustRightInd/>
              <w:snapToGrid/>
              <w:spacing w:line="440" w:lineRule="exact"/>
              <w:ind w:left="34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cs="宋体"/>
                <w:color w:val="auto"/>
                <w:spacing w:val="-5"/>
                <w:sz w:val="21"/>
                <w:szCs w:val="21"/>
                <w:highlight w:val="none"/>
                <w:lang w:val="en-US" w:eastAsia="zh-CN"/>
              </w:rPr>
              <w:t>7</w:t>
            </w:r>
            <w:r>
              <w:rPr>
                <w:rFonts w:hint="eastAsia" w:ascii="宋体" w:hAnsi="宋体" w:eastAsia="宋体" w:cs="宋体"/>
                <w:color w:val="auto"/>
                <w:spacing w:val="-5"/>
                <w:sz w:val="21"/>
                <w:szCs w:val="21"/>
                <w:highlight w:val="none"/>
              </w:rPr>
              <w:t>0</w:t>
            </w:r>
          </w:p>
        </w:tc>
      </w:tr>
      <w:tr w14:paraId="76330547">
        <w:tblPrEx>
          <w:tblLayout w:type="fixed"/>
        </w:tblPrEx>
        <w:trPr>
          <w:trHeight w:val="547" w:hRule="atLeast"/>
        </w:trPr>
        <w:tc>
          <w:tcPr>
            <w:tcW w:w="731" w:type="dxa"/>
            <w:vAlign w:val="top"/>
          </w:tcPr>
          <w:p w14:paraId="5188D918">
            <w:pPr>
              <w:pStyle w:val="52"/>
              <w:keepNext w:val="0"/>
              <w:keepLines w:val="0"/>
              <w:pageBreakBefore w:val="0"/>
              <w:widowControl w:val="0"/>
              <w:kinsoku/>
              <w:wordWrap/>
              <w:overflowPunct/>
              <w:topLinePunct w:val="0"/>
              <w:autoSpaceDE/>
              <w:autoSpaceDN/>
              <w:bidi w:val="0"/>
              <w:adjustRightInd/>
              <w:snapToGrid/>
              <w:spacing w:line="440" w:lineRule="exact"/>
              <w:ind w:left="2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15" w:type="dxa"/>
            <w:vMerge w:val="continue"/>
            <w:tcBorders>
              <w:top w:val="nil"/>
              <w:bottom w:val="nil"/>
            </w:tcBorders>
            <w:vAlign w:val="center"/>
          </w:tcPr>
          <w:p w14:paraId="71718876">
            <w:pPr>
              <w:keepNext w:val="0"/>
              <w:keepLines w:val="0"/>
              <w:pageBreakBefore w:val="0"/>
              <w:widowControl w:val="0"/>
              <w:kinsoku/>
              <w:wordWrap/>
              <w:overflowPunct/>
              <w:topLinePunct w:val="0"/>
              <w:autoSpaceDE/>
              <w:autoSpaceDN/>
              <w:bidi w:val="0"/>
              <w:adjustRightInd/>
              <w:snapToGrid/>
              <w:spacing w:line="440" w:lineRule="exact"/>
              <w:ind w:left="12" w:leftChars="0" w:hanging="12" w:hangingChars="6"/>
              <w:jc w:val="center"/>
              <w:textAlignment w:val="auto"/>
              <w:rPr>
                <w:rFonts w:hint="eastAsia" w:ascii="宋体" w:hAnsi="宋体" w:eastAsia="宋体" w:cs="宋体"/>
                <w:color w:val="auto"/>
                <w:sz w:val="21"/>
                <w:szCs w:val="21"/>
                <w:highlight w:val="none"/>
              </w:rPr>
            </w:pPr>
          </w:p>
        </w:tc>
        <w:tc>
          <w:tcPr>
            <w:tcW w:w="2461" w:type="dxa"/>
            <w:vAlign w:val="top"/>
          </w:tcPr>
          <w:p w14:paraId="0B66DF5C">
            <w:pPr>
              <w:pStyle w:val="52"/>
              <w:keepNext w:val="0"/>
              <w:keepLines w:val="0"/>
              <w:pageBreakBefore w:val="0"/>
              <w:widowControl w:val="0"/>
              <w:kinsoku/>
              <w:wordWrap/>
              <w:overflowPunct/>
              <w:topLinePunct w:val="0"/>
              <w:autoSpaceDE/>
              <w:autoSpaceDN/>
              <w:bidi w:val="0"/>
              <w:adjustRightInd/>
              <w:snapToGrid/>
              <w:spacing w:line="440" w:lineRule="exact"/>
              <w:ind w:left="-216" w:leftChars="-103" w:firstLine="222" w:firstLineChars="10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标化工地增加费</w:t>
            </w:r>
          </w:p>
        </w:tc>
        <w:tc>
          <w:tcPr>
            <w:tcW w:w="1981" w:type="dxa"/>
            <w:vAlign w:val="top"/>
          </w:tcPr>
          <w:p w14:paraId="2A4FA355">
            <w:pPr>
              <w:pStyle w:val="5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A+E-D</w:t>
            </w:r>
          </w:p>
        </w:tc>
        <w:tc>
          <w:tcPr>
            <w:tcW w:w="1168" w:type="dxa"/>
            <w:vAlign w:val="top"/>
          </w:tcPr>
          <w:p w14:paraId="26E85565">
            <w:pPr>
              <w:pStyle w:val="52"/>
              <w:keepNext w:val="0"/>
              <w:keepLines w:val="0"/>
              <w:pageBreakBefore w:val="0"/>
              <w:widowControl w:val="0"/>
              <w:kinsoku/>
              <w:wordWrap/>
              <w:overflowPunct/>
              <w:topLinePunct w:val="0"/>
              <w:autoSpaceDE/>
              <w:autoSpaceDN/>
              <w:bidi w:val="0"/>
              <w:adjustRightInd/>
              <w:snapToGrid/>
              <w:spacing w:line="440" w:lineRule="exact"/>
              <w:ind w:left="4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dxa"/>
            <w:vAlign w:val="top"/>
          </w:tcPr>
          <w:p w14:paraId="22FF0160">
            <w:pPr>
              <w:pStyle w:val="52"/>
              <w:keepNext w:val="0"/>
              <w:keepLines w:val="0"/>
              <w:pageBreakBefore w:val="0"/>
              <w:widowControl w:val="0"/>
              <w:kinsoku/>
              <w:wordWrap/>
              <w:overflowPunct/>
              <w:topLinePunct w:val="0"/>
              <w:autoSpaceDE/>
              <w:autoSpaceDN/>
              <w:bidi w:val="0"/>
              <w:adjustRightInd/>
              <w:snapToGrid/>
              <w:spacing w:line="440" w:lineRule="exact"/>
              <w:ind w:left="47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121CABC">
        <w:tblPrEx>
          <w:tblLayout w:type="fixed"/>
        </w:tblPrEx>
        <w:trPr>
          <w:trHeight w:val="561" w:hRule="atLeast"/>
        </w:trPr>
        <w:tc>
          <w:tcPr>
            <w:tcW w:w="731" w:type="dxa"/>
            <w:vAlign w:val="top"/>
          </w:tcPr>
          <w:p w14:paraId="08ED32C7">
            <w:pPr>
              <w:pStyle w:val="52"/>
              <w:keepNext w:val="0"/>
              <w:keepLines w:val="0"/>
              <w:pageBreakBefore w:val="0"/>
              <w:widowControl w:val="0"/>
              <w:kinsoku/>
              <w:wordWrap/>
              <w:overflowPunct/>
              <w:topLinePunct w:val="0"/>
              <w:autoSpaceDE/>
              <w:autoSpaceDN/>
              <w:bidi w:val="0"/>
              <w:adjustRightInd/>
              <w:snapToGrid/>
              <w:spacing w:line="440" w:lineRule="exact"/>
              <w:ind w:left="2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15" w:type="dxa"/>
            <w:vMerge w:val="continue"/>
            <w:tcBorders>
              <w:top w:val="nil"/>
            </w:tcBorders>
            <w:vAlign w:val="center"/>
          </w:tcPr>
          <w:p w14:paraId="1F707960">
            <w:pPr>
              <w:keepNext w:val="0"/>
              <w:keepLines w:val="0"/>
              <w:pageBreakBefore w:val="0"/>
              <w:widowControl w:val="0"/>
              <w:kinsoku/>
              <w:wordWrap/>
              <w:overflowPunct/>
              <w:topLinePunct w:val="0"/>
              <w:autoSpaceDE/>
              <w:autoSpaceDN/>
              <w:bidi w:val="0"/>
              <w:adjustRightInd/>
              <w:snapToGrid/>
              <w:spacing w:line="440" w:lineRule="exact"/>
              <w:ind w:left="12" w:leftChars="0" w:hanging="12" w:hangingChars="6"/>
              <w:jc w:val="center"/>
              <w:textAlignment w:val="auto"/>
              <w:rPr>
                <w:rFonts w:hint="eastAsia" w:ascii="宋体" w:hAnsi="宋体" w:eastAsia="宋体" w:cs="宋体"/>
                <w:color w:val="auto"/>
                <w:sz w:val="21"/>
                <w:szCs w:val="21"/>
                <w:highlight w:val="none"/>
              </w:rPr>
            </w:pPr>
          </w:p>
        </w:tc>
        <w:tc>
          <w:tcPr>
            <w:tcW w:w="2461" w:type="dxa"/>
            <w:vAlign w:val="top"/>
          </w:tcPr>
          <w:p w14:paraId="34A56CBB">
            <w:pPr>
              <w:pStyle w:val="52"/>
              <w:keepNext w:val="0"/>
              <w:keepLines w:val="0"/>
              <w:pageBreakBefore w:val="0"/>
              <w:widowControl w:val="0"/>
              <w:kinsoku/>
              <w:wordWrap/>
              <w:overflowPunct/>
              <w:topLinePunct w:val="0"/>
              <w:autoSpaceDE/>
              <w:autoSpaceDN/>
              <w:bidi w:val="0"/>
              <w:adjustRightInd/>
              <w:snapToGrid/>
              <w:spacing w:line="440" w:lineRule="exact"/>
              <w:ind w:left="-216" w:leftChars="-103" w:firstLine="222" w:firstLineChars="10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扬尘污染防治增加</w:t>
            </w:r>
            <w:r>
              <w:rPr>
                <w:rFonts w:hint="eastAsia" w:ascii="宋体" w:hAnsi="宋体" w:eastAsia="宋体" w:cs="宋体"/>
                <w:color w:val="auto"/>
                <w:sz w:val="21"/>
                <w:szCs w:val="21"/>
                <w:highlight w:val="none"/>
              </w:rPr>
              <w:t>费</w:t>
            </w:r>
          </w:p>
        </w:tc>
        <w:tc>
          <w:tcPr>
            <w:tcW w:w="1981" w:type="dxa"/>
            <w:vAlign w:val="top"/>
          </w:tcPr>
          <w:p w14:paraId="0B289F03">
            <w:pPr>
              <w:pStyle w:val="5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A+E-D</w:t>
            </w:r>
          </w:p>
        </w:tc>
        <w:tc>
          <w:tcPr>
            <w:tcW w:w="1168" w:type="dxa"/>
            <w:vAlign w:val="top"/>
          </w:tcPr>
          <w:p w14:paraId="35CB0F70">
            <w:pPr>
              <w:pStyle w:val="52"/>
              <w:keepNext w:val="0"/>
              <w:keepLines w:val="0"/>
              <w:pageBreakBefore w:val="0"/>
              <w:widowControl w:val="0"/>
              <w:kinsoku/>
              <w:wordWrap/>
              <w:overflowPunct/>
              <w:topLinePunct w:val="0"/>
              <w:autoSpaceDE/>
              <w:autoSpaceDN/>
              <w:bidi w:val="0"/>
              <w:adjustRightInd/>
              <w:snapToGrid/>
              <w:spacing w:line="440" w:lineRule="exact"/>
              <w:ind w:left="32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0.21</w:t>
            </w:r>
          </w:p>
        </w:tc>
        <w:tc>
          <w:tcPr>
            <w:tcW w:w="1159" w:type="dxa"/>
            <w:vAlign w:val="top"/>
          </w:tcPr>
          <w:p w14:paraId="6B6305E0">
            <w:pPr>
              <w:pStyle w:val="52"/>
              <w:keepNext w:val="0"/>
              <w:keepLines w:val="0"/>
              <w:pageBreakBefore w:val="0"/>
              <w:widowControl w:val="0"/>
              <w:kinsoku/>
              <w:wordWrap/>
              <w:overflowPunct/>
              <w:topLinePunct w:val="0"/>
              <w:autoSpaceDE/>
              <w:autoSpaceDN/>
              <w:bidi w:val="0"/>
              <w:adjustRightInd/>
              <w:snapToGrid/>
              <w:spacing w:line="440" w:lineRule="exact"/>
              <w:ind w:left="33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0.</w:t>
            </w:r>
            <w:r>
              <w:rPr>
                <w:rFonts w:hint="eastAsia"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2</w:t>
            </w:r>
          </w:p>
        </w:tc>
      </w:tr>
      <w:tr w14:paraId="1083BC28">
        <w:tblPrEx>
          <w:tblLayout w:type="fixed"/>
        </w:tblPrEx>
        <w:trPr>
          <w:trHeight w:val="569" w:hRule="atLeast"/>
        </w:trPr>
        <w:tc>
          <w:tcPr>
            <w:tcW w:w="731" w:type="dxa"/>
            <w:vAlign w:val="top"/>
          </w:tcPr>
          <w:p w14:paraId="1692A32C">
            <w:pPr>
              <w:pStyle w:val="52"/>
              <w:keepNext w:val="0"/>
              <w:keepLines w:val="0"/>
              <w:pageBreakBefore w:val="0"/>
              <w:widowControl w:val="0"/>
              <w:kinsoku/>
              <w:wordWrap/>
              <w:overflowPunct/>
              <w:topLinePunct w:val="0"/>
              <w:autoSpaceDE/>
              <w:autoSpaceDN/>
              <w:bidi w:val="0"/>
              <w:adjustRightInd/>
              <w:snapToGrid/>
              <w:spacing w:line="440" w:lineRule="exact"/>
              <w:ind w:left="27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15" w:type="dxa"/>
            <w:vAlign w:val="center"/>
          </w:tcPr>
          <w:p w14:paraId="4F5BEC83">
            <w:pPr>
              <w:pStyle w:val="52"/>
              <w:keepNext w:val="0"/>
              <w:keepLines w:val="0"/>
              <w:pageBreakBefore w:val="0"/>
              <w:widowControl w:val="0"/>
              <w:kinsoku/>
              <w:wordWrap/>
              <w:overflowPunct/>
              <w:topLinePunct w:val="0"/>
              <w:autoSpaceDE/>
              <w:autoSpaceDN/>
              <w:bidi w:val="0"/>
              <w:adjustRightInd/>
              <w:snapToGrid/>
              <w:spacing w:line="440" w:lineRule="exact"/>
              <w:ind w:left="12" w:leftChars="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税金</w:t>
            </w:r>
          </w:p>
        </w:tc>
        <w:tc>
          <w:tcPr>
            <w:tcW w:w="2461" w:type="dxa"/>
            <w:vAlign w:val="top"/>
          </w:tcPr>
          <w:p w14:paraId="53B57CED">
            <w:pPr>
              <w:pStyle w:val="52"/>
              <w:keepNext w:val="0"/>
              <w:keepLines w:val="0"/>
              <w:pageBreakBefore w:val="0"/>
              <w:widowControl w:val="0"/>
              <w:kinsoku/>
              <w:wordWrap/>
              <w:overflowPunct/>
              <w:topLinePunct w:val="0"/>
              <w:autoSpaceDE/>
              <w:autoSpaceDN/>
              <w:bidi w:val="0"/>
              <w:adjustRightInd/>
              <w:snapToGrid/>
              <w:spacing w:line="440" w:lineRule="exact"/>
              <w:ind w:left="-216" w:leftChars="-103" w:firstLine="220" w:firstLineChars="10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税金</w:t>
            </w:r>
          </w:p>
        </w:tc>
        <w:tc>
          <w:tcPr>
            <w:tcW w:w="1981" w:type="dxa"/>
            <w:vAlign w:val="top"/>
          </w:tcPr>
          <w:p w14:paraId="50516DF1">
            <w:pPr>
              <w:pStyle w:val="5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税前造价</w:t>
            </w:r>
          </w:p>
        </w:tc>
        <w:tc>
          <w:tcPr>
            <w:tcW w:w="1168" w:type="dxa"/>
            <w:vAlign w:val="top"/>
          </w:tcPr>
          <w:p w14:paraId="17EB5C61">
            <w:pPr>
              <w:pStyle w:val="52"/>
              <w:keepNext w:val="0"/>
              <w:keepLines w:val="0"/>
              <w:pageBreakBefore w:val="0"/>
              <w:widowControl w:val="0"/>
              <w:kinsoku/>
              <w:wordWrap/>
              <w:overflowPunct/>
              <w:topLinePunct w:val="0"/>
              <w:autoSpaceDE/>
              <w:autoSpaceDN/>
              <w:bidi w:val="0"/>
              <w:adjustRightInd/>
              <w:snapToGrid/>
              <w:spacing w:line="440" w:lineRule="exact"/>
              <w:ind w:left="32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9.00</w:t>
            </w:r>
          </w:p>
        </w:tc>
        <w:tc>
          <w:tcPr>
            <w:tcW w:w="1159" w:type="dxa"/>
            <w:vAlign w:val="top"/>
          </w:tcPr>
          <w:p w14:paraId="5B1A68A4">
            <w:pPr>
              <w:pStyle w:val="52"/>
              <w:keepNext w:val="0"/>
              <w:keepLines w:val="0"/>
              <w:pageBreakBefore w:val="0"/>
              <w:widowControl w:val="0"/>
              <w:kinsoku/>
              <w:wordWrap/>
              <w:overflowPunct/>
              <w:topLinePunct w:val="0"/>
              <w:autoSpaceDE/>
              <w:autoSpaceDN/>
              <w:bidi w:val="0"/>
              <w:adjustRightInd/>
              <w:snapToGrid/>
              <w:spacing w:line="440" w:lineRule="exact"/>
              <w:ind w:left="3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9.00</w:t>
            </w:r>
          </w:p>
        </w:tc>
      </w:tr>
    </w:tbl>
    <w:p w14:paraId="1D74C712">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1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注：</w:t>
      </w:r>
      <w:r>
        <w:rPr>
          <w:rFonts w:hint="eastAsia" w:ascii="宋体" w:hAnsi="宋体" w:eastAsia="宋体" w:cs="宋体"/>
          <w:color w:val="auto"/>
          <w:spacing w:val="-1"/>
          <w:sz w:val="21"/>
          <w:szCs w:val="21"/>
          <w:highlight w:val="none"/>
          <w:lang w:val="en-US" w:eastAsia="zh-CN"/>
        </w:rPr>
        <w:t>①</w:t>
      </w:r>
      <w:r>
        <w:rPr>
          <w:rFonts w:hint="eastAsia" w:ascii="宋体" w:hAnsi="宋体" w:eastAsia="宋体" w:cs="宋体"/>
          <w:color w:val="auto"/>
          <w:spacing w:val="-1"/>
          <w:sz w:val="21"/>
          <w:szCs w:val="21"/>
          <w:highlight w:val="none"/>
        </w:rPr>
        <w:t>计算基础：A 为分部分项工程费，B 为措施项目清单费，C</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其他项目费</w:t>
      </w:r>
      <w:r>
        <w:rPr>
          <w:rFonts w:hint="eastAsia" w:ascii="宋体" w:hAnsi="宋体" w:eastAsia="宋体" w:cs="宋体"/>
          <w:color w:val="auto"/>
          <w:spacing w:val="-2"/>
          <w:sz w:val="21"/>
          <w:szCs w:val="21"/>
          <w:highlight w:val="none"/>
        </w:rPr>
        <w:t>，D</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2"/>
          <w:sz w:val="21"/>
          <w:szCs w:val="21"/>
          <w:highlight w:val="none"/>
        </w:rPr>
        <w:t>为除税工程设备费，E为单价措施项目费。</w:t>
      </w:r>
    </w:p>
    <w:p w14:paraId="7165FB74">
      <w:pPr>
        <w:keepNext w:val="0"/>
        <w:keepLines w:val="0"/>
        <w:pageBreakBefore w:val="0"/>
        <w:widowControl w:val="0"/>
        <w:kinsoku/>
        <w:wordWrap/>
        <w:overflowPunct/>
        <w:topLinePunct w:val="0"/>
        <w:autoSpaceDE/>
        <w:autoSpaceDN/>
        <w:bidi w:val="0"/>
        <w:adjustRightInd/>
        <w:snapToGrid/>
        <w:spacing w:line="440" w:lineRule="exact"/>
        <w:ind w:left="127" w:right="-521" w:rightChars="-248"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现场安全文明施工措费率为暂定，投标人应足额计取，不得更改费率。竣工结算时，现</w:t>
      </w:r>
      <w:r>
        <w:rPr>
          <w:rFonts w:hint="eastAsia" w:ascii="宋体" w:hAnsi="宋体" w:eastAsia="宋体" w:cs="宋体"/>
          <w:color w:val="auto"/>
          <w:spacing w:val="-1"/>
          <w:sz w:val="21"/>
          <w:szCs w:val="21"/>
          <w:highlight w:val="none"/>
        </w:rPr>
        <w:t>场安全文明施工措施费基本费根据《关于建筑业实施营改增后江苏省建设工程计价依据调整的通</w:t>
      </w:r>
      <w:r>
        <w:rPr>
          <w:rFonts w:hint="eastAsia" w:ascii="宋体" w:hAnsi="宋体" w:eastAsia="宋体" w:cs="宋体"/>
          <w:color w:val="auto"/>
          <w:sz w:val="21"/>
          <w:szCs w:val="21"/>
          <w:highlight w:val="none"/>
        </w:rPr>
        <w:t>知》（苏建价〔2016〕154</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号文）规定足额计取，不得更改费率；扬尘污染防治增加</w:t>
      </w:r>
      <w:r>
        <w:rPr>
          <w:rFonts w:hint="eastAsia" w:ascii="宋体" w:hAnsi="宋体" w:eastAsia="宋体" w:cs="宋体"/>
          <w:color w:val="auto"/>
          <w:spacing w:val="-1"/>
          <w:sz w:val="21"/>
          <w:szCs w:val="21"/>
          <w:highlight w:val="none"/>
        </w:rPr>
        <w:t>费根据《省住房城乡建设厅关于调整建设工程按质论价等费用计取方法的公告》（江苏省住房和城乡建设厅公告〔2018〕第</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
          <w:sz w:val="21"/>
          <w:szCs w:val="21"/>
          <w:highlight w:val="none"/>
        </w:rPr>
        <w:t>24</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号）规定足额计</w:t>
      </w:r>
      <w:r>
        <w:rPr>
          <w:rFonts w:hint="eastAsia" w:ascii="宋体" w:hAnsi="宋体" w:eastAsia="宋体" w:cs="宋体"/>
          <w:color w:val="auto"/>
          <w:spacing w:val="-2"/>
          <w:sz w:val="21"/>
          <w:szCs w:val="21"/>
          <w:highlight w:val="none"/>
        </w:rPr>
        <w:t>取，不得更改费率；建设工程达到合同约定的标化工地创建</w:t>
      </w:r>
      <w:r>
        <w:rPr>
          <w:rFonts w:hint="eastAsia" w:ascii="宋体" w:hAnsi="宋体" w:eastAsia="宋体" w:cs="宋体"/>
          <w:color w:val="auto"/>
          <w:spacing w:val="-1"/>
          <w:sz w:val="21"/>
          <w:szCs w:val="21"/>
          <w:highlight w:val="none"/>
        </w:rPr>
        <w:t>目标时，按照达到的标化工地等级，根据《省住房和城乡建设厅关于调整建设工程按质论价等费</w:t>
      </w:r>
      <w:r>
        <w:rPr>
          <w:rFonts w:hint="eastAsia" w:ascii="宋体" w:hAnsi="宋体" w:eastAsia="宋体" w:cs="宋体"/>
          <w:color w:val="auto"/>
          <w:spacing w:val="-2"/>
          <w:sz w:val="21"/>
          <w:szCs w:val="21"/>
          <w:highlight w:val="none"/>
        </w:rPr>
        <w:t>用计取方法的公告》（江苏省住房和城乡建设厅公告〔2018〕第</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24</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号）规定计取标化工地增加</w:t>
      </w:r>
      <w:r>
        <w:rPr>
          <w:rFonts w:hint="eastAsia" w:ascii="宋体" w:hAnsi="宋体" w:eastAsia="宋体" w:cs="宋体"/>
          <w:color w:val="auto"/>
          <w:sz w:val="21"/>
          <w:szCs w:val="21"/>
          <w:highlight w:val="none"/>
        </w:rPr>
        <w:t>费用，未达到合同约定的标化工地创建目标时</w:t>
      </w:r>
      <w:r>
        <w:rPr>
          <w:rFonts w:hint="eastAsia" w:ascii="宋体" w:hAnsi="宋体" w:eastAsia="宋体" w:cs="宋体"/>
          <w:color w:val="auto"/>
          <w:spacing w:val="-1"/>
          <w:sz w:val="21"/>
          <w:szCs w:val="21"/>
          <w:highlight w:val="none"/>
        </w:rPr>
        <w:t>，按照实际获得的标化工地等级计取标化工地增加</w:t>
      </w:r>
      <w:r>
        <w:rPr>
          <w:rFonts w:hint="eastAsia" w:ascii="宋体" w:hAnsi="宋体" w:eastAsia="宋体" w:cs="宋体"/>
          <w:color w:val="auto"/>
          <w:sz w:val="21"/>
          <w:szCs w:val="21"/>
          <w:highlight w:val="none"/>
        </w:rPr>
        <w:t>费，超出合同约定的标化工地创建目标时，仍</w:t>
      </w:r>
      <w:r>
        <w:rPr>
          <w:rFonts w:hint="eastAsia" w:ascii="宋体" w:hAnsi="宋体" w:eastAsia="宋体" w:cs="宋体"/>
          <w:color w:val="auto"/>
          <w:spacing w:val="-1"/>
          <w:sz w:val="21"/>
          <w:szCs w:val="21"/>
          <w:highlight w:val="none"/>
        </w:rPr>
        <w:t>按合同约定的标化工地创建目标计取标化工地增加</w:t>
      </w:r>
      <w:r>
        <w:rPr>
          <w:rFonts w:hint="eastAsia" w:ascii="宋体" w:hAnsi="宋体" w:eastAsia="宋体" w:cs="宋体"/>
          <w:color w:val="auto"/>
          <w:spacing w:val="-2"/>
          <w:sz w:val="21"/>
          <w:szCs w:val="21"/>
          <w:highlight w:val="none"/>
        </w:rPr>
        <w:t>费，标化工地增加费费率不得调整。</w:t>
      </w:r>
    </w:p>
    <w:p w14:paraId="71C6E3F9">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本次招标所有单位工程的不可竞争费费率，无论其不可竞争费费率是否在上表中列明，</w:t>
      </w:r>
      <w:r>
        <w:rPr>
          <w:rFonts w:hint="eastAsia" w:ascii="宋体" w:hAnsi="宋体" w:eastAsia="宋体" w:cs="宋体"/>
          <w:color w:val="auto"/>
          <w:spacing w:val="-2"/>
          <w:sz w:val="21"/>
          <w:szCs w:val="21"/>
          <w:highlight w:val="none"/>
        </w:rPr>
        <w:t>投标时不可竞争费费率均以网上发布的</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2"/>
          <w:sz w:val="21"/>
          <w:szCs w:val="21"/>
          <w:highlight w:val="none"/>
        </w:rPr>
        <w:t>13jz</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格式的工程量清单为准。</w:t>
      </w:r>
    </w:p>
    <w:p w14:paraId="0811D8C4">
      <w:pPr>
        <w:keepNext w:val="0"/>
        <w:keepLines w:val="0"/>
        <w:pageBreakBefore w:val="0"/>
        <w:widowControl w:val="0"/>
        <w:kinsoku/>
        <w:wordWrap/>
        <w:overflowPunct/>
        <w:topLinePunct w:val="0"/>
        <w:autoSpaceDE/>
        <w:autoSpaceDN/>
        <w:bidi w:val="0"/>
        <w:adjustRightInd/>
        <w:snapToGrid/>
        <w:spacing w:line="440" w:lineRule="exact"/>
        <w:ind w:left="547" w:right="-521" w:rightChars="-24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④</w:t>
      </w:r>
      <w:r>
        <w:rPr>
          <w:rFonts w:hint="eastAsia" w:ascii="宋体" w:hAnsi="宋体" w:eastAsia="宋体" w:cs="宋体"/>
          <w:color w:val="auto"/>
          <w:spacing w:val="-2"/>
          <w:sz w:val="21"/>
          <w:szCs w:val="21"/>
          <w:highlight w:val="none"/>
        </w:rPr>
        <w:t>有关费率：详见招标控制价文件。</w:t>
      </w:r>
    </w:p>
    <w:p w14:paraId="7096A759">
      <w:pPr>
        <w:keepNext w:val="0"/>
        <w:keepLines w:val="0"/>
        <w:pageBreakBefore w:val="0"/>
        <w:widowControl w:val="0"/>
        <w:kinsoku/>
        <w:wordWrap/>
        <w:overflowPunct/>
        <w:topLinePunct w:val="0"/>
        <w:autoSpaceDE w:val="0"/>
        <w:autoSpaceDN w:val="0"/>
        <w:bidi w:val="0"/>
        <w:adjustRightInd w:val="0"/>
        <w:snapToGrid/>
        <w:spacing w:line="440" w:lineRule="exact"/>
        <w:ind w:right="-521" w:rightChars="-248"/>
        <w:jc w:val="left"/>
        <w:textAlignment w:val="auto"/>
        <w:outlineLvl w:val="1"/>
        <w:rPr>
          <w:rFonts w:hint="eastAsia" w:ascii="宋体" w:hAnsi="宋体" w:eastAsia="宋体" w:cs="宋体"/>
          <w:b/>
          <w:bCs/>
          <w:color w:val="auto"/>
          <w:kern w:val="0"/>
          <w:sz w:val="21"/>
          <w:szCs w:val="21"/>
          <w:highlight w:val="none"/>
          <w:lang w:val="zh-CN" w:eastAsia="zh-CN"/>
        </w:rPr>
      </w:pPr>
      <w:bookmarkStart w:id="210" w:name="_Toc9170"/>
      <w:bookmarkStart w:id="211" w:name="_Toc13472"/>
      <w:bookmarkStart w:id="212" w:name="_Toc31641"/>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zh-CN" w:eastAsia="zh-CN"/>
        </w:rPr>
        <w:t>投标报价</w:t>
      </w:r>
      <w:bookmarkEnd w:id="210"/>
      <w:bookmarkEnd w:id="211"/>
      <w:bookmarkEnd w:id="212"/>
    </w:p>
    <w:p w14:paraId="14A319EF">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val="zh-CN" w:eastAsia="zh-CN"/>
        </w:rPr>
        <w:t>投标报价应包括招标文件所确定的招标范围内相应工程量清单及相关资料的全部内容，以及为完成上述内容所必须的附属工程、临时工程、材料、劳务及所需的全部费用。</w:t>
      </w:r>
    </w:p>
    <w:p w14:paraId="749ECBAF">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招标文件后附的工程量清单标明的工程量是投标人投标报价的共同基础。招标人提供的工程量清单应结合投标人须知、合同条款技术标准和要求与图纸一起阅读理解。</w:t>
      </w:r>
    </w:p>
    <w:p w14:paraId="4B7D6606">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bookmarkStart w:id="213" w:name="bookmark34"/>
      <w:bookmarkEnd w:id="213"/>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lang w:val="zh-CN" w:eastAsia="zh-CN"/>
        </w:rPr>
        <w:t>投标报价编制要求</w:t>
      </w:r>
    </w:p>
    <w:p w14:paraId="10A63891">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（1）采用工程量清单计价方式，投标人不得采用总价让利或以总价百分比让利等办法进行投标报价。</w:t>
      </w:r>
    </w:p>
    <w:p w14:paraId="05011062">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（2）除投标人自行补充的措施项目外， 投标报价的项目编码、项目名称、项目特征、计量单位、工程量必须与招标人提供的一致。</w:t>
      </w:r>
    </w:p>
    <w:p w14:paraId="1272B31C">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（3）工程量清单中投标人没有填入单价或价格的子目，其费用视为已分摊在工程量清单中其他子目的单价或价格之中。</w:t>
      </w:r>
    </w:p>
    <w:p w14:paraId="00615FA3">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投标报价应根据招标文件中的工程量清单和有关要求、施工现场实际情况及拟定的施工方案或施工组织设计，依据企业定额和市场价格信息，实行自主报价（已列入不可竞争的项目除外）。投标人所报设备价、材料价如低于同期的省、市、县的造价信息或低于同期的市场价格信息，视为对招标人的优惠。投标人标函中所报设备、材料规格、尺寸、等级不得低于清单的要求。中标人应根据清单确定的标准、等级、规格组织施工。</w:t>
      </w:r>
    </w:p>
    <w:p w14:paraId="79651A8F">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5）投标人不得擅自改动招标人提供的工程量清单上的内容。若对提供的工程量清单内容有疑义，请将书面疑问材料在规定的时间和方法向招标代理单位提出，其中清单内容的书面疑问材料经招标人组织核实确认后提供最终工程量清单，投标人在投标报价时，不得增减清单工程量。</w:t>
      </w:r>
    </w:p>
    <w:p w14:paraId="2DE3DB9C">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6）参照《建筑工程工程量清单计价规范》GB50500-2013及配套的工程量计算规范、《江苏省建筑与装饰工程计价定额》2014年版、《江苏省建设工程费用定额》（2014年）以及相应的补充规定和省市颁布的有关工程造价文件。</w:t>
      </w:r>
    </w:p>
    <w:p w14:paraId="55291CF2">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7）本工程施工期间涉及环保、消防、城市卫生、市政、居委会、派出所等相关部门收取的费用，以及夜间文明施工、保护周边地下管线和架空线的安全的费用等，投标人均应综合考虑在投标报价中，竣工结算时一律不作调整。</w:t>
      </w:r>
    </w:p>
    <w:p w14:paraId="1FB01524">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8）投标报价应包括招标文件所确定的招标范围内相应设计图纸及相关资料的全部内容，以及为完成上述内容所必须的附属工程、临时工程、材料、劳务及所需的全部费用。其中应包括材料、设备、存贮、运输、劳务、安装、调试、测试、检测（本项目的检测必须由市级及以上权威检测机构进行检测）、成品保护、缺陷修补、维护、培训、售后服务、管理、利润、规费、措施费、税金、技术措施、施工方法、甲供材料的下车力资、设备档案、工程档案、合同履行过程中可能发生的风险及所需的全部费用。</w:t>
      </w:r>
    </w:p>
    <w:p w14:paraId="02CE3D67">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9）各投标人必须认真仔细踏勘施工现场并根据现场情况及本工程特点，并在投标报价时综合考虑赶工费、按质论价费、二次搬运费、特殊条件下施工增加费、冬雨季施工增加费、夜间施工增加费、临时设施费、已完工程及设备保护费等该类措施项目费由各投标人自行报价。如有已完工程及设备损坏，应按照不低于原设计标准恢复，费用列入报价。</w:t>
      </w:r>
    </w:p>
    <w:p w14:paraId="7FBA0E3C">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投标单位根据施工现场情况及现行规定，自行根据可行的施工方案对措施费自行增加清单进行报价，结算时，除工程变更引起施工方案改变外，承包人不得以招标工程措施项目缺项为由要求新增措施项目，结算时一律不作调整。</w:t>
      </w:r>
    </w:p>
    <w:p w14:paraId="0D66D606">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（11）承包人应充分考虑人、机、料的组织程度，满足施工质量、进度的要求，施工人员数量必须满足工期要求。</w:t>
      </w:r>
    </w:p>
    <w:p w14:paraId="59EE640B">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（12）余土、施工范围内的渣土及运距由各投标人根据现场实际情况自行考虑，计入报价，竣工结算时不予调整。</w:t>
      </w:r>
    </w:p>
    <w:p w14:paraId="1F7C315B">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（13）本工程所有乙供材料均由承包人在确保质量的前提下自行采购，材料价格按照中档及以上的质量自行市场询价进入报价，结算不予调整。所有乙供材料均须得到发包人和供电公司确认后方可进场。</w:t>
      </w:r>
    </w:p>
    <w:p w14:paraId="7E618879">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（14）本工程与总包单位所有的管道接口均包含于本次报价中，各投标人自主报价。</w:t>
      </w:r>
    </w:p>
    <w:p w14:paraId="29A57EDF">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15）与其他承包商间的协调、配合、通信关系，由中标人自行解决，确保各分项工程满足设计图纸、验收规范等要求，发生的费用由投标人自行承担，并相互做好成品保护工作，并无条件接受土建总承包单位的总包管理，建设单位不再另行支付任何涉及工序交叉影响的费用。</w:t>
      </w:r>
    </w:p>
    <w:p w14:paraId="0FD51947">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（16）投标人在施工期间应根据南通市人民政府办公室文件通政办发〔2019〕58 号文《关于开展南通市区施工扬尘专治整理的实施意见》中的相关要求， 强化施工扬尘治理责任，严格根据工地扬尘防治标准执行，费用在投标报价时综合考虑。</w:t>
      </w:r>
    </w:p>
    <w:p w14:paraId="569C831E">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（17）投标单位在投标报价时应充分考虑施工过程中对原有建筑工程结构及饰面造成破损及损坏部分进行修复，使其恢复原样等所包含的各项费用，并综合考虑在投标报价中，结算时不再另行支付其费用。</w:t>
      </w:r>
    </w:p>
    <w:p w14:paraId="15232898">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18）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3215853A">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（19）报价书中的工程数量乘以综合单价必须等于合价。如有误差，评标时核实，在结算时以核实的结果作为结算依据。</w:t>
      </w:r>
    </w:p>
    <w:p w14:paraId="76F8D36B">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（20）投标人在投标报价时不得调整招标人设定的暂估价、暂列金额、现场安全文明施工措施费率、规费项目费、税金项目费等不可竞争费费率，否则按无效投标文件处理。</w:t>
      </w:r>
    </w:p>
    <w:p w14:paraId="09FB8EF9">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21）本工程所有乙供材料均由承包人在确保质量的前提下自行采购，材料价格按照中档的质量自行市场询价进入报价。发包人对材料的质量有认定权（如发包人对承包人采购的材料认定为不合格的，承包人必须重新采购，直至合格为止），施工时承包人需提供样品供建设单位选择，涉及的价格不再调整。</w:t>
      </w:r>
    </w:p>
    <w:p w14:paraId="6DD38252">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22）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14:paraId="3012B3F5">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（23）本工程运出的建筑垃圾等必须运出崇川区范围之外，否则发现一车，招标人将向承包人收取 1 万元/车的违约金，并有权要求其重新清运出崇川区。渣土堆放地点(必须符合南通市崇川区建筑垃圾（渣土）管理中心要求，南通市崇川区建筑垃圾（渣土）管理中心收取的建筑垃圾处置费由投标人考虑在报价中。</w:t>
      </w:r>
    </w:p>
    <w:p w14:paraId="3529417E">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24）本工程量清单的特征应与施工图、招标文件、技术要求、技术规范等文件结合起来阅读，招标人在工程量清单中项目特征描述不全，但投标人为满足设计图纸中该清单项目的要求而必须完成的工作，投标人应完成满足设计图纸中该清单项目的要求而必须完成的工作，按合同相关约定结算费用。</w:t>
      </w:r>
    </w:p>
    <w:p w14:paraId="01847DE3">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25）若投标单位在投标报价时擅自改变暂估价或暂列金额且评审时未被发现，报价低于暂估价或暂列金额结算时统一先按招标文件明确暂估价或暂列金额扣除，报价高于暂估价或暂列金额时统一先按报价扣除；若擅自改变招标文件及清单内容，且评标时未被发现的，实际施工时一律以招标文件及清单内容执行，结算价格不予调整。</w:t>
      </w:r>
    </w:p>
    <w:p w14:paraId="16623366">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（26）投标人在投标报价时应考虑根据国家、省、市、工程所在地政府及相关部门的规定缴纳有关费用，招标人不另行给付，费用缴纳的标准投标人可自行咨询。</w:t>
      </w:r>
    </w:p>
    <w:p w14:paraId="4BB2B2FD">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（27）投标单位应充分了解工地位置、环境、道路、储存空间、装卸条件及任何其他足以影响承包价的情况。任何忽视、猜测或误解工地情况而导致的成本增加或工期延长等申请一律不予认可。</w:t>
      </w:r>
    </w:p>
    <w:p w14:paraId="25F3EC56">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（28）投标人应充分考虑开工时间、季节、气候问题对投标报价的影响，一旦中标，不得提出额外增加费用的要求。</w:t>
      </w:r>
    </w:p>
    <w:p w14:paraId="389328A4">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（29）投标人确定投标报价，同时应考虑合同中包含的风险、责任等各项费用。</w:t>
      </w:r>
    </w:p>
    <w:p w14:paraId="776ECEBF">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（30）投标人应在投标报价中根据自身管理水平，材料采购及机械配备等因素，考虑实际可抵扣进项税，合理确定增值税应纳税额进行自主报价。</w:t>
      </w:r>
    </w:p>
    <w:p w14:paraId="337937CF">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（31）承包人在施工过程中必须收集变更、签证及所有隐蔽项目的施工全过程影像视频资料以供后期审计使用，在送审结算资料中光盘或 u 盘必须一并提交。所有签证资料必须附有详细影像彩色照片，所摄照片必须有可参照性。如影像资料未能反映签证、掩蔽项目清单或招标文件等列明的工作内容则结算时该项内容不予认可。</w:t>
      </w:r>
    </w:p>
    <w:p w14:paraId="16EB94BA">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（32）承包人不得拒绝完成发包人在施工地点范围内的变更或要求增减的工程内容。</w:t>
      </w:r>
    </w:p>
    <w:p w14:paraId="3AC612C5">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（33）非道路移动机械需满足环保要求，具体环保要求可参照《柴油货车污染治理攻坚战行动计划》（环大气〔2018〕179 号）和《关于印发江苏省柴油货车污染治理攻坚战实施方案的通知》（苏污防攻坚指办〔2019〕40 号）的有关规定执行。</w:t>
      </w:r>
    </w:p>
    <w:p w14:paraId="338E6D5A">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34）招标人提供的土方工程量清单中给出了各类土方的工程量，投标单位应根据现有的设计文件、勘察文件并结合施工方案和已明确的现场实际情况自行进行计算（含地上、地下部分），若计算结果与清单提供的土方量有出入（包括挖、填、清淤、老路的破除、余方弃置、购土及其他可能发生的外运土方等），自行综合考虑报价，该费用一次性包死。</w:t>
      </w:r>
    </w:p>
    <w:p w14:paraId="733FA80A">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（35）其他未尽事宜在书面答疑中明确。</w:t>
      </w:r>
    </w:p>
    <w:p w14:paraId="177FDFA2">
      <w:pPr>
        <w:keepNext w:val="0"/>
        <w:keepLines w:val="0"/>
        <w:pageBreakBefore w:val="0"/>
        <w:widowControl w:val="0"/>
        <w:kinsoku/>
        <w:wordWrap/>
        <w:overflowPunct/>
        <w:topLinePunct w:val="0"/>
        <w:autoSpaceDE w:val="0"/>
        <w:autoSpaceDN w:val="0"/>
        <w:bidi w:val="0"/>
        <w:adjustRightInd w:val="0"/>
        <w:snapToGrid/>
        <w:spacing w:line="440" w:lineRule="exact"/>
        <w:ind w:right="-521" w:rightChars="-248"/>
        <w:jc w:val="left"/>
        <w:textAlignment w:val="auto"/>
        <w:outlineLvl w:val="1"/>
        <w:rPr>
          <w:rFonts w:hint="eastAsia" w:ascii="宋体" w:hAnsi="宋体" w:eastAsia="宋体" w:cs="宋体"/>
          <w:b/>
          <w:bCs/>
          <w:color w:val="auto"/>
          <w:kern w:val="0"/>
          <w:sz w:val="21"/>
          <w:szCs w:val="21"/>
          <w:highlight w:val="none"/>
          <w:lang w:val="zh-CN" w:eastAsia="zh-CN"/>
        </w:rPr>
      </w:pPr>
      <w:bookmarkStart w:id="214" w:name="_Toc18614"/>
      <w:bookmarkStart w:id="215" w:name="_Toc14789"/>
      <w:bookmarkStart w:id="216" w:name="_Toc26794"/>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val="zh-CN" w:eastAsia="zh-CN"/>
        </w:rPr>
        <w:t>工程量清单编制说明</w:t>
      </w:r>
      <w:bookmarkEnd w:id="214"/>
      <w:bookmarkEnd w:id="215"/>
      <w:bookmarkEnd w:id="216"/>
    </w:p>
    <w:p w14:paraId="744BC4A0">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.1本工程量清单是依据现行国家标准《建设工程工程量清单计价规范》（GB50500-2013）及其9本计算规范（以下简称“计价规范”）、地方规定以及招标文件中包括的图纸等编制。</w:t>
      </w:r>
    </w:p>
    <w:p w14:paraId="1BA7E5E3">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.2本工程量清单应与招标文件中的投标人须知、通用合同条款、专用合同条款、技术标准和要求及图纸等章节内容一起阅读和理解。</w:t>
      </w:r>
    </w:p>
    <w:p w14:paraId="54B12D36">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.3本工程量清单仅是投标报价的共同基础，竣工结算的工程量按合同约定确定。合同价格的确定以及价款支付应遵循合同条款（包括通用合同条款和专用合同条款）、技术标准和要求以及本章的有关约定。</w:t>
      </w:r>
    </w:p>
    <w:p w14:paraId="55ED4E82">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.4本条第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.1款中约定的计量和计价规则适用于合同履约过程中工程量计量与价款支付、工程变更、索赔和工程结算。</w:t>
      </w:r>
    </w:p>
    <w:p w14:paraId="1C7B315D">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.5本条与本章第</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条和第</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条的说明内容是构成合同文件的已标价工程量清单的组成部分。</w:t>
      </w:r>
    </w:p>
    <w:p w14:paraId="3340ED48">
      <w:pPr>
        <w:keepNext w:val="0"/>
        <w:keepLines w:val="0"/>
        <w:pageBreakBefore w:val="0"/>
        <w:widowControl w:val="0"/>
        <w:kinsoku/>
        <w:wordWrap/>
        <w:overflowPunct/>
        <w:topLinePunct w:val="0"/>
        <w:autoSpaceDE w:val="0"/>
        <w:autoSpaceDN w:val="0"/>
        <w:bidi w:val="0"/>
        <w:adjustRightInd w:val="0"/>
        <w:snapToGrid/>
        <w:spacing w:line="440" w:lineRule="exact"/>
        <w:ind w:right="-521" w:rightChars="-248"/>
        <w:jc w:val="left"/>
        <w:textAlignment w:val="auto"/>
        <w:outlineLvl w:val="1"/>
        <w:rPr>
          <w:rFonts w:hint="eastAsia" w:ascii="宋体" w:hAnsi="宋体" w:eastAsia="宋体" w:cs="宋体"/>
          <w:b/>
          <w:bCs/>
          <w:color w:val="auto"/>
          <w:kern w:val="0"/>
          <w:sz w:val="21"/>
          <w:szCs w:val="21"/>
          <w:highlight w:val="none"/>
          <w:lang w:val="zh-CN" w:eastAsia="zh-CN"/>
        </w:rPr>
      </w:pPr>
      <w:bookmarkStart w:id="217" w:name="_Toc28726"/>
      <w:bookmarkStart w:id="218" w:name="_Toc7016"/>
      <w:bookmarkStart w:id="219" w:name="_Toc10671"/>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lang w:val="zh-CN" w:eastAsia="zh-CN"/>
        </w:rPr>
        <w:t>投标报价编制要求</w:t>
      </w:r>
      <w:bookmarkEnd w:id="217"/>
      <w:bookmarkEnd w:id="218"/>
      <w:bookmarkEnd w:id="219"/>
    </w:p>
    <w:p w14:paraId="3E5E2781">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 xml:space="preserve">.1投标报价应根据招标文件中的有关计价要求，并按照下列依据自主报价，但不得低于成本。 </w:t>
      </w:r>
    </w:p>
    <w:p w14:paraId="42424ADC">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（1）本</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lang w:val="zh-CN" w:eastAsia="zh-CN"/>
        </w:rPr>
        <w:t>；</w:t>
      </w:r>
    </w:p>
    <w:p w14:paraId="6E4A8070">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（2）《建设工程工程量清单计价规范》 (GB50500-2013) 及其 9 本计算规范；</w:t>
      </w:r>
    </w:p>
    <w:p w14:paraId="0E94296F">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（3）国家或省级、行业建设主管部门颁发的计价办法；</w:t>
      </w:r>
    </w:p>
    <w:p w14:paraId="41C38BFD">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（4）企业定额，国家或省级、行业建设主管部门颁发的计价定额；</w:t>
      </w:r>
    </w:p>
    <w:p w14:paraId="3FC7EF91">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（5）</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lang w:val="zh-CN" w:eastAsia="zh-CN"/>
        </w:rPr>
        <w:t>、招标工程量清单及其补充通知、答疑纪要；</w:t>
      </w:r>
    </w:p>
    <w:p w14:paraId="6928E8F8">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（6）建设工程设计文件及相关资料；</w:t>
      </w:r>
    </w:p>
    <w:p w14:paraId="3E630D04">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（7）施工现场情况、工程特点及拟定的投标施工组织设计或施工方案；</w:t>
      </w:r>
    </w:p>
    <w:p w14:paraId="240495EE">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（8）与建设项目相关的标准、规范等技术资料；</w:t>
      </w:r>
    </w:p>
    <w:p w14:paraId="00F1215C">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（9）市场价格信息或工程造价管理机构发布的工程造价信息；</w:t>
      </w:r>
    </w:p>
    <w:p w14:paraId="5731D8EB">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（10）其他相关资料。</w:t>
      </w:r>
    </w:p>
    <w:p w14:paraId="69BB6FF8">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.2招标工程量清单与计价表中列明的所有需要填写单价和合价的项目，均应填写且只允许有一个报价。未填写单价和合价的项目，视为此项费用已包含在已标价工程量清单中其他项目的单价和合价之中。</w:t>
      </w:r>
    </w:p>
    <w:p w14:paraId="31C580E5">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.3工程量清单中标价的单价或金额，应包括所需人工费、材料费、施工机具使用费、管理费和利润，以及一定范围内的风险费用。所谓“一定范围内的风险”是指合同约定的风险。</w:t>
      </w:r>
    </w:p>
    <w:p w14:paraId="4D2D011B">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4“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14:paraId="3E07E87D">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.5分部分项工程和措施项目中的单价项目按下列要求报价：</w:t>
      </w:r>
    </w:p>
    <w:p w14:paraId="68E4D615">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.5.1分部分项工程和措施项目中的单价项目，应根据招标文件和招标工程量清单确定综合单价。</w:t>
      </w:r>
    </w:p>
    <w:p w14:paraId="4B4976E9">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.5.2如果分部分项工程量清单中涉及“材料（工程设备）暂估单价及调整表”中列出的材料和工程设备，将该类材料和工程设备的暂估单价计入对应的工程量清单综合单价。</w:t>
      </w:r>
    </w:p>
    <w:p w14:paraId="10833086">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5.3如果分部分项工程量清单中涉及“发包人供应材料和工程设备一览表”中列出的材料和工程设备，则该类材料和工程设备供应至现场指定位置的采购供应价（含材料保管费）应计入对应的工程量清单综合单价。</w:t>
      </w:r>
    </w:p>
    <w:p w14:paraId="407640A7">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.5.4“分部分项工程和单价措施项目清单与计价表”所列各项目的综合单价组成中，各项目的人工、材料和机械台班消耗量、管理费费率、利润费率由投标人按照其自身情况做充分的、竞争性考虑。</w:t>
      </w:r>
    </w:p>
    <w:p w14:paraId="10CA1BCE">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.5.5投标人在投标文件中提交并构成合同文件的“承包人供应主要材料和工程设备一览表”中所列的材料和工程设备的价格是指此类材料和工程设备到达施工现场指定堆放地点的落地价格，</w:t>
      </w:r>
    </w:p>
    <w:p w14:paraId="1BA1A8AE">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即包括采购、包装、运输、装卸、堆放、现场保管等全部费用。“承包人供应主要材料和工程设备一览表”中所列材料和工程设备的价格应与构成综合单价相应材料或工程设备的价格一致。投标文件中的“发包人供应材料和工程设备一览表”中的甲供材料的名称、规格、单价、交货方式、交货地点等必须与招标工程量清单一致。</w:t>
      </w:r>
    </w:p>
    <w:p w14:paraId="5DFB8E77">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.6措施项目中的总价项目按下列要求报价：</w:t>
      </w:r>
    </w:p>
    <w:p w14:paraId="69FA06F4">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.6.1总价措施项目中，以费率计算的，投标单位在投标报价时自主报价；其他总价措施项目，按项计取，综合单价按实际或可能发生的费用进行计算。</w:t>
      </w:r>
    </w:p>
    <w:p w14:paraId="520F50B1">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.6.2措施项目清单中的安全文明施工费应按国家、省级或行业建设主管部门的规定计价，不得作为竞争性费用。</w:t>
      </w:r>
    </w:p>
    <w:p w14:paraId="29A97592">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6.3招标人提供的措施项目清单，投标人在报价时应充分、全面地阅读和理解招标文件的相关内容和约定，包括第七章“技术标准和要求”的相关约定，详实了解工程场地及其周围环境，充分考虑招标工程特点及拟定的施工方案和施工组织设计，投标人应根据工程实际与施工组织设计综合考虑措施项目，不得更改招标人已列措施项目。</w:t>
      </w:r>
    </w:p>
    <w:p w14:paraId="431443C9">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.6.4 “总价措施项目清单与计价表”中所填写的报价金额，应全面涵盖招标文件约定的投标人中标后施工、竣工、交付本工程并维修其任何缺陷所需要履行的责任和义务的全部费用。</w:t>
      </w:r>
    </w:p>
    <w:p w14:paraId="480085E6">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.7其他项目清单费应按下列规定报价：</w:t>
      </w:r>
    </w:p>
    <w:p w14:paraId="7AA2EE0B">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.7.1暂列金额按“暂列金额明细表”中列出的金额报价，此处的暂列金额是招标人在招标文件中统一给定的，并不包括本章第 2.7.3 项的计日工金额。</w:t>
      </w:r>
    </w:p>
    <w:p w14:paraId="45BAD8EB">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 xml:space="preserve">.7.2暂估价分为材料和工程设备暂估单价和专业工程暂估价两类。其中的材料和工程设备暂估单价按本节第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 xml:space="preserve">.5.2 项的报价原则进入分部分项工程量清单之综合单价，不在其他项目清单中汇总；专业工程暂估价直接按“专业工程暂估价及结算价表”中列出的金额和本节第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.3.3 项的报价原则计入其他项目清单报价。</w:t>
      </w:r>
    </w:p>
    <w:p w14:paraId="375F9EE5">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.7.3计日工按“计日工表”中列出的项目和估算数量，自主确定综合单价并计算计日工金额。</w:t>
      </w:r>
    </w:p>
    <w:p w14:paraId="3CE156B1">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.7.4总承包服务费根据招标文件中列出的内容和要求，按“总承包服务费计价表”所列格式自主报价。</w:t>
      </w:r>
    </w:p>
    <w:p w14:paraId="43F5A773">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.8规费和税金应按“规费、税金项目计价表”所列项目并根据国家、省级或行业建设主管部门的有关规定列项和计算，不得作为竞争性费用。</w:t>
      </w:r>
    </w:p>
    <w:p w14:paraId="0E5040F6">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.9除招标文件有强制性规定以及不可竞争部分以外，投标报价由投标人自主确定，但不得低于成本。</w:t>
      </w:r>
    </w:p>
    <w:p w14:paraId="34D24A5F">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10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14:paraId="6949E733">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.11管理费应由投标人在保证不低于其成本的基础上做竞争性考虑；利润由投标人根据自身情况和综合实力做竞争性考虑。</w:t>
      </w:r>
    </w:p>
    <w:p w14:paraId="5E8867DC">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.12投标报价中应考虑招标文件中要求投标人承担的风险范围以及相关的费用。</w:t>
      </w:r>
    </w:p>
    <w:p w14:paraId="5C60D555">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.13投标总价为投标人在投标文件中提出的各项支付金额的总和，为实施、完成招标工程并修补缺陷以及履行招标文件中约定的风险范围内的所有责任和义务所发生的全部费用。</w:t>
      </w:r>
    </w:p>
    <w:p w14:paraId="1FFA517E">
      <w:pPr>
        <w:keepNext w:val="0"/>
        <w:keepLines w:val="0"/>
        <w:pageBreakBefore w:val="0"/>
        <w:widowControl w:val="0"/>
        <w:kinsoku/>
        <w:wordWrap/>
        <w:overflowPunct/>
        <w:topLinePunct w:val="0"/>
        <w:autoSpaceDE w:val="0"/>
        <w:autoSpaceDN w:val="0"/>
        <w:bidi w:val="0"/>
        <w:adjustRightInd w:val="0"/>
        <w:snapToGrid/>
        <w:spacing w:line="440" w:lineRule="exact"/>
        <w:ind w:right="-521" w:rightChars="-248"/>
        <w:jc w:val="left"/>
        <w:textAlignment w:val="auto"/>
        <w:outlineLvl w:val="1"/>
        <w:rPr>
          <w:rFonts w:hint="eastAsia" w:ascii="宋体" w:hAnsi="宋体" w:eastAsia="宋体" w:cs="宋体"/>
          <w:b/>
          <w:bCs/>
          <w:color w:val="auto"/>
          <w:kern w:val="0"/>
          <w:sz w:val="21"/>
          <w:szCs w:val="21"/>
          <w:highlight w:val="none"/>
          <w:lang w:val="zh-CN" w:eastAsia="zh-CN"/>
        </w:rPr>
      </w:pPr>
      <w:bookmarkStart w:id="220" w:name="_Toc25420"/>
      <w:bookmarkStart w:id="221" w:name="_Toc31432"/>
      <w:bookmarkStart w:id="222" w:name="_Toc25038"/>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zh-CN" w:eastAsia="zh-CN"/>
        </w:rPr>
        <w:t>其他说明</w:t>
      </w:r>
      <w:bookmarkEnd w:id="220"/>
      <w:bookmarkEnd w:id="221"/>
      <w:bookmarkEnd w:id="222"/>
    </w:p>
    <w:p w14:paraId="2C5CCD03">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.1 词语和定义</w:t>
      </w:r>
    </w:p>
    <w:p w14:paraId="616FBE67">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.1.1 同义词语</w:t>
      </w:r>
    </w:p>
    <w:p w14:paraId="455E349B">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本章中使用的词语“招标人”和“投标人”分别与合同条款中定义的“发包人”和“承包人”同义。</w:t>
      </w:r>
    </w:p>
    <w:p w14:paraId="2B5F998E">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.2工程量差异调整</w:t>
      </w:r>
    </w:p>
    <w:p w14:paraId="4921B4BE">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.2.1工程量清单中的项目列项、特征描述、工作内容以及“分部分项工程和单价措施项目清单与计价表”中附带的工程量都不应理解为是对承包（招标）范围以及合同工作内容的唯一的、最终的或全部的定义。</w:t>
      </w:r>
    </w:p>
    <w:p w14:paraId="741375A5">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2.2投标人可对招标人提供的工程量清单进行复核。这种复核包括对招标人提供的工程量清单中的项目编码、项目名称、项目特征描述、计量单位、工程量的准确性以及可能存在的任何书写、打印错误进行检查和复核，也包括对“分部分项工程和单价措施项目清单与计价表”中每个工作项目的工程量进行重新计算和校核。如果投标人经过检查和复核认为招标人提供的工程量清单存在差异，则投标人</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CN" w:eastAsia="zh-CN"/>
        </w:rPr>
        <w:t>向招标人提出异议。</w:t>
      </w:r>
    </w:p>
    <w:p w14:paraId="69A15F8A">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 xml:space="preserve">.2.4如果招标人在检查投标人根据上文第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.2.2 项提交的工程量差异问题后认为没有必要对工程量清单进行补充和（或）修改，或者招标人根据上文第</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.2.2 项对工程量清单进行了补充和（或）修改，但投标人认为工程量清单中的工程量依然存在差异，则此类差异不再提交招标人答疑和修正，而是直接按招标人提供的工程量清单（包括招标人可能的补充和(或)修改）进行投标报价。</w:t>
      </w:r>
    </w:p>
    <w:p w14:paraId="2B189913">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投标人在按照工程量清单进行报价时，除按照本节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.6.3 项要求对招标人提供的措施项目清单项目增补外，不得改变（包括对工程量清单项目的项目名称、项目特征描述、计量单位以及工程量的任何修改、增加或减少）招标人提供的分部分项工程量清单和其他项目清单。即使按照图纸和招标范围的约定并不存在的项目，只要在招标人提供的分部分项工程量清单中已经列明，投标人都需要对其报价，并纳入投标总价的计算。</w:t>
      </w:r>
    </w:p>
    <w:p w14:paraId="63429ADD">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.3暂列金额和暂估价</w:t>
      </w:r>
    </w:p>
    <w:p w14:paraId="3D757271">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.3.1“暂列金额明细表”中所列暂列金额（不包括计日工金额） 中已经包含与其对应的管理费、利润。投标人应按本招标文件规定将此类暂列金额直接纳入其他项目清单的投标价格中。</w:t>
      </w:r>
    </w:p>
    <w:p w14:paraId="04C3C3B2">
      <w:pPr>
        <w:keepNext w:val="0"/>
        <w:keepLines w:val="0"/>
        <w:pageBreakBefore w:val="0"/>
        <w:widowControl w:val="0"/>
        <w:kinsoku/>
        <w:wordWrap/>
        <w:overflowPunct/>
        <w:topLinePunct w:val="0"/>
        <w:autoSpaceDE/>
        <w:autoSpaceDN/>
        <w:bidi w:val="0"/>
        <w:adjustRightInd/>
        <w:snapToGrid/>
        <w:spacing w:line="440" w:lineRule="exact"/>
        <w:ind w:left="130" w:right="-521" w:rightChars="-248" w:firstLine="422"/>
        <w:textAlignment w:val="auto"/>
        <w:rPr>
          <w:rFonts w:hint="eastAsia" w:ascii="宋体" w:hAnsi="宋体" w:cs="宋体"/>
          <w:b/>
          <w:bCs/>
          <w:sz w:val="32"/>
          <w:szCs w:val="32"/>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.3.3专业工程暂估价及结算价表中所列的专业工程暂估价已经包含与其对应的管理费、利润，但不含规费和税金。投标人应按本招标文件规定将此类暂估价直接纳入其他项目清单的投标价格中。</w:t>
      </w:r>
      <w:r>
        <w:rPr>
          <w:rFonts w:hint="eastAsia" w:ascii="宋体" w:hAnsi="宋体" w:cs="宋体"/>
          <w:b/>
          <w:bCs/>
          <w:sz w:val="32"/>
          <w:szCs w:val="32"/>
          <w:highlight w:val="none"/>
          <w:lang w:val="en-US" w:eastAsia="zh-CN"/>
        </w:rPr>
        <w:br w:type="page"/>
      </w:r>
    </w:p>
    <w:p w14:paraId="115DAB33">
      <w:pPr>
        <w:spacing w:line="440" w:lineRule="exact"/>
        <w:ind w:right="-739" w:rightChars="-352"/>
        <w:jc w:val="center"/>
        <w:outlineLvl w:val="0"/>
        <w:rPr>
          <w:rFonts w:hint="default" w:ascii="宋体" w:hAnsi="宋体" w:eastAsia="宋体" w:cs="宋体"/>
          <w:b/>
          <w:bCs/>
          <w:sz w:val="32"/>
          <w:szCs w:val="32"/>
          <w:highlight w:val="none"/>
          <w:lang w:val="en-US" w:eastAsia="zh-CN"/>
        </w:rPr>
      </w:pPr>
      <w:bookmarkStart w:id="223" w:name="_Toc2317"/>
      <w:r>
        <w:rPr>
          <w:rFonts w:hint="eastAsia" w:ascii="宋体" w:hAnsi="宋体" w:cs="宋体"/>
          <w:b/>
          <w:bCs/>
          <w:sz w:val="32"/>
          <w:szCs w:val="32"/>
          <w:highlight w:val="none"/>
          <w:lang w:eastAsia="zh-CN"/>
        </w:rPr>
        <w:t>第</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lang w:eastAsia="zh-CN"/>
        </w:rPr>
        <w:t>章</w:t>
      </w:r>
      <w:r>
        <w:rPr>
          <w:rFonts w:hint="eastAsia" w:ascii="宋体" w:hAnsi="宋体" w:cs="宋体"/>
          <w:b/>
          <w:bCs/>
          <w:sz w:val="32"/>
          <w:szCs w:val="32"/>
          <w:highlight w:val="none"/>
        </w:rPr>
        <w:t xml:space="preserve">  </w:t>
      </w:r>
      <w:r>
        <w:rPr>
          <w:rFonts w:hint="eastAsia" w:ascii="宋体" w:hAnsi="宋体" w:cs="宋体"/>
          <w:b/>
          <w:bCs/>
          <w:sz w:val="32"/>
          <w:szCs w:val="32"/>
          <w:highlight w:val="none"/>
          <w:lang w:val="en-US" w:eastAsia="zh-CN"/>
        </w:rPr>
        <w:t>图纸</w:t>
      </w:r>
      <w:bookmarkEnd w:id="223"/>
    </w:p>
    <w:p w14:paraId="567B8248">
      <w:pPr>
        <w:widowControl/>
        <w:spacing w:line="440" w:lineRule="exact"/>
        <w:ind w:right="-739" w:rightChars="-352" w:firstLine="420" w:firstLineChars="200"/>
        <w:jc w:val="left"/>
        <w:rPr>
          <w:rFonts w:hint="eastAsia" w:ascii="宋体" w:hAnsi="宋体" w:cs="宋体"/>
          <w:color w:val="000008"/>
          <w:kern w:val="0"/>
          <w:szCs w:val="21"/>
          <w:highlight w:val="none"/>
          <w:lang w:val="en-US" w:eastAsia="zh-CN" w:bidi="ar"/>
        </w:rPr>
      </w:pPr>
    </w:p>
    <w:p w14:paraId="0972C0E3">
      <w:pPr>
        <w:widowControl/>
        <w:spacing w:line="440" w:lineRule="exact"/>
        <w:ind w:right="-739" w:rightChars="-352" w:firstLine="420" w:firstLineChars="200"/>
        <w:jc w:val="left"/>
        <w:rPr>
          <w:rFonts w:hint="default" w:ascii="宋体" w:hAnsi="宋体" w:eastAsia="宋体" w:cs="宋体"/>
          <w:color w:val="000008"/>
          <w:kern w:val="0"/>
          <w:szCs w:val="21"/>
          <w:highlight w:val="none"/>
          <w:lang w:val="en-US" w:eastAsia="zh-CN" w:bidi="ar"/>
        </w:rPr>
      </w:pPr>
      <w:r>
        <w:rPr>
          <w:rFonts w:hint="eastAsia" w:ascii="宋体" w:hAnsi="宋体" w:cs="宋体"/>
          <w:color w:val="000008"/>
          <w:kern w:val="0"/>
          <w:szCs w:val="21"/>
          <w:highlight w:val="none"/>
          <w:lang w:val="en-US" w:eastAsia="zh-CN" w:bidi="ar"/>
        </w:rPr>
        <w:t>投标人在公告下方自行下载。</w:t>
      </w:r>
    </w:p>
    <w:p w14:paraId="7ED05F2E">
      <w:pP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br w:type="page"/>
      </w:r>
    </w:p>
    <w:p w14:paraId="6398E16F">
      <w:pPr>
        <w:spacing w:line="440" w:lineRule="exact"/>
        <w:ind w:right="-739" w:rightChars="-352"/>
        <w:jc w:val="center"/>
        <w:outlineLvl w:val="0"/>
        <w:rPr>
          <w:rFonts w:hint="eastAsia" w:ascii="宋体" w:hAnsi="宋体" w:cs="宋体"/>
          <w:b/>
          <w:bCs/>
          <w:sz w:val="32"/>
          <w:szCs w:val="32"/>
          <w:highlight w:val="none"/>
        </w:rPr>
      </w:pPr>
      <w:bookmarkStart w:id="224" w:name="_Toc1582"/>
      <w:r>
        <w:rPr>
          <w:rFonts w:hint="eastAsia" w:ascii="宋体" w:hAnsi="宋体" w:cs="宋体"/>
          <w:b/>
          <w:bCs/>
          <w:sz w:val="32"/>
          <w:szCs w:val="32"/>
          <w:highlight w:val="none"/>
          <w:lang w:val="en-US" w:eastAsia="zh-CN"/>
        </w:rPr>
        <w:t xml:space="preserve">第七章  </w:t>
      </w:r>
      <w:r>
        <w:rPr>
          <w:rFonts w:hint="eastAsia" w:ascii="宋体" w:hAnsi="宋体" w:cs="宋体"/>
          <w:b/>
          <w:bCs/>
          <w:sz w:val="32"/>
          <w:szCs w:val="32"/>
          <w:highlight w:val="none"/>
        </w:rPr>
        <w:t>合同条款</w:t>
      </w:r>
      <w:bookmarkEnd w:id="193"/>
      <w:bookmarkEnd w:id="194"/>
      <w:bookmarkEnd w:id="195"/>
      <w:bookmarkEnd w:id="196"/>
      <w:bookmarkEnd w:id="197"/>
      <w:bookmarkEnd w:id="198"/>
      <w:bookmarkEnd w:id="199"/>
      <w:bookmarkEnd w:id="203"/>
      <w:bookmarkEnd w:id="224"/>
      <w:bookmarkStart w:id="225" w:name="_Toc28124"/>
      <w:bookmarkStart w:id="226" w:name="_Toc23323"/>
      <w:bookmarkStart w:id="227" w:name="_Toc11740"/>
      <w:bookmarkStart w:id="228" w:name="_Toc11580"/>
    </w:p>
    <w:p w14:paraId="7B0D4A18">
      <w:pPr>
        <w:autoSpaceDE w:val="0"/>
        <w:autoSpaceDN w:val="0"/>
        <w:adjustRightInd w:val="0"/>
        <w:spacing w:line="360" w:lineRule="auto"/>
        <w:ind w:right="-739" w:rightChars="-352"/>
        <w:jc w:val="center"/>
        <w:rPr>
          <w:rFonts w:hint="eastAsia" w:ascii="宋体" w:hAnsi="宋体" w:cs="宋体"/>
          <w:b/>
          <w:bCs/>
          <w:kern w:val="0"/>
          <w:sz w:val="52"/>
          <w:szCs w:val="52"/>
          <w:highlight w:val="none"/>
        </w:rPr>
      </w:pPr>
    </w:p>
    <w:p w14:paraId="158FB36F">
      <w:pPr>
        <w:pStyle w:val="8"/>
        <w:spacing w:line="249" w:lineRule="auto"/>
        <w:rPr>
          <w:rFonts w:hint="eastAsia" w:ascii="宋体" w:hAnsi="宋体" w:eastAsia="宋体" w:cs="宋体"/>
          <w:color w:val="auto"/>
          <w:highlight w:val="none"/>
          <w:lang w:eastAsia="zh-CN"/>
        </w:rPr>
      </w:pPr>
      <w:bookmarkStart w:id="229" w:name="_Toc3728"/>
      <w:bookmarkStart w:id="230" w:name="_Toc15112"/>
      <w:bookmarkStart w:id="231" w:name="_Toc31942"/>
      <w:bookmarkStart w:id="232" w:name="_Toc18240"/>
    </w:p>
    <w:p w14:paraId="13C823A7">
      <w:pPr>
        <w:pStyle w:val="8"/>
        <w:spacing w:line="249" w:lineRule="auto"/>
        <w:rPr>
          <w:rFonts w:hint="eastAsia" w:ascii="宋体" w:hAnsi="宋体" w:eastAsia="宋体" w:cs="宋体"/>
          <w:color w:val="auto"/>
          <w:highlight w:val="none"/>
        </w:rPr>
      </w:pPr>
    </w:p>
    <w:p w14:paraId="367C3502">
      <w:pPr>
        <w:pStyle w:val="8"/>
        <w:spacing w:line="249" w:lineRule="auto"/>
        <w:rPr>
          <w:rFonts w:hint="eastAsia" w:ascii="宋体" w:hAnsi="宋体" w:eastAsia="宋体" w:cs="宋体"/>
          <w:color w:val="auto"/>
          <w:highlight w:val="none"/>
        </w:rPr>
      </w:pPr>
    </w:p>
    <w:p w14:paraId="3410869E">
      <w:pPr>
        <w:pStyle w:val="8"/>
        <w:spacing w:line="249" w:lineRule="auto"/>
        <w:rPr>
          <w:rFonts w:hint="eastAsia" w:ascii="宋体" w:hAnsi="宋体" w:eastAsia="宋体" w:cs="宋体"/>
          <w:color w:val="auto"/>
          <w:highlight w:val="none"/>
        </w:rPr>
      </w:pPr>
    </w:p>
    <w:p w14:paraId="5C3FE4EE">
      <w:pPr>
        <w:pStyle w:val="8"/>
        <w:spacing w:line="249" w:lineRule="auto"/>
        <w:rPr>
          <w:rFonts w:hint="eastAsia" w:ascii="宋体" w:hAnsi="宋体" w:eastAsia="宋体" w:cs="宋体"/>
          <w:color w:val="auto"/>
          <w:highlight w:val="none"/>
        </w:rPr>
      </w:pPr>
    </w:p>
    <w:p w14:paraId="44D59653">
      <w:pPr>
        <w:spacing w:before="234" w:line="220" w:lineRule="auto"/>
        <w:ind w:left="1269"/>
        <w:rPr>
          <w:rFonts w:hint="eastAsia" w:ascii="宋体" w:hAnsi="宋体" w:eastAsia="宋体" w:cs="宋体"/>
          <w:color w:val="auto"/>
          <w:sz w:val="72"/>
          <w:szCs w:val="72"/>
          <w:highlight w:val="none"/>
        </w:rPr>
      </w:pPr>
      <w:r>
        <w:rPr>
          <w:rFonts w:hint="eastAsia" w:ascii="宋体" w:hAnsi="宋体" w:eastAsia="宋体" w:cs="宋体"/>
          <w:b/>
          <w:bCs/>
          <w:color w:val="auto"/>
          <w:spacing w:val="1"/>
          <w:sz w:val="72"/>
          <w:szCs w:val="72"/>
          <w:highlight w:val="none"/>
        </w:rPr>
        <w:t>建设工程施工合同</w:t>
      </w:r>
    </w:p>
    <w:p w14:paraId="1130212A">
      <w:pPr>
        <w:spacing w:before="57" w:line="221" w:lineRule="auto"/>
        <w:ind w:left="2591"/>
        <w:rPr>
          <w:rFonts w:hint="eastAsia"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（示范文本）</w:t>
      </w:r>
    </w:p>
    <w:p w14:paraId="37A509F1">
      <w:pPr>
        <w:spacing w:before="23" w:line="226" w:lineRule="auto"/>
        <w:ind w:left="2937"/>
        <w:rPr>
          <w:rFonts w:hint="eastAsia" w:ascii="宋体" w:hAnsi="宋体" w:eastAsia="宋体" w:cs="宋体"/>
          <w:color w:val="auto"/>
          <w:sz w:val="31"/>
          <w:szCs w:val="31"/>
          <w:highlight w:val="none"/>
        </w:rPr>
      </w:pPr>
      <w:r>
        <w:rPr>
          <w:rFonts w:hint="eastAsia" w:ascii="宋体" w:hAnsi="宋体" w:eastAsia="宋体" w:cs="宋体"/>
          <w:color w:val="auto"/>
          <w:spacing w:val="4"/>
          <w:sz w:val="31"/>
          <w:szCs w:val="31"/>
          <w:highlight w:val="none"/>
        </w:rPr>
        <w:t>(</w:t>
      </w:r>
      <w:r>
        <w:rPr>
          <w:rFonts w:hint="eastAsia" w:ascii="宋体" w:hAnsi="宋体" w:eastAsia="宋体" w:cs="宋体"/>
          <w:color w:val="auto"/>
          <w:sz w:val="31"/>
          <w:szCs w:val="31"/>
          <w:highlight w:val="none"/>
        </w:rPr>
        <w:t>GF</w:t>
      </w:r>
      <w:r>
        <w:rPr>
          <w:rFonts w:hint="eastAsia" w:ascii="宋体" w:hAnsi="宋体" w:eastAsia="宋体" w:cs="宋体"/>
          <w:color w:val="auto"/>
          <w:spacing w:val="4"/>
          <w:sz w:val="31"/>
          <w:szCs w:val="31"/>
          <w:highlight w:val="none"/>
        </w:rPr>
        <w:t>—2017—0201)</w:t>
      </w:r>
    </w:p>
    <w:p w14:paraId="6B06DB7F">
      <w:pPr>
        <w:spacing w:line="226" w:lineRule="auto"/>
        <w:rPr>
          <w:rFonts w:hint="eastAsia" w:ascii="宋体" w:hAnsi="宋体" w:eastAsia="宋体" w:cs="宋体"/>
          <w:color w:val="auto"/>
          <w:sz w:val="31"/>
          <w:szCs w:val="31"/>
          <w:highlight w:val="none"/>
        </w:rPr>
        <w:sectPr>
          <w:footerReference r:id="rId4" w:type="default"/>
          <w:pgSz w:w="11910" w:h="16845"/>
          <w:pgMar w:top="1440" w:right="1800" w:bottom="1440" w:left="1800" w:header="0" w:footer="810" w:gutter="0"/>
          <w:pgNumType w:fmt="decimal" w:start="1"/>
          <w:cols w:space="720" w:num="1"/>
        </w:sectPr>
      </w:pPr>
    </w:p>
    <w:p w14:paraId="2E85AF79">
      <w:pPr>
        <w:spacing w:before="98" w:line="219" w:lineRule="auto"/>
        <w:ind w:left="2901" w:right="-729" w:rightChars="-347"/>
        <w:outlineLvl w:val="1"/>
        <w:rPr>
          <w:rFonts w:hint="eastAsia" w:ascii="宋体" w:hAnsi="宋体" w:eastAsia="宋体" w:cs="宋体"/>
          <w:color w:val="auto"/>
          <w:sz w:val="30"/>
          <w:szCs w:val="30"/>
          <w:highlight w:val="none"/>
        </w:rPr>
      </w:pPr>
      <w:bookmarkStart w:id="233" w:name="_Toc16721"/>
      <w:bookmarkStart w:id="234" w:name="_Toc9249"/>
      <w:bookmarkStart w:id="235" w:name="_Toc26253"/>
      <w:r>
        <w:rPr>
          <w:rFonts w:hint="eastAsia" w:ascii="宋体" w:hAnsi="宋体" w:eastAsia="宋体" w:cs="宋体"/>
          <w:b/>
          <w:bCs/>
          <w:color w:val="auto"/>
          <w:spacing w:val="6"/>
          <w:sz w:val="30"/>
          <w:szCs w:val="30"/>
          <w:highlight w:val="none"/>
        </w:rPr>
        <w:t>第一部分</w:t>
      </w:r>
      <w:r>
        <w:rPr>
          <w:rFonts w:hint="eastAsia" w:ascii="宋体" w:hAnsi="宋体" w:eastAsia="宋体" w:cs="宋体"/>
          <w:color w:val="auto"/>
          <w:spacing w:val="44"/>
          <w:sz w:val="30"/>
          <w:szCs w:val="30"/>
          <w:highlight w:val="none"/>
        </w:rPr>
        <w:t xml:space="preserve"> </w:t>
      </w:r>
      <w:r>
        <w:rPr>
          <w:rFonts w:hint="eastAsia" w:ascii="宋体" w:hAnsi="宋体" w:eastAsia="宋体" w:cs="宋体"/>
          <w:b/>
          <w:bCs/>
          <w:color w:val="auto"/>
          <w:spacing w:val="6"/>
          <w:sz w:val="30"/>
          <w:szCs w:val="30"/>
          <w:highlight w:val="none"/>
        </w:rPr>
        <w:t>合同协议书</w:t>
      </w:r>
      <w:bookmarkEnd w:id="233"/>
      <w:bookmarkEnd w:id="234"/>
      <w:bookmarkEnd w:id="235"/>
    </w:p>
    <w:p w14:paraId="5C8B65A1">
      <w:pPr>
        <w:keepNext w:val="0"/>
        <w:keepLines w:val="0"/>
        <w:pageBreakBefore w:val="0"/>
        <w:widowControl w:val="0"/>
        <w:kinsoku/>
        <w:wordWrap/>
        <w:overflowPunct/>
        <w:topLinePunct w:val="0"/>
        <w:autoSpaceDE/>
        <w:autoSpaceDN/>
        <w:bidi w:val="0"/>
        <w:adjustRightInd/>
        <w:snapToGrid/>
        <w:spacing w:line="440" w:lineRule="exact"/>
        <w:ind w:left="3" w:right="-729" w:rightChars="-347"/>
        <w:textAlignment w:val="auto"/>
        <w:rPr>
          <w:rFonts w:hint="eastAsia" w:ascii="宋体" w:hAnsi="宋体" w:eastAsia="宋体" w:cs="宋体"/>
          <w:b/>
          <w:bCs/>
          <w:color w:val="auto"/>
          <w:spacing w:val="-3"/>
          <w:sz w:val="21"/>
          <w:szCs w:val="21"/>
          <w:highlight w:val="none"/>
        </w:rPr>
      </w:pPr>
    </w:p>
    <w:p w14:paraId="19367C3C">
      <w:pPr>
        <w:keepNext w:val="0"/>
        <w:keepLines w:val="0"/>
        <w:pageBreakBefore w:val="0"/>
        <w:widowControl w:val="0"/>
        <w:kinsoku/>
        <w:wordWrap/>
        <w:overflowPunct/>
        <w:topLinePunct w:val="0"/>
        <w:autoSpaceDE/>
        <w:autoSpaceDN/>
        <w:bidi w:val="0"/>
        <w:adjustRightInd/>
        <w:snapToGrid/>
        <w:spacing w:line="440" w:lineRule="exact"/>
        <w:ind w:left="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发包人（全称</w:t>
      </w:r>
      <w:r>
        <w:rPr>
          <w:rFonts w:hint="eastAsia" w:ascii="宋体" w:hAnsi="宋体" w:eastAsia="宋体" w:cs="宋体"/>
          <w:b/>
          <w:bCs/>
          <w:color w:val="auto"/>
          <w:spacing w:val="-1"/>
          <w:sz w:val="21"/>
          <w:szCs w:val="21"/>
          <w:highlight w:val="none"/>
        </w:rPr>
        <w:t>）：</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7376A853">
      <w:pPr>
        <w:keepNext w:val="0"/>
        <w:keepLines w:val="0"/>
        <w:pageBreakBefore w:val="0"/>
        <w:widowControl w:val="0"/>
        <w:kinsoku/>
        <w:wordWrap/>
        <w:overflowPunct/>
        <w:topLinePunct w:val="0"/>
        <w:autoSpaceDE/>
        <w:autoSpaceDN/>
        <w:bidi w:val="0"/>
        <w:adjustRightInd/>
        <w:snapToGrid/>
        <w:spacing w:line="440" w:lineRule="exact"/>
        <w:ind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承包人（全称</w:t>
      </w:r>
      <w:r>
        <w:rPr>
          <w:rFonts w:hint="eastAsia" w:ascii="宋体" w:hAnsi="宋体" w:eastAsia="宋体" w:cs="宋体"/>
          <w:b/>
          <w:bCs/>
          <w:color w:val="auto"/>
          <w:spacing w:val="-1"/>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1F8891C3">
      <w:pPr>
        <w:keepNext w:val="0"/>
        <w:keepLines w:val="0"/>
        <w:pageBreakBefore w:val="0"/>
        <w:widowControl w:val="0"/>
        <w:kinsoku/>
        <w:wordWrap/>
        <w:overflowPunct/>
        <w:topLinePunct w:val="0"/>
        <w:autoSpaceDE/>
        <w:autoSpaceDN/>
        <w:bidi w:val="0"/>
        <w:adjustRightInd/>
        <w:snapToGrid/>
        <w:spacing w:line="440" w:lineRule="exact"/>
        <w:ind w:left="3" w:right="-729" w:rightChars="-347" w:firstLine="41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w:t>
      </w:r>
      <w:r>
        <w:rPr>
          <w:rFonts w:hint="eastAsia" w:ascii="宋体" w:hAnsi="宋体" w:eastAsia="宋体" w:cs="宋体"/>
          <w:color w:val="auto"/>
          <w:spacing w:val="-1"/>
          <w:sz w:val="21"/>
          <w:szCs w:val="21"/>
          <w:highlight w:val="none"/>
        </w:rPr>
        <w:t>民共和国建筑法》及有关法律规定，遵循平等、</w:t>
      </w:r>
      <w:r>
        <w:rPr>
          <w:rFonts w:hint="eastAsia" w:ascii="宋体" w:hAnsi="宋体" w:eastAsia="宋体" w:cs="宋体"/>
          <w:color w:val="auto"/>
          <w:spacing w:val="-6"/>
          <w:sz w:val="21"/>
          <w:szCs w:val="21"/>
          <w:highlight w:val="none"/>
        </w:rPr>
        <w:t>自愿、公平和诚实信用的原则，双方就</w:t>
      </w:r>
      <w:r>
        <w:rPr>
          <w:rFonts w:hint="eastAsia" w:ascii="宋体" w:hAnsi="宋体" w:eastAsia="宋体" w:cs="宋体"/>
          <w:b/>
          <w:bCs/>
          <w:color w:val="auto"/>
          <w:spacing w:val="-6"/>
          <w:sz w:val="21"/>
          <w:szCs w:val="21"/>
          <w:highlight w:val="none"/>
          <w:u w:val="single" w:color="auto"/>
          <w:lang w:eastAsia="zh-CN"/>
        </w:rPr>
        <w:t>钟秀西</w:t>
      </w:r>
      <w:r>
        <w:rPr>
          <w:rFonts w:hint="eastAsia" w:ascii="宋体" w:hAnsi="宋体" w:cs="宋体"/>
          <w:b/>
          <w:bCs/>
          <w:color w:val="auto"/>
          <w:spacing w:val="-6"/>
          <w:sz w:val="21"/>
          <w:szCs w:val="21"/>
          <w:highlight w:val="none"/>
          <w:u w:val="single" w:color="auto"/>
          <w:lang w:eastAsia="zh-CN"/>
        </w:rPr>
        <w:t>地铁大</w:t>
      </w:r>
      <w:r>
        <w:rPr>
          <w:rFonts w:hint="eastAsia" w:ascii="宋体" w:hAnsi="宋体" w:eastAsia="宋体" w:cs="宋体"/>
          <w:b/>
          <w:bCs/>
          <w:color w:val="auto"/>
          <w:spacing w:val="-6"/>
          <w:sz w:val="21"/>
          <w:szCs w:val="21"/>
          <w:highlight w:val="none"/>
          <w:u w:val="single" w:color="auto"/>
          <w:lang w:eastAsia="zh-CN"/>
        </w:rPr>
        <w:t>食堂改造工程</w:t>
      </w:r>
      <w:r>
        <w:rPr>
          <w:rFonts w:hint="eastAsia" w:ascii="宋体" w:hAnsi="宋体" w:eastAsia="宋体" w:cs="宋体"/>
          <w:color w:val="auto"/>
          <w:spacing w:val="-7"/>
          <w:sz w:val="21"/>
          <w:szCs w:val="21"/>
          <w:highlight w:val="none"/>
        </w:rPr>
        <w:t>施工及有</w:t>
      </w:r>
      <w:r>
        <w:rPr>
          <w:rFonts w:hint="eastAsia" w:ascii="宋体" w:hAnsi="宋体" w:eastAsia="宋体" w:cs="宋体"/>
          <w:color w:val="auto"/>
          <w:spacing w:val="-3"/>
          <w:sz w:val="21"/>
          <w:szCs w:val="21"/>
          <w:highlight w:val="none"/>
        </w:rPr>
        <w:t>关事项协商一致，共同达成如下协议：</w:t>
      </w:r>
    </w:p>
    <w:p w14:paraId="2FBB044D">
      <w:pPr>
        <w:keepNext w:val="0"/>
        <w:keepLines w:val="0"/>
        <w:pageBreakBefore w:val="0"/>
        <w:widowControl w:val="0"/>
        <w:kinsoku/>
        <w:wordWrap/>
        <w:overflowPunct/>
        <w:topLinePunct w:val="0"/>
        <w:autoSpaceDE/>
        <w:autoSpaceDN/>
        <w:bidi w:val="0"/>
        <w:adjustRightInd/>
        <w:snapToGrid/>
        <w:spacing w:line="440" w:lineRule="exact"/>
        <w:ind w:left="3"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一、工程概况</w:t>
      </w:r>
    </w:p>
    <w:p w14:paraId="0398FA4A">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1.工程名称：</w:t>
      </w:r>
      <w:r>
        <w:rPr>
          <w:rFonts w:hint="eastAsia" w:ascii="宋体" w:hAnsi="宋体" w:eastAsia="宋体" w:cs="宋体"/>
          <w:b/>
          <w:bCs/>
          <w:color w:val="auto"/>
          <w:spacing w:val="9"/>
          <w:sz w:val="21"/>
          <w:szCs w:val="21"/>
          <w:highlight w:val="none"/>
          <w:u w:val="single" w:color="auto"/>
          <w:lang w:eastAsia="zh-CN"/>
        </w:rPr>
        <w:t>钟秀西</w:t>
      </w:r>
      <w:r>
        <w:rPr>
          <w:rFonts w:hint="eastAsia" w:ascii="宋体" w:hAnsi="宋体" w:cs="宋体"/>
          <w:b/>
          <w:bCs/>
          <w:color w:val="auto"/>
          <w:spacing w:val="9"/>
          <w:sz w:val="21"/>
          <w:szCs w:val="21"/>
          <w:highlight w:val="none"/>
          <w:u w:val="single" w:color="auto"/>
          <w:lang w:eastAsia="zh-CN"/>
        </w:rPr>
        <w:t>地铁大</w:t>
      </w:r>
      <w:r>
        <w:rPr>
          <w:rFonts w:hint="eastAsia" w:ascii="宋体" w:hAnsi="宋体" w:eastAsia="宋体" w:cs="宋体"/>
          <w:b/>
          <w:bCs/>
          <w:color w:val="auto"/>
          <w:spacing w:val="9"/>
          <w:sz w:val="21"/>
          <w:szCs w:val="21"/>
          <w:highlight w:val="none"/>
          <w:u w:val="single" w:color="auto"/>
          <w:lang w:eastAsia="zh-CN"/>
        </w:rPr>
        <w:t>食堂改造工程</w:t>
      </w:r>
      <w:r>
        <w:rPr>
          <w:rFonts w:hint="eastAsia" w:ascii="宋体" w:hAnsi="宋体" w:eastAsia="宋体" w:cs="宋体"/>
          <w:color w:val="auto"/>
          <w:spacing w:val="9"/>
          <w:sz w:val="21"/>
          <w:szCs w:val="21"/>
          <w:highlight w:val="none"/>
        </w:rPr>
        <w:t>。</w:t>
      </w:r>
    </w:p>
    <w:p w14:paraId="0F42CDEA">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2.工程地点：</w:t>
      </w:r>
      <w:r>
        <w:rPr>
          <w:rFonts w:hint="eastAsia" w:ascii="宋体" w:hAnsi="宋体" w:eastAsia="宋体" w:cs="宋体"/>
          <w:b/>
          <w:bCs/>
          <w:color w:val="auto"/>
          <w:spacing w:val="6"/>
          <w:sz w:val="21"/>
          <w:szCs w:val="21"/>
          <w:highlight w:val="none"/>
          <w:u w:val="single" w:color="auto"/>
          <w:lang w:val="en-US" w:eastAsia="zh-CN"/>
        </w:rPr>
        <w:t xml:space="preserve">         </w:t>
      </w:r>
      <w:r>
        <w:rPr>
          <w:rFonts w:hint="eastAsia" w:ascii="宋体" w:hAnsi="宋体" w:eastAsia="宋体" w:cs="宋体"/>
          <w:color w:val="auto"/>
          <w:spacing w:val="6"/>
          <w:sz w:val="21"/>
          <w:szCs w:val="21"/>
          <w:highlight w:val="none"/>
        </w:rPr>
        <w:t>。</w:t>
      </w:r>
    </w:p>
    <w:p w14:paraId="1AD48318">
      <w:pPr>
        <w:keepNext w:val="0"/>
        <w:keepLines w:val="0"/>
        <w:pageBreakBefore w:val="0"/>
        <w:widowControl w:val="0"/>
        <w:kinsoku/>
        <w:wordWrap/>
        <w:overflowPunct/>
        <w:topLinePunct w:val="0"/>
        <w:autoSpaceDE/>
        <w:autoSpaceDN/>
        <w:bidi w:val="0"/>
        <w:adjustRightInd/>
        <w:snapToGrid/>
        <w:spacing w:line="440" w:lineRule="exact"/>
        <w:ind w:left="409"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3.工程立项批准文号：</w:t>
      </w:r>
      <w:r>
        <w:rPr>
          <w:rFonts w:hint="eastAsia" w:ascii="宋体" w:hAnsi="宋体" w:eastAsia="宋体" w:cs="宋体"/>
          <w:color w:val="auto"/>
          <w:sz w:val="21"/>
          <w:szCs w:val="21"/>
          <w:highlight w:val="none"/>
          <w:u w:val="single" w:color="auto"/>
        </w:rPr>
        <w:t xml:space="preserve">           </w:t>
      </w:r>
      <w:r>
        <w:rPr>
          <w:rFonts w:hint="eastAsia" w:ascii="宋体" w:hAnsi="宋体" w:cs="宋体"/>
          <w:color w:val="auto"/>
          <w:sz w:val="21"/>
          <w:szCs w:val="21"/>
          <w:highlight w:val="none"/>
          <w:u w:val="single" w:color="auto"/>
          <w:lang w:val="en-US" w:eastAsia="zh-CN"/>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5A0EF11">
      <w:pPr>
        <w:keepNext w:val="0"/>
        <w:keepLines w:val="0"/>
        <w:pageBreakBefore w:val="0"/>
        <w:widowControl w:val="0"/>
        <w:kinsoku/>
        <w:wordWrap/>
        <w:overflowPunct/>
        <w:topLinePunct w:val="0"/>
        <w:autoSpaceDE/>
        <w:autoSpaceDN/>
        <w:bidi w:val="0"/>
        <w:adjustRightInd/>
        <w:snapToGrid/>
        <w:spacing w:line="440" w:lineRule="exact"/>
        <w:ind w:left="40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4.资金来源：</w:t>
      </w:r>
      <w:r>
        <w:rPr>
          <w:rFonts w:hint="eastAsia" w:ascii="宋体" w:hAnsi="宋体" w:eastAsia="宋体" w:cs="宋体"/>
          <w:color w:val="auto"/>
          <w:spacing w:val="7"/>
          <w:sz w:val="21"/>
          <w:szCs w:val="21"/>
          <w:highlight w:val="none"/>
          <w:u w:val="single" w:color="auto"/>
        </w:rPr>
        <w:t xml:space="preserve">   </w:t>
      </w:r>
      <w:r>
        <w:rPr>
          <w:rFonts w:hint="eastAsia" w:ascii="宋体" w:hAnsi="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
          <w:sz w:val="21"/>
          <w:szCs w:val="21"/>
          <w:highlight w:val="none"/>
        </w:rPr>
        <w:t>。</w:t>
      </w:r>
    </w:p>
    <w:p w14:paraId="077F13F3">
      <w:pPr>
        <w:keepNext w:val="0"/>
        <w:keepLines w:val="0"/>
        <w:pageBreakBefore w:val="0"/>
        <w:widowControl w:val="0"/>
        <w:kinsoku/>
        <w:wordWrap/>
        <w:overflowPunct/>
        <w:topLinePunct w:val="0"/>
        <w:autoSpaceDE/>
        <w:autoSpaceDN/>
        <w:bidi w:val="0"/>
        <w:adjustRightInd/>
        <w:snapToGrid/>
        <w:spacing w:line="440" w:lineRule="exact"/>
        <w:ind w:right="-729" w:rightChars="-347" w:firstLine="4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5.工程内容：</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eastAsia="zh-CN"/>
        </w:rPr>
        <w:t>钟秀西</w:t>
      </w:r>
      <w:r>
        <w:rPr>
          <w:rFonts w:hint="eastAsia" w:ascii="宋体" w:hAnsi="宋体" w:cs="宋体"/>
          <w:color w:val="auto"/>
          <w:sz w:val="21"/>
          <w:szCs w:val="21"/>
          <w:highlight w:val="none"/>
          <w:u w:val="single" w:color="auto"/>
          <w:lang w:eastAsia="zh-CN"/>
        </w:rPr>
        <w:t>地铁大</w:t>
      </w:r>
      <w:r>
        <w:rPr>
          <w:rFonts w:hint="eastAsia" w:ascii="宋体" w:hAnsi="宋体" w:eastAsia="宋体" w:cs="宋体"/>
          <w:color w:val="auto"/>
          <w:sz w:val="21"/>
          <w:szCs w:val="21"/>
          <w:highlight w:val="none"/>
          <w:u w:val="single" w:color="auto"/>
          <w:lang w:eastAsia="zh-CN"/>
        </w:rPr>
        <w:t>食堂改造工程，</w:t>
      </w:r>
      <w:r>
        <w:rPr>
          <w:rFonts w:hint="eastAsia" w:ascii="宋体" w:hAnsi="宋体" w:eastAsia="宋体" w:cs="宋体"/>
          <w:color w:val="auto"/>
          <w:sz w:val="21"/>
          <w:szCs w:val="21"/>
          <w:highlight w:val="none"/>
          <w:u w:val="single" w:color="auto"/>
          <w:lang w:val="en-US" w:eastAsia="zh-CN"/>
        </w:rPr>
        <w:t>主要包括：门窗工程、屋面及防水工程、楼地面装饰工程、幕墙工程、给水排水、消火栓（水系统）喷淋（水系统）、消防弱电（火灾报警及设备监控）、空调、强电、智能化等。</w:t>
      </w:r>
      <w:r>
        <w:rPr>
          <w:rFonts w:hint="eastAsia" w:ascii="宋体" w:hAnsi="宋体" w:eastAsia="宋体" w:cs="宋体"/>
          <w:color w:val="auto"/>
          <w:spacing w:val="-1"/>
          <w:sz w:val="21"/>
          <w:szCs w:val="21"/>
          <w:highlight w:val="none"/>
          <w:u w:val="single" w:color="auto"/>
        </w:rPr>
        <w:t>具体详见施工图及工程</w:t>
      </w:r>
      <w:r>
        <w:rPr>
          <w:rFonts w:hint="eastAsia" w:ascii="宋体" w:hAnsi="宋体" w:eastAsia="宋体" w:cs="宋体"/>
          <w:color w:val="auto"/>
          <w:spacing w:val="5"/>
          <w:sz w:val="21"/>
          <w:szCs w:val="21"/>
          <w:highlight w:val="none"/>
          <w:u w:val="single" w:color="auto"/>
        </w:rPr>
        <w:t>量清单。</w:t>
      </w:r>
    </w:p>
    <w:p w14:paraId="330DCD0D">
      <w:pPr>
        <w:keepNext w:val="0"/>
        <w:keepLines w:val="0"/>
        <w:pageBreakBefore w:val="0"/>
        <w:widowControl w:val="0"/>
        <w:kinsoku/>
        <w:wordWrap/>
        <w:overflowPunct/>
        <w:topLinePunct w:val="0"/>
        <w:autoSpaceDE/>
        <w:autoSpaceDN/>
        <w:bidi w:val="0"/>
        <w:adjustRightInd/>
        <w:snapToGrid/>
        <w:spacing w:line="440" w:lineRule="exact"/>
        <w:ind w:left="40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群体工程应附《承包人承揽工程项目一览表》（附件</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1）。</w:t>
      </w:r>
    </w:p>
    <w:p w14:paraId="4DF333A1">
      <w:pPr>
        <w:keepNext w:val="0"/>
        <w:keepLines w:val="0"/>
        <w:pageBreakBefore w:val="0"/>
        <w:widowControl w:val="0"/>
        <w:kinsoku/>
        <w:wordWrap/>
        <w:overflowPunct/>
        <w:topLinePunct w:val="0"/>
        <w:autoSpaceDE/>
        <w:autoSpaceDN/>
        <w:bidi w:val="0"/>
        <w:adjustRightInd/>
        <w:snapToGrid/>
        <w:spacing w:line="440" w:lineRule="exact"/>
        <w:ind w:left="40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6.工程承包范围：</w:t>
      </w:r>
      <w:r>
        <w:rPr>
          <w:rFonts w:hint="eastAsia" w:ascii="宋体" w:hAnsi="宋体" w:eastAsia="宋体" w:cs="宋体"/>
          <w:color w:val="auto"/>
          <w:spacing w:val="40"/>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同工程内容 </w:t>
      </w:r>
      <w:r>
        <w:rPr>
          <w:rFonts w:hint="eastAsia" w:ascii="宋体" w:hAnsi="宋体" w:eastAsia="宋体" w:cs="宋体"/>
          <w:color w:val="auto"/>
          <w:spacing w:val="-3"/>
          <w:sz w:val="21"/>
          <w:szCs w:val="21"/>
          <w:highlight w:val="none"/>
        </w:rPr>
        <w:t>。</w:t>
      </w:r>
    </w:p>
    <w:p w14:paraId="4385F4C9">
      <w:pPr>
        <w:keepNext w:val="0"/>
        <w:keepLines w:val="0"/>
        <w:pageBreakBefore w:val="0"/>
        <w:widowControl w:val="0"/>
        <w:kinsoku/>
        <w:wordWrap/>
        <w:overflowPunct/>
        <w:topLinePunct w:val="0"/>
        <w:autoSpaceDE/>
        <w:autoSpaceDN/>
        <w:bidi w:val="0"/>
        <w:adjustRightInd/>
        <w:snapToGrid/>
        <w:spacing w:line="440" w:lineRule="exact"/>
        <w:ind w:left="3"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二、合同工期</w:t>
      </w:r>
    </w:p>
    <w:p w14:paraId="392050E3">
      <w:pPr>
        <w:keepNext w:val="0"/>
        <w:keepLines w:val="0"/>
        <w:pageBreakBefore w:val="0"/>
        <w:widowControl w:val="0"/>
        <w:kinsoku/>
        <w:wordWrap/>
        <w:overflowPunct/>
        <w:topLinePunct w:val="0"/>
        <w:autoSpaceDE/>
        <w:autoSpaceDN/>
        <w:bidi w:val="0"/>
        <w:adjustRightInd/>
        <w:snapToGrid/>
        <w:spacing w:line="440" w:lineRule="exact"/>
        <w:ind w:left="46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计划开工日期：</w:t>
      </w:r>
      <w:r>
        <w:rPr>
          <w:rFonts w:hint="eastAsia" w:ascii="宋体" w:hAnsi="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rPr>
        <w:t>日。</w:t>
      </w:r>
    </w:p>
    <w:p w14:paraId="75461800">
      <w:pPr>
        <w:keepNext w:val="0"/>
        <w:keepLines w:val="0"/>
        <w:pageBreakBefore w:val="0"/>
        <w:widowControl w:val="0"/>
        <w:kinsoku/>
        <w:wordWrap/>
        <w:overflowPunct/>
        <w:topLinePunct w:val="0"/>
        <w:autoSpaceDE/>
        <w:autoSpaceDN/>
        <w:bidi w:val="0"/>
        <w:adjustRightInd/>
        <w:snapToGrid/>
        <w:spacing w:line="440" w:lineRule="exact"/>
        <w:ind w:left="46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计划竣工日期：</w:t>
      </w:r>
      <w:r>
        <w:rPr>
          <w:rFonts w:hint="eastAsia" w:ascii="宋体" w:hAnsi="宋体" w:cs="宋体"/>
          <w:color w:val="auto"/>
          <w:spacing w:val="-3"/>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日。</w:t>
      </w:r>
    </w:p>
    <w:p w14:paraId="03AE8655">
      <w:pPr>
        <w:keepNext w:val="0"/>
        <w:keepLines w:val="0"/>
        <w:pageBreakBefore w:val="0"/>
        <w:widowControl w:val="0"/>
        <w:kinsoku/>
        <w:wordWrap/>
        <w:overflowPunct/>
        <w:topLinePunct w:val="0"/>
        <w:autoSpaceDE/>
        <w:autoSpaceDN/>
        <w:bidi w:val="0"/>
        <w:adjustRightInd/>
        <w:snapToGrid/>
        <w:spacing w:line="440" w:lineRule="exact"/>
        <w:ind w:right="-729" w:rightChars="-347" w:firstLine="46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工期总日历天数：</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rPr>
        <w:t>天。工期总日历天数与根据前述计划开竣工日期计算的工期天数不一</w:t>
      </w:r>
      <w:r>
        <w:rPr>
          <w:rFonts w:hint="eastAsia" w:ascii="宋体" w:hAnsi="宋体" w:eastAsia="宋体" w:cs="宋体"/>
          <w:color w:val="auto"/>
          <w:spacing w:val="-3"/>
          <w:sz w:val="21"/>
          <w:szCs w:val="21"/>
          <w:highlight w:val="none"/>
        </w:rPr>
        <w:t>致的，以工期总日历天数为准。</w:t>
      </w:r>
    </w:p>
    <w:p w14:paraId="7DE7B122">
      <w:pPr>
        <w:keepNext w:val="0"/>
        <w:keepLines w:val="0"/>
        <w:pageBreakBefore w:val="0"/>
        <w:widowControl w:val="0"/>
        <w:kinsoku/>
        <w:wordWrap/>
        <w:overflowPunct/>
        <w:topLinePunct w:val="0"/>
        <w:autoSpaceDE/>
        <w:autoSpaceDN/>
        <w:bidi w:val="0"/>
        <w:adjustRightInd/>
        <w:snapToGrid/>
        <w:spacing w:line="440" w:lineRule="exact"/>
        <w:ind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三、质量标准</w:t>
      </w:r>
    </w:p>
    <w:p w14:paraId="5222278F">
      <w:pPr>
        <w:keepNext w:val="0"/>
        <w:keepLines w:val="0"/>
        <w:pageBreakBefore w:val="0"/>
        <w:widowControl w:val="0"/>
        <w:kinsoku/>
        <w:wordWrap/>
        <w:overflowPunct/>
        <w:topLinePunct w:val="0"/>
        <w:autoSpaceDE/>
        <w:autoSpaceDN/>
        <w:bidi w:val="0"/>
        <w:adjustRightInd/>
        <w:snapToGrid/>
        <w:spacing w:line="440" w:lineRule="exact"/>
        <w:ind w:left="46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工程质量符合</w:t>
      </w:r>
      <w:r>
        <w:rPr>
          <w:rFonts w:hint="eastAsia" w:ascii="宋体" w:hAnsi="宋体" w:eastAsia="宋体" w:cs="宋体"/>
          <w:color w:val="auto"/>
          <w:spacing w:val="-3"/>
          <w:sz w:val="21"/>
          <w:szCs w:val="21"/>
          <w:highlight w:val="none"/>
          <w:u w:val="single" w:color="auto"/>
        </w:rPr>
        <w:t xml:space="preserve">  合格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3"/>
          <w:sz w:val="21"/>
          <w:szCs w:val="21"/>
          <w:highlight w:val="none"/>
        </w:rPr>
        <w:t>标准。</w:t>
      </w:r>
    </w:p>
    <w:p w14:paraId="567EE935">
      <w:pPr>
        <w:keepNext w:val="0"/>
        <w:keepLines w:val="0"/>
        <w:pageBreakBefore w:val="0"/>
        <w:widowControl w:val="0"/>
        <w:kinsoku/>
        <w:wordWrap/>
        <w:overflowPunct/>
        <w:topLinePunct w:val="0"/>
        <w:autoSpaceDE/>
        <w:autoSpaceDN/>
        <w:bidi w:val="0"/>
        <w:adjustRightInd/>
        <w:snapToGrid/>
        <w:spacing w:line="440" w:lineRule="exact"/>
        <w:ind w:left="19"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四、签约合同价与合同价格形式</w:t>
      </w:r>
    </w:p>
    <w:p w14:paraId="3CB544A2">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1.签约合同价为：</w:t>
      </w:r>
    </w:p>
    <w:p w14:paraId="17A4D03A">
      <w:pPr>
        <w:keepNext w:val="0"/>
        <w:keepLines w:val="0"/>
        <w:pageBreakBefore w:val="0"/>
        <w:widowControl w:val="0"/>
        <w:kinsoku/>
        <w:wordWrap/>
        <w:overflowPunct/>
        <w:topLinePunct w:val="0"/>
        <w:autoSpaceDE/>
        <w:autoSpaceDN/>
        <w:bidi w:val="0"/>
        <w:adjustRightInd/>
        <w:snapToGrid/>
        <w:spacing w:line="440" w:lineRule="exact"/>
        <w:ind w:left="5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人民币（大写）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3"/>
          <w:sz w:val="21"/>
          <w:szCs w:val="21"/>
          <w:highlight w:val="none"/>
        </w:rPr>
        <w:t>元</w:t>
      </w:r>
      <w:r>
        <w:rPr>
          <w:rFonts w:hint="eastAsia" w:ascii="宋体" w:hAnsi="宋体" w:eastAsia="宋体" w:cs="宋体"/>
          <w:color w:val="auto"/>
          <w:spacing w:val="-8"/>
          <w:sz w:val="21"/>
          <w:szCs w:val="21"/>
          <w:highlight w:val="none"/>
        </w:rPr>
        <w:t>）；</w:t>
      </w:r>
    </w:p>
    <w:p w14:paraId="7AE9D5E2">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其中：</w:t>
      </w:r>
    </w:p>
    <w:p w14:paraId="24A5118B">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（1）安全文明施工费：</w:t>
      </w:r>
    </w:p>
    <w:p w14:paraId="1F85D636">
      <w:pPr>
        <w:keepNext w:val="0"/>
        <w:keepLines w:val="0"/>
        <w:pageBreakBefore w:val="0"/>
        <w:widowControl w:val="0"/>
        <w:kinsoku/>
        <w:wordWrap/>
        <w:overflowPunct/>
        <w:topLinePunct w:val="0"/>
        <w:autoSpaceDE/>
        <w:autoSpaceDN/>
        <w:bidi w:val="0"/>
        <w:adjustRightInd/>
        <w:snapToGrid/>
        <w:spacing w:line="440" w:lineRule="exact"/>
        <w:ind w:left="94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人民币（大写）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3"/>
          <w:sz w:val="21"/>
          <w:szCs w:val="21"/>
          <w:highlight w:val="none"/>
        </w:rPr>
        <w:t>元</w:t>
      </w:r>
      <w:r>
        <w:rPr>
          <w:rFonts w:hint="eastAsia" w:ascii="宋体" w:hAnsi="宋体" w:eastAsia="宋体" w:cs="宋体"/>
          <w:color w:val="auto"/>
          <w:spacing w:val="-6"/>
          <w:sz w:val="21"/>
          <w:szCs w:val="21"/>
          <w:highlight w:val="none"/>
        </w:rPr>
        <w:t>）；</w:t>
      </w:r>
    </w:p>
    <w:p w14:paraId="2BFBD6AE">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（2）材料和工程设备暂估价金额：</w:t>
      </w:r>
    </w:p>
    <w:p w14:paraId="74BFC359">
      <w:pPr>
        <w:keepNext w:val="0"/>
        <w:keepLines w:val="0"/>
        <w:pageBreakBefore w:val="0"/>
        <w:widowControl w:val="0"/>
        <w:kinsoku/>
        <w:wordWrap/>
        <w:overflowPunct/>
        <w:topLinePunct w:val="0"/>
        <w:autoSpaceDE/>
        <w:autoSpaceDN/>
        <w:bidi w:val="0"/>
        <w:adjustRightInd/>
        <w:snapToGrid/>
        <w:spacing w:line="440" w:lineRule="exact"/>
        <w:ind w:left="94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人民币（大写）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3"/>
          <w:sz w:val="21"/>
          <w:szCs w:val="21"/>
          <w:highlight w:val="none"/>
        </w:rPr>
        <w:t>元</w:t>
      </w:r>
      <w:r>
        <w:rPr>
          <w:rFonts w:hint="eastAsia" w:ascii="宋体" w:hAnsi="宋体" w:eastAsia="宋体" w:cs="宋体"/>
          <w:color w:val="auto"/>
          <w:spacing w:val="-6"/>
          <w:sz w:val="21"/>
          <w:szCs w:val="21"/>
          <w:highlight w:val="none"/>
        </w:rPr>
        <w:t>）；</w:t>
      </w:r>
    </w:p>
    <w:p w14:paraId="3260B740">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（3）专业工程暂估价金额：</w:t>
      </w:r>
    </w:p>
    <w:p w14:paraId="62712A2B">
      <w:pPr>
        <w:keepNext w:val="0"/>
        <w:keepLines w:val="0"/>
        <w:pageBreakBefore w:val="0"/>
        <w:widowControl w:val="0"/>
        <w:kinsoku/>
        <w:wordWrap/>
        <w:overflowPunct/>
        <w:topLinePunct w:val="0"/>
        <w:autoSpaceDE/>
        <w:autoSpaceDN/>
        <w:bidi w:val="0"/>
        <w:adjustRightInd/>
        <w:snapToGrid/>
        <w:spacing w:line="440" w:lineRule="exact"/>
        <w:ind w:left="94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人民币（大写）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3"/>
          <w:sz w:val="21"/>
          <w:szCs w:val="21"/>
          <w:highlight w:val="none"/>
        </w:rPr>
        <w:t>元</w:t>
      </w:r>
      <w:r>
        <w:rPr>
          <w:rFonts w:hint="eastAsia" w:ascii="宋体" w:hAnsi="宋体" w:eastAsia="宋体" w:cs="宋体"/>
          <w:color w:val="auto"/>
          <w:spacing w:val="-6"/>
          <w:sz w:val="21"/>
          <w:szCs w:val="21"/>
          <w:highlight w:val="none"/>
        </w:rPr>
        <w:t>）；</w:t>
      </w:r>
    </w:p>
    <w:p w14:paraId="102FFA72">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（4）暂列金额：</w:t>
      </w:r>
    </w:p>
    <w:p w14:paraId="7710472A">
      <w:pPr>
        <w:keepNext w:val="0"/>
        <w:keepLines w:val="0"/>
        <w:pageBreakBefore w:val="0"/>
        <w:widowControl w:val="0"/>
        <w:kinsoku/>
        <w:wordWrap/>
        <w:overflowPunct/>
        <w:topLinePunct w:val="0"/>
        <w:autoSpaceDE/>
        <w:autoSpaceDN/>
        <w:bidi w:val="0"/>
        <w:adjustRightInd/>
        <w:snapToGrid/>
        <w:spacing w:line="440" w:lineRule="exact"/>
        <w:ind w:left="948"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人民币（大写）</w:t>
      </w:r>
      <w:r>
        <w:rPr>
          <w:rFonts w:hint="eastAsia" w:ascii="宋体" w:hAnsi="宋体" w:eastAsia="宋体" w:cs="宋体"/>
          <w:color w:val="auto"/>
          <w:spacing w:val="-2"/>
          <w:sz w:val="21"/>
          <w:szCs w:val="21"/>
          <w:highlight w:val="none"/>
          <w:u w:val="single" w:color="auto"/>
        </w:rPr>
        <w:t xml:space="preserve"> </w:t>
      </w:r>
      <w:r>
        <w:rPr>
          <w:rFonts w:hint="eastAsia" w:ascii="宋体" w:hAnsi="宋体" w:cs="宋体"/>
          <w:color w:val="auto"/>
          <w:spacing w:val="-2"/>
          <w:sz w:val="21"/>
          <w:szCs w:val="21"/>
          <w:highlight w:val="none"/>
          <w:u w:val="single" w:color="auto"/>
          <w:lang w:val="en-US" w:eastAsia="zh-CN"/>
        </w:rPr>
        <w:t>贰拾伍万元</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cs="宋体"/>
          <w:color w:val="auto"/>
          <w:sz w:val="21"/>
          <w:szCs w:val="21"/>
          <w:highlight w:val="none"/>
          <w:u w:val="single" w:color="auto"/>
          <w:lang w:val="en-US" w:eastAsia="zh-CN"/>
        </w:rPr>
        <w:t>250000</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2"/>
          <w:sz w:val="21"/>
          <w:szCs w:val="21"/>
          <w:highlight w:val="none"/>
        </w:rPr>
        <w:t>元）。</w:t>
      </w:r>
    </w:p>
    <w:p w14:paraId="556E654E">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2.合同价格形式：</w:t>
      </w:r>
      <w:r>
        <w:rPr>
          <w:rFonts w:hint="eastAsia" w:ascii="宋体" w:hAnsi="宋体" w:eastAsia="宋体" w:cs="宋体"/>
          <w:color w:val="auto"/>
          <w:spacing w:val="-1"/>
          <w:sz w:val="21"/>
          <w:szCs w:val="21"/>
          <w:highlight w:val="none"/>
          <w:u w:val="single" w:color="auto"/>
        </w:rPr>
        <w:t xml:space="preserve">  固定单价合同    </w:t>
      </w:r>
      <w:r>
        <w:rPr>
          <w:rFonts w:hint="eastAsia" w:ascii="宋体" w:hAnsi="宋体" w:eastAsia="宋体" w:cs="宋体"/>
          <w:color w:val="auto"/>
          <w:spacing w:val="-1"/>
          <w:sz w:val="21"/>
          <w:szCs w:val="21"/>
          <w:highlight w:val="none"/>
        </w:rPr>
        <w:t>。</w:t>
      </w:r>
    </w:p>
    <w:p w14:paraId="2B3C4831">
      <w:pPr>
        <w:keepNext w:val="0"/>
        <w:keepLines w:val="0"/>
        <w:pageBreakBefore w:val="0"/>
        <w:widowControl w:val="0"/>
        <w:kinsoku/>
        <w:wordWrap/>
        <w:overflowPunct/>
        <w:topLinePunct w:val="0"/>
        <w:autoSpaceDE/>
        <w:autoSpaceDN/>
        <w:bidi w:val="0"/>
        <w:adjustRightInd/>
        <w:snapToGrid/>
        <w:spacing w:line="440" w:lineRule="exact"/>
        <w:ind w:left="4"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五、项目负责人</w:t>
      </w:r>
    </w:p>
    <w:p w14:paraId="017559E9">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承包人项目负责人：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C7B50BD">
      <w:pPr>
        <w:keepNext w:val="0"/>
        <w:keepLines w:val="0"/>
        <w:pageBreakBefore w:val="0"/>
        <w:widowControl w:val="0"/>
        <w:kinsoku/>
        <w:wordWrap/>
        <w:overflowPunct/>
        <w:topLinePunct w:val="0"/>
        <w:autoSpaceDE/>
        <w:autoSpaceDN/>
        <w:bidi w:val="0"/>
        <w:adjustRightInd/>
        <w:snapToGrid/>
        <w:spacing w:line="440" w:lineRule="exact"/>
        <w:ind w:left="2"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六、合同文件构成</w:t>
      </w:r>
    </w:p>
    <w:p w14:paraId="2D044AD0">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本协议书与下列文件一起构成合同文件：</w:t>
      </w:r>
    </w:p>
    <w:p w14:paraId="2C3714C6">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（1）中标通知书（如果有</w:t>
      </w:r>
      <w:r>
        <w:rPr>
          <w:rFonts w:hint="eastAsia" w:ascii="宋体" w:hAnsi="宋体" w:eastAsia="宋体" w:cs="宋体"/>
          <w:color w:val="auto"/>
          <w:spacing w:val="2"/>
          <w:sz w:val="21"/>
          <w:szCs w:val="21"/>
          <w:highlight w:val="none"/>
        </w:rPr>
        <w:t>）；</w:t>
      </w:r>
    </w:p>
    <w:p w14:paraId="0CC74B27">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（2）投标函及其附录（如果有</w:t>
      </w:r>
      <w:r>
        <w:rPr>
          <w:rFonts w:hint="eastAsia" w:ascii="宋体" w:hAnsi="宋体" w:eastAsia="宋体" w:cs="宋体"/>
          <w:color w:val="auto"/>
          <w:spacing w:val="1"/>
          <w:sz w:val="21"/>
          <w:szCs w:val="21"/>
          <w:highlight w:val="none"/>
        </w:rPr>
        <w:t>）；</w:t>
      </w:r>
    </w:p>
    <w:p w14:paraId="1BACFF56">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（3）专用合同条款及其附件；</w:t>
      </w:r>
    </w:p>
    <w:p w14:paraId="6A8AB125">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（4）通用合同条款；</w:t>
      </w:r>
    </w:p>
    <w:p w14:paraId="02F8F138">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（5）技术标准和要求；</w:t>
      </w:r>
    </w:p>
    <w:p w14:paraId="24B4C951">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（6）图纸；</w:t>
      </w:r>
    </w:p>
    <w:p w14:paraId="1F69AACB">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（7）已标价工程量清单或预算书；</w:t>
      </w:r>
    </w:p>
    <w:p w14:paraId="4BF109E0">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（8）其他合同文件。</w:t>
      </w:r>
    </w:p>
    <w:p w14:paraId="6D57118B">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在合同订立及履行过程中形成的与合同有关的文件均构成合同文件组成部分。</w:t>
      </w:r>
    </w:p>
    <w:p w14:paraId="136C729B">
      <w:pPr>
        <w:keepNext w:val="0"/>
        <w:keepLines w:val="0"/>
        <w:pageBreakBefore w:val="0"/>
        <w:widowControl w:val="0"/>
        <w:kinsoku/>
        <w:wordWrap/>
        <w:overflowPunct/>
        <w:topLinePunct w:val="0"/>
        <w:autoSpaceDE/>
        <w:autoSpaceDN/>
        <w:bidi w:val="0"/>
        <w:adjustRightInd/>
        <w:snapToGrid/>
        <w:spacing w:line="440" w:lineRule="exact"/>
        <w:ind w:left="2" w:right="-729" w:rightChars="-347"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6D002DDE">
      <w:pPr>
        <w:keepNext w:val="0"/>
        <w:keepLines w:val="0"/>
        <w:pageBreakBefore w:val="0"/>
        <w:widowControl w:val="0"/>
        <w:kinsoku/>
        <w:wordWrap/>
        <w:overflowPunct/>
        <w:topLinePunct w:val="0"/>
        <w:autoSpaceDE/>
        <w:autoSpaceDN/>
        <w:bidi w:val="0"/>
        <w:adjustRightInd/>
        <w:snapToGrid/>
        <w:spacing w:line="440" w:lineRule="exact"/>
        <w:ind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七、承诺</w:t>
      </w:r>
    </w:p>
    <w:p w14:paraId="39054295">
      <w:pPr>
        <w:keepNext w:val="0"/>
        <w:keepLines w:val="0"/>
        <w:pageBreakBefore w:val="0"/>
        <w:widowControl w:val="0"/>
        <w:kinsoku/>
        <w:wordWrap/>
        <w:overflowPunct/>
        <w:topLinePunct w:val="0"/>
        <w:autoSpaceDE/>
        <w:autoSpaceDN/>
        <w:bidi w:val="0"/>
        <w:adjustRightInd/>
        <w:snapToGrid/>
        <w:spacing w:line="440" w:lineRule="exact"/>
        <w:ind w:left="1" w:right="-729" w:rightChars="-347"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1.发包人承诺按照法律规定履行项目审批手续、筹集工程建设资金并按照合同约定的期限和</w:t>
      </w:r>
      <w:r>
        <w:rPr>
          <w:rFonts w:hint="eastAsia" w:ascii="宋体" w:hAnsi="宋体" w:eastAsia="宋体" w:cs="宋体"/>
          <w:color w:val="auto"/>
          <w:spacing w:val="-4"/>
          <w:sz w:val="21"/>
          <w:szCs w:val="21"/>
          <w:highlight w:val="none"/>
        </w:rPr>
        <w:t>方式支付合同价款。</w:t>
      </w:r>
    </w:p>
    <w:p w14:paraId="7EA8A82D">
      <w:pPr>
        <w:keepNext w:val="0"/>
        <w:keepLines w:val="0"/>
        <w:pageBreakBefore w:val="0"/>
        <w:widowControl w:val="0"/>
        <w:kinsoku/>
        <w:wordWrap/>
        <w:overflowPunct/>
        <w:topLinePunct w:val="0"/>
        <w:autoSpaceDE/>
        <w:autoSpaceDN/>
        <w:bidi w:val="0"/>
        <w:adjustRightInd/>
        <w:snapToGrid/>
        <w:spacing w:line="440" w:lineRule="exact"/>
        <w:ind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2.承包人承诺按照法律规定及合同约定组织完成工程施工，确保工程质量和安全，不进行转包及违法分包，并在缺陷责任期及保修期内承担相应的工程维修责任。</w:t>
      </w:r>
    </w:p>
    <w:p w14:paraId="3D0E62D0">
      <w:pPr>
        <w:keepNext w:val="0"/>
        <w:keepLines w:val="0"/>
        <w:pageBreakBefore w:val="0"/>
        <w:widowControl w:val="0"/>
        <w:kinsoku/>
        <w:wordWrap/>
        <w:overflowPunct/>
        <w:topLinePunct w:val="0"/>
        <w:autoSpaceDE/>
        <w:autoSpaceDN/>
        <w:bidi w:val="0"/>
        <w:adjustRightInd/>
        <w:snapToGrid/>
        <w:spacing w:line="440" w:lineRule="exact"/>
        <w:ind w:left="5" w:right="-729" w:rightChars="-347"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3.发包人、总承包人和承包人通过招投标形式签订合同的，三方理解并承诺不再就同一工程</w:t>
      </w:r>
      <w:r>
        <w:rPr>
          <w:rFonts w:hint="eastAsia" w:ascii="宋体" w:hAnsi="宋体" w:eastAsia="宋体" w:cs="宋体"/>
          <w:color w:val="auto"/>
          <w:spacing w:val="-2"/>
          <w:sz w:val="21"/>
          <w:szCs w:val="21"/>
          <w:highlight w:val="none"/>
        </w:rPr>
        <w:t>另行签订与合同实质性内容相背离的协议。</w:t>
      </w:r>
    </w:p>
    <w:p w14:paraId="6036AAC8">
      <w:pPr>
        <w:keepNext w:val="0"/>
        <w:keepLines w:val="0"/>
        <w:pageBreakBefore w:val="0"/>
        <w:widowControl w:val="0"/>
        <w:kinsoku/>
        <w:wordWrap/>
        <w:overflowPunct/>
        <w:topLinePunct w:val="0"/>
        <w:autoSpaceDE/>
        <w:autoSpaceDN/>
        <w:bidi w:val="0"/>
        <w:adjustRightInd/>
        <w:snapToGrid/>
        <w:spacing w:line="440" w:lineRule="exact"/>
        <w:ind w:left="4"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八、词语含义</w:t>
      </w:r>
    </w:p>
    <w:p w14:paraId="5B99F88C">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本协议书中词语含义与第二部分通用合同条款中赋予的含义相同。</w:t>
      </w:r>
    </w:p>
    <w:p w14:paraId="22916FDA">
      <w:pPr>
        <w:keepNext w:val="0"/>
        <w:keepLines w:val="0"/>
        <w:pageBreakBefore w:val="0"/>
        <w:widowControl w:val="0"/>
        <w:kinsoku/>
        <w:wordWrap/>
        <w:overflowPunct/>
        <w:topLinePunct w:val="0"/>
        <w:autoSpaceDE/>
        <w:autoSpaceDN/>
        <w:bidi w:val="0"/>
        <w:adjustRightInd/>
        <w:snapToGrid/>
        <w:spacing w:line="440" w:lineRule="exact"/>
        <w:ind w:left="5"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九、签订时间</w:t>
      </w:r>
    </w:p>
    <w:p w14:paraId="2BE9F9D5">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本合同于</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7"/>
          <w:sz w:val="21"/>
          <w:szCs w:val="21"/>
          <w:highlight w:val="none"/>
        </w:rPr>
        <w:t>年</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7"/>
          <w:sz w:val="21"/>
          <w:szCs w:val="21"/>
          <w:highlight w:val="none"/>
        </w:rPr>
        <w:t>月</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7"/>
          <w:sz w:val="21"/>
          <w:szCs w:val="21"/>
          <w:highlight w:val="none"/>
        </w:rPr>
        <w:t>日签订。</w:t>
      </w:r>
    </w:p>
    <w:p w14:paraId="426F4CA8">
      <w:pPr>
        <w:keepNext w:val="0"/>
        <w:keepLines w:val="0"/>
        <w:pageBreakBefore w:val="0"/>
        <w:widowControl w:val="0"/>
        <w:kinsoku/>
        <w:wordWrap/>
        <w:overflowPunct/>
        <w:topLinePunct w:val="0"/>
        <w:autoSpaceDE/>
        <w:autoSpaceDN/>
        <w:bidi w:val="0"/>
        <w:adjustRightInd/>
        <w:snapToGrid/>
        <w:spacing w:line="440" w:lineRule="exact"/>
        <w:ind w:left="1"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十、签订地点</w:t>
      </w:r>
    </w:p>
    <w:p w14:paraId="2AF16C9B">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本合同在</w:t>
      </w:r>
      <w:r>
        <w:rPr>
          <w:rFonts w:hint="eastAsia" w:ascii="宋体" w:hAnsi="宋体" w:eastAsia="宋体" w:cs="宋体"/>
          <w:color w:val="auto"/>
          <w:sz w:val="21"/>
          <w:szCs w:val="21"/>
          <w:highlight w:val="none"/>
          <w:u w:val="single" w:color="auto"/>
        </w:rPr>
        <w:t xml:space="preserve"> </w:t>
      </w:r>
      <w:r>
        <w:rPr>
          <w:rFonts w:hint="eastAsia" w:ascii="宋体" w:hAnsi="宋体" w:cs="宋体"/>
          <w:color w:val="auto"/>
          <w:sz w:val="21"/>
          <w:szCs w:val="21"/>
          <w:highlight w:val="none"/>
          <w:u w:val="single" w:color="auto"/>
          <w:lang w:val="en-US" w:eastAsia="zh-CN"/>
        </w:rPr>
        <w:t>江苏省南通市</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1"/>
          <w:sz w:val="21"/>
          <w:szCs w:val="21"/>
          <w:highlight w:val="none"/>
        </w:rPr>
        <w:t xml:space="preserve"> </w:t>
      </w:r>
      <w:r>
        <w:rPr>
          <w:rFonts w:hint="eastAsia" w:ascii="宋体" w:hAnsi="宋体" w:eastAsia="宋体" w:cs="宋体"/>
          <w:color w:val="auto"/>
          <w:spacing w:val="-5"/>
          <w:sz w:val="21"/>
          <w:szCs w:val="21"/>
          <w:highlight w:val="none"/>
        </w:rPr>
        <w:t>签订。</w:t>
      </w:r>
    </w:p>
    <w:p w14:paraId="1BCF92C7">
      <w:pPr>
        <w:keepNext w:val="0"/>
        <w:keepLines w:val="0"/>
        <w:pageBreakBefore w:val="0"/>
        <w:widowControl w:val="0"/>
        <w:kinsoku/>
        <w:wordWrap/>
        <w:overflowPunct/>
        <w:topLinePunct w:val="0"/>
        <w:autoSpaceDE/>
        <w:autoSpaceDN/>
        <w:bidi w:val="0"/>
        <w:adjustRightInd/>
        <w:snapToGrid/>
        <w:spacing w:line="440" w:lineRule="exact"/>
        <w:ind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十一、补充协议</w:t>
      </w:r>
    </w:p>
    <w:p w14:paraId="2D809AD5">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合同未尽事宜，合同当事人另行签订补充协议，补充协议是合同的组成部分。</w:t>
      </w:r>
    </w:p>
    <w:p w14:paraId="06BC9E02">
      <w:pPr>
        <w:keepNext w:val="0"/>
        <w:keepLines w:val="0"/>
        <w:pageBreakBefore w:val="0"/>
        <w:widowControl w:val="0"/>
        <w:kinsoku/>
        <w:wordWrap/>
        <w:overflowPunct/>
        <w:topLinePunct w:val="0"/>
        <w:autoSpaceDE/>
        <w:autoSpaceDN/>
        <w:bidi w:val="0"/>
        <w:adjustRightInd/>
        <w:snapToGrid/>
        <w:spacing w:line="440" w:lineRule="exact"/>
        <w:ind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十二、合同生效</w:t>
      </w:r>
    </w:p>
    <w:p w14:paraId="22597926">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本合同自</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乙方缴纳履约保证金且双方签字盖章后 </w:t>
      </w:r>
      <w:r>
        <w:rPr>
          <w:rFonts w:hint="eastAsia" w:ascii="宋体" w:hAnsi="宋体" w:eastAsia="宋体" w:cs="宋体"/>
          <w:color w:val="auto"/>
          <w:spacing w:val="-2"/>
          <w:sz w:val="21"/>
          <w:szCs w:val="21"/>
          <w:highlight w:val="none"/>
        </w:rPr>
        <w:t>生效。</w:t>
      </w:r>
    </w:p>
    <w:p w14:paraId="5FC7957F">
      <w:pPr>
        <w:keepNext w:val="0"/>
        <w:keepLines w:val="0"/>
        <w:pageBreakBefore w:val="0"/>
        <w:widowControl w:val="0"/>
        <w:kinsoku/>
        <w:wordWrap/>
        <w:overflowPunct/>
        <w:topLinePunct w:val="0"/>
        <w:autoSpaceDE/>
        <w:autoSpaceDN/>
        <w:bidi w:val="0"/>
        <w:adjustRightInd/>
        <w:snapToGrid/>
        <w:spacing w:line="440" w:lineRule="exact"/>
        <w:ind w:right="-729" w:rightChars="-347"/>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十三、合同份数</w:t>
      </w:r>
    </w:p>
    <w:p w14:paraId="12D6A3CC">
      <w:pPr>
        <w:keepNext w:val="0"/>
        <w:keepLines w:val="0"/>
        <w:pageBreakBefore w:val="0"/>
        <w:widowControl w:val="0"/>
        <w:kinsoku/>
        <w:wordWrap/>
        <w:overflowPunct/>
        <w:topLinePunct w:val="0"/>
        <w:autoSpaceDE/>
        <w:autoSpaceDN/>
        <w:bidi w:val="0"/>
        <w:adjustRightInd/>
        <w:snapToGrid/>
        <w:spacing w:line="440" w:lineRule="exact"/>
        <w:ind w:right="-729" w:rightChars="-347" w:firstLine="42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本合同一式</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cs="宋体"/>
          <w:color w:val="auto"/>
          <w:spacing w:val="3"/>
          <w:sz w:val="21"/>
          <w:szCs w:val="21"/>
          <w:highlight w:val="none"/>
          <w:u w:val="single" w:color="auto"/>
          <w:lang w:val="en-US" w:eastAsia="zh-CN"/>
        </w:rPr>
        <w:t>6</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3"/>
          <w:sz w:val="21"/>
          <w:szCs w:val="21"/>
          <w:highlight w:val="none"/>
        </w:rPr>
        <w:t>份，均具有同等法律效力，发包人执</w:t>
      </w:r>
      <w:r>
        <w:rPr>
          <w:rFonts w:hint="eastAsia" w:ascii="宋体" w:hAnsi="宋体" w:eastAsia="宋体" w:cs="宋体"/>
          <w:color w:val="auto"/>
          <w:spacing w:val="3"/>
          <w:sz w:val="21"/>
          <w:szCs w:val="21"/>
          <w:highlight w:val="none"/>
          <w:u w:val="single" w:color="auto"/>
        </w:rPr>
        <w:t xml:space="preserve"> </w:t>
      </w:r>
      <w:r>
        <w:rPr>
          <w:rFonts w:hint="eastAsia" w:ascii="宋体" w:hAnsi="宋体" w:cs="宋体"/>
          <w:color w:val="auto"/>
          <w:spacing w:val="3"/>
          <w:sz w:val="21"/>
          <w:szCs w:val="21"/>
          <w:highlight w:val="none"/>
          <w:u w:val="single" w:color="auto"/>
          <w:lang w:val="en-US" w:eastAsia="zh-CN"/>
        </w:rPr>
        <w:t>4</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7"/>
          <w:sz w:val="21"/>
          <w:szCs w:val="21"/>
          <w:highlight w:val="none"/>
        </w:rPr>
        <w:t xml:space="preserve"> </w:t>
      </w:r>
      <w:r>
        <w:rPr>
          <w:rFonts w:hint="eastAsia" w:ascii="宋体" w:hAnsi="宋体" w:eastAsia="宋体" w:cs="宋体"/>
          <w:color w:val="auto"/>
          <w:spacing w:val="3"/>
          <w:sz w:val="21"/>
          <w:szCs w:val="21"/>
          <w:highlight w:val="none"/>
        </w:rPr>
        <w:t>份，</w:t>
      </w:r>
      <w:r>
        <w:rPr>
          <w:rFonts w:hint="eastAsia" w:ascii="宋体" w:hAnsi="宋体" w:eastAsia="宋体" w:cs="宋体"/>
          <w:color w:val="auto"/>
          <w:spacing w:val="2"/>
          <w:sz w:val="21"/>
          <w:szCs w:val="21"/>
          <w:highlight w:val="none"/>
        </w:rPr>
        <w:t>承包人执</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cs="宋体"/>
          <w:color w:val="auto"/>
          <w:spacing w:val="3"/>
          <w:sz w:val="21"/>
          <w:szCs w:val="21"/>
          <w:highlight w:val="none"/>
          <w:u w:val="single" w:color="auto"/>
          <w:lang w:val="en-US" w:eastAsia="zh-CN"/>
        </w:rPr>
        <w:t>2</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10"/>
          <w:sz w:val="21"/>
          <w:szCs w:val="21"/>
          <w:highlight w:val="none"/>
        </w:rPr>
        <w:t>份。</w:t>
      </w:r>
    </w:p>
    <w:p w14:paraId="1BF6AAEA">
      <w:pPr>
        <w:pStyle w:val="8"/>
        <w:spacing w:line="299" w:lineRule="auto"/>
        <w:ind w:right="-729" w:rightChars="-347"/>
        <w:rPr>
          <w:rFonts w:hint="eastAsia" w:ascii="宋体" w:hAnsi="宋体" w:eastAsia="宋体" w:cs="宋体"/>
          <w:color w:val="auto"/>
          <w:highlight w:val="none"/>
        </w:rPr>
      </w:pPr>
    </w:p>
    <w:p w14:paraId="352CDC38">
      <w:pPr>
        <w:pStyle w:val="8"/>
        <w:spacing w:line="300" w:lineRule="auto"/>
        <w:ind w:right="-729" w:rightChars="-347"/>
        <w:rPr>
          <w:rFonts w:hint="eastAsia" w:ascii="宋体" w:hAnsi="宋体" w:eastAsia="宋体" w:cs="宋体"/>
          <w:color w:val="auto"/>
          <w:highlight w:val="none"/>
        </w:rPr>
      </w:pPr>
    </w:p>
    <w:p w14:paraId="5E68010D">
      <w:pPr>
        <w:spacing w:before="69" w:line="219" w:lineRule="auto"/>
        <w:ind w:left="423" w:right="-729" w:rightChars="-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公章）                       </w:t>
      </w:r>
      <w:r>
        <w:rPr>
          <w:rFonts w:hint="eastAsia" w:ascii="宋体" w:hAnsi="宋体" w:eastAsia="宋体" w:cs="宋体"/>
          <w:color w:val="auto"/>
          <w:spacing w:val="-1"/>
          <w:sz w:val="21"/>
          <w:szCs w:val="21"/>
          <w:highlight w:val="none"/>
        </w:rPr>
        <w:t>承包人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公章）</w:t>
      </w:r>
    </w:p>
    <w:p w14:paraId="2DFD2774">
      <w:pPr>
        <w:pStyle w:val="8"/>
        <w:spacing w:line="245" w:lineRule="auto"/>
        <w:ind w:right="-729" w:rightChars="-347"/>
        <w:rPr>
          <w:rFonts w:hint="eastAsia" w:ascii="宋体" w:hAnsi="宋体" w:eastAsia="宋体" w:cs="宋体"/>
          <w:color w:val="auto"/>
          <w:highlight w:val="none"/>
        </w:rPr>
      </w:pPr>
    </w:p>
    <w:p w14:paraId="02365A0B">
      <w:pPr>
        <w:pStyle w:val="8"/>
        <w:spacing w:line="245" w:lineRule="auto"/>
        <w:ind w:right="-729" w:rightChars="-347"/>
        <w:rPr>
          <w:rFonts w:hint="eastAsia" w:ascii="宋体" w:hAnsi="宋体" w:eastAsia="宋体" w:cs="宋体"/>
          <w:color w:val="auto"/>
          <w:highlight w:val="none"/>
        </w:rPr>
      </w:pPr>
    </w:p>
    <w:p w14:paraId="7CD26878">
      <w:pPr>
        <w:spacing w:before="68" w:line="220" w:lineRule="auto"/>
        <w:ind w:left="421" w:right="-729" w:rightChars="-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                        法定代表人或其委托</w:t>
      </w:r>
    </w:p>
    <w:p w14:paraId="708147BC">
      <w:pPr>
        <w:spacing w:before="170" w:line="220" w:lineRule="auto"/>
        <w:ind w:left="419" w:right="-729" w:rightChars="-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pacing w:val="-1"/>
          <w:sz w:val="21"/>
          <w:szCs w:val="21"/>
          <w:highlight w:val="none"/>
        </w:rPr>
        <w:t>代理人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签字）</w:t>
      </w:r>
    </w:p>
    <w:p w14:paraId="5E108B58">
      <w:pPr>
        <w:spacing w:before="156" w:line="219" w:lineRule="auto"/>
        <w:ind w:left="423" w:right="-729" w:rightChars="-34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组织机构代码：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组织机构代码：</w:t>
      </w:r>
    </w:p>
    <w:p w14:paraId="2718F90E">
      <w:pPr>
        <w:spacing w:before="156" w:line="229" w:lineRule="auto"/>
        <w:ind w:left="420" w:right="-729" w:rightChars="-34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地</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9"/>
          <w:sz w:val="21"/>
          <w:szCs w:val="21"/>
          <w:highlight w:val="none"/>
        </w:rPr>
        <w:t>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地</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9"/>
          <w:sz w:val="21"/>
          <w:szCs w:val="21"/>
          <w:highlight w:val="none"/>
        </w:rPr>
        <w:t>址：</w:t>
      </w:r>
    </w:p>
    <w:p w14:paraId="0C7AD54C">
      <w:pPr>
        <w:spacing w:before="145" w:line="220" w:lineRule="auto"/>
        <w:ind w:left="436" w:right="-729" w:rightChars="-34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邮政编码：</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邮政编码：</w:t>
      </w:r>
    </w:p>
    <w:p w14:paraId="0ADEA027">
      <w:pPr>
        <w:spacing w:before="169" w:line="220" w:lineRule="auto"/>
        <w:ind w:left="421" w:right="-729" w:rightChars="-34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法定代表人：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法定代表人：</w:t>
      </w:r>
    </w:p>
    <w:p w14:paraId="1F6EE898">
      <w:pPr>
        <w:spacing w:before="156" w:line="220" w:lineRule="auto"/>
        <w:ind w:left="419" w:right="-729" w:rightChars="-34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委托代理人：</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委托代理人：</w:t>
      </w:r>
    </w:p>
    <w:p w14:paraId="79D13DC3">
      <w:pPr>
        <w:spacing w:before="155" w:line="222" w:lineRule="auto"/>
        <w:ind w:left="445" w:right="-729" w:rightChars="-34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电</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9"/>
          <w:sz w:val="21"/>
          <w:szCs w:val="21"/>
          <w:highlight w:val="none"/>
        </w:rPr>
        <w:t xml:space="preserve">话：                                     </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电</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9"/>
          <w:sz w:val="21"/>
          <w:szCs w:val="21"/>
          <w:highlight w:val="none"/>
        </w:rPr>
        <w:t>话：</w:t>
      </w:r>
    </w:p>
    <w:p w14:paraId="71A2CF58">
      <w:pPr>
        <w:spacing w:before="153" w:line="219" w:lineRule="auto"/>
        <w:ind w:left="418" w:right="-729" w:rightChars="-34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传</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9"/>
          <w:sz w:val="21"/>
          <w:szCs w:val="21"/>
          <w:highlight w:val="none"/>
        </w:rPr>
        <w:t>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传</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9"/>
          <w:sz w:val="21"/>
          <w:szCs w:val="21"/>
          <w:highlight w:val="none"/>
        </w:rPr>
        <w:t>真：</w:t>
      </w:r>
    </w:p>
    <w:p w14:paraId="153B4D73">
      <w:pPr>
        <w:spacing w:before="171" w:line="220" w:lineRule="auto"/>
        <w:ind w:left="445" w:right="-729" w:rightChars="-34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电子信箱：</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0"/>
          <w:sz w:val="21"/>
          <w:szCs w:val="21"/>
          <w:highlight w:val="none"/>
        </w:rPr>
        <w:t>电子信箱：</w:t>
      </w:r>
    </w:p>
    <w:p w14:paraId="353E83B4">
      <w:pPr>
        <w:spacing w:before="156" w:line="220" w:lineRule="auto"/>
        <w:ind w:left="421" w:right="-729" w:rightChars="-34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开户银行：</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开户银行：</w:t>
      </w:r>
    </w:p>
    <w:p w14:paraId="11617A22">
      <w:pPr>
        <w:spacing w:before="155" w:line="221" w:lineRule="auto"/>
        <w:ind w:left="423" w:right="-729" w:rightChars="-34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账</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6"/>
          <w:sz w:val="21"/>
          <w:szCs w:val="21"/>
          <w:highlight w:val="none"/>
        </w:rPr>
        <w:t xml:space="preserve">号：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账  号：</w:t>
      </w:r>
    </w:p>
    <w:p w14:paraId="0F9D46C2">
      <w:pPr>
        <w:spacing w:line="221" w:lineRule="auto"/>
        <w:ind w:right="-729" w:rightChars="-347"/>
        <w:rPr>
          <w:rFonts w:hint="eastAsia" w:ascii="宋体" w:hAnsi="宋体" w:eastAsia="宋体" w:cs="宋体"/>
          <w:color w:val="auto"/>
          <w:sz w:val="21"/>
          <w:szCs w:val="21"/>
          <w:highlight w:val="none"/>
        </w:rPr>
        <w:sectPr>
          <w:footerReference r:id="rId5" w:type="default"/>
          <w:pgSz w:w="11910" w:h="16845"/>
          <w:pgMar w:top="1440" w:right="1800" w:bottom="1440" w:left="1800" w:header="0" w:footer="810" w:gutter="0"/>
          <w:pgNumType w:fmt="decimal"/>
          <w:cols w:space="720" w:num="1"/>
        </w:sectPr>
      </w:pPr>
    </w:p>
    <w:p w14:paraId="73DB3604">
      <w:pPr>
        <w:spacing w:before="97" w:line="220" w:lineRule="auto"/>
        <w:ind w:left="2670" w:right="-729" w:rightChars="-347"/>
        <w:outlineLvl w:val="1"/>
        <w:rPr>
          <w:rFonts w:hint="eastAsia" w:ascii="宋体" w:hAnsi="宋体" w:eastAsia="宋体" w:cs="宋体"/>
          <w:color w:val="auto"/>
          <w:sz w:val="30"/>
          <w:szCs w:val="30"/>
          <w:highlight w:val="none"/>
        </w:rPr>
      </w:pPr>
      <w:bookmarkStart w:id="236" w:name="_Toc19947"/>
      <w:bookmarkStart w:id="237" w:name="_Toc16200"/>
      <w:bookmarkStart w:id="238" w:name="_Toc12595"/>
      <w:r>
        <w:rPr>
          <w:rFonts w:hint="eastAsia" w:ascii="宋体" w:hAnsi="宋体" w:eastAsia="宋体" w:cs="宋体"/>
          <w:b/>
          <w:bCs/>
          <w:color w:val="auto"/>
          <w:spacing w:val="7"/>
          <w:sz w:val="30"/>
          <w:szCs w:val="30"/>
          <w:highlight w:val="none"/>
        </w:rPr>
        <w:t>第二部分</w:t>
      </w:r>
      <w:r>
        <w:rPr>
          <w:rFonts w:hint="eastAsia" w:ascii="宋体" w:hAnsi="宋体" w:eastAsia="宋体" w:cs="宋体"/>
          <w:color w:val="auto"/>
          <w:spacing w:val="28"/>
          <w:sz w:val="30"/>
          <w:szCs w:val="30"/>
          <w:highlight w:val="none"/>
        </w:rPr>
        <w:t xml:space="preserve"> </w:t>
      </w:r>
      <w:r>
        <w:rPr>
          <w:rFonts w:hint="eastAsia" w:ascii="宋体" w:hAnsi="宋体" w:eastAsia="宋体" w:cs="宋体"/>
          <w:b/>
          <w:bCs/>
          <w:color w:val="auto"/>
          <w:spacing w:val="7"/>
          <w:sz w:val="30"/>
          <w:szCs w:val="30"/>
          <w:highlight w:val="none"/>
        </w:rPr>
        <w:t>通用合同条款</w:t>
      </w:r>
      <w:bookmarkEnd w:id="236"/>
      <w:bookmarkEnd w:id="237"/>
      <w:bookmarkEnd w:id="238"/>
    </w:p>
    <w:p w14:paraId="528E5645">
      <w:pPr>
        <w:pStyle w:val="8"/>
        <w:spacing w:line="414" w:lineRule="auto"/>
        <w:ind w:right="-729" w:rightChars="-347"/>
        <w:rPr>
          <w:rFonts w:hint="eastAsia" w:ascii="宋体" w:hAnsi="宋体" w:eastAsia="宋体" w:cs="宋体"/>
          <w:color w:val="auto"/>
          <w:highlight w:val="none"/>
        </w:rPr>
      </w:pPr>
    </w:p>
    <w:p w14:paraId="3FA39283">
      <w:pPr>
        <w:spacing w:before="69" w:line="219" w:lineRule="auto"/>
        <w:ind w:left="429" w:right="-729" w:rightChars="-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此部分采用《建设工程施工合同》范本（GF-2017-0201）中《第二部分 </w:t>
      </w:r>
      <w:r>
        <w:rPr>
          <w:rFonts w:hint="eastAsia" w:ascii="宋体" w:hAnsi="宋体" w:eastAsia="宋体" w:cs="宋体"/>
          <w:color w:val="auto"/>
          <w:spacing w:val="-1"/>
          <w:sz w:val="21"/>
          <w:szCs w:val="21"/>
          <w:highlight w:val="none"/>
        </w:rPr>
        <w:t>通用条款》</w:t>
      </w:r>
    </w:p>
    <w:p w14:paraId="7357BCDD">
      <w:pPr>
        <w:pStyle w:val="8"/>
        <w:spacing w:line="281" w:lineRule="auto"/>
        <w:ind w:right="-729" w:rightChars="-347"/>
        <w:rPr>
          <w:rFonts w:hint="eastAsia" w:ascii="宋体" w:hAnsi="宋体" w:eastAsia="宋体" w:cs="宋体"/>
          <w:color w:val="auto"/>
          <w:highlight w:val="none"/>
        </w:rPr>
      </w:pPr>
    </w:p>
    <w:p w14:paraId="55DFEE3F">
      <w:pPr>
        <w:pStyle w:val="8"/>
        <w:spacing w:line="282" w:lineRule="auto"/>
        <w:ind w:right="-729" w:rightChars="-347"/>
        <w:rPr>
          <w:rFonts w:hint="eastAsia" w:ascii="宋体" w:hAnsi="宋体" w:eastAsia="宋体" w:cs="宋体"/>
          <w:color w:val="auto"/>
          <w:highlight w:val="none"/>
        </w:rPr>
      </w:pPr>
    </w:p>
    <w:p w14:paraId="7521E9A0">
      <w:pPr>
        <w:ind w:right="-729" w:rightChars="-347"/>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br w:type="page"/>
      </w:r>
    </w:p>
    <w:p w14:paraId="2A38B5A9">
      <w:pPr>
        <w:spacing w:before="97" w:line="220" w:lineRule="auto"/>
        <w:ind w:left="2745" w:right="-729" w:rightChars="-347"/>
        <w:outlineLvl w:val="1"/>
        <w:rPr>
          <w:rFonts w:hint="eastAsia" w:ascii="宋体" w:hAnsi="宋体" w:eastAsia="宋体" w:cs="宋体"/>
          <w:color w:val="auto"/>
          <w:sz w:val="30"/>
          <w:szCs w:val="30"/>
          <w:highlight w:val="none"/>
        </w:rPr>
      </w:pPr>
      <w:bookmarkStart w:id="239" w:name="_Toc671"/>
      <w:bookmarkStart w:id="240" w:name="_Toc7981"/>
      <w:bookmarkStart w:id="241" w:name="_Toc8816"/>
      <w:r>
        <w:rPr>
          <w:rFonts w:hint="eastAsia" w:ascii="宋体" w:hAnsi="宋体" w:eastAsia="宋体" w:cs="宋体"/>
          <w:b/>
          <w:bCs/>
          <w:color w:val="auto"/>
          <w:spacing w:val="6"/>
          <w:sz w:val="30"/>
          <w:szCs w:val="30"/>
          <w:highlight w:val="none"/>
        </w:rPr>
        <w:t>第三部分</w:t>
      </w:r>
      <w:r>
        <w:rPr>
          <w:rFonts w:hint="eastAsia" w:ascii="宋体" w:hAnsi="宋体" w:eastAsia="宋体" w:cs="宋体"/>
          <w:color w:val="auto"/>
          <w:spacing w:val="50"/>
          <w:sz w:val="30"/>
          <w:szCs w:val="30"/>
          <w:highlight w:val="none"/>
        </w:rPr>
        <w:t xml:space="preserve"> </w:t>
      </w:r>
      <w:r>
        <w:rPr>
          <w:rFonts w:hint="eastAsia" w:ascii="宋体" w:hAnsi="宋体" w:eastAsia="宋体" w:cs="宋体"/>
          <w:b/>
          <w:bCs/>
          <w:color w:val="auto"/>
          <w:spacing w:val="6"/>
          <w:sz w:val="30"/>
          <w:szCs w:val="30"/>
          <w:highlight w:val="none"/>
        </w:rPr>
        <w:t>专用合同条款</w:t>
      </w:r>
      <w:bookmarkEnd w:id="239"/>
      <w:bookmarkEnd w:id="240"/>
      <w:bookmarkEnd w:id="241"/>
    </w:p>
    <w:p w14:paraId="0895E581">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1.</w:t>
      </w:r>
      <w:r>
        <w:rPr>
          <w:rFonts w:hint="eastAsia" w:ascii="宋体" w:hAnsi="宋体" w:eastAsia="宋体" w:cs="宋体"/>
          <w:b/>
          <w:bCs/>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一般约定</w:t>
      </w:r>
    </w:p>
    <w:p w14:paraId="4B6A163C">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1.1 词语定义</w:t>
      </w:r>
    </w:p>
    <w:p w14:paraId="6D8334E3">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1.1.1 合同</w:t>
      </w:r>
    </w:p>
    <w:p w14:paraId="5F667B68">
      <w:pPr>
        <w:keepNext w:val="0"/>
        <w:keepLines w:val="0"/>
        <w:pageBreakBefore w:val="0"/>
        <w:widowControl w:val="0"/>
        <w:kinsoku/>
        <w:wordWrap/>
        <w:overflowPunct/>
        <w:topLinePunct w:val="0"/>
        <w:autoSpaceDE/>
        <w:autoSpaceDN/>
        <w:bidi w:val="0"/>
        <w:adjustRightInd/>
        <w:snapToGrid/>
        <w:spacing w:line="440" w:lineRule="exact"/>
        <w:ind w:left="8" w:right="-729" w:rightChars="-347" w:firstLine="43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"1.1.1.10"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
          <w:sz w:val="21"/>
          <w:szCs w:val="21"/>
          <w:highlight w:val="none"/>
        </w:rPr>
        <w:t>1.1.1.10</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
          <w:sz w:val="21"/>
          <w:szCs w:val="21"/>
          <w:highlight w:val="none"/>
        </w:rPr>
        <w:t>其他合同文件包括</w:t>
      </w:r>
      <w:r>
        <w:rPr>
          <w:rFonts w:hint="eastAsia" w:ascii="宋体" w:hAnsi="宋体" w:eastAsia="宋体" w:cs="宋体"/>
          <w:color w:val="auto"/>
          <w:spacing w:val="-26"/>
          <w:sz w:val="21"/>
          <w:szCs w:val="21"/>
          <w:highlight w:val="none"/>
        </w:rPr>
        <w:t>：</w:t>
      </w:r>
      <w:r>
        <w:rPr>
          <w:rFonts w:hint="eastAsia" w:ascii="宋体" w:hAnsi="宋体" w:eastAsia="宋体" w:cs="宋体"/>
          <w:b/>
          <w:bCs/>
          <w:color w:val="auto"/>
          <w:spacing w:val="-26"/>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1）协商备忘、合同补充文件</w:t>
      </w:r>
      <w:r>
        <w:rPr>
          <w:rFonts w:hint="eastAsia" w:ascii="宋体" w:hAnsi="宋体" w:eastAsia="宋体" w:cs="宋体"/>
          <w:b/>
          <w:bCs/>
          <w:color w:val="auto"/>
          <w:spacing w:val="-26"/>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2）招标文件及其附件（含</w:t>
      </w:r>
      <w:r>
        <w:rPr>
          <w:rFonts w:hint="eastAsia" w:ascii="宋体" w:hAnsi="宋体" w:eastAsia="宋体" w:cs="宋体"/>
          <w:b/>
          <w:bCs/>
          <w:color w:val="auto"/>
          <w:spacing w:val="-1"/>
          <w:sz w:val="21"/>
          <w:szCs w:val="21"/>
          <w:highlight w:val="none"/>
          <w:u w:val="single" w:color="auto"/>
        </w:rPr>
        <w:t>答疑</w:t>
      </w:r>
      <w:r>
        <w:rPr>
          <w:rFonts w:hint="eastAsia" w:ascii="宋体" w:hAnsi="宋体" w:eastAsia="宋体" w:cs="宋体"/>
          <w:b/>
          <w:bCs/>
          <w:color w:val="auto"/>
          <w:spacing w:val="-19"/>
          <w:sz w:val="21"/>
          <w:szCs w:val="21"/>
          <w:highlight w:val="none"/>
          <w:u w:val="single" w:color="auto"/>
        </w:rPr>
        <w:t>）；（</w:t>
      </w:r>
      <w:r>
        <w:rPr>
          <w:rFonts w:hint="eastAsia" w:ascii="宋体" w:hAnsi="宋体" w:eastAsia="宋体" w:cs="宋体"/>
          <w:b/>
          <w:bCs/>
          <w:color w:val="auto"/>
          <w:spacing w:val="-1"/>
          <w:sz w:val="21"/>
          <w:szCs w:val="21"/>
          <w:highlight w:val="none"/>
          <w:u w:val="single" w:color="auto"/>
        </w:rPr>
        <w:t>3）发包人认可的设计变更</w:t>
      </w:r>
      <w:r>
        <w:rPr>
          <w:rFonts w:hint="eastAsia" w:ascii="宋体" w:hAnsi="宋体" w:eastAsia="宋体" w:cs="宋体"/>
          <w:b/>
          <w:bCs/>
          <w:color w:val="auto"/>
          <w:spacing w:val="-19"/>
          <w:sz w:val="21"/>
          <w:szCs w:val="21"/>
          <w:highlight w:val="none"/>
          <w:u w:val="single" w:color="auto"/>
        </w:rPr>
        <w:t>；（</w:t>
      </w:r>
      <w:r>
        <w:rPr>
          <w:rFonts w:hint="eastAsia" w:ascii="宋体" w:hAnsi="宋体" w:eastAsia="宋体" w:cs="宋体"/>
          <w:b/>
          <w:bCs/>
          <w:color w:val="auto"/>
          <w:spacing w:val="-1"/>
          <w:sz w:val="21"/>
          <w:szCs w:val="21"/>
          <w:highlight w:val="none"/>
          <w:u w:val="single" w:color="auto"/>
        </w:rPr>
        <w:t>4）经发包人确认有效的工程签证单（发包人签字盖章</w:t>
      </w:r>
      <w:r>
        <w:rPr>
          <w:rFonts w:hint="eastAsia" w:ascii="宋体" w:hAnsi="宋体" w:eastAsia="宋体" w:cs="宋体"/>
          <w:b/>
          <w:bCs/>
          <w:color w:val="auto"/>
          <w:spacing w:val="5"/>
          <w:sz w:val="21"/>
          <w:szCs w:val="21"/>
          <w:highlight w:val="none"/>
          <w:u w:val="single" w:color="auto"/>
        </w:rPr>
        <w:t>后方可生效</w:t>
      </w:r>
      <w:r>
        <w:rPr>
          <w:rFonts w:hint="eastAsia" w:ascii="宋体" w:hAnsi="宋体" w:eastAsia="宋体" w:cs="宋体"/>
          <w:b/>
          <w:bCs/>
          <w:color w:val="auto"/>
          <w:spacing w:val="7"/>
          <w:sz w:val="21"/>
          <w:szCs w:val="21"/>
          <w:highlight w:val="none"/>
          <w:u w:val="single" w:color="auto"/>
        </w:rPr>
        <w:t>）；（</w:t>
      </w:r>
      <w:r>
        <w:rPr>
          <w:rFonts w:hint="eastAsia" w:ascii="宋体" w:hAnsi="宋体" w:eastAsia="宋体" w:cs="宋体"/>
          <w:b/>
          <w:bCs/>
          <w:color w:val="auto"/>
          <w:spacing w:val="5"/>
          <w:sz w:val="21"/>
          <w:szCs w:val="21"/>
          <w:highlight w:val="none"/>
          <w:u w:val="single" w:color="auto"/>
        </w:rPr>
        <w:t>5）承诺书。</w:t>
      </w:r>
      <w:r>
        <w:rPr>
          <w:rFonts w:hint="eastAsia" w:ascii="宋体" w:hAnsi="宋体" w:eastAsia="宋体" w:cs="宋体"/>
          <w:color w:val="auto"/>
          <w:spacing w:val="5"/>
          <w:sz w:val="21"/>
          <w:szCs w:val="21"/>
          <w:highlight w:val="none"/>
          <w:u w:val="single" w:color="auto"/>
        </w:rPr>
        <w:t xml:space="preserve"> </w:t>
      </w:r>
    </w:p>
    <w:p w14:paraId="2D082D78">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1.1.2 合同当事人及其他相关方</w:t>
      </w:r>
    </w:p>
    <w:p w14:paraId="1EF0B548">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1.1.2.4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监理人：</w:t>
      </w:r>
    </w:p>
    <w:p w14:paraId="146F4DDC">
      <w:pPr>
        <w:keepNext w:val="0"/>
        <w:keepLines w:val="0"/>
        <w:pageBreakBefore w:val="0"/>
        <w:widowControl w:val="0"/>
        <w:kinsoku/>
        <w:wordWrap/>
        <w:overflowPunct/>
        <w:topLinePunct w:val="0"/>
        <w:autoSpaceDE/>
        <w:autoSpaceDN/>
        <w:bidi w:val="0"/>
        <w:adjustRightInd/>
        <w:snapToGrid/>
        <w:spacing w:line="440" w:lineRule="exact"/>
        <w:ind w:left="43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名</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8"/>
          <w:sz w:val="21"/>
          <w:szCs w:val="21"/>
          <w:highlight w:val="none"/>
        </w:rPr>
        <w:t>称</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cs="宋体"/>
          <w:color w:val="auto"/>
          <w:sz w:val="21"/>
          <w:szCs w:val="21"/>
          <w:highlight w:val="none"/>
          <w:u w:val="single" w:color="auto"/>
          <w:lang w:val="en-US" w:eastAsia="zh-CN"/>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73AD54DA">
      <w:pPr>
        <w:keepNext w:val="0"/>
        <w:keepLines w:val="0"/>
        <w:pageBreakBefore w:val="0"/>
        <w:widowControl w:val="0"/>
        <w:kinsoku/>
        <w:wordWrap/>
        <w:overflowPunct/>
        <w:topLinePunct w:val="0"/>
        <w:autoSpaceDE/>
        <w:autoSpaceDN/>
        <w:bidi w:val="0"/>
        <w:adjustRightInd/>
        <w:snapToGrid/>
        <w:spacing w:line="440" w:lineRule="exact"/>
        <w:ind w:left="43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资质类别和等级</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7FEE6BD5">
      <w:pPr>
        <w:keepNext w:val="0"/>
        <w:keepLines w:val="0"/>
        <w:pageBreakBefore w:val="0"/>
        <w:widowControl w:val="0"/>
        <w:kinsoku/>
        <w:wordWrap/>
        <w:overflowPunct/>
        <w:topLinePunct w:val="0"/>
        <w:autoSpaceDE/>
        <w:autoSpaceDN/>
        <w:bidi w:val="0"/>
        <w:adjustRightInd/>
        <w:snapToGrid/>
        <w:spacing w:line="440" w:lineRule="exact"/>
        <w:ind w:left="429"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EDF44B1">
      <w:pPr>
        <w:keepNext w:val="0"/>
        <w:keepLines w:val="0"/>
        <w:pageBreakBefore w:val="0"/>
        <w:widowControl w:val="0"/>
        <w:kinsoku/>
        <w:wordWrap/>
        <w:overflowPunct/>
        <w:topLinePunct w:val="0"/>
        <w:autoSpaceDE/>
        <w:autoSpaceDN/>
        <w:bidi w:val="0"/>
        <w:adjustRightInd/>
        <w:snapToGrid/>
        <w:spacing w:line="440" w:lineRule="exact"/>
        <w:ind w:left="45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电子信箱</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3254D407">
      <w:pPr>
        <w:keepNext w:val="0"/>
        <w:keepLines w:val="0"/>
        <w:pageBreakBefore w:val="0"/>
        <w:widowControl w:val="0"/>
        <w:kinsoku/>
        <w:wordWrap/>
        <w:overflowPunct/>
        <w:topLinePunct w:val="0"/>
        <w:autoSpaceDE/>
        <w:autoSpaceDN/>
        <w:bidi w:val="0"/>
        <w:adjustRightInd/>
        <w:snapToGrid/>
        <w:spacing w:line="440" w:lineRule="exact"/>
        <w:ind w:left="428"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6420082">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1.1.2.5</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7"/>
          <w:sz w:val="21"/>
          <w:szCs w:val="21"/>
          <w:highlight w:val="none"/>
        </w:rPr>
        <w:t>设计人：</w:t>
      </w:r>
    </w:p>
    <w:p w14:paraId="12E38B7B">
      <w:pPr>
        <w:keepNext w:val="0"/>
        <w:keepLines w:val="0"/>
        <w:pageBreakBefore w:val="0"/>
        <w:widowControl w:val="0"/>
        <w:kinsoku/>
        <w:wordWrap/>
        <w:overflowPunct/>
        <w:topLinePunct w:val="0"/>
        <w:autoSpaceDE/>
        <w:autoSpaceDN/>
        <w:bidi w:val="0"/>
        <w:adjustRightInd/>
        <w:snapToGrid/>
        <w:spacing w:line="440" w:lineRule="exact"/>
        <w:ind w:left="43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名</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8"/>
          <w:sz w:val="21"/>
          <w:szCs w:val="21"/>
          <w:highlight w:val="none"/>
        </w:rPr>
        <w:t>称</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67A50EA8">
      <w:pPr>
        <w:keepNext w:val="0"/>
        <w:keepLines w:val="0"/>
        <w:pageBreakBefore w:val="0"/>
        <w:widowControl w:val="0"/>
        <w:kinsoku/>
        <w:wordWrap/>
        <w:overflowPunct/>
        <w:topLinePunct w:val="0"/>
        <w:autoSpaceDE/>
        <w:autoSpaceDN/>
        <w:bidi w:val="0"/>
        <w:adjustRightInd/>
        <w:snapToGrid/>
        <w:spacing w:line="440" w:lineRule="exact"/>
        <w:ind w:left="43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资质类别和等级</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75769B2">
      <w:pPr>
        <w:keepNext w:val="0"/>
        <w:keepLines w:val="0"/>
        <w:pageBreakBefore w:val="0"/>
        <w:widowControl w:val="0"/>
        <w:kinsoku/>
        <w:wordWrap/>
        <w:overflowPunct/>
        <w:topLinePunct w:val="0"/>
        <w:autoSpaceDE/>
        <w:autoSpaceDN/>
        <w:bidi w:val="0"/>
        <w:adjustRightInd/>
        <w:snapToGrid/>
        <w:spacing w:line="440" w:lineRule="exact"/>
        <w:ind w:left="429"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F7A5E29">
      <w:pPr>
        <w:keepNext w:val="0"/>
        <w:keepLines w:val="0"/>
        <w:pageBreakBefore w:val="0"/>
        <w:widowControl w:val="0"/>
        <w:kinsoku/>
        <w:wordWrap/>
        <w:overflowPunct/>
        <w:topLinePunct w:val="0"/>
        <w:autoSpaceDE/>
        <w:autoSpaceDN/>
        <w:bidi w:val="0"/>
        <w:adjustRightInd/>
        <w:snapToGrid/>
        <w:spacing w:line="440" w:lineRule="exact"/>
        <w:ind w:left="45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电子信箱</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0B135EAB">
      <w:pPr>
        <w:keepNext w:val="0"/>
        <w:keepLines w:val="0"/>
        <w:pageBreakBefore w:val="0"/>
        <w:widowControl w:val="0"/>
        <w:kinsoku/>
        <w:wordWrap/>
        <w:overflowPunct/>
        <w:topLinePunct w:val="0"/>
        <w:autoSpaceDE/>
        <w:autoSpaceDN/>
        <w:bidi w:val="0"/>
        <w:adjustRightInd/>
        <w:snapToGrid/>
        <w:spacing w:line="440" w:lineRule="exact"/>
        <w:ind w:left="428"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EBEA65A">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 工程和设备</w:t>
      </w:r>
    </w:p>
    <w:p w14:paraId="53A14A26">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"1.1.3.7"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1"/>
          <w:szCs w:val="21"/>
          <w:highlight w:val="none"/>
        </w:rPr>
        <w:t>1.1.3.7</w:t>
      </w:r>
      <w:r>
        <w:rPr>
          <w:rFonts w:hint="eastAsia" w:ascii="宋体" w:hAnsi="宋体" w:eastAsia="宋体" w:cs="宋体"/>
          <w:color w:val="auto"/>
          <w:spacing w:val="-1"/>
          <w:sz w:val="21"/>
          <w:szCs w:val="21"/>
          <w:highlight w:val="none"/>
        </w:rPr>
        <w:fldChar w:fldCharType="end"/>
      </w:r>
      <w:r>
        <w:rPr>
          <w:rFonts w:hint="eastAsia" w:ascii="宋体" w:hAnsi="宋体" w:eastAsia="宋体" w:cs="宋体"/>
          <w:color w:val="auto"/>
          <w:spacing w:val="-1"/>
          <w:sz w:val="21"/>
          <w:szCs w:val="21"/>
          <w:highlight w:val="none"/>
        </w:rPr>
        <w:t xml:space="preserve"> 作为施工现场组成部分的其他场所包括：</w:t>
      </w:r>
      <w:r>
        <w:rPr>
          <w:rFonts w:hint="eastAsia" w:ascii="宋体" w:hAnsi="宋体" w:eastAsia="宋体" w:cs="宋体"/>
          <w:color w:val="auto"/>
          <w:spacing w:val="-1"/>
          <w:sz w:val="21"/>
          <w:szCs w:val="21"/>
          <w:highlight w:val="none"/>
          <w:u w:val="single" w:color="auto"/>
        </w:rPr>
        <w:t xml:space="preserve">   /   </w:t>
      </w:r>
      <w:r>
        <w:rPr>
          <w:rFonts w:hint="eastAsia" w:ascii="宋体" w:hAnsi="宋体" w:eastAsia="宋体" w:cs="宋体"/>
          <w:color w:val="auto"/>
          <w:spacing w:val="-1"/>
          <w:sz w:val="21"/>
          <w:szCs w:val="21"/>
          <w:highlight w:val="none"/>
        </w:rPr>
        <w:t>。</w:t>
      </w:r>
    </w:p>
    <w:p w14:paraId="4BDFB9B2">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"1.1.3.9"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
          <w:sz w:val="21"/>
          <w:szCs w:val="21"/>
          <w:highlight w:val="none"/>
        </w:rPr>
        <w:t>1.1.3.9</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rPr>
        <w:t xml:space="preserve"> 永久占地包括：</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val="0"/>
          <w:bCs w:val="0"/>
          <w:color w:val="auto"/>
          <w:spacing w:val="-2"/>
          <w:sz w:val="21"/>
          <w:szCs w:val="21"/>
          <w:highlight w:val="none"/>
          <w:u w:val="single" w:color="auto"/>
        </w:rPr>
        <w:t>/</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573A925D">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"1.1.3.10"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
          <w:sz w:val="21"/>
          <w:szCs w:val="21"/>
          <w:highlight w:val="none"/>
        </w:rPr>
        <w:t>1.1.3.10</w:t>
      </w:r>
      <w:r>
        <w:rPr>
          <w:rFonts w:hint="eastAsia" w:ascii="宋体" w:hAnsi="宋体" w:eastAsia="宋体" w:cs="宋体"/>
          <w:color w:val="auto"/>
          <w:spacing w:val="-2"/>
          <w:sz w:val="21"/>
          <w:szCs w:val="21"/>
          <w:highlight w:val="none"/>
        </w:rPr>
        <w:fldChar w:fldCharType="end"/>
      </w:r>
      <w:r>
        <w:rPr>
          <w:rFonts w:hint="eastAsia" w:ascii="宋体" w:hAnsi="宋体" w:eastAsia="宋体" w:cs="宋体"/>
          <w:color w:val="auto"/>
          <w:spacing w:val="-2"/>
          <w:sz w:val="21"/>
          <w:szCs w:val="21"/>
          <w:highlight w:val="none"/>
        </w:rPr>
        <w:t xml:space="preserve"> 临时占地包括：</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698D20B2">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法律</w:t>
      </w:r>
    </w:p>
    <w:p w14:paraId="7C79C89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right="-729" w:rightChars="-347" w:firstLine="418" w:firstLineChars="201"/>
        <w:textAlignment w:val="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t>适用于合同的其他规范性文件：</w:t>
      </w:r>
      <w:r>
        <w:rPr>
          <w:rFonts w:hint="eastAsia" w:ascii="宋体" w:hAnsi="宋体" w:eastAsia="宋体" w:cs="宋体"/>
          <w:b/>
          <w:bCs/>
          <w:color w:val="auto"/>
          <w:spacing w:val="-1"/>
          <w:sz w:val="21"/>
          <w:szCs w:val="21"/>
          <w:highlight w:val="none"/>
          <w:u w:val="single" w:color="auto"/>
        </w:rPr>
        <w:t>《中华人民共和国建筑法》、</w:t>
      </w:r>
      <w:r>
        <w:rPr>
          <w:rFonts w:hint="eastAsia" w:ascii="宋体" w:hAnsi="宋体" w:eastAsia="宋体" w:cs="宋体"/>
          <w:b/>
          <w:bCs/>
          <w:color w:val="auto"/>
          <w:spacing w:val="-2"/>
          <w:sz w:val="21"/>
          <w:szCs w:val="21"/>
          <w:highlight w:val="none"/>
          <w:u w:val="single" w:color="auto"/>
        </w:rPr>
        <w:t>《中华人民共和国民法典》、</w:t>
      </w:r>
      <w:r>
        <w:rPr>
          <w:rFonts w:hint="eastAsia" w:ascii="宋体" w:hAnsi="宋体" w:eastAsia="宋体" w:cs="宋体"/>
          <w:b/>
          <w:bCs/>
          <w:color w:val="auto"/>
          <w:spacing w:val="-5"/>
          <w:sz w:val="21"/>
          <w:szCs w:val="21"/>
          <w:highlight w:val="none"/>
          <w:u w:val="single" w:color="auto"/>
        </w:rPr>
        <w:t>《中华人民共和国招标投标法》、七部委第12号令《评标委员会和评</w:t>
      </w:r>
      <w:r>
        <w:rPr>
          <w:rFonts w:hint="eastAsia" w:ascii="宋体" w:hAnsi="宋体" w:eastAsia="宋体" w:cs="宋体"/>
          <w:b/>
          <w:bCs/>
          <w:color w:val="auto"/>
          <w:spacing w:val="-6"/>
          <w:sz w:val="21"/>
          <w:szCs w:val="21"/>
          <w:highlight w:val="none"/>
          <w:u w:val="single" w:color="auto"/>
        </w:rPr>
        <w:t>标方法暂行规定》、建设部</w:t>
      </w:r>
      <w:r>
        <w:rPr>
          <w:rFonts w:hint="eastAsia" w:ascii="宋体" w:hAnsi="宋体" w:eastAsia="宋体" w:cs="宋体"/>
          <w:b/>
          <w:bCs/>
          <w:color w:val="auto"/>
          <w:spacing w:val="-3"/>
          <w:sz w:val="21"/>
          <w:szCs w:val="21"/>
          <w:highlight w:val="none"/>
          <w:u w:val="single" w:color="auto"/>
        </w:rPr>
        <w:t>第89号令《房屋建筑和市政基础设施工程施工招标投标管理办法》、七部委第30号令、《建设工</w:t>
      </w:r>
      <w:r>
        <w:rPr>
          <w:rFonts w:hint="eastAsia" w:ascii="宋体" w:hAnsi="宋体" w:eastAsia="宋体" w:cs="宋体"/>
          <w:b/>
          <w:bCs/>
          <w:color w:val="auto"/>
          <w:spacing w:val="9"/>
          <w:sz w:val="21"/>
          <w:szCs w:val="21"/>
          <w:highlight w:val="none"/>
          <w:u w:val="single" w:color="auto"/>
        </w:rPr>
        <w:t>程质量管理条例》（国务院第279号令）、《江苏省</w:t>
      </w:r>
      <w:r>
        <w:rPr>
          <w:rFonts w:hint="eastAsia" w:ascii="宋体" w:hAnsi="宋体" w:eastAsia="宋体" w:cs="宋体"/>
          <w:b/>
          <w:bCs/>
          <w:color w:val="auto"/>
          <w:spacing w:val="8"/>
          <w:sz w:val="21"/>
          <w:szCs w:val="21"/>
          <w:highlight w:val="none"/>
          <w:u w:val="single" w:color="auto"/>
        </w:rPr>
        <w:t>建筑市场管理条例》。</w:t>
      </w:r>
    </w:p>
    <w:p w14:paraId="1760BE4B">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1.4 标准和规范</w:t>
      </w:r>
    </w:p>
    <w:p w14:paraId="04810E67">
      <w:pPr>
        <w:keepNext w:val="0"/>
        <w:keepLines w:val="0"/>
        <w:pageBreakBefore w:val="0"/>
        <w:widowControl w:val="0"/>
        <w:kinsoku/>
        <w:wordWrap/>
        <w:overflowPunct/>
        <w:topLinePunct w:val="0"/>
        <w:autoSpaceDE/>
        <w:autoSpaceDN/>
        <w:bidi w:val="0"/>
        <w:adjustRightInd/>
        <w:snapToGrid/>
        <w:spacing w:line="440" w:lineRule="exact"/>
        <w:ind w:right="-729" w:rightChars="-347"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1.4.1</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适用于工程的标准规范包括：</w:t>
      </w:r>
      <w:r>
        <w:rPr>
          <w:rFonts w:hint="eastAsia" w:ascii="宋体" w:hAnsi="宋体" w:eastAsia="宋体" w:cs="宋体"/>
          <w:b/>
          <w:bCs/>
          <w:color w:val="auto"/>
          <w:spacing w:val="-1"/>
          <w:sz w:val="21"/>
          <w:szCs w:val="21"/>
          <w:highlight w:val="none"/>
          <w:u w:val="single" w:color="auto"/>
        </w:rPr>
        <w:t>国家、地</w:t>
      </w:r>
      <w:r>
        <w:rPr>
          <w:rFonts w:hint="eastAsia" w:ascii="宋体" w:hAnsi="宋体" w:eastAsia="宋体" w:cs="宋体"/>
          <w:b/>
          <w:bCs/>
          <w:color w:val="auto"/>
          <w:spacing w:val="-2"/>
          <w:sz w:val="21"/>
          <w:szCs w:val="21"/>
          <w:highlight w:val="none"/>
          <w:u w:val="single" w:color="auto"/>
        </w:rPr>
        <w:t>方、行业现行的建设工程规范和标准；国家、</w:t>
      </w:r>
      <w:r>
        <w:rPr>
          <w:rFonts w:hint="eastAsia" w:ascii="宋体" w:hAnsi="宋体" w:eastAsia="宋体" w:cs="宋体"/>
          <w:b/>
          <w:bCs/>
          <w:color w:val="auto"/>
          <w:spacing w:val="7"/>
          <w:sz w:val="21"/>
          <w:szCs w:val="21"/>
          <w:highlight w:val="none"/>
          <w:u w:val="single" w:color="auto"/>
        </w:rPr>
        <w:t>地方、行业现行的有关材料、设备的规范和标准；现行的江苏省工程预算定额及相</w:t>
      </w:r>
      <w:r>
        <w:rPr>
          <w:rFonts w:hint="eastAsia" w:ascii="宋体" w:hAnsi="宋体" w:eastAsia="宋体" w:cs="宋体"/>
          <w:b/>
          <w:bCs/>
          <w:color w:val="auto"/>
          <w:spacing w:val="6"/>
          <w:sz w:val="21"/>
          <w:szCs w:val="21"/>
          <w:highlight w:val="none"/>
          <w:u w:val="single" w:color="auto"/>
        </w:rPr>
        <w:t>关规定。</w:t>
      </w:r>
      <w:r>
        <w:rPr>
          <w:rFonts w:hint="eastAsia" w:ascii="宋体" w:hAnsi="宋体" w:eastAsia="宋体" w:cs="宋体"/>
          <w:color w:val="auto"/>
          <w:sz w:val="21"/>
          <w:szCs w:val="21"/>
          <w:highlight w:val="none"/>
          <w:u w:val="single" w:color="auto"/>
        </w:rPr>
        <w:t xml:space="preserve"> </w:t>
      </w:r>
    </w:p>
    <w:p w14:paraId="3776B341">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1.4.2 发包人提供国外标准、规范的名称：</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0EC582B">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发包人提供国外标准、规范的份数：</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无</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7D207EE2">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发包人提供国外标准、规范的名称：</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无</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2F1855D0">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1.4.3</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2"/>
          <w:sz w:val="21"/>
          <w:szCs w:val="21"/>
          <w:highlight w:val="none"/>
        </w:rPr>
        <w:t>发包人对工程的技术标准和功能要求的特殊</w:t>
      </w:r>
      <w:r>
        <w:rPr>
          <w:rFonts w:hint="eastAsia" w:ascii="宋体" w:hAnsi="宋体" w:eastAsia="宋体" w:cs="宋体"/>
          <w:color w:val="auto"/>
          <w:spacing w:val="1"/>
          <w:sz w:val="21"/>
          <w:szCs w:val="21"/>
          <w:highlight w:val="none"/>
        </w:rPr>
        <w:t>要求：</w:t>
      </w:r>
      <w:r>
        <w:rPr>
          <w:rFonts w:hint="eastAsia" w:ascii="宋体" w:hAnsi="宋体" w:eastAsia="宋体" w:cs="宋体"/>
          <w:b/>
          <w:bCs/>
          <w:color w:val="auto"/>
          <w:spacing w:val="1"/>
          <w:sz w:val="21"/>
          <w:szCs w:val="21"/>
          <w:highlight w:val="none"/>
          <w:u w:val="single" w:color="auto"/>
        </w:rPr>
        <w:t>按设计要求执行</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36447BF">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1.5 合同文件的优先顺序</w:t>
      </w:r>
    </w:p>
    <w:p w14:paraId="2B82451D">
      <w:pPr>
        <w:keepNext w:val="0"/>
        <w:keepLines w:val="0"/>
        <w:pageBreakBefore w:val="0"/>
        <w:widowControl w:val="0"/>
        <w:kinsoku/>
        <w:wordWrap/>
        <w:overflowPunct/>
        <w:topLinePunct w:val="0"/>
        <w:autoSpaceDE/>
        <w:autoSpaceDN/>
        <w:bidi w:val="0"/>
        <w:adjustRightInd/>
        <w:snapToGrid/>
        <w:spacing w:line="440" w:lineRule="exact"/>
        <w:ind w:right="-729" w:rightChars="-347" w:firstLine="42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pacing w:val="-18"/>
          <w:sz w:val="21"/>
          <w:szCs w:val="21"/>
          <w:highlight w:val="none"/>
        </w:rPr>
        <w:t>：</w:t>
      </w:r>
      <w:r>
        <w:rPr>
          <w:rFonts w:hint="eastAsia" w:ascii="宋体" w:hAnsi="宋体" w:eastAsia="宋体" w:cs="宋体"/>
          <w:b/>
          <w:bCs/>
          <w:color w:val="auto"/>
          <w:spacing w:val="-18"/>
          <w:sz w:val="21"/>
          <w:szCs w:val="21"/>
          <w:highlight w:val="none"/>
          <w:u w:val="single" w:color="auto"/>
        </w:rPr>
        <w:t>（</w:t>
      </w:r>
      <w:r>
        <w:rPr>
          <w:rFonts w:hint="eastAsia" w:ascii="宋体" w:hAnsi="宋体" w:eastAsia="宋体" w:cs="宋体"/>
          <w:b/>
          <w:bCs/>
          <w:color w:val="auto"/>
          <w:sz w:val="21"/>
          <w:szCs w:val="21"/>
          <w:highlight w:val="none"/>
          <w:u w:val="single" w:color="auto"/>
        </w:rPr>
        <w:t>1）合同协议书</w:t>
      </w:r>
      <w:r>
        <w:rPr>
          <w:rFonts w:hint="eastAsia" w:ascii="宋体" w:hAnsi="宋体" w:eastAsia="宋体" w:cs="宋体"/>
          <w:b/>
          <w:bCs/>
          <w:color w:val="auto"/>
          <w:spacing w:val="-18"/>
          <w:sz w:val="21"/>
          <w:szCs w:val="21"/>
          <w:highlight w:val="none"/>
          <w:u w:val="single" w:color="auto"/>
        </w:rPr>
        <w:t>；（</w:t>
      </w:r>
      <w:r>
        <w:rPr>
          <w:rFonts w:hint="eastAsia" w:ascii="宋体" w:hAnsi="宋体" w:eastAsia="宋体" w:cs="宋体"/>
          <w:b/>
          <w:bCs/>
          <w:color w:val="auto"/>
          <w:sz w:val="21"/>
          <w:szCs w:val="21"/>
          <w:highlight w:val="none"/>
          <w:u w:val="single" w:color="auto"/>
        </w:rPr>
        <w:t>2）中标通知书</w:t>
      </w:r>
      <w:r>
        <w:rPr>
          <w:rFonts w:hint="eastAsia" w:ascii="宋体" w:hAnsi="宋体" w:eastAsia="宋体" w:cs="宋体"/>
          <w:b/>
          <w:bCs/>
          <w:color w:val="auto"/>
          <w:spacing w:val="-18"/>
          <w:sz w:val="21"/>
          <w:szCs w:val="21"/>
          <w:highlight w:val="none"/>
          <w:u w:val="single" w:color="auto"/>
        </w:rPr>
        <w:t>；（</w:t>
      </w:r>
      <w:r>
        <w:rPr>
          <w:rFonts w:hint="eastAsia" w:ascii="宋体" w:hAnsi="宋体" w:eastAsia="宋体" w:cs="宋体"/>
          <w:b/>
          <w:bCs/>
          <w:color w:val="auto"/>
          <w:sz w:val="21"/>
          <w:szCs w:val="21"/>
          <w:highlight w:val="none"/>
          <w:u w:val="single" w:color="auto"/>
        </w:rPr>
        <w:t>3）招标文件</w:t>
      </w:r>
      <w:r>
        <w:rPr>
          <w:rFonts w:hint="eastAsia" w:ascii="宋体" w:hAnsi="宋体" w:eastAsia="宋体" w:cs="宋体"/>
          <w:b/>
          <w:bCs/>
          <w:color w:val="auto"/>
          <w:spacing w:val="-1"/>
          <w:sz w:val="21"/>
          <w:szCs w:val="21"/>
          <w:highlight w:val="none"/>
          <w:u w:val="single" w:color="auto"/>
        </w:rPr>
        <w:t>及修改、</w:t>
      </w:r>
      <w:r>
        <w:rPr>
          <w:rFonts w:hint="eastAsia" w:ascii="宋体" w:hAnsi="宋体" w:eastAsia="宋体" w:cs="宋体"/>
          <w:b/>
          <w:bCs/>
          <w:color w:val="auto"/>
          <w:spacing w:val="-2"/>
          <w:sz w:val="21"/>
          <w:szCs w:val="21"/>
          <w:highlight w:val="none"/>
          <w:u w:val="single" w:color="auto"/>
        </w:rPr>
        <w:t>补充文件</w:t>
      </w:r>
      <w:r>
        <w:rPr>
          <w:rFonts w:hint="eastAsia" w:ascii="宋体" w:hAnsi="宋体" w:eastAsia="宋体" w:cs="宋体"/>
          <w:b/>
          <w:bCs/>
          <w:color w:val="auto"/>
          <w:spacing w:val="-33"/>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4）</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本合同专用条款</w:t>
      </w:r>
      <w:r>
        <w:rPr>
          <w:rFonts w:hint="eastAsia" w:ascii="宋体" w:hAnsi="宋体" w:eastAsia="宋体" w:cs="宋体"/>
          <w:b/>
          <w:bCs/>
          <w:color w:val="auto"/>
          <w:spacing w:val="-33"/>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5）投标书及其附件</w:t>
      </w:r>
      <w:r>
        <w:rPr>
          <w:rFonts w:hint="eastAsia" w:ascii="宋体" w:hAnsi="宋体" w:eastAsia="宋体" w:cs="宋体"/>
          <w:b/>
          <w:bCs/>
          <w:color w:val="auto"/>
          <w:spacing w:val="-33"/>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本合同通用条款</w:t>
      </w:r>
      <w:r>
        <w:rPr>
          <w:rFonts w:hint="eastAsia" w:ascii="宋体" w:hAnsi="宋体" w:eastAsia="宋体" w:cs="宋体"/>
          <w:b/>
          <w:bCs/>
          <w:color w:val="auto"/>
          <w:spacing w:val="-33"/>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7）标准、</w:t>
      </w:r>
      <w:r>
        <w:rPr>
          <w:rFonts w:hint="eastAsia" w:ascii="宋体" w:hAnsi="宋体" w:eastAsia="宋体" w:cs="宋体"/>
          <w:b/>
          <w:bCs/>
          <w:color w:val="auto"/>
          <w:spacing w:val="7"/>
          <w:sz w:val="21"/>
          <w:szCs w:val="21"/>
          <w:highlight w:val="none"/>
          <w:u w:val="single" w:color="auto"/>
        </w:rPr>
        <w:t>规范及有关技术资料</w:t>
      </w:r>
      <w:r>
        <w:rPr>
          <w:rFonts w:hint="eastAsia" w:ascii="宋体" w:hAnsi="宋体" w:eastAsia="宋体" w:cs="宋体"/>
          <w:b/>
          <w:bCs/>
          <w:color w:val="auto"/>
          <w:spacing w:val="-6"/>
          <w:sz w:val="21"/>
          <w:szCs w:val="21"/>
          <w:highlight w:val="none"/>
          <w:u w:val="single" w:color="auto"/>
        </w:rPr>
        <w:t>；（</w:t>
      </w:r>
      <w:r>
        <w:rPr>
          <w:rFonts w:hint="eastAsia" w:ascii="宋体" w:hAnsi="宋体" w:eastAsia="宋体" w:cs="宋体"/>
          <w:b/>
          <w:bCs/>
          <w:color w:val="auto"/>
          <w:spacing w:val="7"/>
          <w:sz w:val="21"/>
          <w:szCs w:val="21"/>
          <w:highlight w:val="none"/>
          <w:u w:val="single" w:color="auto"/>
        </w:rPr>
        <w:t>8）</w:t>
      </w:r>
      <w:r>
        <w:rPr>
          <w:rFonts w:hint="eastAsia" w:ascii="宋体" w:hAnsi="宋体" w:eastAsia="宋体" w:cs="宋体"/>
          <w:color w:val="auto"/>
          <w:spacing w:val="-43"/>
          <w:sz w:val="21"/>
          <w:szCs w:val="21"/>
          <w:highlight w:val="none"/>
          <w:u w:val="single" w:color="auto"/>
        </w:rPr>
        <w:t xml:space="preserve"> </w:t>
      </w:r>
      <w:r>
        <w:rPr>
          <w:rFonts w:hint="eastAsia" w:ascii="宋体" w:hAnsi="宋体" w:eastAsia="宋体" w:cs="宋体"/>
          <w:b/>
          <w:bCs/>
          <w:color w:val="auto"/>
          <w:spacing w:val="7"/>
          <w:sz w:val="21"/>
          <w:szCs w:val="21"/>
          <w:highlight w:val="none"/>
          <w:u w:val="single" w:color="auto"/>
        </w:rPr>
        <w:t>图纸</w:t>
      </w:r>
      <w:r>
        <w:rPr>
          <w:rFonts w:hint="eastAsia" w:ascii="宋体" w:hAnsi="宋体" w:eastAsia="宋体" w:cs="宋体"/>
          <w:b/>
          <w:bCs/>
          <w:color w:val="auto"/>
          <w:spacing w:val="-6"/>
          <w:sz w:val="21"/>
          <w:szCs w:val="21"/>
          <w:highlight w:val="none"/>
          <w:u w:val="single" w:color="auto"/>
        </w:rPr>
        <w:t>；（</w:t>
      </w:r>
      <w:r>
        <w:rPr>
          <w:rFonts w:hint="eastAsia" w:ascii="宋体" w:hAnsi="宋体" w:eastAsia="宋体" w:cs="宋体"/>
          <w:b/>
          <w:bCs/>
          <w:color w:val="auto"/>
          <w:spacing w:val="7"/>
          <w:sz w:val="21"/>
          <w:szCs w:val="21"/>
          <w:highlight w:val="none"/>
          <w:u w:val="single" w:color="auto"/>
        </w:rPr>
        <w:t>9）工程报价单或预算书</w:t>
      </w:r>
      <w:r>
        <w:rPr>
          <w:rFonts w:hint="eastAsia" w:ascii="宋体" w:hAnsi="宋体" w:eastAsia="宋体" w:cs="宋体"/>
          <w:b/>
          <w:bCs/>
          <w:color w:val="auto"/>
          <w:spacing w:val="-6"/>
          <w:sz w:val="21"/>
          <w:szCs w:val="21"/>
          <w:highlight w:val="none"/>
          <w:u w:val="single" w:color="auto"/>
        </w:rPr>
        <w:t>；</w:t>
      </w:r>
      <w:r>
        <w:rPr>
          <w:rFonts w:hint="eastAsia" w:ascii="宋体" w:hAnsi="宋体" w:eastAsia="宋体" w:cs="宋体"/>
          <w:color w:val="auto"/>
          <w:spacing w:val="-75"/>
          <w:sz w:val="21"/>
          <w:szCs w:val="21"/>
          <w:highlight w:val="none"/>
          <w:u w:val="single" w:color="auto"/>
        </w:rPr>
        <w:t xml:space="preserve"> </w:t>
      </w:r>
      <w:r>
        <w:rPr>
          <w:rFonts w:hint="eastAsia" w:ascii="宋体" w:hAnsi="宋体" w:eastAsia="宋体" w:cs="宋体"/>
          <w:b/>
          <w:bCs/>
          <w:color w:val="auto"/>
          <w:spacing w:val="-6"/>
          <w:sz w:val="21"/>
          <w:szCs w:val="21"/>
          <w:highlight w:val="none"/>
          <w:u w:val="single" w:color="auto"/>
        </w:rPr>
        <w:t>（</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b/>
          <w:bCs/>
          <w:color w:val="auto"/>
          <w:spacing w:val="7"/>
          <w:sz w:val="21"/>
          <w:szCs w:val="21"/>
          <w:highlight w:val="none"/>
          <w:u w:val="single" w:color="auto"/>
        </w:rPr>
        <w:t>10）其他合同文件。</w:t>
      </w:r>
      <w:r>
        <w:rPr>
          <w:rFonts w:hint="eastAsia" w:ascii="宋体" w:hAnsi="宋体" w:eastAsia="宋体" w:cs="宋体"/>
          <w:color w:val="auto"/>
          <w:sz w:val="21"/>
          <w:szCs w:val="21"/>
          <w:highlight w:val="none"/>
          <w:u w:val="single" w:color="auto"/>
        </w:rPr>
        <w:t xml:space="preserve">  </w:t>
      </w:r>
    </w:p>
    <w:p w14:paraId="18BF8973">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1.6 图纸和承包人文件</w:t>
      </w:r>
    </w:p>
    <w:p w14:paraId="264B5225">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1.6.1</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5"/>
          <w:sz w:val="21"/>
          <w:szCs w:val="21"/>
          <w:highlight w:val="none"/>
        </w:rPr>
        <w:t>图纸的提供</w:t>
      </w:r>
    </w:p>
    <w:p w14:paraId="508F31C6">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发包人向承包人提供图纸的期限：</w:t>
      </w:r>
      <w:r>
        <w:rPr>
          <w:rFonts w:hint="eastAsia" w:ascii="宋体" w:hAnsi="宋体" w:eastAsia="宋体" w:cs="宋体"/>
          <w:b/>
          <w:bCs/>
          <w:color w:val="auto"/>
          <w:spacing w:val="6"/>
          <w:sz w:val="21"/>
          <w:szCs w:val="21"/>
          <w:highlight w:val="none"/>
          <w:u w:val="single" w:color="auto"/>
        </w:rPr>
        <w:t>发包人于工程开工前向承包人提供</w:t>
      </w:r>
      <w:r>
        <w:rPr>
          <w:rFonts w:hint="eastAsia" w:ascii="宋体" w:hAnsi="宋体" w:eastAsia="宋体" w:cs="宋体"/>
          <w:color w:val="auto"/>
          <w:spacing w:val="6"/>
          <w:sz w:val="21"/>
          <w:szCs w:val="21"/>
          <w:highlight w:val="none"/>
        </w:rPr>
        <w:t>；</w:t>
      </w:r>
    </w:p>
    <w:p w14:paraId="40E074AF">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肆套</w:t>
      </w:r>
      <w:r>
        <w:rPr>
          <w:rFonts w:hint="eastAsia" w:ascii="宋体" w:hAnsi="宋体" w:eastAsia="宋体" w:cs="宋体"/>
          <w:color w:val="auto"/>
          <w:spacing w:val="33"/>
          <w:sz w:val="21"/>
          <w:szCs w:val="21"/>
          <w:highlight w:val="none"/>
          <w:u w:val="single" w:color="auto"/>
        </w:rPr>
        <w:t xml:space="preserve"> </w:t>
      </w:r>
      <w:r>
        <w:rPr>
          <w:rFonts w:hint="eastAsia" w:ascii="宋体" w:hAnsi="宋体" w:eastAsia="宋体" w:cs="宋体"/>
          <w:color w:val="auto"/>
          <w:sz w:val="21"/>
          <w:szCs w:val="21"/>
          <w:highlight w:val="none"/>
        </w:rPr>
        <w:t>；</w:t>
      </w:r>
    </w:p>
    <w:p w14:paraId="050C278D">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发包人向承包人提供图纸的内容：</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b/>
          <w:bCs/>
          <w:color w:val="auto"/>
          <w:spacing w:val="5"/>
          <w:sz w:val="21"/>
          <w:szCs w:val="21"/>
          <w:highlight w:val="none"/>
          <w:u w:val="single" w:color="auto"/>
        </w:rPr>
        <w:t>本合同发包内容中的全部图纸</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rPr>
        <w:t>。</w:t>
      </w:r>
    </w:p>
    <w:p w14:paraId="4313B57E">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1.6.4 承包人文件</w:t>
      </w:r>
    </w:p>
    <w:p w14:paraId="4F930653">
      <w:pPr>
        <w:keepNext w:val="0"/>
        <w:keepLines w:val="0"/>
        <w:pageBreakBefore w:val="0"/>
        <w:widowControl w:val="0"/>
        <w:kinsoku/>
        <w:wordWrap/>
        <w:overflowPunct/>
        <w:topLinePunct w:val="0"/>
        <w:autoSpaceDE/>
        <w:autoSpaceDN/>
        <w:bidi w:val="0"/>
        <w:adjustRightInd/>
        <w:snapToGrid/>
        <w:spacing w:line="440" w:lineRule="exact"/>
        <w:ind w:right="-729" w:rightChars="-347" w:firstLine="43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需要由承包人提供的文件，包括：</w:t>
      </w:r>
      <w:r>
        <w:rPr>
          <w:rFonts w:hint="eastAsia" w:ascii="宋体" w:hAnsi="宋体" w:eastAsia="宋体" w:cs="宋体"/>
          <w:b/>
          <w:bCs/>
          <w:color w:val="auto"/>
          <w:spacing w:val="-2"/>
          <w:sz w:val="21"/>
          <w:szCs w:val="21"/>
          <w:highlight w:val="none"/>
          <w:u w:val="single" w:color="auto"/>
        </w:rPr>
        <w:t>施工组织设计、工程总进度</w:t>
      </w:r>
      <w:r>
        <w:rPr>
          <w:rFonts w:hint="eastAsia" w:ascii="宋体" w:hAnsi="宋体" w:eastAsia="宋体" w:cs="宋体"/>
          <w:b/>
          <w:bCs/>
          <w:color w:val="auto"/>
          <w:spacing w:val="-3"/>
          <w:sz w:val="21"/>
          <w:szCs w:val="21"/>
          <w:highlight w:val="none"/>
          <w:u w:val="single" w:color="auto"/>
        </w:rPr>
        <w:t>计划及人员、机械、材料安排</w:t>
      </w:r>
      <w:r>
        <w:rPr>
          <w:rFonts w:hint="eastAsia" w:ascii="宋体" w:hAnsi="宋体" w:eastAsia="宋体" w:cs="宋体"/>
          <w:b/>
          <w:bCs/>
          <w:color w:val="auto"/>
          <w:spacing w:val="8"/>
          <w:sz w:val="21"/>
          <w:szCs w:val="21"/>
          <w:highlight w:val="none"/>
          <w:u w:val="single" w:color="auto"/>
        </w:rPr>
        <w:t>计划、</w:t>
      </w:r>
      <w:r>
        <w:rPr>
          <w:rFonts w:hint="eastAsia" w:ascii="宋体" w:hAnsi="宋体" w:eastAsia="宋体" w:cs="宋体"/>
          <w:color w:val="auto"/>
          <w:spacing w:val="-53"/>
          <w:sz w:val="21"/>
          <w:szCs w:val="21"/>
          <w:highlight w:val="none"/>
          <w:u w:val="single" w:color="auto"/>
        </w:rPr>
        <w:t xml:space="preserve"> </w:t>
      </w:r>
      <w:r>
        <w:rPr>
          <w:rFonts w:hint="eastAsia" w:ascii="宋体" w:hAnsi="宋体" w:eastAsia="宋体" w:cs="宋体"/>
          <w:b/>
          <w:bCs/>
          <w:color w:val="auto"/>
          <w:spacing w:val="8"/>
          <w:sz w:val="21"/>
          <w:szCs w:val="21"/>
          <w:highlight w:val="none"/>
          <w:u w:val="single" w:color="auto"/>
        </w:rPr>
        <w:t>施工进度报表；</w:t>
      </w:r>
    </w:p>
    <w:p w14:paraId="4B8AD10D">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承包人提供的文件的期限为：</w:t>
      </w:r>
      <w:r>
        <w:rPr>
          <w:rFonts w:hint="eastAsia" w:ascii="宋体" w:hAnsi="宋体" w:eastAsia="宋体" w:cs="宋体"/>
          <w:b/>
          <w:bCs/>
          <w:color w:val="auto"/>
          <w:spacing w:val="-2"/>
          <w:sz w:val="21"/>
          <w:szCs w:val="21"/>
          <w:highlight w:val="none"/>
          <w:u w:val="single" w:color="auto"/>
        </w:rPr>
        <w:t>承包人在开工前必须提交详细的施工组织设计，</w:t>
      </w:r>
      <w:r>
        <w:rPr>
          <w:rFonts w:hint="eastAsia" w:ascii="宋体" w:hAnsi="宋体" w:eastAsia="宋体" w:cs="宋体"/>
          <w:b/>
          <w:bCs/>
          <w:color w:val="auto"/>
          <w:spacing w:val="-3"/>
          <w:sz w:val="21"/>
          <w:szCs w:val="21"/>
          <w:highlight w:val="none"/>
          <w:u w:val="single" w:color="auto"/>
        </w:rPr>
        <w:t>报发包人及总监审批，施工组织设计经发包人认可后方可开工。施工组织设计将作为工程款支付的参考依据之一。每周四向发包人提供下一周详细的施工进度计划及本周施工进度报表；总进度</w:t>
      </w:r>
      <w:r>
        <w:rPr>
          <w:rFonts w:hint="eastAsia" w:ascii="宋体" w:hAnsi="宋体" w:eastAsia="宋体" w:cs="宋体"/>
          <w:b/>
          <w:bCs/>
          <w:color w:val="auto"/>
          <w:spacing w:val="6"/>
          <w:sz w:val="21"/>
          <w:szCs w:val="21"/>
          <w:highlight w:val="none"/>
          <w:u w:val="single" w:color="auto"/>
        </w:rPr>
        <w:t>计划在开工后</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b/>
          <w:bCs/>
          <w:color w:val="auto"/>
          <w:spacing w:val="6"/>
          <w:sz w:val="21"/>
          <w:szCs w:val="21"/>
          <w:highlight w:val="none"/>
          <w:u w:val="single" w:color="auto"/>
        </w:rPr>
        <w:t>3</w:t>
      </w:r>
      <w:r>
        <w:rPr>
          <w:rFonts w:hint="eastAsia" w:ascii="宋体" w:hAnsi="宋体" w:eastAsia="宋体" w:cs="宋体"/>
          <w:color w:val="auto"/>
          <w:spacing w:val="-18"/>
          <w:sz w:val="21"/>
          <w:szCs w:val="21"/>
          <w:highlight w:val="none"/>
          <w:u w:val="single" w:color="auto"/>
        </w:rPr>
        <w:t xml:space="preserve"> </w:t>
      </w:r>
      <w:r>
        <w:rPr>
          <w:rFonts w:hint="eastAsia" w:ascii="宋体" w:hAnsi="宋体" w:eastAsia="宋体" w:cs="宋体"/>
          <w:b/>
          <w:bCs/>
          <w:color w:val="auto"/>
          <w:spacing w:val="6"/>
          <w:sz w:val="21"/>
          <w:szCs w:val="21"/>
          <w:highlight w:val="none"/>
          <w:u w:val="single" w:color="auto"/>
        </w:rPr>
        <w:t>天提供。具体计划及时间要求根据工程需要补充明确。</w:t>
      </w:r>
      <w:r>
        <w:rPr>
          <w:rFonts w:hint="eastAsia" w:ascii="宋体" w:hAnsi="宋体" w:eastAsia="宋体" w:cs="宋体"/>
          <w:color w:val="auto"/>
          <w:sz w:val="21"/>
          <w:szCs w:val="21"/>
          <w:highlight w:val="none"/>
          <w:u w:val="single" w:color="auto"/>
        </w:rPr>
        <w:t xml:space="preserve">  </w:t>
      </w:r>
    </w:p>
    <w:p w14:paraId="44D7BC96">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承包人提供的文件的数量为：</w:t>
      </w:r>
      <w:r>
        <w:rPr>
          <w:rFonts w:hint="eastAsia" w:ascii="宋体" w:hAnsi="宋体" w:eastAsia="宋体" w:cs="宋体"/>
          <w:b/>
          <w:bCs/>
          <w:color w:val="auto"/>
          <w:spacing w:val="2"/>
          <w:sz w:val="21"/>
          <w:szCs w:val="21"/>
          <w:highlight w:val="none"/>
          <w:u w:val="single" w:color="auto"/>
        </w:rPr>
        <w:t>视发包人要求</w:t>
      </w:r>
      <w:r>
        <w:rPr>
          <w:rFonts w:hint="eastAsia" w:ascii="宋体" w:hAnsi="宋体" w:eastAsia="宋体" w:cs="宋体"/>
          <w:color w:val="auto"/>
          <w:spacing w:val="48"/>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4313E839">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书面形式</w:t>
      </w:r>
      <w:r>
        <w:rPr>
          <w:rFonts w:hint="eastAsia" w:ascii="宋体" w:hAnsi="宋体" w:eastAsia="宋体" w:cs="宋体"/>
          <w:color w:val="auto"/>
          <w:spacing w:val="43"/>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15E86CE3">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收到文件后</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7</w:t>
      </w:r>
      <w:r>
        <w:rPr>
          <w:rFonts w:hint="eastAsia" w:ascii="宋体" w:hAnsi="宋体" w:eastAsia="宋体" w:cs="宋体"/>
          <w:color w:val="auto"/>
          <w:spacing w:val="-18"/>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天内</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0B93562">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1.6.5 现场图纸准备</w:t>
      </w:r>
    </w:p>
    <w:p w14:paraId="315BEDDB">
      <w:pPr>
        <w:keepNext w:val="0"/>
        <w:keepLines w:val="0"/>
        <w:pageBreakBefore w:val="0"/>
        <w:widowControl w:val="0"/>
        <w:kinsoku/>
        <w:wordWrap/>
        <w:overflowPunct/>
        <w:topLinePunct w:val="0"/>
        <w:autoSpaceDE/>
        <w:autoSpaceDN/>
        <w:bidi w:val="0"/>
        <w:adjustRightInd/>
        <w:snapToGrid/>
        <w:spacing w:line="440" w:lineRule="exact"/>
        <w:ind w:left="0" w:leftChars="0" w:right="-729" w:rightChars="-347" w:firstLine="418" w:firstLineChars="20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关于现场图纸准备的约定：</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施工现场保留一套完整图纸供发包人及有关人员使用。</w:t>
      </w:r>
    </w:p>
    <w:p w14:paraId="6B6773B1">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6"/>
          <w:sz w:val="21"/>
          <w:szCs w:val="21"/>
          <w:highlight w:val="none"/>
        </w:rPr>
        <w:t>联络</w:t>
      </w:r>
    </w:p>
    <w:p w14:paraId="4B683BA2">
      <w:pPr>
        <w:keepNext w:val="0"/>
        <w:keepLines w:val="0"/>
        <w:pageBreakBefore w:val="0"/>
        <w:widowControl w:val="0"/>
        <w:kinsoku/>
        <w:wordWrap/>
        <w:overflowPunct/>
        <w:topLinePunct w:val="0"/>
        <w:autoSpaceDE/>
        <w:autoSpaceDN/>
        <w:bidi w:val="0"/>
        <w:adjustRightInd/>
        <w:snapToGrid/>
        <w:spacing w:line="440" w:lineRule="exact"/>
        <w:ind w:right="-729" w:rightChars="-347"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1.7.1</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2"/>
          <w:sz w:val="21"/>
          <w:szCs w:val="21"/>
          <w:highlight w:val="none"/>
        </w:rPr>
        <w:t>发包人和承包人应当在</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3</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内将与合同有关的通知、批准、证明、证书、指示、指</w:t>
      </w:r>
      <w:r>
        <w:rPr>
          <w:rFonts w:hint="eastAsia" w:ascii="宋体" w:hAnsi="宋体" w:eastAsia="宋体" w:cs="宋体"/>
          <w:color w:val="auto"/>
          <w:spacing w:val="-1"/>
          <w:sz w:val="21"/>
          <w:szCs w:val="21"/>
          <w:highlight w:val="none"/>
        </w:rPr>
        <w:t>令、要求、请求、同意、意见、确定和决定等书面函件送达对方当事人。</w:t>
      </w:r>
    </w:p>
    <w:p w14:paraId="3D0EC50B">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1.7.2 发包人接收文件的地点</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
          <w:sz w:val="21"/>
          <w:szCs w:val="21"/>
          <w:highlight w:val="none"/>
        </w:rPr>
        <w:t>；</w:t>
      </w:r>
    </w:p>
    <w:p w14:paraId="54D512EF">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发包人指定的接收人为：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D930DE7">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承包人接收文件的地点</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05CA5B6">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承包人指定的接收人为：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F022509">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747FB7ED">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监理人指定的接收人为：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638871CF">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1.10</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4"/>
          <w:sz w:val="21"/>
          <w:szCs w:val="21"/>
          <w:highlight w:val="none"/>
        </w:rPr>
        <w:t>交通运输</w:t>
      </w:r>
    </w:p>
    <w:p w14:paraId="0D308F2B">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1.10.1</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4"/>
          <w:sz w:val="21"/>
          <w:szCs w:val="21"/>
          <w:highlight w:val="none"/>
        </w:rPr>
        <w:t>出入现场的权利</w:t>
      </w:r>
    </w:p>
    <w:p w14:paraId="389B1EF1">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关于出入现场的权利的约定：</w:t>
      </w:r>
      <w:r>
        <w:rPr>
          <w:rFonts w:hint="eastAsia" w:ascii="宋体" w:hAnsi="宋体" w:eastAsia="宋体" w:cs="宋体"/>
          <w:color w:val="auto"/>
          <w:spacing w:val="24"/>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3CA3CB96">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1.10.3 场内交通</w:t>
      </w:r>
    </w:p>
    <w:p w14:paraId="316657E1">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关于场外交通和场内交通的边界的约定：</w:t>
      </w:r>
      <w:r>
        <w:rPr>
          <w:rFonts w:hint="eastAsia" w:ascii="宋体" w:hAnsi="宋体" w:eastAsia="宋体" w:cs="宋体"/>
          <w:color w:val="auto"/>
          <w:spacing w:val="18"/>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20"/>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11AAD37F">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b/>
          <w:bCs/>
          <w:color w:val="auto"/>
          <w:sz w:val="21"/>
          <w:szCs w:val="21"/>
          <w:highlight w:val="none"/>
          <w:u w:val="single" w:color="auto"/>
        </w:rPr>
        <w:t>无</w:t>
      </w:r>
      <w:r>
        <w:rPr>
          <w:rFonts w:hint="eastAsia" w:ascii="宋体" w:hAnsi="宋体" w:eastAsia="宋体" w:cs="宋体"/>
          <w:color w:val="auto"/>
          <w:sz w:val="21"/>
          <w:szCs w:val="21"/>
          <w:highlight w:val="none"/>
        </w:rPr>
        <w:t>。</w:t>
      </w:r>
    </w:p>
    <w:p w14:paraId="2F18D74C">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1.10.4</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2"/>
          <w:sz w:val="21"/>
          <w:szCs w:val="21"/>
          <w:highlight w:val="none"/>
        </w:rPr>
        <w:t>超大件和超重件的运输</w:t>
      </w:r>
    </w:p>
    <w:p w14:paraId="474FC63A">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b/>
          <w:bCs/>
          <w:color w:val="auto"/>
          <w:sz w:val="21"/>
          <w:szCs w:val="21"/>
          <w:highlight w:val="none"/>
          <w:u w:val="single" w:color="auto"/>
        </w:rPr>
        <w:t>承包人</w:t>
      </w:r>
      <w:r>
        <w:rPr>
          <w:rFonts w:hint="eastAsia" w:ascii="宋体" w:hAnsi="宋体" w:eastAsia="宋体" w:cs="宋体"/>
          <w:color w:val="auto"/>
          <w:spacing w:val="-91"/>
          <w:sz w:val="21"/>
          <w:szCs w:val="21"/>
          <w:highlight w:val="none"/>
          <w:u w:val="single" w:color="auto"/>
        </w:rPr>
        <w:t xml:space="preserve"> </w:t>
      </w:r>
      <w:r>
        <w:rPr>
          <w:rFonts w:hint="eastAsia" w:ascii="宋体" w:hAnsi="宋体" w:eastAsia="宋体" w:cs="宋体"/>
          <w:color w:val="auto"/>
          <w:spacing w:val="-97"/>
          <w:sz w:val="21"/>
          <w:szCs w:val="21"/>
          <w:highlight w:val="none"/>
        </w:rPr>
        <w:t xml:space="preserve"> </w:t>
      </w:r>
      <w:r>
        <w:rPr>
          <w:rFonts w:hint="eastAsia" w:ascii="宋体" w:hAnsi="宋体" w:eastAsia="宋体" w:cs="宋体"/>
          <w:color w:val="auto"/>
          <w:sz w:val="21"/>
          <w:szCs w:val="21"/>
          <w:highlight w:val="none"/>
        </w:rPr>
        <w:t>承担。</w:t>
      </w:r>
    </w:p>
    <w:p w14:paraId="33A0D288">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4"/>
          <w:sz w:val="21"/>
          <w:szCs w:val="21"/>
          <w:highlight w:val="none"/>
        </w:rPr>
        <w:t>知识产权</w:t>
      </w:r>
    </w:p>
    <w:p w14:paraId="350BC77E">
      <w:pPr>
        <w:keepNext w:val="0"/>
        <w:keepLines w:val="0"/>
        <w:pageBreakBefore w:val="0"/>
        <w:widowControl w:val="0"/>
        <w:kinsoku/>
        <w:wordWrap/>
        <w:overflowPunct/>
        <w:topLinePunct w:val="0"/>
        <w:autoSpaceDE/>
        <w:autoSpaceDN/>
        <w:bidi w:val="0"/>
        <w:adjustRightInd/>
        <w:snapToGrid/>
        <w:spacing w:line="440" w:lineRule="exact"/>
        <w:ind w:left="1" w:right="-729" w:rightChars="-347" w:firstLine="43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1.11.1</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2"/>
          <w:sz w:val="21"/>
          <w:szCs w:val="21"/>
          <w:highlight w:val="none"/>
        </w:rPr>
        <w:t>关于发包人提供给承包人的图纸</w:t>
      </w:r>
      <w:r>
        <w:rPr>
          <w:rFonts w:hint="eastAsia" w:ascii="宋体" w:hAnsi="宋体" w:eastAsia="宋体" w:cs="宋体"/>
          <w:color w:val="auto"/>
          <w:spacing w:val="-3"/>
          <w:sz w:val="21"/>
          <w:szCs w:val="21"/>
          <w:highlight w:val="none"/>
        </w:rPr>
        <w:t>、发包人为实施工程自行编制或委托编制的技术规范</w:t>
      </w:r>
      <w:r>
        <w:rPr>
          <w:rFonts w:hint="eastAsia" w:ascii="宋体" w:hAnsi="宋体" w:eastAsia="宋体" w:cs="宋体"/>
          <w:color w:val="auto"/>
          <w:spacing w:val="-1"/>
          <w:sz w:val="21"/>
          <w:szCs w:val="21"/>
          <w:highlight w:val="none"/>
        </w:rPr>
        <w:t>以及反映发包人关于合同要求或其他类似性质的文件的著作权的归属</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归发包人所有，承包人未</w:t>
      </w:r>
      <w:r>
        <w:rPr>
          <w:rFonts w:hint="eastAsia" w:ascii="宋体" w:hAnsi="宋体" w:eastAsia="宋体" w:cs="宋体"/>
          <w:b/>
          <w:bCs/>
          <w:color w:val="auto"/>
          <w:spacing w:val="-3"/>
          <w:sz w:val="21"/>
          <w:szCs w:val="21"/>
          <w:highlight w:val="none"/>
          <w:u w:val="single" w:color="auto"/>
        </w:rPr>
        <w:t>经发包人同意不得将本工程图纸转给第三人，不得进行复制，不得向承包人以外的人泄露有关图</w:t>
      </w:r>
      <w:r>
        <w:rPr>
          <w:rFonts w:hint="eastAsia" w:ascii="宋体" w:hAnsi="宋体" w:eastAsia="宋体" w:cs="宋体"/>
          <w:b/>
          <w:bCs/>
          <w:color w:val="auto"/>
          <w:spacing w:val="3"/>
          <w:sz w:val="21"/>
          <w:szCs w:val="21"/>
          <w:highlight w:val="none"/>
          <w:u w:val="single" w:color="auto"/>
        </w:rPr>
        <w:t>纸内容</w:t>
      </w:r>
      <w:r>
        <w:rPr>
          <w:rFonts w:hint="eastAsia" w:ascii="宋体" w:hAnsi="宋体" w:eastAsia="宋体" w:cs="宋体"/>
          <w:color w:val="auto"/>
          <w:spacing w:val="22"/>
          <w:sz w:val="21"/>
          <w:szCs w:val="21"/>
          <w:highlight w:val="none"/>
          <w:u w:val="single" w:color="auto"/>
        </w:rPr>
        <w:t xml:space="preserve">  </w:t>
      </w:r>
      <w:r>
        <w:rPr>
          <w:rFonts w:hint="eastAsia" w:ascii="宋体" w:hAnsi="宋体" w:eastAsia="宋体" w:cs="宋体"/>
          <w:b/>
          <w:bCs/>
          <w:color w:val="auto"/>
          <w:spacing w:val="3"/>
          <w:sz w:val="21"/>
          <w:szCs w:val="21"/>
          <w:highlight w:val="none"/>
        </w:rPr>
        <w:t>。</w:t>
      </w:r>
    </w:p>
    <w:p w14:paraId="3C695A26">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关于发包人提供的上述文件的使用限制的要求：</w:t>
      </w:r>
      <w:r>
        <w:rPr>
          <w:rFonts w:hint="eastAsia" w:ascii="宋体" w:hAnsi="宋体" w:eastAsia="宋体" w:cs="宋体"/>
          <w:b/>
          <w:bCs/>
          <w:color w:val="auto"/>
          <w:spacing w:val="3"/>
          <w:sz w:val="21"/>
          <w:szCs w:val="21"/>
          <w:highlight w:val="none"/>
          <w:u w:val="single" w:color="auto"/>
        </w:rPr>
        <w:t>按通用条款执行</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2E713632">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b/>
          <w:bCs/>
          <w:color w:val="auto"/>
          <w:spacing w:val="2"/>
          <w:sz w:val="21"/>
          <w:szCs w:val="21"/>
          <w:highlight w:val="none"/>
          <w:u w:val="single" w:color="auto"/>
        </w:rPr>
        <w:t>按通用条款执行</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53147B6F">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关于承包人提供的上述文件的使用限制的要求：</w:t>
      </w:r>
      <w:r>
        <w:rPr>
          <w:rFonts w:hint="eastAsia" w:ascii="宋体" w:hAnsi="宋体" w:eastAsia="宋体" w:cs="宋体"/>
          <w:b/>
          <w:bCs/>
          <w:color w:val="auto"/>
          <w:spacing w:val="3"/>
          <w:sz w:val="21"/>
          <w:szCs w:val="21"/>
          <w:highlight w:val="none"/>
          <w:u w:val="single" w:color="auto"/>
        </w:rPr>
        <w:t>按通用条款执行</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12C2B004">
      <w:pPr>
        <w:keepNext w:val="0"/>
        <w:keepLines w:val="0"/>
        <w:pageBreakBefore w:val="0"/>
        <w:widowControl w:val="0"/>
        <w:kinsoku/>
        <w:wordWrap/>
        <w:overflowPunct/>
        <w:topLinePunct w:val="0"/>
        <w:autoSpaceDE/>
        <w:autoSpaceDN/>
        <w:bidi w:val="0"/>
        <w:adjustRightInd/>
        <w:snapToGrid/>
        <w:spacing w:line="440" w:lineRule="exact"/>
        <w:ind w:right="-729" w:rightChars="-347"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pacing w:val="-61"/>
          <w:sz w:val="21"/>
          <w:szCs w:val="21"/>
          <w:highlight w:val="none"/>
        </w:rPr>
        <w:t xml:space="preserve"> </w:t>
      </w:r>
      <w:r>
        <w:rPr>
          <w:rFonts w:hint="eastAsia" w:ascii="宋体" w:hAnsi="宋体" w:eastAsia="宋体" w:cs="宋体"/>
          <w:b/>
          <w:bCs/>
          <w:color w:val="auto"/>
          <w:sz w:val="21"/>
          <w:szCs w:val="21"/>
          <w:highlight w:val="none"/>
          <w:u w:val="single" w:color="auto"/>
        </w:rPr>
        <w:t>由</w:t>
      </w:r>
      <w:r>
        <w:rPr>
          <w:rFonts w:hint="eastAsia" w:ascii="宋体" w:hAnsi="宋体" w:eastAsia="宋体" w:cs="宋体"/>
          <w:b/>
          <w:bCs/>
          <w:color w:val="auto"/>
          <w:spacing w:val="11"/>
          <w:sz w:val="21"/>
          <w:szCs w:val="21"/>
          <w:highlight w:val="none"/>
          <w:u w:val="single" w:color="auto"/>
        </w:rPr>
        <w:t>承包人承担，费用已包含在合同价中</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1"/>
          <w:sz w:val="21"/>
          <w:szCs w:val="21"/>
          <w:highlight w:val="none"/>
        </w:rPr>
        <w:t>。</w:t>
      </w:r>
    </w:p>
    <w:p w14:paraId="5BFB5755">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1.13</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3"/>
          <w:sz w:val="21"/>
          <w:szCs w:val="21"/>
          <w:highlight w:val="none"/>
        </w:rPr>
        <w:t>工程量清单错误的修正</w:t>
      </w:r>
    </w:p>
    <w:p w14:paraId="0BFC19DA">
      <w:pPr>
        <w:keepNext w:val="0"/>
        <w:keepLines w:val="0"/>
        <w:pageBreakBefore w:val="0"/>
        <w:widowControl w:val="0"/>
        <w:kinsoku/>
        <w:wordWrap/>
        <w:overflowPunct/>
        <w:topLinePunct w:val="0"/>
        <w:autoSpaceDE/>
        <w:autoSpaceDN/>
        <w:bidi w:val="0"/>
        <w:adjustRightInd/>
        <w:snapToGrid/>
        <w:spacing w:line="440" w:lineRule="exact"/>
        <w:ind w:left="438"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出现工程量清单错误时，是否调整合同价格：</w:t>
      </w:r>
      <w:r>
        <w:rPr>
          <w:rFonts w:hint="eastAsia" w:ascii="宋体" w:hAnsi="宋体" w:eastAsia="宋体" w:cs="宋体"/>
          <w:b/>
          <w:bCs/>
          <w:color w:val="auto"/>
          <w:spacing w:val="4"/>
          <w:sz w:val="21"/>
          <w:szCs w:val="21"/>
          <w:highlight w:val="none"/>
          <w:u w:val="single" w:color="auto"/>
        </w:rPr>
        <w:t>按本合同条款中第</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12.1</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相应条款执行</w:t>
      </w:r>
      <w:r>
        <w:rPr>
          <w:rFonts w:hint="eastAsia" w:ascii="宋体" w:hAnsi="宋体" w:eastAsia="宋体" w:cs="宋体"/>
          <w:b/>
          <w:bCs/>
          <w:color w:val="auto"/>
          <w:spacing w:val="3"/>
          <w:sz w:val="21"/>
          <w:szCs w:val="21"/>
          <w:highlight w:val="none"/>
        </w:rPr>
        <w:t>。</w:t>
      </w:r>
    </w:p>
    <w:p w14:paraId="0615D5A3">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允许调整合同价格的工程量偏差范围：</w:t>
      </w:r>
      <w:r>
        <w:rPr>
          <w:rFonts w:hint="eastAsia" w:ascii="宋体" w:hAnsi="宋体" w:eastAsia="宋体" w:cs="宋体"/>
          <w:b/>
          <w:bCs/>
          <w:color w:val="auto"/>
          <w:spacing w:val="4"/>
          <w:sz w:val="21"/>
          <w:szCs w:val="21"/>
          <w:highlight w:val="none"/>
          <w:u w:val="single" w:color="auto"/>
        </w:rPr>
        <w:t>按本合同条款中第</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12.1</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相应条款执行</w:t>
      </w:r>
      <w:r>
        <w:rPr>
          <w:rFonts w:hint="eastAsia" w:ascii="宋体" w:hAnsi="宋体" w:eastAsia="宋体" w:cs="宋体"/>
          <w:b/>
          <w:bCs/>
          <w:color w:val="auto"/>
          <w:spacing w:val="4"/>
          <w:sz w:val="21"/>
          <w:szCs w:val="21"/>
          <w:highlight w:val="none"/>
        </w:rPr>
        <w:t>。</w:t>
      </w:r>
    </w:p>
    <w:p w14:paraId="3511D71B">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2. 发包人</w:t>
      </w:r>
    </w:p>
    <w:p w14:paraId="3C20D880">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3"/>
          <w:sz w:val="21"/>
          <w:szCs w:val="21"/>
          <w:highlight w:val="none"/>
        </w:rPr>
        <w:t>发包人代表</w:t>
      </w:r>
    </w:p>
    <w:p w14:paraId="54065453">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发包人代表：</w:t>
      </w:r>
    </w:p>
    <w:p w14:paraId="18F9C2BF">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姓</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7"/>
          <w:sz w:val="21"/>
          <w:szCs w:val="21"/>
          <w:highlight w:val="none"/>
        </w:rPr>
        <w:t>名</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49D13E5D">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身份证号</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32789A0">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职</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7"/>
          <w:sz w:val="21"/>
          <w:szCs w:val="21"/>
          <w:highlight w:val="none"/>
        </w:rPr>
        <w:t>务</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43A9D597">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A6B235E">
      <w:pPr>
        <w:keepNext w:val="0"/>
        <w:keepLines w:val="0"/>
        <w:pageBreakBefore w:val="0"/>
        <w:widowControl w:val="0"/>
        <w:kinsoku/>
        <w:wordWrap/>
        <w:overflowPunct/>
        <w:topLinePunct w:val="0"/>
        <w:autoSpaceDE/>
        <w:autoSpaceDN/>
        <w:bidi w:val="0"/>
        <w:adjustRightInd/>
        <w:snapToGrid/>
        <w:spacing w:line="440" w:lineRule="exact"/>
        <w:ind w:left="44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电子信箱</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10E51593">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FC7C68A">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right="-729" w:rightChars="-347" w:firstLine="418" w:firstLineChars="20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发包人对发包人代表的授权范围如下：</w:t>
      </w:r>
      <w:r>
        <w:rPr>
          <w:rFonts w:hint="eastAsia" w:ascii="宋体" w:hAnsi="宋体" w:eastAsia="宋体" w:cs="宋体"/>
          <w:b/>
          <w:bCs/>
          <w:color w:val="auto"/>
          <w:spacing w:val="-2"/>
          <w:sz w:val="21"/>
          <w:szCs w:val="21"/>
          <w:highlight w:val="none"/>
          <w:u w:val="single" w:color="auto"/>
        </w:rPr>
        <w:t>代表发包方行使本合同约定的发包方的权力和管理承包方。</w:t>
      </w:r>
      <w:r>
        <w:rPr>
          <w:rFonts w:hint="eastAsia" w:ascii="宋体" w:hAnsi="宋体" w:eastAsia="宋体" w:cs="宋体"/>
          <w:color w:val="auto"/>
          <w:spacing w:val="-2"/>
          <w:sz w:val="21"/>
          <w:szCs w:val="21"/>
          <w:highlight w:val="none"/>
          <w:u w:val="single" w:color="auto"/>
        </w:rPr>
        <w:t xml:space="preserve"> </w:t>
      </w:r>
    </w:p>
    <w:p w14:paraId="6FFABB94">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 施工现场、施工条件和基础资料的提供</w:t>
      </w:r>
    </w:p>
    <w:p w14:paraId="45D821E2">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2.4.1 提供施工现场</w:t>
      </w:r>
    </w:p>
    <w:p w14:paraId="3096B3CB">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关于发包人移交施工现场的期限要求：</w:t>
      </w:r>
      <w:r>
        <w:rPr>
          <w:rFonts w:hint="eastAsia" w:ascii="宋体" w:hAnsi="宋体" w:eastAsia="宋体" w:cs="宋体"/>
          <w:b/>
          <w:bCs/>
          <w:color w:val="auto"/>
          <w:spacing w:val="4"/>
          <w:sz w:val="21"/>
          <w:szCs w:val="21"/>
          <w:highlight w:val="none"/>
          <w:u w:val="single" w:color="auto"/>
        </w:rPr>
        <w:t>以施工场地的</w:t>
      </w:r>
      <w:r>
        <w:rPr>
          <w:rFonts w:hint="eastAsia" w:ascii="宋体" w:hAnsi="宋体" w:eastAsia="宋体" w:cs="宋体"/>
          <w:b/>
          <w:bCs/>
          <w:color w:val="auto"/>
          <w:spacing w:val="3"/>
          <w:sz w:val="21"/>
          <w:szCs w:val="21"/>
          <w:highlight w:val="none"/>
          <w:u w:val="single" w:color="auto"/>
        </w:rPr>
        <w:t>现状为准。</w:t>
      </w:r>
    </w:p>
    <w:p w14:paraId="010B305E">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2.4.2 提供施工条件</w:t>
      </w:r>
    </w:p>
    <w:p w14:paraId="57F94872">
      <w:pPr>
        <w:keepNext w:val="0"/>
        <w:keepLines w:val="0"/>
        <w:pageBreakBefore w:val="0"/>
        <w:widowControl w:val="0"/>
        <w:kinsoku/>
        <w:wordWrap/>
        <w:overflowPunct/>
        <w:topLinePunct w:val="0"/>
        <w:autoSpaceDE/>
        <w:autoSpaceDN/>
        <w:bidi w:val="0"/>
        <w:adjustRightInd/>
        <w:snapToGrid/>
        <w:spacing w:line="440" w:lineRule="exact"/>
        <w:ind w:left="3" w:right="-729" w:rightChars="-347" w:firstLine="42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关于发包人应负责提供施工所需要的条件，包括：</w:t>
      </w:r>
      <w:r>
        <w:rPr>
          <w:rFonts w:hint="eastAsia" w:ascii="宋体" w:hAnsi="宋体" w:eastAsia="宋体" w:cs="宋体"/>
          <w:b/>
          <w:bCs/>
          <w:color w:val="auto"/>
          <w:spacing w:val="-2"/>
          <w:sz w:val="21"/>
          <w:szCs w:val="21"/>
          <w:highlight w:val="none"/>
          <w:u w:val="single" w:color="auto"/>
        </w:rPr>
        <w:t>发包人于开工前办理好施工所需证件、批</w:t>
      </w:r>
      <w:r>
        <w:rPr>
          <w:rFonts w:hint="eastAsia" w:ascii="宋体" w:hAnsi="宋体" w:eastAsia="宋体" w:cs="宋体"/>
          <w:b/>
          <w:bCs/>
          <w:color w:val="auto"/>
          <w:spacing w:val="-3"/>
          <w:sz w:val="21"/>
          <w:szCs w:val="21"/>
          <w:highlight w:val="none"/>
          <w:u w:val="single" w:color="auto"/>
        </w:rPr>
        <w:t>件（承包人自身资质证件除外）。施工过程中承包人不得因发包人前期手续而出现不进行施工准</w:t>
      </w:r>
      <w:r>
        <w:rPr>
          <w:rFonts w:hint="eastAsia" w:ascii="宋体" w:hAnsi="宋体" w:eastAsia="宋体" w:cs="宋体"/>
          <w:b/>
          <w:bCs/>
          <w:color w:val="auto"/>
          <w:spacing w:val="12"/>
          <w:sz w:val="21"/>
          <w:szCs w:val="21"/>
          <w:highlight w:val="none"/>
          <w:u w:val="single" w:color="auto"/>
        </w:rPr>
        <w:t>备、索赔、消极施工等情形，应积极配合，保证工程按计划进行，否则按违约处理。</w:t>
      </w:r>
    </w:p>
    <w:p w14:paraId="3F24489A">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2.5 资金来源证明及支付担保</w:t>
      </w:r>
    </w:p>
    <w:p w14:paraId="7D1C1DA3">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发包人提供资金来源证明的期限要求：</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6C985984">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3. 承包人</w:t>
      </w:r>
    </w:p>
    <w:p w14:paraId="5AF96BA8">
      <w:pPr>
        <w:keepNext w:val="0"/>
        <w:keepLines w:val="0"/>
        <w:pageBreakBefore w:val="0"/>
        <w:widowControl w:val="0"/>
        <w:kinsoku/>
        <w:wordWrap/>
        <w:overflowPunct/>
        <w:topLinePunct w:val="0"/>
        <w:autoSpaceDE/>
        <w:autoSpaceDN/>
        <w:bidi w:val="0"/>
        <w:adjustRightInd/>
        <w:snapToGrid/>
        <w:spacing w:line="440" w:lineRule="exact"/>
        <w:ind w:left="428"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3.1 承包人的一般义务</w:t>
      </w:r>
    </w:p>
    <w:p w14:paraId="706251A1">
      <w:pPr>
        <w:keepNext w:val="0"/>
        <w:keepLines w:val="0"/>
        <w:pageBreakBefore w:val="0"/>
        <w:widowControl w:val="0"/>
        <w:tabs>
          <w:tab w:val="left" w:pos="8795"/>
        </w:tabs>
        <w:kinsoku/>
        <w:wordWrap/>
        <w:overflowPunct/>
        <w:topLinePunct w:val="0"/>
        <w:autoSpaceDE/>
        <w:autoSpaceDN/>
        <w:bidi w:val="0"/>
        <w:adjustRightInd/>
        <w:snapToGrid/>
        <w:spacing w:line="440" w:lineRule="exact"/>
        <w:ind w:left="3" w:right="-729" w:rightChars="-347" w:firstLine="42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（9）承包人提交的竣工资料的内容：</w:t>
      </w:r>
      <w:r>
        <w:rPr>
          <w:rFonts w:hint="eastAsia" w:ascii="宋体" w:hAnsi="宋体" w:eastAsia="宋体" w:cs="宋体"/>
          <w:color w:val="auto"/>
          <w:spacing w:val="-43"/>
          <w:sz w:val="21"/>
          <w:szCs w:val="21"/>
          <w:highlight w:val="none"/>
        </w:rPr>
        <w:t xml:space="preserve"> </w:t>
      </w:r>
      <w:r>
        <w:rPr>
          <w:rFonts w:hint="eastAsia" w:ascii="宋体" w:hAnsi="宋体" w:eastAsia="宋体" w:cs="宋体"/>
          <w:b/>
          <w:bCs/>
          <w:color w:val="auto"/>
          <w:spacing w:val="-1"/>
          <w:sz w:val="21"/>
          <w:szCs w:val="21"/>
          <w:highlight w:val="none"/>
          <w:u w:val="single" w:color="auto"/>
        </w:rPr>
        <w:t>承包人在工程竣工后一个月内向发包人提供</w:t>
      </w:r>
      <w:r>
        <w:rPr>
          <w:rFonts w:hint="eastAsia" w:ascii="宋体" w:hAnsi="宋体" w:eastAsia="宋体" w:cs="宋体"/>
          <w:b/>
          <w:bCs/>
          <w:color w:val="auto"/>
          <w:spacing w:val="-3"/>
          <w:sz w:val="21"/>
          <w:szCs w:val="21"/>
          <w:highlight w:val="none"/>
          <w:u w:val="single" w:color="auto"/>
        </w:rPr>
        <w:t>完整的竣工图、必须经城建档案部门或其他相关部门验收合格的资料及竣工结算其</w:t>
      </w:r>
      <w:r>
        <w:rPr>
          <w:rFonts w:hint="eastAsia" w:ascii="宋体" w:hAnsi="宋体" w:eastAsia="宋体" w:cs="宋体"/>
          <w:b/>
          <w:bCs/>
          <w:color w:val="auto"/>
          <w:spacing w:val="-4"/>
          <w:sz w:val="21"/>
          <w:szCs w:val="21"/>
          <w:highlight w:val="none"/>
          <w:u w:val="single" w:color="auto"/>
        </w:rPr>
        <w:t>他资料。A.</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施工中没有设计变更，施工后由承包人在发包人提供的施工图纸上加盖竣工图章，</w:t>
      </w:r>
      <w:r>
        <w:rPr>
          <w:rFonts w:hint="eastAsia" w:ascii="宋体" w:hAnsi="宋体" w:eastAsia="宋体" w:cs="宋体"/>
          <w:b/>
          <w:bCs/>
          <w:color w:val="auto"/>
          <w:sz w:val="21"/>
          <w:szCs w:val="21"/>
          <w:highlight w:val="none"/>
          <w:u w:val="single" w:color="auto"/>
        </w:rPr>
        <w:t>提交发包人；B.</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施工中只有零星的少量设计变更，承包人在施工图</w:t>
      </w:r>
      <w:r>
        <w:rPr>
          <w:rFonts w:hint="eastAsia" w:ascii="宋体" w:hAnsi="宋体" w:eastAsia="宋体" w:cs="宋体"/>
          <w:b/>
          <w:bCs/>
          <w:color w:val="auto"/>
          <w:spacing w:val="-1"/>
          <w:sz w:val="21"/>
          <w:szCs w:val="21"/>
          <w:highlight w:val="none"/>
          <w:u w:val="single" w:color="auto"/>
        </w:rPr>
        <w:t>变更位置注明，并连同经发</w:t>
      </w:r>
      <w:r>
        <w:rPr>
          <w:rFonts w:hint="eastAsia" w:ascii="宋体" w:hAnsi="宋体" w:eastAsia="宋体" w:cs="宋体"/>
          <w:b/>
          <w:bCs/>
          <w:color w:val="auto"/>
          <w:sz w:val="21"/>
          <w:szCs w:val="21"/>
          <w:highlight w:val="none"/>
          <w:u w:val="single" w:color="auto"/>
        </w:rPr>
        <w:t>包人同意的变更签证，竣工后由承包人加盖竣工图章交给发包</w:t>
      </w:r>
      <w:r>
        <w:rPr>
          <w:rFonts w:hint="eastAsia" w:ascii="宋体" w:hAnsi="宋体" w:eastAsia="宋体" w:cs="宋体"/>
          <w:b/>
          <w:bCs/>
          <w:color w:val="auto"/>
          <w:spacing w:val="-1"/>
          <w:sz w:val="21"/>
          <w:szCs w:val="21"/>
          <w:highlight w:val="none"/>
          <w:u w:val="single" w:color="auto"/>
        </w:rPr>
        <w:t>人；3、施工中对原设计中变更较</w:t>
      </w:r>
      <w:r>
        <w:rPr>
          <w:rFonts w:hint="eastAsia" w:ascii="宋体" w:hAnsi="宋体" w:eastAsia="宋体" w:cs="宋体"/>
          <w:b/>
          <w:bCs/>
          <w:color w:val="auto"/>
          <w:spacing w:val="9"/>
          <w:sz w:val="21"/>
          <w:szCs w:val="21"/>
          <w:highlight w:val="none"/>
          <w:u w:val="single" w:color="auto"/>
        </w:rPr>
        <w:t>多，原施工图难以作为竣工图，应由承包人组织重新绘制竣工图，并承担相应费</w:t>
      </w:r>
      <w:r>
        <w:rPr>
          <w:rFonts w:hint="eastAsia" w:ascii="宋体" w:hAnsi="宋体" w:eastAsia="宋体" w:cs="宋体"/>
          <w:b/>
          <w:bCs/>
          <w:color w:val="auto"/>
          <w:spacing w:val="8"/>
          <w:sz w:val="21"/>
          <w:szCs w:val="21"/>
          <w:highlight w:val="none"/>
          <w:u w:val="single" w:color="auto"/>
        </w:rPr>
        <w:t>用。</w:t>
      </w:r>
      <w:r>
        <w:rPr>
          <w:rFonts w:hint="eastAsia" w:ascii="宋体" w:hAnsi="宋体" w:eastAsia="宋体" w:cs="宋体"/>
          <w:color w:val="auto"/>
          <w:sz w:val="21"/>
          <w:szCs w:val="21"/>
          <w:highlight w:val="none"/>
          <w:u w:val="single" w:color="auto"/>
        </w:rPr>
        <w:t xml:space="preserve">  </w:t>
      </w:r>
    </w:p>
    <w:p w14:paraId="647D3D4C">
      <w:pPr>
        <w:keepNext w:val="0"/>
        <w:keepLines w:val="0"/>
        <w:pageBreakBefore w:val="0"/>
        <w:widowControl w:val="0"/>
        <w:kinsoku/>
        <w:wordWrap/>
        <w:overflowPunct/>
        <w:topLinePunct w:val="0"/>
        <w:autoSpaceDE/>
        <w:autoSpaceDN/>
        <w:bidi w:val="0"/>
        <w:adjustRightInd/>
        <w:snapToGrid/>
        <w:spacing w:line="440" w:lineRule="exact"/>
        <w:ind w:left="7" w:right="-729" w:rightChars="-347" w:firstLine="41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承包人需要提交的竣工资料套数：</w:t>
      </w:r>
      <w:r>
        <w:rPr>
          <w:rFonts w:hint="eastAsia" w:ascii="宋体" w:hAnsi="宋体" w:eastAsia="宋体" w:cs="宋体"/>
          <w:b/>
          <w:bCs/>
          <w:color w:val="auto"/>
          <w:spacing w:val="-2"/>
          <w:sz w:val="21"/>
          <w:szCs w:val="21"/>
          <w:highlight w:val="none"/>
          <w:u w:val="single" w:color="auto"/>
        </w:rPr>
        <w:t>完整的工程技术资料贰份（包括竣工图</w:t>
      </w:r>
      <w:r>
        <w:rPr>
          <w:rFonts w:hint="eastAsia" w:ascii="宋体" w:hAnsi="宋体" w:eastAsia="宋体" w:cs="宋体"/>
          <w:b/>
          <w:bCs/>
          <w:color w:val="auto"/>
          <w:spacing w:val="-3"/>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其中两套必须是原件。</w:t>
      </w:r>
      <w:r>
        <w:rPr>
          <w:rFonts w:hint="eastAsia" w:ascii="宋体" w:hAnsi="宋体" w:eastAsia="宋体" w:cs="宋体"/>
          <w:color w:val="auto"/>
          <w:spacing w:val="-2"/>
          <w:sz w:val="21"/>
          <w:szCs w:val="21"/>
          <w:highlight w:val="none"/>
          <w:u w:val="single" w:color="auto"/>
        </w:rPr>
        <w:t xml:space="preserve"> </w:t>
      </w:r>
    </w:p>
    <w:p w14:paraId="69963C7A">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承包人提交的竣工资料的费用承担：</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由承包</w:t>
      </w:r>
      <w:r>
        <w:rPr>
          <w:rFonts w:hint="eastAsia" w:ascii="宋体" w:hAnsi="宋体" w:eastAsia="宋体" w:cs="宋体"/>
          <w:b/>
          <w:bCs/>
          <w:color w:val="auto"/>
          <w:spacing w:val="2"/>
          <w:sz w:val="21"/>
          <w:szCs w:val="21"/>
          <w:highlight w:val="none"/>
          <w:u w:val="single" w:color="auto"/>
        </w:rPr>
        <w:t>人承担</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341373AF">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承包人提交的竣工资料移交时间：</w:t>
      </w:r>
      <w:r>
        <w:rPr>
          <w:rFonts w:hint="eastAsia" w:ascii="宋体" w:hAnsi="宋体" w:eastAsia="宋体" w:cs="宋体"/>
          <w:b/>
          <w:bCs/>
          <w:color w:val="auto"/>
          <w:spacing w:val="4"/>
          <w:sz w:val="21"/>
          <w:szCs w:val="21"/>
          <w:highlight w:val="none"/>
          <w:u w:val="single" w:color="auto"/>
        </w:rPr>
        <w:t>工程竣工验收合格之日算起</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28</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天内</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w:t>
      </w:r>
    </w:p>
    <w:p w14:paraId="30DBBA1A">
      <w:pPr>
        <w:keepNext w:val="0"/>
        <w:keepLines w:val="0"/>
        <w:pageBreakBefore w:val="0"/>
        <w:widowControl w:val="0"/>
        <w:kinsoku/>
        <w:wordWrap/>
        <w:overflowPunct/>
        <w:topLinePunct w:val="0"/>
        <w:autoSpaceDE/>
        <w:autoSpaceDN/>
        <w:bidi w:val="0"/>
        <w:adjustRightInd/>
        <w:snapToGrid/>
        <w:spacing w:line="440" w:lineRule="exact"/>
        <w:ind w:left="5" w:right="-729" w:rightChars="-347" w:firstLine="418"/>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承包人提交的竣工资料形式要求：</w:t>
      </w:r>
      <w:r>
        <w:rPr>
          <w:rFonts w:hint="eastAsia" w:ascii="宋体" w:hAnsi="宋体" w:eastAsia="宋体" w:cs="宋体"/>
          <w:b/>
          <w:bCs/>
          <w:color w:val="auto"/>
          <w:spacing w:val="-2"/>
          <w:sz w:val="21"/>
          <w:szCs w:val="21"/>
          <w:highlight w:val="none"/>
          <w:u w:val="single" w:color="auto"/>
        </w:rPr>
        <w:t>承包人提供的竣工图必须与实际相符合，否则由此对发包</w:t>
      </w:r>
      <w:r>
        <w:rPr>
          <w:rFonts w:hint="eastAsia" w:ascii="宋体" w:hAnsi="宋体" w:eastAsia="宋体" w:cs="宋体"/>
          <w:b/>
          <w:bCs/>
          <w:color w:val="auto"/>
          <w:spacing w:val="-5"/>
          <w:sz w:val="21"/>
          <w:szCs w:val="21"/>
          <w:highlight w:val="none"/>
          <w:u w:val="single" w:color="auto"/>
        </w:rPr>
        <w:t>人所造成的所有损失由承包人承担。竣工时，</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b/>
          <w:bCs/>
          <w:color w:val="auto"/>
          <w:spacing w:val="-5"/>
          <w:sz w:val="21"/>
          <w:szCs w:val="21"/>
          <w:highlight w:val="none"/>
          <w:u w:val="single" w:color="auto"/>
        </w:rPr>
        <w:t>承包人根据发包人的要求在竣工图标出各类管线的</w:t>
      </w:r>
      <w:r>
        <w:rPr>
          <w:rFonts w:hint="eastAsia" w:ascii="宋体" w:hAnsi="宋体" w:eastAsia="宋体" w:cs="宋体"/>
          <w:b/>
          <w:bCs/>
          <w:color w:val="auto"/>
          <w:spacing w:val="-3"/>
          <w:sz w:val="21"/>
          <w:szCs w:val="21"/>
          <w:highlight w:val="none"/>
          <w:u w:val="single" w:color="auto"/>
        </w:rPr>
        <w:t>实际走向和定位。</w:t>
      </w:r>
      <w:r>
        <w:rPr>
          <w:rFonts w:hint="eastAsia" w:ascii="宋体" w:hAnsi="宋体" w:eastAsia="宋体" w:cs="宋体"/>
          <w:color w:val="auto"/>
          <w:spacing w:val="2"/>
          <w:sz w:val="21"/>
          <w:szCs w:val="21"/>
          <w:highlight w:val="none"/>
          <w:u w:val="single" w:color="auto"/>
        </w:rPr>
        <w:t xml:space="preserve">  </w:t>
      </w:r>
    </w:p>
    <w:p w14:paraId="2154B0FF">
      <w:pPr>
        <w:keepNext w:val="0"/>
        <w:keepLines w:val="0"/>
        <w:pageBreakBefore w:val="0"/>
        <w:widowControl w:val="0"/>
        <w:kinsoku/>
        <w:wordWrap/>
        <w:overflowPunct/>
        <w:topLinePunct w:val="0"/>
        <w:autoSpaceDE/>
        <w:autoSpaceDN/>
        <w:bidi w:val="0"/>
        <w:adjustRightInd/>
        <w:snapToGrid/>
        <w:spacing w:line="440" w:lineRule="exact"/>
        <w:ind w:left="43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（10）承包人应履行的其他义务：</w:t>
      </w:r>
    </w:p>
    <w:p w14:paraId="6F604D8E">
      <w:pPr>
        <w:keepNext w:val="0"/>
        <w:keepLines w:val="0"/>
        <w:pageBreakBefore w:val="0"/>
        <w:widowControl w:val="0"/>
        <w:kinsoku/>
        <w:wordWrap/>
        <w:overflowPunct/>
        <w:topLinePunct w:val="0"/>
        <w:autoSpaceDE/>
        <w:autoSpaceDN/>
        <w:bidi w:val="0"/>
        <w:adjustRightInd/>
        <w:snapToGrid/>
        <w:spacing w:line="440" w:lineRule="exact"/>
        <w:ind w:left="6" w:right="-729" w:rightChars="-347" w:firstLine="41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①A.现场施工条件和情况由承包人自行勘察，</w:t>
      </w:r>
      <w:r>
        <w:rPr>
          <w:rFonts w:hint="eastAsia" w:ascii="宋体" w:hAnsi="宋体" w:eastAsia="宋体" w:cs="宋体"/>
          <w:color w:val="auto"/>
          <w:spacing w:val="-1"/>
          <w:sz w:val="21"/>
          <w:szCs w:val="21"/>
          <w:highlight w:val="none"/>
          <w:u w:val="single" w:color="auto"/>
        </w:rPr>
        <w:t>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w:t>
      </w:r>
      <w:r>
        <w:rPr>
          <w:rFonts w:hint="eastAsia" w:ascii="宋体" w:hAnsi="宋体" w:eastAsia="宋体" w:cs="宋体"/>
          <w:color w:val="auto"/>
          <w:spacing w:val="-3"/>
          <w:sz w:val="21"/>
          <w:szCs w:val="21"/>
          <w:highlight w:val="none"/>
          <w:u w:val="single" w:color="auto"/>
        </w:rPr>
        <w:t>构。承包人根据有关指示，负责修理那些已被破坏的公共设</w:t>
      </w:r>
      <w:r>
        <w:rPr>
          <w:rFonts w:hint="eastAsia" w:ascii="宋体" w:hAnsi="宋体" w:eastAsia="宋体" w:cs="宋体"/>
          <w:color w:val="auto"/>
          <w:spacing w:val="-4"/>
          <w:sz w:val="21"/>
          <w:szCs w:val="21"/>
          <w:highlight w:val="none"/>
          <w:u w:val="single" w:color="auto"/>
        </w:rPr>
        <w:t>施，并恢复原状，费用由责任方承担。</w:t>
      </w:r>
      <w:r>
        <w:rPr>
          <w:rFonts w:hint="eastAsia" w:ascii="宋体" w:hAnsi="宋体" w:eastAsia="宋体" w:cs="宋体"/>
          <w:color w:val="auto"/>
          <w:spacing w:val="-3"/>
          <w:sz w:val="21"/>
          <w:szCs w:val="21"/>
          <w:highlight w:val="none"/>
          <w:u w:val="single" w:color="auto"/>
        </w:rPr>
        <w:t>D.临时停水、停电、二次搬运、成品保护等所需措施</w:t>
      </w:r>
      <w:r>
        <w:rPr>
          <w:rFonts w:hint="eastAsia" w:ascii="宋体" w:hAnsi="宋体" w:eastAsia="宋体" w:cs="宋体"/>
          <w:color w:val="auto"/>
          <w:spacing w:val="-4"/>
          <w:sz w:val="21"/>
          <w:szCs w:val="21"/>
          <w:highlight w:val="none"/>
          <w:u w:val="single" w:color="auto"/>
        </w:rPr>
        <w:t>费用和工期承包人在投标报价中已充分考虑，并已考虑了各种可能因素影响施工所增加的费用，因此，发生上述情况，发包方不另行增加费用。</w:t>
      </w:r>
      <w:r>
        <w:rPr>
          <w:rFonts w:hint="eastAsia" w:ascii="宋体" w:hAnsi="宋体" w:eastAsia="宋体" w:cs="宋体"/>
          <w:color w:val="auto"/>
          <w:spacing w:val="-1"/>
          <w:sz w:val="21"/>
          <w:szCs w:val="21"/>
          <w:highlight w:val="none"/>
          <w:u w:val="single" w:color="auto"/>
        </w:rPr>
        <w:t>E.在工程施工过程中，因承包人的原因出现质量问题、安全事故或者因其他原因受到报纸、电视</w:t>
      </w:r>
      <w:r>
        <w:rPr>
          <w:rFonts w:hint="eastAsia" w:ascii="宋体" w:hAnsi="宋体" w:eastAsia="宋体" w:cs="宋体"/>
          <w:color w:val="auto"/>
          <w:sz w:val="21"/>
          <w:szCs w:val="21"/>
          <w:highlight w:val="none"/>
          <w:u w:val="single" w:color="auto"/>
        </w:rPr>
        <w:t>等媒体的曝光或被政府有关主管部门通报批评</w:t>
      </w:r>
      <w:r>
        <w:rPr>
          <w:rFonts w:hint="eastAsia" w:ascii="宋体" w:hAnsi="宋体" w:eastAsia="宋体" w:cs="宋体"/>
          <w:color w:val="auto"/>
          <w:spacing w:val="-1"/>
          <w:sz w:val="21"/>
          <w:szCs w:val="21"/>
          <w:highlight w:val="none"/>
          <w:u w:val="single" w:color="auto"/>
        </w:rPr>
        <w:t>，给本工程的社会形象带来负面影响，每次由承包人向发包人支付</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万元违约金，从承包人工程进度款中扣除。</w:t>
      </w:r>
    </w:p>
    <w:p w14:paraId="09E0AE19">
      <w:pPr>
        <w:keepNext w:val="0"/>
        <w:keepLines w:val="0"/>
        <w:pageBreakBefore w:val="0"/>
        <w:widowControl w:val="0"/>
        <w:kinsoku/>
        <w:wordWrap/>
        <w:overflowPunct/>
        <w:topLinePunct w:val="0"/>
        <w:autoSpaceDE/>
        <w:autoSpaceDN/>
        <w:bidi w:val="0"/>
        <w:adjustRightInd/>
        <w:snapToGrid/>
        <w:spacing w:line="440" w:lineRule="exact"/>
        <w:ind w:left="419"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②应提供计划、报表的名称及完成时间：根据现场工程师的要求提供。</w:t>
      </w:r>
    </w:p>
    <w:p w14:paraId="70C642B2">
      <w:pPr>
        <w:keepNext w:val="0"/>
        <w:keepLines w:val="0"/>
        <w:pageBreakBefore w:val="0"/>
        <w:widowControl w:val="0"/>
        <w:kinsoku/>
        <w:wordWrap/>
        <w:overflowPunct/>
        <w:topLinePunct w:val="0"/>
        <w:autoSpaceDE/>
        <w:autoSpaceDN/>
        <w:bidi w:val="0"/>
        <w:adjustRightInd/>
        <w:snapToGrid/>
        <w:spacing w:line="440" w:lineRule="exact"/>
        <w:ind w:left="419"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③需承包人办理的有关施工场地交通、环卫和施工噪音管理等手续：</w:t>
      </w:r>
    </w:p>
    <w:p w14:paraId="6A1E7918">
      <w:pPr>
        <w:keepNext w:val="0"/>
        <w:keepLines w:val="0"/>
        <w:pageBreakBefore w:val="0"/>
        <w:widowControl w:val="0"/>
        <w:kinsoku/>
        <w:wordWrap/>
        <w:overflowPunct/>
        <w:topLinePunct w:val="0"/>
        <w:autoSpaceDE/>
        <w:autoSpaceDN/>
        <w:bidi w:val="0"/>
        <w:adjustRightInd/>
        <w:snapToGrid/>
        <w:spacing w:line="440" w:lineRule="exact"/>
        <w:ind w:left="1" w:right="-729" w:rightChars="-347" w:firstLine="4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u w:val="single" w:color="auto"/>
        </w:rPr>
        <w:t>遵守政府有关主管部门对施工场地交通、施工噪音、环境保护和安全生产等的管理规定，</w:t>
      </w:r>
      <w:r>
        <w:rPr>
          <w:rFonts w:hint="eastAsia" w:ascii="宋体" w:hAnsi="宋体" w:eastAsia="宋体" w:cs="宋体"/>
          <w:color w:val="auto"/>
          <w:spacing w:val="59"/>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按</w:t>
      </w:r>
      <w:r>
        <w:rPr>
          <w:rFonts w:hint="eastAsia" w:ascii="宋体" w:hAnsi="宋体" w:eastAsia="宋体" w:cs="宋体"/>
          <w:color w:val="auto"/>
          <w:sz w:val="21"/>
          <w:szCs w:val="21"/>
          <w:highlight w:val="none"/>
          <w:u w:val="single" w:color="auto"/>
        </w:rPr>
        <w:t>规定办理有关手续，并以书面形式通知发包人。所需费用均包含在合同价</w:t>
      </w:r>
      <w:r>
        <w:rPr>
          <w:rFonts w:hint="eastAsia" w:ascii="宋体" w:hAnsi="宋体" w:eastAsia="宋体" w:cs="宋体"/>
          <w:color w:val="auto"/>
          <w:spacing w:val="-1"/>
          <w:sz w:val="21"/>
          <w:szCs w:val="21"/>
          <w:highlight w:val="none"/>
          <w:u w:val="single" w:color="auto"/>
        </w:rPr>
        <w:t>中。</w:t>
      </w:r>
    </w:p>
    <w:p w14:paraId="6DBF7F01">
      <w:pPr>
        <w:keepNext w:val="0"/>
        <w:keepLines w:val="0"/>
        <w:pageBreakBefore w:val="0"/>
        <w:widowControl w:val="0"/>
        <w:kinsoku/>
        <w:wordWrap/>
        <w:overflowPunct/>
        <w:topLinePunct w:val="0"/>
        <w:autoSpaceDE/>
        <w:autoSpaceDN/>
        <w:bidi w:val="0"/>
        <w:adjustRightInd/>
        <w:snapToGrid/>
        <w:spacing w:line="440" w:lineRule="exact"/>
        <w:ind w:left="2" w:right="-729" w:rightChars="-347" w:firstLine="41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④已完工程成品保护的特殊要求及费用承担：</w:t>
      </w:r>
      <w:r>
        <w:rPr>
          <w:rFonts w:hint="eastAsia" w:ascii="宋体" w:hAnsi="宋体" w:eastAsia="宋体" w:cs="宋体"/>
          <w:color w:val="auto"/>
          <w:spacing w:val="-1"/>
          <w:sz w:val="21"/>
          <w:szCs w:val="21"/>
          <w:highlight w:val="none"/>
          <w:u w:val="single" w:color="auto"/>
        </w:rPr>
        <w:t>已完工程未交付给发包人之前，承包人负责已完成工程的保护工作，所需费用包含在合同价内。</w:t>
      </w:r>
    </w:p>
    <w:p w14:paraId="591AF972">
      <w:pPr>
        <w:keepNext w:val="0"/>
        <w:keepLines w:val="0"/>
        <w:pageBreakBefore w:val="0"/>
        <w:widowControl w:val="0"/>
        <w:kinsoku/>
        <w:wordWrap/>
        <w:overflowPunct/>
        <w:topLinePunct w:val="0"/>
        <w:autoSpaceDE/>
        <w:autoSpaceDN/>
        <w:bidi w:val="0"/>
        <w:adjustRightInd/>
        <w:snapToGrid/>
        <w:spacing w:line="440" w:lineRule="exact"/>
        <w:ind w:right="-729" w:rightChars="-347"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⑤施工场地周围地下管线和邻近建筑物、构筑物（含文物保护建筑）、古树名木的保护要求</w:t>
      </w:r>
      <w:r>
        <w:rPr>
          <w:rFonts w:hint="eastAsia" w:ascii="宋体" w:hAnsi="宋体" w:eastAsia="宋体" w:cs="宋体"/>
          <w:color w:val="auto"/>
          <w:sz w:val="21"/>
          <w:szCs w:val="21"/>
          <w:highlight w:val="none"/>
          <w:u w:val="single" w:color="auto"/>
        </w:rPr>
        <w:t>及费用承担：保护措施由承包人根据实际情况制定，报发包人审核批准后执行。</w:t>
      </w:r>
    </w:p>
    <w:p w14:paraId="36143465">
      <w:pPr>
        <w:keepNext w:val="0"/>
        <w:keepLines w:val="0"/>
        <w:pageBreakBefore w:val="0"/>
        <w:widowControl w:val="0"/>
        <w:kinsoku/>
        <w:wordWrap/>
        <w:overflowPunct/>
        <w:topLinePunct w:val="0"/>
        <w:autoSpaceDE/>
        <w:autoSpaceDN/>
        <w:bidi w:val="0"/>
        <w:adjustRightInd/>
        <w:snapToGrid/>
        <w:spacing w:line="440" w:lineRule="exact"/>
        <w:ind w:right="-729" w:rightChars="-347" w:firstLine="419"/>
        <w:textAlignment w:val="auto"/>
        <w:rPr>
          <w:rFonts w:hint="eastAsia" w:ascii="宋体" w:hAnsi="宋体" w:eastAsia="宋体" w:cs="宋体"/>
          <w:color w:val="auto"/>
          <w:spacing w:val="-1"/>
          <w:sz w:val="21"/>
          <w:szCs w:val="21"/>
          <w:highlight w:val="none"/>
          <w:u w:val="single" w:color="auto"/>
        </w:rPr>
      </w:pPr>
      <w:r>
        <w:rPr>
          <w:rFonts w:hint="eastAsia" w:ascii="宋体" w:hAnsi="宋体" w:eastAsia="宋体" w:cs="宋体"/>
          <w:color w:val="auto"/>
          <w:spacing w:val="-1"/>
          <w:sz w:val="21"/>
          <w:szCs w:val="21"/>
          <w:highlight w:val="none"/>
          <w:u w:val="single" w:color="auto"/>
        </w:rPr>
        <w:t>⑥中标后承包人做好各项进场准备，施工合同签订后及时组织机械、设施和人员等进场施工。</w:t>
      </w:r>
    </w:p>
    <w:p w14:paraId="47501225">
      <w:pPr>
        <w:keepNext w:val="0"/>
        <w:keepLines w:val="0"/>
        <w:pageBreakBefore w:val="0"/>
        <w:widowControl w:val="0"/>
        <w:kinsoku/>
        <w:wordWrap/>
        <w:overflowPunct/>
        <w:topLinePunct w:val="0"/>
        <w:autoSpaceDE/>
        <w:autoSpaceDN/>
        <w:bidi w:val="0"/>
        <w:adjustRightInd/>
        <w:snapToGrid/>
        <w:spacing w:line="440" w:lineRule="exact"/>
        <w:ind w:right="-729" w:rightChars="-347" w:firstLine="419"/>
        <w:textAlignment w:val="auto"/>
        <w:rPr>
          <w:rFonts w:hint="default" w:ascii="宋体" w:hAnsi="宋体" w:eastAsia="宋体" w:cs="宋体"/>
          <w:color w:val="auto"/>
          <w:spacing w:val="-1"/>
          <w:sz w:val="21"/>
          <w:szCs w:val="21"/>
          <w:highlight w:val="none"/>
          <w:u w:val="single" w:color="auto"/>
          <w:lang w:val="en-US" w:eastAsia="zh-CN"/>
        </w:rPr>
      </w:pPr>
      <w:r>
        <w:rPr>
          <w:rFonts w:hint="eastAsia" w:ascii="宋体" w:hAnsi="宋体" w:cs="宋体"/>
          <w:color w:val="auto"/>
          <w:spacing w:val="-1"/>
          <w:sz w:val="21"/>
          <w:szCs w:val="21"/>
          <w:highlight w:val="none"/>
          <w:u w:val="single" w:color="auto"/>
          <w:lang w:val="en-US" w:eastAsia="zh-CN"/>
        </w:rPr>
        <w:t>⑦承包人须出具消防设施检测报告。</w:t>
      </w:r>
    </w:p>
    <w:p w14:paraId="4B81182B">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3.2</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3"/>
          <w:sz w:val="21"/>
          <w:szCs w:val="21"/>
          <w:highlight w:val="none"/>
        </w:rPr>
        <w:t>项目负责人</w:t>
      </w:r>
    </w:p>
    <w:p w14:paraId="413C08CD">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3.2.1 项目负责人：</w:t>
      </w:r>
    </w:p>
    <w:p w14:paraId="7AA52818">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姓</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7"/>
          <w:sz w:val="21"/>
          <w:szCs w:val="21"/>
          <w:highlight w:val="none"/>
        </w:rPr>
        <w:t>名</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35B7D04E">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身份证号</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BFEDCBC">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建造师执业资格等级：</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48C6265">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建造师注册证书号：</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244D37F8">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建造师执业印章号：</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88FF394">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安全生产考核合格证书号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1C7E21A5">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21FCABAC">
      <w:pPr>
        <w:keepNext w:val="0"/>
        <w:keepLines w:val="0"/>
        <w:pageBreakBefore w:val="0"/>
        <w:widowControl w:val="0"/>
        <w:kinsoku/>
        <w:wordWrap/>
        <w:overflowPunct/>
        <w:topLinePunct w:val="0"/>
        <w:autoSpaceDE/>
        <w:autoSpaceDN/>
        <w:bidi w:val="0"/>
        <w:adjustRightInd/>
        <w:snapToGrid/>
        <w:spacing w:line="440" w:lineRule="exact"/>
        <w:ind w:left="44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电子信箱</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2822D8B6">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通信地址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767EDCAF">
      <w:pPr>
        <w:keepNext w:val="0"/>
        <w:keepLines w:val="0"/>
        <w:pageBreakBefore w:val="0"/>
        <w:widowControl w:val="0"/>
        <w:kinsoku/>
        <w:wordWrap/>
        <w:overflowPunct/>
        <w:topLinePunct w:val="0"/>
        <w:autoSpaceDE/>
        <w:autoSpaceDN/>
        <w:bidi w:val="0"/>
        <w:adjustRightInd/>
        <w:snapToGrid/>
        <w:spacing w:line="440" w:lineRule="exact"/>
        <w:ind w:left="1" w:right="-729" w:rightChars="-347"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承包人对项目负责人的授权范围如下：</w:t>
      </w:r>
      <w:r>
        <w:rPr>
          <w:rFonts w:hint="eastAsia" w:ascii="宋体" w:hAnsi="宋体" w:eastAsia="宋体" w:cs="宋体"/>
          <w:b/>
          <w:bCs/>
          <w:color w:val="auto"/>
          <w:spacing w:val="-2"/>
          <w:sz w:val="21"/>
          <w:szCs w:val="21"/>
          <w:highlight w:val="none"/>
          <w:u w:val="single" w:color="auto"/>
        </w:rPr>
        <w:t>全面履行本合同工程的施工管理职责，为工程参与各</w:t>
      </w:r>
      <w:r>
        <w:rPr>
          <w:rFonts w:hint="eastAsia" w:ascii="宋体" w:hAnsi="宋体" w:eastAsia="宋体" w:cs="宋体"/>
          <w:b/>
          <w:bCs/>
          <w:color w:val="auto"/>
          <w:spacing w:val="-3"/>
          <w:sz w:val="21"/>
          <w:szCs w:val="21"/>
          <w:highlight w:val="none"/>
          <w:u w:val="single" w:color="auto"/>
        </w:rPr>
        <w:t>方做好协调和服务，在资金、技术、工程进度、质量、安全、环境保护、文明施工等合约目标范</w:t>
      </w:r>
      <w:r>
        <w:rPr>
          <w:rFonts w:hint="eastAsia" w:ascii="宋体" w:hAnsi="宋体" w:eastAsia="宋体" w:cs="宋体"/>
          <w:b/>
          <w:bCs/>
          <w:color w:val="auto"/>
          <w:spacing w:val="6"/>
          <w:sz w:val="21"/>
          <w:szCs w:val="21"/>
          <w:highlight w:val="none"/>
          <w:u w:val="single" w:color="auto"/>
        </w:rPr>
        <w:t>围内向发包人直接负责，听从发包人的指挥。</w:t>
      </w:r>
    </w:p>
    <w:p w14:paraId="7E9770E7">
      <w:pPr>
        <w:keepNext w:val="0"/>
        <w:keepLines w:val="0"/>
        <w:pageBreakBefore w:val="0"/>
        <w:widowControl w:val="0"/>
        <w:kinsoku/>
        <w:wordWrap/>
        <w:overflowPunct/>
        <w:topLinePunct w:val="0"/>
        <w:autoSpaceDE/>
        <w:autoSpaceDN/>
        <w:bidi w:val="0"/>
        <w:adjustRightInd/>
        <w:snapToGrid/>
        <w:spacing w:line="440" w:lineRule="exact"/>
        <w:ind w:left="5" w:right="-729" w:rightChars="-347"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关于项目负责人每周在施工现场的时间要求：</w:t>
      </w:r>
      <w:r>
        <w:rPr>
          <w:rFonts w:hint="eastAsia" w:ascii="宋体" w:hAnsi="宋体" w:eastAsia="宋体" w:cs="宋体"/>
          <w:b/>
          <w:bCs/>
          <w:color w:val="auto"/>
          <w:spacing w:val="-3"/>
          <w:sz w:val="21"/>
          <w:szCs w:val="21"/>
          <w:highlight w:val="none"/>
          <w:u w:val="single" w:color="auto"/>
        </w:rPr>
        <w:t>本工程施工期每周出勤率必须达</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5</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天以上，每</w:t>
      </w:r>
      <w:r>
        <w:rPr>
          <w:rFonts w:hint="eastAsia" w:ascii="宋体" w:hAnsi="宋体" w:eastAsia="宋体" w:cs="宋体"/>
          <w:b/>
          <w:bCs/>
          <w:color w:val="auto"/>
          <w:spacing w:val="1"/>
          <w:sz w:val="21"/>
          <w:szCs w:val="21"/>
          <w:highlight w:val="none"/>
          <w:u w:val="single" w:color="auto"/>
        </w:rPr>
        <w:t>天不少于</w:t>
      </w:r>
      <w:r>
        <w:rPr>
          <w:rFonts w:hint="eastAsia" w:ascii="宋体" w:hAnsi="宋体" w:eastAsia="宋体" w:cs="宋体"/>
          <w:color w:val="auto"/>
          <w:spacing w:val="-22"/>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8</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小时</w:t>
      </w:r>
      <w:r>
        <w:rPr>
          <w:rFonts w:hint="eastAsia" w:ascii="宋体" w:hAnsi="宋体" w:eastAsia="宋体" w:cs="宋体"/>
          <w:color w:val="auto"/>
          <w:spacing w:val="56"/>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p>
    <w:p w14:paraId="716E75D1">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承包人未提交劳动合同，以及没有为项目负责人缴纳社会保险证明的违约责任：</w:t>
      </w:r>
      <w:r>
        <w:rPr>
          <w:rFonts w:hint="eastAsia" w:ascii="宋体" w:hAnsi="宋体" w:eastAsia="宋体" w:cs="宋体"/>
          <w:b/>
          <w:bCs/>
          <w:color w:val="auto"/>
          <w:spacing w:val="-1"/>
          <w:sz w:val="21"/>
          <w:szCs w:val="21"/>
          <w:highlight w:val="none"/>
          <w:u w:val="single" w:color="auto"/>
        </w:rPr>
        <w:t>除必须补齐</w:t>
      </w:r>
      <w:r>
        <w:rPr>
          <w:rFonts w:hint="eastAsia" w:ascii="宋体" w:hAnsi="宋体" w:eastAsia="宋体" w:cs="宋体"/>
          <w:b/>
          <w:bCs/>
          <w:color w:val="auto"/>
          <w:spacing w:val="5"/>
          <w:sz w:val="21"/>
          <w:szCs w:val="21"/>
          <w:highlight w:val="none"/>
          <w:u w:val="single" w:color="auto"/>
        </w:rPr>
        <w:t>手续外，另须缴纳违约金，详见</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b/>
          <w:bCs/>
          <w:color w:val="auto"/>
          <w:spacing w:val="5"/>
          <w:sz w:val="21"/>
          <w:szCs w:val="21"/>
          <w:highlight w:val="none"/>
          <w:u w:val="single" w:color="auto"/>
        </w:rPr>
        <w:t>16.2.2</w:t>
      </w:r>
      <w:r>
        <w:rPr>
          <w:rFonts w:hint="eastAsia" w:ascii="宋体" w:hAnsi="宋体" w:eastAsia="宋体" w:cs="宋体"/>
          <w:color w:val="auto"/>
          <w:spacing w:val="-20"/>
          <w:sz w:val="21"/>
          <w:szCs w:val="21"/>
          <w:highlight w:val="none"/>
          <w:u w:val="single" w:color="auto"/>
        </w:rPr>
        <w:t xml:space="preserve"> </w:t>
      </w:r>
      <w:r>
        <w:rPr>
          <w:rFonts w:hint="eastAsia" w:ascii="宋体" w:hAnsi="宋体" w:eastAsia="宋体" w:cs="宋体"/>
          <w:b/>
          <w:bCs/>
          <w:color w:val="auto"/>
          <w:spacing w:val="5"/>
          <w:sz w:val="21"/>
          <w:szCs w:val="21"/>
          <w:highlight w:val="none"/>
          <w:u w:val="single" w:color="auto"/>
        </w:rPr>
        <w:t>承包人违约的责任。</w:t>
      </w:r>
    </w:p>
    <w:p w14:paraId="667B5110">
      <w:pPr>
        <w:keepNext w:val="0"/>
        <w:keepLines w:val="0"/>
        <w:pageBreakBefore w:val="0"/>
        <w:widowControl w:val="0"/>
        <w:kinsoku/>
        <w:wordWrap/>
        <w:overflowPunct/>
        <w:topLinePunct w:val="0"/>
        <w:autoSpaceDE/>
        <w:autoSpaceDN/>
        <w:bidi w:val="0"/>
        <w:adjustRightInd/>
        <w:snapToGrid/>
        <w:spacing w:line="440" w:lineRule="exact"/>
        <w:ind w:right="-729" w:rightChars="-347" w:firstLine="42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项目负责人未经批准，擅自离开施工现场的违约责任：</w:t>
      </w:r>
      <w:r>
        <w:rPr>
          <w:rFonts w:hint="eastAsia" w:ascii="宋体" w:hAnsi="宋体" w:eastAsia="宋体" w:cs="宋体"/>
          <w:color w:val="auto"/>
          <w:spacing w:val="-1"/>
          <w:sz w:val="21"/>
          <w:szCs w:val="21"/>
          <w:highlight w:val="none"/>
          <w:u w:val="single" w:color="auto"/>
        </w:rPr>
        <w:t>发包人将不定期进行考核</w:t>
      </w:r>
      <w:r>
        <w:rPr>
          <w:rFonts w:hint="eastAsia" w:ascii="宋体" w:hAnsi="宋体" w:eastAsia="宋体" w:cs="宋体"/>
          <w:color w:val="auto"/>
          <w:spacing w:val="-2"/>
          <w:sz w:val="21"/>
          <w:szCs w:val="21"/>
          <w:highlight w:val="none"/>
          <w:u w:val="single" w:color="auto"/>
        </w:rPr>
        <w:t>检查，检查</w:t>
      </w:r>
      <w:r>
        <w:rPr>
          <w:rFonts w:hint="eastAsia" w:ascii="宋体" w:hAnsi="宋体" w:eastAsia="宋体" w:cs="宋体"/>
          <w:color w:val="auto"/>
          <w:spacing w:val="-6"/>
          <w:sz w:val="21"/>
          <w:szCs w:val="21"/>
          <w:highlight w:val="none"/>
          <w:u w:val="single" w:color="auto"/>
        </w:rPr>
        <w:t>时，发现项目负责人不在现场发包人有权收取承包人</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rPr>
        <w:t>5000</w:t>
      </w:r>
      <w:r>
        <w:rPr>
          <w:rFonts w:hint="eastAsia" w:ascii="宋体" w:hAnsi="宋体" w:eastAsia="宋体" w:cs="宋体"/>
          <w:color w:val="auto"/>
          <w:spacing w:val="-34"/>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rPr>
        <w:t>元/人</w:t>
      </w:r>
      <w:r>
        <w:rPr>
          <w:rFonts w:hint="eastAsia" w:ascii="宋体" w:hAnsi="宋体" w:eastAsia="宋体" w:cs="宋体"/>
          <w:color w:val="auto"/>
          <w:spacing w:val="-24"/>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rPr>
        <w:t>·天的违约</w:t>
      </w:r>
      <w:r>
        <w:rPr>
          <w:rFonts w:hint="eastAsia" w:ascii="宋体" w:hAnsi="宋体" w:eastAsia="宋体" w:cs="宋体"/>
          <w:color w:val="auto"/>
          <w:spacing w:val="-7"/>
          <w:sz w:val="21"/>
          <w:szCs w:val="21"/>
          <w:highlight w:val="none"/>
          <w:u w:val="single" w:color="auto"/>
        </w:rPr>
        <w:t>金。如缺勤次数过多，</w:t>
      </w:r>
      <w:r>
        <w:rPr>
          <w:rFonts w:hint="eastAsia" w:ascii="宋体" w:hAnsi="宋体" w:eastAsia="宋体" w:cs="宋体"/>
          <w:color w:val="auto"/>
          <w:spacing w:val="-1"/>
          <w:sz w:val="21"/>
          <w:szCs w:val="21"/>
          <w:highlight w:val="none"/>
          <w:u w:val="single" w:color="auto"/>
        </w:rPr>
        <w:t>且施工质量、进度等不能满足要求，招标人有权将承包人清出施工现场，已完工程量不予结算，</w:t>
      </w:r>
    </w:p>
    <w:p w14:paraId="09ED56BA">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right="-729" w:rightChars="-347" w:firstLine="420" w:firstLineChars="205"/>
        <w:textAlignment w:val="auto"/>
        <w:rPr>
          <w:rFonts w:hint="eastAsia" w:ascii="宋体" w:hAnsi="宋体" w:eastAsia="宋体" w:cs="宋体"/>
          <w:color w:val="auto"/>
          <w:highlight w:val="none"/>
        </w:rPr>
      </w:pPr>
      <w:r>
        <w:rPr>
          <w:rFonts w:hint="eastAsia" w:ascii="宋体" w:hAnsi="宋体" w:eastAsia="宋体" w:cs="宋体"/>
          <w:b/>
          <w:bCs/>
          <w:color w:val="auto"/>
          <w:spacing w:val="-3"/>
          <w:sz w:val="21"/>
          <w:szCs w:val="21"/>
          <w:highlight w:val="none"/>
          <w:u w:val="single" w:color="auto"/>
        </w:rPr>
        <w:t>承包人常驻项目负责人经发包人考核不合格者，承包方一周内必须无条件更换，同时须</w:t>
      </w:r>
      <w:r>
        <w:rPr>
          <w:rFonts w:hint="eastAsia" w:ascii="宋体" w:hAnsi="宋体" w:eastAsia="宋体" w:cs="宋体"/>
          <w:b/>
          <w:bCs/>
          <w:color w:val="auto"/>
          <w:spacing w:val="7"/>
          <w:sz w:val="21"/>
          <w:szCs w:val="21"/>
          <w:highlight w:val="none"/>
          <w:u w:val="single" w:color="auto"/>
        </w:rPr>
        <w:t>支付相应金额的违约金（更换项目负责人</w:t>
      </w:r>
      <w:r>
        <w:rPr>
          <w:rFonts w:hint="eastAsia" w:ascii="宋体" w:hAnsi="宋体" w:eastAsia="宋体" w:cs="宋体"/>
          <w:b/>
          <w:bCs/>
          <w:color w:val="auto"/>
          <w:spacing w:val="7"/>
          <w:sz w:val="21"/>
          <w:szCs w:val="21"/>
          <w:highlight w:val="none"/>
          <w:u w:val="single" w:color="auto"/>
          <w:lang w:val="en-US" w:eastAsia="zh-CN"/>
        </w:rPr>
        <w:t>9</w:t>
      </w:r>
      <w:r>
        <w:rPr>
          <w:rFonts w:hint="eastAsia" w:ascii="宋体" w:hAnsi="宋体" w:eastAsia="宋体" w:cs="宋体"/>
          <w:b/>
          <w:bCs/>
          <w:color w:val="auto"/>
          <w:spacing w:val="7"/>
          <w:sz w:val="21"/>
          <w:szCs w:val="21"/>
          <w:highlight w:val="none"/>
          <w:u w:val="single" w:color="auto"/>
        </w:rPr>
        <w:t>万元/次）。</w:t>
      </w:r>
    </w:p>
    <w:p w14:paraId="656E15B7">
      <w:pPr>
        <w:keepNext w:val="0"/>
        <w:keepLines w:val="0"/>
        <w:pageBreakBefore w:val="0"/>
        <w:widowControl w:val="0"/>
        <w:kinsoku/>
        <w:wordWrap/>
        <w:overflowPunct/>
        <w:topLinePunct w:val="0"/>
        <w:autoSpaceDE/>
        <w:autoSpaceDN/>
        <w:bidi w:val="0"/>
        <w:adjustRightInd/>
        <w:snapToGrid/>
        <w:spacing w:line="440" w:lineRule="exact"/>
        <w:ind w:left="1"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3.2.3 承包人擅自更换项目负责人的违约责任：</w:t>
      </w:r>
      <w:r>
        <w:rPr>
          <w:rFonts w:hint="eastAsia" w:ascii="宋体" w:hAnsi="宋体" w:eastAsia="宋体" w:cs="宋体"/>
          <w:b/>
          <w:bCs/>
          <w:color w:val="auto"/>
          <w:spacing w:val="-2"/>
          <w:sz w:val="21"/>
          <w:szCs w:val="21"/>
          <w:highlight w:val="none"/>
          <w:u w:val="single" w:color="auto"/>
        </w:rPr>
        <w:t>派驻现场的项目负责人应与投标文件一致，</w:t>
      </w:r>
      <w:r>
        <w:rPr>
          <w:rFonts w:hint="eastAsia" w:ascii="宋体" w:hAnsi="宋体" w:eastAsia="宋体" w:cs="宋体"/>
          <w:b/>
          <w:bCs/>
          <w:color w:val="auto"/>
          <w:spacing w:val="2"/>
          <w:sz w:val="21"/>
          <w:szCs w:val="21"/>
          <w:highlight w:val="none"/>
          <w:u w:val="single" w:color="auto"/>
        </w:rPr>
        <w:t>工程施工期间承包人报名及投标书中明确的项目负责人，必须保证施工全过程在本项目工地工</w:t>
      </w:r>
      <w:r>
        <w:rPr>
          <w:rFonts w:hint="eastAsia" w:ascii="宋体" w:hAnsi="宋体" w:eastAsia="宋体" w:cs="宋体"/>
          <w:b/>
          <w:bCs/>
          <w:color w:val="auto"/>
          <w:spacing w:val="-3"/>
          <w:sz w:val="21"/>
          <w:szCs w:val="21"/>
          <w:highlight w:val="none"/>
          <w:u w:val="single" w:color="auto"/>
        </w:rPr>
        <w:t>作，项目负责人变动，均须得到发包人书面认可，同时须向招标人支付违约金（更换项目负责人</w:t>
      </w:r>
      <w:r>
        <w:rPr>
          <w:rFonts w:hint="eastAsia" w:ascii="宋体" w:hAnsi="宋体" w:eastAsia="宋体" w:cs="宋体"/>
          <w:b/>
          <w:bCs/>
          <w:color w:val="auto"/>
          <w:spacing w:val="-2"/>
          <w:sz w:val="21"/>
          <w:szCs w:val="21"/>
          <w:highlight w:val="none"/>
          <w:u w:val="single" w:color="auto"/>
          <w:lang w:val="en-US" w:eastAsia="zh-CN"/>
        </w:rPr>
        <w:t>9</w:t>
      </w:r>
      <w:r>
        <w:rPr>
          <w:rFonts w:hint="eastAsia" w:ascii="宋体" w:hAnsi="宋体" w:eastAsia="宋体" w:cs="宋体"/>
          <w:b/>
          <w:bCs/>
          <w:color w:val="auto"/>
          <w:spacing w:val="-2"/>
          <w:sz w:val="21"/>
          <w:szCs w:val="21"/>
          <w:highlight w:val="none"/>
          <w:u w:val="single" w:color="auto"/>
        </w:rPr>
        <w:t>万元/次）。项目负责人必须坚守岗位，不得兼职本工程以外的工作，在本工程施工期内周出</w:t>
      </w:r>
      <w:r>
        <w:rPr>
          <w:rFonts w:hint="eastAsia" w:ascii="宋体" w:hAnsi="宋体" w:eastAsia="宋体" w:cs="宋体"/>
          <w:b/>
          <w:bCs/>
          <w:color w:val="auto"/>
          <w:spacing w:val="5"/>
          <w:sz w:val="21"/>
          <w:szCs w:val="21"/>
          <w:highlight w:val="none"/>
          <w:u w:val="single" w:color="auto"/>
        </w:rPr>
        <w:t>勤率必须达</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b/>
          <w:bCs/>
          <w:color w:val="auto"/>
          <w:spacing w:val="5"/>
          <w:sz w:val="21"/>
          <w:szCs w:val="21"/>
          <w:highlight w:val="none"/>
          <w:u w:val="single" w:color="auto"/>
        </w:rPr>
        <w:t>5</w:t>
      </w:r>
      <w:r>
        <w:rPr>
          <w:rFonts w:hint="eastAsia" w:ascii="宋体" w:hAnsi="宋体" w:eastAsia="宋体" w:cs="宋体"/>
          <w:color w:val="auto"/>
          <w:spacing w:val="-18"/>
          <w:sz w:val="21"/>
          <w:szCs w:val="21"/>
          <w:highlight w:val="none"/>
          <w:u w:val="single" w:color="auto"/>
        </w:rPr>
        <w:t xml:space="preserve"> </w:t>
      </w:r>
      <w:r>
        <w:rPr>
          <w:rFonts w:hint="eastAsia" w:ascii="宋体" w:hAnsi="宋体" w:eastAsia="宋体" w:cs="宋体"/>
          <w:b/>
          <w:bCs/>
          <w:color w:val="auto"/>
          <w:spacing w:val="5"/>
          <w:sz w:val="21"/>
          <w:szCs w:val="21"/>
          <w:highlight w:val="none"/>
          <w:u w:val="single" w:color="auto"/>
        </w:rPr>
        <w:t>天以上，每天不少于</w:t>
      </w:r>
      <w:r>
        <w:rPr>
          <w:rFonts w:hint="eastAsia" w:ascii="宋体" w:hAnsi="宋体" w:eastAsia="宋体" w:cs="宋体"/>
          <w:color w:val="auto"/>
          <w:spacing w:val="-22"/>
          <w:sz w:val="21"/>
          <w:szCs w:val="21"/>
          <w:highlight w:val="none"/>
          <w:u w:val="single" w:color="auto"/>
        </w:rPr>
        <w:t xml:space="preserve"> </w:t>
      </w:r>
      <w:r>
        <w:rPr>
          <w:rFonts w:hint="eastAsia" w:ascii="宋体" w:hAnsi="宋体" w:eastAsia="宋体" w:cs="宋体"/>
          <w:b/>
          <w:bCs/>
          <w:color w:val="auto"/>
          <w:spacing w:val="5"/>
          <w:sz w:val="21"/>
          <w:szCs w:val="21"/>
          <w:highlight w:val="none"/>
          <w:u w:val="single" w:color="auto"/>
        </w:rPr>
        <w:t>8</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b/>
          <w:bCs/>
          <w:color w:val="auto"/>
          <w:spacing w:val="5"/>
          <w:sz w:val="21"/>
          <w:szCs w:val="21"/>
          <w:highlight w:val="none"/>
          <w:u w:val="single" w:color="auto"/>
        </w:rPr>
        <w:t>小时，离开施工现场必须向发包人请假。</w:t>
      </w:r>
    </w:p>
    <w:p w14:paraId="77285FA9">
      <w:pPr>
        <w:keepNext w:val="0"/>
        <w:keepLines w:val="0"/>
        <w:pageBreakBefore w:val="0"/>
        <w:widowControl w:val="0"/>
        <w:kinsoku/>
        <w:wordWrap/>
        <w:overflowPunct/>
        <w:topLinePunct w:val="0"/>
        <w:autoSpaceDE/>
        <w:autoSpaceDN/>
        <w:bidi w:val="0"/>
        <w:adjustRightInd/>
        <w:snapToGrid/>
        <w:spacing w:line="440" w:lineRule="exact"/>
        <w:ind w:left="1"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3.2.4 承包人无正当理由拒绝更换项目负责人的</w:t>
      </w:r>
      <w:r>
        <w:rPr>
          <w:rFonts w:hint="eastAsia" w:ascii="宋体" w:hAnsi="宋体" w:eastAsia="宋体" w:cs="宋体"/>
          <w:color w:val="auto"/>
          <w:spacing w:val="-2"/>
          <w:sz w:val="21"/>
          <w:szCs w:val="21"/>
          <w:highlight w:val="none"/>
        </w:rPr>
        <w:t>违约责任：</w:t>
      </w:r>
      <w:r>
        <w:rPr>
          <w:rFonts w:hint="eastAsia" w:ascii="宋体" w:hAnsi="宋体" w:eastAsia="宋体" w:cs="宋体"/>
          <w:b/>
          <w:bCs/>
          <w:color w:val="auto"/>
          <w:spacing w:val="-2"/>
          <w:sz w:val="21"/>
          <w:szCs w:val="21"/>
          <w:highlight w:val="none"/>
          <w:u w:val="single" w:color="auto"/>
        </w:rPr>
        <w:t>承包人常驻项目负责人经发包人</w:t>
      </w:r>
      <w:r>
        <w:rPr>
          <w:rFonts w:hint="eastAsia" w:ascii="宋体" w:hAnsi="宋体" w:eastAsia="宋体" w:cs="宋体"/>
          <w:b/>
          <w:bCs/>
          <w:color w:val="auto"/>
          <w:spacing w:val="-3"/>
          <w:sz w:val="21"/>
          <w:szCs w:val="21"/>
          <w:highlight w:val="none"/>
          <w:u w:val="single" w:color="auto"/>
        </w:rPr>
        <w:t>考核不合格者，承包方一周内必须无条件更换，同时须支付相应金额的违约金（更</w:t>
      </w:r>
      <w:r>
        <w:rPr>
          <w:rFonts w:hint="eastAsia" w:ascii="宋体" w:hAnsi="宋体" w:eastAsia="宋体" w:cs="宋体"/>
          <w:b/>
          <w:bCs/>
          <w:color w:val="auto"/>
          <w:spacing w:val="-4"/>
          <w:sz w:val="21"/>
          <w:szCs w:val="21"/>
          <w:highlight w:val="none"/>
          <w:u w:val="single" w:color="auto"/>
        </w:rPr>
        <w:t>换项</w:t>
      </w:r>
      <w:r>
        <w:rPr>
          <w:rFonts w:hint="eastAsia" w:ascii="宋体" w:hAnsi="宋体" w:eastAsia="宋体" w:cs="宋体"/>
          <w:b/>
          <w:bCs/>
          <w:color w:val="auto"/>
          <w:spacing w:val="2"/>
          <w:sz w:val="21"/>
          <w:szCs w:val="21"/>
          <w:highlight w:val="none"/>
          <w:u w:val="single" w:color="auto"/>
        </w:rPr>
        <w:t>目负责人</w:t>
      </w:r>
      <w:r>
        <w:rPr>
          <w:rFonts w:hint="eastAsia" w:ascii="宋体" w:hAnsi="宋体" w:eastAsia="宋体" w:cs="宋体"/>
          <w:b/>
          <w:bCs/>
          <w:color w:val="auto"/>
          <w:spacing w:val="2"/>
          <w:sz w:val="21"/>
          <w:szCs w:val="21"/>
          <w:highlight w:val="none"/>
          <w:u w:val="single" w:color="auto"/>
          <w:lang w:val="en-US" w:eastAsia="zh-CN"/>
        </w:rPr>
        <w:t>9</w:t>
      </w:r>
      <w:r>
        <w:rPr>
          <w:rFonts w:hint="eastAsia" w:ascii="宋体" w:hAnsi="宋体" w:eastAsia="宋体" w:cs="宋体"/>
          <w:b/>
          <w:bCs/>
          <w:color w:val="auto"/>
          <w:spacing w:val="2"/>
          <w:sz w:val="21"/>
          <w:szCs w:val="21"/>
          <w:highlight w:val="none"/>
          <w:u w:val="single" w:color="auto"/>
        </w:rPr>
        <w:t>万元/次）。</w:t>
      </w:r>
    </w:p>
    <w:p w14:paraId="043EAB87">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3.3 承包人人员</w:t>
      </w:r>
    </w:p>
    <w:p w14:paraId="2CC4B8B5">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承包人提交项目负责人及施工现场管理人员安排报告的期限：</w:t>
      </w:r>
      <w:r>
        <w:rPr>
          <w:rFonts w:hint="eastAsia" w:ascii="宋体" w:hAnsi="宋体" w:eastAsia="宋体" w:cs="宋体"/>
          <w:b/>
          <w:bCs/>
          <w:color w:val="auto"/>
          <w:sz w:val="21"/>
          <w:szCs w:val="21"/>
          <w:highlight w:val="none"/>
          <w:u w:val="single" w:color="auto"/>
        </w:rPr>
        <w:t>开工前</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3</w:t>
      </w:r>
      <w:r>
        <w:rPr>
          <w:rFonts w:hint="eastAsia" w:ascii="宋体" w:hAnsi="宋体" w:eastAsia="宋体" w:cs="宋体"/>
          <w:color w:val="auto"/>
          <w:spacing w:val="-18"/>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天</w:t>
      </w:r>
      <w:r>
        <w:rPr>
          <w:rFonts w:hint="eastAsia" w:ascii="宋体" w:hAnsi="宋体" w:eastAsia="宋体" w:cs="宋体"/>
          <w:b/>
          <w:bCs/>
          <w:color w:val="auto"/>
          <w:sz w:val="21"/>
          <w:szCs w:val="21"/>
          <w:highlight w:val="none"/>
        </w:rPr>
        <w:t>。</w:t>
      </w:r>
    </w:p>
    <w:p w14:paraId="0F215BCA">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w:t>
      </w:r>
      <w:r>
        <w:rPr>
          <w:rFonts w:hint="eastAsia" w:ascii="宋体" w:hAnsi="宋体" w:eastAsia="宋体" w:cs="宋体"/>
          <w:color w:val="auto"/>
          <w:spacing w:val="-1"/>
          <w:sz w:val="21"/>
          <w:szCs w:val="21"/>
          <w:highlight w:val="none"/>
        </w:rPr>
        <w:t>人员的违约责任：</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58"/>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p>
    <w:p w14:paraId="28D6B10D">
      <w:pPr>
        <w:keepNext w:val="0"/>
        <w:keepLines w:val="0"/>
        <w:pageBreakBefore w:val="0"/>
        <w:widowControl w:val="0"/>
        <w:kinsoku/>
        <w:wordWrap/>
        <w:overflowPunct/>
        <w:topLinePunct w:val="0"/>
        <w:autoSpaceDE/>
        <w:autoSpaceDN/>
        <w:bidi w:val="0"/>
        <w:adjustRightInd/>
        <w:snapToGrid/>
        <w:spacing w:line="440" w:lineRule="exact"/>
        <w:ind w:left="21" w:right="-729" w:rightChars="-347" w:firstLine="40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3.3.4 承包人主要施工管理人员离开施工现场的</w:t>
      </w:r>
      <w:r>
        <w:rPr>
          <w:rFonts w:hint="eastAsia" w:ascii="宋体" w:hAnsi="宋体" w:eastAsia="宋体" w:cs="宋体"/>
          <w:color w:val="auto"/>
          <w:spacing w:val="-2"/>
          <w:sz w:val="21"/>
          <w:szCs w:val="21"/>
          <w:highlight w:val="none"/>
        </w:rPr>
        <w:t>批准要求：</w:t>
      </w:r>
      <w:r>
        <w:rPr>
          <w:rFonts w:hint="eastAsia" w:ascii="宋体" w:hAnsi="宋体" w:eastAsia="宋体" w:cs="宋体"/>
          <w:b/>
          <w:bCs/>
          <w:color w:val="auto"/>
          <w:spacing w:val="-2"/>
          <w:sz w:val="21"/>
          <w:szCs w:val="21"/>
          <w:highlight w:val="none"/>
          <w:u w:val="single" w:color="auto"/>
        </w:rPr>
        <w:t>须经发包人现场代表书面</w:t>
      </w:r>
      <w:r>
        <w:rPr>
          <w:rFonts w:hint="eastAsia" w:ascii="宋体" w:hAnsi="宋体" w:eastAsia="宋体" w:cs="宋体"/>
          <w:b/>
          <w:bCs/>
          <w:color w:val="auto"/>
          <w:spacing w:val="3"/>
          <w:sz w:val="21"/>
          <w:szCs w:val="21"/>
          <w:highlight w:val="none"/>
          <w:u w:val="single" w:color="auto"/>
        </w:rPr>
        <w:t>同意。</w:t>
      </w:r>
    </w:p>
    <w:p w14:paraId="78E3F9F3">
      <w:pPr>
        <w:keepNext w:val="0"/>
        <w:keepLines w:val="0"/>
        <w:pageBreakBefore w:val="0"/>
        <w:widowControl w:val="0"/>
        <w:kinsoku/>
        <w:wordWrap/>
        <w:overflowPunct/>
        <w:topLinePunct w:val="0"/>
        <w:autoSpaceDE/>
        <w:autoSpaceDN/>
        <w:bidi w:val="0"/>
        <w:adjustRightInd/>
        <w:snapToGrid/>
        <w:spacing w:line="440" w:lineRule="exact"/>
        <w:ind w:left="1"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3.3.5</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
          <w:sz w:val="21"/>
          <w:szCs w:val="21"/>
          <w:highlight w:val="none"/>
        </w:rPr>
        <w:t>承包人擅自更换主要施工管理人员的违约责任：</w:t>
      </w:r>
      <w:r>
        <w:rPr>
          <w:rFonts w:hint="eastAsia" w:ascii="宋体" w:hAnsi="宋体" w:eastAsia="宋体" w:cs="宋体"/>
          <w:b/>
          <w:bCs/>
          <w:color w:val="auto"/>
          <w:spacing w:val="-1"/>
          <w:sz w:val="21"/>
          <w:szCs w:val="21"/>
          <w:highlight w:val="none"/>
          <w:u w:val="single" w:color="auto"/>
        </w:rPr>
        <w:t>驻现场的合同中明确的</w:t>
      </w:r>
      <w:r>
        <w:rPr>
          <w:rFonts w:hint="eastAsia" w:ascii="宋体" w:hAnsi="宋体" w:eastAsia="宋体" w:cs="宋体"/>
          <w:color w:val="auto"/>
          <w:spacing w:val="-91"/>
          <w:sz w:val="21"/>
          <w:szCs w:val="21"/>
          <w:highlight w:val="none"/>
          <w:u w:val="single" w:color="auto"/>
        </w:rPr>
        <w:t xml:space="preserve">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1"/>
          <w:sz w:val="21"/>
          <w:szCs w:val="21"/>
          <w:highlight w:val="none"/>
        </w:rPr>
        <w:t>主要施工管理</w:t>
      </w:r>
      <w:r>
        <w:rPr>
          <w:rFonts w:hint="eastAsia" w:ascii="宋体" w:hAnsi="宋体" w:eastAsia="宋体" w:cs="宋体"/>
          <w:color w:val="auto"/>
          <w:spacing w:val="-2"/>
          <w:sz w:val="21"/>
          <w:szCs w:val="21"/>
          <w:highlight w:val="none"/>
        </w:rPr>
        <w:t>人员</w:t>
      </w:r>
      <w:r>
        <w:rPr>
          <w:rFonts w:hint="eastAsia" w:ascii="宋体" w:hAnsi="宋体" w:eastAsia="宋体" w:cs="宋体"/>
          <w:b/>
          <w:bCs/>
          <w:color w:val="auto"/>
          <w:spacing w:val="-2"/>
          <w:sz w:val="21"/>
          <w:szCs w:val="21"/>
          <w:highlight w:val="none"/>
          <w:u w:val="single" w:color="auto"/>
        </w:rPr>
        <w:t>在工程施工期间，必须保证施工全过程在本项目工地工作</w:t>
      </w:r>
      <w:r>
        <w:rPr>
          <w:rFonts w:hint="eastAsia" w:ascii="宋体" w:hAnsi="宋体" w:eastAsia="宋体" w:cs="宋体"/>
          <w:b/>
          <w:bCs/>
          <w:color w:val="auto"/>
          <w:spacing w:val="-3"/>
          <w:sz w:val="21"/>
          <w:szCs w:val="21"/>
          <w:highlight w:val="none"/>
          <w:u w:val="single" w:color="auto"/>
        </w:rPr>
        <w:t>，</w:t>
      </w:r>
      <w:r>
        <w:rPr>
          <w:rFonts w:hint="eastAsia" w:ascii="宋体" w:hAnsi="宋体" w:eastAsia="宋体" w:cs="宋体"/>
          <w:color w:val="auto"/>
          <w:spacing w:val="-3"/>
          <w:sz w:val="21"/>
          <w:szCs w:val="21"/>
          <w:highlight w:val="none"/>
        </w:rPr>
        <w:t>主要施工管理人员</w:t>
      </w:r>
      <w:r>
        <w:rPr>
          <w:rFonts w:hint="eastAsia" w:ascii="宋体" w:hAnsi="宋体" w:eastAsia="宋体" w:cs="宋体"/>
          <w:b/>
          <w:bCs/>
          <w:color w:val="auto"/>
          <w:spacing w:val="-3"/>
          <w:sz w:val="21"/>
          <w:szCs w:val="21"/>
          <w:highlight w:val="none"/>
          <w:u w:val="single" w:color="auto"/>
        </w:rPr>
        <w:t>变动须得到招</w:t>
      </w:r>
      <w:r>
        <w:rPr>
          <w:rFonts w:hint="eastAsia" w:ascii="宋体" w:hAnsi="宋体" w:eastAsia="宋体" w:cs="宋体"/>
          <w:b/>
          <w:bCs/>
          <w:color w:val="auto"/>
          <w:spacing w:val="-1"/>
          <w:sz w:val="21"/>
          <w:szCs w:val="21"/>
          <w:highlight w:val="none"/>
          <w:u w:val="single" w:color="auto"/>
        </w:rPr>
        <w:t>标人书面认可，同时须向招标人支付违约金（更换主要施工管理人员</w:t>
      </w:r>
      <w:r>
        <w:rPr>
          <w:rFonts w:hint="eastAsia" w:ascii="宋体" w:hAnsi="宋体" w:eastAsia="宋体" w:cs="宋体"/>
          <w:b/>
          <w:bCs/>
          <w:color w:val="auto"/>
          <w:spacing w:val="-21"/>
          <w:sz w:val="21"/>
          <w:szCs w:val="21"/>
          <w:highlight w:val="none"/>
          <w:u w:val="single" w:color="auto"/>
          <w:lang w:val="en-US" w:eastAsia="zh-CN"/>
        </w:rPr>
        <w:t>4</w:t>
      </w:r>
      <w:r>
        <w:rPr>
          <w:rFonts w:hint="eastAsia" w:ascii="宋体" w:hAnsi="宋体" w:eastAsia="宋体" w:cs="宋体"/>
          <w:b/>
          <w:bCs/>
          <w:color w:val="auto"/>
          <w:spacing w:val="-1"/>
          <w:sz w:val="21"/>
          <w:szCs w:val="21"/>
          <w:highlight w:val="none"/>
          <w:u w:val="single" w:color="auto"/>
          <w:lang w:val="en-US" w:eastAsia="zh-CN"/>
        </w:rPr>
        <w:t>万</w:t>
      </w:r>
      <w:r>
        <w:rPr>
          <w:rFonts w:hint="eastAsia" w:ascii="宋体" w:hAnsi="宋体" w:eastAsia="宋体" w:cs="宋体"/>
          <w:b/>
          <w:bCs/>
          <w:color w:val="auto"/>
          <w:spacing w:val="-1"/>
          <w:sz w:val="21"/>
          <w:szCs w:val="21"/>
          <w:highlight w:val="none"/>
          <w:u w:val="single" w:color="auto"/>
        </w:rPr>
        <w:t>元/次）。</w:t>
      </w:r>
      <w:r>
        <w:rPr>
          <w:rFonts w:hint="eastAsia" w:ascii="宋体" w:hAnsi="宋体" w:eastAsia="宋体" w:cs="宋体"/>
          <w:color w:val="auto"/>
          <w:spacing w:val="-1"/>
          <w:sz w:val="21"/>
          <w:szCs w:val="21"/>
          <w:highlight w:val="none"/>
          <w:u w:val="single" w:color="auto"/>
        </w:rPr>
        <w:t>主要施工</w:t>
      </w:r>
      <w:r>
        <w:rPr>
          <w:rFonts w:hint="eastAsia" w:ascii="宋体" w:hAnsi="宋体" w:eastAsia="宋体" w:cs="宋体"/>
          <w:color w:val="auto"/>
          <w:spacing w:val="-4"/>
          <w:sz w:val="21"/>
          <w:szCs w:val="21"/>
          <w:highlight w:val="none"/>
          <w:u w:val="single" w:color="auto"/>
        </w:rPr>
        <w:t>管理人员</w:t>
      </w:r>
      <w:r>
        <w:rPr>
          <w:rFonts w:hint="eastAsia" w:ascii="宋体" w:hAnsi="宋体" w:eastAsia="宋体" w:cs="宋体"/>
          <w:b/>
          <w:bCs/>
          <w:color w:val="auto"/>
          <w:spacing w:val="-4"/>
          <w:sz w:val="21"/>
          <w:szCs w:val="21"/>
          <w:highlight w:val="none"/>
          <w:u w:val="single" w:color="auto"/>
        </w:rPr>
        <w:t>在本工程施工期每周出勤率必须达</w:t>
      </w:r>
      <w:r>
        <w:rPr>
          <w:rFonts w:hint="eastAsia" w:ascii="宋体" w:hAnsi="宋体" w:eastAsia="宋体" w:cs="宋体"/>
          <w:color w:val="auto"/>
          <w:spacing w:val="-34"/>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5</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天以上，每天不少于</w:t>
      </w:r>
      <w:r>
        <w:rPr>
          <w:rFonts w:hint="eastAsia" w:ascii="宋体" w:hAnsi="宋体" w:eastAsia="宋体" w:cs="宋体"/>
          <w:color w:val="auto"/>
          <w:spacing w:val="-37"/>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8</w:t>
      </w:r>
      <w:r>
        <w:rPr>
          <w:rFonts w:hint="eastAsia" w:ascii="宋体" w:hAnsi="宋体" w:eastAsia="宋体" w:cs="宋体"/>
          <w:color w:val="auto"/>
          <w:spacing w:val="-31"/>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小时，离开施工</w:t>
      </w:r>
      <w:r>
        <w:rPr>
          <w:rFonts w:hint="eastAsia" w:ascii="宋体" w:hAnsi="宋体" w:eastAsia="宋体" w:cs="宋体"/>
          <w:b/>
          <w:bCs/>
          <w:color w:val="auto"/>
          <w:spacing w:val="-5"/>
          <w:sz w:val="21"/>
          <w:szCs w:val="21"/>
          <w:highlight w:val="none"/>
          <w:u w:val="single" w:color="auto"/>
        </w:rPr>
        <w:t>现场必须向</w:t>
      </w:r>
      <w:r>
        <w:rPr>
          <w:rFonts w:hint="eastAsia" w:ascii="宋体" w:hAnsi="宋体" w:eastAsia="宋体" w:cs="宋体"/>
          <w:b/>
          <w:bCs/>
          <w:color w:val="auto"/>
          <w:spacing w:val="-2"/>
          <w:sz w:val="21"/>
          <w:szCs w:val="21"/>
          <w:highlight w:val="none"/>
          <w:u w:val="single" w:color="auto"/>
        </w:rPr>
        <w:t>发包人请假。</w:t>
      </w:r>
      <w:r>
        <w:rPr>
          <w:rFonts w:hint="eastAsia" w:ascii="宋体" w:hAnsi="宋体" w:eastAsia="宋体" w:cs="宋体"/>
          <w:color w:val="auto"/>
          <w:spacing w:val="-2"/>
          <w:sz w:val="21"/>
          <w:szCs w:val="21"/>
          <w:highlight w:val="none"/>
          <w:u w:val="single" w:color="auto"/>
        </w:rPr>
        <w:t xml:space="preserve"> </w:t>
      </w:r>
    </w:p>
    <w:p w14:paraId="0D2BDB3E">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承包人主要施工管理人员擅自离开施工现场的违约责任：</w:t>
      </w:r>
      <w:r>
        <w:rPr>
          <w:rFonts w:hint="eastAsia" w:ascii="宋体" w:hAnsi="宋体" w:eastAsia="宋体" w:cs="宋体"/>
          <w:b/>
          <w:bCs/>
          <w:color w:val="auto"/>
          <w:spacing w:val="-1"/>
          <w:sz w:val="21"/>
          <w:szCs w:val="21"/>
          <w:highlight w:val="none"/>
          <w:u w:val="single" w:color="auto"/>
        </w:rPr>
        <w:t>发现</w:t>
      </w:r>
      <w:r>
        <w:rPr>
          <w:rFonts w:hint="eastAsia" w:ascii="宋体" w:hAnsi="宋体" w:eastAsia="宋体" w:cs="宋体"/>
          <w:color w:val="auto"/>
          <w:spacing w:val="-1"/>
          <w:sz w:val="21"/>
          <w:szCs w:val="21"/>
          <w:highlight w:val="none"/>
          <w:u w:val="single" w:color="auto"/>
        </w:rPr>
        <w:t>主要施工管理人员</w:t>
      </w:r>
      <w:r>
        <w:rPr>
          <w:rFonts w:hint="eastAsia" w:ascii="宋体" w:hAnsi="宋体" w:eastAsia="宋体" w:cs="宋体"/>
          <w:b/>
          <w:bCs/>
          <w:color w:val="auto"/>
          <w:spacing w:val="-1"/>
          <w:sz w:val="21"/>
          <w:szCs w:val="21"/>
          <w:highlight w:val="none"/>
          <w:u w:val="single" w:color="auto"/>
        </w:rPr>
        <w:t>不</w:t>
      </w:r>
      <w:r>
        <w:rPr>
          <w:rFonts w:hint="eastAsia" w:ascii="宋体" w:hAnsi="宋体" w:eastAsia="宋体" w:cs="宋体"/>
          <w:b/>
          <w:bCs/>
          <w:color w:val="auto"/>
          <w:spacing w:val="-2"/>
          <w:sz w:val="21"/>
          <w:szCs w:val="21"/>
          <w:highlight w:val="none"/>
          <w:u w:val="single" w:color="auto"/>
        </w:rPr>
        <w:t>在现场发</w:t>
      </w:r>
      <w:r>
        <w:rPr>
          <w:rFonts w:hint="eastAsia" w:ascii="宋体" w:hAnsi="宋体" w:eastAsia="宋体" w:cs="宋体"/>
          <w:b/>
          <w:bCs/>
          <w:color w:val="auto"/>
          <w:spacing w:val="-6"/>
          <w:sz w:val="21"/>
          <w:szCs w:val="21"/>
          <w:highlight w:val="none"/>
          <w:u w:val="single" w:color="auto"/>
        </w:rPr>
        <w:t>包人有权收取承包人</w:t>
      </w:r>
      <w:r>
        <w:rPr>
          <w:rFonts w:hint="eastAsia" w:ascii="宋体" w:hAnsi="宋体" w:eastAsia="宋体" w:cs="宋体"/>
          <w:color w:val="auto"/>
          <w:spacing w:val="-28"/>
          <w:sz w:val="21"/>
          <w:szCs w:val="21"/>
          <w:highlight w:val="none"/>
          <w:u w:val="single" w:color="auto"/>
        </w:rPr>
        <w:t xml:space="preserve"> </w:t>
      </w:r>
      <w:r>
        <w:rPr>
          <w:rFonts w:hint="eastAsia" w:ascii="宋体" w:hAnsi="宋体" w:eastAsia="宋体" w:cs="宋体"/>
          <w:b/>
          <w:bCs/>
          <w:color w:val="auto"/>
          <w:spacing w:val="-6"/>
          <w:sz w:val="21"/>
          <w:szCs w:val="21"/>
          <w:highlight w:val="none"/>
          <w:u w:val="single" w:color="auto"/>
        </w:rPr>
        <w:t>2000</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b/>
          <w:bCs/>
          <w:color w:val="auto"/>
          <w:spacing w:val="-6"/>
          <w:sz w:val="21"/>
          <w:szCs w:val="21"/>
          <w:highlight w:val="none"/>
          <w:u w:val="single" w:color="auto"/>
        </w:rPr>
        <w:t>元/人·天的违约金。如缺勤次数过多，发包人有权要求承包人无条件</w:t>
      </w:r>
      <w:r>
        <w:rPr>
          <w:rFonts w:hint="eastAsia" w:ascii="宋体" w:hAnsi="宋体" w:eastAsia="宋体" w:cs="宋体"/>
          <w:b/>
          <w:bCs/>
          <w:color w:val="auto"/>
          <w:spacing w:val="4"/>
          <w:sz w:val="21"/>
          <w:szCs w:val="21"/>
          <w:highlight w:val="none"/>
          <w:u w:val="single" w:color="auto"/>
        </w:rPr>
        <w:t>更换</w:t>
      </w:r>
      <w:r>
        <w:rPr>
          <w:rFonts w:hint="eastAsia" w:ascii="宋体" w:hAnsi="宋体" w:eastAsia="宋体" w:cs="宋体"/>
          <w:color w:val="auto"/>
          <w:spacing w:val="4"/>
          <w:sz w:val="21"/>
          <w:szCs w:val="21"/>
          <w:highlight w:val="none"/>
          <w:u w:val="single" w:color="auto"/>
        </w:rPr>
        <w:t>主要施工管理人员</w:t>
      </w:r>
      <w:r>
        <w:rPr>
          <w:rFonts w:hint="eastAsia" w:ascii="宋体" w:hAnsi="宋体" w:eastAsia="宋体" w:cs="宋体"/>
          <w:b/>
          <w:bCs/>
          <w:color w:val="auto"/>
          <w:spacing w:val="4"/>
          <w:sz w:val="21"/>
          <w:szCs w:val="21"/>
          <w:highlight w:val="none"/>
          <w:u w:val="single" w:color="auto"/>
        </w:rPr>
        <w:t>。</w:t>
      </w:r>
    </w:p>
    <w:p w14:paraId="45736F27">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3.5</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4"/>
          <w:sz w:val="21"/>
          <w:szCs w:val="21"/>
          <w:highlight w:val="none"/>
        </w:rPr>
        <w:t>分包</w:t>
      </w:r>
    </w:p>
    <w:p w14:paraId="2C3C438D">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3.5.1 分包的一般约定</w:t>
      </w:r>
    </w:p>
    <w:p w14:paraId="1BBD1EBF">
      <w:pPr>
        <w:keepNext w:val="0"/>
        <w:keepLines w:val="0"/>
        <w:pageBreakBefore w:val="0"/>
        <w:widowControl w:val="0"/>
        <w:kinsoku/>
        <w:wordWrap/>
        <w:overflowPunct/>
        <w:topLinePunct w:val="0"/>
        <w:autoSpaceDE/>
        <w:autoSpaceDN/>
        <w:bidi w:val="0"/>
        <w:adjustRightInd/>
        <w:snapToGrid/>
        <w:spacing w:line="440" w:lineRule="exact"/>
        <w:ind w:right="-729" w:rightChars="-347" w:firstLine="42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禁止分包的工程包括：</w:t>
      </w:r>
      <w:r>
        <w:rPr>
          <w:rFonts w:hint="eastAsia" w:ascii="宋体" w:hAnsi="宋体" w:eastAsia="宋体" w:cs="宋体"/>
          <w:b/>
          <w:bCs/>
          <w:color w:val="auto"/>
          <w:spacing w:val="-2"/>
          <w:sz w:val="21"/>
          <w:szCs w:val="21"/>
          <w:highlight w:val="none"/>
          <w:u w:val="single" w:color="auto"/>
        </w:rPr>
        <w:t>在履行合同过程中，承包人不得转包和分</w:t>
      </w:r>
      <w:r>
        <w:rPr>
          <w:rFonts w:hint="eastAsia" w:ascii="宋体" w:hAnsi="宋体" w:eastAsia="宋体" w:cs="宋体"/>
          <w:b/>
          <w:bCs/>
          <w:color w:val="auto"/>
          <w:spacing w:val="-3"/>
          <w:sz w:val="21"/>
          <w:szCs w:val="21"/>
          <w:highlight w:val="none"/>
          <w:u w:val="single" w:color="auto"/>
        </w:rPr>
        <w:t>包，一经发现，发包人可以解除本合同，不予退还全额履约保证金，并且已完成的工程量不予结算，所造成的责任与损失均</w:t>
      </w:r>
      <w:r>
        <w:rPr>
          <w:rFonts w:hint="eastAsia" w:ascii="宋体" w:hAnsi="宋体" w:eastAsia="宋体" w:cs="宋体"/>
          <w:b/>
          <w:bCs/>
          <w:color w:val="auto"/>
          <w:spacing w:val="-2"/>
          <w:sz w:val="21"/>
          <w:szCs w:val="21"/>
          <w:highlight w:val="none"/>
          <w:u w:val="single" w:color="auto"/>
        </w:rPr>
        <w:t>由承包人承担。</w:t>
      </w:r>
    </w:p>
    <w:p w14:paraId="73878BA7">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1B107120">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3.5.2</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2"/>
          <w:sz w:val="21"/>
          <w:szCs w:val="21"/>
          <w:highlight w:val="none"/>
        </w:rPr>
        <w:t>分包的确定</w:t>
      </w:r>
    </w:p>
    <w:p w14:paraId="10A08AD2">
      <w:pPr>
        <w:keepNext w:val="0"/>
        <w:keepLines w:val="0"/>
        <w:pageBreakBefore w:val="0"/>
        <w:widowControl w:val="0"/>
        <w:kinsoku/>
        <w:wordWrap/>
        <w:overflowPunct/>
        <w:topLinePunct w:val="0"/>
        <w:autoSpaceDE/>
        <w:autoSpaceDN/>
        <w:bidi w:val="0"/>
        <w:adjustRightInd/>
        <w:snapToGrid/>
        <w:spacing w:line="440" w:lineRule="exact"/>
        <w:ind w:left="428"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17FDF2F0">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其他关于分包的约定：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60"/>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p>
    <w:p w14:paraId="2597327A">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3.5.4 分包合同价款</w:t>
      </w:r>
    </w:p>
    <w:p w14:paraId="57B14CBB">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66E80263">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3.6 工程照管与成品、半成品保护</w:t>
      </w:r>
    </w:p>
    <w:p w14:paraId="6374550E">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right="-729" w:rightChars="-347" w:firstLine="418" w:firstLineChars="20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承包人负责照管工程及工程相关的材料、工程设备的起始时间：</w:t>
      </w:r>
      <w:r>
        <w:rPr>
          <w:rFonts w:hint="eastAsia" w:ascii="宋体" w:hAnsi="宋体" w:eastAsia="宋体" w:cs="宋体"/>
          <w:color w:val="auto"/>
          <w:spacing w:val="41"/>
          <w:sz w:val="21"/>
          <w:szCs w:val="21"/>
          <w:highlight w:val="none"/>
        </w:rPr>
        <w:t xml:space="preserve"> </w:t>
      </w:r>
      <w:r>
        <w:rPr>
          <w:rFonts w:hint="eastAsia" w:ascii="宋体" w:hAnsi="宋体" w:eastAsia="宋体" w:cs="宋体"/>
          <w:b/>
          <w:bCs/>
          <w:color w:val="auto"/>
          <w:spacing w:val="-5"/>
          <w:sz w:val="21"/>
          <w:szCs w:val="21"/>
          <w:highlight w:val="none"/>
          <w:u w:val="single" w:color="auto"/>
        </w:rPr>
        <w:t>设备、人员进场至验收交付</w:t>
      </w:r>
      <w:r>
        <w:rPr>
          <w:rFonts w:hint="eastAsia" w:ascii="宋体" w:hAnsi="宋体" w:eastAsia="宋体" w:cs="宋体"/>
          <w:b/>
          <w:bCs/>
          <w:color w:val="auto"/>
          <w:spacing w:val="5"/>
          <w:sz w:val="21"/>
          <w:szCs w:val="21"/>
          <w:highlight w:val="none"/>
          <w:u w:val="single" w:color="auto"/>
        </w:rPr>
        <w:t>使用前由承包人负责保修，费用由承包人承担。</w:t>
      </w:r>
      <w:r>
        <w:rPr>
          <w:rFonts w:hint="eastAsia" w:ascii="宋体" w:hAnsi="宋体" w:eastAsia="宋体" w:cs="宋体"/>
          <w:color w:val="auto"/>
          <w:spacing w:val="6"/>
          <w:sz w:val="21"/>
          <w:szCs w:val="21"/>
          <w:highlight w:val="none"/>
          <w:u w:val="single" w:color="auto"/>
        </w:rPr>
        <w:t xml:space="preserve">  </w:t>
      </w:r>
    </w:p>
    <w:p w14:paraId="5C13853F">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3.7</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3"/>
          <w:sz w:val="21"/>
          <w:szCs w:val="21"/>
          <w:highlight w:val="none"/>
        </w:rPr>
        <w:t>履约担保</w:t>
      </w:r>
    </w:p>
    <w:p w14:paraId="5CA92CE6">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承包人是否提供履约担保：</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提供</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681D9AD5">
      <w:pPr>
        <w:keepNext w:val="0"/>
        <w:keepLines w:val="0"/>
        <w:pageBreakBefore w:val="0"/>
        <w:widowControl w:val="0"/>
        <w:kinsoku/>
        <w:wordWrap/>
        <w:overflowPunct/>
        <w:topLinePunct w:val="0"/>
        <w:autoSpaceDE/>
        <w:autoSpaceDN/>
        <w:bidi w:val="0"/>
        <w:adjustRightInd/>
        <w:snapToGrid/>
        <w:spacing w:line="440" w:lineRule="exact"/>
        <w:ind w:right="-729" w:rightChars="-347"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承包人提供履约担保的形式、金额及期限的：</w:t>
      </w:r>
      <w:r>
        <w:rPr>
          <w:rFonts w:hint="eastAsia" w:ascii="宋体" w:hAnsi="宋体" w:eastAsia="宋体" w:cs="宋体"/>
          <w:color w:val="auto"/>
          <w:spacing w:val="56"/>
          <w:sz w:val="21"/>
          <w:szCs w:val="21"/>
          <w:highlight w:val="none"/>
        </w:rPr>
        <w:t xml:space="preserve"> </w:t>
      </w:r>
      <w:r>
        <w:rPr>
          <w:rFonts w:hint="eastAsia" w:ascii="宋体" w:hAnsi="宋体" w:eastAsia="宋体" w:cs="宋体"/>
          <w:b/>
          <w:bCs/>
          <w:color w:val="auto"/>
          <w:spacing w:val="-6"/>
          <w:sz w:val="21"/>
          <w:szCs w:val="21"/>
          <w:highlight w:val="none"/>
          <w:u w:val="single" w:color="auto"/>
        </w:rPr>
        <w:t>现金或银行转账或见索即付银行保函等（具体</w:t>
      </w:r>
      <w:r>
        <w:rPr>
          <w:rFonts w:hint="eastAsia" w:ascii="宋体" w:hAnsi="宋体" w:eastAsia="宋体" w:cs="宋体"/>
          <w:b/>
          <w:bCs/>
          <w:color w:val="auto"/>
          <w:spacing w:val="-3"/>
          <w:sz w:val="21"/>
          <w:szCs w:val="21"/>
          <w:highlight w:val="none"/>
          <w:u w:val="single" w:color="auto"/>
        </w:rPr>
        <w:t>缴纳形式须中标后与发包人协商一致</w:t>
      </w:r>
      <w:r>
        <w:rPr>
          <w:rFonts w:hint="eastAsia" w:ascii="宋体" w:hAnsi="宋体" w:eastAsia="宋体" w:cs="宋体"/>
          <w:b/>
          <w:bCs/>
          <w:color w:val="auto"/>
          <w:spacing w:val="-8"/>
          <w:sz w:val="21"/>
          <w:szCs w:val="21"/>
          <w:highlight w:val="none"/>
          <w:u w:val="single" w:color="auto"/>
        </w:rPr>
        <w:t>），</w:t>
      </w:r>
      <w:r>
        <w:rPr>
          <w:rFonts w:hint="eastAsia" w:ascii="宋体" w:hAnsi="宋体" w:eastAsia="宋体" w:cs="宋体"/>
          <w:b/>
          <w:bCs/>
          <w:color w:val="auto"/>
          <w:spacing w:val="-3"/>
          <w:sz w:val="21"/>
          <w:szCs w:val="21"/>
          <w:highlight w:val="none"/>
          <w:u w:val="single" w:color="auto"/>
        </w:rPr>
        <w:t>招标人发出中标通知书后</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5</w:t>
      </w:r>
      <w:r>
        <w:rPr>
          <w:rFonts w:hint="eastAsia" w:ascii="宋体" w:hAnsi="宋体" w:eastAsia="宋体" w:cs="宋体"/>
          <w:color w:val="auto"/>
          <w:spacing w:val="-37"/>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个工作日内，中标人应向招标人递交履约保证金，否则招标人有权按中标人自动放弃中标资格处理，同时投标保证金不予退还，该金额不足以弥补给招标人造成的直接和间接损失的（包括但不限于二次招标发生的招标费</w:t>
      </w:r>
      <w:r>
        <w:rPr>
          <w:rFonts w:hint="eastAsia" w:ascii="宋体" w:hAnsi="宋体" w:eastAsia="宋体" w:cs="宋体"/>
          <w:b/>
          <w:bCs/>
          <w:color w:val="auto"/>
          <w:spacing w:val="7"/>
          <w:sz w:val="21"/>
          <w:szCs w:val="21"/>
          <w:highlight w:val="none"/>
          <w:u w:val="single" w:color="auto"/>
        </w:rPr>
        <w:t>用、中标差价、招标代理服务费等），中标人应予补</w:t>
      </w:r>
      <w:r>
        <w:rPr>
          <w:rFonts w:hint="eastAsia" w:ascii="宋体" w:hAnsi="宋体" w:eastAsia="宋体" w:cs="宋体"/>
          <w:b/>
          <w:bCs/>
          <w:color w:val="auto"/>
          <w:spacing w:val="6"/>
          <w:sz w:val="21"/>
          <w:szCs w:val="21"/>
          <w:highlight w:val="none"/>
          <w:u w:val="single" w:color="auto"/>
        </w:rPr>
        <w:t>足。</w:t>
      </w:r>
      <w:r>
        <w:rPr>
          <w:rFonts w:hint="eastAsia" w:ascii="宋体" w:hAnsi="宋体" w:eastAsia="宋体" w:cs="宋体"/>
          <w:color w:val="auto"/>
          <w:sz w:val="21"/>
          <w:szCs w:val="21"/>
          <w:highlight w:val="none"/>
          <w:u w:val="single" w:color="auto"/>
        </w:rPr>
        <w:t xml:space="preserve">  </w:t>
      </w:r>
    </w:p>
    <w:p w14:paraId="3E75CA1B">
      <w:pPr>
        <w:keepNext w:val="0"/>
        <w:keepLines w:val="0"/>
        <w:pageBreakBefore w:val="0"/>
        <w:widowControl w:val="0"/>
        <w:kinsoku/>
        <w:wordWrap/>
        <w:overflowPunct/>
        <w:topLinePunct w:val="0"/>
        <w:autoSpaceDE/>
        <w:autoSpaceDN/>
        <w:bidi w:val="0"/>
        <w:adjustRightInd/>
        <w:snapToGrid/>
        <w:spacing w:line="440" w:lineRule="exact"/>
        <w:ind w:right="-729" w:rightChars="-347" w:firstLine="421"/>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u w:val="single" w:color="auto"/>
        </w:rPr>
        <w:t>承包人提供的履约保证金为合同总价的</w:t>
      </w:r>
      <w:r>
        <w:rPr>
          <w:rFonts w:hint="eastAsia" w:ascii="宋体" w:hAnsi="宋体" w:eastAsia="宋体" w:cs="宋体"/>
          <w:b/>
          <w:bCs/>
          <w:color w:val="auto"/>
          <w:spacing w:val="-22"/>
          <w:sz w:val="21"/>
          <w:szCs w:val="21"/>
          <w:highlight w:val="none"/>
          <w:u w:val="single" w:color="auto"/>
          <w:lang w:val="en-US" w:eastAsia="zh-CN"/>
        </w:rPr>
        <w:t>5</w:t>
      </w:r>
      <w:r>
        <w:rPr>
          <w:rFonts w:hint="eastAsia" w:ascii="宋体" w:hAnsi="宋体" w:eastAsia="宋体" w:cs="宋体"/>
          <w:b/>
          <w:bCs/>
          <w:color w:val="auto"/>
          <w:spacing w:val="-2"/>
          <w:sz w:val="21"/>
          <w:szCs w:val="21"/>
          <w:highlight w:val="none"/>
          <w:u w:val="single" w:color="auto"/>
        </w:rPr>
        <w:t>%，其中：工期占履约</w:t>
      </w:r>
      <w:r>
        <w:rPr>
          <w:rFonts w:hint="eastAsia" w:ascii="宋体" w:hAnsi="宋体" w:eastAsia="宋体" w:cs="宋体"/>
          <w:b/>
          <w:bCs/>
          <w:color w:val="auto"/>
          <w:spacing w:val="-3"/>
          <w:sz w:val="21"/>
          <w:szCs w:val="21"/>
          <w:highlight w:val="none"/>
          <w:u w:val="single" w:color="auto"/>
        </w:rPr>
        <w:t>保证金额的</w:t>
      </w:r>
      <w:r>
        <w:rPr>
          <w:rFonts w:hint="eastAsia" w:ascii="宋体" w:hAnsi="宋体" w:eastAsia="宋体" w:cs="宋体"/>
          <w:color w:val="auto"/>
          <w:spacing w:val="-21"/>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20%，工期履约保证金待工程按合同规定的工期内完成并经验收合格且提供完整的竣工资料后，返还；质量占履</w:t>
      </w:r>
      <w:r>
        <w:rPr>
          <w:rFonts w:hint="eastAsia" w:ascii="宋体" w:hAnsi="宋体" w:eastAsia="宋体" w:cs="宋体"/>
          <w:b/>
          <w:bCs/>
          <w:color w:val="auto"/>
          <w:spacing w:val="-2"/>
          <w:sz w:val="21"/>
          <w:szCs w:val="21"/>
          <w:highlight w:val="none"/>
          <w:u w:val="single" w:color="auto"/>
        </w:rPr>
        <w:t>约保证金额的</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40%，在施工期间，由于承包人原因造成的严重质量问题或质量事故，除根据质量</w:t>
      </w:r>
      <w:r>
        <w:rPr>
          <w:rFonts w:hint="eastAsia" w:ascii="宋体" w:hAnsi="宋体" w:eastAsia="宋体" w:cs="宋体"/>
          <w:b/>
          <w:bCs/>
          <w:color w:val="auto"/>
          <w:spacing w:val="-3"/>
          <w:sz w:val="21"/>
          <w:szCs w:val="21"/>
          <w:highlight w:val="none"/>
          <w:u w:val="single" w:color="auto"/>
        </w:rPr>
        <w:t>问题或事故的严重程度扣除部分或全部质量履约保证金外，还需承担全部责任及由此引起的一切费用，同时承包人必须在发包人要求的期限内整改到位达到验收标准，否则已完成合格工作量在</w:t>
      </w:r>
      <w:r>
        <w:rPr>
          <w:rFonts w:hint="eastAsia" w:ascii="宋体" w:hAnsi="宋体" w:eastAsia="宋体" w:cs="宋体"/>
          <w:b/>
          <w:bCs/>
          <w:color w:val="auto"/>
          <w:spacing w:val="-2"/>
          <w:sz w:val="21"/>
          <w:szCs w:val="21"/>
          <w:highlight w:val="none"/>
          <w:u w:val="single" w:color="auto"/>
        </w:rPr>
        <w:t>结算时按</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60%计算。质量履约保证金待工程竣工验收，且完成约定的验收标准后，返还；安全文明施工占履约保证金额的</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20%，承包人在施工期间未发生安全事故，待工程竣工验收合格后</w:t>
      </w:r>
      <w:r>
        <w:rPr>
          <w:rFonts w:hint="eastAsia" w:ascii="宋体" w:hAnsi="宋体" w:eastAsia="宋体" w:cs="宋体"/>
          <w:b/>
          <w:bCs/>
          <w:color w:val="auto"/>
          <w:spacing w:val="-3"/>
          <w:sz w:val="21"/>
          <w:szCs w:val="21"/>
          <w:highlight w:val="none"/>
          <w:u w:val="single" w:color="auto"/>
        </w:rPr>
        <w:t>，返还，凡在施工期间，由于承包人原因造成的事故，除根据事故的严重程度或等级扣除部分或全部</w:t>
      </w:r>
      <w:r>
        <w:rPr>
          <w:rFonts w:hint="eastAsia" w:ascii="宋体" w:hAnsi="宋体" w:eastAsia="宋体" w:cs="宋体"/>
          <w:b/>
          <w:bCs/>
          <w:color w:val="auto"/>
          <w:spacing w:val="-2"/>
          <w:sz w:val="21"/>
          <w:szCs w:val="21"/>
          <w:highlight w:val="none"/>
          <w:u w:val="single" w:color="auto"/>
        </w:rPr>
        <w:t>安全文明施工保证金外，还需承担全部责任及由此引起的一切费</w:t>
      </w:r>
      <w:r>
        <w:rPr>
          <w:rFonts w:hint="eastAsia" w:ascii="宋体" w:hAnsi="宋体" w:eastAsia="宋体" w:cs="宋体"/>
          <w:b/>
          <w:bCs/>
          <w:color w:val="auto"/>
          <w:spacing w:val="-3"/>
          <w:sz w:val="21"/>
          <w:szCs w:val="21"/>
          <w:highlight w:val="none"/>
          <w:u w:val="single" w:color="auto"/>
        </w:rPr>
        <w:t>用，发包人不承担任何责任；竣工资料占履约保证金额的</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10%，若未达到招标文件要求，该保证金不予退还；项目部人员到岗占</w:t>
      </w:r>
      <w:r>
        <w:rPr>
          <w:rFonts w:hint="eastAsia" w:ascii="宋体" w:hAnsi="宋体" w:eastAsia="宋体" w:cs="宋体"/>
          <w:b/>
          <w:bCs/>
          <w:color w:val="auto"/>
          <w:spacing w:val="-2"/>
          <w:sz w:val="21"/>
          <w:szCs w:val="21"/>
          <w:highlight w:val="none"/>
          <w:u w:val="single" w:color="auto"/>
        </w:rPr>
        <w:t>履约保证金额的</w:t>
      </w:r>
      <w:r>
        <w:rPr>
          <w:rFonts w:hint="eastAsia" w:ascii="宋体" w:hAnsi="宋体" w:eastAsia="宋体" w:cs="宋体"/>
          <w:color w:val="auto"/>
          <w:spacing w:val="-2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10%，施工期间经发包人考核未达到要求的，应按合同约定予以</w:t>
      </w:r>
      <w:r>
        <w:rPr>
          <w:rFonts w:hint="eastAsia" w:ascii="宋体" w:hAnsi="宋体" w:eastAsia="宋体" w:cs="宋体"/>
          <w:b/>
          <w:bCs/>
          <w:color w:val="auto"/>
          <w:spacing w:val="-3"/>
          <w:sz w:val="21"/>
          <w:szCs w:val="21"/>
          <w:highlight w:val="none"/>
          <w:u w:val="single" w:color="auto"/>
        </w:rPr>
        <w:t>处罚，并扣除部</w:t>
      </w:r>
      <w:r>
        <w:rPr>
          <w:rFonts w:hint="eastAsia" w:ascii="宋体" w:hAnsi="宋体" w:eastAsia="宋体" w:cs="宋体"/>
          <w:b/>
          <w:bCs/>
          <w:color w:val="auto"/>
          <w:spacing w:val="2"/>
          <w:sz w:val="21"/>
          <w:szCs w:val="21"/>
          <w:highlight w:val="none"/>
          <w:u w:val="single" w:color="auto"/>
        </w:rPr>
        <w:t>分或全部项目部人员到岗保证金。保证金退还时间与其他</w:t>
      </w:r>
      <w:r>
        <w:rPr>
          <w:rFonts w:hint="eastAsia" w:ascii="宋体" w:hAnsi="宋体" w:eastAsia="宋体" w:cs="宋体"/>
          <w:b/>
          <w:bCs/>
          <w:color w:val="auto"/>
          <w:spacing w:val="1"/>
          <w:sz w:val="21"/>
          <w:szCs w:val="21"/>
          <w:highlight w:val="none"/>
          <w:u w:val="single" w:color="auto"/>
        </w:rPr>
        <w:t>条款发生不一致时，以此条款为准。</w:t>
      </w:r>
      <w:r>
        <w:rPr>
          <w:rFonts w:hint="eastAsia" w:ascii="宋体" w:hAnsi="宋体" w:eastAsia="宋体" w:cs="宋体"/>
          <w:color w:val="auto"/>
          <w:sz w:val="21"/>
          <w:szCs w:val="21"/>
          <w:highlight w:val="none"/>
          <w:u w:val="single" w:color="auto"/>
        </w:rPr>
        <w:t xml:space="preserve"> </w:t>
      </w:r>
    </w:p>
    <w:p w14:paraId="13C1B50B">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4. 监理人</w:t>
      </w:r>
    </w:p>
    <w:p w14:paraId="08DB639F">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4.1</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2"/>
          <w:sz w:val="21"/>
          <w:szCs w:val="21"/>
          <w:highlight w:val="none"/>
        </w:rPr>
        <w:t>监理人的一般规定</w:t>
      </w:r>
    </w:p>
    <w:p w14:paraId="554A435B">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关于监理人的监理内容：</w:t>
      </w:r>
      <w:r>
        <w:rPr>
          <w:rFonts w:hint="eastAsia" w:ascii="宋体" w:hAnsi="宋体" w:cs="宋体"/>
          <w:b/>
          <w:bCs/>
          <w:color w:val="auto"/>
          <w:spacing w:val="1"/>
          <w:sz w:val="21"/>
          <w:szCs w:val="21"/>
          <w:highlight w:val="none"/>
          <w:u w:val="single" w:color="auto"/>
          <w:lang w:val="en-US" w:eastAsia="zh-CN"/>
        </w:rPr>
        <w:t>/</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p>
    <w:p w14:paraId="4A2C2DA9">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关于监理人的监理权限：</w:t>
      </w:r>
      <w:r>
        <w:rPr>
          <w:rFonts w:hint="eastAsia" w:ascii="宋体" w:hAnsi="宋体" w:cs="宋体"/>
          <w:b/>
          <w:bCs/>
          <w:color w:val="auto"/>
          <w:spacing w:val="1"/>
          <w:sz w:val="21"/>
          <w:szCs w:val="21"/>
          <w:highlight w:val="none"/>
          <w:u w:val="single" w:color="auto"/>
          <w:lang w:val="en-US" w:eastAsia="zh-CN"/>
        </w:rPr>
        <w:t>/</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p>
    <w:p w14:paraId="3D1AFAC0">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关于监理人在施工现场的办公场所、生活场所的提供和</w:t>
      </w:r>
      <w:r>
        <w:rPr>
          <w:rFonts w:hint="eastAsia" w:ascii="宋体" w:hAnsi="宋体" w:eastAsia="宋体" w:cs="宋体"/>
          <w:color w:val="auto"/>
          <w:sz w:val="21"/>
          <w:szCs w:val="21"/>
          <w:highlight w:val="none"/>
        </w:rPr>
        <w:t>费用承担的约定：</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304A974B">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 监理人员</w:t>
      </w:r>
    </w:p>
    <w:p w14:paraId="744169AF">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总监理工程师：</w:t>
      </w:r>
    </w:p>
    <w:p w14:paraId="03994920">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姓</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7"/>
          <w:sz w:val="21"/>
          <w:szCs w:val="21"/>
          <w:highlight w:val="none"/>
        </w:rPr>
        <w:t>名</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cs="宋体"/>
          <w:color w:val="auto"/>
          <w:sz w:val="21"/>
          <w:szCs w:val="21"/>
          <w:highlight w:val="none"/>
          <w:u w:val="single" w:color="auto"/>
          <w:lang w:val="en-US" w:eastAsia="zh-CN"/>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48D86D32">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职</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7"/>
          <w:sz w:val="21"/>
          <w:szCs w:val="21"/>
          <w:highlight w:val="none"/>
        </w:rPr>
        <w:t>务</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335AA1B0">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监理工程师执业资格证书号</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39D11968">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D341923">
      <w:pPr>
        <w:keepNext w:val="0"/>
        <w:keepLines w:val="0"/>
        <w:pageBreakBefore w:val="0"/>
        <w:widowControl w:val="0"/>
        <w:kinsoku/>
        <w:wordWrap/>
        <w:overflowPunct/>
        <w:topLinePunct w:val="0"/>
        <w:autoSpaceDE/>
        <w:autoSpaceDN/>
        <w:bidi w:val="0"/>
        <w:adjustRightInd/>
        <w:snapToGrid/>
        <w:spacing w:line="440" w:lineRule="exact"/>
        <w:ind w:left="44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电子信箱</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748A14E9">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通信地址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11FFA4EF">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DC2D2E9">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4.4</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商定或确定</w:t>
      </w:r>
    </w:p>
    <w:p w14:paraId="33B7584C">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在发包人和承包人不能通过协商达成一致意见时，发包人授权监理人对以下事项进行确定：</w:t>
      </w:r>
    </w:p>
    <w:p w14:paraId="5BDFBD3C">
      <w:pPr>
        <w:keepNext w:val="0"/>
        <w:keepLines w:val="0"/>
        <w:pageBreakBefore w:val="0"/>
        <w:widowControl w:val="0"/>
        <w:kinsoku/>
        <w:wordWrap/>
        <w:overflowPunct/>
        <w:topLinePunct w:val="0"/>
        <w:autoSpaceDE/>
        <w:autoSpaceDN/>
        <w:bidi w:val="0"/>
        <w:adjustRightInd/>
        <w:snapToGrid/>
        <w:spacing w:line="440" w:lineRule="exact"/>
        <w:ind w:left="46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w:t>
      </w:r>
    </w:p>
    <w:p w14:paraId="76B460E1">
      <w:pPr>
        <w:keepNext w:val="0"/>
        <w:keepLines w:val="0"/>
        <w:pageBreakBefore w:val="0"/>
        <w:widowControl w:val="0"/>
        <w:kinsoku/>
        <w:wordWrap/>
        <w:overflowPunct/>
        <w:topLinePunct w:val="0"/>
        <w:autoSpaceDE/>
        <w:autoSpaceDN/>
        <w:bidi w:val="0"/>
        <w:adjustRightInd/>
        <w:snapToGrid/>
        <w:spacing w:line="440" w:lineRule="exact"/>
        <w:ind w:left="46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w:t>
      </w:r>
    </w:p>
    <w:p w14:paraId="67D32F07">
      <w:pPr>
        <w:keepNext w:val="0"/>
        <w:keepLines w:val="0"/>
        <w:pageBreakBefore w:val="0"/>
        <w:widowControl w:val="0"/>
        <w:kinsoku/>
        <w:wordWrap/>
        <w:overflowPunct/>
        <w:topLinePunct w:val="0"/>
        <w:autoSpaceDE/>
        <w:autoSpaceDN/>
        <w:bidi w:val="0"/>
        <w:adjustRightInd/>
        <w:snapToGrid/>
        <w:spacing w:line="440" w:lineRule="exact"/>
        <w:ind w:left="46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w:t>
      </w:r>
    </w:p>
    <w:p w14:paraId="282D8A0E">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5. 工程质量</w:t>
      </w:r>
    </w:p>
    <w:p w14:paraId="687D8AC2">
      <w:pPr>
        <w:keepNext w:val="0"/>
        <w:keepLines w:val="0"/>
        <w:pageBreakBefore w:val="0"/>
        <w:widowControl w:val="0"/>
        <w:kinsoku/>
        <w:wordWrap/>
        <w:overflowPunct/>
        <w:topLinePunct w:val="0"/>
        <w:autoSpaceDE/>
        <w:autoSpaceDN/>
        <w:bidi w:val="0"/>
        <w:adjustRightInd/>
        <w:snapToGrid/>
        <w:spacing w:line="440" w:lineRule="exact"/>
        <w:ind w:left="43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5.1 质量要求</w:t>
      </w:r>
    </w:p>
    <w:p w14:paraId="3D70FA60">
      <w:pPr>
        <w:keepNext w:val="0"/>
        <w:keepLines w:val="0"/>
        <w:pageBreakBefore w:val="0"/>
        <w:widowControl w:val="0"/>
        <w:kinsoku/>
        <w:wordWrap/>
        <w:overflowPunct/>
        <w:topLinePunct w:val="0"/>
        <w:autoSpaceDE/>
        <w:autoSpaceDN/>
        <w:bidi w:val="0"/>
        <w:adjustRightInd/>
        <w:snapToGrid/>
        <w:spacing w:line="440" w:lineRule="exact"/>
        <w:ind w:left="43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5.1.1 特殊质量标准和要求：</w:t>
      </w:r>
      <w:r>
        <w:rPr>
          <w:rFonts w:hint="eastAsia" w:ascii="宋体" w:hAnsi="宋体" w:eastAsia="宋体" w:cs="宋体"/>
          <w:b/>
          <w:bCs/>
          <w:color w:val="auto"/>
          <w:spacing w:val="7"/>
          <w:sz w:val="21"/>
          <w:szCs w:val="21"/>
          <w:highlight w:val="none"/>
          <w:u w:val="single" w:color="auto"/>
        </w:rPr>
        <w:t>工程质量必须达到国家施工质量验收规</w:t>
      </w:r>
      <w:r>
        <w:rPr>
          <w:rFonts w:hint="eastAsia" w:ascii="宋体" w:hAnsi="宋体" w:eastAsia="宋体" w:cs="宋体"/>
          <w:b/>
          <w:bCs/>
          <w:color w:val="auto"/>
          <w:spacing w:val="6"/>
          <w:sz w:val="21"/>
          <w:szCs w:val="21"/>
          <w:highlight w:val="none"/>
          <w:u w:val="single" w:color="auto"/>
        </w:rPr>
        <w:t>范合格标准</w:t>
      </w:r>
      <w:r>
        <w:rPr>
          <w:rFonts w:hint="eastAsia" w:ascii="宋体" w:hAnsi="宋体" w:eastAsia="宋体" w:cs="宋体"/>
          <w:color w:val="auto"/>
          <w:spacing w:val="6"/>
          <w:sz w:val="21"/>
          <w:szCs w:val="21"/>
          <w:highlight w:val="none"/>
        </w:rPr>
        <w:t>。</w:t>
      </w:r>
    </w:p>
    <w:p w14:paraId="022AC33B">
      <w:pPr>
        <w:keepNext w:val="0"/>
        <w:keepLines w:val="0"/>
        <w:pageBreakBefore w:val="0"/>
        <w:widowControl w:val="0"/>
        <w:kinsoku/>
        <w:wordWrap/>
        <w:overflowPunct/>
        <w:topLinePunct w:val="0"/>
        <w:autoSpaceDE/>
        <w:autoSpaceDN/>
        <w:bidi w:val="0"/>
        <w:adjustRightInd/>
        <w:snapToGrid/>
        <w:spacing w:line="440" w:lineRule="exact"/>
        <w:ind w:left="9" w:right="-729" w:rightChars="-347" w:firstLine="524"/>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color="auto"/>
        </w:rPr>
        <w:t>承包人必须严格按照施工图纸、工程技术要求及有关工</w:t>
      </w:r>
      <w:r>
        <w:rPr>
          <w:rFonts w:hint="eastAsia" w:ascii="宋体" w:hAnsi="宋体" w:eastAsia="宋体" w:cs="宋体"/>
          <w:b/>
          <w:bCs/>
          <w:color w:val="auto"/>
          <w:spacing w:val="-1"/>
          <w:sz w:val="21"/>
          <w:szCs w:val="21"/>
          <w:highlight w:val="none"/>
          <w:u w:val="single" w:color="auto"/>
        </w:rPr>
        <w:t>程施工规范、规格和标准施工，并</w:t>
      </w:r>
      <w:r>
        <w:rPr>
          <w:rFonts w:hint="eastAsia" w:ascii="宋体" w:hAnsi="宋体" w:eastAsia="宋体" w:cs="宋体"/>
          <w:b/>
          <w:bCs/>
          <w:color w:val="auto"/>
          <w:spacing w:val="-3"/>
          <w:sz w:val="21"/>
          <w:szCs w:val="21"/>
          <w:highlight w:val="none"/>
          <w:u w:val="single" w:color="auto"/>
        </w:rPr>
        <w:t>无条件地接受发包人全方位、全过程的监督管理。无论监</w:t>
      </w:r>
      <w:r>
        <w:rPr>
          <w:rFonts w:hint="eastAsia" w:ascii="宋体" w:hAnsi="宋体" w:cs="宋体"/>
          <w:b/>
          <w:bCs/>
          <w:color w:val="auto"/>
          <w:spacing w:val="-3"/>
          <w:sz w:val="21"/>
          <w:szCs w:val="21"/>
          <w:highlight w:val="none"/>
          <w:u w:val="single" w:color="auto"/>
          <w:lang w:val="en-US" w:eastAsia="zh-CN"/>
        </w:rPr>
        <w:t>发包人</w:t>
      </w:r>
      <w:r>
        <w:rPr>
          <w:rFonts w:hint="eastAsia" w:ascii="宋体" w:hAnsi="宋体" w:eastAsia="宋体" w:cs="宋体"/>
          <w:b/>
          <w:bCs/>
          <w:color w:val="auto"/>
          <w:spacing w:val="-3"/>
          <w:sz w:val="21"/>
          <w:szCs w:val="21"/>
          <w:highlight w:val="none"/>
          <w:u w:val="single" w:color="auto"/>
        </w:rPr>
        <w:t>是否进行并通过了各项检验，均不解除承包人对自己承包的工程的质量所负的责任，除非质量问题是由非承包</w:t>
      </w:r>
      <w:r>
        <w:rPr>
          <w:rFonts w:hint="eastAsia" w:ascii="宋体" w:hAnsi="宋体" w:eastAsia="宋体" w:cs="宋体"/>
          <w:b/>
          <w:bCs/>
          <w:color w:val="auto"/>
          <w:spacing w:val="7"/>
          <w:sz w:val="21"/>
          <w:szCs w:val="21"/>
          <w:highlight w:val="none"/>
          <w:u w:val="single" w:color="auto"/>
        </w:rPr>
        <w:t>人原因引起的，而此类质量问题承包人须及时通知</w:t>
      </w:r>
      <w:r>
        <w:rPr>
          <w:rFonts w:hint="eastAsia" w:ascii="宋体" w:hAnsi="宋体" w:cs="宋体"/>
          <w:b/>
          <w:bCs/>
          <w:color w:val="auto"/>
          <w:spacing w:val="7"/>
          <w:sz w:val="21"/>
          <w:szCs w:val="21"/>
          <w:highlight w:val="none"/>
          <w:u w:val="single" w:color="auto"/>
          <w:lang w:val="en-US" w:eastAsia="zh-CN"/>
        </w:rPr>
        <w:t>发包人</w:t>
      </w:r>
      <w:r>
        <w:rPr>
          <w:rFonts w:hint="eastAsia" w:ascii="宋体" w:hAnsi="宋体" w:eastAsia="宋体" w:cs="宋体"/>
          <w:b/>
          <w:bCs/>
          <w:color w:val="auto"/>
          <w:spacing w:val="7"/>
          <w:sz w:val="21"/>
          <w:szCs w:val="21"/>
          <w:highlight w:val="none"/>
          <w:u w:val="single" w:color="auto"/>
        </w:rPr>
        <w:t>。</w:t>
      </w:r>
      <w:r>
        <w:rPr>
          <w:rFonts w:hint="eastAsia" w:ascii="宋体" w:hAnsi="宋体" w:eastAsia="宋体" w:cs="宋体"/>
          <w:color w:val="auto"/>
          <w:spacing w:val="7"/>
          <w:sz w:val="21"/>
          <w:szCs w:val="21"/>
          <w:highlight w:val="none"/>
          <w:u w:val="single" w:color="auto"/>
        </w:rPr>
        <w:t xml:space="preserve">  </w:t>
      </w:r>
    </w:p>
    <w:p w14:paraId="0F7C3B73">
      <w:pPr>
        <w:keepNext w:val="0"/>
        <w:keepLines w:val="0"/>
        <w:pageBreakBefore w:val="0"/>
        <w:widowControl w:val="0"/>
        <w:tabs>
          <w:tab w:val="left" w:pos="113"/>
        </w:tabs>
        <w:kinsoku/>
        <w:wordWrap/>
        <w:overflowPunct/>
        <w:topLinePunct w:val="0"/>
        <w:autoSpaceDE/>
        <w:autoSpaceDN/>
        <w:bidi w:val="0"/>
        <w:adjustRightInd/>
        <w:snapToGrid/>
        <w:spacing w:line="440" w:lineRule="exact"/>
        <w:ind w:right="-729" w:rightChars="-347" w:firstLine="534"/>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u w:val="single" w:color="auto"/>
        </w:rPr>
        <w:t>质量保证体系：承包人应按照合同规定，必须进行质量管理（QC</w:t>
      </w:r>
      <w:r>
        <w:rPr>
          <w:rFonts w:hint="eastAsia" w:ascii="宋体" w:hAnsi="宋体" w:eastAsia="宋体" w:cs="宋体"/>
          <w:b/>
          <w:bCs/>
          <w:color w:val="auto"/>
          <w:spacing w:val="-12"/>
          <w:sz w:val="21"/>
          <w:szCs w:val="21"/>
          <w:highlight w:val="none"/>
          <w:u w:val="single" w:color="auto"/>
        </w:rPr>
        <w:t>），</w:t>
      </w:r>
      <w:r>
        <w:rPr>
          <w:rFonts w:hint="eastAsia" w:ascii="宋体" w:hAnsi="宋体" w:eastAsia="宋体" w:cs="宋体"/>
          <w:b/>
          <w:bCs/>
          <w:color w:val="auto"/>
          <w:spacing w:val="-4"/>
          <w:sz w:val="21"/>
          <w:szCs w:val="21"/>
          <w:highlight w:val="none"/>
          <w:u w:val="single" w:color="auto"/>
        </w:rPr>
        <w:t>承包人应以</w:t>
      </w:r>
      <w:r>
        <w:rPr>
          <w:rFonts w:hint="eastAsia" w:ascii="宋体" w:hAnsi="宋体" w:eastAsia="宋体" w:cs="宋体"/>
          <w:color w:val="auto"/>
          <w:spacing w:val="-39"/>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GB/T19000</w:t>
      </w:r>
      <w:r>
        <w:rPr>
          <w:rFonts w:hint="eastAsia" w:ascii="宋体" w:hAnsi="宋体" w:eastAsia="宋体" w:cs="宋体"/>
          <w:color w:val="auto"/>
          <w:sz w:val="21"/>
          <w:szCs w:val="21"/>
          <w:highlight w:val="none"/>
          <w:u w:val="single" w:color="auto"/>
        </w:rPr>
        <w:tab/>
      </w:r>
      <w:r>
        <w:rPr>
          <w:rFonts w:hint="eastAsia" w:ascii="宋体" w:hAnsi="宋体" w:eastAsia="宋体" w:cs="宋体"/>
          <w:b/>
          <w:bCs/>
          <w:color w:val="auto"/>
          <w:spacing w:val="-9"/>
          <w:sz w:val="21"/>
          <w:szCs w:val="21"/>
          <w:highlight w:val="none"/>
          <w:u w:val="single" w:color="auto"/>
        </w:rPr>
        <w:t>《质量管理与质量保证》为标准，建立并保持一个健全的工程质量保证体系，完善质量管理制度，</w:t>
      </w:r>
      <w:r>
        <w:rPr>
          <w:rFonts w:hint="eastAsia" w:ascii="宋体" w:hAnsi="宋体" w:eastAsia="宋体" w:cs="宋体"/>
          <w:b/>
          <w:bCs/>
          <w:color w:val="auto"/>
          <w:spacing w:val="-4"/>
          <w:sz w:val="21"/>
          <w:szCs w:val="21"/>
          <w:highlight w:val="none"/>
          <w:u w:val="single" w:color="auto"/>
        </w:rPr>
        <w:t>建立质量控制流程。</w:t>
      </w:r>
      <w:r>
        <w:rPr>
          <w:rFonts w:hint="eastAsia" w:ascii="宋体" w:hAnsi="宋体" w:eastAsia="宋体" w:cs="宋体"/>
          <w:color w:val="auto"/>
          <w:spacing w:val="1"/>
          <w:sz w:val="21"/>
          <w:szCs w:val="21"/>
          <w:highlight w:val="none"/>
          <w:u w:val="single" w:color="auto"/>
        </w:rPr>
        <w:t xml:space="preserve">  </w:t>
      </w:r>
    </w:p>
    <w:p w14:paraId="5A6756D6">
      <w:pPr>
        <w:keepNext w:val="0"/>
        <w:keepLines w:val="0"/>
        <w:pageBreakBefore w:val="0"/>
        <w:widowControl w:val="0"/>
        <w:kinsoku/>
        <w:wordWrap/>
        <w:overflowPunct/>
        <w:topLinePunct w:val="0"/>
        <w:autoSpaceDE/>
        <w:autoSpaceDN/>
        <w:bidi w:val="0"/>
        <w:adjustRightInd/>
        <w:snapToGrid/>
        <w:spacing w:line="440" w:lineRule="exact"/>
        <w:ind w:left="9"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关于工程奖项的约定：</w:t>
      </w:r>
      <w:r>
        <w:rPr>
          <w:rFonts w:hint="eastAsia" w:ascii="宋体" w:hAnsi="宋体" w:eastAsia="宋体" w:cs="宋体"/>
          <w:b/>
          <w:bCs/>
          <w:color w:val="auto"/>
          <w:spacing w:val="-1"/>
          <w:sz w:val="21"/>
          <w:szCs w:val="21"/>
          <w:highlight w:val="none"/>
          <w:u w:val="single" w:color="auto"/>
        </w:rPr>
        <w:t>工程质量达不到协议书中约定的</w:t>
      </w:r>
      <w:r>
        <w:rPr>
          <w:rFonts w:hint="eastAsia" w:ascii="宋体" w:hAnsi="宋体" w:eastAsia="宋体" w:cs="宋体"/>
          <w:b/>
          <w:bCs/>
          <w:color w:val="auto"/>
          <w:spacing w:val="-2"/>
          <w:sz w:val="21"/>
          <w:szCs w:val="21"/>
          <w:highlight w:val="none"/>
          <w:u w:val="single" w:color="auto"/>
        </w:rPr>
        <w:t>质量标准的，没收履约保证金的</w:t>
      </w:r>
      <w:r>
        <w:rPr>
          <w:rFonts w:hint="eastAsia" w:ascii="宋体" w:hAnsi="宋体" w:eastAsia="宋体" w:cs="宋体"/>
          <w:color w:val="auto"/>
          <w:spacing w:val="-43"/>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40%作为违约金。</w:t>
      </w:r>
      <w:r>
        <w:rPr>
          <w:rFonts w:hint="eastAsia" w:ascii="宋体" w:hAnsi="宋体" w:eastAsia="宋体" w:cs="宋体"/>
          <w:color w:val="auto"/>
          <w:spacing w:val="-2"/>
          <w:sz w:val="21"/>
          <w:szCs w:val="21"/>
          <w:highlight w:val="none"/>
          <w:u w:val="single" w:color="auto"/>
        </w:rPr>
        <w:t xml:space="preserve"> </w:t>
      </w:r>
    </w:p>
    <w:p w14:paraId="1064CD24">
      <w:pPr>
        <w:keepNext w:val="0"/>
        <w:keepLines w:val="0"/>
        <w:pageBreakBefore w:val="0"/>
        <w:widowControl w:val="0"/>
        <w:kinsoku/>
        <w:wordWrap/>
        <w:overflowPunct/>
        <w:topLinePunct w:val="0"/>
        <w:autoSpaceDE/>
        <w:autoSpaceDN/>
        <w:bidi w:val="0"/>
        <w:adjustRightInd/>
        <w:snapToGrid/>
        <w:spacing w:line="440" w:lineRule="exact"/>
        <w:ind w:left="43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5.3</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4"/>
          <w:sz w:val="21"/>
          <w:szCs w:val="21"/>
          <w:highlight w:val="none"/>
        </w:rPr>
        <w:t>隐蔽工程检查</w:t>
      </w:r>
    </w:p>
    <w:p w14:paraId="32FEDB29">
      <w:pPr>
        <w:keepNext w:val="0"/>
        <w:keepLines w:val="0"/>
        <w:pageBreakBefore w:val="0"/>
        <w:widowControl w:val="0"/>
        <w:kinsoku/>
        <w:wordWrap/>
        <w:overflowPunct/>
        <w:topLinePunct w:val="0"/>
        <w:autoSpaceDE/>
        <w:autoSpaceDN/>
        <w:bidi w:val="0"/>
        <w:adjustRightInd/>
        <w:snapToGrid/>
        <w:spacing w:line="440" w:lineRule="exact"/>
        <w:ind w:left="9"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5.3.2</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4"/>
          <w:sz w:val="21"/>
          <w:szCs w:val="21"/>
          <w:highlight w:val="none"/>
        </w:rPr>
        <w:t>承包人提前通知</w:t>
      </w:r>
      <w:r>
        <w:rPr>
          <w:rFonts w:hint="eastAsia" w:ascii="宋体" w:hAnsi="宋体" w:cs="宋体"/>
          <w:color w:val="auto"/>
          <w:spacing w:val="-4"/>
          <w:sz w:val="21"/>
          <w:szCs w:val="21"/>
          <w:highlight w:val="none"/>
          <w:lang w:val="en-US" w:eastAsia="zh-CN"/>
        </w:rPr>
        <w:t>分包</w:t>
      </w:r>
      <w:r>
        <w:rPr>
          <w:rFonts w:hint="eastAsia" w:ascii="宋体" w:hAnsi="宋体" w:eastAsia="宋体" w:cs="宋体"/>
          <w:color w:val="auto"/>
          <w:spacing w:val="-4"/>
          <w:sz w:val="21"/>
          <w:szCs w:val="21"/>
          <w:highlight w:val="none"/>
        </w:rPr>
        <w:t>人隐蔽工程检查的期限的约定：</w:t>
      </w:r>
      <w:r>
        <w:rPr>
          <w:rFonts w:hint="eastAsia" w:ascii="宋体" w:hAnsi="宋体" w:eastAsia="宋体" w:cs="宋体"/>
          <w:b/>
          <w:bCs/>
          <w:color w:val="auto"/>
          <w:spacing w:val="-4"/>
          <w:sz w:val="21"/>
          <w:szCs w:val="21"/>
          <w:highlight w:val="none"/>
          <w:u w:val="single" w:color="auto"/>
        </w:rPr>
        <w:t>隐蔽工程检查前</w:t>
      </w:r>
      <w:r>
        <w:rPr>
          <w:rFonts w:hint="eastAsia" w:ascii="宋体" w:hAnsi="宋体" w:eastAsia="宋体" w:cs="宋体"/>
          <w:color w:val="auto"/>
          <w:spacing w:val="-38"/>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48</w:t>
      </w:r>
      <w:r>
        <w:rPr>
          <w:rFonts w:hint="eastAsia" w:ascii="宋体" w:hAnsi="宋体" w:eastAsia="宋体" w:cs="宋体"/>
          <w:color w:val="auto"/>
          <w:spacing w:val="-31"/>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小时书面通知</w:t>
      </w:r>
      <w:r>
        <w:rPr>
          <w:rFonts w:hint="eastAsia" w:ascii="宋体" w:hAnsi="宋体" w:cs="宋体"/>
          <w:b/>
          <w:bCs/>
          <w:color w:val="auto"/>
          <w:spacing w:val="3"/>
          <w:sz w:val="21"/>
          <w:szCs w:val="21"/>
          <w:highlight w:val="none"/>
          <w:u w:val="single" w:color="auto"/>
          <w:lang w:val="en-US" w:eastAsia="zh-CN"/>
        </w:rPr>
        <w:t>发包</w:t>
      </w:r>
      <w:r>
        <w:rPr>
          <w:rFonts w:hint="eastAsia" w:ascii="宋体" w:hAnsi="宋体" w:eastAsia="宋体" w:cs="宋体"/>
          <w:b/>
          <w:bCs/>
          <w:color w:val="auto"/>
          <w:spacing w:val="3"/>
          <w:sz w:val="21"/>
          <w:szCs w:val="21"/>
          <w:highlight w:val="none"/>
          <w:u w:val="single" w:color="auto"/>
        </w:rPr>
        <w:t>人</w:t>
      </w:r>
      <w:r>
        <w:rPr>
          <w:rFonts w:hint="eastAsia" w:ascii="宋体" w:hAnsi="宋体" w:eastAsia="宋体" w:cs="宋体"/>
          <w:color w:val="auto"/>
          <w:spacing w:val="3"/>
          <w:sz w:val="21"/>
          <w:szCs w:val="21"/>
          <w:highlight w:val="none"/>
        </w:rPr>
        <w:t>。</w:t>
      </w:r>
    </w:p>
    <w:p w14:paraId="2F1E276E">
      <w:pPr>
        <w:keepNext w:val="0"/>
        <w:keepLines w:val="0"/>
        <w:pageBreakBefore w:val="0"/>
        <w:widowControl w:val="0"/>
        <w:kinsoku/>
        <w:wordWrap/>
        <w:overflowPunct/>
        <w:topLinePunct w:val="0"/>
        <w:autoSpaceDE/>
        <w:autoSpaceDN/>
        <w:bidi w:val="0"/>
        <w:adjustRightInd/>
        <w:snapToGrid/>
        <w:spacing w:line="440" w:lineRule="exact"/>
        <w:ind w:left="429"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监理人不能按时进行检查时，应提前</w:t>
      </w:r>
      <w:r>
        <w:rPr>
          <w:rFonts w:hint="eastAsia" w:ascii="宋体" w:hAnsi="宋体" w:eastAsia="宋体" w:cs="宋体"/>
          <w:color w:val="auto"/>
          <w:spacing w:val="-1"/>
          <w:sz w:val="21"/>
          <w:szCs w:val="21"/>
          <w:highlight w:val="none"/>
          <w:u w:val="single" w:color="auto"/>
        </w:rPr>
        <w:t xml:space="preserve">    /   </w:t>
      </w:r>
      <w:r>
        <w:rPr>
          <w:rFonts w:hint="eastAsia" w:ascii="宋体" w:hAnsi="宋体" w:eastAsia="宋体" w:cs="宋体"/>
          <w:color w:val="auto"/>
          <w:spacing w:val="-91"/>
          <w:sz w:val="21"/>
          <w:szCs w:val="21"/>
          <w:highlight w:val="none"/>
        </w:rPr>
        <w:t xml:space="preserve"> </w:t>
      </w:r>
      <w:r>
        <w:rPr>
          <w:rFonts w:hint="eastAsia" w:ascii="宋体" w:hAnsi="宋体" w:eastAsia="宋体" w:cs="宋体"/>
          <w:color w:val="auto"/>
          <w:spacing w:val="-1"/>
          <w:sz w:val="21"/>
          <w:szCs w:val="21"/>
          <w:highlight w:val="none"/>
        </w:rPr>
        <w:t>小时提交书</w:t>
      </w:r>
      <w:r>
        <w:rPr>
          <w:rFonts w:hint="eastAsia" w:ascii="宋体" w:hAnsi="宋体" w:eastAsia="宋体" w:cs="宋体"/>
          <w:color w:val="auto"/>
          <w:spacing w:val="-2"/>
          <w:sz w:val="21"/>
          <w:szCs w:val="21"/>
          <w:highlight w:val="none"/>
        </w:rPr>
        <w:t>面延期要求。</w:t>
      </w:r>
    </w:p>
    <w:p w14:paraId="20156339">
      <w:pPr>
        <w:keepNext w:val="0"/>
        <w:keepLines w:val="0"/>
        <w:pageBreakBefore w:val="0"/>
        <w:widowControl w:val="0"/>
        <w:kinsoku/>
        <w:wordWrap/>
        <w:overflowPunct/>
        <w:topLinePunct w:val="0"/>
        <w:autoSpaceDE/>
        <w:autoSpaceDN/>
        <w:bidi w:val="0"/>
        <w:adjustRightInd/>
        <w:snapToGrid/>
        <w:spacing w:line="440" w:lineRule="exact"/>
        <w:ind w:left="43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关于延期最长不得超过：</w:t>
      </w:r>
      <w:r>
        <w:rPr>
          <w:rFonts w:hint="eastAsia" w:ascii="宋体" w:hAnsi="宋体" w:eastAsia="宋体" w:cs="宋体"/>
          <w:color w:val="auto"/>
          <w:spacing w:val="-2"/>
          <w:sz w:val="21"/>
          <w:szCs w:val="21"/>
          <w:highlight w:val="none"/>
          <w:u w:val="single" w:color="auto"/>
        </w:rPr>
        <w:t xml:space="preserve">    /     </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2"/>
          <w:sz w:val="21"/>
          <w:szCs w:val="21"/>
          <w:highlight w:val="none"/>
        </w:rPr>
        <w:t>小时。</w:t>
      </w:r>
    </w:p>
    <w:p w14:paraId="11A00DAC">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6. 安全文明施工与环境保护</w:t>
      </w:r>
    </w:p>
    <w:p w14:paraId="2A90C6E7">
      <w:pPr>
        <w:keepNext w:val="0"/>
        <w:keepLines w:val="0"/>
        <w:pageBreakBefore w:val="0"/>
        <w:widowControl w:val="0"/>
        <w:kinsoku/>
        <w:wordWrap/>
        <w:overflowPunct/>
        <w:topLinePunct w:val="0"/>
        <w:autoSpaceDE/>
        <w:autoSpaceDN/>
        <w:bidi w:val="0"/>
        <w:adjustRightInd/>
        <w:snapToGrid/>
        <w:spacing w:line="440" w:lineRule="exact"/>
        <w:ind w:left="43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6.1</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3"/>
          <w:sz w:val="21"/>
          <w:szCs w:val="21"/>
          <w:highlight w:val="none"/>
        </w:rPr>
        <w:t>安全文明施工</w:t>
      </w:r>
    </w:p>
    <w:p w14:paraId="346458B9">
      <w:pPr>
        <w:keepNext w:val="0"/>
        <w:keepLines w:val="0"/>
        <w:pageBreakBefore w:val="0"/>
        <w:widowControl w:val="0"/>
        <w:tabs>
          <w:tab w:val="left" w:pos="539"/>
        </w:tabs>
        <w:kinsoku/>
        <w:wordWrap/>
        <w:overflowPunct/>
        <w:topLinePunct w:val="0"/>
        <w:autoSpaceDE/>
        <w:autoSpaceDN/>
        <w:bidi w:val="0"/>
        <w:adjustRightInd/>
        <w:snapToGrid/>
        <w:spacing w:line="440" w:lineRule="exact"/>
        <w:ind w:left="8" w:right="-729" w:rightChars="-347" w:firstLine="41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u w:val="single" w:color="auto"/>
        </w:rPr>
        <w:t>（1）承包人须对本合同范围内所有施工范围和施工人员负全部安全施</w:t>
      </w:r>
      <w:r>
        <w:rPr>
          <w:rFonts w:hint="eastAsia" w:ascii="宋体" w:hAnsi="宋体" w:eastAsia="宋体" w:cs="宋体"/>
          <w:color w:val="auto"/>
          <w:spacing w:val="-2"/>
          <w:sz w:val="21"/>
          <w:szCs w:val="21"/>
          <w:highlight w:val="none"/>
          <w:u w:val="single" w:color="auto"/>
        </w:rPr>
        <w:t>工责任。承包人应严</w:t>
      </w:r>
      <w:r>
        <w:rPr>
          <w:rFonts w:hint="eastAsia" w:ascii="宋体" w:hAnsi="宋体" w:eastAsia="宋体" w:cs="宋体"/>
          <w:color w:val="auto"/>
          <w:spacing w:val="-1"/>
          <w:sz w:val="21"/>
          <w:szCs w:val="21"/>
          <w:highlight w:val="none"/>
          <w:u w:val="single" w:color="auto"/>
        </w:rPr>
        <w:t>格按《建设工程安全生产管理条例》等法律、工程建设安全生产有关管理规定，采取安全措施组</w:t>
      </w:r>
      <w:r>
        <w:rPr>
          <w:rFonts w:hint="eastAsia" w:ascii="宋体" w:hAnsi="宋体" w:eastAsia="宋体" w:cs="宋体"/>
          <w:color w:val="auto"/>
          <w:sz w:val="21"/>
          <w:szCs w:val="21"/>
          <w:highlight w:val="none"/>
          <w:u w:val="single" w:color="auto"/>
        </w:rPr>
        <w:t>织施工。若发生安全事故，一切责任由承包</w:t>
      </w:r>
      <w:r>
        <w:rPr>
          <w:rFonts w:hint="eastAsia" w:ascii="宋体" w:hAnsi="宋体" w:eastAsia="宋体" w:cs="宋体"/>
          <w:color w:val="auto"/>
          <w:spacing w:val="-1"/>
          <w:sz w:val="21"/>
          <w:szCs w:val="21"/>
          <w:highlight w:val="none"/>
          <w:u w:val="single" w:color="auto"/>
        </w:rPr>
        <w:t>方承担。</w:t>
      </w:r>
    </w:p>
    <w:p w14:paraId="4713824A">
      <w:pPr>
        <w:keepNext w:val="0"/>
        <w:keepLines w:val="0"/>
        <w:pageBreakBefore w:val="0"/>
        <w:widowControl w:val="0"/>
        <w:tabs>
          <w:tab w:val="left" w:pos="539"/>
        </w:tabs>
        <w:kinsoku/>
        <w:wordWrap/>
        <w:overflowPunct/>
        <w:topLinePunct w:val="0"/>
        <w:autoSpaceDE/>
        <w:autoSpaceDN/>
        <w:bidi w:val="0"/>
        <w:adjustRightInd/>
        <w:snapToGrid/>
        <w:spacing w:line="440" w:lineRule="exact"/>
        <w:ind w:left="9" w:right="-729" w:rightChars="-347" w:firstLine="4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3"/>
          <w:sz w:val="21"/>
          <w:szCs w:val="21"/>
          <w:highlight w:val="none"/>
          <w:u w:val="single" w:color="auto"/>
        </w:rPr>
        <w:t>（2）承包人对施工现场安全生产负总责，现场必须按要求配备安全员，安全员及特种作业人员应持证上岗，如发包人检查到承包人人员不到</w:t>
      </w:r>
      <w:r>
        <w:rPr>
          <w:rFonts w:hint="eastAsia" w:ascii="宋体" w:hAnsi="宋体" w:eastAsia="宋体" w:cs="宋体"/>
          <w:color w:val="auto"/>
          <w:spacing w:val="-4"/>
          <w:sz w:val="21"/>
          <w:szCs w:val="21"/>
          <w:highlight w:val="none"/>
          <w:u w:val="single" w:color="auto"/>
        </w:rPr>
        <w:t>位的，则发包人有权按</w:t>
      </w:r>
      <w:r>
        <w:rPr>
          <w:rFonts w:hint="eastAsia" w:ascii="宋体" w:hAnsi="宋体" w:eastAsia="宋体" w:cs="宋体"/>
          <w:color w:val="auto"/>
          <w:spacing w:val="-28"/>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1000</w:t>
      </w:r>
      <w:r>
        <w:rPr>
          <w:rFonts w:hint="eastAsia" w:ascii="宋体" w:hAnsi="宋体" w:eastAsia="宋体" w:cs="宋体"/>
          <w:color w:val="auto"/>
          <w:spacing w:val="-3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元/人</w:t>
      </w:r>
      <w:r>
        <w:rPr>
          <w:rFonts w:hint="eastAsia" w:ascii="宋体" w:hAnsi="宋体" w:eastAsia="宋体" w:cs="宋体"/>
          <w:color w:val="auto"/>
          <w:spacing w:val="-25"/>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·次计取违</w:t>
      </w:r>
      <w:r>
        <w:rPr>
          <w:rFonts w:hint="eastAsia" w:ascii="宋体" w:hAnsi="宋体" w:eastAsia="宋体" w:cs="宋体"/>
          <w:color w:val="auto"/>
          <w:spacing w:val="-1"/>
          <w:sz w:val="21"/>
          <w:szCs w:val="21"/>
          <w:highlight w:val="none"/>
          <w:u w:val="single" w:color="auto"/>
        </w:rPr>
        <w:t>约金，从工程款中直接扣除。</w:t>
      </w:r>
    </w:p>
    <w:p w14:paraId="355ED1FF">
      <w:pPr>
        <w:pStyle w:val="8"/>
        <w:keepNext w:val="0"/>
        <w:keepLines w:val="0"/>
        <w:pageBreakBefore w:val="0"/>
        <w:widowControl w:val="0"/>
        <w:kinsoku/>
        <w:wordWrap/>
        <w:overflowPunct/>
        <w:topLinePunct w:val="0"/>
        <w:autoSpaceDE/>
        <w:autoSpaceDN/>
        <w:bidi w:val="0"/>
        <w:adjustRightInd/>
        <w:snapToGrid/>
        <w:spacing w:after="0" w:line="440" w:lineRule="exact"/>
        <w:ind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u w:val="single" w:color="auto"/>
        </w:rPr>
        <w:t>（3）工程施工前和施工中，承包人项目负责人或技术负责人应当对有关安全施工技术</w:t>
      </w:r>
      <w:r>
        <w:rPr>
          <w:rFonts w:hint="eastAsia" w:ascii="宋体" w:hAnsi="宋体" w:eastAsia="宋体" w:cs="宋体"/>
          <w:color w:val="auto"/>
          <w:spacing w:val="-2"/>
          <w:sz w:val="21"/>
          <w:szCs w:val="21"/>
          <w:highlight w:val="none"/>
          <w:u w:val="single" w:color="auto"/>
        </w:rPr>
        <w:t>进行</w:t>
      </w:r>
      <w:r>
        <w:rPr>
          <w:rFonts w:hint="eastAsia" w:ascii="宋体" w:hAnsi="宋体" w:eastAsia="宋体" w:cs="宋体"/>
          <w:color w:val="auto"/>
          <w:spacing w:val="2"/>
          <w:sz w:val="21"/>
          <w:szCs w:val="21"/>
          <w:highlight w:val="none"/>
          <w:u w:val="single" w:color="auto"/>
        </w:rPr>
        <w:t>交底； 承包人必须编制安全施工措施和施工现场临时</w:t>
      </w:r>
      <w:r>
        <w:rPr>
          <w:rFonts w:hint="eastAsia" w:ascii="宋体" w:hAnsi="宋体" w:eastAsia="宋体" w:cs="宋体"/>
          <w:color w:val="auto"/>
          <w:spacing w:val="1"/>
          <w:sz w:val="21"/>
          <w:szCs w:val="21"/>
          <w:highlight w:val="none"/>
          <w:u w:val="single" w:color="auto"/>
        </w:rPr>
        <w:t>用电、施工现场周边及主要通道的安全防</w:t>
      </w:r>
      <w:r>
        <w:rPr>
          <w:rFonts w:hint="eastAsia" w:ascii="宋体" w:hAnsi="宋体" w:eastAsia="宋体" w:cs="宋体"/>
          <w:color w:val="auto"/>
          <w:sz w:val="21"/>
          <w:szCs w:val="21"/>
          <w:highlight w:val="none"/>
          <w:u w:val="single" w:color="auto"/>
        </w:rPr>
        <w:t>护措施及其他有关法规要求的专项施工方案，专</w:t>
      </w:r>
      <w:r>
        <w:rPr>
          <w:rFonts w:hint="eastAsia" w:ascii="宋体" w:hAnsi="宋体" w:eastAsia="宋体" w:cs="宋体"/>
          <w:color w:val="auto"/>
          <w:spacing w:val="-1"/>
          <w:sz w:val="21"/>
          <w:szCs w:val="21"/>
          <w:highlight w:val="none"/>
          <w:u w:val="single" w:color="auto"/>
        </w:rPr>
        <w:t>项施工方案必须经本单位技术负责人批准后，报发包人代表批准后实施。</w:t>
      </w:r>
    </w:p>
    <w:p w14:paraId="287A78E8">
      <w:pPr>
        <w:keepNext w:val="0"/>
        <w:keepLines w:val="0"/>
        <w:pageBreakBefore w:val="0"/>
        <w:widowControl w:val="0"/>
        <w:kinsoku/>
        <w:wordWrap/>
        <w:overflowPunct/>
        <w:topLinePunct w:val="0"/>
        <w:autoSpaceDE/>
        <w:autoSpaceDN/>
        <w:bidi w:val="0"/>
        <w:adjustRightInd/>
        <w:snapToGrid/>
        <w:spacing w:line="440" w:lineRule="exact"/>
        <w:ind w:left="22" w:right="-729" w:rightChars="-347" w:firstLine="40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工程施工前，承包人应根据法律法规、规范、标准等要求，制定安全施工标准及要求，负责向施工作业班组、作业人员作出详细的说明，并由双方签字确认。</w:t>
      </w:r>
    </w:p>
    <w:p w14:paraId="2B76BA4A">
      <w:pPr>
        <w:keepNext w:val="0"/>
        <w:keepLines w:val="0"/>
        <w:pageBreakBefore w:val="0"/>
        <w:widowControl w:val="0"/>
        <w:kinsoku/>
        <w:wordWrap/>
        <w:overflowPunct/>
        <w:topLinePunct w:val="0"/>
        <w:autoSpaceDE/>
        <w:autoSpaceDN/>
        <w:bidi w:val="0"/>
        <w:adjustRightInd/>
        <w:snapToGrid/>
        <w:spacing w:line="440" w:lineRule="exact"/>
        <w:ind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工程施工前，承包人使用的安全防护用具、机械设备、施工机具及配件，应当具有生产（制造）许可证、产品合格证，并在进入施工现场前进行查验，经</w:t>
      </w:r>
      <w:r>
        <w:rPr>
          <w:rFonts w:hint="eastAsia" w:ascii="宋体" w:hAnsi="宋体" w:cs="宋体"/>
          <w:color w:val="auto"/>
          <w:spacing w:val="-1"/>
          <w:sz w:val="21"/>
          <w:szCs w:val="21"/>
          <w:highlight w:val="none"/>
          <w:u w:val="single" w:color="auto"/>
          <w:lang w:val="en-US" w:eastAsia="zh-CN"/>
        </w:rPr>
        <w:t>发包人</w:t>
      </w:r>
      <w:r>
        <w:rPr>
          <w:rFonts w:hint="eastAsia" w:ascii="宋体" w:hAnsi="宋体" w:eastAsia="宋体" w:cs="宋体"/>
          <w:color w:val="auto"/>
          <w:spacing w:val="-1"/>
          <w:sz w:val="21"/>
          <w:szCs w:val="21"/>
          <w:highlight w:val="none"/>
          <w:u w:val="single" w:color="auto"/>
        </w:rPr>
        <w:t>签字确认后方可使用。</w:t>
      </w:r>
    </w:p>
    <w:p w14:paraId="4722FC6D">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特种作业人员，必须按照国家有关规定经过专门的安全作业培训，并取得特种作业操作资格证书后，方可上岗作业。</w:t>
      </w:r>
    </w:p>
    <w:p w14:paraId="5671E27C">
      <w:pPr>
        <w:keepNext w:val="0"/>
        <w:keepLines w:val="0"/>
        <w:pageBreakBefore w:val="0"/>
        <w:widowControl w:val="0"/>
        <w:kinsoku/>
        <w:wordWrap/>
        <w:overflowPunct/>
        <w:topLinePunct w:val="0"/>
        <w:autoSpaceDE/>
        <w:autoSpaceDN/>
        <w:bidi w:val="0"/>
        <w:adjustRightInd/>
        <w:snapToGrid/>
        <w:spacing w:line="440" w:lineRule="exact"/>
        <w:ind w:left="4" w:right="-729" w:rightChars="-347" w:firstLine="42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4）承包人应严格按《建设工程安全生产管理条例》等法律法规采取</w:t>
      </w:r>
      <w:r>
        <w:rPr>
          <w:rFonts w:hint="eastAsia" w:ascii="宋体" w:hAnsi="宋体" w:eastAsia="宋体" w:cs="宋体"/>
          <w:color w:val="auto"/>
          <w:spacing w:val="-3"/>
          <w:sz w:val="21"/>
          <w:szCs w:val="21"/>
          <w:highlight w:val="none"/>
          <w:u w:val="single" w:color="auto"/>
        </w:rPr>
        <w:t>安全措施、组织施工，</w:t>
      </w:r>
      <w:r>
        <w:rPr>
          <w:rFonts w:hint="eastAsia" w:ascii="宋体" w:hAnsi="宋体" w:eastAsia="宋体" w:cs="宋体"/>
          <w:color w:val="auto"/>
          <w:sz w:val="21"/>
          <w:szCs w:val="21"/>
          <w:highlight w:val="none"/>
          <w:u w:val="single" w:color="auto"/>
        </w:rPr>
        <w:t>如发生事故，所造成的一切责任与后果均由</w:t>
      </w:r>
      <w:r>
        <w:rPr>
          <w:rFonts w:hint="eastAsia" w:ascii="宋体" w:hAnsi="宋体" w:eastAsia="宋体" w:cs="宋体"/>
          <w:color w:val="auto"/>
          <w:spacing w:val="-1"/>
          <w:sz w:val="21"/>
          <w:szCs w:val="21"/>
          <w:highlight w:val="none"/>
          <w:u w:val="single" w:color="auto"/>
        </w:rPr>
        <w:t>承包人承担。</w:t>
      </w:r>
    </w:p>
    <w:p w14:paraId="55AC3F69">
      <w:pPr>
        <w:keepNext w:val="0"/>
        <w:keepLines w:val="0"/>
        <w:pageBreakBefore w:val="0"/>
        <w:widowControl w:val="0"/>
        <w:tabs>
          <w:tab w:val="left" w:pos="532"/>
        </w:tabs>
        <w:kinsoku/>
        <w:wordWrap/>
        <w:overflowPunct/>
        <w:topLinePunct w:val="0"/>
        <w:autoSpaceDE/>
        <w:autoSpaceDN/>
        <w:bidi w:val="0"/>
        <w:adjustRightInd/>
        <w:snapToGrid/>
        <w:spacing w:line="440" w:lineRule="exact"/>
        <w:ind w:left="41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u w:val="single" w:color="auto"/>
        </w:rPr>
        <w:t>（5）未能达到上述（1</w:t>
      </w:r>
      <w:r>
        <w:rPr>
          <w:rFonts w:hint="eastAsia" w:ascii="宋体" w:hAnsi="宋体" w:eastAsia="宋体" w:cs="宋体"/>
          <w:color w:val="auto"/>
          <w:spacing w:val="-9"/>
          <w:sz w:val="21"/>
          <w:szCs w:val="21"/>
          <w:highlight w:val="none"/>
          <w:u w:val="single" w:color="auto"/>
        </w:rPr>
        <w:t>）－（</w:t>
      </w:r>
      <w:r>
        <w:rPr>
          <w:rFonts w:hint="eastAsia" w:ascii="宋体" w:hAnsi="宋体" w:eastAsia="宋体" w:cs="宋体"/>
          <w:color w:val="auto"/>
          <w:spacing w:val="-2"/>
          <w:sz w:val="21"/>
          <w:szCs w:val="21"/>
          <w:highlight w:val="none"/>
          <w:u w:val="single" w:color="auto"/>
        </w:rPr>
        <w:t>3）条要求，发包人有权扣除承包人履约保证金的</w:t>
      </w:r>
      <w:r>
        <w:rPr>
          <w:rFonts w:hint="eastAsia" w:ascii="宋体" w:hAnsi="宋体" w:eastAsia="宋体" w:cs="宋体"/>
          <w:color w:val="auto"/>
          <w:spacing w:val="-19"/>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5%～10%。</w:t>
      </w:r>
    </w:p>
    <w:p w14:paraId="374419C5">
      <w:pPr>
        <w:keepNext w:val="0"/>
        <w:keepLines w:val="0"/>
        <w:pageBreakBefore w:val="0"/>
        <w:widowControl w:val="0"/>
        <w:tabs>
          <w:tab w:val="left" w:pos="532"/>
        </w:tabs>
        <w:kinsoku/>
        <w:wordWrap/>
        <w:overflowPunct/>
        <w:topLinePunct w:val="0"/>
        <w:autoSpaceDE/>
        <w:autoSpaceDN/>
        <w:bidi w:val="0"/>
        <w:adjustRightInd/>
        <w:snapToGrid/>
        <w:spacing w:line="440" w:lineRule="exact"/>
        <w:ind w:right="-729" w:rightChars="-347" w:firstLine="4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3"/>
          <w:sz w:val="21"/>
          <w:szCs w:val="21"/>
          <w:highlight w:val="none"/>
          <w:u w:val="single" w:color="auto"/>
        </w:rPr>
        <w:t>（6）建立安全制度、安全检查制度、安全教育制度、工地班前活动制度、文明施工检查制</w:t>
      </w:r>
      <w:r>
        <w:rPr>
          <w:rFonts w:hint="eastAsia" w:ascii="宋体" w:hAnsi="宋体" w:eastAsia="宋体" w:cs="宋体"/>
          <w:color w:val="auto"/>
          <w:spacing w:val="-1"/>
          <w:sz w:val="21"/>
          <w:szCs w:val="21"/>
          <w:highlight w:val="none"/>
          <w:u w:val="single" w:color="auto"/>
        </w:rPr>
        <w:t>度。满足江苏省、南通市等安监部门安全文明生产的要求，做好安全技术教育及交底，落实所有安全技术措施和人身防护用品。</w:t>
      </w:r>
    </w:p>
    <w:p w14:paraId="6C4E855A">
      <w:pPr>
        <w:keepNext w:val="0"/>
        <w:keepLines w:val="0"/>
        <w:pageBreakBefore w:val="0"/>
        <w:widowControl w:val="0"/>
        <w:tabs>
          <w:tab w:val="left" w:pos="532"/>
        </w:tabs>
        <w:kinsoku/>
        <w:wordWrap/>
        <w:overflowPunct/>
        <w:topLinePunct w:val="0"/>
        <w:autoSpaceDE/>
        <w:autoSpaceDN/>
        <w:bidi w:val="0"/>
        <w:adjustRightInd/>
        <w:snapToGrid/>
        <w:spacing w:line="440" w:lineRule="exact"/>
        <w:ind w:right="-729" w:rightChars="-347" w:firstLine="41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3"/>
          <w:sz w:val="21"/>
          <w:szCs w:val="21"/>
          <w:highlight w:val="none"/>
          <w:u w:val="single" w:color="auto"/>
        </w:rPr>
        <w:t>（7）</w:t>
      </w:r>
      <w:r>
        <w:rPr>
          <w:rFonts w:hint="eastAsia" w:ascii="宋体" w:hAnsi="宋体" w:eastAsia="宋体" w:cs="宋体"/>
          <w:b/>
          <w:bCs/>
          <w:color w:val="auto"/>
          <w:spacing w:val="-3"/>
          <w:sz w:val="21"/>
          <w:szCs w:val="21"/>
          <w:highlight w:val="none"/>
          <w:u w:val="single" w:color="auto"/>
        </w:rPr>
        <w:t>本工程设安全文明施工保证金，凡在施工期间，由于承包人原因造成的事故，除根据事故的严重程度或等级扣除部分或全安全文明施工履约保证金外，还需承担全部责任及由此引起</w:t>
      </w:r>
      <w:r>
        <w:rPr>
          <w:rFonts w:hint="eastAsia" w:ascii="宋体" w:hAnsi="宋体" w:eastAsia="宋体" w:cs="宋体"/>
          <w:b/>
          <w:bCs/>
          <w:color w:val="auto"/>
          <w:spacing w:val="3"/>
          <w:sz w:val="21"/>
          <w:szCs w:val="21"/>
          <w:highlight w:val="none"/>
          <w:u w:val="single" w:color="auto"/>
        </w:rPr>
        <w:t>的一切费用，发包人不承担任何责任。</w:t>
      </w:r>
      <w:r>
        <w:rPr>
          <w:rFonts w:hint="eastAsia" w:ascii="宋体" w:hAnsi="宋体" w:eastAsia="宋体" w:cs="宋体"/>
          <w:color w:val="auto"/>
          <w:spacing w:val="7"/>
          <w:sz w:val="21"/>
          <w:szCs w:val="21"/>
          <w:highlight w:val="none"/>
          <w:u w:val="single" w:color="auto"/>
        </w:rPr>
        <w:t xml:space="preserve">  </w:t>
      </w:r>
    </w:p>
    <w:p w14:paraId="66CD375C">
      <w:pPr>
        <w:keepNext w:val="0"/>
        <w:keepLines w:val="0"/>
        <w:pageBreakBefore w:val="0"/>
        <w:widowControl w:val="0"/>
        <w:kinsoku/>
        <w:wordWrap/>
        <w:overflowPunct/>
        <w:topLinePunct w:val="0"/>
        <w:autoSpaceDE/>
        <w:autoSpaceDN/>
        <w:bidi w:val="0"/>
        <w:adjustRightInd/>
        <w:snapToGrid/>
        <w:spacing w:line="440" w:lineRule="exact"/>
        <w:ind w:left="2" w:right="-729" w:rightChars="-347" w:firstLine="52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施工期间承包人按发包人要求做好成品保护工作；发包</w:t>
      </w:r>
      <w:r>
        <w:rPr>
          <w:rFonts w:hint="eastAsia" w:ascii="宋体" w:hAnsi="宋体" w:eastAsia="宋体" w:cs="宋体"/>
          <w:color w:val="auto"/>
          <w:spacing w:val="-4"/>
          <w:sz w:val="21"/>
          <w:szCs w:val="21"/>
          <w:highlight w:val="none"/>
          <w:u w:val="single" w:color="auto"/>
        </w:rPr>
        <w:t>人另行发包的工程每项工程完成后，经发包方、承</w:t>
      </w:r>
      <w:r>
        <w:rPr>
          <w:rFonts w:hint="eastAsia" w:ascii="宋体" w:hAnsi="宋体" w:eastAsia="宋体" w:cs="宋体"/>
          <w:color w:val="auto"/>
          <w:spacing w:val="-5"/>
          <w:sz w:val="21"/>
          <w:szCs w:val="21"/>
          <w:highlight w:val="none"/>
          <w:u w:val="single" w:color="auto"/>
        </w:rPr>
        <w:t>包方、分包方三方验收合格后，</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交招标人负责</w:t>
      </w:r>
      <w:r>
        <w:rPr>
          <w:rFonts w:hint="eastAsia" w:ascii="宋体" w:hAnsi="宋体" w:eastAsia="宋体" w:cs="宋体"/>
          <w:color w:val="auto"/>
          <w:spacing w:val="-2"/>
          <w:sz w:val="21"/>
          <w:szCs w:val="21"/>
          <w:highlight w:val="none"/>
          <w:u w:val="single" w:color="auto"/>
        </w:rPr>
        <w:t>总包管理</w:t>
      </w:r>
      <w:r>
        <w:rPr>
          <w:rFonts w:hint="eastAsia" w:ascii="宋体" w:hAnsi="宋体" w:eastAsia="宋体" w:cs="宋体"/>
          <w:color w:val="auto"/>
          <w:spacing w:val="-2"/>
          <w:sz w:val="21"/>
          <w:szCs w:val="21"/>
          <w:highlight w:val="none"/>
        </w:rPr>
        <w:t>。</w:t>
      </w:r>
    </w:p>
    <w:p w14:paraId="33AD276B">
      <w:pPr>
        <w:keepNext w:val="0"/>
        <w:keepLines w:val="0"/>
        <w:pageBreakBefore w:val="0"/>
        <w:widowControl w:val="0"/>
        <w:kinsoku/>
        <w:wordWrap/>
        <w:overflowPunct/>
        <w:topLinePunct w:val="0"/>
        <w:autoSpaceDE/>
        <w:autoSpaceDN/>
        <w:bidi w:val="0"/>
        <w:adjustRightInd/>
        <w:snapToGrid/>
        <w:spacing w:line="440" w:lineRule="exact"/>
        <w:ind w:left="0" w:leftChars="0" w:right="-729" w:rightChars="-347" w:firstLine="419" w:firstLineChars="18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关于编制施工场地治安管理计划的约定：</w:t>
      </w:r>
      <w:r>
        <w:rPr>
          <w:rFonts w:hint="eastAsia" w:ascii="宋体" w:hAnsi="宋体" w:eastAsia="宋体" w:cs="宋体"/>
          <w:b/>
          <w:bCs/>
          <w:color w:val="auto"/>
          <w:spacing w:val="6"/>
          <w:sz w:val="21"/>
          <w:szCs w:val="21"/>
          <w:highlight w:val="none"/>
          <w:u w:val="single" w:color="auto"/>
        </w:rPr>
        <w:t>开工前三天提供施工场地治安管理计划</w:t>
      </w:r>
      <w:r>
        <w:rPr>
          <w:rFonts w:hint="eastAsia" w:ascii="宋体" w:hAnsi="宋体" w:eastAsia="宋体" w:cs="宋体"/>
          <w:color w:val="auto"/>
          <w:spacing w:val="6"/>
          <w:sz w:val="21"/>
          <w:szCs w:val="21"/>
          <w:highlight w:val="none"/>
        </w:rPr>
        <w:t>。</w:t>
      </w:r>
    </w:p>
    <w:p w14:paraId="464BFFDA">
      <w:pPr>
        <w:keepNext w:val="0"/>
        <w:keepLines w:val="0"/>
        <w:pageBreakBefore w:val="0"/>
        <w:widowControl w:val="0"/>
        <w:kinsoku/>
        <w:wordWrap/>
        <w:overflowPunct/>
        <w:topLinePunct w:val="0"/>
        <w:autoSpaceDE/>
        <w:autoSpaceDN/>
        <w:bidi w:val="0"/>
        <w:adjustRightInd/>
        <w:snapToGrid/>
        <w:spacing w:line="440" w:lineRule="exact"/>
        <w:ind w:left="5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6.1.5 文明施工</w:t>
      </w:r>
    </w:p>
    <w:p w14:paraId="33ED2E53">
      <w:pPr>
        <w:keepNext w:val="0"/>
        <w:keepLines w:val="0"/>
        <w:pageBreakBefore w:val="0"/>
        <w:widowControl w:val="0"/>
        <w:kinsoku/>
        <w:wordWrap/>
        <w:overflowPunct/>
        <w:topLinePunct w:val="0"/>
        <w:autoSpaceDE/>
        <w:autoSpaceDN/>
        <w:bidi w:val="0"/>
        <w:adjustRightInd/>
        <w:snapToGrid/>
        <w:spacing w:line="440" w:lineRule="exact"/>
        <w:ind w:right="-729" w:rightChars="-347" w:firstLine="42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合同当事人对文明施工的要求：</w:t>
      </w:r>
      <w:r>
        <w:rPr>
          <w:rFonts w:hint="eastAsia" w:ascii="宋体" w:hAnsi="宋体" w:eastAsia="宋体" w:cs="宋体"/>
          <w:color w:val="auto"/>
          <w:spacing w:val="-1"/>
          <w:sz w:val="21"/>
          <w:szCs w:val="21"/>
          <w:highlight w:val="none"/>
          <w:u w:val="single" w:color="auto"/>
        </w:rPr>
        <w:t>承包人必须按文明工地要求，做好场地清理及相关工作。施工现场的材料堆放要整齐，机械停放有序，做到工完料清；遵守环境卫生管理的有关规定，符合清洁卫生要求；定期将所有建筑垃圾从施工场地清除，并运出场外；交工前，将所有剩余的建筑</w:t>
      </w:r>
      <w:r>
        <w:rPr>
          <w:rFonts w:hint="eastAsia" w:ascii="宋体" w:hAnsi="宋体" w:eastAsia="宋体" w:cs="宋体"/>
          <w:color w:val="auto"/>
          <w:sz w:val="21"/>
          <w:szCs w:val="21"/>
          <w:highlight w:val="none"/>
          <w:u w:val="single" w:color="auto"/>
        </w:rPr>
        <w:t>材料运走或运至指定地点堆放，将所有施工机械和设</w:t>
      </w:r>
      <w:r>
        <w:rPr>
          <w:rFonts w:hint="eastAsia" w:ascii="宋体" w:hAnsi="宋体" w:eastAsia="宋体" w:cs="宋体"/>
          <w:color w:val="auto"/>
          <w:spacing w:val="-1"/>
          <w:sz w:val="21"/>
          <w:szCs w:val="21"/>
          <w:highlight w:val="none"/>
          <w:u w:val="single" w:color="auto"/>
        </w:rPr>
        <w:t>备从施工场地运走。上述费用包含在合同价</w:t>
      </w:r>
      <w:r>
        <w:rPr>
          <w:rFonts w:hint="eastAsia" w:ascii="宋体" w:hAnsi="宋体" w:eastAsia="宋体" w:cs="宋体"/>
          <w:color w:val="auto"/>
          <w:spacing w:val="-2"/>
          <w:sz w:val="21"/>
          <w:szCs w:val="21"/>
          <w:highlight w:val="none"/>
          <w:u w:val="single" w:color="auto"/>
        </w:rPr>
        <w:t>中。未能达到上述要求发包人有权扣除承包人履约保证金的</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5%。若承包</w:t>
      </w:r>
      <w:r>
        <w:rPr>
          <w:rFonts w:hint="eastAsia" w:ascii="宋体" w:hAnsi="宋体" w:eastAsia="宋体" w:cs="宋体"/>
          <w:color w:val="auto"/>
          <w:spacing w:val="-3"/>
          <w:sz w:val="21"/>
          <w:szCs w:val="21"/>
          <w:highlight w:val="none"/>
          <w:u w:val="single" w:color="auto"/>
        </w:rPr>
        <w:t>人现场施工作业面、办公</w:t>
      </w:r>
      <w:r>
        <w:rPr>
          <w:rFonts w:hint="eastAsia" w:ascii="宋体" w:hAnsi="宋体" w:eastAsia="宋体" w:cs="宋体"/>
          <w:color w:val="auto"/>
          <w:spacing w:val="-1"/>
          <w:sz w:val="21"/>
          <w:szCs w:val="21"/>
          <w:highlight w:val="none"/>
          <w:u w:val="single" w:color="auto"/>
        </w:rPr>
        <w:t>区、生活区内清洁卫生满足不了文明施工要求，发包人有权安排其他单位或个人打扫，按具体发生的费用</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倍及以上从进度款中扣除。承包人必须服从发包人现场的统一管理和协调，做到文明</w:t>
      </w:r>
      <w:r>
        <w:rPr>
          <w:rFonts w:hint="eastAsia" w:ascii="宋体" w:hAnsi="宋体" w:eastAsia="宋体" w:cs="宋体"/>
          <w:color w:val="auto"/>
          <w:sz w:val="21"/>
          <w:szCs w:val="21"/>
          <w:highlight w:val="none"/>
          <w:u w:val="single" w:color="auto"/>
        </w:rPr>
        <w:t>施工。施工现场要设立标语、标牌，做到文明施工，树立企业</w:t>
      </w:r>
      <w:r>
        <w:rPr>
          <w:rFonts w:hint="eastAsia" w:ascii="宋体" w:hAnsi="宋体" w:eastAsia="宋体" w:cs="宋体"/>
          <w:color w:val="auto"/>
          <w:spacing w:val="-1"/>
          <w:sz w:val="21"/>
          <w:szCs w:val="21"/>
          <w:highlight w:val="none"/>
          <w:u w:val="single" w:color="auto"/>
        </w:rPr>
        <w:t>形象，主动接受社会监督和有关部门的管理。</w:t>
      </w:r>
    </w:p>
    <w:p w14:paraId="4EEF1C70">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w:t>
      </w:r>
      <w:r>
        <w:rPr>
          <w:rFonts w:hint="eastAsia" w:ascii="宋体" w:hAnsi="宋体" w:eastAsia="宋体" w:cs="宋体"/>
          <w:color w:val="auto"/>
          <w:spacing w:val="-1"/>
          <w:sz w:val="21"/>
          <w:szCs w:val="21"/>
          <w:highlight w:val="none"/>
        </w:rPr>
        <w:t>期限的约定：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31"/>
          <w:sz w:val="21"/>
          <w:szCs w:val="21"/>
          <w:highlight w:val="none"/>
          <w:u w:val="single" w:color="auto"/>
        </w:rPr>
        <w:t xml:space="preserve"> </w:t>
      </w:r>
      <w:r>
        <w:rPr>
          <w:rFonts w:hint="eastAsia" w:ascii="宋体" w:hAnsi="宋体" w:eastAsia="宋体" w:cs="宋体"/>
          <w:b/>
          <w:bCs/>
          <w:color w:val="auto"/>
          <w:spacing w:val="-1"/>
          <w:sz w:val="21"/>
          <w:szCs w:val="21"/>
          <w:highlight w:val="none"/>
        </w:rPr>
        <w:t>。</w:t>
      </w:r>
    </w:p>
    <w:p w14:paraId="0564E6A7">
      <w:pPr>
        <w:keepNext w:val="0"/>
        <w:keepLines w:val="0"/>
        <w:pageBreakBefore w:val="0"/>
        <w:widowControl w:val="0"/>
        <w:kinsoku/>
        <w:wordWrap/>
        <w:overflowPunct/>
        <w:topLinePunct w:val="0"/>
        <w:autoSpaceDE/>
        <w:autoSpaceDN/>
        <w:bidi w:val="0"/>
        <w:adjustRightInd/>
        <w:snapToGrid/>
        <w:spacing w:line="440" w:lineRule="exact"/>
        <w:ind w:left="48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6.1.9</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2"/>
          <w:sz w:val="21"/>
          <w:szCs w:val="21"/>
          <w:highlight w:val="none"/>
        </w:rPr>
        <w:t>安全生产责任</w:t>
      </w:r>
    </w:p>
    <w:p w14:paraId="6877746D">
      <w:pPr>
        <w:keepNext w:val="0"/>
        <w:keepLines w:val="0"/>
        <w:pageBreakBefore w:val="0"/>
        <w:widowControl w:val="0"/>
        <w:tabs>
          <w:tab w:val="left" w:pos="8792"/>
        </w:tabs>
        <w:kinsoku/>
        <w:wordWrap/>
        <w:overflowPunct/>
        <w:topLinePunct w:val="0"/>
        <w:autoSpaceDE/>
        <w:autoSpaceDN/>
        <w:bidi w:val="0"/>
        <w:adjustRightInd/>
        <w:snapToGrid/>
        <w:spacing w:line="440" w:lineRule="exact"/>
        <w:ind w:right="-729" w:rightChars="-347" w:firstLine="421"/>
        <w:jc w:val="both"/>
        <w:textAlignment w:val="auto"/>
        <w:rPr>
          <w:rFonts w:hint="eastAsia" w:ascii="宋体" w:hAnsi="宋体" w:eastAsia="宋体" w:cs="宋体"/>
          <w:color w:val="auto"/>
          <w:spacing w:val="-4"/>
          <w:sz w:val="21"/>
          <w:szCs w:val="21"/>
          <w:highlight w:val="none"/>
          <w:u w:val="single" w:color="auto"/>
        </w:rPr>
      </w:pPr>
      <w:r>
        <w:rPr>
          <w:rFonts w:hint="eastAsia" w:ascii="宋体" w:hAnsi="宋体" w:eastAsia="宋体" w:cs="宋体"/>
          <w:color w:val="auto"/>
          <w:spacing w:val="-4"/>
          <w:sz w:val="21"/>
          <w:szCs w:val="21"/>
          <w:highlight w:val="none"/>
          <w:u w:val="single" w:color="auto"/>
        </w:rPr>
        <w:t>承包人应严格按《建设工程安全生产管理条例》等法律法规采取安全措施、组织施工，承包人须对本合同范围内所有施工范围和施工人员负全部安全施工责任。承包人应严格按工程建设安全生产有关管理规定，采取安全措施组织施工。若发生安全事故，一切责任由承包方承担。</w:t>
      </w:r>
    </w:p>
    <w:p w14:paraId="48BB6BEA">
      <w:pPr>
        <w:keepNext w:val="0"/>
        <w:keepLines w:val="0"/>
        <w:pageBreakBefore w:val="0"/>
        <w:widowControl w:val="0"/>
        <w:tabs>
          <w:tab w:val="left" w:pos="8792"/>
        </w:tabs>
        <w:kinsoku/>
        <w:wordWrap/>
        <w:overflowPunct/>
        <w:topLinePunct w:val="0"/>
        <w:autoSpaceDE/>
        <w:autoSpaceDN/>
        <w:bidi w:val="0"/>
        <w:adjustRightInd/>
        <w:snapToGrid/>
        <w:spacing w:line="440" w:lineRule="exact"/>
        <w:ind w:right="-729" w:rightChars="-347" w:firstLine="4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承包人对因工程施工可能造成损害的毗邻建筑物、构筑物和地下管线等，应当</w:t>
      </w:r>
      <w:r>
        <w:rPr>
          <w:rFonts w:hint="eastAsia" w:ascii="宋体" w:hAnsi="宋体" w:eastAsia="宋体" w:cs="宋体"/>
          <w:color w:val="auto"/>
          <w:spacing w:val="-5"/>
          <w:sz w:val="21"/>
          <w:szCs w:val="21"/>
          <w:highlight w:val="none"/>
          <w:u w:val="single" w:color="auto"/>
        </w:rPr>
        <w:t>采取专项防护</w:t>
      </w:r>
      <w:r>
        <w:rPr>
          <w:rFonts w:hint="eastAsia" w:ascii="宋体" w:hAnsi="宋体" w:eastAsia="宋体" w:cs="宋体"/>
          <w:color w:val="auto"/>
          <w:spacing w:val="-3"/>
          <w:sz w:val="21"/>
          <w:szCs w:val="21"/>
          <w:highlight w:val="none"/>
          <w:u w:val="single" w:color="auto"/>
        </w:rPr>
        <w:t>措施。承包人应当遵守有关环境保护法律法规的规定，在施工现场采取措施，防止或减少粉尘、</w:t>
      </w:r>
      <w:r>
        <w:rPr>
          <w:rFonts w:hint="eastAsia" w:ascii="宋体" w:hAnsi="宋体" w:eastAsia="宋体" w:cs="宋体"/>
          <w:color w:val="auto"/>
          <w:sz w:val="21"/>
          <w:szCs w:val="21"/>
          <w:highlight w:val="none"/>
          <w:u w:val="single" w:color="auto"/>
        </w:rPr>
        <w:t>废气、废水、固体废物、噪声、振动和施工照明对人和环境的危害和污染。</w:t>
      </w:r>
    </w:p>
    <w:p w14:paraId="092B1ECA">
      <w:pPr>
        <w:keepNext w:val="0"/>
        <w:keepLines w:val="0"/>
        <w:pageBreakBefore w:val="0"/>
        <w:widowControl w:val="0"/>
        <w:tabs>
          <w:tab w:val="left" w:pos="8792"/>
        </w:tabs>
        <w:kinsoku/>
        <w:wordWrap/>
        <w:overflowPunct/>
        <w:topLinePunct w:val="0"/>
        <w:autoSpaceDE/>
        <w:autoSpaceDN/>
        <w:bidi w:val="0"/>
        <w:adjustRightInd/>
        <w:snapToGrid/>
        <w:spacing w:line="440" w:lineRule="exact"/>
        <w:ind w:right="-729" w:rightChars="-347" w:firstLine="4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承包人必须建立完善的消防管理制度，并有</w:t>
      </w:r>
      <w:r>
        <w:rPr>
          <w:rFonts w:hint="eastAsia" w:ascii="宋体" w:hAnsi="宋体" w:eastAsia="宋体" w:cs="宋体"/>
          <w:color w:val="auto"/>
          <w:spacing w:val="-1"/>
          <w:sz w:val="21"/>
          <w:szCs w:val="21"/>
          <w:highlight w:val="none"/>
          <w:u w:val="single" w:color="auto"/>
        </w:rPr>
        <w:t>专人负责现场的消防管理，施工现场必须配备足够的消防器材，满足消防要求。承包人应当在施工现场建立消防安全责任制，确定消防安全责任</w:t>
      </w:r>
      <w:r>
        <w:rPr>
          <w:rFonts w:hint="eastAsia" w:ascii="宋体" w:hAnsi="宋体" w:eastAsia="宋体" w:cs="宋体"/>
          <w:color w:val="auto"/>
          <w:spacing w:val="-3"/>
          <w:sz w:val="21"/>
          <w:szCs w:val="21"/>
          <w:highlight w:val="none"/>
          <w:u w:val="single" w:color="auto"/>
        </w:rPr>
        <w:t>人，制定用火、用电，使用易燃易爆材料等各项消防安全管理制度和操作规程，设置消防通道、</w:t>
      </w:r>
      <w:r>
        <w:rPr>
          <w:rFonts w:hint="eastAsia" w:ascii="宋体" w:hAnsi="宋体" w:eastAsia="宋体" w:cs="宋体"/>
          <w:color w:val="auto"/>
          <w:sz w:val="21"/>
          <w:szCs w:val="21"/>
          <w:highlight w:val="none"/>
          <w:u w:val="single" w:color="auto"/>
        </w:rPr>
        <w:t>消防水源，配备消防设施和灭火器材，并在施工现场设置明显标志。</w:t>
      </w:r>
    </w:p>
    <w:p w14:paraId="4D179BC8">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7. 工期和进度</w:t>
      </w:r>
    </w:p>
    <w:p w14:paraId="30B79CAD">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 施工组织设计</w:t>
      </w:r>
    </w:p>
    <w:p w14:paraId="2D4A11EF">
      <w:pPr>
        <w:keepNext w:val="0"/>
        <w:keepLines w:val="0"/>
        <w:pageBreakBefore w:val="0"/>
        <w:widowControl w:val="0"/>
        <w:kinsoku/>
        <w:wordWrap/>
        <w:overflowPunct/>
        <w:topLinePunct w:val="0"/>
        <w:autoSpaceDE/>
        <w:autoSpaceDN/>
        <w:bidi w:val="0"/>
        <w:adjustRightInd/>
        <w:snapToGrid/>
        <w:spacing w:line="440" w:lineRule="exact"/>
        <w:ind w:right="-729" w:rightChars="-347" w:firstLine="42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7.1.1 合同当事人约定的施工组织设计应包括</w:t>
      </w:r>
      <w:r>
        <w:rPr>
          <w:rFonts w:hint="eastAsia" w:ascii="宋体" w:hAnsi="宋体" w:eastAsia="宋体" w:cs="宋体"/>
          <w:color w:val="auto"/>
          <w:spacing w:val="-2"/>
          <w:sz w:val="21"/>
          <w:szCs w:val="21"/>
          <w:highlight w:val="none"/>
        </w:rPr>
        <w:t>的其他内容：</w:t>
      </w:r>
      <w:r>
        <w:rPr>
          <w:rFonts w:hint="eastAsia" w:ascii="宋体" w:hAnsi="宋体" w:eastAsia="宋体" w:cs="宋体"/>
          <w:b/>
          <w:bCs/>
          <w:color w:val="auto"/>
          <w:spacing w:val="-2"/>
          <w:sz w:val="21"/>
          <w:szCs w:val="21"/>
          <w:highlight w:val="none"/>
          <w:u w:val="single" w:color="auto"/>
        </w:rPr>
        <w:t>承包人在开工前必须提交详细的</w:t>
      </w:r>
      <w:r>
        <w:rPr>
          <w:rFonts w:hint="eastAsia" w:ascii="宋体" w:hAnsi="宋体" w:eastAsia="宋体" w:cs="宋体"/>
          <w:b/>
          <w:bCs/>
          <w:color w:val="auto"/>
          <w:spacing w:val="-3"/>
          <w:sz w:val="21"/>
          <w:szCs w:val="21"/>
          <w:highlight w:val="none"/>
          <w:u w:val="single" w:color="auto"/>
        </w:rPr>
        <w:t>施工组织设计，报发包人及总监审批，施工组织设计经发包人认可后方可开工。施工组织</w:t>
      </w:r>
      <w:r>
        <w:rPr>
          <w:rFonts w:hint="eastAsia" w:ascii="宋体" w:hAnsi="宋体" w:eastAsia="宋体" w:cs="宋体"/>
          <w:b/>
          <w:bCs/>
          <w:color w:val="auto"/>
          <w:spacing w:val="11"/>
          <w:sz w:val="21"/>
          <w:szCs w:val="21"/>
          <w:highlight w:val="none"/>
          <w:u w:val="single" w:color="auto"/>
        </w:rPr>
        <w:t>设计将作为工程款支付的参考依据之一</w:t>
      </w:r>
      <w:r>
        <w:rPr>
          <w:rFonts w:hint="eastAsia" w:ascii="宋体" w:hAnsi="宋体" w:eastAsia="宋体" w:cs="宋体"/>
          <w:color w:val="auto"/>
          <w:spacing w:val="-59"/>
          <w:sz w:val="21"/>
          <w:szCs w:val="21"/>
          <w:highlight w:val="none"/>
          <w:u w:val="single" w:color="auto"/>
        </w:rPr>
        <w:t xml:space="preserve"> </w:t>
      </w:r>
      <w:r>
        <w:rPr>
          <w:rFonts w:hint="eastAsia" w:ascii="宋体" w:hAnsi="宋体" w:eastAsia="宋体" w:cs="宋体"/>
          <w:b/>
          <w:bCs/>
          <w:color w:val="auto"/>
          <w:spacing w:val="11"/>
          <w:sz w:val="21"/>
          <w:szCs w:val="21"/>
          <w:highlight w:val="none"/>
          <w:u w:val="single" w:color="auto"/>
        </w:rPr>
        <w:t>。</w:t>
      </w:r>
    </w:p>
    <w:p w14:paraId="0E26D8E1">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5EA3E53F">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承包人提交详细施工组织设计的期限的约定：</w:t>
      </w:r>
      <w:r>
        <w:rPr>
          <w:rFonts w:hint="eastAsia" w:ascii="宋体" w:hAnsi="宋体" w:eastAsia="宋体" w:cs="宋体"/>
          <w:b/>
          <w:bCs/>
          <w:color w:val="auto"/>
          <w:spacing w:val="-2"/>
          <w:sz w:val="21"/>
          <w:szCs w:val="21"/>
          <w:highlight w:val="none"/>
          <w:u w:val="single" w:color="auto"/>
        </w:rPr>
        <w:t>开工前</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3</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w:t>
      </w:r>
    </w:p>
    <w:p w14:paraId="22C1936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承包人编制的进度计划中应明确各分部完成</w:t>
      </w:r>
      <w:r>
        <w:rPr>
          <w:rFonts w:hint="eastAsia" w:ascii="宋体" w:hAnsi="宋体" w:eastAsia="宋体" w:cs="宋体"/>
          <w:color w:val="auto"/>
          <w:spacing w:val="-1"/>
          <w:sz w:val="21"/>
          <w:szCs w:val="21"/>
          <w:highlight w:val="none"/>
        </w:rPr>
        <w:t>的具体时间，关键线路，劳动力动态变化图等。</w:t>
      </w:r>
      <w:r>
        <w:rPr>
          <w:rFonts w:hint="eastAsia" w:ascii="宋体" w:hAnsi="宋体" w:eastAsia="宋体" w:cs="宋体"/>
          <w:color w:val="auto"/>
          <w:sz w:val="21"/>
          <w:szCs w:val="21"/>
          <w:highlight w:val="none"/>
        </w:rPr>
        <w:t>发包人每天记录施工人数，实际施工人数小</w:t>
      </w:r>
      <w:r>
        <w:rPr>
          <w:rFonts w:hint="eastAsia" w:ascii="宋体" w:hAnsi="宋体" w:eastAsia="宋体" w:cs="宋体"/>
          <w:color w:val="auto"/>
          <w:spacing w:val="-1"/>
          <w:sz w:val="21"/>
          <w:szCs w:val="21"/>
          <w:highlight w:val="none"/>
        </w:rPr>
        <w:t>于计划人数时，承包人按所缺人数向发包人支</w:t>
      </w:r>
      <w:r>
        <w:rPr>
          <w:rFonts w:hint="eastAsia" w:ascii="宋体" w:hAnsi="宋体" w:eastAsia="宋体" w:cs="宋体"/>
          <w:color w:val="auto"/>
          <w:spacing w:val="-10"/>
          <w:sz w:val="21"/>
          <w:szCs w:val="21"/>
          <w:highlight w:val="none"/>
        </w:rPr>
        <w:t>付违约金</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0"/>
          <w:sz w:val="21"/>
          <w:szCs w:val="21"/>
          <w:highlight w:val="none"/>
        </w:rPr>
        <w:t>500</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0"/>
          <w:sz w:val="21"/>
          <w:szCs w:val="21"/>
          <w:highlight w:val="none"/>
        </w:rPr>
        <w:t>元/人</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0"/>
          <w:sz w:val="21"/>
          <w:szCs w:val="21"/>
          <w:highlight w:val="none"/>
        </w:rPr>
        <w:t>·天。</w:t>
      </w:r>
    </w:p>
    <w:p w14:paraId="2C80EC5C">
      <w:pPr>
        <w:keepNext w:val="0"/>
        <w:keepLines w:val="0"/>
        <w:pageBreakBefore w:val="0"/>
        <w:widowControl w:val="0"/>
        <w:kinsoku/>
        <w:wordWrap/>
        <w:overflowPunct/>
        <w:topLinePunct w:val="0"/>
        <w:autoSpaceDE/>
        <w:autoSpaceDN/>
        <w:bidi w:val="0"/>
        <w:adjustRightInd/>
        <w:snapToGrid/>
        <w:spacing w:line="440" w:lineRule="exact"/>
        <w:ind w:left="18" w:right="-729" w:rightChars="-347" w:firstLine="40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发包人在收到详细的施工组织设计后确</w:t>
      </w:r>
      <w:r>
        <w:rPr>
          <w:rFonts w:hint="eastAsia" w:ascii="宋体" w:hAnsi="宋体" w:eastAsia="宋体" w:cs="宋体"/>
          <w:color w:val="auto"/>
          <w:spacing w:val="1"/>
          <w:sz w:val="21"/>
          <w:szCs w:val="21"/>
          <w:highlight w:val="none"/>
        </w:rPr>
        <w:t>认或提出修改意见的期限：</w:t>
      </w:r>
      <w:r>
        <w:rPr>
          <w:rFonts w:hint="eastAsia" w:ascii="宋体" w:hAnsi="宋体" w:cs="宋体"/>
          <w:b/>
          <w:bCs/>
          <w:spacing w:val="1"/>
          <w:szCs w:val="21"/>
          <w:highlight w:val="none"/>
          <w:u w:val="single"/>
        </w:rPr>
        <w:t>收到上述完整</w:t>
      </w:r>
      <w:r>
        <w:rPr>
          <w:rFonts w:hint="eastAsia" w:ascii="宋体" w:hAnsi="宋体" w:cs="宋体"/>
          <w:b/>
          <w:bCs/>
          <w:spacing w:val="7"/>
          <w:szCs w:val="21"/>
          <w:highlight w:val="none"/>
          <w:u w:val="single"/>
        </w:rPr>
        <w:t>的、符合要求的文件后</w:t>
      </w:r>
      <w:r>
        <w:rPr>
          <w:rFonts w:hint="eastAsia" w:ascii="宋体" w:hAnsi="宋体" w:cs="宋体"/>
          <w:spacing w:val="-19"/>
          <w:szCs w:val="21"/>
          <w:highlight w:val="none"/>
          <w:u w:val="single"/>
        </w:rPr>
        <w:t xml:space="preserve"> </w:t>
      </w:r>
      <w:r>
        <w:rPr>
          <w:rFonts w:hint="eastAsia" w:ascii="宋体" w:hAnsi="宋体" w:cs="宋体"/>
          <w:b/>
          <w:bCs/>
          <w:spacing w:val="7"/>
          <w:szCs w:val="21"/>
          <w:highlight w:val="none"/>
          <w:u w:val="single"/>
        </w:rPr>
        <w:t>3</w:t>
      </w:r>
      <w:r>
        <w:rPr>
          <w:rFonts w:hint="eastAsia" w:ascii="宋体" w:hAnsi="宋体" w:cs="宋体"/>
          <w:spacing w:val="-22"/>
          <w:szCs w:val="21"/>
          <w:highlight w:val="none"/>
          <w:u w:val="single"/>
        </w:rPr>
        <w:t xml:space="preserve"> </w:t>
      </w:r>
      <w:r>
        <w:rPr>
          <w:rFonts w:hint="eastAsia" w:ascii="宋体" w:hAnsi="宋体" w:cs="宋体"/>
          <w:b/>
          <w:bCs/>
          <w:spacing w:val="7"/>
          <w:szCs w:val="21"/>
          <w:highlight w:val="none"/>
          <w:u w:val="single"/>
        </w:rPr>
        <w:t>个工作日内予以</w:t>
      </w:r>
      <w:r>
        <w:rPr>
          <w:rFonts w:hint="eastAsia" w:ascii="宋体" w:hAnsi="宋体" w:cs="宋体"/>
          <w:b/>
          <w:bCs/>
          <w:spacing w:val="7"/>
          <w:szCs w:val="21"/>
          <w:highlight w:val="none"/>
          <w:u w:val="single"/>
          <w:lang w:val="en-US" w:eastAsia="zh-CN"/>
        </w:rPr>
        <w:t>书面</w:t>
      </w:r>
      <w:r>
        <w:rPr>
          <w:rFonts w:hint="eastAsia" w:ascii="宋体" w:hAnsi="宋体" w:cs="宋体"/>
          <w:b/>
          <w:bCs/>
          <w:spacing w:val="7"/>
          <w:szCs w:val="21"/>
          <w:highlight w:val="none"/>
          <w:u w:val="single"/>
        </w:rPr>
        <w:t>确认或提出</w:t>
      </w:r>
      <w:r>
        <w:rPr>
          <w:rFonts w:hint="eastAsia" w:ascii="宋体" w:hAnsi="宋体" w:cs="宋体"/>
          <w:b/>
          <w:bCs/>
          <w:spacing w:val="7"/>
          <w:szCs w:val="21"/>
          <w:highlight w:val="none"/>
          <w:u w:val="single"/>
          <w:lang w:val="en-US" w:eastAsia="zh-CN"/>
        </w:rPr>
        <w:t>书面</w:t>
      </w:r>
      <w:r>
        <w:rPr>
          <w:rFonts w:hint="eastAsia" w:ascii="宋体" w:hAnsi="宋体" w:cs="宋体"/>
          <w:b/>
          <w:bCs/>
          <w:spacing w:val="7"/>
          <w:szCs w:val="21"/>
          <w:highlight w:val="none"/>
          <w:u w:val="single"/>
        </w:rPr>
        <w:t>修改意见，逾期视为已</w:t>
      </w:r>
      <w:r>
        <w:rPr>
          <w:rFonts w:hint="eastAsia" w:ascii="宋体" w:hAnsi="宋体" w:cs="宋体"/>
          <w:b/>
          <w:bCs/>
          <w:spacing w:val="6"/>
          <w:szCs w:val="21"/>
          <w:highlight w:val="none"/>
          <w:u w:val="single"/>
        </w:rPr>
        <w:t>确认。</w:t>
      </w:r>
    </w:p>
    <w:p w14:paraId="181EEF2B">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7.2 施工进度计划</w:t>
      </w:r>
    </w:p>
    <w:p w14:paraId="57B77AF1">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7.2.2 施工进度计划的修订</w:t>
      </w:r>
    </w:p>
    <w:p w14:paraId="5A5D2DCD">
      <w:pPr>
        <w:keepNext w:val="0"/>
        <w:keepLines w:val="0"/>
        <w:pageBreakBefore w:val="0"/>
        <w:widowControl w:val="0"/>
        <w:kinsoku/>
        <w:wordWrap/>
        <w:overflowPunct/>
        <w:topLinePunct w:val="0"/>
        <w:autoSpaceDE/>
        <w:autoSpaceDN/>
        <w:bidi w:val="0"/>
        <w:adjustRightInd/>
        <w:snapToGrid/>
        <w:spacing w:line="440" w:lineRule="exact"/>
        <w:ind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发包人在收到修订的施工进度计划后确认或提出修改意见的期限：</w:t>
      </w:r>
      <w:r>
        <w:rPr>
          <w:rFonts w:hint="eastAsia" w:ascii="宋体" w:hAnsi="宋体" w:cs="宋体"/>
          <w:b/>
          <w:bCs/>
          <w:spacing w:val="-2"/>
          <w:szCs w:val="21"/>
          <w:highlight w:val="none"/>
          <w:u w:val="single"/>
        </w:rPr>
        <w:t>收到施工组织设</w:t>
      </w:r>
      <w:r>
        <w:rPr>
          <w:rFonts w:hint="eastAsia" w:ascii="宋体" w:hAnsi="宋体" w:cs="宋体"/>
          <w:b/>
          <w:bCs/>
          <w:spacing w:val="7"/>
          <w:szCs w:val="21"/>
          <w:highlight w:val="none"/>
          <w:u w:val="single"/>
        </w:rPr>
        <w:t>计（施工方案）和进度计划后</w:t>
      </w:r>
      <w:r>
        <w:rPr>
          <w:rFonts w:hint="eastAsia" w:ascii="宋体" w:hAnsi="宋体" w:cs="宋体"/>
          <w:spacing w:val="-20"/>
          <w:szCs w:val="21"/>
          <w:highlight w:val="none"/>
          <w:u w:val="single"/>
        </w:rPr>
        <w:t xml:space="preserve"> </w:t>
      </w:r>
      <w:r>
        <w:rPr>
          <w:rFonts w:hint="eastAsia" w:ascii="宋体" w:hAnsi="宋体" w:cs="宋体"/>
          <w:b/>
          <w:bCs/>
          <w:spacing w:val="7"/>
          <w:szCs w:val="21"/>
          <w:highlight w:val="none"/>
          <w:u w:val="single"/>
        </w:rPr>
        <w:t>3</w:t>
      </w:r>
      <w:r>
        <w:rPr>
          <w:rFonts w:hint="eastAsia" w:ascii="宋体" w:hAnsi="宋体" w:cs="宋体"/>
          <w:spacing w:val="7"/>
          <w:szCs w:val="21"/>
          <w:highlight w:val="none"/>
          <w:u w:val="single"/>
        </w:rPr>
        <w:t xml:space="preserve"> </w:t>
      </w:r>
      <w:r>
        <w:rPr>
          <w:rFonts w:hint="eastAsia" w:ascii="宋体" w:hAnsi="宋体" w:cs="宋体"/>
          <w:b/>
          <w:bCs/>
          <w:spacing w:val="7"/>
          <w:szCs w:val="21"/>
          <w:highlight w:val="none"/>
          <w:u w:val="single"/>
        </w:rPr>
        <w:t>日内予以</w:t>
      </w:r>
      <w:r>
        <w:rPr>
          <w:rFonts w:hint="eastAsia" w:ascii="宋体" w:hAnsi="宋体" w:cs="宋体"/>
          <w:b/>
          <w:bCs/>
          <w:spacing w:val="7"/>
          <w:szCs w:val="21"/>
          <w:highlight w:val="none"/>
          <w:u w:val="single"/>
          <w:lang w:val="en-US" w:eastAsia="zh-CN"/>
        </w:rPr>
        <w:t>书面</w:t>
      </w:r>
      <w:r>
        <w:rPr>
          <w:rFonts w:hint="eastAsia" w:ascii="宋体" w:hAnsi="宋体" w:cs="宋体"/>
          <w:b/>
          <w:bCs/>
          <w:spacing w:val="7"/>
          <w:szCs w:val="21"/>
          <w:highlight w:val="none"/>
          <w:u w:val="single"/>
        </w:rPr>
        <w:t>确认或提</w:t>
      </w:r>
      <w:r>
        <w:rPr>
          <w:rFonts w:hint="eastAsia" w:ascii="宋体" w:hAnsi="宋体" w:cs="宋体"/>
          <w:b/>
          <w:bCs/>
          <w:spacing w:val="6"/>
          <w:szCs w:val="21"/>
          <w:highlight w:val="none"/>
          <w:u w:val="single"/>
        </w:rPr>
        <w:t>出</w:t>
      </w:r>
      <w:r>
        <w:rPr>
          <w:rFonts w:hint="eastAsia" w:ascii="宋体" w:hAnsi="宋体" w:cs="宋体"/>
          <w:b/>
          <w:bCs/>
          <w:spacing w:val="7"/>
          <w:szCs w:val="21"/>
          <w:highlight w:val="none"/>
          <w:u w:val="single"/>
          <w:lang w:val="en-US" w:eastAsia="zh-CN"/>
        </w:rPr>
        <w:t>书面</w:t>
      </w:r>
      <w:r>
        <w:rPr>
          <w:rFonts w:hint="eastAsia" w:ascii="宋体" w:hAnsi="宋体" w:cs="宋体"/>
          <w:b/>
          <w:bCs/>
          <w:spacing w:val="6"/>
          <w:szCs w:val="21"/>
          <w:highlight w:val="none"/>
          <w:u w:val="single"/>
        </w:rPr>
        <w:t>修改意见，逾期视为已确认。</w:t>
      </w:r>
    </w:p>
    <w:p w14:paraId="26FC9DFA">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开工</w:t>
      </w:r>
    </w:p>
    <w:p w14:paraId="37D0571B">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7.3.1 开工准备</w:t>
      </w:r>
    </w:p>
    <w:p w14:paraId="4139B3EE">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关于承包人提交工程开工报审表的期限：</w:t>
      </w:r>
      <w:r>
        <w:rPr>
          <w:rFonts w:hint="eastAsia" w:ascii="宋体" w:hAnsi="宋体" w:eastAsia="宋体" w:cs="宋体"/>
          <w:b/>
          <w:bCs/>
          <w:color w:val="auto"/>
          <w:spacing w:val="1"/>
          <w:sz w:val="21"/>
          <w:szCs w:val="21"/>
          <w:highlight w:val="none"/>
          <w:u w:val="single" w:color="auto"/>
        </w:rPr>
        <w:t>合同签订</w:t>
      </w:r>
      <w:r>
        <w:rPr>
          <w:rFonts w:hint="eastAsia" w:ascii="宋体" w:hAnsi="宋体" w:eastAsia="宋体" w:cs="宋体"/>
          <w:b/>
          <w:bCs/>
          <w:color w:val="auto"/>
          <w:sz w:val="21"/>
          <w:szCs w:val="21"/>
          <w:highlight w:val="none"/>
          <w:u w:val="single" w:color="auto"/>
        </w:rPr>
        <w:t>后</w:t>
      </w:r>
      <w:r>
        <w:rPr>
          <w:rFonts w:hint="eastAsia" w:ascii="宋体" w:hAnsi="宋体" w:eastAsia="宋体" w:cs="宋体"/>
          <w:color w:val="auto"/>
          <w:spacing w:val="-18"/>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3</w:t>
      </w:r>
      <w:r>
        <w:rPr>
          <w:rFonts w:hint="eastAsia" w:ascii="宋体" w:hAnsi="宋体" w:eastAsia="宋体" w:cs="宋体"/>
          <w:color w:val="auto"/>
          <w:spacing w:val="-18"/>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天内。</w:t>
      </w:r>
      <w:r>
        <w:rPr>
          <w:rFonts w:hint="eastAsia" w:ascii="宋体" w:hAnsi="宋体" w:eastAsia="宋体" w:cs="宋体"/>
          <w:color w:val="auto"/>
          <w:sz w:val="21"/>
          <w:szCs w:val="21"/>
          <w:highlight w:val="none"/>
          <w:u w:val="single" w:color="auto"/>
        </w:rPr>
        <w:t xml:space="preserve"> </w:t>
      </w:r>
    </w:p>
    <w:p w14:paraId="762A66F3">
      <w:pPr>
        <w:keepNext w:val="0"/>
        <w:keepLines w:val="0"/>
        <w:pageBreakBefore w:val="0"/>
        <w:widowControl w:val="0"/>
        <w:kinsoku/>
        <w:wordWrap/>
        <w:overflowPunct/>
        <w:topLinePunct w:val="0"/>
        <w:autoSpaceDE/>
        <w:autoSpaceDN/>
        <w:bidi w:val="0"/>
        <w:adjustRightInd/>
        <w:snapToGrid/>
        <w:spacing w:line="440" w:lineRule="exact"/>
        <w:ind w:left="25" w:right="-729" w:rightChars="-347" w:firstLine="39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关于发包人应完成的其他开工准备工作及期限：</w:t>
      </w:r>
      <w:r>
        <w:rPr>
          <w:rFonts w:hint="eastAsia" w:ascii="宋体" w:hAnsi="宋体" w:eastAsia="宋体" w:cs="宋体"/>
          <w:b/>
          <w:bCs/>
          <w:color w:val="auto"/>
          <w:spacing w:val="-1"/>
          <w:sz w:val="21"/>
          <w:szCs w:val="21"/>
          <w:highlight w:val="none"/>
          <w:u w:val="single" w:color="auto"/>
        </w:rPr>
        <w:t>开工</w:t>
      </w:r>
      <w:r>
        <w:rPr>
          <w:rFonts w:hint="eastAsia" w:ascii="宋体" w:hAnsi="宋体" w:eastAsia="宋体" w:cs="宋体"/>
          <w:b/>
          <w:bCs/>
          <w:color w:val="auto"/>
          <w:spacing w:val="-2"/>
          <w:sz w:val="21"/>
          <w:szCs w:val="21"/>
          <w:highlight w:val="none"/>
          <w:u w:val="single" w:color="auto"/>
        </w:rPr>
        <w:t>前发包人提供施工用水源及电源，水、</w:t>
      </w:r>
      <w:r>
        <w:rPr>
          <w:rFonts w:hint="eastAsia" w:ascii="宋体" w:hAnsi="宋体" w:eastAsia="宋体" w:cs="宋体"/>
          <w:b/>
          <w:bCs/>
          <w:color w:val="auto"/>
          <w:spacing w:val="10"/>
          <w:sz w:val="21"/>
          <w:szCs w:val="21"/>
          <w:highlight w:val="none"/>
          <w:u w:val="single" w:color="auto"/>
        </w:rPr>
        <w:t>电费用由承包人承担；开工前组织图纸会审和设计交底</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10"/>
          <w:sz w:val="21"/>
          <w:szCs w:val="21"/>
          <w:highlight w:val="none"/>
        </w:rPr>
        <w:t>。</w:t>
      </w:r>
    </w:p>
    <w:p w14:paraId="0C040D04">
      <w:pPr>
        <w:keepNext w:val="0"/>
        <w:keepLines w:val="0"/>
        <w:pageBreakBefore w:val="0"/>
        <w:widowControl w:val="0"/>
        <w:kinsoku/>
        <w:wordWrap/>
        <w:overflowPunct/>
        <w:topLinePunct w:val="0"/>
        <w:autoSpaceDE/>
        <w:autoSpaceDN/>
        <w:bidi w:val="0"/>
        <w:adjustRightInd/>
        <w:snapToGrid/>
        <w:spacing w:line="440" w:lineRule="exact"/>
        <w:ind w:left="3" w:right="-729" w:rightChars="-347" w:firstLine="42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关于承包人应完成的其他开工准备工作及期限：</w:t>
      </w:r>
      <w:r>
        <w:rPr>
          <w:rFonts w:hint="eastAsia" w:ascii="宋体" w:hAnsi="宋体" w:eastAsia="宋体" w:cs="宋体"/>
          <w:b/>
          <w:bCs/>
          <w:color w:val="auto"/>
          <w:spacing w:val="-2"/>
          <w:sz w:val="21"/>
          <w:szCs w:val="21"/>
          <w:highlight w:val="none"/>
          <w:u w:val="single" w:color="auto"/>
        </w:rPr>
        <w:t>遵守政府有关主管部门对施工场地交通、施工噪音、环境保护和安全生产等的管理规定，按规定办理有关手续，并以书面形式通知发包人。</w:t>
      </w:r>
    </w:p>
    <w:p w14:paraId="228D69F4">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7.3.2</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3"/>
          <w:sz w:val="21"/>
          <w:szCs w:val="21"/>
          <w:highlight w:val="none"/>
        </w:rPr>
        <w:t>开工通知</w:t>
      </w:r>
    </w:p>
    <w:p w14:paraId="194F4336">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right="-729" w:rightChars="-347" w:firstLine="418" w:firstLineChars="201"/>
        <w:textAlignment w:val="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t>因发包人原因造成未能在计划开工日期之日起</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90</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1"/>
          <w:sz w:val="21"/>
          <w:szCs w:val="21"/>
          <w:highlight w:val="none"/>
        </w:rPr>
        <w:t>天内发出开工通知的，承包</w:t>
      </w:r>
      <w:r>
        <w:rPr>
          <w:rFonts w:hint="eastAsia" w:ascii="宋体" w:hAnsi="宋体" w:eastAsia="宋体" w:cs="宋体"/>
          <w:color w:val="auto"/>
          <w:spacing w:val="-2"/>
          <w:sz w:val="21"/>
          <w:szCs w:val="21"/>
          <w:highlight w:val="none"/>
        </w:rPr>
        <w:t>人有权提出价格调整要求，或者解除合同。</w:t>
      </w:r>
    </w:p>
    <w:p w14:paraId="2E951DC5">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7.4 测量放线</w:t>
      </w:r>
    </w:p>
    <w:p w14:paraId="49636FA4">
      <w:pPr>
        <w:keepNext w:val="0"/>
        <w:keepLines w:val="0"/>
        <w:pageBreakBefore w:val="0"/>
        <w:widowControl w:val="0"/>
        <w:kinsoku/>
        <w:wordWrap/>
        <w:overflowPunct/>
        <w:topLinePunct w:val="0"/>
        <w:autoSpaceDE/>
        <w:autoSpaceDN/>
        <w:bidi w:val="0"/>
        <w:adjustRightInd/>
        <w:snapToGrid/>
        <w:spacing w:line="440" w:lineRule="exact"/>
        <w:ind w:left="24" w:right="-729" w:rightChars="-347" w:firstLine="40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7.4.1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发包人向承包人提供测量基准点、基准</w:t>
      </w:r>
      <w:r>
        <w:rPr>
          <w:rFonts w:hint="eastAsia" w:ascii="宋体" w:hAnsi="宋体" w:eastAsia="宋体" w:cs="宋体"/>
          <w:color w:val="auto"/>
          <w:spacing w:val="-2"/>
          <w:sz w:val="21"/>
          <w:szCs w:val="21"/>
          <w:highlight w:val="none"/>
        </w:rPr>
        <w:t>线和水准点及其书面资料的期限：</w:t>
      </w:r>
      <w:r>
        <w:rPr>
          <w:rFonts w:hint="eastAsia" w:ascii="宋体" w:hAnsi="宋体" w:eastAsia="宋体" w:cs="宋体"/>
          <w:b/>
          <w:bCs/>
          <w:color w:val="auto"/>
          <w:spacing w:val="5"/>
          <w:sz w:val="21"/>
          <w:szCs w:val="21"/>
          <w:highlight w:val="none"/>
          <w:u w:val="single" w:color="auto"/>
        </w:rPr>
        <w:t>以书面形式交给承包人，并于开工前进行现场交验。</w:t>
      </w:r>
      <w:r>
        <w:rPr>
          <w:rFonts w:hint="eastAsia" w:ascii="宋体" w:hAnsi="宋体" w:eastAsia="宋体" w:cs="宋体"/>
          <w:color w:val="auto"/>
          <w:spacing w:val="3"/>
          <w:sz w:val="21"/>
          <w:szCs w:val="21"/>
          <w:highlight w:val="none"/>
          <w:u w:val="single" w:color="auto"/>
        </w:rPr>
        <w:t xml:space="preserve">  </w:t>
      </w:r>
    </w:p>
    <w:p w14:paraId="50BF5559">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7.5</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工期延误</w:t>
      </w:r>
    </w:p>
    <w:p w14:paraId="215C2679">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127D7636">
      <w:pPr>
        <w:keepNext w:val="0"/>
        <w:keepLines w:val="0"/>
        <w:pageBreakBefore w:val="0"/>
        <w:widowControl w:val="0"/>
        <w:kinsoku/>
        <w:wordWrap/>
        <w:overflowPunct/>
        <w:topLinePunct w:val="0"/>
        <w:autoSpaceDE/>
        <w:autoSpaceDN/>
        <w:bidi w:val="0"/>
        <w:adjustRightInd/>
        <w:snapToGrid/>
        <w:spacing w:line="440" w:lineRule="exact"/>
        <w:ind w:left="44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以下原因引起的延误，经发包人确认后，工期相应顺延：</w:t>
      </w:r>
    </w:p>
    <w:p w14:paraId="6AC5E54B">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双方在确定竣工日期、施工工期及各控制点工期时，已充分考虑可能出现的各</w:t>
      </w:r>
      <w:r>
        <w:rPr>
          <w:rFonts w:hint="eastAsia" w:ascii="宋体" w:hAnsi="宋体" w:eastAsia="宋体" w:cs="宋体"/>
          <w:color w:val="auto"/>
          <w:spacing w:val="-5"/>
          <w:sz w:val="21"/>
          <w:szCs w:val="21"/>
          <w:highlight w:val="none"/>
          <w:u w:val="single" w:color="auto"/>
        </w:rPr>
        <w:t>种形式的雨雪、</w:t>
      </w:r>
      <w:r>
        <w:rPr>
          <w:rFonts w:hint="eastAsia" w:ascii="宋体" w:hAnsi="宋体" w:eastAsia="宋体" w:cs="宋体"/>
          <w:color w:val="auto"/>
          <w:sz w:val="21"/>
          <w:szCs w:val="21"/>
          <w:highlight w:val="none"/>
          <w:u w:val="single" w:color="auto"/>
        </w:rPr>
        <w:t>冰雹、台风、高温天气、低温天气、停水、停电</w:t>
      </w:r>
      <w:r>
        <w:rPr>
          <w:rFonts w:hint="eastAsia" w:ascii="宋体" w:hAnsi="宋体" w:eastAsia="宋体" w:cs="宋体"/>
          <w:color w:val="auto"/>
          <w:spacing w:val="-1"/>
          <w:sz w:val="21"/>
          <w:szCs w:val="21"/>
          <w:highlight w:val="none"/>
          <w:u w:val="single" w:color="auto"/>
        </w:rPr>
        <w:t>、节假日、扰民等不利因素及发包人分包工程的</w:t>
      </w:r>
      <w:r>
        <w:rPr>
          <w:rFonts w:hint="eastAsia" w:ascii="宋体" w:hAnsi="宋体" w:eastAsia="宋体" w:cs="宋体"/>
          <w:color w:val="auto"/>
          <w:spacing w:val="-2"/>
          <w:sz w:val="21"/>
          <w:szCs w:val="21"/>
          <w:highlight w:val="none"/>
          <w:u w:val="single" w:color="auto"/>
        </w:rPr>
        <w:t>影响，因此施工过程中除本合同</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7.5.1</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规定的情况外，不管发生任何情况，均不顺延工期。为体</w:t>
      </w:r>
      <w:r>
        <w:rPr>
          <w:rFonts w:hint="eastAsia" w:ascii="宋体" w:hAnsi="宋体" w:eastAsia="宋体" w:cs="宋体"/>
          <w:color w:val="auto"/>
          <w:spacing w:val="-1"/>
          <w:sz w:val="21"/>
          <w:szCs w:val="21"/>
          <w:highlight w:val="none"/>
          <w:u w:val="single" w:color="auto"/>
        </w:rPr>
        <w:t>现承包人的合作诚意，承包人同意因发包人原因的工期顺延，且自愿放弃索赔的权利（材</w:t>
      </w:r>
      <w:r>
        <w:rPr>
          <w:rFonts w:hint="eastAsia" w:ascii="宋体" w:hAnsi="宋体" w:eastAsia="宋体" w:cs="宋体"/>
          <w:color w:val="auto"/>
          <w:spacing w:val="-2"/>
          <w:sz w:val="21"/>
          <w:szCs w:val="21"/>
          <w:highlight w:val="none"/>
          <w:u w:val="single" w:color="auto"/>
        </w:rPr>
        <w:t>料及人</w:t>
      </w:r>
      <w:r>
        <w:rPr>
          <w:rFonts w:hint="eastAsia" w:ascii="宋体" w:hAnsi="宋体" w:eastAsia="宋体" w:cs="宋体"/>
          <w:color w:val="auto"/>
          <w:spacing w:val="-1"/>
          <w:sz w:val="21"/>
          <w:szCs w:val="21"/>
          <w:highlight w:val="none"/>
          <w:u w:val="single" w:color="auto"/>
        </w:rPr>
        <w:t>工调差除外）。</w:t>
      </w:r>
    </w:p>
    <w:p w14:paraId="0C8C8713">
      <w:pPr>
        <w:keepNext w:val="0"/>
        <w:keepLines w:val="0"/>
        <w:pageBreakBefore w:val="0"/>
        <w:widowControl w:val="0"/>
        <w:kinsoku/>
        <w:wordWrap/>
        <w:overflowPunct/>
        <w:topLinePunct w:val="0"/>
        <w:autoSpaceDE/>
        <w:autoSpaceDN/>
        <w:bidi w:val="0"/>
        <w:adjustRightInd/>
        <w:snapToGrid/>
        <w:spacing w:line="440" w:lineRule="exact"/>
        <w:ind w:left="41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A.因发包人未在开工前提供施工场地，提供图纸；</w:t>
      </w:r>
    </w:p>
    <w:p w14:paraId="72D5F98E">
      <w:pPr>
        <w:keepNext w:val="0"/>
        <w:keepLines w:val="0"/>
        <w:pageBreakBefore w:val="0"/>
        <w:widowControl w:val="0"/>
        <w:kinsoku/>
        <w:wordWrap/>
        <w:overflowPunct/>
        <w:topLinePunct w:val="0"/>
        <w:autoSpaceDE/>
        <w:autoSpaceDN/>
        <w:bidi w:val="0"/>
        <w:adjustRightInd/>
        <w:snapToGrid/>
        <w:spacing w:line="440" w:lineRule="exact"/>
        <w:ind w:left="41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B.因发包人原因造成工程延期开工、停建、缓建、暂停施工（不含勒令停工</w:t>
      </w:r>
      <w:r>
        <w:rPr>
          <w:rFonts w:hint="eastAsia" w:ascii="宋体" w:hAnsi="宋体" w:eastAsia="宋体" w:cs="宋体"/>
          <w:color w:val="auto"/>
          <w:spacing w:val="2"/>
          <w:sz w:val="21"/>
          <w:szCs w:val="21"/>
          <w:highlight w:val="none"/>
          <w:u w:val="single" w:color="auto"/>
        </w:rPr>
        <w:t>）；</w:t>
      </w:r>
    </w:p>
    <w:p w14:paraId="21843074">
      <w:pPr>
        <w:keepNext w:val="0"/>
        <w:keepLines w:val="0"/>
        <w:pageBreakBefore w:val="0"/>
        <w:widowControl w:val="0"/>
        <w:kinsoku/>
        <w:wordWrap/>
        <w:overflowPunct/>
        <w:topLinePunct w:val="0"/>
        <w:autoSpaceDE/>
        <w:autoSpaceDN/>
        <w:bidi w:val="0"/>
        <w:adjustRightInd/>
        <w:snapToGrid/>
        <w:spacing w:line="440" w:lineRule="exact"/>
        <w:ind w:left="419"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C.因发包人原因提出的单次设计变更导致工程量增加超过合同总价的</w:t>
      </w:r>
      <w:r>
        <w:rPr>
          <w:rFonts w:hint="eastAsia" w:ascii="宋体" w:hAnsi="宋体" w:eastAsia="宋体" w:cs="宋体"/>
          <w:color w:val="auto"/>
          <w:spacing w:val="-43"/>
          <w:sz w:val="21"/>
          <w:szCs w:val="21"/>
          <w:highlight w:val="none"/>
          <w:u w:val="single" w:color="auto"/>
        </w:rPr>
        <w:t xml:space="preserve"> </w:t>
      </w:r>
      <w:r>
        <w:rPr>
          <w:rFonts w:hint="eastAsia" w:ascii="宋体" w:hAnsi="宋体" w:eastAsia="宋体" w:cs="宋体"/>
          <w:color w:val="auto"/>
          <w:sz w:val="21"/>
          <w:szCs w:val="21"/>
          <w:highlight w:val="none"/>
          <w:u w:val="single" w:color="auto"/>
        </w:rPr>
        <w:t>8%以上的；</w:t>
      </w:r>
    </w:p>
    <w:p w14:paraId="5421A6D7">
      <w:pPr>
        <w:keepNext w:val="0"/>
        <w:keepLines w:val="0"/>
        <w:pageBreakBefore w:val="0"/>
        <w:widowControl w:val="0"/>
        <w:kinsoku/>
        <w:wordWrap/>
        <w:overflowPunct/>
        <w:topLinePunct w:val="0"/>
        <w:autoSpaceDE/>
        <w:autoSpaceDN/>
        <w:bidi w:val="0"/>
        <w:adjustRightInd/>
        <w:snapToGrid/>
        <w:spacing w:line="440" w:lineRule="exact"/>
        <w:ind w:left="41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D.由市级以上有关部门正式发布和认定的自然灾害。</w:t>
      </w:r>
    </w:p>
    <w:p w14:paraId="250B8BCE">
      <w:pPr>
        <w:keepNext w:val="0"/>
        <w:keepLines w:val="0"/>
        <w:pageBreakBefore w:val="0"/>
        <w:widowControl w:val="0"/>
        <w:kinsoku/>
        <w:wordWrap/>
        <w:overflowPunct/>
        <w:topLinePunct w:val="0"/>
        <w:autoSpaceDE/>
        <w:autoSpaceDN/>
        <w:bidi w:val="0"/>
        <w:adjustRightInd/>
        <w:snapToGrid/>
        <w:spacing w:line="440" w:lineRule="exact"/>
        <w:ind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上述情况发生后，承包人须就延误的内容，向发包人提交书面报告办理延期手续，经发包人批准后方可顺延工期，否则工期不予顺延。</w:t>
      </w:r>
    </w:p>
    <w:p w14:paraId="10D47EB8">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45AFF9E4">
      <w:pPr>
        <w:keepNext w:val="0"/>
        <w:keepLines w:val="0"/>
        <w:pageBreakBefore w:val="0"/>
        <w:widowControl w:val="0"/>
        <w:kinsoku/>
        <w:wordWrap/>
        <w:overflowPunct/>
        <w:topLinePunct w:val="0"/>
        <w:autoSpaceDE/>
        <w:autoSpaceDN/>
        <w:bidi w:val="0"/>
        <w:adjustRightInd/>
        <w:snapToGrid/>
        <w:spacing w:line="440" w:lineRule="exact"/>
        <w:ind w:left="43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因承包人原因造成工期延误，逾期竣工违约金的计</w:t>
      </w:r>
      <w:r>
        <w:rPr>
          <w:rFonts w:hint="eastAsia" w:ascii="宋体" w:hAnsi="宋体" w:eastAsia="宋体" w:cs="宋体"/>
          <w:color w:val="auto"/>
          <w:spacing w:val="-3"/>
          <w:sz w:val="21"/>
          <w:szCs w:val="21"/>
          <w:highlight w:val="none"/>
        </w:rPr>
        <w:t>算方法为：</w:t>
      </w:r>
    </w:p>
    <w:p w14:paraId="37A8C9B4">
      <w:pPr>
        <w:keepNext w:val="0"/>
        <w:keepLines w:val="0"/>
        <w:pageBreakBefore w:val="0"/>
        <w:widowControl w:val="0"/>
        <w:kinsoku/>
        <w:wordWrap/>
        <w:overflowPunct/>
        <w:topLinePunct w:val="0"/>
        <w:autoSpaceDE/>
        <w:autoSpaceDN/>
        <w:bidi w:val="0"/>
        <w:adjustRightInd/>
        <w:snapToGrid/>
        <w:spacing w:line="440" w:lineRule="exact"/>
        <w:ind w:left="1" w:right="-729" w:rightChars="-347"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u w:val="single" w:color="auto"/>
        </w:rPr>
        <w:t>因承包人原因延误工期，工期每推迟一天，处罚</w:t>
      </w:r>
      <w:r>
        <w:rPr>
          <w:rFonts w:hint="eastAsia" w:ascii="宋体" w:hAnsi="宋体" w:eastAsia="宋体" w:cs="宋体"/>
          <w:color w:val="auto"/>
          <w:spacing w:val="-18"/>
          <w:sz w:val="21"/>
          <w:szCs w:val="21"/>
          <w:highlight w:val="none"/>
          <w:u w:val="single" w:color="auto"/>
        </w:rPr>
        <w:t xml:space="preserve"> </w:t>
      </w:r>
      <w:r>
        <w:rPr>
          <w:rFonts w:hint="eastAsia" w:ascii="宋体" w:hAnsi="宋体" w:eastAsia="宋体" w:cs="宋体"/>
          <w:color w:val="auto"/>
          <w:spacing w:val="-12"/>
          <w:sz w:val="21"/>
          <w:szCs w:val="21"/>
          <w:highlight w:val="none"/>
          <w:u w:val="single" w:color="auto"/>
        </w:rPr>
        <w:t>5000</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color w:val="auto"/>
          <w:spacing w:val="-12"/>
          <w:sz w:val="21"/>
          <w:szCs w:val="21"/>
          <w:highlight w:val="none"/>
          <w:u w:val="single" w:color="auto"/>
        </w:rPr>
        <w:t>元；超过 10</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color w:val="auto"/>
          <w:spacing w:val="-12"/>
          <w:sz w:val="21"/>
          <w:szCs w:val="21"/>
          <w:highlight w:val="none"/>
          <w:u w:val="single" w:color="auto"/>
        </w:rPr>
        <w:t>天，每推迟一天，处罚 10000</w:t>
      </w:r>
      <w:r>
        <w:rPr>
          <w:rFonts w:hint="eastAsia" w:ascii="宋体" w:hAnsi="宋体" w:eastAsia="宋体" w:cs="宋体"/>
          <w:color w:val="auto"/>
          <w:sz w:val="21"/>
          <w:szCs w:val="21"/>
          <w:highlight w:val="none"/>
          <w:u w:val="single" w:color="auto"/>
        </w:rPr>
        <w:t>元，同时发包人有权要求承包人清退出场，所完成的合格工程量按</w:t>
      </w:r>
      <w:r>
        <w:rPr>
          <w:rFonts w:hint="eastAsia" w:ascii="宋体" w:hAnsi="宋体" w:eastAsia="宋体" w:cs="宋体"/>
          <w:color w:val="auto"/>
          <w:spacing w:val="-42"/>
          <w:sz w:val="21"/>
          <w:szCs w:val="21"/>
          <w:highlight w:val="none"/>
          <w:u w:val="single" w:color="auto"/>
        </w:rPr>
        <w:t xml:space="preserve"> </w:t>
      </w:r>
      <w:r>
        <w:rPr>
          <w:rFonts w:hint="eastAsia" w:ascii="宋体" w:hAnsi="宋体" w:eastAsia="宋体" w:cs="宋体"/>
          <w:color w:val="auto"/>
          <w:sz w:val="21"/>
          <w:szCs w:val="21"/>
          <w:highlight w:val="none"/>
          <w:u w:val="single" w:color="auto"/>
        </w:rPr>
        <w:t>60%计算，或者由发包人安排</w:t>
      </w:r>
      <w:r>
        <w:rPr>
          <w:rFonts w:hint="eastAsia" w:ascii="宋体" w:hAnsi="宋体" w:eastAsia="宋体" w:cs="宋体"/>
          <w:color w:val="auto"/>
          <w:spacing w:val="-2"/>
          <w:sz w:val="21"/>
          <w:szCs w:val="21"/>
          <w:highlight w:val="none"/>
          <w:u w:val="single" w:color="auto"/>
        </w:rPr>
        <w:t>其他施工单位进行施工，所发生费用直接按实际费用的2倍或以上金额从承包人合同价款中扣除，</w:t>
      </w:r>
      <w:r>
        <w:rPr>
          <w:rFonts w:hint="eastAsia" w:ascii="宋体" w:hAnsi="宋体" w:eastAsia="宋体" w:cs="宋体"/>
          <w:color w:val="auto"/>
          <w:sz w:val="21"/>
          <w:szCs w:val="21"/>
          <w:highlight w:val="none"/>
          <w:u w:val="single" w:color="auto"/>
        </w:rPr>
        <w:t>同时发包人有权扣除履约保证金的</w:t>
      </w:r>
      <w:r>
        <w:rPr>
          <w:rFonts w:hint="eastAsia" w:ascii="宋体" w:hAnsi="宋体" w:eastAsia="宋体" w:cs="宋体"/>
          <w:color w:val="auto"/>
          <w:spacing w:val="-37"/>
          <w:sz w:val="21"/>
          <w:szCs w:val="21"/>
          <w:highlight w:val="none"/>
          <w:u w:val="single" w:color="auto"/>
        </w:rPr>
        <w:t xml:space="preserve"> </w:t>
      </w:r>
      <w:r>
        <w:rPr>
          <w:rFonts w:hint="eastAsia" w:ascii="宋体" w:hAnsi="宋体" w:eastAsia="宋体" w:cs="宋体"/>
          <w:color w:val="auto"/>
          <w:sz w:val="21"/>
          <w:szCs w:val="21"/>
          <w:highlight w:val="none"/>
          <w:u w:val="single" w:color="auto"/>
        </w:rPr>
        <w:t>20%。其他按通用</w:t>
      </w:r>
      <w:r>
        <w:rPr>
          <w:rFonts w:hint="eastAsia" w:ascii="宋体" w:hAnsi="宋体" w:eastAsia="宋体" w:cs="宋体"/>
          <w:color w:val="auto"/>
          <w:spacing w:val="-1"/>
          <w:sz w:val="21"/>
          <w:szCs w:val="21"/>
          <w:highlight w:val="none"/>
          <w:u w:val="single" w:color="auto"/>
        </w:rPr>
        <w:t>条款中约定内容执行。</w:t>
      </w:r>
    </w:p>
    <w:p w14:paraId="5D31D8E5">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7.6 不利物质条件</w:t>
      </w:r>
    </w:p>
    <w:p w14:paraId="49307480">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不利物质条件的其他情形和有关约定：</w:t>
      </w:r>
      <w:r>
        <w:rPr>
          <w:rFonts w:hint="eastAsia" w:ascii="宋体" w:hAnsi="宋体" w:eastAsia="宋体" w:cs="宋体"/>
          <w:color w:val="auto"/>
          <w:spacing w:val="-1"/>
          <w:sz w:val="21"/>
          <w:szCs w:val="21"/>
          <w:highlight w:val="none"/>
          <w:u w:val="single" w:color="auto"/>
        </w:rPr>
        <w:t>按通用条款。</w:t>
      </w:r>
    </w:p>
    <w:p w14:paraId="376202AD">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7.7</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2"/>
          <w:sz w:val="21"/>
          <w:szCs w:val="21"/>
          <w:highlight w:val="none"/>
        </w:rPr>
        <w:t>异常恶劣的气候条件</w:t>
      </w:r>
    </w:p>
    <w:p w14:paraId="5EB5519E">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发包人和承包人同意以下情形视为异常恶劣的气候条件：</w:t>
      </w:r>
    </w:p>
    <w:p w14:paraId="087D15B9">
      <w:pPr>
        <w:keepNext w:val="0"/>
        <w:keepLines w:val="0"/>
        <w:pageBreakBefore w:val="0"/>
        <w:widowControl w:val="0"/>
        <w:kinsoku/>
        <w:wordWrap/>
        <w:overflowPunct/>
        <w:topLinePunct w:val="0"/>
        <w:autoSpaceDE/>
        <w:autoSpaceDN/>
        <w:bidi w:val="0"/>
        <w:adjustRightInd/>
        <w:snapToGrid/>
        <w:spacing w:line="440" w:lineRule="exact"/>
        <w:ind w:left="458"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2"/>
          <w:sz w:val="21"/>
          <w:szCs w:val="21"/>
          <w:highlight w:val="none"/>
        </w:rPr>
        <w:t>；</w:t>
      </w:r>
    </w:p>
    <w:p w14:paraId="3CE8029C">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
          <w:sz w:val="21"/>
          <w:szCs w:val="21"/>
          <w:highlight w:val="none"/>
        </w:rPr>
        <w:t>；</w:t>
      </w:r>
    </w:p>
    <w:p w14:paraId="7E1DE66B">
      <w:pPr>
        <w:keepNext w:val="0"/>
        <w:keepLines w:val="0"/>
        <w:pageBreakBefore w:val="0"/>
        <w:widowControl w:val="0"/>
        <w:kinsoku/>
        <w:wordWrap/>
        <w:overflowPunct/>
        <w:topLinePunct w:val="0"/>
        <w:autoSpaceDE/>
        <w:autoSpaceDN/>
        <w:bidi w:val="0"/>
        <w:adjustRightInd/>
        <w:snapToGrid/>
        <w:spacing w:line="440" w:lineRule="exact"/>
        <w:ind w:left="458"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2"/>
          <w:sz w:val="21"/>
          <w:szCs w:val="21"/>
          <w:highlight w:val="none"/>
        </w:rPr>
        <w:t>。</w:t>
      </w:r>
    </w:p>
    <w:p w14:paraId="5D71F4E7">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 提前竣工的奖励</w:t>
      </w:r>
    </w:p>
    <w:p w14:paraId="3434E873">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7.9.2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提前竣工的奖励：</w:t>
      </w:r>
      <w:r>
        <w:rPr>
          <w:rFonts w:hint="eastAsia" w:ascii="宋体" w:hAnsi="宋体" w:eastAsia="宋体" w:cs="宋体"/>
          <w:b/>
          <w:bCs/>
          <w:color w:val="auto"/>
          <w:spacing w:val="3"/>
          <w:sz w:val="21"/>
          <w:szCs w:val="21"/>
          <w:highlight w:val="none"/>
          <w:u w:val="single" w:color="auto"/>
        </w:rPr>
        <w:t>退还进度因素产生的违约金及罚</w:t>
      </w:r>
      <w:r>
        <w:rPr>
          <w:rFonts w:hint="eastAsia" w:ascii="宋体" w:hAnsi="宋体" w:eastAsia="宋体" w:cs="宋体"/>
          <w:b/>
          <w:bCs/>
          <w:color w:val="auto"/>
          <w:spacing w:val="2"/>
          <w:sz w:val="21"/>
          <w:szCs w:val="21"/>
          <w:highlight w:val="none"/>
          <w:u w:val="single" w:color="auto"/>
        </w:rPr>
        <w:t>金（如有）。</w:t>
      </w:r>
      <w:r>
        <w:rPr>
          <w:rFonts w:hint="eastAsia" w:ascii="宋体" w:hAnsi="宋体" w:eastAsia="宋体" w:cs="宋体"/>
          <w:color w:val="auto"/>
          <w:sz w:val="21"/>
          <w:szCs w:val="21"/>
          <w:highlight w:val="none"/>
          <w:u w:val="single" w:color="auto"/>
        </w:rPr>
        <w:t xml:space="preserve">  </w:t>
      </w:r>
    </w:p>
    <w:p w14:paraId="09DD8224">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8. 材料与设备</w:t>
      </w:r>
    </w:p>
    <w:p w14:paraId="7CA1B525">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8.1</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发包人供应材料与工程设备</w:t>
      </w:r>
    </w:p>
    <w:p w14:paraId="2DA0E8C8">
      <w:pPr>
        <w:keepNext w:val="0"/>
        <w:keepLines w:val="0"/>
        <w:pageBreakBefore w:val="0"/>
        <w:widowControl w:val="0"/>
        <w:kinsoku/>
        <w:wordWrap/>
        <w:overflowPunct/>
        <w:topLinePunct w:val="0"/>
        <w:autoSpaceDE/>
        <w:autoSpaceDN/>
        <w:bidi w:val="0"/>
        <w:adjustRightInd/>
        <w:snapToGrid/>
        <w:spacing w:line="440" w:lineRule="exact"/>
        <w:ind w:left="0" w:leftChars="0" w:right="-729" w:rightChars="-347" w:firstLine="418"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承包人应编制材料供应计划。合同生效后一般材料承包人应提前</w:t>
      </w:r>
      <w:r>
        <w:rPr>
          <w:rFonts w:hint="eastAsia" w:ascii="宋体" w:hAnsi="宋体" w:eastAsia="宋体" w:cs="宋体"/>
          <w:color w:val="auto"/>
          <w:spacing w:val="-38"/>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5</w:t>
      </w:r>
      <w:r>
        <w:rPr>
          <w:rFonts w:hint="eastAsia" w:ascii="宋体" w:hAnsi="宋体" w:eastAsia="宋体" w:cs="宋体"/>
          <w:color w:val="auto"/>
          <w:spacing w:val="-33"/>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天向发包人</w:t>
      </w:r>
      <w:r>
        <w:rPr>
          <w:rFonts w:hint="eastAsia" w:ascii="宋体" w:hAnsi="宋体" w:eastAsia="宋体" w:cs="宋体"/>
          <w:color w:val="auto"/>
          <w:spacing w:val="-2"/>
          <w:sz w:val="21"/>
          <w:szCs w:val="21"/>
          <w:highlight w:val="none"/>
          <w:u w:val="single" w:color="auto"/>
        </w:rPr>
        <w:t>按实提交所需</w:t>
      </w:r>
      <w:r>
        <w:rPr>
          <w:rFonts w:hint="eastAsia" w:ascii="宋体" w:hAnsi="宋体" w:eastAsia="宋体" w:cs="宋体"/>
          <w:color w:val="auto"/>
          <w:sz w:val="21"/>
          <w:szCs w:val="21"/>
          <w:highlight w:val="none"/>
          <w:u w:val="single" w:color="auto"/>
        </w:rPr>
        <w:t>材料品种、数量、型号、规格、质量等级，如有误差造成的损失由承包人承担。</w:t>
      </w:r>
    </w:p>
    <w:p w14:paraId="02E7C642">
      <w:pPr>
        <w:keepNext w:val="0"/>
        <w:keepLines w:val="0"/>
        <w:pageBreakBefore w:val="0"/>
        <w:widowControl w:val="0"/>
        <w:kinsoku/>
        <w:wordWrap/>
        <w:overflowPunct/>
        <w:topLinePunct w:val="0"/>
        <w:autoSpaceDE/>
        <w:autoSpaceDN/>
        <w:bidi w:val="0"/>
        <w:adjustRightInd/>
        <w:snapToGrid/>
        <w:spacing w:line="440" w:lineRule="exact"/>
        <w:ind w:left="4" w:right="-729" w:rightChars="-347" w:firstLine="4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发包人供应材料设备的结算方法：</w:t>
      </w:r>
      <w:r>
        <w:rPr>
          <w:rFonts w:hint="eastAsia" w:ascii="宋体" w:hAnsi="宋体" w:eastAsia="宋体" w:cs="宋体"/>
          <w:color w:val="auto"/>
          <w:spacing w:val="-1"/>
          <w:sz w:val="21"/>
          <w:szCs w:val="21"/>
          <w:highlight w:val="none"/>
          <w:u w:val="single" w:color="auto"/>
        </w:rPr>
        <w:t>按结算审计的甲供材料数量乘以招标时规定的暂定价扣除工程款，承包人超领部分，按发包人采购最高价结算，发包人在竣工决算时扣回；承包人领用不</w:t>
      </w:r>
      <w:r>
        <w:rPr>
          <w:rFonts w:hint="eastAsia" w:ascii="宋体" w:hAnsi="宋体" w:eastAsia="宋体" w:cs="宋体"/>
          <w:color w:val="auto"/>
          <w:sz w:val="21"/>
          <w:szCs w:val="21"/>
          <w:highlight w:val="none"/>
          <w:u w:val="single" w:color="auto"/>
        </w:rPr>
        <w:t>足部分，按发包人采购综合平均价结算，发包人在竣工决算时对承包人予以</w:t>
      </w:r>
      <w:r>
        <w:rPr>
          <w:rFonts w:hint="eastAsia" w:ascii="宋体" w:hAnsi="宋体" w:eastAsia="宋体" w:cs="宋体"/>
          <w:color w:val="auto"/>
          <w:spacing w:val="-1"/>
          <w:sz w:val="21"/>
          <w:szCs w:val="21"/>
          <w:highlight w:val="none"/>
          <w:u w:val="single" w:color="auto"/>
        </w:rPr>
        <w:t>增补。</w:t>
      </w:r>
    </w:p>
    <w:p w14:paraId="0B49FB2F">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8.2</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
          <w:sz w:val="21"/>
          <w:szCs w:val="21"/>
          <w:highlight w:val="none"/>
        </w:rPr>
        <w:t>承包人供应材料与工程设备</w:t>
      </w:r>
    </w:p>
    <w:p w14:paraId="7220767D">
      <w:pPr>
        <w:keepNext w:val="0"/>
        <w:keepLines w:val="0"/>
        <w:pageBreakBefore w:val="0"/>
        <w:widowControl w:val="0"/>
        <w:tabs>
          <w:tab w:val="left" w:pos="532"/>
        </w:tabs>
        <w:kinsoku/>
        <w:wordWrap/>
        <w:overflowPunct/>
        <w:topLinePunct w:val="0"/>
        <w:autoSpaceDE/>
        <w:autoSpaceDN/>
        <w:bidi w:val="0"/>
        <w:adjustRightInd/>
        <w:snapToGrid/>
        <w:spacing w:line="440" w:lineRule="exact"/>
        <w:ind w:right="-729" w:rightChars="-347" w:firstLine="4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u w:val="single" w:color="auto"/>
        </w:rPr>
        <w:t>（1）承包人采购的材料：承包人须按发包人要求建立材料台账，供发包人检查，材料</w:t>
      </w:r>
      <w:r>
        <w:rPr>
          <w:rFonts w:hint="eastAsia" w:ascii="宋体" w:hAnsi="宋体" w:eastAsia="宋体" w:cs="宋体"/>
          <w:color w:val="auto"/>
          <w:spacing w:val="-2"/>
          <w:sz w:val="21"/>
          <w:szCs w:val="21"/>
          <w:highlight w:val="none"/>
          <w:u w:val="single" w:color="auto"/>
        </w:rPr>
        <w:t>台账</w:t>
      </w:r>
      <w:r>
        <w:rPr>
          <w:rFonts w:hint="eastAsia" w:ascii="宋体" w:hAnsi="宋体" w:eastAsia="宋体" w:cs="宋体"/>
          <w:color w:val="auto"/>
          <w:spacing w:val="-4"/>
          <w:sz w:val="21"/>
          <w:szCs w:val="21"/>
          <w:highlight w:val="none"/>
          <w:u w:val="single" w:color="auto"/>
        </w:rPr>
        <w:t>中必须注明并包含下列内容：材料名称、规格型号或等级、厂家、进场数量、出厂合格证、编号、</w:t>
      </w:r>
      <w:r>
        <w:rPr>
          <w:rFonts w:hint="eastAsia" w:ascii="宋体" w:hAnsi="宋体" w:eastAsia="宋体" w:cs="宋体"/>
          <w:color w:val="auto"/>
          <w:sz w:val="21"/>
          <w:szCs w:val="21"/>
          <w:highlight w:val="none"/>
          <w:u w:val="single" w:color="auto"/>
        </w:rPr>
        <w:t>进场日期、使用部位、施工单位验收人员、检测情况、发包</w:t>
      </w:r>
      <w:r>
        <w:rPr>
          <w:rFonts w:hint="eastAsia" w:ascii="宋体" w:hAnsi="宋体" w:eastAsia="宋体" w:cs="宋体"/>
          <w:color w:val="auto"/>
          <w:spacing w:val="-1"/>
          <w:sz w:val="21"/>
          <w:szCs w:val="21"/>
          <w:highlight w:val="none"/>
          <w:u w:val="single" w:color="auto"/>
        </w:rPr>
        <w:t>人代表等。承包人在材料使用前，应有向</w:t>
      </w:r>
      <w:r>
        <w:rPr>
          <w:rFonts w:hint="eastAsia" w:ascii="宋体" w:hAnsi="宋体" w:cs="宋体"/>
          <w:color w:val="auto"/>
          <w:spacing w:val="-1"/>
          <w:sz w:val="21"/>
          <w:szCs w:val="21"/>
          <w:highlight w:val="none"/>
          <w:u w:val="single" w:color="auto"/>
          <w:lang w:val="en-US" w:eastAsia="zh-CN"/>
        </w:rPr>
        <w:t>发包人</w:t>
      </w:r>
      <w:r>
        <w:rPr>
          <w:rFonts w:hint="eastAsia" w:ascii="宋体" w:hAnsi="宋体" w:eastAsia="宋体" w:cs="宋体"/>
          <w:color w:val="auto"/>
          <w:spacing w:val="-1"/>
          <w:sz w:val="21"/>
          <w:szCs w:val="21"/>
          <w:highlight w:val="none"/>
          <w:u w:val="single" w:color="auto"/>
        </w:rPr>
        <w:t>报验、提供材料台账的程序，并见证抽样送检。不合格的材料不得使用，</w:t>
      </w:r>
      <w:r>
        <w:rPr>
          <w:rFonts w:hint="eastAsia" w:ascii="宋体" w:hAnsi="宋体" w:eastAsia="宋体" w:cs="宋体"/>
          <w:color w:val="auto"/>
          <w:spacing w:val="-4"/>
          <w:sz w:val="21"/>
          <w:szCs w:val="21"/>
          <w:highlight w:val="none"/>
          <w:u w:val="single" w:color="auto"/>
        </w:rPr>
        <w:t>发包人抽查发现使用的材料无报验手续及材料台账（或材料台</w:t>
      </w:r>
      <w:r>
        <w:rPr>
          <w:rFonts w:hint="eastAsia" w:ascii="宋体" w:hAnsi="宋体" w:eastAsia="宋体" w:cs="宋体"/>
          <w:color w:val="auto"/>
          <w:spacing w:val="-5"/>
          <w:sz w:val="21"/>
          <w:szCs w:val="21"/>
          <w:highlight w:val="none"/>
          <w:u w:val="single" w:color="auto"/>
        </w:rPr>
        <w:t>账不符合要求的）或不合格，</w:t>
      </w:r>
      <w:r>
        <w:rPr>
          <w:rFonts w:hint="eastAsia" w:ascii="宋体" w:hAnsi="宋体" w:eastAsia="宋体" w:cs="宋体"/>
          <w:color w:val="auto"/>
          <w:sz w:val="21"/>
          <w:szCs w:val="21"/>
          <w:highlight w:val="none"/>
          <w:u w:val="single" w:color="auto"/>
        </w:rPr>
        <w:t>可指令停工，要求返工剥离。所发生的费用由承包人承担，工期不予顺延。</w:t>
      </w:r>
    </w:p>
    <w:p w14:paraId="576EB808">
      <w:pPr>
        <w:keepNext w:val="0"/>
        <w:keepLines w:val="0"/>
        <w:pageBreakBefore w:val="0"/>
        <w:widowControl w:val="0"/>
        <w:tabs>
          <w:tab w:val="left" w:pos="532"/>
        </w:tabs>
        <w:kinsoku/>
        <w:wordWrap/>
        <w:overflowPunct/>
        <w:topLinePunct w:val="0"/>
        <w:autoSpaceDE/>
        <w:autoSpaceDN/>
        <w:bidi w:val="0"/>
        <w:adjustRightInd/>
        <w:snapToGrid/>
        <w:spacing w:line="440" w:lineRule="exact"/>
        <w:ind w:right="-729" w:rightChars="-347" w:firstLine="4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u w:val="single" w:color="auto"/>
        </w:rPr>
        <w:t>（2）承包人供应的材料和设备，必须按有关规</w:t>
      </w:r>
      <w:r>
        <w:rPr>
          <w:rFonts w:hint="eastAsia" w:ascii="宋体" w:hAnsi="宋体" w:eastAsia="宋体" w:cs="宋体"/>
          <w:color w:val="auto"/>
          <w:spacing w:val="-2"/>
          <w:sz w:val="21"/>
          <w:szCs w:val="21"/>
          <w:highlight w:val="none"/>
          <w:u w:val="single" w:color="auto"/>
        </w:rPr>
        <w:t>定提供相应的出厂证明、合格证、质保书、</w:t>
      </w:r>
      <w:r>
        <w:rPr>
          <w:rFonts w:hint="eastAsia" w:ascii="宋体" w:hAnsi="宋体" w:eastAsia="宋体" w:cs="宋体"/>
          <w:color w:val="auto"/>
          <w:spacing w:val="-80"/>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化验检测报告等，并负责对国家（或地方）规范、强制性条文规定的材料性能到发包人指定的检测机构进行施工前或施工后的检测，同时对材料数量、规格、质量由发包人现场工程师</w:t>
      </w:r>
      <w:r>
        <w:rPr>
          <w:rFonts w:hint="eastAsia" w:ascii="宋体" w:hAnsi="宋体" w:eastAsia="宋体" w:cs="宋体"/>
          <w:color w:val="auto"/>
          <w:sz w:val="21"/>
          <w:szCs w:val="21"/>
          <w:highlight w:val="none"/>
          <w:u w:val="single" w:color="auto"/>
        </w:rPr>
        <w:t>验收合格后方可进入施工现场使用。检验试验费包含</w:t>
      </w:r>
      <w:r>
        <w:rPr>
          <w:rFonts w:hint="eastAsia" w:ascii="宋体" w:hAnsi="宋体" w:eastAsia="宋体" w:cs="宋体"/>
          <w:color w:val="auto"/>
          <w:spacing w:val="-1"/>
          <w:sz w:val="21"/>
          <w:szCs w:val="21"/>
          <w:highlight w:val="none"/>
          <w:u w:val="single" w:color="auto"/>
        </w:rPr>
        <w:t>本工程所有按规定应进行建筑材料、构配件等试样的制作、封样、送检和其他为保证工程质量进行的材料检验试验工作和一切费用（含检测机构所收取的检测费）。由发包人指定工程质量检测机构进行检测，试验合格的，检验或试验费</w:t>
      </w:r>
      <w:r>
        <w:rPr>
          <w:rFonts w:hint="eastAsia" w:ascii="宋体" w:hAnsi="宋体" w:eastAsia="宋体" w:cs="宋体"/>
          <w:color w:val="auto"/>
          <w:sz w:val="21"/>
          <w:szCs w:val="21"/>
          <w:highlight w:val="none"/>
          <w:u w:val="single" w:color="auto"/>
        </w:rPr>
        <w:t>用由发包人承担，试验不合格的，检验或试验费用由承包人承担。</w:t>
      </w:r>
    </w:p>
    <w:p w14:paraId="7E6EA291">
      <w:pPr>
        <w:keepNext w:val="0"/>
        <w:keepLines w:val="0"/>
        <w:pageBreakBefore w:val="0"/>
        <w:widowControl w:val="0"/>
        <w:tabs>
          <w:tab w:val="left" w:pos="532"/>
        </w:tabs>
        <w:kinsoku/>
        <w:wordWrap/>
        <w:overflowPunct/>
        <w:topLinePunct w:val="0"/>
        <w:autoSpaceDE/>
        <w:autoSpaceDN/>
        <w:bidi w:val="0"/>
        <w:adjustRightInd/>
        <w:snapToGrid/>
        <w:spacing w:line="440" w:lineRule="exact"/>
        <w:ind w:left="4" w:right="-729" w:rightChars="-347" w:firstLine="40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u w:val="single" w:color="auto"/>
        </w:rPr>
        <w:t>（3）总承包人在招标时指定品牌和厂家的材料，承包人在实际采</w:t>
      </w:r>
      <w:r>
        <w:rPr>
          <w:rFonts w:hint="eastAsia" w:ascii="宋体" w:hAnsi="宋体" w:eastAsia="宋体" w:cs="宋体"/>
          <w:color w:val="auto"/>
          <w:spacing w:val="-2"/>
          <w:sz w:val="21"/>
          <w:szCs w:val="21"/>
          <w:highlight w:val="none"/>
          <w:u w:val="single" w:color="auto"/>
        </w:rPr>
        <w:t>购前，必须由发包人</w:t>
      </w:r>
      <w:r>
        <w:rPr>
          <w:rFonts w:hint="eastAsia" w:ascii="宋体" w:hAnsi="宋体" w:eastAsia="宋体" w:cs="宋体"/>
          <w:color w:val="auto"/>
          <w:sz w:val="21"/>
          <w:szCs w:val="21"/>
          <w:highlight w:val="none"/>
          <w:u w:val="single" w:color="auto"/>
        </w:rPr>
        <w:t>认质认生产厂家后方可采购。代用材料时，须经发包人</w:t>
      </w:r>
      <w:r>
        <w:rPr>
          <w:rFonts w:hint="eastAsia" w:ascii="宋体" w:hAnsi="宋体" w:eastAsia="宋体" w:cs="宋体"/>
          <w:color w:val="auto"/>
          <w:spacing w:val="-1"/>
          <w:sz w:val="21"/>
          <w:szCs w:val="21"/>
          <w:highlight w:val="none"/>
          <w:u w:val="single" w:color="auto"/>
        </w:rPr>
        <w:t>认可。</w:t>
      </w:r>
    </w:p>
    <w:p w14:paraId="671F3C81">
      <w:pPr>
        <w:keepNext w:val="0"/>
        <w:keepLines w:val="0"/>
        <w:pageBreakBefore w:val="0"/>
        <w:widowControl w:val="0"/>
        <w:tabs>
          <w:tab w:val="left" w:pos="532"/>
        </w:tabs>
        <w:kinsoku/>
        <w:wordWrap/>
        <w:overflowPunct/>
        <w:topLinePunct w:val="0"/>
        <w:autoSpaceDE/>
        <w:autoSpaceDN/>
        <w:bidi w:val="0"/>
        <w:adjustRightInd/>
        <w:snapToGrid/>
        <w:spacing w:line="440" w:lineRule="exact"/>
        <w:ind w:left="2" w:right="-729" w:rightChars="-347" w:firstLine="41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u w:val="single" w:color="auto"/>
        </w:rPr>
        <w:t>（4）发包人有权对承包人提供的材料和设备进行抽检，对不符合设计要求及</w:t>
      </w:r>
      <w:r>
        <w:rPr>
          <w:rFonts w:hint="eastAsia" w:ascii="宋体" w:hAnsi="宋体" w:eastAsia="宋体" w:cs="宋体"/>
          <w:color w:val="auto"/>
          <w:spacing w:val="-2"/>
          <w:sz w:val="21"/>
          <w:szCs w:val="21"/>
          <w:highlight w:val="none"/>
          <w:u w:val="single" w:color="auto"/>
        </w:rPr>
        <w:t>验收</w:t>
      </w:r>
      <w:r>
        <w:rPr>
          <w:rFonts w:hint="eastAsia" w:ascii="宋体" w:hAnsi="宋体" w:eastAsia="宋体" w:cs="宋体"/>
          <w:color w:val="auto"/>
          <w:spacing w:val="-1"/>
          <w:sz w:val="21"/>
          <w:szCs w:val="21"/>
          <w:highlight w:val="none"/>
          <w:u w:val="single" w:color="auto"/>
        </w:rPr>
        <w:t>规范的材料和设备，有权终止使用，发生的一切损失和费用由承包人承担，由此延误的工期不予</w:t>
      </w:r>
      <w:r>
        <w:rPr>
          <w:rFonts w:hint="eastAsia" w:ascii="宋体" w:hAnsi="宋体" w:eastAsia="宋体" w:cs="宋体"/>
          <w:color w:val="auto"/>
          <w:spacing w:val="-3"/>
          <w:sz w:val="21"/>
          <w:szCs w:val="21"/>
          <w:highlight w:val="none"/>
          <w:u w:val="single" w:color="auto"/>
        </w:rPr>
        <w:t>顺延。</w:t>
      </w:r>
      <w:r>
        <w:rPr>
          <w:rFonts w:hint="eastAsia" w:ascii="宋体" w:hAnsi="宋体" w:eastAsia="宋体" w:cs="宋体"/>
          <w:color w:val="auto"/>
          <w:sz w:val="21"/>
          <w:szCs w:val="21"/>
          <w:highlight w:val="none"/>
          <w:u w:val="single" w:color="auto"/>
        </w:rPr>
        <w:t xml:space="preserve">  </w:t>
      </w:r>
    </w:p>
    <w:p w14:paraId="2F46BD19">
      <w:pPr>
        <w:keepNext w:val="0"/>
        <w:keepLines w:val="0"/>
        <w:pageBreakBefore w:val="0"/>
        <w:widowControl w:val="0"/>
        <w:tabs>
          <w:tab w:val="left" w:pos="532"/>
        </w:tabs>
        <w:kinsoku/>
        <w:wordWrap/>
        <w:overflowPunct/>
        <w:topLinePunct w:val="0"/>
        <w:autoSpaceDE/>
        <w:autoSpaceDN/>
        <w:bidi w:val="0"/>
        <w:adjustRightInd/>
        <w:snapToGrid/>
        <w:spacing w:line="440" w:lineRule="exact"/>
        <w:ind w:left="4" w:right="-729" w:rightChars="-347" w:firstLine="40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5"/>
          <w:sz w:val="21"/>
          <w:szCs w:val="21"/>
          <w:highlight w:val="none"/>
          <w:u w:val="single" w:color="auto"/>
        </w:rPr>
        <w:t>（5）发包人对材料的决定或认可并不解除承包人应负的质量、工期的责任，</w:t>
      </w:r>
      <w:r>
        <w:rPr>
          <w:rFonts w:hint="eastAsia" w:ascii="宋体" w:hAnsi="宋体" w:eastAsia="宋体" w:cs="宋体"/>
          <w:color w:val="auto"/>
          <w:spacing w:val="61"/>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也不免除承包人对材料应负的责任。承包人采购的材料与设计或规范要求不符时，</w:t>
      </w:r>
      <w:r>
        <w:rPr>
          <w:rFonts w:hint="eastAsia" w:ascii="宋体" w:hAnsi="宋体" w:eastAsia="宋体" w:cs="宋体"/>
          <w:color w:val="auto"/>
          <w:spacing w:val="40"/>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承包人应按发包人要求的时间运出施工场地。重新采购符合要求的产品</w:t>
      </w:r>
      <w:r>
        <w:rPr>
          <w:rFonts w:hint="eastAsia" w:ascii="宋体" w:hAnsi="宋体" w:eastAsia="宋体" w:cs="宋体"/>
          <w:color w:val="auto"/>
          <w:spacing w:val="-5"/>
          <w:sz w:val="21"/>
          <w:szCs w:val="21"/>
          <w:highlight w:val="none"/>
          <w:u w:val="single" w:color="auto"/>
        </w:rPr>
        <w:t>，</w:t>
      </w:r>
      <w:r>
        <w:rPr>
          <w:rFonts w:hint="eastAsia" w:ascii="宋体" w:hAnsi="宋体" w:eastAsia="宋体" w:cs="宋体"/>
          <w:color w:val="auto"/>
          <w:spacing w:val="40"/>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承担由此发生的费用，由此延误</w:t>
      </w:r>
      <w:r>
        <w:rPr>
          <w:rFonts w:hint="eastAsia" w:ascii="宋体" w:hAnsi="宋体" w:eastAsia="宋体" w:cs="宋体"/>
          <w:color w:val="auto"/>
          <w:spacing w:val="-1"/>
          <w:sz w:val="21"/>
          <w:szCs w:val="21"/>
          <w:highlight w:val="none"/>
          <w:u w:val="single" w:color="auto"/>
        </w:rPr>
        <w:t>的工期不予顺延。</w:t>
      </w:r>
    </w:p>
    <w:p w14:paraId="1E227773">
      <w:pPr>
        <w:keepNext w:val="0"/>
        <w:keepLines w:val="0"/>
        <w:pageBreakBefore w:val="0"/>
        <w:widowControl w:val="0"/>
        <w:tabs>
          <w:tab w:val="left" w:pos="532"/>
        </w:tabs>
        <w:kinsoku/>
        <w:wordWrap/>
        <w:overflowPunct/>
        <w:topLinePunct w:val="0"/>
        <w:autoSpaceDE/>
        <w:autoSpaceDN/>
        <w:bidi w:val="0"/>
        <w:adjustRightInd/>
        <w:snapToGrid/>
        <w:spacing w:line="440" w:lineRule="exact"/>
        <w:ind w:left="41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
          <w:sz w:val="21"/>
          <w:szCs w:val="21"/>
          <w:highlight w:val="none"/>
          <w:u w:val="single" w:color="auto"/>
        </w:rPr>
        <w:t>（6）招标时暂定价和认质认价材料发包人保留甲供或另行发包权利。</w:t>
      </w:r>
    </w:p>
    <w:p w14:paraId="7A392B84">
      <w:pPr>
        <w:keepNext w:val="0"/>
        <w:keepLines w:val="0"/>
        <w:pageBreakBefore w:val="0"/>
        <w:widowControl w:val="0"/>
        <w:tabs>
          <w:tab w:val="left" w:pos="532"/>
        </w:tabs>
        <w:kinsoku/>
        <w:wordWrap/>
        <w:overflowPunct/>
        <w:topLinePunct w:val="0"/>
        <w:autoSpaceDE/>
        <w:autoSpaceDN/>
        <w:bidi w:val="0"/>
        <w:adjustRightInd/>
        <w:snapToGrid/>
        <w:spacing w:line="440" w:lineRule="exact"/>
        <w:ind w:left="1" w:right="-729" w:rightChars="-347" w:firstLine="41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u w:val="single" w:color="auto"/>
        </w:rPr>
        <w:t>（7）承包人对专业分包单位采购的材料，承包人应该对各种材</w:t>
      </w:r>
      <w:r>
        <w:rPr>
          <w:rFonts w:hint="eastAsia" w:ascii="宋体" w:hAnsi="宋体" w:eastAsia="宋体" w:cs="宋体"/>
          <w:color w:val="auto"/>
          <w:spacing w:val="-2"/>
          <w:sz w:val="21"/>
          <w:szCs w:val="21"/>
          <w:highlight w:val="none"/>
          <w:u w:val="single" w:color="auto"/>
        </w:rPr>
        <w:t>料、器材、设备按规范进行</w:t>
      </w:r>
      <w:r>
        <w:rPr>
          <w:rFonts w:hint="eastAsia" w:ascii="宋体" w:hAnsi="宋体" w:eastAsia="宋体" w:cs="宋体"/>
          <w:color w:val="auto"/>
          <w:sz w:val="21"/>
          <w:szCs w:val="21"/>
          <w:highlight w:val="none"/>
          <w:u w:val="single" w:color="auto"/>
        </w:rPr>
        <w:t>检查，拒绝不符合要求的材料、器材、设备用于</w:t>
      </w:r>
      <w:r>
        <w:rPr>
          <w:rFonts w:hint="eastAsia" w:ascii="宋体" w:hAnsi="宋体" w:eastAsia="宋体" w:cs="宋体"/>
          <w:color w:val="auto"/>
          <w:spacing w:val="-1"/>
          <w:sz w:val="21"/>
          <w:szCs w:val="21"/>
          <w:highlight w:val="none"/>
          <w:u w:val="single" w:color="auto"/>
        </w:rPr>
        <w:t>工程。</w:t>
      </w:r>
    </w:p>
    <w:p w14:paraId="0C46D2C5">
      <w:pPr>
        <w:keepNext w:val="0"/>
        <w:keepLines w:val="0"/>
        <w:pageBreakBefore w:val="0"/>
        <w:widowControl w:val="0"/>
        <w:tabs>
          <w:tab w:val="left" w:pos="532"/>
        </w:tabs>
        <w:kinsoku/>
        <w:wordWrap/>
        <w:overflowPunct/>
        <w:topLinePunct w:val="0"/>
        <w:autoSpaceDE/>
        <w:autoSpaceDN/>
        <w:bidi w:val="0"/>
        <w:adjustRightInd/>
        <w:snapToGrid/>
        <w:spacing w:line="440" w:lineRule="exact"/>
        <w:ind w:left="1" w:right="-729" w:rightChars="-347" w:firstLine="41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u w:val="single" w:color="auto"/>
        </w:rPr>
        <w:t>（8）承包人应对所有进场材料按有关规定进行严格把关，</w:t>
      </w:r>
      <w:r>
        <w:rPr>
          <w:rFonts w:hint="eastAsia" w:ascii="宋体" w:hAnsi="宋体" w:eastAsia="宋体" w:cs="宋体"/>
          <w:color w:val="auto"/>
          <w:spacing w:val="-60"/>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如因材料出现的</w:t>
      </w:r>
      <w:r>
        <w:rPr>
          <w:rFonts w:hint="eastAsia" w:ascii="宋体" w:hAnsi="宋体" w:eastAsia="宋体" w:cs="宋体"/>
          <w:color w:val="auto"/>
          <w:spacing w:val="-3"/>
          <w:sz w:val="21"/>
          <w:szCs w:val="21"/>
          <w:highlight w:val="none"/>
          <w:u w:val="single" w:color="auto"/>
        </w:rPr>
        <w:t>质量和安全事故</w:t>
      </w:r>
      <w:r>
        <w:rPr>
          <w:rFonts w:hint="eastAsia" w:ascii="宋体" w:hAnsi="宋体" w:eastAsia="宋体" w:cs="宋体"/>
          <w:color w:val="auto"/>
          <w:spacing w:val="-1"/>
          <w:sz w:val="21"/>
          <w:szCs w:val="21"/>
          <w:highlight w:val="none"/>
          <w:u w:val="single" w:color="auto"/>
        </w:rPr>
        <w:t>由承包人负全责，并赔偿相应损失。设计图纸没有规定的或图纸规定与清单不符的以清单为准，且经总承包人、发包人事先认可。</w:t>
      </w:r>
    </w:p>
    <w:p w14:paraId="04D76C6F">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right="-729" w:rightChars="-347" w:firstLine="418" w:firstLineChars="201"/>
        <w:textAlignment w:val="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t>8.4</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材料与工程设备的保管与使用</w:t>
      </w:r>
    </w:p>
    <w:p w14:paraId="0AF04CB6">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发包人供应的材料设备的保管费用的</w:t>
      </w:r>
      <w:r>
        <w:rPr>
          <w:rFonts w:hint="eastAsia" w:ascii="宋体" w:hAnsi="宋体" w:eastAsia="宋体" w:cs="宋体"/>
          <w:color w:val="auto"/>
          <w:spacing w:val="-1"/>
          <w:sz w:val="21"/>
          <w:szCs w:val="21"/>
          <w:highlight w:val="none"/>
        </w:rPr>
        <w:t>承担：</w:t>
      </w:r>
      <w:r>
        <w:rPr>
          <w:rFonts w:hint="eastAsia" w:ascii="宋体" w:hAnsi="宋体" w:eastAsia="宋体" w:cs="宋体"/>
          <w:color w:val="auto"/>
          <w:spacing w:val="-1"/>
          <w:sz w:val="21"/>
          <w:szCs w:val="21"/>
          <w:highlight w:val="none"/>
          <w:u w:val="single" w:color="auto"/>
        </w:rPr>
        <w:t xml:space="preserve">     /      </w:t>
      </w:r>
      <w:r>
        <w:rPr>
          <w:rFonts w:hint="eastAsia" w:ascii="宋体" w:hAnsi="宋体" w:eastAsia="宋体" w:cs="宋体"/>
          <w:color w:val="auto"/>
          <w:spacing w:val="-1"/>
          <w:sz w:val="21"/>
          <w:szCs w:val="21"/>
          <w:highlight w:val="none"/>
        </w:rPr>
        <w:t>。</w:t>
      </w:r>
    </w:p>
    <w:p w14:paraId="5CED5893">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8.6</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3"/>
          <w:sz w:val="21"/>
          <w:szCs w:val="21"/>
          <w:highlight w:val="none"/>
        </w:rPr>
        <w:t>样品</w:t>
      </w:r>
    </w:p>
    <w:p w14:paraId="76071F4B">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2A33E5DE">
      <w:pPr>
        <w:keepNext w:val="0"/>
        <w:keepLines w:val="0"/>
        <w:pageBreakBefore w:val="0"/>
        <w:widowControl w:val="0"/>
        <w:kinsoku/>
        <w:wordWrap/>
        <w:overflowPunct/>
        <w:topLinePunct w:val="0"/>
        <w:autoSpaceDE/>
        <w:autoSpaceDN/>
        <w:bidi w:val="0"/>
        <w:adjustRightInd/>
        <w:snapToGrid/>
        <w:spacing w:line="440" w:lineRule="exact"/>
        <w:ind w:right="-729" w:rightChars="-347" w:firstLine="43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需要承包人报送样品的材料或工程设备，样品的种类、名称、规格、数量要求：</w:t>
      </w:r>
      <w:r>
        <w:rPr>
          <w:rFonts w:hint="eastAsia" w:ascii="宋体" w:hAnsi="宋体" w:eastAsia="宋体" w:cs="宋体"/>
          <w:color w:val="auto"/>
          <w:spacing w:val="-1"/>
          <w:sz w:val="21"/>
          <w:szCs w:val="21"/>
          <w:highlight w:val="none"/>
          <w:u w:val="single" w:color="auto"/>
        </w:rPr>
        <w:t>本工程的所</w:t>
      </w:r>
      <w:r>
        <w:rPr>
          <w:rFonts w:hint="eastAsia" w:ascii="宋体" w:hAnsi="宋体" w:eastAsia="宋体" w:cs="宋体"/>
          <w:color w:val="auto"/>
          <w:sz w:val="21"/>
          <w:szCs w:val="21"/>
          <w:highlight w:val="none"/>
          <w:u w:val="single" w:color="auto"/>
        </w:rPr>
        <w:t>有材料（除甲供材料</w:t>
      </w:r>
      <w:r>
        <w:rPr>
          <w:rFonts w:hint="eastAsia" w:ascii="宋体" w:hAnsi="宋体" w:eastAsia="宋体" w:cs="宋体"/>
          <w:color w:val="auto"/>
          <w:spacing w:val="-10"/>
          <w:sz w:val="21"/>
          <w:szCs w:val="21"/>
          <w:highlight w:val="none"/>
          <w:u w:val="single" w:color="auto"/>
        </w:rPr>
        <w:t>），</w:t>
      </w:r>
      <w:r>
        <w:rPr>
          <w:rFonts w:hint="eastAsia" w:ascii="宋体" w:hAnsi="宋体" w:eastAsia="宋体" w:cs="宋体"/>
          <w:color w:val="auto"/>
          <w:sz w:val="21"/>
          <w:szCs w:val="21"/>
          <w:highlight w:val="none"/>
          <w:u w:val="single" w:color="auto"/>
        </w:rPr>
        <w:t>均由承包人按设计及招标文</w:t>
      </w:r>
      <w:r>
        <w:rPr>
          <w:rFonts w:hint="eastAsia" w:ascii="宋体" w:hAnsi="宋体" w:eastAsia="宋体" w:cs="宋体"/>
          <w:color w:val="auto"/>
          <w:spacing w:val="-1"/>
          <w:sz w:val="21"/>
          <w:szCs w:val="21"/>
          <w:highlight w:val="none"/>
          <w:u w:val="single" w:color="auto"/>
        </w:rPr>
        <w:t>件及规范要求自行采购和保管，所有材料要有质保书或出厂合格证，并进行有关必要的检验或试验，合格后方可使用。承包人必须在</w:t>
      </w:r>
      <w:r>
        <w:rPr>
          <w:rFonts w:hint="eastAsia" w:ascii="宋体" w:hAnsi="宋体" w:eastAsia="宋体" w:cs="宋体"/>
          <w:color w:val="auto"/>
          <w:spacing w:val="-4"/>
          <w:sz w:val="21"/>
          <w:szCs w:val="21"/>
          <w:highlight w:val="none"/>
          <w:u w:val="single" w:color="auto"/>
        </w:rPr>
        <w:t>发包人现场见证的情况下取样、封样和送样，</w:t>
      </w:r>
      <w:r>
        <w:rPr>
          <w:rFonts w:hint="eastAsia" w:ascii="宋体" w:hAnsi="宋体" w:eastAsia="宋体" w:cs="宋体"/>
          <w:color w:val="auto"/>
          <w:spacing w:val="39"/>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样品须送至发包人指定的试验</w:t>
      </w:r>
      <w:r>
        <w:rPr>
          <w:rFonts w:hint="eastAsia" w:ascii="宋体" w:hAnsi="宋体" w:eastAsia="宋体" w:cs="宋体"/>
          <w:color w:val="auto"/>
          <w:spacing w:val="-5"/>
          <w:sz w:val="21"/>
          <w:szCs w:val="21"/>
          <w:highlight w:val="none"/>
          <w:u w:val="single" w:color="auto"/>
        </w:rPr>
        <w:t>检测机构进行检测，否则不</w:t>
      </w:r>
      <w:r>
        <w:rPr>
          <w:rFonts w:hint="eastAsia" w:ascii="宋体" w:hAnsi="宋体" w:eastAsia="宋体" w:cs="宋体"/>
          <w:color w:val="auto"/>
          <w:spacing w:val="-1"/>
          <w:sz w:val="21"/>
          <w:szCs w:val="21"/>
          <w:highlight w:val="none"/>
          <w:u w:val="single" w:color="auto"/>
        </w:rPr>
        <w:t>予认可。试验合格的，检验或试验费用由发包人承担，试验不合格的，检验或试验费用由承包人</w:t>
      </w:r>
      <w:r>
        <w:rPr>
          <w:rFonts w:hint="eastAsia" w:ascii="宋体" w:hAnsi="宋体" w:eastAsia="宋体" w:cs="宋体"/>
          <w:color w:val="auto"/>
          <w:sz w:val="21"/>
          <w:szCs w:val="21"/>
          <w:highlight w:val="none"/>
          <w:u w:val="single" w:color="auto"/>
        </w:rPr>
        <w:t>承担 。在施工过程中发包方对承包人提供材料进行不定期抽检，费用由承包人承担。</w:t>
      </w:r>
    </w:p>
    <w:p w14:paraId="02820E8D">
      <w:pPr>
        <w:keepNext w:val="0"/>
        <w:keepLines w:val="0"/>
        <w:pageBreakBefore w:val="0"/>
        <w:widowControl w:val="0"/>
        <w:kinsoku/>
        <w:wordWrap/>
        <w:overflowPunct/>
        <w:topLinePunct w:val="0"/>
        <w:autoSpaceDE/>
        <w:autoSpaceDN/>
        <w:bidi w:val="0"/>
        <w:adjustRightInd/>
        <w:snapToGrid/>
        <w:spacing w:line="440" w:lineRule="exact"/>
        <w:ind w:right="-729" w:rightChars="-347"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因承包人投标价原因所采购材料等无法满足发包人要求时，发包人有权在招标控制价范围内</w:t>
      </w:r>
      <w:r>
        <w:rPr>
          <w:rFonts w:hint="eastAsia" w:ascii="宋体" w:hAnsi="宋体" w:eastAsia="宋体" w:cs="宋体"/>
          <w:color w:val="auto"/>
          <w:sz w:val="21"/>
          <w:szCs w:val="21"/>
          <w:highlight w:val="none"/>
          <w:u w:val="single" w:color="auto"/>
        </w:rPr>
        <w:t>采购并计取管理费，所产生的费用均由承包人</w:t>
      </w:r>
      <w:r>
        <w:rPr>
          <w:rFonts w:hint="eastAsia" w:ascii="宋体" w:hAnsi="宋体" w:eastAsia="宋体" w:cs="宋体"/>
          <w:color w:val="auto"/>
          <w:spacing w:val="-1"/>
          <w:sz w:val="21"/>
          <w:szCs w:val="21"/>
          <w:highlight w:val="none"/>
          <w:u w:val="single" w:color="auto"/>
        </w:rPr>
        <w:t>承担。</w:t>
      </w:r>
    </w:p>
    <w:p w14:paraId="265514EF">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 施工设备和临时设施</w:t>
      </w:r>
    </w:p>
    <w:p w14:paraId="3A5FE4EF">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w:t>
      </w:r>
      <w:r>
        <w:rPr>
          <w:rFonts w:hint="eastAsia" w:ascii="宋体" w:hAnsi="宋体" w:eastAsia="宋体" w:cs="宋体"/>
          <w:color w:val="auto"/>
          <w:spacing w:val="-1"/>
          <w:sz w:val="21"/>
          <w:szCs w:val="21"/>
          <w:highlight w:val="none"/>
        </w:rPr>
        <w:t>设施</w:t>
      </w:r>
    </w:p>
    <w:p w14:paraId="156A0B46">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关于修建临时设施费用承担的约定：</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由承包人承担</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315A1415">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9. 试验与检验</w:t>
      </w:r>
    </w:p>
    <w:p w14:paraId="3432D428">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9.1试验设备与试验人员</w:t>
      </w:r>
    </w:p>
    <w:p w14:paraId="635C60EE">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9.1.2 试验设备</w:t>
      </w:r>
    </w:p>
    <w:p w14:paraId="380DD625">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施工现场需要配置的试验场所：</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按有关规定执行</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w:t>
      </w:r>
    </w:p>
    <w:p w14:paraId="301DBEF0">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施工现场需要配备的试验设备：</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按有关规定执行</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49A77557">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施工现场需要具备的其他试验条件：</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按有关规定执行</w:t>
      </w:r>
      <w:r>
        <w:rPr>
          <w:rFonts w:hint="eastAsia" w:ascii="宋体" w:hAnsi="宋体" w:eastAsia="宋体" w:cs="宋体"/>
          <w:color w:val="auto"/>
          <w:spacing w:val="61"/>
          <w:sz w:val="21"/>
          <w:szCs w:val="21"/>
          <w:highlight w:val="none"/>
          <w:u w:val="single" w:color="auto"/>
        </w:rPr>
        <w:t xml:space="preserve"> </w:t>
      </w:r>
      <w:r>
        <w:rPr>
          <w:rFonts w:hint="eastAsia" w:ascii="宋体" w:hAnsi="宋体" w:eastAsia="宋体" w:cs="宋体"/>
          <w:color w:val="auto"/>
          <w:spacing w:val="1"/>
          <w:sz w:val="21"/>
          <w:szCs w:val="21"/>
          <w:highlight w:val="none"/>
          <w:u w:val="none" w:color="auto"/>
        </w:rPr>
        <w:t>。</w:t>
      </w:r>
    </w:p>
    <w:p w14:paraId="1D7D0208">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9.4 现场工艺试验</w:t>
      </w:r>
    </w:p>
    <w:p w14:paraId="2673CB89">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z w:val="21"/>
          <w:szCs w:val="21"/>
          <w:highlight w:val="none"/>
        </w:rPr>
        <w:t>。</w:t>
      </w:r>
    </w:p>
    <w:p w14:paraId="748C415E">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lang w:eastAsia="zh-CN"/>
        </w:rPr>
      </w:pPr>
      <w:r>
        <w:rPr>
          <w:rFonts w:hint="eastAsia" w:ascii="宋体" w:hAnsi="宋体" w:eastAsia="宋体" w:cs="宋体"/>
          <w:b/>
          <w:bCs/>
          <w:color w:val="auto"/>
          <w:spacing w:val="-6"/>
          <w:sz w:val="21"/>
          <w:szCs w:val="21"/>
          <w:highlight w:val="none"/>
        </w:rPr>
        <w:t>10. 变更</w:t>
      </w:r>
    </w:p>
    <w:p w14:paraId="07362AE8">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1</w:t>
      </w:r>
      <w:bookmarkStart w:id="242" w:name="_Toc304295567"/>
      <w:bookmarkStart w:id="243" w:name="_Toc297123541"/>
      <w:bookmarkStart w:id="244" w:name="_Toc296891022"/>
      <w:bookmarkStart w:id="245" w:name="_Toc312678026"/>
      <w:bookmarkStart w:id="246" w:name="_Toc297048380"/>
      <w:bookmarkStart w:id="247" w:name="_Toc296944533"/>
      <w:bookmarkStart w:id="248" w:name="_Toc296891234"/>
      <w:bookmarkStart w:id="249" w:name="_Toc300934990"/>
      <w:bookmarkStart w:id="250" w:name="_Toc296503194"/>
      <w:bookmarkStart w:id="251" w:name="_Toc296347193"/>
      <w:bookmarkStart w:id="252" w:name="_Toc303539147"/>
      <w:bookmarkStart w:id="253" w:name="_Toc292559399"/>
      <w:bookmarkStart w:id="254" w:name="_Toc312677500"/>
      <w:bookmarkStart w:id="255" w:name="_Toc297216200"/>
      <w:bookmarkStart w:id="256" w:name="_Toc297120494"/>
      <w:bookmarkStart w:id="257" w:name="_Toc296346695"/>
      <w:bookmarkStart w:id="258" w:name="_Toc292559904"/>
      <w:r>
        <w:rPr>
          <w:rFonts w:ascii="宋体" w:hAnsi="宋体"/>
          <w:color w:val="auto"/>
          <w:szCs w:val="21"/>
          <w:highlight w:val="none"/>
        </w:rPr>
        <w:t>0.1变更的范围</w:t>
      </w:r>
    </w:p>
    <w:p w14:paraId="415534F2">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关于变更的范围的约定：</w:t>
      </w:r>
    </w:p>
    <w:p w14:paraId="1D3D94FD">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u w:val="single"/>
        </w:rPr>
        <w:t xml:space="preserve">（1）实际完成的工程量偏差； </w:t>
      </w:r>
    </w:p>
    <w:p w14:paraId="26E8073D">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u w:val="single"/>
        </w:rPr>
        <w:t>（2）设计变更引起的工程量变化或直接造成的费用增加；</w:t>
      </w:r>
    </w:p>
    <w:p w14:paraId="1377C8C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u w:val="single"/>
        </w:rPr>
        <w:t>（3）发包人要求的承包范围以外的附加工程量；</w:t>
      </w:r>
    </w:p>
    <w:p w14:paraId="43305BF3">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u w:val="single"/>
        </w:rPr>
        <w:t>（4）暂列金额及暂估价；</w:t>
      </w:r>
    </w:p>
    <w:p w14:paraId="63F3534F">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u w:val="single"/>
        </w:rPr>
        <w:t>（5）不可抗力；</w:t>
      </w:r>
    </w:p>
    <w:p w14:paraId="6385A997">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u w:val="single"/>
        </w:rPr>
        <w:t>（6）工程量清单缺项或项目特征不符；</w:t>
      </w:r>
    </w:p>
    <w:p w14:paraId="574DE83C">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u w:val="single"/>
        </w:rPr>
        <w:t>（7）发包人确认的其它费用。</w:t>
      </w:r>
    </w:p>
    <w:p w14:paraId="493A5F43">
      <w:pPr>
        <w:keepNext w:val="0"/>
        <w:keepLines w:val="0"/>
        <w:pageBreakBefore w:val="0"/>
        <w:widowControl w:val="0"/>
        <w:kinsoku/>
        <w:wordWrap/>
        <w:overflowPunct/>
        <w:topLinePunct w:val="0"/>
        <w:autoSpaceDE/>
        <w:autoSpaceDN/>
        <w:bidi w:val="0"/>
        <w:adjustRightInd/>
        <w:snapToGrid/>
        <w:spacing w:line="440" w:lineRule="exact"/>
        <w:ind w:right="-729" w:rightChars="-347" w:firstLine="600"/>
        <w:jc w:val="left"/>
        <w:textAlignment w:val="auto"/>
        <w:rPr>
          <w:rFonts w:ascii="宋体" w:hAnsi="宋体"/>
          <w:color w:val="auto"/>
          <w:szCs w:val="21"/>
          <w:highlight w:val="none"/>
        </w:rPr>
      </w:pPr>
      <w:r>
        <w:rPr>
          <w:rFonts w:ascii="宋体" w:hAnsi="宋体"/>
          <w:color w:val="auto"/>
          <w:szCs w:val="21"/>
          <w:highlight w:val="none"/>
        </w:rPr>
        <w:t>10.4 变更估价</w:t>
      </w:r>
    </w:p>
    <w:p w14:paraId="6D1A41FF">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10.4.1 变更估价原则</w:t>
      </w:r>
    </w:p>
    <w:p w14:paraId="5A109337">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 xml:space="preserve">关于变更估价的约定: </w:t>
      </w:r>
    </w:p>
    <w:p w14:paraId="1CFC0716">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 xml:space="preserve">1) 因非承包人原因引起分部分项工程量发生变化或因工程变更引起已标价工程量清单项目发生变化，且已标价工程量清单中有相同清单项目的，按下列规定调整价款。 </w:t>
      </w:r>
    </w:p>
    <w:p w14:paraId="2A906204">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 xml:space="preserve">Ⅰ、定义 </w:t>
      </w:r>
    </w:p>
    <w:p w14:paraId="13D8BD19">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 xml:space="preserve">S—调整后的某一分部分项工程费结算价 </w:t>
      </w:r>
    </w:p>
    <w:p w14:paraId="06105AE7">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Q</w:t>
      </w:r>
      <w:r>
        <w:rPr>
          <w:rFonts w:hint="eastAsia" w:ascii="宋体" w:hAnsi="宋体" w:cs="宋体"/>
          <w:color w:val="auto"/>
          <w:highlight w:val="none"/>
          <w:vertAlign w:val="subscript"/>
        </w:rPr>
        <w:t>1</w:t>
      </w:r>
      <w:r>
        <w:rPr>
          <w:rFonts w:hint="eastAsia" w:ascii="宋体" w:hAnsi="宋体" w:cs="宋体"/>
          <w:color w:val="auto"/>
          <w:highlight w:val="none"/>
        </w:rPr>
        <w:t xml:space="preserve">—最终完成的工程量 </w:t>
      </w:r>
    </w:p>
    <w:p w14:paraId="0E7E05F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Q</w:t>
      </w:r>
      <w:r>
        <w:rPr>
          <w:rFonts w:hint="eastAsia" w:ascii="宋体" w:hAnsi="宋体" w:cs="宋体"/>
          <w:color w:val="auto"/>
          <w:highlight w:val="none"/>
          <w:vertAlign w:val="subscript"/>
        </w:rPr>
        <w:t>0</w:t>
      </w:r>
      <w:r>
        <w:rPr>
          <w:rFonts w:hint="eastAsia" w:ascii="宋体" w:hAnsi="宋体" w:cs="宋体"/>
          <w:color w:val="auto"/>
          <w:highlight w:val="none"/>
        </w:rPr>
        <w:t>—</w:t>
      </w:r>
      <w:r>
        <w:rPr>
          <w:rFonts w:hint="eastAsia" w:ascii="宋体" w:hAnsi="宋体" w:cs="宋体"/>
          <w:color w:val="auto"/>
          <w:highlight w:val="none"/>
          <w:lang w:eastAsia="zh-CN"/>
        </w:rPr>
        <w:t>比选</w:t>
      </w:r>
      <w:r>
        <w:rPr>
          <w:rFonts w:hint="eastAsia" w:ascii="宋体" w:hAnsi="宋体" w:cs="宋体"/>
          <w:color w:val="auto"/>
          <w:highlight w:val="none"/>
        </w:rPr>
        <w:t xml:space="preserve">工程量清单中列出的工程量 </w:t>
      </w:r>
    </w:p>
    <w:p w14:paraId="7F16F3BF">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P</w:t>
      </w:r>
      <w:r>
        <w:rPr>
          <w:rFonts w:hint="eastAsia" w:ascii="宋体" w:hAnsi="宋体" w:cs="宋体"/>
          <w:color w:val="auto"/>
          <w:highlight w:val="none"/>
          <w:vertAlign w:val="subscript"/>
        </w:rPr>
        <w:t>0</w:t>
      </w:r>
      <w:r>
        <w:rPr>
          <w:rFonts w:hint="eastAsia" w:ascii="宋体" w:hAnsi="宋体" w:cs="宋体"/>
          <w:color w:val="auto"/>
          <w:highlight w:val="none"/>
        </w:rPr>
        <w:t xml:space="preserve">—承包人在工程量清单中填报的综合单价（承包人在工程量清单中填报的综合单价出现不一致的，取最低值） </w:t>
      </w:r>
    </w:p>
    <w:p w14:paraId="30C2EDD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P</w:t>
      </w:r>
      <w:r>
        <w:rPr>
          <w:rFonts w:hint="eastAsia" w:ascii="宋体" w:hAnsi="宋体" w:cs="宋体"/>
          <w:color w:val="auto"/>
          <w:highlight w:val="none"/>
          <w:vertAlign w:val="subscript"/>
        </w:rPr>
        <w:t>2</w:t>
      </w:r>
      <w:r>
        <w:rPr>
          <w:rFonts w:hint="eastAsia" w:ascii="宋体" w:hAnsi="宋体" w:cs="宋体"/>
          <w:color w:val="auto"/>
          <w:highlight w:val="none"/>
        </w:rPr>
        <w:t>—比选控制价中对应于 P</w:t>
      </w:r>
      <w:r>
        <w:rPr>
          <w:rFonts w:hint="eastAsia" w:ascii="宋体" w:hAnsi="宋体" w:cs="宋体"/>
          <w:color w:val="auto"/>
          <w:highlight w:val="none"/>
          <w:vertAlign w:val="subscript"/>
        </w:rPr>
        <w:t>0</w:t>
      </w:r>
      <w:r>
        <w:rPr>
          <w:rFonts w:hint="eastAsia" w:ascii="宋体" w:hAnsi="宋体" w:cs="宋体"/>
          <w:color w:val="auto"/>
          <w:highlight w:val="none"/>
        </w:rPr>
        <w:t xml:space="preserve"> 的综合单价(如比选控制价中出现共认的明显错误的综合单价时，可按比选控制价编制原则进行修正) </w:t>
      </w:r>
    </w:p>
    <w:p w14:paraId="69A1CF36">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 xml:space="preserve">L—总价浮动率，计算公式如下： </w:t>
      </w:r>
    </w:p>
    <w:p w14:paraId="2DA19567">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 xml:space="preserve">L=（1-中标总价÷比选控制价）×100%，式中的中标总价和比选控制价均应扣除暂列金额、暂估价、甲供材料费及其相应的税费。 </w:t>
      </w:r>
    </w:p>
    <w:p w14:paraId="299AA750">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L</w:t>
      </w:r>
      <w:r>
        <w:rPr>
          <w:rFonts w:hint="eastAsia" w:ascii="宋体" w:hAnsi="宋体" w:cs="宋体"/>
          <w:color w:val="auto"/>
          <w:highlight w:val="none"/>
          <w:vertAlign w:val="subscript"/>
        </w:rPr>
        <w:t>1</w:t>
      </w:r>
      <w:r>
        <w:rPr>
          <w:rFonts w:hint="eastAsia" w:ascii="宋体" w:hAnsi="宋体" w:cs="宋体"/>
          <w:color w:val="auto"/>
          <w:highlight w:val="none"/>
        </w:rPr>
        <w:t>—清单项目综合单价浮动率（1- P</w:t>
      </w:r>
      <w:r>
        <w:rPr>
          <w:rFonts w:hint="eastAsia" w:ascii="宋体" w:hAnsi="宋体" w:cs="宋体"/>
          <w:color w:val="auto"/>
          <w:highlight w:val="none"/>
          <w:vertAlign w:val="subscript"/>
        </w:rPr>
        <w:t>0</w:t>
      </w:r>
      <w:r>
        <w:rPr>
          <w:rFonts w:hint="eastAsia" w:ascii="宋体" w:hAnsi="宋体" w:cs="宋体"/>
          <w:color w:val="auto"/>
          <w:highlight w:val="none"/>
        </w:rPr>
        <w:t>÷ P</w:t>
      </w:r>
      <w:r>
        <w:rPr>
          <w:rFonts w:hint="eastAsia" w:ascii="宋体" w:hAnsi="宋体" w:cs="宋体"/>
          <w:color w:val="auto"/>
          <w:highlight w:val="none"/>
          <w:vertAlign w:val="subscript"/>
        </w:rPr>
        <w:t>2</w:t>
      </w:r>
      <w:r>
        <w:rPr>
          <w:rFonts w:hint="eastAsia" w:ascii="宋体" w:hAnsi="宋体" w:cs="宋体"/>
          <w:color w:val="auto"/>
          <w:highlight w:val="none"/>
        </w:rPr>
        <w:t xml:space="preserve">）×100% </w:t>
      </w:r>
    </w:p>
    <w:p w14:paraId="4F972888">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 xml:space="preserve">Ⅱ、变更价款调整方法： </w:t>
      </w:r>
    </w:p>
    <w:p w14:paraId="57E62791">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a）当工程量变化在±15%幅度以内（含±15%）时，S= Q</w:t>
      </w:r>
      <w:r>
        <w:rPr>
          <w:rFonts w:hint="eastAsia" w:ascii="宋体" w:hAnsi="宋体" w:cs="宋体"/>
          <w:color w:val="auto"/>
          <w:highlight w:val="none"/>
          <w:vertAlign w:val="subscript"/>
        </w:rPr>
        <w:t>1</w:t>
      </w:r>
      <w:r>
        <w:rPr>
          <w:rFonts w:hint="eastAsia" w:ascii="宋体" w:hAnsi="宋体" w:cs="宋体"/>
          <w:color w:val="auto"/>
          <w:highlight w:val="none"/>
        </w:rPr>
        <w:t>×P</w:t>
      </w:r>
      <w:r>
        <w:rPr>
          <w:rFonts w:hint="eastAsia" w:ascii="宋体" w:hAnsi="宋体" w:cs="宋体"/>
          <w:color w:val="auto"/>
          <w:highlight w:val="none"/>
          <w:vertAlign w:val="subscript"/>
        </w:rPr>
        <w:t>0</w:t>
      </w:r>
      <w:r>
        <w:rPr>
          <w:rFonts w:hint="eastAsia" w:ascii="宋体" w:hAnsi="宋体" w:cs="宋体"/>
          <w:color w:val="auto"/>
          <w:highlight w:val="none"/>
        </w:rPr>
        <w:t xml:space="preserve">； </w:t>
      </w:r>
    </w:p>
    <w:p w14:paraId="4E7FD831">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b）当工程量变化幅度超过±15%，且 L+15%≥L</w:t>
      </w:r>
      <w:r>
        <w:rPr>
          <w:rFonts w:hint="eastAsia" w:ascii="宋体" w:hAnsi="宋体" w:cs="宋体"/>
          <w:color w:val="auto"/>
          <w:highlight w:val="none"/>
          <w:vertAlign w:val="subscript"/>
        </w:rPr>
        <w:t>1</w:t>
      </w:r>
      <w:r>
        <w:rPr>
          <w:rFonts w:hint="eastAsia" w:ascii="宋体" w:hAnsi="宋体" w:cs="宋体"/>
          <w:color w:val="auto"/>
          <w:highlight w:val="none"/>
        </w:rPr>
        <w:t>≥L-15%范围内时，S= Q</w:t>
      </w:r>
      <w:r>
        <w:rPr>
          <w:rFonts w:hint="eastAsia" w:ascii="宋体" w:hAnsi="宋体" w:cs="宋体"/>
          <w:color w:val="auto"/>
          <w:highlight w:val="none"/>
          <w:vertAlign w:val="subscript"/>
        </w:rPr>
        <w:t>1</w:t>
      </w:r>
      <w:r>
        <w:rPr>
          <w:rFonts w:hint="eastAsia" w:ascii="宋体" w:hAnsi="宋体" w:cs="宋体"/>
          <w:color w:val="auto"/>
          <w:highlight w:val="none"/>
        </w:rPr>
        <w:t>×P</w:t>
      </w:r>
      <w:r>
        <w:rPr>
          <w:rFonts w:hint="eastAsia" w:ascii="宋体" w:hAnsi="宋体" w:cs="宋体"/>
          <w:color w:val="auto"/>
          <w:highlight w:val="none"/>
          <w:vertAlign w:val="subscript"/>
        </w:rPr>
        <w:t>0</w:t>
      </w:r>
      <w:r>
        <w:rPr>
          <w:rFonts w:hint="eastAsia" w:ascii="宋体" w:hAnsi="宋体" w:cs="宋体"/>
          <w:color w:val="auto"/>
          <w:highlight w:val="none"/>
        </w:rPr>
        <w:t xml:space="preserve">； </w:t>
      </w:r>
    </w:p>
    <w:p w14:paraId="2AF357C7">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c）当工程量增加幅度超过 15%，且 L</w:t>
      </w:r>
      <w:r>
        <w:rPr>
          <w:rFonts w:hint="eastAsia" w:ascii="宋体" w:hAnsi="宋体" w:cs="宋体"/>
          <w:color w:val="auto"/>
          <w:highlight w:val="none"/>
          <w:vertAlign w:val="subscript"/>
        </w:rPr>
        <w:t>1</w:t>
      </w:r>
      <w:r>
        <w:rPr>
          <w:rFonts w:hint="eastAsia" w:ascii="宋体" w:hAnsi="宋体" w:cs="宋体"/>
          <w:color w:val="auto"/>
          <w:highlight w:val="none"/>
        </w:rPr>
        <w:t>＞L+15%或 L</w:t>
      </w:r>
      <w:r>
        <w:rPr>
          <w:rFonts w:hint="eastAsia" w:ascii="宋体" w:hAnsi="宋体" w:cs="宋体"/>
          <w:color w:val="auto"/>
          <w:highlight w:val="none"/>
          <w:vertAlign w:val="subscript"/>
        </w:rPr>
        <w:t>1</w:t>
      </w:r>
      <w:r>
        <w:rPr>
          <w:rFonts w:hint="eastAsia" w:ascii="宋体" w:hAnsi="宋体" w:cs="宋体"/>
          <w:color w:val="auto"/>
          <w:highlight w:val="none"/>
        </w:rPr>
        <w:t xml:space="preserve">＜L-15%时，按以下原则进行结算： </w:t>
      </w:r>
    </w:p>
    <w:p w14:paraId="53871EC8">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①当 P</w:t>
      </w:r>
      <w:r>
        <w:rPr>
          <w:rFonts w:hint="eastAsia" w:ascii="宋体" w:hAnsi="宋体" w:cs="宋体"/>
          <w:color w:val="auto"/>
          <w:highlight w:val="none"/>
          <w:vertAlign w:val="subscript"/>
        </w:rPr>
        <w:t>0</w:t>
      </w:r>
      <w:r>
        <w:rPr>
          <w:rFonts w:hint="eastAsia" w:ascii="宋体" w:hAnsi="宋体" w:cs="宋体"/>
          <w:color w:val="auto"/>
          <w:highlight w:val="none"/>
        </w:rPr>
        <w:t>＞P</w:t>
      </w:r>
      <w:r>
        <w:rPr>
          <w:rFonts w:hint="eastAsia" w:ascii="宋体" w:hAnsi="宋体" w:cs="宋体"/>
          <w:color w:val="auto"/>
          <w:highlight w:val="none"/>
          <w:vertAlign w:val="subscript"/>
        </w:rPr>
        <w:t>2</w:t>
      </w:r>
      <w:r>
        <w:rPr>
          <w:rFonts w:hint="eastAsia" w:ascii="宋体" w:hAnsi="宋体" w:cs="宋体"/>
          <w:color w:val="auto"/>
          <w:highlight w:val="none"/>
        </w:rPr>
        <w:t>×(1-（L-15%)）时，S=1.15Q</w:t>
      </w:r>
      <w:r>
        <w:rPr>
          <w:rFonts w:hint="eastAsia" w:ascii="宋体" w:hAnsi="宋体" w:cs="宋体"/>
          <w:color w:val="auto"/>
          <w:highlight w:val="none"/>
          <w:vertAlign w:val="subscript"/>
        </w:rPr>
        <w:t>0</w:t>
      </w:r>
      <w:r>
        <w:rPr>
          <w:rFonts w:hint="eastAsia" w:ascii="宋体" w:hAnsi="宋体" w:cs="宋体"/>
          <w:color w:val="auto"/>
          <w:highlight w:val="none"/>
        </w:rPr>
        <w:t xml:space="preserve"> ×P</w:t>
      </w:r>
      <w:r>
        <w:rPr>
          <w:rFonts w:hint="eastAsia" w:ascii="宋体" w:hAnsi="宋体" w:cs="宋体"/>
          <w:color w:val="auto"/>
          <w:highlight w:val="none"/>
          <w:vertAlign w:val="subscript"/>
        </w:rPr>
        <w:t>0</w:t>
      </w:r>
      <w:r>
        <w:rPr>
          <w:rFonts w:hint="eastAsia" w:ascii="宋体" w:hAnsi="宋体" w:cs="宋体"/>
          <w:color w:val="auto"/>
          <w:highlight w:val="none"/>
        </w:rPr>
        <w:t xml:space="preserve"> +( Q</w:t>
      </w:r>
      <w:r>
        <w:rPr>
          <w:rFonts w:hint="eastAsia" w:ascii="宋体" w:hAnsi="宋体" w:cs="宋体"/>
          <w:color w:val="auto"/>
          <w:highlight w:val="none"/>
          <w:vertAlign w:val="subscript"/>
        </w:rPr>
        <w:t>1</w:t>
      </w:r>
      <w:r>
        <w:rPr>
          <w:rFonts w:hint="eastAsia" w:ascii="宋体" w:hAnsi="宋体" w:cs="宋体"/>
          <w:color w:val="auto"/>
          <w:highlight w:val="none"/>
        </w:rPr>
        <w:t>-1.15Q</w:t>
      </w:r>
      <w:r>
        <w:rPr>
          <w:rFonts w:hint="eastAsia" w:ascii="宋体" w:hAnsi="宋体" w:cs="宋体"/>
          <w:color w:val="auto"/>
          <w:highlight w:val="none"/>
          <w:vertAlign w:val="subscript"/>
        </w:rPr>
        <w:t>0</w:t>
      </w:r>
      <w:r>
        <w:rPr>
          <w:rFonts w:hint="eastAsia" w:ascii="宋体" w:hAnsi="宋体" w:cs="宋体"/>
          <w:color w:val="auto"/>
          <w:highlight w:val="none"/>
        </w:rPr>
        <w:t>) ×P</w:t>
      </w:r>
      <w:r>
        <w:rPr>
          <w:rFonts w:hint="eastAsia" w:ascii="宋体" w:hAnsi="宋体" w:cs="宋体"/>
          <w:color w:val="auto"/>
          <w:highlight w:val="none"/>
          <w:vertAlign w:val="subscript"/>
        </w:rPr>
        <w:t>2</w:t>
      </w:r>
      <w:r>
        <w:rPr>
          <w:rFonts w:hint="eastAsia" w:ascii="宋体" w:hAnsi="宋体" w:cs="宋体"/>
          <w:color w:val="auto"/>
          <w:highlight w:val="none"/>
        </w:rPr>
        <w:t xml:space="preserve">×(1-L)； </w:t>
      </w:r>
    </w:p>
    <w:p w14:paraId="4D11C00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②当 P</w:t>
      </w:r>
      <w:r>
        <w:rPr>
          <w:rFonts w:hint="eastAsia" w:ascii="宋体" w:hAnsi="宋体" w:cs="宋体"/>
          <w:color w:val="auto"/>
          <w:highlight w:val="none"/>
          <w:vertAlign w:val="subscript"/>
        </w:rPr>
        <w:t>0</w:t>
      </w:r>
      <w:r>
        <w:rPr>
          <w:rFonts w:hint="eastAsia" w:ascii="宋体" w:hAnsi="宋体" w:cs="宋体"/>
          <w:color w:val="auto"/>
          <w:highlight w:val="none"/>
        </w:rPr>
        <w:t>＜P</w:t>
      </w:r>
      <w:r>
        <w:rPr>
          <w:rFonts w:hint="eastAsia" w:ascii="宋体" w:hAnsi="宋体" w:cs="宋体"/>
          <w:color w:val="auto"/>
          <w:highlight w:val="none"/>
          <w:vertAlign w:val="subscript"/>
        </w:rPr>
        <w:t>2</w:t>
      </w:r>
      <w:r>
        <w:rPr>
          <w:rFonts w:hint="eastAsia" w:ascii="宋体" w:hAnsi="宋体" w:cs="宋体"/>
          <w:color w:val="auto"/>
          <w:highlight w:val="none"/>
        </w:rPr>
        <w:t>×(1-（L+15%)）时，S=1.15Q</w:t>
      </w:r>
      <w:r>
        <w:rPr>
          <w:rFonts w:hint="eastAsia" w:ascii="宋体" w:hAnsi="宋体" w:cs="宋体"/>
          <w:color w:val="auto"/>
          <w:highlight w:val="none"/>
          <w:vertAlign w:val="subscript"/>
        </w:rPr>
        <w:t>0</w:t>
      </w:r>
      <w:r>
        <w:rPr>
          <w:rFonts w:hint="eastAsia" w:ascii="宋体" w:hAnsi="宋体" w:cs="宋体"/>
          <w:color w:val="auto"/>
          <w:highlight w:val="none"/>
        </w:rPr>
        <w:t xml:space="preserve"> ×P</w:t>
      </w:r>
      <w:r>
        <w:rPr>
          <w:rFonts w:hint="eastAsia" w:ascii="宋体" w:hAnsi="宋体" w:cs="宋体"/>
          <w:color w:val="auto"/>
          <w:highlight w:val="none"/>
          <w:vertAlign w:val="subscript"/>
        </w:rPr>
        <w:t>0</w:t>
      </w:r>
      <w:r>
        <w:rPr>
          <w:rFonts w:hint="eastAsia" w:ascii="宋体" w:hAnsi="宋体" w:cs="宋体"/>
          <w:color w:val="auto"/>
          <w:highlight w:val="none"/>
        </w:rPr>
        <w:t xml:space="preserve"> +( Q</w:t>
      </w:r>
      <w:r>
        <w:rPr>
          <w:rFonts w:hint="eastAsia" w:ascii="宋体" w:hAnsi="宋体" w:cs="宋体"/>
          <w:color w:val="auto"/>
          <w:highlight w:val="none"/>
          <w:vertAlign w:val="subscript"/>
        </w:rPr>
        <w:t>1</w:t>
      </w:r>
      <w:r>
        <w:rPr>
          <w:rFonts w:hint="eastAsia" w:ascii="宋体" w:hAnsi="宋体" w:cs="宋体"/>
          <w:color w:val="auto"/>
          <w:highlight w:val="none"/>
        </w:rPr>
        <w:t>-1.15Q</w:t>
      </w:r>
      <w:r>
        <w:rPr>
          <w:rFonts w:hint="eastAsia" w:ascii="宋体" w:hAnsi="宋体" w:cs="宋体"/>
          <w:color w:val="auto"/>
          <w:highlight w:val="none"/>
          <w:vertAlign w:val="subscript"/>
        </w:rPr>
        <w:t>0</w:t>
      </w:r>
      <w:r>
        <w:rPr>
          <w:rFonts w:hint="eastAsia" w:ascii="宋体" w:hAnsi="宋体" w:cs="宋体"/>
          <w:color w:val="auto"/>
          <w:highlight w:val="none"/>
        </w:rPr>
        <w:t>) ×P</w:t>
      </w:r>
      <w:r>
        <w:rPr>
          <w:rFonts w:hint="eastAsia" w:ascii="宋体" w:hAnsi="宋体" w:cs="宋体"/>
          <w:color w:val="auto"/>
          <w:highlight w:val="none"/>
          <w:vertAlign w:val="subscript"/>
        </w:rPr>
        <w:t>0</w:t>
      </w:r>
      <w:r>
        <w:rPr>
          <w:rFonts w:hint="eastAsia" w:ascii="宋体" w:hAnsi="宋体" w:cs="宋体"/>
          <w:color w:val="auto"/>
          <w:highlight w:val="none"/>
        </w:rPr>
        <w:t>(即 S= Q</w:t>
      </w:r>
      <w:r>
        <w:rPr>
          <w:rFonts w:hint="eastAsia" w:ascii="宋体" w:hAnsi="宋体" w:cs="宋体"/>
          <w:color w:val="auto"/>
          <w:highlight w:val="none"/>
          <w:vertAlign w:val="subscript"/>
        </w:rPr>
        <w:t>1</w:t>
      </w:r>
      <w:r>
        <w:rPr>
          <w:rFonts w:hint="eastAsia" w:ascii="宋体" w:hAnsi="宋体" w:cs="宋体"/>
          <w:color w:val="auto"/>
          <w:highlight w:val="none"/>
        </w:rPr>
        <w:t>×P</w:t>
      </w:r>
      <w:r>
        <w:rPr>
          <w:rFonts w:hint="eastAsia" w:ascii="宋体" w:hAnsi="宋体" w:cs="宋体"/>
          <w:color w:val="auto"/>
          <w:highlight w:val="none"/>
          <w:vertAlign w:val="subscript"/>
        </w:rPr>
        <w:t>0</w:t>
      </w:r>
      <w:r>
        <w:rPr>
          <w:rFonts w:hint="eastAsia" w:ascii="宋体" w:hAnsi="宋体" w:cs="宋体"/>
          <w:color w:val="auto"/>
          <w:highlight w:val="none"/>
        </w:rPr>
        <w:t xml:space="preserve">)。 </w:t>
      </w:r>
    </w:p>
    <w:p w14:paraId="7EE0D61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 xml:space="preserve">d）当工程量减少幅度超过 15%或项目取消，且 L1＞L+15%或 L1＜L-15%时，按以下原则进行结算： </w:t>
      </w:r>
    </w:p>
    <w:p w14:paraId="154F2DA6">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③当 P</w:t>
      </w:r>
      <w:r>
        <w:rPr>
          <w:rFonts w:hint="eastAsia" w:ascii="宋体" w:hAnsi="宋体" w:cs="宋体"/>
          <w:color w:val="auto"/>
          <w:highlight w:val="none"/>
          <w:vertAlign w:val="subscript"/>
        </w:rPr>
        <w:t>0</w:t>
      </w:r>
      <w:r>
        <w:rPr>
          <w:rFonts w:hint="eastAsia" w:ascii="宋体" w:hAnsi="宋体" w:cs="宋体"/>
          <w:color w:val="auto"/>
          <w:highlight w:val="none"/>
        </w:rPr>
        <w:t>＞P</w:t>
      </w:r>
      <w:r>
        <w:rPr>
          <w:rFonts w:hint="eastAsia" w:ascii="宋体" w:hAnsi="宋体" w:cs="宋体"/>
          <w:color w:val="auto"/>
          <w:highlight w:val="none"/>
          <w:vertAlign w:val="subscript"/>
        </w:rPr>
        <w:t>2</w:t>
      </w:r>
      <w:r>
        <w:rPr>
          <w:rFonts w:hint="eastAsia" w:ascii="宋体" w:hAnsi="宋体" w:cs="宋体"/>
          <w:color w:val="auto"/>
          <w:highlight w:val="none"/>
        </w:rPr>
        <w:t>×(1-（L-15%)）时，S=0.85Q</w:t>
      </w:r>
      <w:r>
        <w:rPr>
          <w:rFonts w:hint="eastAsia" w:ascii="宋体" w:hAnsi="宋体" w:cs="宋体"/>
          <w:color w:val="auto"/>
          <w:highlight w:val="none"/>
          <w:vertAlign w:val="subscript"/>
        </w:rPr>
        <w:t>0</w:t>
      </w:r>
      <w:r>
        <w:rPr>
          <w:rFonts w:hint="eastAsia" w:ascii="宋体" w:hAnsi="宋体" w:cs="宋体"/>
          <w:color w:val="auto"/>
          <w:highlight w:val="none"/>
        </w:rPr>
        <w:t xml:space="preserve"> ×P</w:t>
      </w:r>
      <w:r>
        <w:rPr>
          <w:rFonts w:hint="eastAsia" w:ascii="宋体" w:hAnsi="宋体" w:cs="宋体"/>
          <w:color w:val="auto"/>
          <w:highlight w:val="none"/>
          <w:vertAlign w:val="subscript"/>
        </w:rPr>
        <w:t>0</w:t>
      </w:r>
      <w:r>
        <w:rPr>
          <w:rFonts w:hint="eastAsia" w:ascii="宋体" w:hAnsi="宋体" w:cs="宋体"/>
          <w:color w:val="auto"/>
          <w:highlight w:val="none"/>
        </w:rPr>
        <w:t xml:space="preserve"> +（Q</w:t>
      </w:r>
      <w:r>
        <w:rPr>
          <w:rFonts w:hint="eastAsia" w:ascii="宋体" w:hAnsi="宋体" w:cs="宋体"/>
          <w:color w:val="auto"/>
          <w:highlight w:val="none"/>
          <w:vertAlign w:val="subscript"/>
        </w:rPr>
        <w:t>1</w:t>
      </w:r>
      <w:r>
        <w:rPr>
          <w:rFonts w:hint="eastAsia" w:ascii="宋体" w:hAnsi="宋体" w:cs="宋体"/>
          <w:color w:val="auto"/>
          <w:highlight w:val="none"/>
        </w:rPr>
        <w:t>-0.85Q</w:t>
      </w:r>
      <w:r>
        <w:rPr>
          <w:rFonts w:hint="eastAsia" w:ascii="宋体" w:hAnsi="宋体" w:cs="宋体"/>
          <w:color w:val="auto"/>
          <w:highlight w:val="none"/>
          <w:vertAlign w:val="subscript"/>
        </w:rPr>
        <w:t>0</w:t>
      </w:r>
      <w:r>
        <w:rPr>
          <w:rFonts w:hint="eastAsia" w:ascii="宋体" w:hAnsi="宋体" w:cs="宋体"/>
          <w:color w:val="auto"/>
          <w:highlight w:val="none"/>
        </w:rPr>
        <w:t>）×P</w:t>
      </w:r>
      <w:r>
        <w:rPr>
          <w:rFonts w:hint="eastAsia" w:ascii="宋体" w:hAnsi="宋体" w:cs="宋体"/>
          <w:color w:val="auto"/>
          <w:highlight w:val="none"/>
          <w:vertAlign w:val="subscript"/>
        </w:rPr>
        <w:t>0</w:t>
      </w:r>
      <w:r>
        <w:rPr>
          <w:rFonts w:hint="eastAsia" w:ascii="宋体" w:hAnsi="宋体" w:cs="宋体"/>
          <w:color w:val="auto"/>
          <w:highlight w:val="none"/>
        </w:rPr>
        <w:t>(即 S= Q</w:t>
      </w:r>
      <w:r>
        <w:rPr>
          <w:rFonts w:hint="eastAsia" w:ascii="宋体" w:hAnsi="宋体" w:cs="宋体"/>
          <w:color w:val="auto"/>
          <w:highlight w:val="none"/>
          <w:vertAlign w:val="subscript"/>
        </w:rPr>
        <w:t>1</w:t>
      </w:r>
      <w:r>
        <w:rPr>
          <w:rFonts w:hint="eastAsia" w:ascii="宋体" w:hAnsi="宋体" w:cs="宋体"/>
          <w:color w:val="auto"/>
          <w:highlight w:val="none"/>
        </w:rPr>
        <w:t>×P</w:t>
      </w:r>
      <w:r>
        <w:rPr>
          <w:rFonts w:hint="eastAsia" w:ascii="宋体" w:hAnsi="宋体" w:cs="宋体"/>
          <w:color w:val="auto"/>
          <w:highlight w:val="none"/>
          <w:vertAlign w:val="subscript"/>
        </w:rPr>
        <w:t>0</w:t>
      </w:r>
      <w:r>
        <w:rPr>
          <w:rFonts w:hint="eastAsia" w:ascii="宋体" w:hAnsi="宋体" w:cs="宋体"/>
          <w:color w:val="auto"/>
          <w:highlight w:val="none"/>
        </w:rPr>
        <w:t xml:space="preserve">)； </w:t>
      </w:r>
    </w:p>
    <w:p w14:paraId="68DAB612">
      <w:pPr>
        <w:keepNext w:val="0"/>
        <w:keepLines w:val="0"/>
        <w:pageBreakBefore w:val="0"/>
        <w:widowControl w:val="0"/>
        <w:kinsoku/>
        <w:wordWrap/>
        <w:overflowPunct/>
        <w:topLinePunct w:val="0"/>
        <w:autoSpaceDE/>
        <w:autoSpaceDN/>
        <w:bidi w:val="0"/>
        <w:adjustRightInd/>
        <w:snapToGrid/>
        <w:spacing w:line="440" w:lineRule="exact"/>
        <w:ind w:right="-729" w:rightChars="-347" w:firstLine="422" w:firstLineChars="200"/>
        <w:textAlignment w:val="auto"/>
        <w:rPr>
          <w:rFonts w:ascii="宋体" w:hAnsi="宋体" w:cs="宋体"/>
          <w:b/>
          <w:bCs/>
          <w:color w:val="auto"/>
          <w:highlight w:val="none"/>
        </w:rPr>
      </w:pPr>
      <w:r>
        <w:rPr>
          <w:rFonts w:hint="eastAsia" w:ascii="宋体" w:hAnsi="宋体" w:cs="宋体"/>
          <w:b/>
          <w:bCs/>
          <w:color w:val="auto"/>
          <w:highlight w:val="none"/>
        </w:rPr>
        <w:t>④当 P</w:t>
      </w:r>
      <w:r>
        <w:rPr>
          <w:rFonts w:hint="eastAsia" w:ascii="宋体" w:hAnsi="宋体" w:cs="宋体"/>
          <w:b/>
          <w:bCs/>
          <w:color w:val="auto"/>
          <w:highlight w:val="none"/>
          <w:vertAlign w:val="subscript"/>
        </w:rPr>
        <w:t>0</w:t>
      </w:r>
      <w:r>
        <w:rPr>
          <w:rFonts w:hint="eastAsia" w:ascii="宋体" w:hAnsi="宋体" w:cs="宋体"/>
          <w:b/>
          <w:bCs/>
          <w:color w:val="auto"/>
          <w:highlight w:val="none"/>
        </w:rPr>
        <w:t>＜P</w:t>
      </w:r>
      <w:r>
        <w:rPr>
          <w:rFonts w:hint="eastAsia" w:ascii="宋体" w:hAnsi="宋体" w:cs="宋体"/>
          <w:b/>
          <w:bCs/>
          <w:color w:val="auto"/>
          <w:highlight w:val="none"/>
          <w:vertAlign w:val="subscript"/>
        </w:rPr>
        <w:t>2</w:t>
      </w:r>
      <w:r>
        <w:rPr>
          <w:rFonts w:hint="eastAsia" w:ascii="宋体" w:hAnsi="宋体" w:cs="宋体"/>
          <w:b/>
          <w:bCs/>
          <w:color w:val="auto"/>
          <w:highlight w:val="none"/>
        </w:rPr>
        <w:t>×(1-（L+15%)）时，S=0.85Q</w:t>
      </w:r>
      <w:r>
        <w:rPr>
          <w:rFonts w:hint="eastAsia" w:ascii="宋体" w:hAnsi="宋体" w:cs="宋体"/>
          <w:b/>
          <w:bCs/>
          <w:color w:val="auto"/>
          <w:highlight w:val="none"/>
          <w:vertAlign w:val="subscript"/>
        </w:rPr>
        <w:t>0</w:t>
      </w:r>
      <w:r>
        <w:rPr>
          <w:rFonts w:hint="eastAsia" w:ascii="宋体" w:hAnsi="宋体" w:cs="宋体"/>
          <w:b/>
          <w:bCs/>
          <w:color w:val="auto"/>
          <w:highlight w:val="none"/>
        </w:rPr>
        <w:t xml:space="preserve"> ×P</w:t>
      </w:r>
      <w:r>
        <w:rPr>
          <w:rFonts w:hint="eastAsia" w:ascii="宋体" w:hAnsi="宋体" w:cs="宋体"/>
          <w:b/>
          <w:bCs/>
          <w:color w:val="auto"/>
          <w:highlight w:val="none"/>
          <w:vertAlign w:val="subscript"/>
        </w:rPr>
        <w:t>0</w:t>
      </w:r>
      <w:r>
        <w:rPr>
          <w:rFonts w:hint="eastAsia" w:ascii="宋体" w:hAnsi="宋体" w:cs="宋体"/>
          <w:b/>
          <w:bCs/>
          <w:color w:val="auto"/>
          <w:highlight w:val="none"/>
        </w:rPr>
        <w:t xml:space="preserve"> +（Q</w:t>
      </w:r>
      <w:r>
        <w:rPr>
          <w:rFonts w:hint="eastAsia" w:ascii="宋体" w:hAnsi="宋体" w:cs="宋体"/>
          <w:b/>
          <w:bCs/>
          <w:color w:val="auto"/>
          <w:highlight w:val="none"/>
          <w:vertAlign w:val="subscript"/>
        </w:rPr>
        <w:t>1</w:t>
      </w:r>
      <w:r>
        <w:rPr>
          <w:rFonts w:hint="eastAsia" w:ascii="宋体" w:hAnsi="宋体" w:cs="宋体"/>
          <w:b/>
          <w:bCs/>
          <w:color w:val="auto"/>
          <w:highlight w:val="none"/>
        </w:rPr>
        <w:t>-0.85Q</w:t>
      </w:r>
      <w:r>
        <w:rPr>
          <w:rFonts w:hint="eastAsia" w:ascii="宋体" w:hAnsi="宋体" w:cs="宋体"/>
          <w:b/>
          <w:bCs/>
          <w:color w:val="auto"/>
          <w:highlight w:val="none"/>
          <w:vertAlign w:val="subscript"/>
        </w:rPr>
        <w:t>0</w:t>
      </w:r>
      <w:r>
        <w:rPr>
          <w:rFonts w:hint="eastAsia" w:ascii="宋体" w:hAnsi="宋体" w:cs="宋体"/>
          <w:b/>
          <w:bCs/>
          <w:color w:val="auto"/>
          <w:highlight w:val="none"/>
        </w:rPr>
        <w:t>）×P</w:t>
      </w:r>
      <w:r>
        <w:rPr>
          <w:rFonts w:hint="eastAsia" w:ascii="宋体" w:hAnsi="宋体" w:cs="宋体"/>
          <w:b/>
          <w:bCs/>
          <w:color w:val="auto"/>
          <w:highlight w:val="none"/>
          <w:vertAlign w:val="subscript"/>
        </w:rPr>
        <w:t>2</w:t>
      </w:r>
      <w:r>
        <w:rPr>
          <w:rFonts w:hint="eastAsia" w:ascii="宋体" w:hAnsi="宋体" w:cs="宋体"/>
          <w:b/>
          <w:bCs/>
          <w:color w:val="auto"/>
          <w:highlight w:val="none"/>
        </w:rPr>
        <w:t xml:space="preserve">×(1-L)。 </w:t>
      </w:r>
    </w:p>
    <w:p w14:paraId="6FE85F8F">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2)因工程变更引起新的工程量清单项目发生变化时，已标价工程量清单中没有适用但有类似于变更工程项目的，可参照类似清单项目的综合单价进行调整（承包人在工程量清单中填报的综合单价出现不一致的，取最低值）。按此原则调整类似项目单价的，对应的原清单项部分无需再执行上述“1）中的④条款”。</w:t>
      </w:r>
    </w:p>
    <w:p w14:paraId="6E8F4CA6">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 xml:space="preserve">3）因非承包人原因导致某单位工程或分部工程整体取消时，将该单位工程或分部工程作为一个整体执行“条款1）”，该单位工程或分部工程中的每一条工程量清单不再执行“条款1）”。 </w:t>
      </w:r>
    </w:p>
    <w:p w14:paraId="26B752D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textAlignment w:val="auto"/>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eastAsia="zh-CN"/>
        </w:rPr>
        <w:t>招标人</w:t>
      </w:r>
      <w:r>
        <w:rPr>
          <w:rFonts w:hint="eastAsia" w:ascii="宋体" w:hAnsi="宋体" w:cs="宋体"/>
          <w:color w:val="auto"/>
          <w:highlight w:val="none"/>
        </w:rPr>
        <w:t xml:space="preserve">提供的工程量清单漏项或清单项目特征描述与施工图（含设计变更）不符或设计变更引起新的工程量清单项目时，已标价工程量清单中没有适用也没有类似于清单项目的，其相应新增综合单价由承包人按比选控制价编制的原则提出，并原则上依据中标价（扣除暂列金额、暂估价、甲供材料费这几项相应的规费税金）相对比选控制价（扣除暂列金额、暂估价、甲供材料费这几项相应的规费税金）的浮动率浮动，报发包人认可后作为结算的依据。 </w:t>
      </w:r>
    </w:p>
    <w:p w14:paraId="5B67B28B">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rPr>
      </w:pPr>
      <w:r>
        <w:rPr>
          <w:rFonts w:hint="eastAsia" w:ascii="宋体" w:hAnsi="宋体" w:cs="宋体"/>
          <w:color w:val="auto"/>
          <w:highlight w:val="none"/>
        </w:rPr>
        <w:t>计算新增综合单价时，《南通建设工程造价信息》中无指导价的材料，在施工前，由承包人向发包人提交需确认价格的材料品种、规格、数量表，由发包人根据相关管理办法进行价格确认，所有价格确认过程资料及时存档，在报送结算时一并报审计单位。</w:t>
      </w:r>
    </w:p>
    <w:p w14:paraId="4432B0C6">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u w:val="single"/>
        </w:rPr>
      </w:pPr>
      <w:r>
        <w:rPr>
          <w:rFonts w:hint="eastAsia" w:ascii="宋体" w:hAnsi="宋体" w:cs="宋体"/>
          <w:color w:val="auto"/>
          <w:highlight w:val="none"/>
          <w:u w:val="single"/>
        </w:rPr>
        <w:t>经比质比价后认价采购的材料价格或项目综合单价不再下浮。</w:t>
      </w:r>
    </w:p>
    <w:p w14:paraId="28A7B901">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u w:val="single"/>
        </w:rPr>
      </w:pPr>
      <w:r>
        <w:rPr>
          <w:rFonts w:hint="eastAsia" w:ascii="宋体" w:hAnsi="宋体" w:cs="宋体"/>
          <w:color w:val="auto"/>
          <w:highlight w:val="none"/>
          <w:u w:val="single"/>
        </w:rPr>
        <w:t>5)由于承包人遗漏比选文件指定的工程量，实施时，如果该工程量减少，按新增综合单价原则进行调减；如果该工程量增加，则按零单价结算。</w:t>
      </w:r>
    </w:p>
    <w:p w14:paraId="2E3476FA">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u w:val="single"/>
        </w:rPr>
      </w:pPr>
      <w:r>
        <w:rPr>
          <w:rFonts w:hint="eastAsia" w:ascii="宋体" w:hAnsi="宋体" w:cs="宋体"/>
          <w:color w:val="auto"/>
          <w:highlight w:val="none"/>
          <w:u w:val="single"/>
        </w:rPr>
        <w:t>6)因非承包人原因的工程变更，造成施工组织设计或施工方案变更，引起措施项目发生变化时，措施项目费应按下列原则调整：</w:t>
      </w:r>
    </w:p>
    <w:p w14:paraId="7EB0BA2B">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u w:val="single"/>
        </w:rPr>
      </w:pPr>
      <w:r>
        <w:rPr>
          <w:rFonts w:hint="eastAsia" w:ascii="宋体" w:hAnsi="宋体" w:cs="宋体"/>
          <w:color w:val="auto"/>
          <w:highlight w:val="none"/>
          <w:u w:val="single"/>
        </w:rPr>
        <w:t>总价措施项目的措施费仍按参选人投标时的费率进行调整；总价项目中以费用报价的，按投标时口径折算成费率调整；</w:t>
      </w:r>
    </w:p>
    <w:p w14:paraId="44552668">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u w:val="single"/>
        </w:rPr>
      </w:pPr>
      <w:r>
        <w:rPr>
          <w:rFonts w:hint="eastAsia" w:ascii="宋体" w:hAnsi="宋体" w:cs="宋体"/>
          <w:color w:val="auto"/>
          <w:highlight w:val="none"/>
          <w:u w:val="single"/>
        </w:rPr>
        <w:t>单价措施项目的措施费发生关联变化时，按2014年江苏省计价表规定组价的措施项目按原组价方法调整，未按2014年江苏省计价表规定组价的措施项目按参选人投标时价格折算成费率调整；非承包人原因引起的原措施费中没有的措施项目，由承包人根据措施项目变更情况，提出适当的措施费变更要求，经工程部门初审后报发包人审核后调整。</w:t>
      </w:r>
    </w:p>
    <w:p w14:paraId="71430D31">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u w:val="single"/>
        </w:rPr>
      </w:pPr>
      <w:r>
        <w:rPr>
          <w:rFonts w:hint="eastAsia" w:ascii="宋体" w:hAnsi="宋体" w:cs="宋体"/>
          <w:color w:val="auto"/>
          <w:highlight w:val="none"/>
          <w:u w:val="single"/>
        </w:rPr>
        <w:t>因承包人原因引起的增加的措施费，不允调价。</w:t>
      </w:r>
    </w:p>
    <w:p w14:paraId="78D5E303">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u w:val="single"/>
        </w:rPr>
      </w:pPr>
      <w:r>
        <w:rPr>
          <w:rFonts w:hint="eastAsia" w:ascii="宋体" w:hAnsi="宋体" w:cs="宋体"/>
          <w:color w:val="auto"/>
          <w:highlight w:val="none"/>
          <w:u w:val="single"/>
        </w:rPr>
        <w:t>工程变更引起施工方案改变并使措施项目发生变化时，承包人提出调整措施项目费的，应事先将拟实施的方案提交发包人确认，并应详细说明与原方案措施项目相比的变化情况。拟实施的方案经设计、发承包各方确认后执行。</w:t>
      </w:r>
    </w:p>
    <w:p w14:paraId="7B09834A">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u w:val="single"/>
        </w:rPr>
      </w:pPr>
      <w:r>
        <w:rPr>
          <w:rFonts w:hint="eastAsia" w:ascii="宋体" w:hAnsi="宋体" w:cs="宋体"/>
          <w:color w:val="auto"/>
          <w:highlight w:val="none"/>
          <w:u w:val="single"/>
        </w:rPr>
        <w:t>如果承包人未事先将拟实施的方案提交给发包人确认，则应视为工程变更不引起措施项目费的调整或承包人放弃调整措施项目费的权利。</w:t>
      </w:r>
    </w:p>
    <w:p w14:paraId="63009E17">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u w:val="single"/>
        </w:rPr>
      </w:pPr>
      <w:r>
        <w:rPr>
          <w:rFonts w:hint="eastAsia" w:ascii="宋体" w:hAnsi="宋体" w:cs="宋体"/>
          <w:color w:val="auto"/>
          <w:highlight w:val="none"/>
          <w:u w:val="single"/>
        </w:rPr>
        <w:t>非因原设计错误或无法实施，承包人经发包人认可的优化方案引起的发包人需多支出的迁改费用均由承包人承担。</w:t>
      </w:r>
    </w:p>
    <w:p w14:paraId="1F01ECA4">
      <w:pPr>
        <w:keepNext w:val="0"/>
        <w:keepLines w:val="0"/>
        <w:pageBreakBefore w:val="0"/>
        <w:widowControl w:val="0"/>
        <w:tabs>
          <w:tab w:val="left" w:pos="820"/>
        </w:tabs>
        <w:kinsoku/>
        <w:wordWrap/>
        <w:overflowPunct/>
        <w:topLinePunct w:val="0"/>
        <w:autoSpaceDE/>
        <w:autoSpaceDN/>
        <w:bidi w:val="0"/>
        <w:adjustRightInd/>
        <w:snapToGrid/>
        <w:spacing w:line="440" w:lineRule="exact"/>
        <w:ind w:right="-729" w:rightChars="-347" w:firstLine="411" w:firstLineChars="196"/>
        <w:textAlignment w:val="auto"/>
        <w:rPr>
          <w:rFonts w:ascii="宋体" w:hAnsi="宋体" w:cs="宋体"/>
          <w:color w:val="auto"/>
          <w:highlight w:val="none"/>
          <w:u w:val="single"/>
        </w:rPr>
      </w:pPr>
      <w:r>
        <w:rPr>
          <w:rFonts w:hint="eastAsia" w:ascii="宋体" w:hAnsi="宋体" w:cs="宋体"/>
          <w:color w:val="auto"/>
          <w:highlight w:val="none"/>
          <w:u w:val="single"/>
        </w:rPr>
        <w:t>结算时，除上述原因引起施工方案改变外，承包人不得以</w:t>
      </w:r>
      <w:r>
        <w:rPr>
          <w:rFonts w:hint="eastAsia" w:ascii="宋体" w:hAnsi="宋体" w:cs="宋体"/>
          <w:color w:val="auto"/>
          <w:highlight w:val="none"/>
          <w:u w:val="single"/>
          <w:lang w:eastAsia="zh-CN"/>
        </w:rPr>
        <w:t>比选</w:t>
      </w:r>
      <w:r>
        <w:rPr>
          <w:rFonts w:hint="eastAsia" w:ascii="宋体" w:hAnsi="宋体" w:cs="宋体"/>
          <w:color w:val="auto"/>
          <w:highlight w:val="none"/>
          <w:u w:val="single"/>
        </w:rPr>
        <w:t>工程措施项目清单缺项为由要求新增措施项目。</w:t>
      </w:r>
    </w:p>
    <w:p w14:paraId="1FC0FB83">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hint="eastAsia" w:ascii="宋体" w:hAnsi="宋体" w:cs="宋体"/>
          <w:color w:val="auto"/>
          <w:szCs w:val="21"/>
          <w:highlight w:val="none"/>
        </w:rPr>
        <w:t>7）工程结算总价为经</w:t>
      </w:r>
      <w:r>
        <w:rPr>
          <w:rFonts w:hint="eastAsia" w:ascii="宋体" w:hAnsi="宋体" w:cs="宋体"/>
          <w:color w:val="auto"/>
          <w:szCs w:val="21"/>
          <w:highlight w:val="none"/>
          <w:lang w:val="en-US" w:eastAsia="zh-CN"/>
        </w:rPr>
        <w:t>咨询</w:t>
      </w:r>
      <w:r>
        <w:rPr>
          <w:rFonts w:hint="eastAsia" w:ascii="宋体" w:hAnsi="宋体" w:cs="宋体"/>
          <w:color w:val="auto"/>
          <w:szCs w:val="21"/>
          <w:highlight w:val="none"/>
        </w:rPr>
        <w:t>机构审核通过报发包人认可的工程总价，最终结果以审计审定数为准。</w:t>
      </w:r>
    </w:p>
    <w:p w14:paraId="6BE6B76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1</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Start w:id="259" w:name="_Toc297216203"/>
      <w:bookmarkStart w:id="260" w:name="_Toc297048383"/>
      <w:bookmarkStart w:id="261" w:name="_Toc292559402"/>
      <w:bookmarkStart w:id="262" w:name="_Toc296944536"/>
      <w:bookmarkStart w:id="263" w:name="_Toc296891025"/>
      <w:bookmarkStart w:id="264" w:name="_Toc296347196"/>
      <w:bookmarkStart w:id="265" w:name="_Toc297123544"/>
      <w:bookmarkStart w:id="266" w:name="_Toc297120497"/>
      <w:bookmarkStart w:id="267" w:name="_Toc303539150"/>
      <w:bookmarkStart w:id="268" w:name="_Toc296346698"/>
      <w:bookmarkStart w:id="269" w:name="_Toc296503197"/>
      <w:bookmarkStart w:id="270" w:name="_Toc300934993"/>
      <w:bookmarkStart w:id="271" w:name="_Toc292559907"/>
      <w:bookmarkStart w:id="272" w:name="_Toc296891237"/>
      <w:bookmarkStart w:id="273" w:name="_Toc304295570"/>
      <w:bookmarkStart w:id="274" w:name="_Toc312677503"/>
      <w:bookmarkStart w:id="275" w:name="_Toc312678029"/>
      <w:r>
        <w:rPr>
          <w:rFonts w:ascii="宋体" w:hAnsi="宋体"/>
          <w:color w:val="auto"/>
          <w:szCs w:val="21"/>
          <w:highlight w:val="none"/>
        </w:rPr>
        <w:t>0.5承</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6" w:name="_Toc297123545"/>
      <w:bookmarkStart w:id="277" w:name="_Toc292559408"/>
      <w:bookmarkStart w:id="278" w:name="_Toc296891031"/>
      <w:bookmarkStart w:id="279" w:name="_Toc296503203"/>
      <w:bookmarkStart w:id="280" w:name="_Toc296944542"/>
      <w:bookmarkStart w:id="281" w:name="_Toc292559913"/>
      <w:bookmarkStart w:id="282" w:name="_Toc297048389"/>
      <w:bookmarkStart w:id="283" w:name="_Toc296891243"/>
      <w:bookmarkStart w:id="284" w:name="_Toc296346704"/>
      <w:bookmarkStart w:id="285" w:name="_Toc296347202"/>
      <w:bookmarkStart w:id="286" w:name="_Toc303539151"/>
      <w:bookmarkStart w:id="287" w:name="_Toc297216204"/>
      <w:bookmarkStart w:id="288" w:name="_Toc300934994"/>
      <w:bookmarkStart w:id="289" w:name="_Toc297120503"/>
      <w:r>
        <w:rPr>
          <w:rFonts w:ascii="宋体" w:hAnsi="宋体"/>
          <w:color w:val="auto"/>
          <w:szCs w:val="21"/>
          <w:highlight w:val="none"/>
        </w:rPr>
        <w:t>包人的合理化建议</w:t>
      </w:r>
    </w:p>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14:paraId="6CC2B75D">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监理人审查承包人合理化建议的期限：</w:t>
      </w:r>
      <w:r>
        <w:rPr>
          <w:rFonts w:hint="eastAsia" w:ascii="宋体" w:hAnsi="宋体" w:cs="宋体"/>
          <w:color w:val="auto"/>
          <w:szCs w:val="21"/>
          <w:highlight w:val="none"/>
          <w:u w:val="single"/>
          <w:lang w:val="en-US" w:eastAsia="zh-CN"/>
        </w:rPr>
        <w:t>/</w:t>
      </w:r>
      <w:r>
        <w:rPr>
          <w:rFonts w:ascii="宋体" w:hAnsi="宋体"/>
          <w:color w:val="auto"/>
          <w:szCs w:val="21"/>
          <w:highlight w:val="none"/>
        </w:rPr>
        <w:t>。</w:t>
      </w:r>
    </w:p>
    <w:p w14:paraId="298F4539">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发包人审批承包人合理化建议的期限：</w:t>
      </w:r>
      <w:r>
        <w:rPr>
          <w:rFonts w:ascii="宋体" w:hAnsi="宋体"/>
          <w:color w:val="auto"/>
          <w:szCs w:val="21"/>
          <w:highlight w:val="none"/>
          <w:u w:val="single"/>
        </w:rPr>
        <w:t xml:space="preserve"> </w:t>
      </w:r>
      <w:r>
        <w:rPr>
          <w:rFonts w:hint="eastAsia" w:ascii="宋体" w:hAnsi="宋体" w:cs="宋体"/>
          <w:color w:val="auto"/>
          <w:szCs w:val="21"/>
          <w:highlight w:val="none"/>
          <w:u w:val="single"/>
        </w:rPr>
        <w:t>7天内</w:t>
      </w:r>
      <w:r>
        <w:rPr>
          <w:rFonts w:ascii="宋体" w:hAnsi="宋体"/>
          <w:color w:val="auto"/>
          <w:szCs w:val="21"/>
          <w:highlight w:val="none"/>
        </w:rPr>
        <w:t>。</w:t>
      </w:r>
    </w:p>
    <w:p w14:paraId="19F107B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ascii="宋体" w:hAnsi="宋体"/>
          <w:color w:val="auto"/>
          <w:szCs w:val="21"/>
          <w:highlight w:val="none"/>
        </w:rPr>
        <w:t>承</w:t>
      </w:r>
      <w:bookmarkStart w:id="290" w:name="_Toc296944543"/>
      <w:bookmarkStart w:id="291" w:name="_Toc300934995"/>
      <w:bookmarkStart w:id="292" w:name="_Toc297216205"/>
      <w:bookmarkStart w:id="293" w:name="_Toc318581175"/>
      <w:bookmarkStart w:id="294" w:name="_Toc312678030"/>
      <w:bookmarkStart w:id="295" w:name="_Toc312677504"/>
      <w:bookmarkStart w:id="296" w:name="_Toc304295571"/>
      <w:bookmarkStart w:id="297" w:name="_Toc292559914"/>
      <w:bookmarkStart w:id="298" w:name="_Toc296347203"/>
      <w:bookmarkStart w:id="299" w:name="_Toc296891244"/>
      <w:bookmarkStart w:id="300" w:name="_Toc292559409"/>
      <w:bookmarkStart w:id="301" w:name="_Toc297048390"/>
      <w:bookmarkStart w:id="302" w:name="_Toc296891032"/>
      <w:bookmarkStart w:id="303" w:name="_Toc296346705"/>
      <w:bookmarkStart w:id="304" w:name="_Toc303539152"/>
      <w:bookmarkStart w:id="305" w:name="_Toc297123546"/>
      <w:bookmarkStart w:id="306" w:name="_Toc296503204"/>
      <w:bookmarkStart w:id="307" w:name="_Toc297120504"/>
      <w:r>
        <w:rPr>
          <w:rFonts w:ascii="宋体" w:hAnsi="宋体"/>
          <w:color w:val="auto"/>
          <w:szCs w:val="21"/>
          <w:highlight w:val="none"/>
        </w:rPr>
        <w:t>包人提出的合理化建议降低了合同价格或者提高了工程经济效益的奖励的方法和金额为：</w:t>
      </w:r>
      <w:r>
        <w:rPr>
          <w:rFonts w:hint="eastAsia" w:ascii="宋体" w:hAnsi="宋体"/>
          <w:color w:val="auto"/>
          <w:szCs w:val="21"/>
          <w:highlight w:val="none"/>
          <w:u w:val="single"/>
        </w:rPr>
        <w:t>/</w:t>
      </w:r>
      <w:r>
        <w:rPr>
          <w:rFonts w:ascii="宋体" w:hAnsi="宋体"/>
          <w:color w:val="auto"/>
          <w:szCs w:val="21"/>
          <w:highlight w:val="none"/>
        </w:rPr>
        <w:t>。</w:t>
      </w:r>
    </w:p>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14:paraId="35076A6E">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1</w:t>
      </w:r>
      <w:bookmarkStart w:id="308" w:name="_Toc296944538"/>
      <w:bookmarkStart w:id="309" w:name="_Toc312678033"/>
      <w:bookmarkStart w:id="310" w:name="_Toc296891239"/>
      <w:bookmarkStart w:id="311" w:name="_Toc296347198"/>
      <w:bookmarkStart w:id="312" w:name="_Toc304295574"/>
      <w:bookmarkStart w:id="313" w:name="_Toc297048385"/>
      <w:bookmarkStart w:id="314" w:name="_Toc297120499"/>
      <w:bookmarkStart w:id="315" w:name="_Toc297123548"/>
      <w:bookmarkStart w:id="316" w:name="_Toc292559404"/>
      <w:bookmarkStart w:id="317" w:name="_Toc296891027"/>
      <w:bookmarkStart w:id="318" w:name="_Toc296503199"/>
      <w:bookmarkStart w:id="319" w:name="_Toc297216207"/>
      <w:bookmarkStart w:id="320" w:name="_Toc296346700"/>
      <w:bookmarkStart w:id="321" w:name="_Toc303539154"/>
      <w:bookmarkStart w:id="322" w:name="_Toc312677507"/>
      <w:bookmarkStart w:id="323" w:name="_Toc300934997"/>
      <w:bookmarkStart w:id="324" w:name="_Toc292559909"/>
      <w:r>
        <w:rPr>
          <w:rFonts w:ascii="宋体" w:hAnsi="宋体"/>
          <w:color w:val="auto"/>
          <w:szCs w:val="21"/>
          <w:highlight w:val="none"/>
        </w:rPr>
        <w:t>0.7 暂估价</w:t>
      </w:r>
    </w:p>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14:paraId="3653C41E">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kern w:val="0"/>
          <w:szCs w:val="21"/>
          <w:highlight w:val="none"/>
        </w:rPr>
        <w:t>暂</w:t>
      </w:r>
      <w:bookmarkStart w:id="325" w:name="_Toc318581176"/>
      <w:bookmarkStart w:id="326" w:name="_Toc312677508"/>
      <w:bookmarkStart w:id="327" w:name="_Toc312678034"/>
      <w:r>
        <w:rPr>
          <w:rFonts w:ascii="宋体" w:hAnsi="宋体"/>
          <w:color w:val="auto"/>
          <w:kern w:val="0"/>
          <w:szCs w:val="21"/>
          <w:highlight w:val="none"/>
        </w:rPr>
        <w:t>估价材料和工程设备的明细详见附件</w:t>
      </w:r>
      <w:r>
        <w:rPr>
          <w:rFonts w:hint="eastAsia" w:ascii="宋体" w:hAnsi="宋体"/>
          <w:color w:val="auto"/>
          <w:kern w:val="0"/>
          <w:szCs w:val="21"/>
          <w:highlight w:val="none"/>
        </w:rPr>
        <w:t>《</w:t>
      </w:r>
      <w:r>
        <w:rPr>
          <w:rFonts w:ascii="宋体" w:hAnsi="宋体"/>
          <w:color w:val="auto"/>
          <w:szCs w:val="21"/>
          <w:highlight w:val="none"/>
        </w:rPr>
        <w:t>暂估价一览表</w:t>
      </w:r>
      <w:r>
        <w:rPr>
          <w:rFonts w:hint="eastAsia" w:ascii="宋体" w:hAnsi="宋体"/>
          <w:color w:val="auto"/>
          <w:szCs w:val="21"/>
          <w:highlight w:val="none"/>
        </w:rPr>
        <w:t>》</w:t>
      </w:r>
      <w:r>
        <w:rPr>
          <w:rFonts w:hint="eastAsia" w:ascii="宋体" w:hAnsi="宋体"/>
          <w:color w:val="auto"/>
          <w:kern w:val="0"/>
          <w:szCs w:val="21"/>
          <w:highlight w:val="none"/>
        </w:rPr>
        <w:t>。</w:t>
      </w:r>
    </w:p>
    <w:bookmarkEnd w:id="325"/>
    <w:bookmarkEnd w:id="326"/>
    <w:bookmarkEnd w:id="327"/>
    <w:p w14:paraId="5B8DBD37">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1</w:t>
      </w:r>
      <w:bookmarkStart w:id="328" w:name="_Toc312678035"/>
      <w:bookmarkStart w:id="329" w:name="_Toc318581177"/>
      <w:bookmarkStart w:id="330" w:name="_Toc312677509"/>
      <w:r>
        <w:rPr>
          <w:rFonts w:ascii="宋体" w:hAnsi="宋体"/>
          <w:color w:val="auto"/>
          <w:szCs w:val="21"/>
          <w:highlight w:val="none"/>
        </w:rPr>
        <w:t>0.7.1 依法必须招标的暂估价项目</w:t>
      </w:r>
    </w:p>
    <w:bookmarkEnd w:id="328"/>
    <w:bookmarkEnd w:id="329"/>
    <w:bookmarkEnd w:id="330"/>
    <w:p w14:paraId="2F3A9A0F">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对于依法必须招标的暂估价项目的确认和批准采取第</w:t>
      </w:r>
      <w:r>
        <w:rPr>
          <w:rFonts w:ascii="宋体" w:hAnsi="宋体"/>
          <w:color w:val="auto"/>
          <w:szCs w:val="21"/>
          <w:highlight w:val="none"/>
          <w:u w:val="single"/>
        </w:rPr>
        <w:t xml:space="preserve"> </w:t>
      </w:r>
      <w:r>
        <w:rPr>
          <w:rFonts w:hint="eastAsia" w:ascii="宋体" w:hAnsi="宋体"/>
          <w:color w:val="auto"/>
          <w:szCs w:val="21"/>
          <w:highlight w:val="none"/>
          <w:u w:val="single"/>
        </w:rPr>
        <w:t>1</w:t>
      </w:r>
      <w:r>
        <w:rPr>
          <w:rFonts w:ascii="宋体" w:hAnsi="宋体"/>
          <w:color w:val="auto"/>
          <w:szCs w:val="21"/>
          <w:highlight w:val="none"/>
        </w:rPr>
        <w:t>种方式确定。</w:t>
      </w:r>
    </w:p>
    <w:p w14:paraId="31C6D810">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10.7.2 不属于依法必须招标的暂估价项目</w:t>
      </w:r>
    </w:p>
    <w:p w14:paraId="2CF4CA1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w:t>
      </w:r>
      <w:r>
        <w:rPr>
          <w:rFonts w:hint="eastAsia" w:ascii="宋体" w:hAnsi="宋体"/>
          <w:color w:val="auto"/>
          <w:szCs w:val="21"/>
          <w:highlight w:val="none"/>
          <w:u w:val="single"/>
        </w:rPr>
        <w:t>2</w:t>
      </w:r>
      <w:r>
        <w:rPr>
          <w:rFonts w:ascii="宋体" w:hAnsi="宋体"/>
          <w:color w:val="auto"/>
          <w:szCs w:val="21"/>
          <w:highlight w:val="none"/>
        </w:rPr>
        <w:t xml:space="preserve"> 种方式确定。</w:t>
      </w:r>
    </w:p>
    <w:p w14:paraId="084B3D20">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14:paraId="4BD24777">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承包人直接实施的暂估价项目的约定：</w:t>
      </w:r>
      <w:r>
        <w:rPr>
          <w:rFonts w:hint="eastAsia" w:ascii="宋体" w:hAnsi="宋体"/>
          <w:color w:val="auto"/>
          <w:szCs w:val="21"/>
          <w:highlight w:val="none"/>
          <w:u w:val="single"/>
        </w:rPr>
        <w:t>/</w:t>
      </w:r>
      <w:r>
        <w:rPr>
          <w:rFonts w:ascii="宋体" w:hAnsi="宋体"/>
          <w:color w:val="auto"/>
          <w:szCs w:val="21"/>
          <w:highlight w:val="none"/>
        </w:rPr>
        <w:t>。</w:t>
      </w:r>
    </w:p>
    <w:p w14:paraId="21DF8A26">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10.8 暂列金额</w:t>
      </w:r>
    </w:p>
    <w:p w14:paraId="1FD1BB47">
      <w:pPr>
        <w:keepNext w:val="0"/>
        <w:keepLines w:val="0"/>
        <w:pageBreakBefore w:val="0"/>
        <w:widowControl w:val="0"/>
        <w:kinsoku/>
        <w:wordWrap/>
        <w:overflowPunct/>
        <w:topLinePunct w:val="0"/>
        <w:autoSpaceDE/>
        <w:autoSpaceDN/>
        <w:bidi w:val="0"/>
        <w:adjustRightInd/>
        <w:snapToGrid/>
        <w:spacing w:line="440" w:lineRule="exact"/>
        <w:ind w:left="8" w:right="-729" w:rightChars="-347" w:firstLine="466"/>
        <w:textAlignment w:val="auto"/>
        <w:rPr>
          <w:rFonts w:hint="eastAsia" w:ascii="宋体" w:hAnsi="宋体" w:eastAsia="宋体" w:cs="宋体"/>
          <w:color w:val="auto"/>
          <w:sz w:val="21"/>
          <w:szCs w:val="21"/>
          <w:highlight w:val="none"/>
        </w:rPr>
      </w:pPr>
      <w:r>
        <w:rPr>
          <w:rFonts w:hint="eastAsia" w:ascii="宋体" w:hAnsi="宋体"/>
          <w:color w:val="auto"/>
          <w:kern w:val="0"/>
          <w:szCs w:val="21"/>
          <w:highlight w:val="none"/>
        </w:rPr>
        <w:t>合同当事人关于暂列金额使用的约定：</w:t>
      </w:r>
      <w:r>
        <w:rPr>
          <w:rFonts w:hint="eastAsia" w:ascii="宋体" w:hAnsi="宋体"/>
          <w:color w:val="auto"/>
          <w:szCs w:val="21"/>
          <w:highlight w:val="none"/>
          <w:u w:val="single"/>
        </w:rPr>
        <w:t>暂列金额主要用于可能产生的工程量变更和补充等。暂列金额待中标的施工单位进场摸清情况后，编制出实施方案及预算，并按《南通市城建工程建设管理手册》履行报批程序后方可使用。此费用按实际发生确定全部使用、部分使用或不使用。</w:t>
      </w:r>
      <w:r>
        <w:rPr>
          <w:rFonts w:hint="eastAsia" w:ascii="宋体" w:hAnsi="宋体"/>
          <w:b/>
          <w:bCs/>
          <w:color w:val="auto"/>
          <w:szCs w:val="21"/>
          <w:highlight w:val="none"/>
          <w:u w:val="single"/>
        </w:rPr>
        <w:t>暂列金不计入工程款付款的基数</w:t>
      </w:r>
      <w:r>
        <w:rPr>
          <w:rFonts w:hint="eastAsia" w:ascii="宋体" w:hAnsi="宋体"/>
          <w:color w:val="auto"/>
          <w:szCs w:val="21"/>
          <w:highlight w:val="none"/>
          <w:u w:val="single"/>
        </w:rPr>
        <w:t>。</w:t>
      </w:r>
    </w:p>
    <w:p w14:paraId="337333C8">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11. 价格调整</w:t>
      </w:r>
    </w:p>
    <w:p w14:paraId="094C81AF">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bookmarkStart w:id="331" w:name="_Toc296891241"/>
      <w:bookmarkStart w:id="332" w:name="_Toc312678039"/>
      <w:bookmarkStart w:id="333" w:name="_Toc304295577"/>
      <w:bookmarkStart w:id="334" w:name="_Toc300935000"/>
      <w:bookmarkStart w:id="335" w:name="_Toc297120501"/>
      <w:bookmarkStart w:id="336" w:name="_Toc297123550"/>
      <w:bookmarkStart w:id="337" w:name="_Toc296891029"/>
      <w:bookmarkStart w:id="338" w:name="_Toc296347200"/>
      <w:bookmarkStart w:id="339" w:name="_Toc297048387"/>
      <w:bookmarkStart w:id="340" w:name="_Toc303539157"/>
      <w:bookmarkStart w:id="341" w:name="_Toc292559406"/>
      <w:bookmarkStart w:id="342" w:name="_Toc297216209"/>
      <w:bookmarkStart w:id="343" w:name="_Toc296346702"/>
      <w:bookmarkStart w:id="344" w:name="_Toc292559911"/>
      <w:bookmarkStart w:id="345" w:name="_Toc296503201"/>
      <w:bookmarkStart w:id="346" w:name="_Toc296944540"/>
      <w:r>
        <w:rPr>
          <w:rFonts w:ascii="宋体" w:hAnsi="宋体"/>
          <w:color w:val="auto"/>
          <w:szCs w:val="21"/>
          <w:highlight w:val="none"/>
        </w:rPr>
        <w:t>11.1 市场价格波动引起的调整</w:t>
      </w: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14:paraId="13B939DD">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kern w:val="0"/>
          <w:szCs w:val="21"/>
          <w:highlight w:val="none"/>
        </w:rPr>
        <w:t>市场价格波动是否调整合同价格的约定：</w:t>
      </w:r>
      <w:r>
        <w:rPr>
          <w:color w:val="auto"/>
          <w:szCs w:val="21"/>
          <w:highlight w:val="none"/>
          <w:u w:val="single"/>
        </w:rPr>
        <w:t>本项目所有人工及材料的价格不因市场的波动而进行调整</w:t>
      </w:r>
      <w:r>
        <w:rPr>
          <w:rFonts w:ascii="宋体" w:hAnsi="宋体"/>
          <w:color w:val="auto"/>
          <w:szCs w:val="21"/>
          <w:highlight w:val="none"/>
        </w:rPr>
        <w:t>。</w:t>
      </w:r>
    </w:p>
    <w:p w14:paraId="1EFB4F91">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因市场价格波动调整合同价格，采用以下第</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种方式对合同价格进行调整：</w:t>
      </w:r>
    </w:p>
    <w:p w14:paraId="25CC53D7">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第1种方式：采用价格指数</w:t>
      </w:r>
      <w:r>
        <w:rPr>
          <w:rFonts w:hint="eastAsia" w:ascii="宋体" w:hAnsi="宋体"/>
          <w:color w:val="auto"/>
          <w:szCs w:val="21"/>
          <w:highlight w:val="none"/>
        </w:rPr>
        <w:t>进行价格</w:t>
      </w:r>
      <w:r>
        <w:rPr>
          <w:rFonts w:ascii="宋体" w:hAnsi="宋体"/>
          <w:color w:val="auto"/>
          <w:szCs w:val="21"/>
          <w:highlight w:val="none"/>
        </w:rPr>
        <w:t>调整。</w:t>
      </w:r>
    </w:p>
    <w:p w14:paraId="43BF2B4E">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ascii="宋体" w:hAnsi="宋体"/>
          <w:color w:val="auto"/>
          <w:szCs w:val="21"/>
          <w:highlight w:val="none"/>
        </w:rPr>
        <w:t>关于各可调因子、定值和变值权重，以及基本价格指数及其来源的约定：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rPr>
        <w:t xml:space="preserve">；  </w:t>
      </w:r>
    </w:p>
    <w:p w14:paraId="7EA7EF2D">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第2种方式：采用造价信息</w:t>
      </w:r>
      <w:r>
        <w:rPr>
          <w:rFonts w:hint="eastAsia" w:ascii="宋体" w:hAnsi="宋体"/>
          <w:color w:val="auto"/>
          <w:szCs w:val="21"/>
          <w:highlight w:val="none"/>
        </w:rPr>
        <w:t>进行价格</w:t>
      </w:r>
      <w:r>
        <w:rPr>
          <w:rFonts w:ascii="宋体" w:hAnsi="宋体"/>
          <w:color w:val="auto"/>
          <w:szCs w:val="21"/>
          <w:highlight w:val="none"/>
        </w:rPr>
        <w:t>调整。</w:t>
      </w:r>
    </w:p>
    <w:p w14:paraId="3BCA4625">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（2）关于基准价格的约定：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12C42907">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专用合同条款</w:t>
      </w:r>
      <w:r>
        <w:rPr>
          <w:rFonts w:hint="eastAsia" w:ascii="宋体" w:hAnsi="宋体" w:cs="宋体"/>
          <w:color w:val="auto"/>
          <w:szCs w:val="21"/>
          <w:highlight w:val="none"/>
        </w:rPr>
        <w:t>①</w:t>
      </w:r>
      <w:r>
        <w:rPr>
          <w:rFonts w:ascii="宋体" w:hAnsi="宋体"/>
          <w:color w:val="auto"/>
          <w:szCs w:val="21"/>
          <w:highlight w:val="none"/>
        </w:rPr>
        <w:t>承包人在已标价工程量清单或预算书中载明的材料单价低于基准价格的：专用合同条款合同履行期间材料单价涨幅以基准价格为基础超过</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%时，或材料单价跌幅以已标价工程量清单或预算书中载明材料单价为基础超过</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14:paraId="40402FC6">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承包人在已标价工程量清单或预算书中载明的材料单价高于基准价格的：专用合同条款合同履行期间材料单价跌幅以基准价格为基础超过</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%时，材料单价涨幅以已标价工程量清单或预算书中载明材料单价为基础超过</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14:paraId="6822079D">
      <w:pPr>
        <w:keepNext w:val="0"/>
        <w:keepLines w:val="0"/>
        <w:pageBreakBefore w:val="0"/>
        <w:widowControl w:val="0"/>
        <w:kinsoku/>
        <w:wordWrap/>
        <w:overflowPunct/>
        <w:topLinePunct w:val="0"/>
        <w:autoSpaceDE/>
        <w:autoSpaceDN/>
        <w:bidi w:val="0"/>
        <w:adjustRightInd/>
        <w:snapToGrid/>
        <w:spacing w:line="440" w:lineRule="exact"/>
        <w:ind w:right="-729" w:rightChars="-347" w:firstLine="645"/>
        <w:jc w:val="left"/>
        <w:textAlignment w:val="auto"/>
        <w:rPr>
          <w:rFonts w:ascii="宋体" w:hAnsi="宋体"/>
          <w:color w:val="auto"/>
          <w:szCs w:val="21"/>
          <w:highlight w:val="none"/>
        </w:rPr>
      </w:pPr>
      <w:r>
        <w:rPr>
          <w:rFonts w:hint="eastAsia" w:ascii="宋体" w:hAnsi="宋体" w:cs="宋体"/>
          <w:color w:val="auto"/>
          <w:szCs w:val="21"/>
          <w:highlight w:val="none"/>
        </w:rPr>
        <w:t>③</w:t>
      </w:r>
      <w:r>
        <w:rPr>
          <w:rFonts w:ascii="宋体" w:hAnsi="宋体"/>
          <w:color w:val="auto"/>
          <w:szCs w:val="21"/>
          <w:highlight w:val="none"/>
        </w:rPr>
        <w:t>承包人在已标价工程量清单或预算书中载明的材料单价等于基准单价的：专用合同条款合同履行期间材料单价涨跌幅以基准单价为基础超过±</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14:paraId="04B9AF15">
      <w:pPr>
        <w:keepNext w:val="0"/>
        <w:keepLines w:val="0"/>
        <w:pageBreakBefore w:val="0"/>
        <w:widowControl w:val="0"/>
        <w:kinsoku/>
        <w:wordWrap/>
        <w:overflowPunct/>
        <w:topLinePunct w:val="0"/>
        <w:autoSpaceDE/>
        <w:autoSpaceDN/>
        <w:bidi w:val="0"/>
        <w:adjustRightInd/>
        <w:snapToGrid/>
        <w:spacing w:line="440" w:lineRule="exact"/>
        <w:ind w:left="5" w:right="-729" w:rightChars="-347" w:firstLine="417"/>
        <w:textAlignment w:val="auto"/>
        <w:rPr>
          <w:rFonts w:hint="eastAsia" w:ascii="宋体" w:hAnsi="宋体" w:eastAsia="宋体" w:cs="宋体"/>
          <w:color w:val="auto"/>
          <w:sz w:val="21"/>
          <w:szCs w:val="21"/>
          <w:highlight w:val="none"/>
        </w:rPr>
      </w:pPr>
      <w:r>
        <w:rPr>
          <w:rFonts w:ascii="宋体" w:hAnsi="宋体"/>
          <w:color w:val="auto"/>
          <w:szCs w:val="21"/>
          <w:highlight w:val="none"/>
        </w:rPr>
        <w:t>第3种方式：其他价格调整方式：</w:t>
      </w:r>
      <w:r>
        <w:rPr>
          <w:rFonts w:hint="eastAsia" w:ascii="宋体" w:hAnsi="宋体"/>
          <w:color w:val="auto"/>
          <w:szCs w:val="21"/>
          <w:highlight w:val="none"/>
          <w:u w:val="single"/>
        </w:rPr>
        <w:t>/</w:t>
      </w:r>
      <w:r>
        <w:rPr>
          <w:rFonts w:ascii="宋体" w:hAnsi="宋体"/>
          <w:color w:val="auto"/>
          <w:szCs w:val="21"/>
          <w:highlight w:val="none"/>
        </w:rPr>
        <w:t>。</w:t>
      </w:r>
      <w:r>
        <w:rPr>
          <w:rFonts w:hint="eastAsia" w:ascii="宋体" w:hAnsi="宋体" w:eastAsia="宋体" w:cs="宋体"/>
          <w:color w:val="auto"/>
          <w:spacing w:val="-2"/>
          <w:sz w:val="21"/>
          <w:szCs w:val="21"/>
          <w:highlight w:val="none"/>
          <w:u w:val="single" w:color="auto"/>
        </w:rPr>
        <w:t xml:space="preserve"> </w:t>
      </w:r>
    </w:p>
    <w:p w14:paraId="295D904F">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12. 合同价格、计量与支付</w:t>
      </w:r>
    </w:p>
    <w:p w14:paraId="7E3EC0D9">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bookmarkStart w:id="347" w:name="_Toc292559916"/>
      <w:bookmarkStart w:id="348" w:name="_Toc267251461"/>
      <w:bookmarkStart w:id="349" w:name="_Toc292559411"/>
      <w:bookmarkStart w:id="350" w:name="_Toc296346707"/>
      <w:bookmarkStart w:id="351" w:name="_Toc297048392"/>
      <w:bookmarkStart w:id="352" w:name="_Toc296944545"/>
      <w:bookmarkStart w:id="353" w:name="_Toc296503206"/>
      <w:bookmarkStart w:id="354" w:name="_Toc297120506"/>
      <w:bookmarkStart w:id="355" w:name="_Toc296891034"/>
      <w:bookmarkStart w:id="356" w:name="_Toc296347205"/>
      <w:bookmarkStart w:id="357" w:name="_Toc296891246"/>
      <w:bookmarkStart w:id="358" w:name="_Toc304295580"/>
      <w:bookmarkStart w:id="359" w:name="_Toc297123553"/>
      <w:bookmarkStart w:id="360" w:name="_Toc297216212"/>
      <w:bookmarkStart w:id="361" w:name="_Toc312678041"/>
      <w:bookmarkStart w:id="362" w:name="_Toc300935003"/>
      <w:bookmarkStart w:id="363" w:name="_Toc303539160"/>
      <w:r>
        <w:rPr>
          <w:rFonts w:ascii="宋体" w:hAnsi="宋体"/>
          <w:color w:val="auto"/>
          <w:szCs w:val="21"/>
          <w:highlight w:val="none"/>
        </w:rPr>
        <w:t>12.1 合</w:t>
      </w:r>
      <w:bookmarkEnd w:id="347"/>
      <w:bookmarkEnd w:id="348"/>
      <w:bookmarkEnd w:id="349"/>
      <w:r>
        <w:rPr>
          <w:rFonts w:ascii="宋体" w:hAnsi="宋体"/>
          <w:color w:val="auto"/>
          <w:szCs w:val="21"/>
          <w:highlight w:val="none"/>
        </w:rPr>
        <w:t>同价</w:t>
      </w:r>
      <w:bookmarkEnd w:id="350"/>
      <w:bookmarkEnd w:id="351"/>
      <w:bookmarkEnd w:id="352"/>
      <w:bookmarkEnd w:id="353"/>
      <w:bookmarkEnd w:id="354"/>
      <w:bookmarkEnd w:id="355"/>
      <w:bookmarkEnd w:id="356"/>
      <w:bookmarkEnd w:id="357"/>
      <w:r>
        <w:rPr>
          <w:rFonts w:ascii="宋体" w:hAnsi="宋体"/>
          <w:color w:val="auto"/>
          <w:szCs w:val="21"/>
          <w:highlight w:val="none"/>
        </w:rPr>
        <w:t>格形式</w:t>
      </w:r>
    </w:p>
    <w:bookmarkEnd w:id="358"/>
    <w:bookmarkEnd w:id="359"/>
    <w:bookmarkEnd w:id="360"/>
    <w:bookmarkEnd w:id="361"/>
    <w:bookmarkEnd w:id="362"/>
    <w:bookmarkEnd w:id="363"/>
    <w:p w14:paraId="5F2E8E9A">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1、单价合同。</w:t>
      </w:r>
    </w:p>
    <w:p w14:paraId="7429D5A4">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综合单价包含的风险范围：</w:t>
      </w:r>
    </w:p>
    <w:p w14:paraId="188BA261">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u w:val="single"/>
        </w:rPr>
        <w:t>1）材料价格风险按11.1条约定；机械设备价格风险。</w:t>
      </w:r>
    </w:p>
    <w:p w14:paraId="108C0BD5">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hint="eastAsia" w:ascii="宋体" w:hAnsi="宋体"/>
          <w:color w:val="auto"/>
          <w:szCs w:val="21"/>
          <w:highlight w:val="none"/>
          <w:u w:val="single"/>
        </w:rPr>
        <w:t>2）因承包人原因导致的工期延误所造成的相关风险。</w:t>
      </w:r>
    </w:p>
    <w:p w14:paraId="69353C31">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ascii="宋体" w:hAnsi="宋体"/>
          <w:color w:val="auto"/>
          <w:szCs w:val="21"/>
          <w:highlight w:val="none"/>
        </w:rPr>
        <w:t>风险费用的计算方法：</w:t>
      </w:r>
      <w:r>
        <w:rPr>
          <w:rFonts w:hint="eastAsia" w:ascii="宋体" w:hAnsi="宋体"/>
          <w:color w:val="auto"/>
          <w:szCs w:val="21"/>
          <w:highlight w:val="none"/>
          <w:u w:val="single"/>
        </w:rPr>
        <w:t>按南通市建设行政主管部门的相关规定计取，承包人应充分考虑工程建设周期内市场价格等因素的波动风险，风险费用由承包人自主报价</w:t>
      </w:r>
      <w:r>
        <w:rPr>
          <w:rFonts w:ascii="宋体" w:hAnsi="宋体"/>
          <w:color w:val="auto"/>
          <w:szCs w:val="21"/>
          <w:highlight w:val="none"/>
        </w:rPr>
        <w:t>。</w:t>
      </w:r>
    </w:p>
    <w:p w14:paraId="08778C28">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u w:val="single"/>
        </w:rPr>
      </w:pPr>
      <w:r>
        <w:rPr>
          <w:rFonts w:ascii="宋体" w:hAnsi="宋体"/>
          <w:color w:val="auto"/>
          <w:szCs w:val="21"/>
          <w:highlight w:val="none"/>
        </w:rPr>
        <w:t>风险范围以外合同价格的调整方法：</w:t>
      </w:r>
    </w:p>
    <w:p w14:paraId="7376397F">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1）材料价格方面: 不调整。</w:t>
      </w:r>
    </w:p>
    <w:p w14:paraId="4E7E9F60">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2)人工工资价格方面: 不调整。</w:t>
      </w:r>
    </w:p>
    <w:p w14:paraId="129AC84F">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3)机械台班价差不调整。</w:t>
      </w:r>
    </w:p>
    <w:p w14:paraId="44992743">
      <w:pPr>
        <w:keepNext w:val="0"/>
        <w:keepLines w:val="0"/>
        <w:pageBreakBefore w:val="0"/>
        <w:widowControl w:val="0"/>
        <w:kinsoku/>
        <w:wordWrap/>
        <w:overflowPunct/>
        <w:topLinePunct w:val="0"/>
        <w:autoSpaceDE/>
        <w:autoSpaceDN/>
        <w:bidi w:val="0"/>
        <w:adjustRightInd/>
        <w:snapToGrid/>
        <w:spacing w:line="440" w:lineRule="exact"/>
        <w:ind w:left="432" w:right="-729" w:rightChars="-347"/>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rPr>
        <w:t>国家法律、法规、规章和政策发生变化影响工程造价的，应按省级或行业建设部门或其授权的工程造价管理机构发布的文件调整合同价款。</w:t>
      </w:r>
    </w:p>
    <w:p w14:paraId="4C679FA0">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12.2</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5"/>
          <w:sz w:val="21"/>
          <w:szCs w:val="21"/>
          <w:highlight w:val="none"/>
        </w:rPr>
        <w:t>预付款</w:t>
      </w:r>
    </w:p>
    <w:p w14:paraId="7ABFB123">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12.2.1 预付款的支付</w:t>
      </w:r>
    </w:p>
    <w:p w14:paraId="593CD501">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预付款支付比例或金额：</w:t>
      </w:r>
      <w:r>
        <w:rPr>
          <w:rFonts w:hint="eastAsia" w:ascii="宋体" w:hAnsi="宋体" w:eastAsia="宋体" w:cs="宋体"/>
          <w:i w:val="0"/>
          <w:iCs w:val="0"/>
          <w:color w:val="auto"/>
          <w:spacing w:val="-2"/>
          <w:sz w:val="21"/>
          <w:szCs w:val="21"/>
          <w:highlight w:val="none"/>
          <w:u w:val="single"/>
          <w:lang w:val="en-US" w:eastAsia="zh-CN"/>
        </w:rPr>
        <w:t>合同价30%</w:t>
      </w:r>
      <w:r>
        <w:rPr>
          <w:rFonts w:hint="eastAsia" w:ascii="宋体" w:hAnsi="宋体" w:eastAsia="宋体" w:cs="宋体"/>
          <w:color w:val="auto"/>
          <w:spacing w:val="-2"/>
          <w:sz w:val="21"/>
          <w:szCs w:val="21"/>
          <w:highlight w:val="none"/>
        </w:rPr>
        <w:t>。</w:t>
      </w:r>
    </w:p>
    <w:p w14:paraId="409A7AFA">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2"/>
          <w:sz w:val="21"/>
          <w:szCs w:val="21"/>
          <w:highlight w:val="none"/>
          <w:u w:val="single"/>
          <w:lang w:val="en-US" w:eastAsia="zh-CN"/>
        </w:rPr>
        <w:t>合同签订后</w:t>
      </w:r>
      <w:r>
        <w:rPr>
          <w:rFonts w:hint="eastAsia" w:ascii="宋体" w:hAnsi="宋体" w:eastAsia="宋体" w:cs="宋体"/>
          <w:color w:val="auto"/>
          <w:spacing w:val="-2"/>
          <w:sz w:val="21"/>
          <w:szCs w:val="21"/>
          <w:highlight w:val="none"/>
        </w:rPr>
        <w:t>。</w:t>
      </w:r>
    </w:p>
    <w:p w14:paraId="04AFE5CE">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预付款扣回的方式：</w:t>
      </w:r>
      <w:r>
        <w:rPr>
          <w:rFonts w:hint="eastAsia" w:ascii="宋体" w:hAnsi="宋体" w:eastAsia="宋体" w:cs="宋体"/>
          <w:color w:val="auto"/>
          <w:spacing w:val="-2"/>
          <w:sz w:val="21"/>
          <w:szCs w:val="21"/>
          <w:highlight w:val="none"/>
          <w:lang w:val="en-US" w:eastAsia="zh-CN"/>
        </w:rPr>
        <w:t>不扣回</w:t>
      </w:r>
      <w:r>
        <w:rPr>
          <w:rFonts w:hint="eastAsia" w:ascii="宋体" w:hAnsi="宋体" w:eastAsia="宋体" w:cs="宋体"/>
          <w:color w:val="auto"/>
          <w:spacing w:val="-2"/>
          <w:sz w:val="21"/>
          <w:szCs w:val="21"/>
          <w:highlight w:val="none"/>
        </w:rPr>
        <w:t>。</w:t>
      </w:r>
    </w:p>
    <w:p w14:paraId="1A8A615B">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b/>
          <w:bCs/>
          <w:color w:val="auto"/>
          <w:spacing w:val="-2"/>
          <w:sz w:val="21"/>
          <w:szCs w:val="21"/>
          <w:highlight w:val="none"/>
          <w:lang w:eastAsia="zh-CN"/>
        </w:rPr>
      </w:pPr>
      <w:r>
        <w:rPr>
          <w:rFonts w:hint="eastAsia" w:ascii="宋体" w:hAnsi="宋体" w:eastAsia="宋体" w:cs="宋体"/>
          <w:b/>
          <w:bCs/>
          <w:color w:val="auto"/>
          <w:spacing w:val="-2"/>
          <w:sz w:val="21"/>
          <w:szCs w:val="21"/>
          <w:highlight w:val="none"/>
        </w:rPr>
        <w:t>暂列金不计入工程款付款的基数</w:t>
      </w:r>
      <w:r>
        <w:rPr>
          <w:rFonts w:hint="eastAsia" w:ascii="宋体" w:hAnsi="宋体" w:cs="宋体"/>
          <w:b/>
          <w:bCs/>
          <w:color w:val="auto"/>
          <w:spacing w:val="-2"/>
          <w:sz w:val="21"/>
          <w:szCs w:val="21"/>
          <w:highlight w:val="none"/>
          <w:lang w:eastAsia="zh-CN"/>
        </w:rPr>
        <w:t>。</w:t>
      </w:r>
    </w:p>
    <w:p w14:paraId="1D63965F">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12.2.2 预付款担保</w:t>
      </w:r>
    </w:p>
    <w:p w14:paraId="378070BE">
      <w:pPr>
        <w:keepNext w:val="0"/>
        <w:keepLines w:val="0"/>
        <w:pageBreakBefore w:val="0"/>
        <w:widowControl w:val="0"/>
        <w:kinsoku/>
        <w:wordWrap/>
        <w:overflowPunct/>
        <w:topLinePunct w:val="0"/>
        <w:autoSpaceDE/>
        <w:autoSpaceDN/>
        <w:bidi w:val="0"/>
        <w:adjustRightInd/>
        <w:snapToGrid/>
        <w:spacing w:line="440" w:lineRule="exact"/>
        <w:ind w:left="428"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229F92A1">
      <w:pPr>
        <w:keepNext w:val="0"/>
        <w:keepLines w:val="0"/>
        <w:pageBreakBefore w:val="0"/>
        <w:widowControl w:val="0"/>
        <w:kinsoku/>
        <w:wordWrap/>
        <w:overflowPunct/>
        <w:topLinePunct w:val="0"/>
        <w:autoSpaceDE/>
        <w:autoSpaceDN/>
        <w:bidi w:val="0"/>
        <w:adjustRightInd/>
        <w:snapToGrid/>
        <w:spacing w:line="440" w:lineRule="exact"/>
        <w:ind w:left="43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预付款担保的形式为：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AC7DA1C">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12.3</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5"/>
          <w:sz w:val="21"/>
          <w:szCs w:val="21"/>
          <w:highlight w:val="none"/>
        </w:rPr>
        <w:t>计量</w:t>
      </w:r>
    </w:p>
    <w:p w14:paraId="6C49B0B6">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12.3.1 计量原则</w:t>
      </w:r>
    </w:p>
    <w:p w14:paraId="7F3B2F96">
      <w:pPr>
        <w:keepNext w:val="0"/>
        <w:keepLines w:val="0"/>
        <w:pageBreakBefore w:val="0"/>
        <w:widowControl w:val="0"/>
        <w:tabs>
          <w:tab w:val="left" w:pos="118"/>
        </w:tabs>
        <w:kinsoku/>
        <w:wordWrap/>
        <w:overflowPunct/>
        <w:topLinePunct w:val="0"/>
        <w:autoSpaceDE/>
        <w:autoSpaceDN/>
        <w:bidi w:val="0"/>
        <w:adjustRightInd/>
        <w:snapToGrid/>
        <w:spacing w:line="440" w:lineRule="exact"/>
        <w:ind w:right="-729" w:rightChars="-347" w:firstLine="43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b/>
          <w:bCs/>
          <w:color w:val="auto"/>
          <w:spacing w:val="-3"/>
          <w:sz w:val="21"/>
          <w:szCs w:val="21"/>
          <w:highlight w:val="none"/>
          <w:u w:val="single" w:color="auto"/>
        </w:rPr>
        <w:t>《江苏省建设工程费用定额》</w:t>
      </w:r>
      <w:r>
        <w:rPr>
          <w:rFonts w:hint="eastAsia" w:ascii="宋体" w:hAnsi="宋体" w:eastAsia="宋体" w:cs="宋体"/>
          <w:color w:val="auto"/>
          <w:spacing w:val="-55"/>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2014</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版、《建设工程工程量清单计价规范》</w:t>
      </w:r>
      <w:r>
        <w:rPr>
          <w:rFonts w:hint="eastAsia" w:ascii="宋体" w:hAnsi="宋体" w:eastAsia="宋体" w:cs="宋体"/>
          <w:color w:val="auto"/>
          <w:sz w:val="21"/>
          <w:szCs w:val="21"/>
          <w:highlight w:val="none"/>
          <w:u w:val="single" w:color="auto"/>
        </w:rPr>
        <w:tab/>
      </w:r>
      <w:r>
        <w:rPr>
          <w:rFonts w:hint="eastAsia" w:ascii="宋体" w:hAnsi="宋体" w:eastAsia="宋体" w:cs="宋体"/>
          <w:b/>
          <w:bCs/>
          <w:color w:val="auto"/>
          <w:spacing w:val="-2"/>
          <w:sz w:val="21"/>
          <w:szCs w:val="21"/>
          <w:highlight w:val="none"/>
          <w:u w:val="single" w:color="auto"/>
        </w:rPr>
        <w:t>（GB50500-2013）、《江苏省建筑与装饰工程计价</w:t>
      </w:r>
      <w:r>
        <w:rPr>
          <w:rFonts w:hint="eastAsia" w:ascii="宋体" w:hAnsi="宋体" w:eastAsia="宋体" w:cs="宋体"/>
          <w:b/>
          <w:bCs/>
          <w:color w:val="auto"/>
          <w:spacing w:val="-3"/>
          <w:sz w:val="21"/>
          <w:szCs w:val="21"/>
          <w:highlight w:val="none"/>
          <w:u w:val="single" w:color="auto"/>
        </w:rPr>
        <w:t>定额》2014</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年版、《江苏省市政工程计价定</w:t>
      </w:r>
      <w:r>
        <w:rPr>
          <w:rFonts w:hint="eastAsia" w:ascii="宋体" w:hAnsi="宋体" w:eastAsia="宋体" w:cs="宋体"/>
          <w:b/>
          <w:bCs/>
          <w:color w:val="auto"/>
          <w:sz w:val="21"/>
          <w:szCs w:val="21"/>
          <w:highlight w:val="none"/>
          <w:u w:val="single" w:color="auto"/>
        </w:rPr>
        <w:t>额》2014</w:t>
      </w:r>
      <w:r>
        <w:rPr>
          <w:rFonts w:hint="eastAsia" w:ascii="宋体" w:hAnsi="宋体" w:eastAsia="宋体" w:cs="宋体"/>
          <w:color w:val="auto"/>
          <w:spacing w:val="-19"/>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年版、《省住房城乡建设厅关于建筑业实施营改增后江苏省建设工程计价依据调整的</w:t>
      </w:r>
      <w:r>
        <w:rPr>
          <w:rFonts w:hint="eastAsia" w:ascii="宋体" w:hAnsi="宋体" w:eastAsia="宋体" w:cs="宋体"/>
          <w:b/>
          <w:bCs/>
          <w:color w:val="auto"/>
          <w:spacing w:val="8"/>
          <w:sz w:val="21"/>
          <w:szCs w:val="21"/>
          <w:highlight w:val="none"/>
          <w:u w:val="single" w:color="auto"/>
        </w:rPr>
        <w:t>通知》（苏建价〔2016〕</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b/>
          <w:bCs/>
          <w:color w:val="auto"/>
          <w:spacing w:val="8"/>
          <w:sz w:val="21"/>
          <w:szCs w:val="21"/>
          <w:highlight w:val="none"/>
          <w:u w:val="single" w:color="auto"/>
        </w:rPr>
        <w:t>154</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b/>
          <w:bCs/>
          <w:color w:val="auto"/>
          <w:spacing w:val="8"/>
          <w:sz w:val="21"/>
          <w:szCs w:val="21"/>
          <w:highlight w:val="none"/>
          <w:u w:val="single" w:color="auto"/>
        </w:rPr>
        <w:t>号）以及相应的补充</w:t>
      </w:r>
      <w:r>
        <w:rPr>
          <w:rFonts w:hint="eastAsia" w:ascii="宋体" w:hAnsi="宋体" w:eastAsia="宋体" w:cs="宋体"/>
          <w:b/>
          <w:bCs/>
          <w:color w:val="auto"/>
          <w:spacing w:val="7"/>
          <w:sz w:val="21"/>
          <w:szCs w:val="21"/>
          <w:highlight w:val="none"/>
          <w:u w:val="single" w:color="auto"/>
        </w:rPr>
        <w:t>规定和省市颁布的有关工程造价文件。</w:t>
      </w:r>
      <w:r>
        <w:rPr>
          <w:rFonts w:hint="eastAsia" w:ascii="宋体" w:hAnsi="宋体" w:eastAsia="宋体" w:cs="宋体"/>
          <w:color w:val="auto"/>
          <w:sz w:val="21"/>
          <w:szCs w:val="21"/>
          <w:highlight w:val="none"/>
          <w:u w:val="single" w:color="auto"/>
        </w:rPr>
        <w:t xml:space="preserve">  </w:t>
      </w:r>
    </w:p>
    <w:p w14:paraId="5EF50E30">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12.3.2 计量周期</w:t>
      </w:r>
    </w:p>
    <w:p w14:paraId="3D5ADFED">
      <w:pPr>
        <w:keepNext w:val="0"/>
        <w:keepLines w:val="0"/>
        <w:pageBreakBefore w:val="0"/>
        <w:widowControl w:val="0"/>
        <w:kinsoku/>
        <w:wordWrap/>
        <w:overflowPunct/>
        <w:topLinePunct w:val="0"/>
        <w:autoSpaceDE/>
        <w:autoSpaceDN/>
        <w:bidi w:val="0"/>
        <w:adjustRightInd/>
        <w:snapToGrid/>
        <w:spacing w:line="440" w:lineRule="exact"/>
        <w:ind w:left="43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26D6F72">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12.3.3 单价合同的计量</w:t>
      </w:r>
    </w:p>
    <w:p w14:paraId="2C54F83C">
      <w:pPr>
        <w:keepNext w:val="0"/>
        <w:keepLines w:val="0"/>
        <w:pageBreakBefore w:val="0"/>
        <w:widowControl w:val="0"/>
        <w:kinsoku/>
        <w:wordWrap/>
        <w:overflowPunct/>
        <w:topLinePunct w:val="0"/>
        <w:autoSpaceDE/>
        <w:autoSpaceDN/>
        <w:bidi w:val="0"/>
        <w:adjustRightInd/>
        <w:snapToGrid/>
        <w:spacing w:line="440" w:lineRule="exact"/>
        <w:ind w:left="7" w:right="-729" w:rightChars="-347" w:firstLine="42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关于单价合同计量的约定：</w:t>
      </w:r>
      <w:r>
        <w:rPr>
          <w:rFonts w:hint="eastAsia" w:ascii="宋体" w:hAnsi="宋体" w:eastAsia="宋体" w:cs="宋体"/>
          <w:b/>
          <w:bCs/>
          <w:color w:val="auto"/>
          <w:spacing w:val="-2"/>
          <w:sz w:val="21"/>
          <w:szCs w:val="21"/>
          <w:highlight w:val="none"/>
          <w:u w:val="single" w:color="auto"/>
        </w:rPr>
        <w:t>竣工结算的工程量按发承包双方在合同</w:t>
      </w:r>
      <w:r>
        <w:rPr>
          <w:rFonts w:hint="eastAsia" w:ascii="宋体" w:hAnsi="宋体" w:eastAsia="宋体" w:cs="宋体"/>
          <w:b/>
          <w:bCs/>
          <w:color w:val="auto"/>
          <w:spacing w:val="-3"/>
          <w:sz w:val="21"/>
          <w:szCs w:val="21"/>
          <w:highlight w:val="none"/>
          <w:u w:val="single" w:color="auto"/>
        </w:rPr>
        <w:t>中约定应予计量且实际完成的工程量确定，完成发包人要求的合同以外的零星工作或发生非承包人责任事件的工程量按现</w:t>
      </w:r>
      <w:r>
        <w:rPr>
          <w:rFonts w:hint="eastAsia" w:ascii="宋体" w:hAnsi="宋体" w:eastAsia="宋体" w:cs="宋体"/>
          <w:b/>
          <w:bCs/>
          <w:color w:val="auto"/>
          <w:spacing w:val="-2"/>
          <w:sz w:val="21"/>
          <w:szCs w:val="21"/>
          <w:highlight w:val="none"/>
          <w:u w:val="single" w:color="auto"/>
        </w:rPr>
        <w:t>场签证确定。</w:t>
      </w:r>
      <w:r>
        <w:rPr>
          <w:rFonts w:hint="eastAsia" w:ascii="宋体" w:hAnsi="宋体" w:eastAsia="宋体" w:cs="宋体"/>
          <w:color w:val="auto"/>
          <w:spacing w:val="-2"/>
          <w:sz w:val="21"/>
          <w:szCs w:val="21"/>
          <w:highlight w:val="none"/>
          <w:u w:val="single" w:color="auto"/>
        </w:rPr>
        <w:t xml:space="preserve"> </w:t>
      </w:r>
    </w:p>
    <w:p w14:paraId="441C90D3">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12.3.4 总价合同的计量</w:t>
      </w:r>
    </w:p>
    <w:p w14:paraId="5FCFF4C5">
      <w:pPr>
        <w:keepNext w:val="0"/>
        <w:keepLines w:val="0"/>
        <w:pageBreakBefore w:val="0"/>
        <w:widowControl w:val="0"/>
        <w:kinsoku/>
        <w:wordWrap/>
        <w:overflowPunct/>
        <w:topLinePunct w:val="0"/>
        <w:autoSpaceDE/>
        <w:autoSpaceDN/>
        <w:bidi w:val="0"/>
        <w:adjustRightInd/>
        <w:snapToGrid/>
        <w:spacing w:line="440" w:lineRule="exact"/>
        <w:ind w:left="43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关于总价合同计量的约定：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43F2C83">
      <w:pPr>
        <w:keepNext w:val="0"/>
        <w:keepLines w:val="0"/>
        <w:pageBreakBefore w:val="0"/>
        <w:widowControl w:val="0"/>
        <w:kinsoku/>
        <w:wordWrap/>
        <w:overflowPunct/>
        <w:topLinePunct w:val="0"/>
        <w:autoSpaceDE/>
        <w:autoSpaceDN/>
        <w:bidi w:val="0"/>
        <w:adjustRightInd/>
        <w:snapToGrid/>
        <w:spacing w:line="440" w:lineRule="exact"/>
        <w:ind w:left="13" w:right="-729" w:rightChars="-347" w:firstLine="4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12.3.5</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2"/>
          <w:sz w:val="21"/>
          <w:szCs w:val="21"/>
          <w:highlight w:val="none"/>
        </w:rPr>
        <w:t>总价合同采用支付分解表计量支付的，是否适用第</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2"/>
          <w:sz w:val="21"/>
          <w:szCs w:val="21"/>
          <w:highlight w:val="none"/>
        </w:rPr>
        <w:t>12.3.4 项〔总价合同的计量</w:t>
      </w:r>
      <w:r>
        <w:rPr>
          <w:rFonts w:hint="eastAsia" w:ascii="宋体" w:hAnsi="宋体" w:eastAsia="宋体" w:cs="宋体"/>
          <w:color w:val="auto"/>
          <w:spacing w:val="-3"/>
          <w:sz w:val="21"/>
          <w:szCs w:val="21"/>
          <w:highlight w:val="none"/>
        </w:rPr>
        <w:t>〕约</w:t>
      </w:r>
      <w:r>
        <w:rPr>
          <w:rFonts w:hint="eastAsia" w:ascii="宋体" w:hAnsi="宋体" w:eastAsia="宋体" w:cs="宋体"/>
          <w:color w:val="auto"/>
          <w:spacing w:val="-1"/>
          <w:sz w:val="21"/>
          <w:szCs w:val="21"/>
          <w:highlight w:val="none"/>
        </w:rPr>
        <w:t>定进行计量：</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1A2CF2E">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12.3.6 其他价格形式合同的计量</w:t>
      </w:r>
    </w:p>
    <w:p w14:paraId="32B4FDD9">
      <w:pPr>
        <w:keepNext w:val="0"/>
        <w:keepLines w:val="0"/>
        <w:pageBreakBefore w:val="0"/>
        <w:widowControl w:val="0"/>
        <w:kinsoku/>
        <w:wordWrap/>
        <w:overflowPunct/>
        <w:topLinePunct w:val="0"/>
        <w:autoSpaceDE/>
        <w:autoSpaceDN/>
        <w:bidi w:val="0"/>
        <w:adjustRightInd/>
        <w:snapToGrid/>
        <w:spacing w:line="440" w:lineRule="exact"/>
        <w:ind w:left="429"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其他价格形式的计量方式和程序：</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AC9D788">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 工程进度款支付</w:t>
      </w:r>
    </w:p>
    <w:p w14:paraId="597F37A4">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12.4.1 付款周期</w:t>
      </w:r>
    </w:p>
    <w:p w14:paraId="3E5F3B97">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right="-729" w:rightChars="-347" w:firstLine="418" w:firstLineChars="209"/>
        <w:textAlignment w:val="auto"/>
        <w:rPr>
          <w:rFonts w:hint="eastAsia" w:ascii="宋体" w:hAnsi="宋体" w:eastAsia="宋体" w:cs="宋体"/>
          <w:color w:val="auto"/>
          <w:highlight w:val="none"/>
        </w:rPr>
      </w:pPr>
      <w:r>
        <w:rPr>
          <w:rFonts w:hint="eastAsia" w:ascii="宋体" w:hAnsi="宋体" w:eastAsia="宋体" w:cs="宋体"/>
          <w:color w:val="auto"/>
          <w:spacing w:val="-5"/>
          <w:sz w:val="21"/>
          <w:szCs w:val="21"/>
          <w:highlight w:val="none"/>
        </w:rPr>
        <w:t>关于付款周期的约定：</w:t>
      </w:r>
    </w:p>
    <w:p w14:paraId="4CB71ED5">
      <w:pPr>
        <w:keepNext w:val="0"/>
        <w:keepLines w:val="0"/>
        <w:pageBreakBefore w:val="0"/>
        <w:widowControl w:val="0"/>
        <w:kinsoku/>
        <w:wordWrap/>
        <w:overflowPunct/>
        <w:topLinePunct w:val="0"/>
        <w:autoSpaceDE/>
        <w:autoSpaceDN/>
        <w:bidi w:val="0"/>
        <w:adjustRightInd/>
        <w:snapToGrid/>
        <w:spacing w:line="440" w:lineRule="exact"/>
        <w:ind w:left="1" w:right="-729" w:rightChars="-347" w:firstLine="464"/>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u w:val="single" w:color="auto"/>
        </w:rPr>
        <w:t>承包人交纳履约保证金且施工合同签订后，支付合同价的</w:t>
      </w:r>
      <w:r>
        <w:rPr>
          <w:rFonts w:hint="eastAsia" w:ascii="宋体" w:hAnsi="宋体" w:eastAsia="宋体" w:cs="宋体"/>
          <w:b/>
          <w:bCs/>
          <w:color w:val="auto"/>
          <w:sz w:val="21"/>
          <w:szCs w:val="21"/>
          <w:highlight w:val="none"/>
          <w:u w:val="single" w:color="auto"/>
        </w:rPr>
        <w:t>30%；经发包人竣工验收通过后，支付合</w:t>
      </w:r>
      <w:r>
        <w:rPr>
          <w:rFonts w:hint="eastAsia" w:ascii="宋体" w:hAnsi="宋体" w:eastAsia="宋体" w:cs="宋体"/>
          <w:b/>
          <w:bCs/>
          <w:color w:val="auto"/>
          <w:spacing w:val="-1"/>
          <w:sz w:val="21"/>
          <w:szCs w:val="21"/>
          <w:highlight w:val="none"/>
          <w:u w:val="single" w:color="auto"/>
        </w:rPr>
        <w:t>同价的</w:t>
      </w:r>
      <w:r>
        <w:rPr>
          <w:rFonts w:hint="eastAsia" w:ascii="宋体" w:hAnsi="宋体" w:cs="宋体"/>
          <w:b/>
          <w:bCs/>
          <w:color w:val="auto"/>
          <w:spacing w:val="-1"/>
          <w:sz w:val="21"/>
          <w:szCs w:val="21"/>
          <w:highlight w:val="none"/>
          <w:u w:val="single" w:color="auto"/>
          <w:lang w:val="en-US" w:eastAsia="zh-CN"/>
        </w:rPr>
        <w:t>55</w:t>
      </w:r>
      <w:r>
        <w:rPr>
          <w:rFonts w:hint="eastAsia" w:ascii="宋体" w:hAnsi="宋体" w:eastAsia="宋体" w:cs="宋体"/>
          <w:b/>
          <w:bCs/>
          <w:color w:val="auto"/>
          <w:spacing w:val="-1"/>
          <w:sz w:val="21"/>
          <w:szCs w:val="21"/>
          <w:highlight w:val="none"/>
          <w:u w:val="single" w:color="auto"/>
        </w:rPr>
        <w:t>%；余款待审计结束后</w:t>
      </w:r>
      <w:r>
        <w:rPr>
          <w:rFonts w:hint="eastAsia" w:ascii="宋体" w:hAnsi="宋体" w:cs="宋体"/>
          <w:b/>
          <w:bCs/>
          <w:color w:val="auto"/>
          <w:spacing w:val="-1"/>
          <w:sz w:val="21"/>
          <w:szCs w:val="21"/>
          <w:highlight w:val="none"/>
          <w:u w:val="single" w:color="auto"/>
          <w:lang w:eastAsia="zh-CN"/>
        </w:rPr>
        <w:t>，</w:t>
      </w:r>
      <w:r>
        <w:rPr>
          <w:rFonts w:hint="eastAsia" w:ascii="宋体" w:hAnsi="宋体" w:eastAsia="宋体" w:cs="宋体"/>
          <w:b/>
          <w:bCs/>
          <w:color w:val="auto"/>
          <w:spacing w:val="-1"/>
          <w:sz w:val="21"/>
          <w:szCs w:val="21"/>
          <w:highlight w:val="none"/>
          <w:u w:val="single" w:color="auto"/>
        </w:rPr>
        <w:t>除扣留工程</w:t>
      </w:r>
      <w:r>
        <w:rPr>
          <w:rFonts w:hint="eastAsia" w:ascii="宋体" w:hAnsi="宋体" w:eastAsia="宋体" w:cs="宋体"/>
          <w:b/>
          <w:bCs/>
          <w:color w:val="auto"/>
          <w:sz w:val="21"/>
          <w:szCs w:val="21"/>
          <w:highlight w:val="none"/>
          <w:u w:val="single" w:color="auto"/>
        </w:rPr>
        <w:t>审计价的3%作为工程质量保修金外</w:t>
      </w:r>
      <w:r>
        <w:rPr>
          <w:rFonts w:hint="eastAsia" w:ascii="宋体" w:hAnsi="宋体" w:cs="宋体"/>
          <w:b/>
          <w:bCs/>
          <w:color w:val="auto"/>
          <w:sz w:val="21"/>
          <w:szCs w:val="21"/>
          <w:highlight w:val="none"/>
          <w:u w:val="single" w:color="auto"/>
          <w:lang w:eastAsia="zh-CN"/>
        </w:rPr>
        <w:t>，</w:t>
      </w:r>
      <w:r>
        <w:rPr>
          <w:rFonts w:hint="eastAsia" w:ascii="宋体" w:hAnsi="宋体" w:eastAsia="宋体" w:cs="宋体"/>
          <w:b/>
          <w:bCs/>
          <w:color w:val="auto"/>
          <w:sz w:val="21"/>
          <w:szCs w:val="21"/>
          <w:highlight w:val="none"/>
          <w:u w:val="single" w:color="auto"/>
        </w:rPr>
        <w:t>一年内按审计价付清。质量</w:t>
      </w:r>
      <w:r>
        <w:rPr>
          <w:rFonts w:hint="eastAsia" w:ascii="宋体" w:hAnsi="宋体" w:eastAsia="宋体" w:cs="宋体"/>
          <w:b/>
          <w:bCs/>
          <w:color w:val="auto"/>
          <w:spacing w:val="-1"/>
          <w:sz w:val="21"/>
          <w:szCs w:val="21"/>
          <w:highlight w:val="none"/>
          <w:u w:val="single" w:color="auto"/>
        </w:rPr>
        <w:t>保修金待保修期满无质量问题后</w:t>
      </w:r>
      <w:r>
        <w:rPr>
          <w:rFonts w:hint="eastAsia" w:ascii="宋体" w:hAnsi="宋体" w:eastAsia="宋体" w:cs="宋体"/>
          <w:b/>
          <w:bCs/>
          <w:color w:val="auto"/>
          <w:spacing w:val="-2"/>
          <w:sz w:val="21"/>
          <w:szCs w:val="21"/>
          <w:highlight w:val="none"/>
          <w:u w:val="single" w:color="auto"/>
        </w:rPr>
        <w:t>返还。暂列金不计入工程款付款的基数。</w:t>
      </w:r>
    </w:p>
    <w:p w14:paraId="1AA7939C">
      <w:pPr>
        <w:keepNext w:val="0"/>
        <w:keepLines w:val="0"/>
        <w:pageBreakBefore w:val="0"/>
        <w:widowControl w:val="0"/>
        <w:kinsoku/>
        <w:wordWrap/>
        <w:overflowPunct/>
        <w:topLinePunct w:val="0"/>
        <w:autoSpaceDE/>
        <w:autoSpaceDN/>
        <w:bidi w:val="0"/>
        <w:adjustRightInd/>
        <w:snapToGrid/>
        <w:spacing w:line="440" w:lineRule="exact"/>
        <w:ind w:right="-729" w:rightChars="-347" w:firstLine="465"/>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u w:val="single" w:color="auto"/>
        </w:rPr>
        <w:t>每次支付前，必须出具相应金额发票。工程竣工结算由发包人指定的审计部门出具的最终审</w:t>
      </w:r>
      <w:r>
        <w:rPr>
          <w:rFonts w:hint="eastAsia" w:ascii="宋体" w:hAnsi="宋体" w:eastAsia="宋体" w:cs="宋体"/>
          <w:b/>
          <w:bCs/>
          <w:color w:val="auto"/>
          <w:spacing w:val="-2"/>
          <w:sz w:val="21"/>
          <w:szCs w:val="21"/>
          <w:highlight w:val="none"/>
          <w:u w:val="single" w:color="auto"/>
        </w:rPr>
        <w:t>计结果为准。</w:t>
      </w:r>
      <w:r>
        <w:rPr>
          <w:rFonts w:hint="eastAsia" w:ascii="宋体" w:hAnsi="宋体" w:eastAsia="宋体" w:cs="宋体"/>
          <w:color w:val="auto"/>
          <w:spacing w:val="-2"/>
          <w:sz w:val="21"/>
          <w:szCs w:val="21"/>
          <w:highlight w:val="none"/>
          <w:u w:val="single" w:color="auto"/>
        </w:rPr>
        <w:t xml:space="preserve"> </w:t>
      </w:r>
    </w:p>
    <w:p w14:paraId="5AAB1802">
      <w:pPr>
        <w:keepNext w:val="0"/>
        <w:keepLines w:val="0"/>
        <w:pageBreakBefore w:val="0"/>
        <w:widowControl w:val="0"/>
        <w:kinsoku/>
        <w:wordWrap/>
        <w:overflowPunct/>
        <w:topLinePunct w:val="0"/>
        <w:autoSpaceDE/>
        <w:autoSpaceDN/>
        <w:bidi w:val="0"/>
        <w:adjustRightInd/>
        <w:snapToGrid/>
        <w:spacing w:line="440" w:lineRule="exact"/>
        <w:ind w:left="46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u w:val="single" w:color="auto"/>
        </w:rPr>
        <w:t>每笔工程款支付时发包人将应支付工程款的20%汇至农民</w:t>
      </w:r>
      <w:r>
        <w:rPr>
          <w:rFonts w:hint="eastAsia" w:ascii="宋体" w:hAnsi="宋体" w:eastAsia="宋体" w:cs="宋体"/>
          <w:b/>
          <w:bCs/>
          <w:color w:val="auto"/>
          <w:spacing w:val="7"/>
          <w:sz w:val="21"/>
          <w:szCs w:val="21"/>
          <w:highlight w:val="none"/>
          <w:u w:val="single" w:color="auto"/>
        </w:rPr>
        <w:t>工工资专有账户。</w:t>
      </w:r>
    </w:p>
    <w:p w14:paraId="04AC4C27">
      <w:pPr>
        <w:keepNext w:val="0"/>
        <w:keepLines w:val="0"/>
        <w:pageBreakBefore w:val="0"/>
        <w:widowControl w:val="0"/>
        <w:kinsoku/>
        <w:wordWrap/>
        <w:overflowPunct/>
        <w:topLinePunct w:val="0"/>
        <w:autoSpaceDE/>
        <w:autoSpaceDN/>
        <w:bidi w:val="0"/>
        <w:adjustRightInd/>
        <w:snapToGrid/>
        <w:spacing w:line="440" w:lineRule="exact"/>
        <w:ind w:right="-729" w:rightChars="-347" w:firstLine="423"/>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u w:val="single" w:color="auto"/>
        </w:rPr>
        <w:t>调整价款、变更增补项目价款不在进度款中支付。违约金由承包人缴纳至发包人指定账户或从其工程款中扣除。所有工程款的支付必须由承包人递交付款申请，发包人现场代表审核。发包人代垫代扣的所有费用可以从工程款中直接扣除。每次支付前，均应出具税务部门认可的相应金额的发票</w:t>
      </w:r>
      <w:r>
        <w:rPr>
          <w:rFonts w:hint="eastAsia" w:ascii="宋体" w:hAnsi="宋体" w:cs="宋体"/>
          <w:b/>
          <w:bCs/>
          <w:color w:val="auto"/>
          <w:spacing w:val="-3"/>
          <w:sz w:val="21"/>
          <w:szCs w:val="21"/>
          <w:highlight w:val="none"/>
          <w:u w:val="single" w:color="auto"/>
          <w:lang w:eastAsia="zh-CN"/>
        </w:rPr>
        <w:t>。</w:t>
      </w:r>
    </w:p>
    <w:p w14:paraId="401AD1EC">
      <w:pPr>
        <w:keepNext w:val="0"/>
        <w:keepLines w:val="0"/>
        <w:pageBreakBefore w:val="0"/>
        <w:widowControl w:val="0"/>
        <w:tabs>
          <w:tab w:val="left" w:pos="8792"/>
        </w:tabs>
        <w:kinsoku/>
        <w:wordWrap/>
        <w:overflowPunct/>
        <w:topLinePunct w:val="0"/>
        <w:autoSpaceDE/>
        <w:autoSpaceDN/>
        <w:bidi w:val="0"/>
        <w:adjustRightInd/>
        <w:snapToGrid/>
        <w:spacing w:line="440" w:lineRule="exact"/>
        <w:ind w:right="-729" w:rightChars="-347" w:firstLine="319"/>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u w:val="single" w:color="auto"/>
        </w:rPr>
        <w:t>履约保证金有关工期、安全施工方面约定的金额，待工程按合同规定的工期完成后</w:t>
      </w:r>
      <w:r>
        <w:rPr>
          <w:rFonts w:hint="eastAsia" w:ascii="宋体" w:hAnsi="宋体" w:eastAsia="宋体" w:cs="宋体"/>
          <w:b/>
          <w:bCs/>
          <w:color w:val="auto"/>
          <w:spacing w:val="-5"/>
          <w:sz w:val="21"/>
          <w:szCs w:val="21"/>
          <w:highlight w:val="none"/>
          <w:u w:val="single" w:color="auto"/>
        </w:rPr>
        <w:t>，返还；</w:t>
      </w:r>
      <w:r>
        <w:rPr>
          <w:rFonts w:hint="eastAsia" w:ascii="宋体" w:hAnsi="宋体" w:eastAsia="宋体" w:cs="宋体"/>
          <w:b/>
          <w:bCs/>
          <w:color w:val="auto"/>
          <w:spacing w:val="-3"/>
          <w:sz w:val="21"/>
          <w:szCs w:val="21"/>
          <w:highlight w:val="none"/>
          <w:u w:val="single" w:color="auto"/>
        </w:rPr>
        <w:t>履约保证金有关质量方面约定的金额，在工程竣工验收合格后返还；履约保证金有关项目组成员</w:t>
      </w:r>
      <w:r>
        <w:rPr>
          <w:rFonts w:hint="eastAsia" w:ascii="宋体" w:hAnsi="宋体" w:eastAsia="宋体" w:cs="宋体"/>
          <w:b/>
          <w:bCs/>
          <w:color w:val="auto"/>
          <w:spacing w:val="-6"/>
          <w:sz w:val="21"/>
          <w:szCs w:val="21"/>
          <w:highlight w:val="none"/>
          <w:u w:val="single" w:color="auto"/>
        </w:rPr>
        <w:t>在岗方面约定的金额，待工程竣工验收后返还。履约保证金有关资料方面约定的金额</w:t>
      </w:r>
      <w:r>
        <w:rPr>
          <w:rFonts w:hint="eastAsia" w:ascii="宋体" w:hAnsi="宋体" w:eastAsia="宋体" w:cs="宋体"/>
          <w:b/>
          <w:bCs/>
          <w:color w:val="auto"/>
          <w:spacing w:val="-7"/>
          <w:sz w:val="21"/>
          <w:szCs w:val="21"/>
          <w:highlight w:val="none"/>
          <w:u w:val="single" w:color="auto"/>
        </w:rPr>
        <w:t>，</w:t>
      </w:r>
      <w:r>
        <w:rPr>
          <w:rFonts w:hint="eastAsia" w:ascii="宋体" w:hAnsi="宋体" w:eastAsia="宋体" w:cs="宋体"/>
          <w:color w:val="auto"/>
          <w:spacing w:val="39"/>
          <w:sz w:val="21"/>
          <w:szCs w:val="21"/>
          <w:highlight w:val="none"/>
          <w:u w:val="single" w:color="auto"/>
        </w:rPr>
        <w:t xml:space="preserve"> </w:t>
      </w:r>
      <w:r>
        <w:rPr>
          <w:rFonts w:hint="eastAsia" w:ascii="宋体" w:hAnsi="宋体" w:eastAsia="宋体" w:cs="宋体"/>
          <w:b/>
          <w:bCs/>
          <w:color w:val="auto"/>
          <w:spacing w:val="-7"/>
          <w:sz w:val="21"/>
          <w:szCs w:val="21"/>
          <w:highlight w:val="none"/>
          <w:u w:val="single" w:color="auto"/>
        </w:rPr>
        <w:t>在工程竣</w:t>
      </w:r>
      <w:r>
        <w:rPr>
          <w:rFonts w:hint="eastAsia" w:ascii="宋体" w:hAnsi="宋体" w:eastAsia="宋体" w:cs="宋体"/>
          <w:b/>
          <w:bCs/>
          <w:color w:val="auto"/>
          <w:spacing w:val="2"/>
          <w:sz w:val="21"/>
          <w:szCs w:val="21"/>
          <w:highlight w:val="none"/>
          <w:u w:val="single" w:color="auto"/>
        </w:rPr>
        <w:t>工验收资料交档甲方存档后返还。保证金退还时间与其他</w:t>
      </w:r>
      <w:r>
        <w:rPr>
          <w:rFonts w:hint="eastAsia" w:ascii="宋体" w:hAnsi="宋体" w:eastAsia="宋体" w:cs="宋体"/>
          <w:b/>
          <w:bCs/>
          <w:color w:val="auto"/>
          <w:spacing w:val="1"/>
          <w:sz w:val="21"/>
          <w:szCs w:val="21"/>
          <w:highlight w:val="none"/>
          <w:u w:val="single" w:color="auto"/>
        </w:rPr>
        <w:t>条款发生不一致时，以此条款为准。</w:t>
      </w:r>
      <w:r>
        <w:rPr>
          <w:rFonts w:hint="eastAsia" w:ascii="宋体" w:hAnsi="宋体" w:eastAsia="宋体" w:cs="宋体"/>
          <w:color w:val="auto"/>
          <w:sz w:val="21"/>
          <w:szCs w:val="21"/>
          <w:highlight w:val="none"/>
          <w:u w:val="single" w:color="auto"/>
        </w:rPr>
        <w:t xml:space="preserve"> </w:t>
      </w:r>
    </w:p>
    <w:p w14:paraId="3863FC18">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12.4.2 进度付款申请单的编制</w:t>
      </w:r>
    </w:p>
    <w:p w14:paraId="3264F765">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z w:val="21"/>
          <w:szCs w:val="21"/>
          <w:highlight w:val="none"/>
        </w:rPr>
        <w:t>。</w:t>
      </w:r>
    </w:p>
    <w:p w14:paraId="6F02157C">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12.4.3 进度付款申请单的提交</w:t>
      </w:r>
    </w:p>
    <w:p w14:paraId="6E3A7321">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z w:val="21"/>
          <w:szCs w:val="21"/>
          <w:highlight w:val="none"/>
        </w:rPr>
        <w:t>。</w:t>
      </w:r>
    </w:p>
    <w:p w14:paraId="5DCA2A12">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z w:val="21"/>
          <w:szCs w:val="21"/>
          <w:highlight w:val="none"/>
        </w:rPr>
        <w:t>。</w:t>
      </w:r>
    </w:p>
    <w:p w14:paraId="28D2932D">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2CBC544">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12.4.4 进度款审核和支付</w:t>
      </w:r>
    </w:p>
    <w:p w14:paraId="34747B87">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z w:val="21"/>
          <w:szCs w:val="21"/>
          <w:highlight w:val="none"/>
        </w:rPr>
        <w:t>。</w:t>
      </w:r>
    </w:p>
    <w:p w14:paraId="6B9311A8">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z w:val="21"/>
          <w:szCs w:val="21"/>
          <w:highlight w:val="none"/>
        </w:rPr>
        <w:t>。</w:t>
      </w:r>
    </w:p>
    <w:p w14:paraId="12FD2DE3">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z w:val="21"/>
          <w:szCs w:val="21"/>
          <w:highlight w:val="none"/>
        </w:rPr>
        <w:t>。</w:t>
      </w:r>
    </w:p>
    <w:p w14:paraId="701E030A">
      <w:pPr>
        <w:keepNext w:val="0"/>
        <w:keepLines w:val="0"/>
        <w:pageBreakBefore w:val="0"/>
        <w:widowControl w:val="0"/>
        <w:kinsoku/>
        <w:wordWrap/>
        <w:overflowPunct/>
        <w:topLinePunct w:val="0"/>
        <w:autoSpaceDE/>
        <w:autoSpaceDN/>
        <w:bidi w:val="0"/>
        <w:adjustRightInd/>
        <w:snapToGrid/>
        <w:spacing w:line="440" w:lineRule="exact"/>
        <w:ind w:left="529"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z w:val="21"/>
          <w:szCs w:val="21"/>
          <w:highlight w:val="none"/>
        </w:rPr>
        <w:t>。</w:t>
      </w:r>
    </w:p>
    <w:p w14:paraId="454B8E31">
      <w:pPr>
        <w:keepNext w:val="0"/>
        <w:keepLines w:val="0"/>
        <w:pageBreakBefore w:val="0"/>
        <w:widowControl w:val="0"/>
        <w:kinsoku/>
        <w:wordWrap/>
        <w:overflowPunct/>
        <w:topLinePunct w:val="0"/>
        <w:autoSpaceDE/>
        <w:autoSpaceDN/>
        <w:bidi w:val="0"/>
        <w:adjustRightInd/>
        <w:snapToGrid/>
        <w:spacing w:line="440" w:lineRule="exact"/>
        <w:ind w:left="54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689A3E55">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2、总价合同支付分解表的编制与审批：</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CD0F13A">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right="-729" w:rightChars="-347" w:firstLine="418" w:firstLineChars="201"/>
        <w:textAlignment w:val="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t>3、单价合同的总价项目支付分解表的编制与审批：</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DB243A0">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13. 验收和工程试车</w:t>
      </w:r>
    </w:p>
    <w:p w14:paraId="20C538AF">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 分部分项工程验收</w:t>
      </w:r>
    </w:p>
    <w:p w14:paraId="01B6922D">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13.1.2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 xml:space="preserve">监理人不能按时进行验收时，应提前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22"/>
          <w:sz w:val="21"/>
          <w:szCs w:val="21"/>
          <w:highlight w:val="none"/>
          <w:u w:val="single" w:color="auto"/>
        </w:rPr>
        <w:t xml:space="preserve">  </w:t>
      </w:r>
      <w:r>
        <w:rPr>
          <w:rFonts w:hint="eastAsia" w:ascii="宋体" w:hAnsi="宋体" w:eastAsia="宋体" w:cs="宋体"/>
          <w:color w:val="auto"/>
          <w:spacing w:val="-91"/>
          <w:sz w:val="21"/>
          <w:szCs w:val="21"/>
          <w:highlight w:val="none"/>
        </w:rPr>
        <w:t xml:space="preserve"> </w:t>
      </w:r>
      <w:r>
        <w:rPr>
          <w:rFonts w:hint="eastAsia" w:ascii="宋体" w:hAnsi="宋体" w:eastAsia="宋体" w:cs="宋体"/>
          <w:color w:val="auto"/>
          <w:spacing w:val="-1"/>
          <w:sz w:val="21"/>
          <w:szCs w:val="21"/>
          <w:highlight w:val="none"/>
        </w:rPr>
        <w:t>书面延期</w:t>
      </w:r>
      <w:r>
        <w:rPr>
          <w:rFonts w:hint="eastAsia" w:ascii="宋体" w:hAnsi="宋体" w:eastAsia="宋体" w:cs="宋体"/>
          <w:color w:val="auto"/>
          <w:spacing w:val="-2"/>
          <w:sz w:val="21"/>
          <w:szCs w:val="21"/>
          <w:highlight w:val="none"/>
        </w:rPr>
        <w:t>要求。</w:t>
      </w:r>
    </w:p>
    <w:p w14:paraId="4AB05947">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关于延期最长不得超过：</w:t>
      </w:r>
      <w:r>
        <w:rPr>
          <w:rFonts w:hint="eastAsia" w:ascii="宋体" w:hAnsi="宋体" w:eastAsia="宋体" w:cs="宋体"/>
          <w:color w:val="auto"/>
          <w:spacing w:val="24"/>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4"/>
          <w:sz w:val="21"/>
          <w:szCs w:val="21"/>
          <w:highlight w:val="none"/>
        </w:rPr>
        <w:t>小时。</w:t>
      </w:r>
    </w:p>
    <w:p w14:paraId="6A10FCBF">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13.2 竣工验收</w:t>
      </w:r>
    </w:p>
    <w:p w14:paraId="3253329E">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13.2.2</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3"/>
          <w:sz w:val="21"/>
          <w:szCs w:val="21"/>
          <w:highlight w:val="none"/>
        </w:rPr>
        <w:t>竣工验收程序</w:t>
      </w:r>
    </w:p>
    <w:p w14:paraId="5369DEE4">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关于竣工验收程序的约定：</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按通用条款执行</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552657D8">
      <w:pPr>
        <w:keepNext w:val="0"/>
        <w:keepLines w:val="0"/>
        <w:pageBreakBefore w:val="0"/>
        <w:widowControl w:val="0"/>
        <w:kinsoku/>
        <w:wordWrap/>
        <w:overflowPunct/>
        <w:topLinePunct w:val="0"/>
        <w:autoSpaceDE/>
        <w:autoSpaceDN/>
        <w:bidi w:val="0"/>
        <w:adjustRightInd/>
        <w:snapToGrid/>
        <w:spacing w:line="440" w:lineRule="exact"/>
        <w:ind w:right="-729" w:rightChars="-347"/>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发包人不按照本项约定组织竣工验收、颁发工程接收证书的违约金</w:t>
      </w:r>
      <w:r>
        <w:rPr>
          <w:rFonts w:hint="eastAsia" w:ascii="宋体" w:hAnsi="宋体" w:eastAsia="宋体" w:cs="宋体"/>
          <w:color w:val="auto"/>
          <w:spacing w:val="-4"/>
          <w:sz w:val="21"/>
          <w:szCs w:val="21"/>
          <w:highlight w:val="none"/>
        </w:rPr>
        <w:t>的计算方法：</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w:t>
      </w:r>
    </w:p>
    <w:p w14:paraId="0AEF1AFA">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2"/>
          <w:sz w:val="21"/>
          <w:szCs w:val="21"/>
          <w:highlight w:val="none"/>
        </w:rPr>
        <w:t>移交、接收全部与部分工程</w:t>
      </w:r>
    </w:p>
    <w:p w14:paraId="3B48FCD5">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承包人向发包人移交工程的期限：</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按通用条款执行</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6F70205E">
      <w:pPr>
        <w:keepNext w:val="0"/>
        <w:keepLines w:val="0"/>
        <w:pageBreakBefore w:val="0"/>
        <w:widowControl w:val="0"/>
        <w:kinsoku/>
        <w:wordWrap/>
        <w:overflowPunct/>
        <w:topLinePunct w:val="0"/>
        <w:autoSpaceDE/>
        <w:autoSpaceDN/>
        <w:bidi w:val="0"/>
        <w:adjustRightInd/>
        <w:snapToGrid/>
        <w:spacing w:line="440" w:lineRule="exact"/>
        <w:ind w:left="420" w:right="-729" w:rightChars="-347" w:firstLine="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承包人未按时移交工程的，违约金的计算方法为：</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25"/>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p>
    <w:p w14:paraId="7F90035C">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13.3</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工程试车</w:t>
      </w:r>
    </w:p>
    <w:p w14:paraId="3F85278F">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13.3.1 试车程序</w:t>
      </w:r>
    </w:p>
    <w:p w14:paraId="242DE074">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30CF98E">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（1）单机无负荷试车费用由</w:t>
      </w:r>
      <w:r>
        <w:rPr>
          <w:rFonts w:hint="eastAsia" w:ascii="宋体" w:hAnsi="宋体" w:eastAsia="宋体" w:cs="宋体"/>
          <w:color w:val="auto"/>
          <w:spacing w:val="-75"/>
          <w:sz w:val="21"/>
          <w:szCs w:val="21"/>
          <w:highlight w:val="none"/>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3"/>
          <w:sz w:val="21"/>
          <w:szCs w:val="21"/>
          <w:highlight w:val="none"/>
        </w:rPr>
        <w:t>承担；</w:t>
      </w:r>
    </w:p>
    <w:p w14:paraId="573E44D8">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（2）无负荷联动试车费用由</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3"/>
          <w:sz w:val="21"/>
          <w:szCs w:val="21"/>
          <w:highlight w:val="none"/>
        </w:rPr>
        <w:t>承担。</w:t>
      </w:r>
    </w:p>
    <w:p w14:paraId="096F30C0">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13.3.3 投料试车</w:t>
      </w:r>
    </w:p>
    <w:p w14:paraId="24FE8D4E">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6F9C68A2">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 竣工退场</w:t>
      </w:r>
    </w:p>
    <w:p w14:paraId="6B3A745E">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13.6.1 竣工退场</w:t>
      </w:r>
    </w:p>
    <w:p w14:paraId="3687382E">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b/>
          <w:bCs/>
          <w:color w:val="auto"/>
          <w:spacing w:val="-3"/>
          <w:sz w:val="21"/>
          <w:szCs w:val="21"/>
          <w:highlight w:val="none"/>
          <w:u w:val="single" w:color="auto"/>
        </w:rPr>
        <w:t>承包人须在工程竣工验收后</w:t>
      </w:r>
      <w:r>
        <w:rPr>
          <w:rFonts w:hint="eastAsia" w:ascii="宋体" w:hAnsi="宋体" w:eastAsia="宋体" w:cs="宋体"/>
          <w:color w:val="auto"/>
          <w:spacing w:val="-33"/>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7</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天内拆除现场所有</w:t>
      </w:r>
      <w:r>
        <w:rPr>
          <w:rFonts w:hint="eastAsia" w:ascii="宋体" w:hAnsi="宋体" w:eastAsia="宋体" w:cs="宋体"/>
          <w:b/>
          <w:bCs/>
          <w:color w:val="auto"/>
          <w:spacing w:val="-4"/>
          <w:sz w:val="21"/>
          <w:szCs w:val="21"/>
          <w:highlight w:val="none"/>
          <w:u w:val="single" w:color="auto"/>
        </w:rPr>
        <w:t>临时设施。包</w:t>
      </w:r>
      <w:r>
        <w:rPr>
          <w:rFonts w:hint="eastAsia" w:ascii="宋体" w:hAnsi="宋体" w:eastAsia="宋体" w:cs="宋体"/>
          <w:b/>
          <w:bCs/>
          <w:color w:val="auto"/>
          <w:spacing w:val="-2"/>
          <w:sz w:val="21"/>
          <w:szCs w:val="21"/>
          <w:highlight w:val="none"/>
          <w:u w:val="single" w:color="auto"/>
        </w:rPr>
        <w:t>括所有的建筑垃圾及剩余材料全部清运出现场的费用。清理标</w:t>
      </w:r>
      <w:r>
        <w:rPr>
          <w:rFonts w:hint="eastAsia" w:ascii="宋体" w:hAnsi="宋体" w:eastAsia="宋体" w:cs="宋体"/>
          <w:b/>
          <w:bCs/>
          <w:color w:val="auto"/>
          <w:spacing w:val="-3"/>
          <w:sz w:val="21"/>
          <w:szCs w:val="21"/>
          <w:highlight w:val="none"/>
          <w:u w:val="single" w:color="auto"/>
        </w:rPr>
        <w:t>准应得到发包人认可，否则，如发</w:t>
      </w:r>
      <w:r>
        <w:rPr>
          <w:rFonts w:hint="eastAsia" w:ascii="宋体" w:hAnsi="宋体" w:eastAsia="宋体" w:cs="宋体"/>
          <w:b/>
          <w:bCs/>
          <w:color w:val="auto"/>
          <w:spacing w:val="-1"/>
          <w:sz w:val="21"/>
          <w:szCs w:val="21"/>
          <w:highlight w:val="none"/>
          <w:u w:val="single" w:color="auto"/>
        </w:rPr>
        <w:t>生相关费用则由发包人在工程竣工结算价款中扣除，并收取违约金，详见</w:t>
      </w:r>
      <w:r>
        <w:rPr>
          <w:rFonts w:hint="eastAsia" w:ascii="宋体" w:hAnsi="宋体" w:eastAsia="宋体" w:cs="宋体"/>
          <w:color w:val="auto"/>
          <w:spacing w:val="-30"/>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16.2.2</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承包人违约的</w:t>
      </w:r>
      <w:r>
        <w:rPr>
          <w:rFonts w:hint="eastAsia" w:ascii="宋体" w:hAnsi="宋体" w:eastAsia="宋体" w:cs="宋体"/>
          <w:b/>
          <w:bCs/>
          <w:color w:val="auto"/>
          <w:spacing w:val="-2"/>
          <w:sz w:val="21"/>
          <w:szCs w:val="21"/>
          <w:highlight w:val="none"/>
          <w:u w:val="single" w:color="auto"/>
        </w:rPr>
        <w:t>责任。</w:t>
      </w:r>
      <w:r>
        <w:rPr>
          <w:rFonts w:hint="eastAsia" w:ascii="宋体" w:hAnsi="宋体" w:eastAsia="宋体" w:cs="宋体"/>
          <w:color w:val="auto"/>
          <w:spacing w:val="-2"/>
          <w:sz w:val="21"/>
          <w:szCs w:val="21"/>
          <w:highlight w:val="none"/>
          <w:u w:val="single" w:color="auto"/>
        </w:rPr>
        <w:t xml:space="preserve"> </w:t>
      </w:r>
    </w:p>
    <w:p w14:paraId="364F584E">
      <w:pPr>
        <w:keepNext w:val="0"/>
        <w:keepLines w:val="0"/>
        <w:pageBreakBefore w:val="0"/>
        <w:widowControl w:val="0"/>
        <w:kinsoku/>
        <w:wordWrap/>
        <w:overflowPunct/>
        <w:topLinePunct w:val="0"/>
        <w:autoSpaceDE/>
        <w:autoSpaceDN/>
        <w:bidi w:val="0"/>
        <w:adjustRightInd/>
        <w:snapToGrid/>
        <w:spacing w:line="440" w:lineRule="exact"/>
        <w:ind w:right="-729" w:rightChars="-347" w:firstLine="42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u w:val="single" w:color="auto"/>
        </w:rPr>
        <w:t>竣工日期以验收合格当日的竣工验收报告日期为准，工程竣工验收人员全部撤离现场后仍然</w:t>
      </w:r>
      <w:r>
        <w:rPr>
          <w:rFonts w:hint="eastAsia" w:ascii="宋体" w:hAnsi="宋体" w:eastAsia="宋体" w:cs="宋体"/>
          <w:b/>
          <w:bCs/>
          <w:color w:val="auto"/>
          <w:spacing w:val="7"/>
          <w:sz w:val="21"/>
          <w:szCs w:val="21"/>
          <w:highlight w:val="none"/>
          <w:u w:val="single" w:color="auto"/>
        </w:rPr>
        <w:t>有配合审计工作的义务，并能及时处理现</w:t>
      </w:r>
      <w:r>
        <w:rPr>
          <w:rFonts w:hint="eastAsia" w:ascii="宋体" w:hAnsi="宋体" w:eastAsia="宋体" w:cs="宋体"/>
          <w:b/>
          <w:bCs/>
          <w:color w:val="auto"/>
          <w:spacing w:val="6"/>
          <w:sz w:val="21"/>
          <w:szCs w:val="21"/>
          <w:highlight w:val="none"/>
          <w:u w:val="single" w:color="auto"/>
        </w:rPr>
        <w:t>场事务。</w:t>
      </w:r>
      <w:r>
        <w:rPr>
          <w:rFonts w:hint="eastAsia" w:ascii="宋体" w:hAnsi="宋体" w:eastAsia="宋体" w:cs="宋体"/>
          <w:color w:val="auto"/>
          <w:sz w:val="21"/>
          <w:szCs w:val="21"/>
          <w:highlight w:val="none"/>
          <w:u w:val="single" w:color="auto"/>
        </w:rPr>
        <w:t xml:space="preserve">  </w:t>
      </w:r>
    </w:p>
    <w:p w14:paraId="63BADBA8">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14. 竣工结算</w:t>
      </w:r>
    </w:p>
    <w:p w14:paraId="349CC550">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14.1 竣工结算申请</w:t>
      </w:r>
    </w:p>
    <w:p w14:paraId="43AB5114">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rPr>
        <w:t>。</w:t>
      </w:r>
    </w:p>
    <w:p w14:paraId="0D136C24">
      <w:pPr>
        <w:pStyle w:val="8"/>
        <w:keepNext w:val="0"/>
        <w:keepLines w:val="0"/>
        <w:pageBreakBefore w:val="0"/>
        <w:widowControl w:val="0"/>
        <w:kinsoku/>
        <w:wordWrap/>
        <w:overflowPunct/>
        <w:topLinePunct w:val="0"/>
        <w:autoSpaceDE/>
        <w:autoSpaceDN/>
        <w:bidi w:val="0"/>
        <w:adjustRightInd/>
        <w:snapToGrid/>
        <w:spacing w:after="0" w:line="440" w:lineRule="exact"/>
        <w:ind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竣工结算申请单应包括的内容：</w:t>
      </w:r>
      <w:r>
        <w:rPr>
          <w:rFonts w:hint="eastAsia" w:ascii="宋体" w:hAnsi="宋体" w:eastAsia="宋体" w:cs="宋体"/>
          <w:b/>
          <w:bCs/>
          <w:color w:val="auto"/>
          <w:spacing w:val="-2"/>
          <w:sz w:val="21"/>
          <w:szCs w:val="21"/>
          <w:highlight w:val="none"/>
          <w:u w:val="single" w:color="auto"/>
        </w:rPr>
        <w:t>承包人在工程竣工后一个月内提供经</w:t>
      </w:r>
      <w:r>
        <w:rPr>
          <w:rFonts w:hint="eastAsia" w:ascii="宋体" w:hAnsi="宋体" w:cs="宋体"/>
          <w:b/>
          <w:bCs/>
          <w:color w:val="auto"/>
          <w:spacing w:val="-2"/>
          <w:sz w:val="21"/>
          <w:szCs w:val="21"/>
          <w:highlight w:val="none"/>
          <w:u w:val="single" w:color="auto"/>
          <w:lang w:val="en-US" w:eastAsia="zh-CN"/>
        </w:rPr>
        <w:t>发包人</w:t>
      </w:r>
      <w:r>
        <w:rPr>
          <w:rFonts w:hint="eastAsia" w:ascii="宋体" w:hAnsi="宋体" w:eastAsia="宋体" w:cs="宋体"/>
          <w:b/>
          <w:bCs/>
          <w:color w:val="auto"/>
          <w:spacing w:val="-2"/>
          <w:sz w:val="21"/>
          <w:szCs w:val="21"/>
          <w:highlight w:val="none"/>
          <w:u w:val="single" w:color="auto"/>
        </w:rPr>
        <w:t>审</w:t>
      </w:r>
      <w:r>
        <w:rPr>
          <w:rFonts w:hint="eastAsia" w:ascii="宋体" w:hAnsi="宋体" w:eastAsia="宋体" w:cs="宋体"/>
          <w:b/>
          <w:bCs/>
          <w:color w:val="auto"/>
          <w:spacing w:val="-3"/>
          <w:sz w:val="21"/>
          <w:szCs w:val="21"/>
          <w:highlight w:val="none"/>
          <w:u w:val="single" w:color="auto"/>
        </w:rPr>
        <w:t>查通过的</w:t>
      </w:r>
      <w:r>
        <w:rPr>
          <w:rFonts w:hint="eastAsia" w:ascii="宋体" w:hAnsi="宋体" w:eastAsia="宋体" w:cs="宋体"/>
          <w:b/>
          <w:bCs/>
          <w:color w:val="auto"/>
          <w:spacing w:val="2"/>
          <w:sz w:val="21"/>
          <w:szCs w:val="21"/>
          <w:highlight w:val="none"/>
          <w:u w:val="single" w:color="auto"/>
        </w:rPr>
        <w:t>四套完整的竣工图和其他资料，承包人提供的所有资料必须满足工程归档要求和备案要求（如</w:t>
      </w:r>
      <w:r>
        <w:rPr>
          <w:rFonts w:hint="eastAsia" w:ascii="宋体" w:hAnsi="宋体" w:eastAsia="宋体" w:cs="宋体"/>
          <w:b/>
          <w:bCs/>
          <w:color w:val="auto"/>
          <w:spacing w:val="-3"/>
          <w:sz w:val="21"/>
          <w:szCs w:val="21"/>
          <w:highlight w:val="none"/>
          <w:u w:val="single" w:color="auto"/>
        </w:rPr>
        <w:t>有</w:t>
      </w:r>
      <w:r>
        <w:rPr>
          <w:rFonts w:hint="eastAsia" w:ascii="宋体" w:hAnsi="宋体" w:eastAsia="宋体" w:cs="宋体"/>
          <w:b/>
          <w:bCs/>
          <w:color w:val="auto"/>
          <w:spacing w:val="-17"/>
          <w:sz w:val="21"/>
          <w:szCs w:val="21"/>
          <w:highlight w:val="none"/>
          <w:u w:val="single" w:color="auto"/>
        </w:rPr>
        <w:t>），</w:t>
      </w:r>
      <w:r>
        <w:rPr>
          <w:rFonts w:hint="eastAsia" w:ascii="宋体" w:hAnsi="宋体" w:eastAsia="宋体" w:cs="宋体"/>
          <w:b/>
          <w:bCs/>
          <w:color w:val="auto"/>
          <w:spacing w:val="-3"/>
          <w:sz w:val="21"/>
          <w:szCs w:val="21"/>
          <w:highlight w:val="none"/>
          <w:u w:val="single" w:color="auto"/>
        </w:rPr>
        <w:t>否则按每迟一日向发包人支付</w:t>
      </w:r>
      <w:r>
        <w:rPr>
          <w:rFonts w:hint="eastAsia" w:ascii="宋体" w:hAnsi="宋体" w:eastAsia="宋体" w:cs="宋体"/>
          <w:color w:val="auto"/>
          <w:spacing w:val="-22"/>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1000</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元/天的违约金，同时发包人</w:t>
      </w:r>
      <w:r>
        <w:rPr>
          <w:rFonts w:hint="eastAsia" w:ascii="宋体" w:hAnsi="宋体" w:eastAsia="宋体" w:cs="宋体"/>
          <w:b/>
          <w:bCs/>
          <w:color w:val="auto"/>
          <w:spacing w:val="-4"/>
          <w:sz w:val="21"/>
          <w:szCs w:val="21"/>
          <w:highlight w:val="none"/>
          <w:u w:val="single" w:color="auto"/>
        </w:rPr>
        <w:t>可拒绝递交审计或延期审</w:t>
      </w:r>
      <w:r>
        <w:rPr>
          <w:rFonts w:hint="eastAsia" w:ascii="宋体" w:hAnsi="宋体" w:eastAsia="宋体" w:cs="宋体"/>
          <w:b/>
          <w:bCs/>
          <w:color w:val="auto"/>
          <w:spacing w:val="-2"/>
          <w:sz w:val="21"/>
          <w:szCs w:val="21"/>
          <w:highlight w:val="none"/>
          <w:u w:val="single" w:color="auto"/>
        </w:rPr>
        <w:t>计，由此带来的一切后果由承包人承担。A</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施工中没有设计变更，施工后由承包人在发包人提供的施工图纸上加盖竣工图章，提交发包人；B</w:t>
      </w:r>
      <w:r>
        <w:rPr>
          <w:rFonts w:hint="eastAsia" w:ascii="宋体" w:hAnsi="宋体" w:eastAsia="宋体" w:cs="宋体"/>
          <w:color w:val="auto"/>
          <w:spacing w:val="-37"/>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施工中对原设计中变更</w:t>
      </w:r>
      <w:r>
        <w:rPr>
          <w:rFonts w:hint="eastAsia" w:ascii="宋体" w:hAnsi="宋体" w:eastAsia="宋体" w:cs="宋体"/>
          <w:b/>
          <w:bCs/>
          <w:color w:val="auto"/>
          <w:spacing w:val="-3"/>
          <w:sz w:val="21"/>
          <w:szCs w:val="21"/>
          <w:highlight w:val="none"/>
          <w:u w:val="single" w:color="auto"/>
        </w:rPr>
        <w:t>较多，原施工图难以作为竣工图，应由承包人组织重新绘制竣工图，并承担相应费用。并经发包人确认后报崇川区审计局审</w:t>
      </w:r>
      <w:r>
        <w:rPr>
          <w:rFonts w:hint="eastAsia" w:ascii="宋体" w:hAnsi="宋体" w:eastAsia="宋体" w:cs="宋体"/>
          <w:b/>
          <w:bCs/>
          <w:color w:val="auto"/>
          <w:spacing w:val="-2"/>
          <w:sz w:val="21"/>
          <w:szCs w:val="21"/>
          <w:highlight w:val="none"/>
          <w:u w:val="single" w:color="auto"/>
        </w:rPr>
        <w:t>计。</w:t>
      </w:r>
      <w:r>
        <w:rPr>
          <w:rFonts w:hint="eastAsia" w:ascii="宋体" w:hAnsi="宋体" w:eastAsia="宋体" w:cs="宋体"/>
          <w:color w:val="auto"/>
          <w:spacing w:val="-2"/>
          <w:sz w:val="21"/>
          <w:szCs w:val="21"/>
          <w:highlight w:val="none"/>
          <w:u w:val="single" w:color="auto"/>
        </w:rPr>
        <w:t xml:space="preserve"> </w:t>
      </w:r>
    </w:p>
    <w:p w14:paraId="05CA5781">
      <w:pPr>
        <w:keepNext w:val="0"/>
        <w:keepLines w:val="0"/>
        <w:pageBreakBefore w:val="0"/>
        <w:widowControl w:val="0"/>
        <w:kinsoku/>
        <w:wordWrap/>
        <w:overflowPunct/>
        <w:topLinePunct w:val="0"/>
        <w:autoSpaceDE/>
        <w:autoSpaceDN/>
        <w:bidi w:val="0"/>
        <w:adjustRightInd/>
        <w:snapToGrid/>
        <w:spacing w:line="440" w:lineRule="exact"/>
        <w:ind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u w:val="single" w:color="auto"/>
        </w:rPr>
        <w:t>工程竣工验收合格后</w:t>
      </w:r>
      <w:r>
        <w:rPr>
          <w:rFonts w:hint="eastAsia" w:ascii="宋体" w:hAnsi="宋体" w:eastAsia="宋体" w:cs="宋体"/>
          <w:color w:val="auto"/>
          <w:spacing w:val="-35"/>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28</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天内，承包人应向发包人递交完整的符合审计要求</w:t>
      </w:r>
      <w:r>
        <w:rPr>
          <w:rFonts w:hint="eastAsia" w:ascii="宋体" w:hAnsi="宋体" w:eastAsia="宋体" w:cs="宋体"/>
          <w:b/>
          <w:bCs/>
          <w:color w:val="auto"/>
          <w:spacing w:val="-2"/>
          <w:sz w:val="21"/>
          <w:szCs w:val="21"/>
          <w:highlight w:val="none"/>
          <w:u w:val="single" w:color="auto"/>
        </w:rPr>
        <w:t>的结算资料，若</w:t>
      </w:r>
      <w:r>
        <w:rPr>
          <w:rFonts w:hint="eastAsia" w:ascii="宋体" w:hAnsi="宋体" w:eastAsia="宋体" w:cs="宋体"/>
          <w:b/>
          <w:bCs/>
          <w:color w:val="auto"/>
          <w:spacing w:val="9"/>
          <w:sz w:val="21"/>
          <w:szCs w:val="21"/>
          <w:highlight w:val="none"/>
          <w:u w:val="single" w:color="auto"/>
        </w:rPr>
        <w:t>承包人原因不能提交结算资料的，发包人有</w:t>
      </w:r>
      <w:r>
        <w:rPr>
          <w:rFonts w:hint="eastAsia" w:ascii="宋体" w:hAnsi="宋体" w:eastAsia="宋体" w:cs="宋体"/>
          <w:b/>
          <w:bCs/>
          <w:color w:val="auto"/>
          <w:spacing w:val="8"/>
          <w:sz w:val="21"/>
          <w:szCs w:val="21"/>
          <w:highlight w:val="none"/>
          <w:u w:val="single" w:color="auto"/>
        </w:rPr>
        <w:t>权拒绝或延期审计并拒付工程款。</w:t>
      </w:r>
    </w:p>
    <w:p w14:paraId="74E7D5FC">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14.2 竣工结算审核</w:t>
      </w:r>
    </w:p>
    <w:p w14:paraId="172E6786">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71D520FE">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3A8F8EED">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关于竣工付款证书异议部分复核的方式和程序：</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50"/>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p>
    <w:p w14:paraId="5C52DEF8">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14.4</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最终结清</w:t>
      </w:r>
    </w:p>
    <w:p w14:paraId="6965563D">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4323FAEF">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53"/>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p>
    <w:p w14:paraId="3F94081A">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53"/>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p>
    <w:p w14:paraId="5FCBFA9B">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71C81366">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w:t>
      </w:r>
      <w:r>
        <w:rPr>
          <w:rFonts w:hint="eastAsia" w:ascii="宋体" w:hAnsi="宋体" w:eastAsia="宋体" w:cs="宋体"/>
          <w:color w:val="auto"/>
          <w:spacing w:val="-1"/>
          <w:sz w:val="21"/>
          <w:szCs w:val="21"/>
          <w:highlight w:val="none"/>
        </w:rPr>
        <w:t>最终结清证书的期限：</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6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p>
    <w:p w14:paraId="469E1B1F">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6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p>
    <w:p w14:paraId="076E378A">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15. 缺陷责任期与保修</w:t>
      </w:r>
    </w:p>
    <w:p w14:paraId="6941C825">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15.2</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4"/>
          <w:sz w:val="21"/>
          <w:szCs w:val="21"/>
          <w:highlight w:val="none"/>
        </w:rPr>
        <w:t>缺陷责任期</w:t>
      </w:r>
    </w:p>
    <w:p w14:paraId="26BB1E8A">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两年</w:t>
      </w:r>
      <w:r>
        <w:rPr>
          <w:rFonts w:hint="eastAsia" w:ascii="宋体" w:hAnsi="宋体" w:eastAsia="宋体" w:cs="宋体"/>
          <w:color w:val="auto"/>
          <w:spacing w:val="25"/>
          <w:sz w:val="21"/>
          <w:szCs w:val="21"/>
          <w:highlight w:val="none"/>
          <w:u w:val="single" w:color="auto"/>
        </w:rPr>
        <w:t xml:space="preserve">  </w:t>
      </w:r>
      <w:r>
        <w:rPr>
          <w:rFonts w:hint="eastAsia" w:ascii="宋体" w:hAnsi="宋体" w:eastAsia="宋体" w:cs="宋体"/>
          <w:color w:val="auto"/>
          <w:sz w:val="21"/>
          <w:szCs w:val="21"/>
          <w:highlight w:val="none"/>
        </w:rPr>
        <w:t>。</w:t>
      </w:r>
    </w:p>
    <w:p w14:paraId="65B0F731">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15.3 质量保修金</w:t>
      </w:r>
    </w:p>
    <w:p w14:paraId="45D00205">
      <w:pPr>
        <w:keepNext w:val="0"/>
        <w:keepLines w:val="0"/>
        <w:pageBreakBefore w:val="0"/>
        <w:widowControl w:val="0"/>
        <w:kinsoku/>
        <w:wordWrap/>
        <w:overflowPunct/>
        <w:topLinePunct w:val="0"/>
        <w:autoSpaceDE/>
        <w:autoSpaceDN/>
        <w:bidi w:val="0"/>
        <w:adjustRightInd/>
        <w:snapToGrid/>
        <w:spacing w:line="440" w:lineRule="exact"/>
        <w:ind w:right="-729" w:rightChars="-347"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关于是否扣留质量保修金的约定：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是</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。在工程项目竣工前，承包人按专用合同条款</w:t>
      </w:r>
      <w:r>
        <w:rPr>
          <w:rFonts w:hint="eastAsia" w:ascii="宋体" w:hAnsi="宋体" w:eastAsia="宋体" w:cs="宋体"/>
          <w:color w:val="auto"/>
          <w:spacing w:val="-2"/>
          <w:sz w:val="21"/>
          <w:szCs w:val="21"/>
          <w:highlight w:val="none"/>
        </w:rPr>
        <w:t>第</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3.7</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
          <w:sz w:val="21"/>
          <w:szCs w:val="21"/>
          <w:highlight w:val="none"/>
        </w:rPr>
        <w:t>条提供履约担保的，发包人不得同时预留工程质量保修金。</w:t>
      </w:r>
    </w:p>
    <w:p w14:paraId="3D7AF9A1">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15.3.1 承包人提供质量保修金的方式</w:t>
      </w:r>
    </w:p>
    <w:p w14:paraId="35E01217">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质量保修金采用以下第</w:t>
      </w:r>
      <w:r>
        <w:rPr>
          <w:rFonts w:hint="eastAsia" w:ascii="宋体" w:hAnsi="宋体" w:eastAsia="宋体" w:cs="宋体"/>
          <w:color w:val="auto"/>
          <w:spacing w:val="-3"/>
          <w:sz w:val="21"/>
          <w:szCs w:val="21"/>
          <w:highlight w:val="none"/>
          <w:u w:val="single" w:color="auto"/>
        </w:rPr>
        <w:t xml:space="preserve">  2  </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3"/>
          <w:sz w:val="21"/>
          <w:szCs w:val="21"/>
          <w:highlight w:val="none"/>
        </w:rPr>
        <w:t>种方式：</w:t>
      </w:r>
    </w:p>
    <w:p w14:paraId="58D88F55">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（1）质量保修金保函，保证金额为</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01DF071E">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b/>
          <w:bCs/>
          <w:color w:val="auto"/>
          <w:spacing w:val="-7"/>
          <w:sz w:val="21"/>
          <w:szCs w:val="21"/>
          <w:highlight w:val="none"/>
          <w:u w:val="single" w:color="auto"/>
        </w:rPr>
        <w:t>3</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7"/>
          <w:sz w:val="21"/>
          <w:szCs w:val="21"/>
          <w:highlight w:val="none"/>
        </w:rPr>
        <w:t>%的工程款；</w:t>
      </w:r>
    </w:p>
    <w:p w14:paraId="1B8070BC">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（3）其他方式：</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7478C55">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15.3.2 质量保修金的扣留</w:t>
      </w:r>
    </w:p>
    <w:p w14:paraId="19A33140">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质量保修金的扣留采取以下第</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2</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种方式：</w:t>
      </w:r>
    </w:p>
    <w:p w14:paraId="547C5017">
      <w:pPr>
        <w:keepNext w:val="0"/>
        <w:keepLines w:val="0"/>
        <w:pageBreakBefore w:val="0"/>
        <w:widowControl w:val="0"/>
        <w:kinsoku/>
        <w:wordWrap/>
        <w:overflowPunct/>
        <w:topLinePunct w:val="0"/>
        <w:autoSpaceDE/>
        <w:autoSpaceDN/>
        <w:bidi w:val="0"/>
        <w:adjustRightInd/>
        <w:snapToGrid/>
        <w:spacing w:line="440" w:lineRule="exact"/>
        <w:ind w:right="-729" w:rightChars="-347" w:firstLine="4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（1）在支付工程进度款时逐次扣留，在此情形下，质量保修</w:t>
      </w:r>
      <w:r>
        <w:rPr>
          <w:rFonts w:hint="eastAsia" w:ascii="宋体" w:hAnsi="宋体" w:eastAsia="宋体" w:cs="宋体"/>
          <w:color w:val="auto"/>
          <w:spacing w:val="-1"/>
          <w:sz w:val="21"/>
          <w:szCs w:val="21"/>
          <w:highlight w:val="none"/>
        </w:rPr>
        <w:t>金的计算基数不包括预付款的</w:t>
      </w:r>
      <w:r>
        <w:rPr>
          <w:rFonts w:hint="eastAsia" w:ascii="宋体" w:hAnsi="宋体" w:eastAsia="宋体" w:cs="宋体"/>
          <w:color w:val="auto"/>
          <w:spacing w:val="-4"/>
          <w:sz w:val="21"/>
          <w:szCs w:val="21"/>
          <w:highlight w:val="none"/>
        </w:rPr>
        <w:t>支付、扣回以及价格调整的金额；</w:t>
      </w:r>
    </w:p>
    <w:p w14:paraId="21683E67">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（2）工程竣工结算时一次性扣留质量保修金；</w:t>
      </w:r>
    </w:p>
    <w:p w14:paraId="401EF7EB">
      <w:pPr>
        <w:keepNext w:val="0"/>
        <w:keepLines w:val="0"/>
        <w:pageBreakBefore w:val="0"/>
        <w:widowControl w:val="0"/>
        <w:kinsoku/>
        <w:wordWrap/>
        <w:overflowPunct/>
        <w:topLinePunct w:val="0"/>
        <w:autoSpaceDE/>
        <w:autoSpaceDN/>
        <w:bidi w:val="0"/>
        <w:adjustRightInd/>
        <w:snapToGrid/>
        <w:spacing w:line="440" w:lineRule="exact"/>
        <w:ind w:left="42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（3）其他扣留方式：</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CEBB3E0">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关于质量保修金的补充约定：</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4FE067B9">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15.4 保修</w:t>
      </w:r>
    </w:p>
    <w:p w14:paraId="54070B8A">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15.4.1 保修责任</w:t>
      </w:r>
    </w:p>
    <w:p w14:paraId="11980730">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工程保修期为：</w:t>
      </w:r>
      <w:r>
        <w:rPr>
          <w:rFonts w:hint="eastAsia" w:ascii="宋体" w:hAnsi="宋体" w:eastAsia="宋体" w:cs="宋体"/>
          <w:b/>
          <w:bCs/>
          <w:color w:val="auto"/>
          <w:spacing w:val="3"/>
          <w:sz w:val="21"/>
          <w:szCs w:val="21"/>
          <w:highlight w:val="none"/>
          <w:u w:val="single"/>
        </w:rPr>
        <w:t>见工程质量保修书</w:t>
      </w:r>
      <w:r>
        <w:rPr>
          <w:rFonts w:hint="eastAsia" w:ascii="宋体" w:hAnsi="宋体" w:eastAsia="宋体" w:cs="宋体"/>
          <w:color w:val="auto"/>
          <w:spacing w:val="3"/>
          <w:sz w:val="21"/>
          <w:szCs w:val="21"/>
          <w:highlight w:val="none"/>
        </w:rPr>
        <w:t xml:space="preserve"> 。</w:t>
      </w:r>
    </w:p>
    <w:p w14:paraId="5511388F">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15.4.3 修复通知</w:t>
      </w:r>
    </w:p>
    <w:p w14:paraId="5CD6336C">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承包人收到保修通知并到达工程现场的合理时间：</w:t>
      </w:r>
      <w:r>
        <w:rPr>
          <w:rFonts w:hint="eastAsia" w:ascii="宋体" w:hAnsi="宋体" w:eastAsia="宋体" w:cs="宋体"/>
          <w:b/>
          <w:bCs/>
          <w:color w:val="auto"/>
          <w:spacing w:val="3"/>
          <w:sz w:val="21"/>
          <w:szCs w:val="21"/>
          <w:highlight w:val="none"/>
          <w:u w:val="single" w:color="auto"/>
        </w:rPr>
        <w:t>见</w:t>
      </w:r>
      <w:r>
        <w:rPr>
          <w:rFonts w:hint="eastAsia" w:ascii="宋体" w:hAnsi="宋体" w:eastAsia="宋体" w:cs="宋体"/>
          <w:b/>
          <w:bCs/>
          <w:color w:val="auto"/>
          <w:spacing w:val="2"/>
          <w:sz w:val="21"/>
          <w:szCs w:val="21"/>
          <w:highlight w:val="none"/>
          <w:u w:val="single" w:color="auto"/>
        </w:rPr>
        <w:t>工程质量保修书</w:t>
      </w:r>
      <w:r>
        <w:rPr>
          <w:rFonts w:hint="eastAsia" w:ascii="宋体" w:hAnsi="宋体" w:eastAsia="宋体" w:cs="宋体"/>
          <w:color w:val="auto"/>
          <w:spacing w:val="-63"/>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w:t>
      </w:r>
    </w:p>
    <w:p w14:paraId="3CB464D9">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16. 违约</w:t>
      </w:r>
    </w:p>
    <w:p w14:paraId="1F7E990D">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16.1 发包人违约</w:t>
      </w:r>
    </w:p>
    <w:p w14:paraId="04D23ADE">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16.1.1 发包人违约的情形</w:t>
      </w:r>
    </w:p>
    <w:p w14:paraId="5B537075">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发包人违约的其他情形：</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0D2FD30D">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16.1.2 发包人违约的责任</w:t>
      </w:r>
    </w:p>
    <w:p w14:paraId="1135581F">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发包人违约责任的承担方式和计算方法：</w:t>
      </w:r>
    </w:p>
    <w:p w14:paraId="6925B0E9">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（1）因发包人原因未能在计划开工日期前</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z w:val="21"/>
          <w:szCs w:val="21"/>
          <w:highlight w:val="none"/>
        </w:rPr>
        <w:t>7</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z w:val="21"/>
          <w:szCs w:val="21"/>
          <w:highlight w:val="none"/>
        </w:rPr>
        <w:t>天内下达开工通</w:t>
      </w:r>
      <w:r>
        <w:rPr>
          <w:rFonts w:hint="eastAsia" w:ascii="宋体" w:hAnsi="宋体" w:eastAsia="宋体" w:cs="宋体"/>
          <w:color w:val="auto"/>
          <w:spacing w:val="-1"/>
          <w:sz w:val="21"/>
          <w:szCs w:val="21"/>
          <w:highlight w:val="none"/>
        </w:rPr>
        <w:t>知的违约责任：</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681A0D21">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（2）因发包人原因未能按合同约定支付合同价款的违约责任：</w:t>
      </w:r>
      <w:r>
        <w:rPr>
          <w:rFonts w:hint="eastAsia" w:ascii="宋体" w:hAnsi="宋体" w:eastAsia="宋体" w:cs="宋体"/>
          <w:b/>
          <w:bCs/>
          <w:color w:val="auto"/>
          <w:spacing w:val="2"/>
          <w:sz w:val="21"/>
          <w:szCs w:val="21"/>
          <w:highlight w:val="none"/>
          <w:u w:val="single" w:color="auto"/>
        </w:rPr>
        <w:t>双方另行协商</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1B1E68CF">
      <w:pPr>
        <w:keepNext w:val="0"/>
        <w:keepLines w:val="0"/>
        <w:pageBreakBefore w:val="0"/>
        <w:widowControl w:val="0"/>
        <w:kinsoku/>
        <w:wordWrap/>
        <w:overflowPunct/>
        <w:topLinePunct w:val="0"/>
        <w:autoSpaceDE/>
        <w:autoSpaceDN/>
        <w:bidi w:val="0"/>
        <w:adjustRightInd/>
        <w:snapToGrid/>
        <w:spacing w:line="440" w:lineRule="exact"/>
        <w:ind w:right="-729" w:rightChars="-347" w:firstLine="42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（3）发包人违反第 10.1</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2"/>
          <w:sz w:val="21"/>
          <w:szCs w:val="21"/>
          <w:highlight w:val="none"/>
        </w:rPr>
        <w:t>款〔变更的范围〕第（2）项约定，自行实施被取消的工作或转由</w:t>
      </w:r>
      <w:r>
        <w:rPr>
          <w:rFonts w:hint="eastAsia" w:ascii="宋体" w:hAnsi="宋体" w:eastAsia="宋体" w:cs="宋体"/>
          <w:color w:val="auto"/>
          <w:spacing w:val="3"/>
          <w:sz w:val="21"/>
          <w:szCs w:val="21"/>
          <w:highlight w:val="none"/>
        </w:rPr>
        <w:t>他人实施的违约责任：</w:t>
      </w:r>
      <w:r>
        <w:rPr>
          <w:rFonts w:hint="eastAsia" w:ascii="宋体" w:hAnsi="宋体" w:eastAsia="宋体" w:cs="宋体"/>
          <w:b/>
          <w:bCs/>
          <w:color w:val="auto"/>
          <w:spacing w:val="3"/>
          <w:sz w:val="21"/>
          <w:szCs w:val="21"/>
          <w:highlight w:val="none"/>
          <w:u w:val="single" w:color="auto"/>
        </w:rPr>
        <w:t>双方另行协商</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6C3F0EC2">
      <w:pPr>
        <w:keepNext w:val="0"/>
        <w:keepLines w:val="0"/>
        <w:pageBreakBefore w:val="0"/>
        <w:widowControl w:val="0"/>
        <w:kinsoku/>
        <w:wordWrap/>
        <w:overflowPunct/>
        <w:topLinePunct w:val="0"/>
        <w:autoSpaceDE/>
        <w:autoSpaceDN/>
        <w:bidi w:val="0"/>
        <w:adjustRightInd/>
        <w:snapToGrid/>
        <w:spacing w:line="440" w:lineRule="exact"/>
        <w:ind w:left="6" w:right="-729" w:rightChars="-347"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（4）发包人提供的材料、工程设备的规格、数量</w:t>
      </w:r>
      <w:r>
        <w:rPr>
          <w:rFonts w:hint="eastAsia" w:ascii="宋体" w:hAnsi="宋体" w:eastAsia="宋体" w:cs="宋体"/>
          <w:color w:val="auto"/>
          <w:spacing w:val="-1"/>
          <w:sz w:val="21"/>
          <w:szCs w:val="21"/>
          <w:highlight w:val="none"/>
        </w:rPr>
        <w:t>或质量不符合合同约定，或因发包人原因</w:t>
      </w:r>
      <w:r>
        <w:rPr>
          <w:rFonts w:hint="eastAsia" w:ascii="宋体" w:hAnsi="宋体" w:eastAsia="宋体" w:cs="宋体"/>
          <w:color w:val="auto"/>
          <w:spacing w:val="2"/>
          <w:sz w:val="21"/>
          <w:szCs w:val="21"/>
          <w:highlight w:val="none"/>
        </w:rPr>
        <w:t>导致交货日期延误或交货地点变更等情况的违约责任：</w:t>
      </w:r>
      <w:r>
        <w:rPr>
          <w:rFonts w:hint="eastAsia" w:ascii="宋体" w:hAnsi="宋体" w:eastAsia="宋体" w:cs="宋体"/>
          <w:b/>
          <w:bCs/>
          <w:color w:val="auto"/>
          <w:spacing w:val="2"/>
          <w:sz w:val="21"/>
          <w:szCs w:val="21"/>
          <w:highlight w:val="none"/>
          <w:u w:val="single" w:color="auto"/>
        </w:rPr>
        <w:t>双方另行协商</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5CB62023">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（5）因发包人违反合同约定造成暂停施工的违约责任：</w:t>
      </w:r>
      <w:r>
        <w:rPr>
          <w:rFonts w:hint="eastAsia" w:ascii="宋体" w:hAnsi="宋体" w:eastAsia="宋体" w:cs="宋体"/>
          <w:b/>
          <w:bCs/>
          <w:color w:val="auto"/>
          <w:spacing w:val="2"/>
          <w:sz w:val="21"/>
          <w:szCs w:val="21"/>
          <w:highlight w:val="none"/>
          <w:u w:val="single" w:color="auto"/>
        </w:rPr>
        <w:t>双方另行协商</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28E07532">
      <w:pPr>
        <w:keepNext w:val="0"/>
        <w:keepLines w:val="0"/>
        <w:pageBreakBefore w:val="0"/>
        <w:widowControl w:val="0"/>
        <w:kinsoku/>
        <w:wordWrap/>
        <w:overflowPunct/>
        <w:topLinePunct w:val="0"/>
        <w:autoSpaceDE/>
        <w:autoSpaceDN/>
        <w:bidi w:val="0"/>
        <w:adjustRightInd/>
        <w:snapToGrid/>
        <w:spacing w:line="440" w:lineRule="exact"/>
        <w:ind w:right="-729" w:rightChars="-347" w:firstLine="42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（6）发包人无正当理由没有在约定期限内发出复工指示，导致承包人无法复工的违约责任：</w:t>
      </w:r>
      <w:r>
        <w:rPr>
          <w:rFonts w:hint="eastAsia" w:ascii="宋体" w:hAnsi="宋体" w:eastAsia="宋体" w:cs="宋体"/>
          <w:b/>
          <w:bCs/>
          <w:color w:val="auto"/>
          <w:spacing w:val="7"/>
          <w:sz w:val="21"/>
          <w:szCs w:val="21"/>
          <w:highlight w:val="none"/>
          <w:u w:val="single" w:color="auto"/>
        </w:rPr>
        <w:t>双方另行协商</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rPr>
        <w:t>。</w:t>
      </w:r>
    </w:p>
    <w:p w14:paraId="573FF470">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594C9F2E">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16.1.3</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3"/>
          <w:sz w:val="21"/>
          <w:szCs w:val="21"/>
          <w:highlight w:val="none"/>
        </w:rPr>
        <w:t>因发包人违约解除合同</w:t>
      </w:r>
    </w:p>
    <w:p w14:paraId="3D2ED454">
      <w:pPr>
        <w:keepNext w:val="0"/>
        <w:keepLines w:val="0"/>
        <w:pageBreakBefore w:val="0"/>
        <w:widowControl w:val="0"/>
        <w:kinsoku/>
        <w:wordWrap/>
        <w:overflowPunct/>
        <w:topLinePunct w:val="0"/>
        <w:autoSpaceDE/>
        <w:autoSpaceDN/>
        <w:bidi w:val="0"/>
        <w:adjustRightInd/>
        <w:snapToGrid/>
        <w:spacing w:line="440" w:lineRule="exact"/>
        <w:ind w:left="4" w:right="-729" w:rightChars="-347" w:firstLine="41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承包人按16.1.1项〔发包人违约的情形〕约定暂停施工满</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120</w:t>
      </w:r>
      <w:r>
        <w:rPr>
          <w:rFonts w:hint="eastAsia" w:ascii="宋体" w:hAnsi="宋体" w:eastAsia="宋体" w:cs="宋体"/>
          <w:color w:val="auto"/>
          <w:spacing w:val="42"/>
          <w:sz w:val="21"/>
          <w:szCs w:val="21"/>
          <w:highlight w:val="none"/>
          <w:u w:val="single" w:color="auto"/>
        </w:rPr>
        <w:t xml:space="preserve"> </w:t>
      </w:r>
      <w:r>
        <w:rPr>
          <w:rFonts w:hint="eastAsia" w:ascii="宋体" w:hAnsi="宋体" w:eastAsia="宋体" w:cs="宋体"/>
          <w:color w:val="auto"/>
          <w:sz w:val="21"/>
          <w:szCs w:val="21"/>
          <w:highlight w:val="none"/>
        </w:rPr>
        <w:t>天后发包人仍不纠正其违约</w:t>
      </w:r>
      <w:r>
        <w:rPr>
          <w:rFonts w:hint="eastAsia" w:ascii="宋体" w:hAnsi="宋体" w:eastAsia="宋体" w:cs="宋体"/>
          <w:color w:val="auto"/>
          <w:spacing w:val="-1"/>
          <w:sz w:val="21"/>
          <w:szCs w:val="21"/>
          <w:highlight w:val="none"/>
        </w:rPr>
        <w:t>行为并致使合同目的不能实现的，承包人有权</w:t>
      </w:r>
      <w:r>
        <w:rPr>
          <w:rFonts w:hint="eastAsia" w:ascii="宋体" w:hAnsi="宋体" w:eastAsia="宋体" w:cs="宋体"/>
          <w:color w:val="auto"/>
          <w:spacing w:val="-2"/>
          <w:sz w:val="21"/>
          <w:szCs w:val="21"/>
          <w:highlight w:val="none"/>
        </w:rPr>
        <w:t>解除合同。</w:t>
      </w:r>
    </w:p>
    <w:p w14:paraId="61F97F8D">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16.2 承包人违约</w:t>
      </w:r>
    </w:p>
    <w:p w14:paraId="013E36F2">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16.2.1 承包人违约的情形</w:t>
      </w:r>
    </w:p>
    <w:p w14:paraId="42885BB4">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承包人违约的其他情形：</w:t>
      </w:r>
    </w:p>
    <w:p w14:paraId="45C7EAB0">
      <w:pPr>
        <w:keepNext w:val="0"/>
        <w:keepLines w:val="0"/>
        <w:pageBreakBefore w:val="0"/>
        <w:widowControl w:val="0"/>
        <w:kinsoku/>
        <w:wordWrap/>
        <w:overflowPunct/>
        <w:topLinePunct w:val="0"/>
        <w:autoSpaceDE/>
        <w:autoSpaceDN/>
        <w:bidi w:val="0"/>
        <w:adjustRightInd/>
        <w:snapToGrid/>
        <w:spacing w:line="440" w:lineRule="exact"/>
        <w:ind w:left="2" w:right="-729" w:rightChars="-347" w:firstLine="599"/>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color="auto"/>
        </w:rPr>
        <w:t>1、施工单位出现严重安全、质量事故，或在建设单位规定的整改期限内达不到整改要求或明显无法按期完工的，建设单位有权要求施工单位</w:t>
      </w:r>
      <w:r>
        <w:rPr>
          <w:rFonts w:hint="eastAsia" w:ascii="宋体" w:hAnsi="宋体" w:eastAsia="宋体" w:cs="宋体"/>
          <w:b/>
          <w:bCs/>
          <w:color w:val="auto"/>
          <w:spacing w:val="-1"/>
          <w:sz w:val="21"/>
          <w:szCs w:val="21"/>
          <w:highlight w:val="none"/>
          <w:u w:val="single" w:color="auto"/>
        </w:rPr>
        <w:t>退场，并按验收合格的工程量的60%款项结</w:t>
      </w:r>
      <w:r>
        <w:rPr>
          <w:rFonts w:hint="eastAsia" w:ascii="宋体" w:hAnsi="宋体" w:eastAsia="宋体" w:cs="宋体"/>
          <w:b/>
          <w:bCs/>
          <w:color w:val="auto"/>
          <w:spacing w:val="-3"/>
          <w:sz w:val="21"/>
          <w:szCs w:val="21"/>
          <w:highlight w:val="none"/>
          <w:u w:val="single" w:color="auto"/>
        </w:rPr>
        <w:t>算。</w:t>
      </w:r>
      <w:r>
        <w:rPr>
          <w:rFonts w:hint="eastAsia" w:ascii="宋体" w:hAnsi="宋体" w:eastAsia="宋体" w:cs="宋体"/>
          <w:color w:val="auto"/>
          <w:sz w:val="21"/>
          <w:szCs w:val="21"/>
          <w:highlight w:val="none"/>
          <w:u w:val="single" w:color="auto"/>
        </w:rPr>
        <w:t xml:space="preserve">  </w:t>
      </w:r>
    </w:p>
    <w:p w14:paraId="103A7EC6">
      <w:pPr>
        <w:keepNext w:val="0"/>
        <w:keepLines w:val="0"/>
        <w:pageBreakBefore w:val="0"/>
        <w:widowControl w:val="0"/>
        <w:kinsoku/>
        <w:wordWrap/>
        <w:overflowPunct/>
        <w:topLinePunct w:val="0"/>
        <w:autoSpaceDE/>
        <w:autoSpaceDN/>
        <w:bidi w:val="0"/>
        <w:adjustRightInd/>
        <w:snapToGrid/>
        <w:spacing w:line="440" w:lineRule="exact"/>
        <w:ind w:left="2" w:right="-729" w:rightChars="-347" w:firstLine="599"/>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2、承包人对所有进场材料的质量共同把关，承包人必须根据有关规定要求由具备相应专业资质的试验单位对材料、设备进行必要的试验、检验， 如发现质量问题时，应及时退货。如承包人不按规定送检或明知有问题而不予处理，继续施工，由此引起返工而造成的材料、人工、机械、工期损失等一切费用全部由承包人承担。</w:t>
      </w:r>
      <w:r>
        <w:rPr>
          <w:rFonts w:hint="eastAsia" w:ascii="宋体" w:hAnsi="宋体" w:cs="宋体"/>
          <w:b/>
          <w:bCs/>
          <w:color w:val="auto"/>
          <w:sz w:val="21"/>
          <w:szCs w:val="21"/>
          <w:highlight w:val="none"/>
          <w:u w:val="single" w:color="auto"/>
          <w:lang w:val="en-US" w:eastAsia="zh-CN"/>
        </w:rPr>
        <w:t>发包人</w:t>
      </w:r>
      <w:r>
        <w:rPr>
          <w:rFonts w:hint="eastAsia" w:ascii="宋体" w:hAnsi="宋体" w:eastAsia="宋体" w:cs="宋体"/>
          <w:b/>
          <w:bCs/>
          <w:color w:val="auto"/>
          <w:sz w:val="21"/>
          <w:szCs w:val="21"/>
          <w:highlight w:val="none"/>
          <w:u w:val="single" w:color="auto"/>
        </w:rPr>
        <w:t xml:space="preserve">根据需要可在事前、事中、事后进行抽检，不论在哪个阶段查出问题，所造成的损失均由承包人负责。  </w:t>
      </w:r>
    </w:p>
    <w:p w14:paraId="65B0F52B">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color="auto"/>
        </w:rPr>
        <w:t>3、派驻现场的项目负责人应与投标文件一致，项目负责人变动须得到招标人书面认可，</w:t>
      </w:r>
      <w:r>
        <w:rPr>
          <w:rFonts w:hint="eastAsia" w:ascii="宋体" w:hAnsi="宋体" w:eastAsia="宋体" w:cs="宋体"/>
          <w:color w:val="auto"/>
          <w:spacing w:val="-74"/>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同时须向招标人支付违约金（更换项目负责人</w:t>
      </w:r>
      <w:r>
        <w:rPr>
          <w:rFonts w:hint="eastAsia" w:ascii="宋体" w:hAnsi="宋体" w:eastAsia="宋体" w:cs="宋体"/>
          <w:b/>
          <w:bCs/>
          <w:color w:val="auto"/>
          <w:sz w:val="21"/>
          <w:szCs w:val="21"/>
          <w:highlight w:val="none"/>
          <w:u w:val="single" w:color="auto"/>
          <w:lang w:val="en-US" w:eastAsia="zh-CN"/>
        </w:rPr>
        <w:t>9</w:t>
      </w:r>
      <w:r>
        <w:rPr>
          <w:rFonts w:hint="eastAsia" w:ascii="宋体" w:hAnsi="宋体" w:eastAsia="宋体" w:cs="宋体"/>
          <w:b/>
          <w:bCs/>
          <w:color w:val="auto"/>
          <w:sz w:val="21"/>
          <w:szCs w:val="21"/>
          <w:highlight w:val="none"/>
          <w:u w:val="single" w:color="auto"/>
        </w:rPr>
        <w:t>万元/次）。项</w:t>
      </w:r>
      <w:r>
        <w:rPr>
          <w:rFonts w:hint="eastAsia" w:ascii="宋体" w:hAnsi="宋体" w:eastAsia="宋体" w:cs="宋体"/>
          <w:b/>
          <w:bCs/>
          <w:color w:val="auto"/>
          <w:spacing w:val="-1"/>
          <w:sz w:val="21"/>
          <w:szCs w:val="21"/>
          <w:highlight w:val="none"/>
          <w:u w:val="single" w:color="auto"/>
        </w:rPr>
        <w:t>目负责人在本工程施工期每周出</w:t>
      </w:r>
      <w:r>
        <w:rPr>
          <w:rFonts w:hint="eastAsia" w:ascii="宋体" w:hAnsi="宋体" w:eastAsia="宋体" w:cs="宋体"/>
          <w:b/>
          <w:bCs/>
          <w:color w:val="auto"/>
          <w:spacing w:val="-3"/>
          <w:sz w:val="21"/>
          <w:szCs w:val="21"/>
          <w:highlight w:val="none"/>
          <w:u w:val="single" w:color="auto"/>
        </w:rPr>
        <w:t>勤率必须达5天以上，每天不少于8小时，离开施工现场必须向发包人请假。发包人将不定期进行</w:t>
      </w:r>
      <w:r>
        <w:rPr>
          <w:rFonts w:hint="eastAsia" w:ascii="宋体" w:hAnsi="宋体" w:eastAsia="宋体" w:cs="宋体"/>
          <w:b/>
          <w:bCs/>
          <w:color w:val="auto"/>
          <w:spacing w:val="-2"/>
          <w:sz w:val="21"/>
          <w:szCs w:val="21"/>
          <w:highlight w:val="none"/>
          <w:u w:val="single" w:color="auto"/>
        </w:rPr>
        <w:t>考核检查，检查时，发现项目负责人不在现场发包人有权收取承包人5</w:t>
      </w:r>
      <w:r>
        <w:rPr>
          <w:rFonts w:hint="eastAsia" w:ascii="宋体" w:hAnsi="宋体" w:eastAsia="宋体" w:cs="宋体"/>
          <w:b/>
          <w:bCs/>
          <w:color w:val="auto"/>
          <w:spacing w:val="-3"/>
          <w:sz w:val="21"/>
          <w:szCs w:val="21"/>
          <w:highlight w:val="none"/>
          <w:u w:val="single" w:color="auto"/>
        </w:rPr>
        <w:t>000元/人</w:t>
      </w:r>
      <w:r>
        <w:rPr>
          <w:rFonts w:hint="eastAsia" w:ascii="宋体" w:hAnsi="宋体" w:eastAsia="宋体" w:cs="宋体"/>
          <w:color w:val="auto"/>
          <w:spacing w:val="-24"/>
          <w:sz w:val="21"/>
          <w:szCs w:val="21"/>
          <w:highlight w:val="none"/>
          <w:u w:val="single" w:color="auto"/>
        </w:rPr>
        <w:t xml:space="preserve"> </w:t>
      </w:r>
      <w:r>
        <w:rPr>
          <w:rFonts w:hint="eastAsia" w:ascii="宋体" w:hAnsi="宋体" w:eastAsia="宋体" w:cs="宋体"/>
          <w:b/>
          <w:bCs/>
          <w:color w:val="auto"/>
          <w:spacing w:val="-3"/>
          <w:sz w:val="21"/>
          <w:szCs w:val="21"/>
          <w:highlight w:val="none"/>
          <w:u w:val="single" w:color="auto"/>
        </w:rPr>
        <w:t>·天的违约金。</w:t>
      </w:r>
      <w:r>
        <w:rPr>
          <w:rFonts w:hint="eastAsia" w:ascii="宋体" w:hAnsi="宋体" w:eastAsia="宋体" w:cs="宋体"/>
          <w:b/>
          <w:bCs/>
          <w:color w:val="auto"/>
          <w:spacing w:val="-6"/>
          <w:sz w:val="21"/>
          <w:szCs w:val="21"/>
          <w:highlight w:val="none"/>
          <w:u w:val="single" w:color="auto"/>
        </w:rPr>
        <w:t>如缺勤次数过多且施工质量、进度等不能满足要求，</w:t>
      </w:r>
      <w:r>
        <w:rPr>
          <w:rFonts w:hint="eastAsia" w:ascii="宋体" w:hAnsi="宋体" w:eastAsia="宋体" w:cs="宋体"/>
          <w:color w:val="auto"/>
          <w:spacing w:val="41"/>
          <w:sz w:val="21"/>
          <w:szCs w:val="21"/>
          <w:highlight w:val="none"/>
          <w:u w:val="single" w:color="auto"/>
        </w:rPr>
        <w:t xml:space="preserve"> </w:t>
      </w:r>
      <w:r>
        <w:rPr>
          <w:rFonts w:hint="eastAsia" w:ascii="宋体" w:hAnsi="宋体" w:eastAsia="宋体" w:cs="宋体"/>
          <w:b/>
          <w:bCs/>
          <w:color w:val="auto"/>
          <w:spacing w:val="-6"/>
          <w:sz w:val="21"/>
          <w:szCs w:val="21"/>
          <w:highlight w:val="none"/>
          <w:u w:val="single" w:color="auto"/>
        </w:rPr>
        <w:t>招标人有权将承包人清出施</w:t>
      </w:r>
      <w:r>
        <w:rPr>
          <w:rFonts w:hint="eastAsia" w:ascii="宋体" w:hAnsi="宋体" w:eastAsia="宋体" w:cs="宋体"/>
          <w:b/>
          <w:bCs/>
          <w:color w:val="auto"/>
          <w:spacing w:val="-7"/>
          <w:sz w:val="21"/>
          <w:szCs w:val="21"/>
          <w:highlight w:val="none"/>
          <w:u w:val="single" w:color="auto"/>
        </w:rPr>
        <w:t>工现场，已完工</w:t>
      </w:r>
      <w:r>
        <w:rPr>
          <w:rFonts w:hint="eastAsia" w:ascii="宋体" w:hAnsi="宋体" w:eastAsia="宋体" w:cs="宋体"/>
          <w:b/>
          <w:bCs/>
          <w:color w:val="auto"/>
          <w:spacing w:val="-2"/>
          <w:sz w:val="21"/>
          <w:szCs w:val="21"/>
          <w:highlight w:val="none"/>
          <w:u w:val="single" w:color="auto"/>
        </w:rPr>
        <w:t>程量不予结算。项目负责人经发包人考核不合格者</w:t>
      </w:r>
      <w:r>
        <w:rPr>
          <w:rFonts w:hint="eastAsia" w:ascii="宋体" w:hAnsi="宋体" w:eastAsia="宋体" w:cs="宋体"/>
          <w:b/>
          <w:bCs/>
          <w:color w:val="auto"/>
          <w:spacing w:val="-3"/>
          <w:sz w:val="21"/>
          <w:szCs w:val="21"/>
          <w:highlight w:val="none"/>
          <w:u w:val="single" w:color="auto"/>
        </w:rPr>
        <w:t>，承包方一周内必须无条件更换，同</w:t>
      </w:r>
      <w:r>
        <w:rPr>
          <w:rFonts w:hint="eastAsia" w:ascii="宋体" w:hAnsi="宋体" w:eastAsia="宋体" w:cs="宋体"/>
          <w:b/>
          <w:bCs/>
          <w:color w:val="auto"/>
          <w:spacing w:val="1"/>
          <w:sz w:val="21"/>
          <w:szCs w:val="21"/>
          <w:highlight w:val="none"/>
          <w:u w:val="single" w:color="auto"/>
        </w:rPr>
        <w:t>时须支付相应金额的违约金。</w:t>
      </w:r>
      <w:r>
        <w:rPr>
          <w:rFonts w:hint="eastAsia" w:ascii="宋体" w:hAnsi="宋体" w:eastAsia="宋体" w:cs="宋体"/>
          <w:color w:val="auto"/>
          <w:sz w:val="21"/>
          <w:szCs w:val="21"/>
          <w:highlight w:val="none"/>
          <w:u w:val="single" w:color="auto"/>
        </w:rPr>
        <w:t xml:space="preserve">  </w:t>
      </w:r>
    </w:p>
    <w:p w14:paraId="0AB48670">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16.2.2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
          <w:sz w:val="21"/>
          <w:szCs w:val="21"/>
          <w:highlight w:val="none"/>
        </w:rPr>
        <w:t>承包人违约的责任</w:t>
      </w:r>
    </w:p>
    <w:p w14:paraId="460B38F7">
      <w:pPr>
        <w:keepNext w:val="0"/>
        <w:keepLines w:val="0"/>
        <w:pageBreakBefore w:val="0"/>
        <w:widowControl w:val="0"/>
        <w:tabs>
          <w:tab w:val="left" w:pos="8792"/>
        </w:tabs>
        <w:kinsoku/>
        <w:wordWrap/>
        <w:overflowPunct/>
        <w:topLinePunct w:val="0"/>
        <w:autoSpaceDE/>
        <w:autoSpaceDN/>
        <w:bidi w:val="0"/>
        <w:adjustRightInd/>
        <w:snapToGrid/>
        <w:spacing w:line="440" w:lineRule="exact"/>
        <w:ind w:right="-729" w:rightChars="-347" w:firstLine="42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承包人违约责任的承担方式和计算方法</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22"/>
          <w:sz w:val="21"/>
          <w:szCs w:val="21"/>
          <w:highlight w:val="none"/>
          <w:u w:val="single" w:color="auto"/>
        </w:rPr>
        <w:t>（</w:t>
      </w:r>
      <w:r>
        <w:rPr>
          <w:rFonts w:hint="eastAsia" w:ascii="宋体" w:hAnsi="宋体" w:eastAsia="宋体" w:cs="宋体"/>
          <w:color w:val="auto"/>
          <w:sz w:val="21"/>
          <w:szCs w:val="21"/>
          <w:highlight w:val="none"/>
          <w:u w:val="single" w:color="auto"/>
        </w:rPr>
        <w:t>1）发生其他不可抗力因素影响工期， 造成工期</w:t>
      </w:r>
      <w:r>
        <w:rPr>
          <w:rFonts w:hint="eastAsia" w:ascii="宋体" w:hAnsi="宋体" w:eastAsia="宋体" w:cs="宋体"/>
          <w:color w:val="auto"/>
          <w:spacing w:val="-7"/>
          <w:sz w:val="21"/>
          <w:szCs w:val="21"/>
          <w:highlight w:val="none"/>
          <w:u w:val="single" w:color="auto"/>
        </w:rPr>
        <w:t>延长的，承包人需办理延期手续，批准后方可顺延工期；因承包人原因工期每推迟一天，处罚</w:t>
      </w:r>
      <w:r>
        <w:rPr>
          <w:rFonts w:hint="eastAsia" w:ascii="宋体" w:hAnsi="宋体" w:eastAsia="宋体" w:cs="宋体"/>
          <w:color w:val="auto"/>
          <w:spacing w:val="-28"/>
          <w:sz w:val="21"/>
          <w:szCs w:val="21"/>
          <w:highlight w:val="none"/>
          <w:u w:val="single" w:color="auto"/>
        </w:rPr>
        <w:t xml:space="preserve"> </w:t>
      </w:r>
      <w:r>
        <w:rPr>
          <w:rFonts w:hint="eastAsia" w:ascii="宋体" w:hAnsi="宋体" w:eastAsia="宋体" w:cs="宋体"/>
          <w:color w:val="auto"/>
          <w:spacing w:val="-7"/>
          <w:sz w:val="21"/>
          <w:szCs w:val="21"/>
          <w:highlight w:val="none"/>
          <w:u w:val="single" w:color="auto"/>
        </w:rPr>
        <w:t>5000</w:t>
      </w:r>
      <w:r>
        <w:rPr>
          <w:rFonts w:hint="eastAsia" w:ascii="宋体" w:hAnsi="宋体" w:eastAsia="宋体" w:cs="宋体"/>
          <w:color w:val="auto"/>
          <w:spacing w:val="-2"/>
          <w:sz w:val="21"/>
          <w:szCs w:val="21"/>
          <w:highlight w:val="none"/>
          <w:u w:val="single" w:color="auto"/>
        </w:rPr>
        <w:t>元；超过 10 天，每推迟一天，处罚 10000</w:t>
      </w:r>
      <w:r>
        <w:rPr>
          <w:rFonts w:hint="eastAsia" w:ascii="宋体" w:hAnsi="宋体" w:eastAsia="宋体" w:cs="宋体"/>
          <w:color w:val="auto"/>
          <w:spacing w:val="-19"/>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元，同时发包人有权要求承包人清退出场，所完成的</w:t>
      </w:r>
      <w:r>
        <w:rPr>
          <w:rFonts w:hint="eastAsia" w:ascii="宋体" w:hAnsi="宋体" w:eastAsia="宋体" w:cs="宋体"/>
          <w:color w:val="auto"/>
          <w:sz w:val="21"/>
          <w:szCs w:val="21"/>
          <w:highlight w:val="none"/>
          <w:u w:val="single" w:color="auto"/>
        </w:rPr>
        <w:t>合格工程量按</w:t>
      </w:r>
      <w:r>
        <w:rPr>
          <w:rFonts w:hint="eastAsia" w:ascii="宋体" w:hAnsi="宋体" w:eastAsia="宋体" w:cs="宋体"/>
          <w:color w:val="auto"/>
          <w:spacing w:val="-20"/>
          <w:sz w:val="21"/>
          <w:szCs w:val="21"/>
          <w:highlight w:val="none"/>
          <w:u w:val="single" w:color="auto"/>
        </w:rPr>
        <w:t xml:space="preserve"> </w:t>
      </w:r>
      <w:r>
        <w:rPr>
          <w:rFonts w:hint="eastAsia" w:ascii="宋体" w:hAnsi="宋体" w:eastAsia="宋体" w:cs="宋体"/>
          <w:color w:val="auto"/>
          <w:sz w:val="21"/>
          <w:szCs w:val="21"/>
          <w:highlight w:val="none"/>
          <w:u w:val="single" w:color="auto"/>
        </w:rPr>
        <w:t>60%计算，或者由发包人安排其他施工单位进行施工，所发生费用直接按实际费用</w:t>
      </w:r>
      <w:r>
        <w:rPr>
          <w:rFonts w:hint="eastAsia" w:ascii="宋体" w:hAnsi="宋体" w:eastAsia="宋体" w:cs="宋体"/>
          <w:color w:val="auto"/>
          <w:spacing w:val="-1"/>
          <w:sz w:val="21"/>
          <w:szCs w:val="21"/>
          <w:highlight w:val="none"/>
          <w:u w:val="single" w:color="auto"/>
        </w:rPr>
        <w:t>的</w:t>
      </w:r>
      <w:r>
        <w:rPr>
          <w:rFonts w:hint="eastAsia" w:ascii="宋体" w:hAnsi="宋体" w:eastAsia="宋体" w:cs="宋体"/>
          <w:color w:val="auto"/>
          <w:spacing w:val="-19"/>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37"/>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倍或以上金额从承包人合同价款中扣除，同时发包人有权扣除履约保证金的</w:t>
      </w:r>
      <w:r>
        <w:rPr>
          <w:rFonts w:hint="eastAsia" w:ascii="宋体" w:hAnsi="宋体" w:eastAsia="宋体" w:cs="宋体"/>
          <w:color w:val="auto"/>
          <w:spacing w:val="-4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20%。其他按通</w:t>
      </w:r>
      <w:r>
        <w:rPr>
          <w:rFonts w:hint="eastAsia" w:ascii="宋体" w:hAnsi="宋体" w:eastAsia="宋体" w:cs="宋体"/>
          <w:color w:val="auto"/>
          <w:spacing w:val="2"/>
          <w:sz w:val="21"/>
          <w:szCs w:val="21"/>
          <w:highlight w:val="none"/>
          <w:u w:val="single" w:color="auto"/>
        </w:rPr>
        <w:t>用条款中约定内容执行</w:t>
      </w:r>
      <w:r>
        <w:rPr>
          <w:rFonts w:hint="eastAsia" w:ascii="宋体" w:hAnsi="宋体" w:eastAsia="宋体" w:cs="宋体"/>
          <w:color w:val="auto"/>
          <w:spacing w:val="-7"/>
          <w:sz w:val="21"/>
          <w:szCs w:val="21"/>
          <w:highlight w:val="none"/>
          <w:u w:val="single" w:color="auto"/>
        </w:rPr>
        <w:t>；（</w:t>
      </w:r>
      <w:r>
        <w:rPr>
          <w:rFonts w:hint="eastAsia" w:ascii="宋体" w:hAnsi="宋体" w:eastAsia="宋体" w:cs="宋体"/>
          <w:color w:val="auto"/>
          <w:spacing w:val="2"/>
          <w:sz w:val="21"/>
          <w:szCs w:val="21"/>
          <w:highlight w:val="none"/>
          <w:u w:val="single" w:color="auto"/>
        </w:rPr>
        <w:t>2）承包人出现严重的安全事故，发包人有权要求承包人退场，并按</w:t>
      </w:r>
      <w:r>
        <w:rPr>
          <w:rFonts w:hint="eastAsia" w:ascii="宋体" w:hAnsi="宋体" w:eastAsia="宋体" w:cs="宋体"/>
          <w:color w:val="auto"/>
          <w:spacing w:val="-1"/>
          <w:sz w:val="21"/>
          <w:szCs w:val="21"/>
          <w:highlight w:val="none"/>
          <w:u w:val="single" w:color="auto"/>
        </w:rPr>
        <w:t>验收合格的工程量的</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60%款项结算</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1"/>
          <w:sz w:val="21"/>
          <w:szCs w:val="21"/>
          <w:highlight w:val="none"/>
          <w:u w:val="single" w:color="auto"/>
        </w:rPr>
        <w:t>3）承包人必须达到合同约定的质量标准，达不到标准的，</w:t>
      </w:r>
      <w:r>
        <w:rPr>
          <w:rFonts w:hint="eastAsia" w:ascii="宋体" w:hAnsi="宋体" w:eastAsia="宋体" w:cs="宋体"/>
          <w:color w:val="auto"/>
          <w:sz w:val="21"/>
          <w:szCs w:val="21"/>
          <w:highlight w:val="none"/>
          <w:u w:val="single" w:color="auto"/>
        </w:rPr>
        <w:t>除履约保证金的</w:t>
      </w:r>
      <w:r>
        <w:rPr>
          <w:rFonts w:hint="eastAsia" w:ascii="宋体" w:hAnsi="宋体" w:eastAsia="宋体" w:cs="宋体"/>
          <w:color w:val="auto"/>
          <w:spacing w:val="-20"/>
          <w:sz w:val="21"/>
          <w:szCs w:val="21"/>
          <w:highlight w:val="none"/>
          <w:u w:val="single" w:color="auto"/>
        </w:rPr>
        <w:t xml:space="preserve"> </w:t>
      </w:r>
      <w:r>
        <w:rPr>
          <w:rFonts w:hint="eastAsia" w:ascii="宋体" w:hAnsi="宋体" w:eastAsia="宋体" w:cs="宋体"/>
          <w:color w:val="auto"/>
          <w:sz w:val="21"/>
          <w:szCs w:val="21"/>
          <w:highlight w:val="none"/>
          <w:u w:val="single" w:color="auto"/>
        </w:rPr>
        <w:t>40%不予退还外，还必须负责返工、修理；经返工、修理后，仍不能消除质量缺</w:t>
      </w:r>
      <w:r>
        <w:rPr>
          <w:rFonts w:hint="eastAsia" w:ascii="宋体" w:hAnsi="宋体" w:eastAsia="宋体" w:cs="宋体"/>
          <w:color w:val="auto"/>
          <w:spacing w:val="-3"/>
          <w:sz w:val="21"/>
          <w:szCs w:val="21"/>
          <w:highlight w:val="none"/>
          <w:u w:val="single" w:color="auto"/>
        </w:rPr>
        <w:t>陷或隐患，不能达到设计标准和施工要求的，发包人有权解除合同，并减少或拒绝支付工程款。</w:t>
      </w:r>
      <w:r>
        <w:rPr>
          <w:rFonts w:hint="eastAsia" w:ascii="宋体" w:hAnsi="宋体" w:eastAsia="宋体" w:cs="宋体"/>
          <w:color w:val="auto"/>
          <w:sz w:val="21"/>
          <w:szCs w:val="21"/>
          <w:highlight w:val="none"/>
          <w:u w:val="single" w:color="auto"/>
        </w:rPr>
        <w:t xml:space="preserve">造成发包人经济损失的，仍由承包人承担。 </w:t>
      </w:r>
    </w:p>
    <w:p w14:paraId="56D5CB79">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16.2.3</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3"/>
          <w:sz w:val="21"/>
          <w:szCs w:val="21"/>
          <w:highlight w:val="none"/>
        </w:rPr>
        <w:t>因承包人违约解除合同</w:t>
      </w:r>
    </w:p>
    <w:p w14:paraId="778C8D19">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关于承包人违约解除合同的特别约定：</w:t>
      </w:r>
      <w:r>
        <w:rPr>
          <w:rFonts w:hint="eastAsia" w:ascii="宋体" w:hAnsi="宋体" w:eastAsia="宋体" w:cs="宋体"/>
          <w:b/>
          <w:bCs/>
          <w:color w:val="auto"/>
          <w:spacing w:val="1"/>
          <w:sz w:val="21"/>
          <w:szCs w:val="21"/>
          <w:highlight w:val="none"/>
          <w:u w:val="single" w:color="auto"/>
        </w:rPr>
        <w:t>由承包人承担全部费用并承担相关法律责任。</w:t>
      </w:r>
      <w:r>
        <w:rPr>
          <w:rFonts w:hint="eastAsia" w:ascii="宋体" w:hAnsi="宋体" w:eastAsia="宋体" w:cs="宋体"/>
          <w:color w:val="auto"/>
          <w:spacing w:val="1"/>
          <w:sz w:val="21"/>
          <w:szCs w:val="21"/>
          <w:highlight w:val="none"/>
          <w:u w:val="single" w:color="auto"/>
        </w:rPr>
        <w:t xml:space="preserve">   </w:t>
      </w:r>
    </w:p>
    <w:p w14:paraId="003D2C9B">
      <w:pPr>
        <w:keepNext w:val="0"/>
        <w:keepLines w:val="0"/>
        <w:pageBreakBefore w:val="0"/>
        <w:widowControl w:val="0"/>
        <w:kinsoku/>
        <w:wordWrap/>
        <w:overflowPunct/>
        <w:topLinePunct w:val="0"/>
        <w:autoSpaceDE/>
        <w:autoSpaceDN/>
        <w:bidi w:val="0"/>
        <w:adjustRightInd/>
        <w:snapToGrid/>
        <w:spacing w:line="440" w:lineRule="exact"/>
        <w:ind w:left="3" w:right="-729" w:rightChars="-347" w:firstLine="42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发包人继续使用承包人在施工现场的材料、设备、临时工程、承包人文件和由承包人或以其</w:t>
      </w:r>
      <w:r>
        <w:rPr>
          <w:rFonts w:hint="eastAsia" w:ascii="宋体" w:hAnsi="宋体" w:eastAsia="宋体" w:cs="宋体"/>
          <w:color w:val="auto"/>
          <w:spacing w:val="2"/>
          <w:sz w:val="21"/>
          <w:szCs w:val="21"/>
          <w:highlight w:val="none"/>
        </w:rPr>
        <w:t>名义编制的其他文件的费用承担方式：</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另行协商</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30FA1A8">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17. 不可抗力</w:t>
      </w:r>
    </w:p>
    <w:p w14:paraId="00273A97">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17.1 不可抗力的确认</w:t>
      </w:r>
    </w:p>
    <w:p w14:paraId="5BC8E56E">
      <w:pPr>
        <w:keepNext w:val="0"/>
        <w:keepLines w:val="0"/>
        <w:pageBreakBefore w:val="0"/>
        <w:widowControl w:val="0"/>
        <w:kinsoku/>
        <w:wordWrap/>
        <w:overflowPunct/>
        <w:topLinePunct w:val="0"/>
        <w:autoSpaceDE/>
        <w:autoSpaceDN/>
        <w:bidi w:val="0"/>
        <w:adjustRightInd/>
        <w:snapToGrid/>
        <w:spacing w:line="440" w:lineRule="exact"/>
        <w:ind w:left="5" w:right="-729" w:rightChars="-347" w:firstLine="42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w:t>
      </w:r>
      <w:r>
        <w:rPr>
          <w:rFonts w:hint="eastAsia" w:ascii="宋体" w:hAnsi="宋体" w:eastAsia="宋体" w:cs="宋体"/>
          <w:color w:val="auto"/>
          <w:spacing w:val="-2"/>
          <w:sz w:val="21"/>
          <w:szCs w:val="21"/>
          <w:highlight w:val="none"/>
        </w:rPr>
        <w:t>不可抗力的其他情形：</w:t>
      </w:r>
      <w:r>
        <w:rPr>
          <w:rFonts w:hint="eastAsia" w:ascii="宋体" w:hAnsi="宋体" w:eastAsia="宋体" w:cs="宋体"/>
          <w:b/>
          <w:bCs/>
          <w:color w:val="auto"/>
          <w:spacing w:val="-2"/>
          <w:sz w:val="21"/>
          <w:szCs w:val="21"/>
          <w:highlight w:val="none"/>
          <w:u w:val="single" w:color="auto"/>
        </w:rPr>
        <w:t>由市级以上有关部门</w:t>
      </w:r>
      <w:r>
        <w:rPr>
          <w:rFonts w:hint="eastAsia" w:ascii="宋体" w:hAnsi="宋体" w:eastAsia="宋体" w:cs="宋体"/>
          <w:b/>
          <w:bCs/>
          <w:color w:val="auto"/>
          <w:sz w:val="21"/>
          <w:szCs w:val="21"/>
          <w:highlight w:val="none"/>
          <w:u w:val="single" w:color="auto"/>
        </w:rPr>
        <w:t>正式发布和认定的自然灾害。</w:t>
      </w:r>
      <w:r>
        <w:rPr>
          <w:rFonts w:hint="eastAsia" w:ascii="宋体" w:hAnsi="宋体" w:eastAsia="宋体" w:cs="宋体"/>
          <w:color w:val="auto"/>
          <w:spacing w:val="4"/>
          <w:sz w:val="21"/>
          <w:szCs w:val="21"/>
          <w:highlight w:val="none"/>
          <w:u w:val="single" w:color="auto"/>
        </w:rPr>
        <w:t xml:space="preserve">  </w:t>
      </w:r>
    </w:p>
    <w:p w14:paraId="1BE968EF">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17.4</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4"/>
          <w:sz w:val="21"/>
          <w:szCs w:val="21"/>
          <w:highlight w:val="none"/>
        </w:rPr>
        <w:t>因不可抗力解除合同</w:t>
      </w:r>
    </w:p>
    <w:p w14:paraId="1FEEC948">
      <w:pPr>
        <w:keepNext w:val="0"/>
        <w:keepLines w:val="0"/>
        <w:pageBreakBefore w:val="0"/>
        <w:widowControl w:val="0"/>
        <w:kinsoku/>
        <w:wordWrap/>
        <w:overflowPunct/>
        <w:topLinePunct w:val="0"/>
        <w:autoSpaceDE/>
        <w:autoSpaceDN/>
        <w:bidi w:val="0"/>
        <w:adjustRightInd/>
        <w:snapToGrid/>
        <w:spacing w:line="440" w:lineRule="exact"/>
        <w:ind w:right="-729" w:rightChars="-347" w:firstLine="42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合同解除后，发包人应在商定或确定发包人应支付款项后</w:t>
      </w:r>
      <w:r>
        <w:rPr>
          <w:rFonts w:hint="eastAsia" w:ascii="宋体" w:hAnsi="宋体" w:eastAsia="宋体" w:cs="宋体"/>
          <w:b/>
          <w:bCs/>
          <w:color w:val="auto"/>
          <w:spacing w:val="1"/>
          <w:sz w:val="21"/>
          <w:szCs w:val="21"/>
          <w:highlight w:val="none"/>
          <w:u w:val="single" w:color="auto"/>
        </w:rPr>
        <w:t>按通用条款</w:t>
      </w:r>
      <w:r>
        <w:rPr>
          <w:rFonts w:hint="eastAsia" w:ascii="宋体" w:hAnsi="宋体" w:eastAsia="宋体" w:cs="宋体"/>
          <w:color w:val="auto"/>
          <w:spacing w:val="-91"/>
          <w:sz w:val="21"/>
          <w:szCs w:val="21"/>
          <w:highlight w:val="none"/>
          <w:u w:val="single" w:color="auto"/>
        </w:rPr>
        <w:t xml:space="preserve"> </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1"/>
          <w:sz w:val="21"/>
          <w:szCs w:val="21"/>
          <w:highlight w:val="none"/>
        </w:rPr>
        <w:t>天</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10"/>
          <w:sz w:val="21"/>
          <w:szCs w:val="21"/>
          <w:highlight w:val="none"/>
        </w:rPr>
        <w:t>付。</w:t>
      </w:r>
    </w:p>
    <w:p w14:paraId="12ED903E">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18. 保险</w:t>
      </w:r>
    </w:p>
    <w:p w14:paraId="2B341890">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18.1</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工程保险</w:t>
      </w:r>
    </w:p>
    <w:p w14:paraId="46C5E862">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z w:val="21"/>
          <w:szCs w:val="21"/>
          <w:highlight w:val="none"/>
        </w:rPr>
        <w:t>。</w:t>
      </w:r>
    </w:p>
    <w:p w14:paraId="2CE58CDE">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18.3 其他保险</w:t>
      </w:r>
    </w:p>
    <w:p w14:paraId="3153211D">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关于其他保险的约定：</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2"/>
          <w:sz w:val="21"/>
          <w:szCs w:val="21"/>
          <w:highlight w:val="none"/>
        </w:rPr>
        <w:t>。</w:t>
      </w:r>
    </w:p>
    <w:p w14:paraId="6D6FCDD5">
      <w:pPr>
        <w:keepNext w:val="0"/>
        <w:keepLines w:val="0"/>
        <w:pageBreakBefore w:val="0"/>
        <w:widowControl w:val="0"/>
        <w:kinsoku/>
        <w:wordWrap/>
        <w:overflowPunct/>
        <w:topLinePunct w:val="0"/>
        <w:autoSpaceDE/>
        <w:autoSpaceDN/>
        <w:bidi w:val="0"/>
        <w:adjustRightInd/>
        <w:snapToGrid/>
        <w:spacing w:line="440" w:lineRule="exact"/>
        <w:ind w:left="421"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是</w:t>
      </w:r>
      <w:r>
        <w:rPr>
          <w:rFonts w:hint="eastAsia" w:ascii="宋体" w:hAnsi="宋体" w:eastAsia="宋体" w:cs="宋体"/>
          <w:color w:val="auto"/>
          <w:spacing w:val="40"/>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p>
    <w:p w14:paraId="7505C4C6">
      <w:pPr>
        <w:keepNext w:val="0"/>
        <w:keepLines w:val="0"/>
        <w:pageBreakBefore w:val="0"/>
        <w:widowControl w:val="0"/>
        <w:kinsoku/>
        <w:wordWrap/>
        <w:overflowPunct/>
        <w:topLinePunct w:val="0"/>
        <w:autoSpaceDE/>
        <w:autoSpaceDN/>
        <w:bidi w:val="0"/>
        <w:adjustRightInd/>
        <w:snapToGrid/>
        <w:spacing w:line="440" w:lineRule="exact"/>
        <w:ind w:left="436"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18.7 通知义务</w:t>
      </w:r>
    </w:p>
    <w:p w14:paraId="6B1A4121">
      <w:pPr>
        <w:keepNext w:val="0"/>
        <w:keepLines w:val="0"/>
        <w:pageBreakBefore w:val="0"/>
        <w:widowControl w:val="0"/>
        <w:kinsoku/>
        <w:wordWrap/>
        <w:overflowPunct/>
        <w:topLinePunct w:val="0"/>
        <w:autoSpaceDE/>
        <w:autoSpaceDN/>
        <w:bidi w:val="0"/>
        <w:adjustRightInd/>
        <w:snapToGrid/>
        <w:spacing w:line="440" w:lineRule="exact"/>
        <w:ind w:left="424"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75FCF541">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20. 争议解决</w:t>
      </w:r>
    </w:p>
    <w:p w14:paraId="10951465">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20.3</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3"/>
          <w:sz w:val="21"/>
          <w:szCs w:val="21"/>
          <w:highlight w:val="none"/>
        </w:rPr>
        <w:t>争议评审</w:t>
      </w:r>
    </w:p>
    <w:p w14:paraId="373AF47A">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73A26D35">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20.3.1 争议评审小组的确定</w:t>
      </w:r>
    </w:p>
    <w:p w14:paraId="0986CAA0">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7AA26C11">
      <w:pPr>
        <w:keepNext w:val="0"/>
        <w:keepLines w:val="0"/>
        <w:pageBreakBefore w:val="0"/>
        <w:widowControl w:val="0"/>
        <w:kinsoku/>
        <w:wordWrap/>
        <w:overflowPunct/>
        <w:topLinePunct w:val="0"/>
        <w:autoSpaceDE/>
        <w:autoSpaceDN/>
        <w:bidi w:val="0"/>
        <w:adjustRightInd/>
        <w:snapToGrid/>
        <w:spacing w:line="440" w:lineRule="exact"/>
        <w:ind w:left="420"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选定争议评审员的期限：</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0C1B8D7D">
      <w:pPr>
        <w:keepNext w:val="0"/>
        <w:keepLines w:val="0"/>
        <w:pageBreakBefore w:val="0"/>
        <w:widowControl w:val="0"/>
        <w:kinsoku/>
        <w:wordWrap/>
        <w:overflowPunct/>
        <w:topLinePunct w:val="0"/>
        <w:autoSpaceDE/>
        <w:autoSpaceDN/>
        <w:bidi w:val="0"/>
        <w:adjustRightInd/>
        <w:snapToGrid/>
        <w:spacing w:line="440" w:lineRule="exact"/>
        <w:ind w:left="425"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5383EA28">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其他事项的约定：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3B1516DB">
      <w:pPr>
        <w:keepNext w:val="0"/>
        <w:keepLines w:val="0"/>
        <w:pageBreakBefore w:val="0"/>
        <w:widowControl w:val="0"/>
        <w:kinsoku/>
        <w:wordWrap/>
        <w:overflowPunct/>
        <w:topLinePunct w:val="0"/>
        <w:autoSpaceDE/>
        <w:autoSpaceDN/>
        <w:bidi w:val="0"/>
        <w:adjustRightInd/>
        <w:snapToGrid/>
        <w:spacing w:line="440" w:lineRule="exact"/>
        <w:ind w:left="444" w:right="-729" w:rightChars="-347"/>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20.3.2 争议评审小组的决定</w:t>
      </w:r>
    </w:p>
    <w:p w14:paraId="6974D5AF">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5F058A4D">
      <w:pPr>
        <w:keepNext w:val="0"/>
        <w:keepLines w:val="0"/>
        <w:pageBreakBefore w:val="0"/>
        <w:widowControl w:val="0"/>
        <w:kinsoku/>
        <w:wordWrap/>
        <w:overflowPunct/>
        <w:topLinePunct w:val="0"/>
        <w:autoSpaceDE/>
        <w:autoSpaceDN/>
        <w:bidi w:val="0"/>
        <w:adjustRightInd/>
        <w:snapToGrid/>
        <w:spacing w:line="440" w:lineRule="exact"/>
        <w:ind w:left="423"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20.4</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
          <w:sz w:val="21"/>
          <w:szCs w:val="21"/>
          <w:highlight w:val="none"/>
        </w:rPr>
        <w:t>仲裁或诉讼</w:t>
      </w:r>
    </w:p>
    <w:p w14:paraId="5CADAD8F">
      <w:pPr>
        <w:keepNext w:val="0"/>
        <w:keepLines w:val="0"/>
        <w:pageBreakBefore w:val="0"/>
        <w:widowControl w:val="0"/>
        <w:kinsoku/>
        <w:wordWrap/>
        <w:overflowPunct/>
        <w:topLinePunct w:val="0"/>
        <w:autoSpaceDE/>
        <w:autoSpaceDN/>
        <w:bidi w:val="0"/>
        <w:adjustRightInd/>
        <w:snapToGrid/>
        <w:spacing w:line="440" w:lineRule="exact"/>
        <w:ind w:left="43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b/>
          <w:bCs/>
          <w:color w:val="auto"/>
          <w:spacing w:val="-1"/>
          <w:sz w:val="21"/>
          <w:szCs w:val="21"/>
          <w:highlight w:val="none"/>
          <w:u w:val="single" w:color="auto"/>
          <w:lang w:val="en-US" w:eastAsia="zh-CN"/>
        </w:rPr>
        <w:t>1</w:t>
      </w:r>
      <w:r>
        <w:rPr>
          <w:rFonts w:hint="eastAsia" w:ascii="宋体" w:hAnsi="宋体" w:eastAsia="宋体" w:cs="宋体"/>
          <w:b/>
          <w:bCs/>
          <w:color w:val="auto"/>
          <w:spacing w:val="-1"/>
          <w:sz w:val="21"/>
          <w:szCs w:val="21"/>
          <w:highlight w:val="none"/>
          <w:u w:val="single" w:color="auto"/>
        </w:rPr>
        <w:t>）</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1"/>
          <w:sz w:val="21"/>
          <w:szCs w:val="21"/>
          <w:highlight w:val="none"/>
        </w:rPr>
        <w:t>种方式解决：</w:t>
      </w:r>
    </w:p>
    <w:p w14:paraId="67FD1925">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（1）向</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b/>
          <w:bCs/>
          <w:color w:val="auto"/>
          <w:spacing w:val="-4"/>
          <w:sz w:val="21"/>
          <w:szCs w:val="21"/>
          <w:highlight w:val="none"/>
          <w:u w:val="single" w:color="auto"/>
        </w:rPr>
        <w:t>南通</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4"/>
          <w:sz w:val="21"/>
          <w:szCs w:val="21"/>
          <w:highlight w:val="none"/>
        </w:rPr>
        <w:t>仲裁委员会申请仲裁；</w:t>
      </w:r>
    </w:p>
    <w:p w14:paraId="6820735E">
      <w:pPr>
        <w:keepNext w:val="0"/>
        <w:keepLines w:val="0"/>
        <w:pageBreakBefore w:val="0"/>
        <w:widowControl w:val="0"/>
        <w:kinsoku/>
        <w:wordWrap/>
        <w:overflowPunct/>
        <w:topLinePunct w:val="0"/>
        <w:autoSpaceDE/>
        <w:autoSpaceDN/>
        <w:bidi w:val="0"/>
        <w:adjustRightInd/>
        <w:snapToGrid/>
        <w:spacing w:line="440" w:lineRule="exact"/>
        <w:ind w:left="42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pacing w:val="-83"/>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z w:val="21"/>
          <w:szCs w:val="21"/>
          <w:highlight w:val="none"/>
          <w:u w:val="single" w:color="auto"/>
        </w:rPr>
        <w:t>工程所在地</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z w:val="21"/>
          <w:szCs w:val="21"/>
          <w:highlight w:val="none"/>
        </w:rPr>
        <w:t>人民法院起</w:t>
      </w:r>
      <w:r>
        <w:rPr>
          <w:rFonts w:hint="eastAsia" w:ascii="宋体" w:hAnsi="宋体" w:eastAsia="宋体" w:cs="宋体"/>
          <w:color w:val="auto"/>
          <w:spacing w:val="-1"/>
          <w:sz w:val="21"/>
          <w:szCs w:val="21"/>
          <w:highlight w:val="none"/>
        </w:rPr>
        <w:t>诉。</w:t>
      </w:r>
    </w:p>
    <w:p w14:paraId="3E56F982">
      <w:pPr>
        <w:keepNext w:val="0"/>
        <w:keepLines w:val="0"/>
        <w:pageBreakBefore w:val="0"/>
        <w:widowControl w:val="0"/>
        <w:kinsoku/>
        <w:wordWrap/>
        <w:overflowPunct/>
        <w:topLinePunct w:val="0"/>
        <w:autoSpaceDE/>
        <w:autoSpaceDN/>
        <w:bidi w:val="0"/>
        <w:adjustRightInd/>
        <w:snapToGrid/>
        <w:spacing w:line="440" w:lineRule="exact"/>
        <w:ind w:left="23" w:right="-729" w:rightChars="-347"/>
        <w:textAlignment w:val="auto"/>
        <w:outlineLvl w:val="2"/>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21.</w:t>
      </w:r>
      <w:r>
        <w:rPr>
          <w:rFonts w:hint="eastAsia" w:ascii="宋体" w:hAnsi="宋体" w:cs="宋体"/>
          <w:b/>
          <w:bCs/>
          <w:color w:val="auto"/>
          <w:spacing w:val="-6"/>
          <w:sz w:val="21"/>
          <w:szCs w:val="21"/>
          <w:highlight w:val="none"/>
          <w:lang w:val="en-US" w:eastAsia="zh-CN"/>
        </w:rPr>
        <w:t xml:space="preserve"> </w:t>
      </w:r>
      <w:r>
        <w:rPr>
          <w:rFonts w:hint="eastAsia" w:ascii="宋体" w:hAnsi="宋体" w:eastAsia="宋体" w:cs="宋体"/>
          <w:b/>
          <w:bCs/>
          <w:color w:val="auto"/>
          <w:spacing w:val="-6"/>
          <w:sz w:val="21"/>
          <w:szCs w:val="21"/>
          <w:highlight w:val="none"/>
        </w:rPr>
        <w:t>补充条款</w:t>
      </w:r>
    </w:p>
    <w:p w14:paraId="73F4D0D8">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w:t>
      </w:r>
      <w:r>
        <w:rPr>
          <w:rFonts w:hint="eastAsia" w:ascii="宋体" w:hAnsi="宋体" w:eastAsia="宋体" w:cs="宋体"/>
          <w:b/>
          <w:bCs/>
          <w:color w:val="auto"/>
          <w:sz w:val="21"/>
          <w:szCs w:val="21"/>
          <w:highlight w:val="none"/>
          <w:u w:val="single" w:color="auto"/>
          <w:lang w:eastAsia="zh-CN"/>
        </w:rPr>
        <w:t>）</w:t>
      </w:r>
      <w:r>
        <w:rPr>
          <w:rFonts w:hint="eastAsia" w:ascii="宋体" w:hAnsi="宋体" w:eastAsia="宋体" w:cs="宋体"/>
          <w:b/>
          <w:bCs/>
          <w:color w:val="auto"/>
          <w:sz w:val="21"/>
          <w:szCs w:val="21"/>
          <w:highlight w:val="none"/>
          <w:u w:val="single" w:color="auto"/>
        </w:rPr>
        <w:t>文明施工措施费，结算时按南通市造价管理处核定费率为准。</w:t>
      </w:r>
    </w:p>
    <w:p w14:paraId="68AAF321">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施工过程中涉及排污、环保、市容、城建城管、消防、治安、人口管理、居委会、派出所等相关部门收取的费用及相关手续，对临近居民、行人的影响等，夜间文明施工、保护周边地下管线和架空线的安全的费用等，投标人均应综合考虑在投标报价中，由承包人负责协调处理，竣工结算时一律不作调整。</w:t>
      </w:r>
    </w:p>
    <w:p w14:paraId="6CC8AD47">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08B47772">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4）如承包人发生上述情况而拒交违约金的，发包人有权从工程款中或履约担保金中双倍扣除。</w:t>
      </w:r>
    </w:p>
    <w:p w14:paraId="6D01F0E6">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5）承包人在施工过程中，如有以下情形，招标人可对承包人直接收取2000～20000 元的违约金：</w:t>
      </w:r>
    </w:p>
    <w:p w14:paraId="44923A51">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A、施工期间工程资料不能及时到位的；</w:t>
      </w:r>
    </w:p>
    <w:p w14:paraId="0B0243E1">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B、隐蔽部位不经验收通过就进行下一道工序的；</w:t>
      </w:r>
    </w:p>
    <w:p w14:paraId="614E93EC">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C、不论以何种形式被检查发现偷工减料、以次充好的；</w:t>
      </w:r>
    </w:p>
    <w:p w14:paraId="256C5352">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D、不按施工图及设计规范的要求，擅自施工的；</w:t>
      </w:r>
    </w:p>
    <w:p w14:paraId="05FFBE7D">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E、施工质量不达标的，发现一次收取违约金一次。</w:t>
      </w:r>
    </w:p>
    <w:p w14:paraId="032FBF40">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6）如承包人发生上述情况而拒交违约金的，发包人有权从工程款中或履约担保金中双倍扣除。</w:t>
      </w:r>
    </w:p>
    <w:p w14:paraId="14AAF68D">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7）凡发包人或行业主管部门禁止使用的材料，一律不得进入施工现场，一经发现，视同使用。发包人将视情节严重程度，按每次提交 0.5 万元至 1 万元给发包人，以现金直接支付，同时由此产生的一切后果，由承包人自行承担。</w:t>
      </w:r>
    </w:p>
    <w:p w14:paraId="7BFEE562">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8）承包人已充分考虑并为主做好工程实施范围内外的单位、个人和其他可能出现的阻挠施工的情况，并承担所发生的费用，发包人不再承担此类费用（行政性停工除外）。</w:t>
      </w:r>
    </w:p>
    <w:p w14:paraId="1DDFB382">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9）与其他承包商间的协调、配合、通信关系，由承包人自行解决，确保各分项工程满足设计图纸、验收规范等要求，发生的费用由承包人自行承担，并相互做好成品保护工作，并无条件接受总承包人的总包管理，发包人不再另行支付任何涉及工序交叉影响的费用。</w:t>
      </w:r>
    </w:p>
    <w:p w14:paraId="625B7C74">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10）参考招标控制价编制依据（人工费由投标人结合实际情况自行考虑），承包人不得以招标控制价中可能存在的不合理或错误作为借口而要求签证或索赔。若结算时发现承包人有明显的不平衡报价（如：子目中个别材料、人工、机械费低于市场询价的 80%），发包人可自行按有利发包人利益的调整，无须承包人确认。</w:t>
      </w:r>
    </w:p>
    <w:p w14:paraId="4E2EA03A">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11）本工程竣工结算由发包人委托第三方审计机构审计确认，审计结束后发包人根据最终</w:t>
      </w:r>
      <w:r>
        <w:rPr>
          <w:rFonts w:hint="eastAsia" w:ascii="宋体" w:hAnsi="宋体" w:eastAsia="宋体" w:cs="宋体"/>
          <w:b/>
          <w:bCs/>
          <w:color w:val="auto"/>
          <w:sz w:val="21"/>
          <w:szCs w:val="21"/>
          <w:highlight w:val="none"/>
          <w:u w:val="single" w:color="auto"/>
          <w:lang w:val="en-US" w:eastAsia="zh-CN"/>
        </w:rPr>
        <w:t>审计</w:t>
      </w:r>
      <w:r>
        <w:rPr>
          <w:rFonts w:hint="eastAsia" w:ascii="宋体" w:hAnsi="宋体" w:eastAsia="宋体" w:cs="宋体"/>
          <w:b/>
          <w:bCs/>
          <w:color w:val="auto"/>
          <w:sz w:val="21"/>
          <w:szCs w:val="21"/>
          <w:highlight w:val="none"/>
          <w:u w:val="single" w:color="auto"/>
        </w:rPr>
        <w:t>结果作为工程竣工结算依据。承包人应如实报送工程竣工结算，如经第三方审计机构审计后，核减额小于 5%（含 5%），审计费由发包人支付；核减额大于 5%、小于10%（含 10%），超出 5%的审计费由承包人承担；核减额大于 10%，审计费全部由承包人承担。审计费按核减额的 6%计取、发包方无需另行提供票据证实，直接在应付款中扣除。</w:t>
      </w:r>
    </w:p>
    <w:p w14:paraId="5605E1C8">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12）施工时必须无条件服从发包人的安排，不得影响主体工程的施工。</w:t>
      </w:r>
    </w:p>
    <w:p w14:paraId="155BB1B5">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13）承包人不得拒绝完成发包人在施工地点范围内变更或要求增加的工程内容，如拒绝，发包人有权拒绝其文明施工措施费考评申请。</w:t>
      </w:r>
    </w:p>
    <w:p w14:paraId="115FA817">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14）本工程严禁使用不合格或不符合设计要求的材料，一经发现，限期退场，不按要求退场的，造成的损失由承包人负责。如购进的材料设备与提供的样品不一致时，由承包人无条件退货，造成的损失由承包人负责。</w:t>
      </w:r>
    </w:p>
    <w:p w14:paraId="72545B6B">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15）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0047A81A">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16）若承包人在投标报价时擅自改变招标文件及清单内容，评审时未被发现，实际施工时均按招标文件及清单内容执行，结算时不予调整。</w:t>
      </w:r>
    </w:p>
    <w:p w14:paraId="4BD5CCC2">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17）本工程与总包单位所有的管道接口均包含在合同价中，结算时不予任何调整。</w:t>
      </w:r>
    </w:p>
    <w:p w14:paraId="5B185625">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18）本工程所有乙供材料均由承包人在确保质量的前提下自行采购，材料价格按照中档及以上的质量自行市场询价进入报价，结算价格不予调整。所有乙供材料均须得到发包人和供电公司确认后方可进场。</w:t>
      </w:r>
    </w:p>
    <w:p w14:paraId="31BA6FF7">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19）按相关管理部门的质量、安全要求施工，同时做好协调工作。</w:t>
      </w:r>
    </w:p>
    <w:p w14:paraId="45B001D9">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20）在工程实施过程中，承包人必须收集齐全所有隐蔽项目的影像视频资料，在送审结算资料中必须一并提交。所有签证资料必须附有详细影像彩色照片，所摄照片必须有可参照性。如影像资料未能反映清单、签证等列明的工作内容则结算时该项内容不予认可。</w:t>
      </w:r>
    </w:p>
    <w:p w14:paraId="5D78953B">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21）承包人应按规定执行《南通市建筑工程管理处文件》通建管〔2018〕3 号文、《南通市区工程建设领域农民工实名制管理实施细则》，由此产生的费用包含在合同价中。</w:t>
      </w:r>
    </w:p>
    <w:p w14:paraId="0DC253E3">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22）合同价中包含对原有建筑工程结构及饰面造成破损及损坏部分进行修复，使其恢复原样等所包含的各项费用，竣工结算时一律不再另行支付其费用。</w:t>
      </w:r>
    </w:p>
    <w:p w14:paraId="426376FF">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23）承包人在施工过程中运出的淤泥等渣土必须运出崇川区范围以外，否则，除须接受崇川区相关部门的处罚外，发现一次发包人将向承包人收取 1 万元/次的违约金同时费用已包含在合同价中，结算时不调整。</w:t>
      </w:r>
    </w:p>
    <w:p w14:paraId="186EF40F">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24）如因承包人未能及时支付供应商货款、分包商、实际施工人工程（劳务）款，导致发包人被起诉（或仲裁）的，无论发包人是单独被告还是共同被告，发包人委托律师所发生的代理费作为发包人的损失，由承包人承担，发包人应付承包人的工程价款（或应退工程质保金）相应减少。律师费用标准按照苏价费〔2017〕113 号文确定，今后如有新的指导文件，按照新的文件执行。</w:t>
      </w:r>
    </w:p>
    <w:p w14:paraId="7633DC8C">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25）承包人在施工期间应根据南通市人民政府办公室文件通政办发〔2019〕58 号文《关于开展南通市区施工扬尘专治整理的实施意见》中的相关要求， 强化施工扬尘治理责任，严格根据工地扬尘防治标准执行。在工程施工过程中， 如因承包人的原因受到报纸、电视等媒体的曝光或被政府有关主管部门通报批评，给本工程的社会形象带来负面影响，视情节严重每次由承包人向发包人支付 2 万元-10 万元的违约金，从承包人工程进度款中扣除。</w:t>
      </w:r>
    </w:p>
    <w:p w14:paraId="01AE6C16">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26）承包人中标后需由总包单位代为缴纳的相关费用以及根据国家、省、市、工程所在地政府及相关部门的规定缴纳有关费用包含在合同价中，发包人不另行给付，费用缴纳的标准承包人自行咨询。</w:t>
      </w:r>
    </w:p>
    <w:p w14:paraId="4A477EFD">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27）本工程承包人的所有材料必须由发包人审批确认后方能执行并采用，若无发包人审批程序的所有材料均视为无效材料，结算时不予承认。</w:t>
      </w:r>
    </w:p>
    <w:p w14:paraId="65B1D72A">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28）本工程承包人的非道路移动机械需满足环保要求，具体环保要求可参照《柴油货车污染治理攻坚战行动计划》（环大气〔2018〕179 号）和《关于印发江苏省柴油货车污染治理攻坚战实施方案的通知》（苏污防攻坚指办〔2019〕40 号）的有关规定执行。</w:t>
      </w:r>
    </w:p>
    <w:p w14:paraId="5404E3D5">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eastAsia="宋体" w:cs="宋体"/>
          <w:b/>
          <w:bCs/>
          <w:color w:val="auto"/>
          <w:sz w:val="21"/>
          <w:szCs w:val="21"/>
          <w:highlight w:val="none"/>
          <w:u w:val="single" w:color="auto"/>
        </w:rPr>
        <w:t>29）在工程施工过程中以及工程保修期内，由于承包人责任出现质量问题、安全事故、疫情防控不力造成后果或者因其他原因，受到报纸、电视等媒体的曝光或被政府有关主管部门的通报批评，均会给本工程的社会形象造成损失，每发生一次承包人须向发包人支付不低于 1 万元的违约金，并承担由此给发包人造成直接或间接的损失，违约金及损失从承包人工程进度款中扣除。</w:t>
      </w:r>
    </w:p>
    <w:p w14:paraId="7AE5D4E0">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default" w:ascii="宋体" w:hAnsi="宋体" w:eastAsia="宋体" w:cs="宋体"/>
          <w:b/>
          <w:bCs/>
          <w:color w:val="auto"/>
          <w:sz w:val="21"/>
          <w:szCs w:val="21"/>
          <w:highlight w:val="none"/>
          <w:u w:val="single" w:color="auto"/>
          <w:lang w:val="en-US" w:eastAsia="zh-CN"/>
        </w:rPr>
      </w:pPr>
      <w:r>
        <w:rPr>
          <w:rFonts w:hint="eastAsia" w:ascii="宋体" w:hAnsi="宋体" w:eastAsia="宋体" w:cs="宋体"/>
          <w:b/>
          <w:bCs/>
          <w:color w:val="auto"/>
          <w:sz w:val="21"/>
          <w:szCs w:val="21"/>
          <w:highlight w:val="none"/>
          <w:u w:val="single" w:color="auto"/>
        </w:rPr>
        <w:t>30）</w:t>
      </w:r>
      <w:r>
        <w:rPr>
          <w:rFonts w:hint="eastAsia" w:ascii="宋体" w:hAnsi="宋体" w:cs="宋体"/>
          <w:b/>
          <w:bCs/>
          <w:color w:val="auto"/>
          <w:sz w:val="21"/>
          <w:szCs w:val="21"/>
          <w:highlight w:val="none"/>
          <w:u w:val="single" w:color="auto"/>
          <w:lang w:val="en-US" w:eastAsia="zh-CN"/>
        </w:rPr>
        <w:t>深化设计须经发包人认可。</w:t>
      </w:r>
    </w:p>
    <w:p w14:paraId="584DDEC2">
      <w:pPr>
        <w:keepNext w:val="0"/>
        <w:keepLines w:val="0"/>
        <w:pageBreakBefore w:val="0"/>
        <w:widowControl w:val="0"/>
        <w:kinsoku/>
        <w:wordWrap/>
        <w:overflowPunct/>
        <w:topLinePunct w:val="0"/>
        <w:autoSpaceDE/>
        <w:autoSpaceDN/>
        <w:bidi w:val="0"/>
        <w:adjustRightInd/>
        <w:snapToGrid/>
        <w:spacing w:line="440" w:lineRule="exact"/>
        <w:ind w:right="-729" w:rightChars="-347" w:firstLine="590"/>
        <w:textAlignment w:val="auto"/>
        <w:rPr>
          <w:rFonts w:hint="eastAsia" w:ascii="宋体" w:hAnsi="宋体" w:eastAsia="宋体" w:cs="宋体"/>
          <w:b/>
          <w:bCs/>
          <w:color w:val="auto"/>
          <w:sz w:val="21"/>
          <w:szCs w:val="21"/>
          <w:highlight w:val="none"/>
          <w:u w:val="single" w:color="auto"/>
        </w:rPr>
      </w:pPr>
      <w:r>
        <w:rPr>
          <w:rFonts w:hint="eastAsia" w:ascii="宋体" w:hAnsi="宋体" w:cs="宋体"/>
          <w:b/>
          <w:bCs/>
          <w:color w:val="auto"/>
          <w:sz w:val="21"/>
          <w:szCs w:val="21"/>
          <w:highlight w:val="none"/>
          <w:u w:val="single" w:color="auto"/>
          <w:lang w:val="en-US" w:eastAsia="zh-CN"/>
        </w:rPr>
        <w:t>31）</w:t>
      </w:r>
      <w:r>
        <w:rPr>
          <w:rFonts w:hint="eastAsia" w:ascii="宋体" w:hAnsi="宋体" w:eastAsia="宋体" w:cs="宋体"/>
          <w:b/>
          <w:bCs/>
          <w:color w:val="auto"/>
          <w:sz w:val="21"/>
          <w:szCs w:val="21"/>
          <w:highlight w:val="none"/>
          <w:u w:val="single" w:color="auto"/>
        </w:rPr>
        <w:t>招标文件约定的内容均作为本合同的附件。</w:t>
      </w:r>
    </w:p>
    <w:p w14:paraId="43FFF029">
      <w:pPr>
        <w:pStyle w:val="8"/>
        <w:keepNext w:val="0"/>
        <w:keepLines w:val="0"/>
        <w:pageBreakBefore w:val="0"/>
        <w:widowControl w:val="0"/>
        <w:kinsoku/>
        <w:wordWrap/>
        <w:overflowPunct/>
        <w:topLinePunct w:val="0"/>
        <w:autoSpaceDE/>
        <w:autoSpaceDN/>
        <w:bidi w:val="0"/>
        <w:adjustRightInd/>
        <w:snapToGrid/>
        <w:spacing w:after="0" w:line="440" w:lineRule="exact"/>
        <w:ind w:right="-729" w:rightChars="-347"/>
        <w:textAlignment w:val="auto"/>
        <w:rPr>
          <w:rFonts w:hint="eastAsia" w:ascii="宋体" w:hAnsi="宋体" w:eastAsia="宋体" w:cs="宋体"/>
          <w:color w:val="auto"/>
          <w:highlight w:val="none"/>
        </w:rPr>
      </w:pPr>
    </w:p>
    <w:p w14:paraId="5636ACB7">
      <w:pPr>
        <w:pStyle w:val="8"/>
        <w:keepNext w:val="0"/>
        <w:keepLines w:val="0"/>
        <w:pageBreakBefore w:val="0"/>
        <w:widowControl w:val="0"/>
        <w:kinsoku/>
        <w:wordWrap/>
        <w:overflowPunct/>
        <w:topLinePunct w:val="0"/>
        <w:autoSpaceDE/>
        <w:autoSpaceDN/>
        <w:bidi w:val="0"/>
        <w:adjustRightInd/>
        <w:snapToGrid/>
        <w:spacing w:after="0" w:line="440" w:lineRule="exact"/>
        <w:ind w:right="-729" w:rightChars="-347"/>
        <w:textAlignment w:val="auto"/>
        <w:rPr>
          <w:rFonts w:hint="eastAsia" w:ascii="宋体" w:hAnsi="宋体" w:eastAsia="宋体" w:cs="宋体"/>
          <w:color w:val="auto"/>
          <w:highlight w:val="none"/>
        </w:rPr>
      </w:pPr>
    </w:p>
    <w:p w14:paraId="4AB353CE">
      <w:pP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br w:type="page"/>
      </w:r>
    </w:p>
    <w:p w14:paraId="3C5F871D">
      <w:pPr>
        <w:keepNext w:val="0"/>
        <w:keepLines w:val="0"/>
        <w:pageBreakBefore w:val="0"/>
        <w:widowControl w:val="0"/>
        <w:kinsoku/>
        <w:wordWrap/>
        <w:overflowPunct/>
        <w:topLinePunct w:val="0"/>
        <w:autoSpaceDE/>
        <w:autoSpaceDN/>
        <w:bidi w:val="0"/>
        <w:adjustRightInd/>
        <w:snapToGrid/>
        <w:spacing w:line="440" w:lineRule="exact"/>
        <w:ind w:left="39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协议书附件：</w:t>
      </w:r>
    </w:p>
    <w:p w14:paraId="7D1350FD">
      <w:pPr>
        <w:keepNext w:val="0"/>
        <w:keepLines w:val="0"/>
        <w:pageBreakBefore w:val="0"/>
        <w:widowControl w:val="0"/>
        <w:kinsoku/>
        <w:wordWrap/>
        <w:overflowPunct/>
        <w:topLinePunct w:val="0"/>
        <w:autoSpaceDE/>
        <w:autoSpaceDN/>
        <w:bidi w:val="0"/>
        <w:adjustRightInd/>
        <w:snapToGrid/>
        <w:spacing w:line="440" w:lineRule="exact"/>
        <w:ind w:left="43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附件</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3"/>
          <w:sz w:val="21"/>
          <w:szCs w:val="21"/>
          <w:highlight w:val="none"/>
        </w:rPr>
        <w:t>1：承包人承揽工程项目一览表</w:t>
      </w:r>
    </w:p>
    <w:p w14:paraId="5691AEF2">
      <w:pPr>
        <w:keepNext w:val="0"/>
        <w:keepLines w:val="0"/>
        <w:pageBreakBefore w:val="0"/>
        <w:widowControl w:val="0"/>
        <w:kinsoku/>
        <w:wordWrap/>
        <w:overflowPunct/>
        <w:topLinePunct w:val="0"/>
        <w:autoSpaceDE/>
        <w:autoSpaceDN/>
        <w:bidi w:val="0"/>
        <w:adjustRightInd/>
        <w:snapToGrid/>
        <w:spacing w:line="440" w:lineRule="exact"/>
        <w:ind w:left="422"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专用合同条款附件：</w:t>
      </w:r>
    </w:p>
    <w:p w14:paraId="3AF2AC76">
      <w:pPr>
        <w:keepNext w:val="0"/>
        <w:keepLines w:val="0"/>
        <w:pageBreakBefore w:val="0"/>
        <w:widowControl w:val="0"/>
        <w:kinsoku/>
        <w:wordWrap/>
        <w:overflowPunct/>
        <w:topLinePunct w:val="0"/>
        <w:autoSpaceDE/>
        <w:autoSpaceDN/>
        <w:bidi w:val="0"/>
        <w:adjustRightInd/>
        <w:snapToGrid/>
        <w:spacing w:line="440" w:lineRule="exact"/>
        <w:ind w:left="43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附件</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2"/>
          <w:sz w:val="21"/>
          <w:szCs w:val="21"/>
          <w:highlight w:val="none"/>
        </w:rPr>
        <w:t>2：发包人供应材料设备一览表（本合同不适用）</w:t>
      </w:r>
    </w:p>
    <w:p w14:paraId="704DA25C">
      <w:pPr>
        <w:keepNext w:val="0"/>
        <w:keepLines w:val="0"/>
        <w:pageBreakBefore w:val="0"/>
        <w:widowControl w:val="0"/>
        <w:kinsoku/>
        <w:wordWrap/>
        <w:overflowPunct/>
        <w:topLinePunct w:val="0"/>
        <w:autoSpaceDE/>
        <w:autoSpaceDN/>
        <w:bidi w:val="0"/>
        <w:adjustRightInd/>
        <w:snapToGrid/>
        <w:spacing w:line="440" w:lineRule="exact"/>
        <w:ind w:left="43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附件</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5"/>
          <w:sz w:val="21"/>
          <w:szCs w:val="21"/>
          <w:highlight w:val="none"/>
        </w:rPr>
        <w:t>3：工程质量保修书</w:t>
      </w:r>
    </w:p>
    <w:p w14:paraId="22B86832">
      <w:pPr>
        <w:keepNext w:val="0"/>
        <w:keepLines w:val="0"/>
        <w:pageBreakBefore w:val="0"/>
        <w:widowControl w:val="0"/>
        <w:kinsoku/>
        <w:wordWrap/>
        <w:overflowPunct/>
        <w:topLinePunct w:val="0"/>
        <w:autoSpaceDE/>
        <w:autoSpaceDN/>
        <w:bidi w:val="0"/>
        <w:adjustRightInd/>
        <w:snapToGrid/>
        <w:spacing w:line="440" w:lineRule="exact"/>
        <w:ind w:left="43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附件</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2"/>
          <w:sz w:val="21"/>
          <w:szCs w:val="21"/>
          <w:highlight w:val="none"/>
        </w:rPr>
        <w:t>4：承包人用于本工程施工的机械设备表</w:t>
      </w:r>
    </w:p>
    <w:p w14:paraId="74FA23B2">
      <w:pPr>
        <w:keepNext w:val="0"/>
        <w:keepLines w:val="0"/>
        <w:pageBreakBefore w:val="0"/>
        <w:widowControl w:val="0"/>
        <w:kinsoku/>
        <w:wordWrap/>
        <w:overflowPunct/>
        <w:topLinePunct w:val="0"/>
        <w:autoSpaceDE/>
        <w:autoSpaceDN/>
        <w:bidi w:val="0"/>
        <w:adjustRightInd/>
        <w:snapToGrid/>
        <w:spacing w:line="440" w:lineRule="exact"/>
        <w:ind w:left="43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附件</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3"/>
          <w:sz w:val="21"/>
          <w:szCs w:val="21"/>
          <w:highlight w:val="none"/>
        </w:rPr>
        <w:t>5：承包人主要施工管理人员表</w:t>
      </w:r>
    </w:p>
    <w:p w14:paraId="69BCD222">
      <w:pPr>
        <w:keepNext w:val="0"/>
        <w:keepLines w:val="0"/>
        <w:pageBreakBefore w:val="0"/>
        <w:widowControl w:val="0"/>
        <w:kinsoku/>
        <w:wordWrap/>
        <w:overflowPunct/>
        <w:topLinePunct w:val="0"/>
        <w:autoSpaceDE/>
        <w:autoSpaceDN/>
        <w:bidi w:val="0"/>
        <w:adjustRightInd/>
        <w:snapToGrid/>
        <w:spacing w:line="440" w:lineRule="exact"/>
        <w:ind w:left="437" w:right="-729" w:rightChars="-34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附件</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4"/>
          <w:sz w:val="21"/>
          <w:szCs w:val="21"/>
          <w:highlight w:val="none"/>
        </w:rPr>
        <w:t>6：工程建设廉政承诺书</w:t>
      </w:r>
    </w:p>
    <w:p w14:paraId="7F2DA9AF">
      <w:pPr>
        <w:keepNext w:val="0"/>
        <w:keepLines w:val="0"/>
        <w:pageBreakBefore w:val="0"/>
        <w:widowControl w:val="0"/>
        <w:kinsoku/>
        <w:wordWrap/>
        <w:overflowPunct/>
        <w:topLinePunct w:val="0"/>
        <w:autoSpaceDE/>
        <w:autoSpaceDN/>
        <w:bidi w:val="0"/>
        <w:adjustRightInd/>
        <w:snapToGrid/>
        <w:spacing w:line="440" w:lineRule="exact"/>
        <w:ind w:right="-729" w:rightChars="-347"/>
        <w:textAlignment w:val="auto"/>
        <w:rPr>
          <w:rFonts w:hint="eastAsia" w:ascii="宋体" w:hAnsi="宋体" w:eastAsia="宋体" w:cs="宋体"/>
          <w:color w:val="auto"/>
          <w:sz w:val="21"/>
          <w:szCs w:val="21"/>
          <w:highlight w:val="none"/>
        </w:rPr>
        <w:sectPr>
          <w:footerReference r:id="rId6" w:type="default"/>
          <w:pgSz w:w="11910" w:h="16845"/>
          <w:pgMar w:top="1440" w:right="1800" w:bottom="1440" w:left="1800" w:header="0" w:footer="810" w:gutter="0"/>
          <w:pgNumType w:fmt="decimal"/>
          <w:cols w:space="720" w:num="1"/>
        </w:sectPr>
      </w:pPr>
    </w:p>
    <w:p w14:paraId="3BD0A80C">
      <w:pPr>
        <w:spacing w:before="78" w:line="219" w:lineRule="auto"/>
        <w:ind w:left="148"/>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附件</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4"/>
          <w:sz w:val="24"/>
          <w:szCs w:val="24"/>
          <w:highlight w:val="none"/>
        </w:rPr>
        <w:t>1：</w:t>
      </w:r>
    </w:p>
    <w:p w14:paraId="441C2951">
      <w:pPr>
        <w:spacing w:before="126" w:line="221" w:lineRule="auto"/>
        <w:ind w:left="2729"/>
        <w:rPr>
          <w:rFonts w:hint="eastAsia" w:ascii="宋体" w:hAnsi="宋体" w:eastAsia="宋体" w:cs="宋体"/>
          <w:color w:val="auto"/>
          <w:sz w:val="28"/>
          <w:szCs w:val="28"/>
          <w:highlight w:val="none"/>
        </w:rPr>
      </w:pPr>
      <w:r>
        <w:rPr>
          <w:rFonts w:hint="eastAsia" w:ascii="宋体" w:hAnsi="宋体" w:eastAsia="宋体" w:cs="宋体"/>
          <w:b/>
          <w:bCs/>
          <w:color w:val="auto"/>
          <w:spacing w:val="15"/>
          <w:sz w:val="28"/>
          <w:szCs w:val="28"/>
          <w:highlight w:val="none"/>
        </w:rPr>
        <w:t>承包人承揽工程项目一览表</w:t>
      </w:r>
    </w:p>
    <w:tbl>
      <w:tblPr>
        <w:tblStyle w:val="50"/>
        <w:tblW w:w="907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7"/>
        <w:gridCol w:w="855"/>
        <w:gridCol w:w="1004"/>
        <w:gridCol w:w="675"/>
        <w:gridCol w:w="855"/>
        <w:gridCol w:w="990"/>
        <w:gridCol w:w="989"/>
        <w:gridCol w:w="899"/>
        <w:gridCol w:w="855"/>
        <w:gridCol w:w="862"/>
      </w:tblGrid>
      <w:tr w14:paraId="44EDB5F8">
        <w:tblPrEx>
          <w:tblLayout w:type="fixed"/>
        </w:tblPrEx>
        <w:trPr>
          <w:trHeight w:val="922" w:hRule="atLeast"/>
        </w:trPr>
        <w:tc>
          <w:tcPr>
            <w:tcW w:w="1087" w:type="dxa"/>
            <w:vAlign w:val="top"/>
          </w:tcPr>
          <w:p w14:paraId="0AF8CF55">
            <w:pPr>
              <w:pStyle w:val="52"/>
              <w:spacing w:before="195" w:line="315" w:lineRule="auto"/>
              <w:ind w:left="340" w:right="110" w:hanging="21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单位工程名称</w:t>
            </w:r>
          </w:p>
        </w:tc>
        <w:tc>
          <w:tcPr>
            <w:tcW w:w="855" w:type="dxa"/>
            <w:vAlign w:val="top"/>
          </w:tcPr>
          <w:p w14:paraId="0D6A120B">
            <w:pPr>
              <w:pStyle w:val="52"/>
              <w:spacing w:before="194" w:line="221" w:lineRule="auto"/>
              <w:ind w:left="23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建设</w:t>
            </w:r>
          </w:p>
          <w:p w14:paraId="4EFB3B10">
            <w:pPr>
              <w:pStyle w:val="52"/>
              <w:spacing w:before="198" w:line="220" w:lineRule="auto"/>
              <w:ind w:left="22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规模</w:t>
            </w:r>
          </w:p>
        </w:tc>
        <w:tc>
          <w:tcPr>
            <w:tcW w:w="1004" w:type="dxa"/>
            <w:vAlign w:val="top"/>
          </w:tcPr>
          <w:p w14:paraId="47D452E6">
            <w:pPr>
              <w:pStyle w:val="52"/>
              <w:spacing w:before="195" w:line="315" w:lineRule="auto"/>
              <w:ind w:left="108" w:right="60" w:firstLine="7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建筑面</w:t>
            </w:r>
            <w:r>
              <w:rPr>
                <w:rFonts w:hint="eastAsia" w:ascii="宋体" w:hAnsi="宋体" w:eastAsia="宋体" w:cs="宋体"/>
                <w:color w:val="auto"/>
                <w:spacing w:val="-6"/>
                <w:sz w:val="21"/>
                <w:szCs w:val="21"/>
                <w:highlight w:val="none"/>
              </w:rPr>
              <w:t>积（㎡）</w:t>
            </w:r>
          </w:p>
        </w:tc>
        <w:tc>
          <w:tcPr>
            <w:tcW w:w="675" w:type="dxa"/>
            <w:vAlign w:val="top"/>
          </w:tcPr>
          <w:p w14:paraId="5B852D70">
            <w:pPr>
              <w:pStyle w:val="52"/>
              <w:spacing w:before="195" w:line="220"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结构</w:t>
            </w:r>
          </w:p>
          <w:p w14:paraId="4D3A3E76">
            <w:pPr>
              <w:pStyle w:val="52"/>
              <w:spacing w:before="200" w:line="221"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形式</w:t>
            </w:r>
          </w:p>
        </w:tc>
        <w:tc>
          <w:tcPr>
            <w:tcW w:w="855" w:type="dxa"/>
            <w:vAlign w:val="top"/>
          </w:tcPr>
          <w:p w14:paraId="79F12EF8">
            <w:pPr>
              <w:spacing w:line="349" w:lineRule="auto"/>
              <w:rPr>
                <w:rFonts w:hint="eastAsia" w:ascii="宋体" w:hAnsi="宋体" w:eastAsia="宋体" w:cs="宋体"/>
                <w:color w:val="auto"/>
                <w:sz w:val="21"/>
                <w:highlight w:val="none"/>
              </w:rPr>
            </w:pPr>
          </w:p>
          <w:p w14:paraId="557B54CA">
            <w:pPr>
              <w:pStyle w:val="52"/>
              <w:spacing w:before="68" w:line="220" w:lineRule="auto"/>
              <w:ind w:left="2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层数</w:t>
            </w:r>
          </w:p>
        </w:tc>
        <w:tc>
          <w:tcPr>
            <w:tcW w:w="990" w:type="dxa"/>
            <w:vAlign w:val="top"/>
          </w:tcPr>
          <w:p w14:paraId="55F6C794">
            <w:pPr>
              <w:pStyle w:val="52"/>
              <w:spacing w:before="195" w:line="315" w:lineRule="auto"/>
              <w:ind w:left="386" w:right="179" w:hanging="2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生产能</w:t>
            </w:r>
            <w:r>
              <w:rPr>
                <w:rFonts w:hint="eastAsia" w:ascii="宋体" w:hAnsi="宋体" w:eastAsia="宋体" w:cs="宋体"/>
                <w:color w:val="auto"/>
                <w:sz w:val="21"/>
                <w:szCs w:val="21"/>
                <w:highlight w:val="none"/>
              </w:rPr>
              <w:t>力</w:t>
            </w:r>
          </w:p>
        </w:tc>
        <w:tc>
          <w:tcPr>
            <w:tcW w:w="989" w:type="dxa"/>
            <w:vAlign w:val="top"/>
          </w:tcPr>
          <w:p w14:paraId="72D5A51F">
            <w:pPr>
              <w:pStyle w:val="52"/>
              <w:spacing w:before="194"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设备安</w:t>
            </w:r>
          </w:p>
          <w:p w14:paraId="0AC38BFA">
            <w:pPr>
              <w:pStyle w:val="52"/>
              <w:spacing w:before="198" w:line="220" w:lineRule="auto"/>
              <w:ind w:left="1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装内容</w:t>
            </w:r>
          </w:p>
        </w:tc>
        <w:tc>
          <w:tcPr>
            <w:tcW w:w="899" w:type="dxa"/>
            <w:vAlign w:val="top"/>
          </w:tcPr>
          <w:p w14:paraId="77157B39">
            <w:pPr>
              <w:pStyle w:val="52"/>
              <w:spacing w:before="195" w:line="218" w:lineRule="auto"/>
              <w:ind w:left="14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合同价</w:t>
            </w:r>
          </w:p>
          <w:p w14:paraId="515C8F00">
            <w:pPr>
              <w:pStyle w:val="52"/>
              <w:spacing w:before="202" w:line="220" w:lineRule="auto"/>
              <w:ind w:left="15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（元）</w:t>
            </w:r>
          </w:p>
        </w:tc>
        <w:tc>
          <w:tcPr>
            <w:tcW w:w="855" w:type="dxa"/>
            <w:vAlign w:val="top"/>
          </w:tcPr>
          <w:p w14:paraId="4292C8D5">
            <w:pPr>
              <w:pStyle w:val="52"/>
              <w:spacing w:before="194" w:line="221" w:lineRule="auto"/>
              <w:ind w:left="23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开工</w:t>
            </w:r>
          </w:p>
          <w:p w14:paraId="7B355BC7">
            <w:pPr>
              <w:pStyle w:val="52"/>
              <w:spacing w:before="199" w:line="220" w:lineRule="auto"/>
              <w:ind w:left="27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日期</w:t>
            </w:r>
          </w:p>
        </w:tc>
        <w:tc>
          <w:tcPr>
            <w:tcW w:w="862" w:type="dxa"/>
            <w:vAlign w:val="top"/>
          </w:tcPr>
          <w:p w14:paraId="62DE1C2C">
            <w:pPr>
              <w:pStyle w:val="52"/>
              <w:spacing w:before="194" w:line="220" w:lineRule="auto"/>
              <w:ind w:left="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w:t>
            </w:r>
          </w:p>
          <w:p w14:paraId="09F44C4D">
            <w:pPr>
              <w:pStyle w:val="52"/>
              <w:spacing w:before="201" w:line="220" w:lineRule="auto"/>
              <w:ind w:left="26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日期</w:t>
            </w:r>
          </w:p>
        </w:tc>
      </w:tr>
      <w:tr w14:paraId="33B41266">
        <w:tblPrEx>
          <w:tblLayout w:type="fixed"/>
        </w:tblPrEx>
        <w:trPr>
          <w:trHeight w:val="539" w:hRule="atLeast"/>
        </w:trPr>
        <w:tc>
          <w:tcPr>
            <w:tcW w:w="1087" w:type="dxa"/>
            <w:vAlign w:val="top"/>
          </w:tcPr>
          <w:p w14:paraId="5EB8FEC5">
            <w:pPr>
              <w:rPr>
                <w:rFonts w:hint="eastAsia" w:ascii="宋体" w:hAnsi="宋体" w:eastAsia="宋体" w:cs="宋体"/>
                <w:color w:val="auto"/>
                <w:sz w:val="21"/>
                <w:highlight w:val="none"/>
              </w:rPr>
            </w:pPr>
          </w:p>
        </w:tc>
        <w:tc>
          <w:tcPr>
            <w:tcW w:w="855" w:type="dxa"/>
            <w:vAlign w:val="top"/>
          </w:tcPr>
          <w:p w14:paraId="1C6CA48B">
            <w:pPr>
              <w:rPr>
                <w:rFonts w:hint="eastAsia" w:ascii="宋体" w:hAnsi="宋体" w:eastAsia="宋体" w:cs="宋体"/>
                <w:color w:val="auto"/>
                <w:sz w:val="21"/>
                <w:highlight w:val="none"/>
              </w:rPr>
            </w:pPr>
          </w:p>
        </w:tc>
        <w:tc>
          <w:tcPr>
            <w:tcW w:w="1004" w:type="dxa"/>
            <w:vAlign w:val="top"/>
          </w:tcPr>
          <w:p w14:paraId="76F53FE8">
            <w:pPr>
              <w:rPr>
                <w:rFonts w:hint="eastAsia" w:ascii="宋体" w:hAnsi="宋体" w:eastAsia="宋体" w:cs="宋体"/>
                <w:color w:val="auto"/>
                <w:sz w:val="21"/>
                <w:highlight w:val="none"/>
              </w:rPr>
            </w:pPr>
          </w:p>
        </w:tc>
        <w:tc>
          <w:tcPr>
            <w:tcW w:w="675" w:type="dxa"/>
            <w:vAlign w:val="top"/>
          </w:tcPr>
          <w:p w14:paraId="2E9E5987">
            <w:pPr>
              <w:rPr>
                <w:rFonts w:hint="eastAsia" w:ascii="宋体" w:hAnsi="宋体" w:eastAsia="宋体" w:cs="宋体"/>
                <w:color w:val="auto"/>
                <w:sz w:val="21"/>
                <w:highlight w:val="none"/>
              </w:rPr>
            </w:pPr>
          </w:p>
        </w:tc>
        <w:tc>
          <w:tcPr>
            <w:tcW w:w="855" w:type="dxa"/>
            <w:vAlign w:val="top"/>
          </w:tcPr>
          <w:p w14:paraId="7FA39634">
            <w:pPr>
              <w:rPr>
                <w:rFonts w:hint="eastAsia" w:ascii="宋体" w:hAnsi="宋体" w:eastAsia="宋体" w:cs="宋体"/>
                <w:color w:val="auto"/>
                <w:sz w:val="21"/>
                <w:highlight w:val="none"/>
              </w:rPr>
            </w:pPr>
          </w:p>
        </w:tc>
        <w:tc>
          <w:tcPr>
            <w:tcW w:w="990" w:type="dxa"/>
            <w:vAlign w:val="top"/>
          </w:tcPr>
          <w:p w14:paraId="57CB3BE8">
            <w:pPr>
              <w:rPr>
                <w:rFonts w:hint="eastAsia" w:ascii="宋体" w:hAnsi="宋体" w:eastAsia="宋体" w:cs="宋体"/>
                <w:color w:val="auto"/>
                <w:sz w:val="21"/>
                <w:highlight w:val="none"/>
              </w:rPr>
            </w:pPr>
          </w:p>
        </w:tc>
        <w:tc>
          <w:tcPr>
            <w:tcW w:w="989" w:type="dxa"/>
            <w:vAlign w:val="top"/>
          </w:tcPr>
          <w:p w14:paraId="43D154E6">
            <w:pPr>
              <w:rPr>
                <w:rFonts w:hint="eastAsia" w:ascii="宋体" w:hAnsi="宋体" w:eastAsia="宋体" w:cs="宋体"/>
                <w:color w:val="auto"/>
                <w:sz w:val="21"/>
                <w:highlight w:val="none"/>
              </w:rPr>
            </w:pPr>
          </w:p>
        </w:tc>
        <w:tc>
          <w:tcPr>
            <w:tcW w:w="899" w:type="dxa"/>
            <w:vAlign w:val="top"/>
          </w:tcPr>
          <w:p w14:paraId="7179029C">
            <w:pPr>
              <w:rPr>
                <w:rFonts w:hint="eastAsia" w:ascii="宋体" w:hAnsi="宋体" w:eastAsia="宋体" w:cs="宋体"/>
                <w:color w:val="auto"/>
                <w:sz w:val="21"/>
                <w:highlight w:val="none"/>
              </w:rPr>
            </w:pPr>
          </w:p>
        </w:tc>
        <w:tc>
          <w:tcPr>
            <w:tcW w:w="855" w:type="dxa"/>
            <w:vAlign w:val="top"/>
          </w:tcPr>
          <w:p w14:paraId="36A4418C">
            <w:pPr>
              <w:rPr>
                <w:rFonts w:hint="eastAsia" w:ascii="宋体" w:hAnsi="宋体" w:eastAsia="宋体" w:cs="宋体"/>
                <w:color w:val="auto"/>
                <w:sz w:val="21"/>
                <w:highlight w:val="none"/>
              </w:rPr>
            </w:pPr>
          </w:p>
        </w:tc>
        <w:tc>
          <w:tcPr>
            <w:tcW w:w="862" w:type="dxa"/>
            <w:vAlign w:val="top"/>
          </w:tcPr>
          <w:p w14:paraId="6B4157EB">
            <w:pPr>
              <w:rPr>
                <w:rFonts w:hint="eastAsia" w:ascii="宋体" w:hAnsi="宋体" w:eastAsia="宋体" w:cs="宋体"/>
                <w:color w:val="auto"/>
                <w:sz w:val="21"/>
                <w:highlight w:val="none"/>
              </w:rPr>
            </w:pPr>
          </w:p>
        </w:tc>
      </w:tr>
      <w:tr w14:paraId="3401E600">
        <w:tblPrEx>
          <w:tblLayout w:type="fixed"/>
        </w:tblPrEx>
        <w:trPr>
          <w:trHeight w:val="540" w:hRule="atLeast"/>
        </w:trPr>
        <w:tc>
          <w:tcPr>
            <w:tcW w:w="1087" w:type="dxa"/>
            <w:vAlign w:val="top"/>
          </w:tcPr>
          <w:p w14:paraId="55AA66ED">
            <w:pPr>
              <w:rPr>
                <w:rFonts w:hint="eastAsia" w:ascii="宋体" w:hAnsi="宋体" w:eastAsia="宋体" w:cs="宋体"/>
                <w:color w:val="auto"/>
                <w:sz w:val="21"/>
                <w:highlight w:val="none"/>
              </w:rPr>
            </w:pPr>
          </w:p>
        </w:tc>
        <w:tc>
          <w:tcPr>
            <w:tcW w:w="855" w:type="dxa"/>
            <w:vAlign w:val="top"/>
          </w:tcPr>
          <w:p w14:paraId="5F98B020">
            <w:pPr>
              <w:rPr>
                <w:rFonts w:hint="eastAsia" w:ascii="宋体" w:hAnsi="宋体" w:eastAsia="宋体" w:cs="宋体"/>
                <w:color w:val="auto"/>
                <w:sz w:val="21"/>
                <w:highlight w:val="none"/>
              </w:rPr>
            </w:pPr>
          </w:p>
        </w:tc>
        <w:tc>
          <w:tcPr>
            <w:tcW w:w="1004" w:type="dxa"/>
            <w:vAlign w:val="top"/>
          </w:tcPr>
          <w:p w14:paraId="03343013">
            <w:pPr>
              <w:rPr>
                <w:rFonts w:hint="eastAsia" w:ascii="宋体" w:hAnsi="宋体" w:eastAsia="宋体" w:cs="宋体"/>
                <w:color w:val="auto"/>
                <w:sz w:val="21"/>
                <w:highlight w:val="none"/>
              </w:rPr>
            </w:pPr>
          </w:p>
        </w:tc>
        <w:tc>
          <w:tcPr>
            <w:tcW w:w="675" w:type="dxa"/>
            <w:vAlign w:val="top"/>
          </w:tcPr>
          <w:p w14:paraId="74924BFD">
            <w:pPr>
              <w:rPr>
                <w:rFonts w:hint="eastAsia" w:ascii="宋体" w:hAnsi="宋体" w:eastAsia="宋体" w:cs="宋体"/>
                <w:color w:val="auto"/>
                <w:sz w:val="21"/>
                <w:highlight w:val="none"/>
              </w:rPr>
            </w:pPr>
          </w:p>
        </w:tc>
        <w:tc>
          <w:tcPr>
            <w:tcW w:w="855" w:type="dxa"/>
            <w:vAlign w:val="top"/>
          </w:tcPr>
          <w:p w14:paraId="7BE698BD">
            <w:pPr>
              <w:rPr>
                <w:rFonts w:hint="eastAsia" w:ascii="宋体" w:hAnsi="宋体" w:eastAsia="宋体" w:cs="宋体"/>
                <w:color w:val="auto"/>
                <w:sz w:val="21"/>
                <w:highlight w:val="none"/>
              </w:rPr>
            </w:pPr>
          </w:p>
        </w:tc>
        <w:tc>
          <w:tcPr>
            <w:tcW w:w="990" w:type="dxa"/>
            <w:vAlign w:val="top"/>
          </w:tcPr>
          <w:p w14:paraId="512D6EA3">
            <w:pPr>
              <w:rPr>
                <w:rFonts w:hint="eastAsia" w:ascii="宋体" w:hAnsi="宋体" w:eastAsia="宋体" w:cs="宋体"/>
                <w:color w:val="auto"/>
                <w:sz w:val="21"/>
                <w:highlight w:val="none"/>
              </w:rPr>
            </w:pPr>
          </w:p>
        </w:tc>
        <w:tc>
          <w:tcPr>
            <w:tcW w:w="989" w:type="dxa"/>
            <w:vAlign w:val="top"/>
          </w:tcPr>
          <w:p w14:paraId="0C7C9B83">
            <w:pPr>
              <w:rPr>
                <w:rFonts w:hint="eastAsia" w:ascii="宋体" w:hAnsi="宋体" w:eastAsia="宋体" w:cs="宋体"/>
                <w:color w:val="auto"/>
                <w:sz w:val="21"/>
                <w:highlight w:val="none"/>
              </w:rPr>
            </w:pPr>
          </w:p>
        </w:tc>
        <w:tc>
          <w:tcPr>
            <w:tcW w:w="899" w:type="dxa"/>
            <w:vAlign w:val="top"/>
          </w:tcPr>
          <w:p w14:paraId="15548209">
            <w:pPr>
              <w:rPr>
                <w:rFonts w:hint="eastAsia" w:ascii="宋体" w:hAnsi="宋体" w:eastAsia="宋体" w:cs="宋体"/>
                <w:color w:val="auto"/>
                <w:sz w:val="21"/>
                <w:highlight w:val="none"/>
              </w:rPr>
            </w:pPr>
          </w:p>
        </w:tc>
        <w:tc>
          <w:tcPr>
            <w:tcW w:w="855" w:type="dxa"/>
            <w:vAlign w:val="top"/>
          </w:tcPr>
          <w:p w14:paraId="0B6CAC6D">
            <w:pPr>
              <w:rPr>
                <w:rFonts w:hint="eastAsia" w:ascii="宋体" w:hAnsi="宋体" w:eastAsia="宋体" w:cs="宋体"/>
                <w:color w:val="auto"/>
                <w:sz w:val="21"/>
                <w:highlight w:val="none"/>
              </w:rPr>
            </w:pPr>
          </w:p>
        </w:tc>
        <w:tc>
          <w:tcPr>
            <w:tcW w:w="862" w:type="dxa"/>
            <w:vAlign w:val="top"/>
          </w:tcPr>
          <w:p w14:paraId="5482FC1B">
            <w:pPr>
              <w:rPr>
                <w:rFonts w:hint="eastAsia" w:ascii="宋体" w:hAnsi="宋体" w:eastAsia="宋体" w:cs="宋体"/>
                <w:color w:val="auto"/>
                <w:sz w:val="21"/>
                <w:highlight w:val="none"/>
              </w:rPr>
            </w:pPr>
          </w:p>
        </w:tc>
      </w:tr>
      <w:tr w14:paraId="5EAFF8B3">
        <w:tblPrEx>
          <w:tblLayout w:type="fixed"/>
        </w:tblPrEx>
        <w:trPr>
          <w:trHeight w:val="525" w:hRule="atLeast"/>
        </w:trPr>
        <w:tc>
          <w:tcPr>
            <w:tcW w:w="1087" w:type="dxa"/>
            <w:vAlign w:val="top"/>
          </w:tcPr>
          <w:p w14:paraId="3CF0C990">
            <w:pPr>
              <w:rPr>
                <w:rFonts w:hint="eastAsia" w:ascii="宋体" w:hAnsi="宋体" w:eastAsia="宋体" w:cs="宋体"/>
                <w:color w:val="auto"/>
                <w:sz w:val="21"/>
                <w:highlight w:val="none"/>
              </w:rPr>
            </w:pPr>
          </w:p>
        </w:tc>
        <w:tc>
          <w:tcPr>
            <w:tcW w:w="855" w:type="dxa"/>
            <w:vAlign w:val="top"/>
          </w:tcPr>
          <w:p w14:paraId="478E8056">
            <w:pPr>
              <w:rPr>
                <w:rFonts w:hint="eastAsia" w:ascii="宋体" w:hAnsi="宋体" w:eastAsia="宋体" w:cs="宋体"/>
                <w:color w:val="auto"/>
                <w:sz w:val="21"/>
                <w:highlight w:val="none"/>
              </w:rPr>
            </w:pPr>
          </w:p>
        </w:tc>
        <w:tc>
          <w:tcPr>
            <w:tcW w:w="1004" w:type="dxa"/>
            <w:vAlign w:val="top"/>
          </w:tcPr>
          <w:p w14:paraId="328C613D">
            <w:pPr>
              <w:rPr>
                <w:rFonts w:hint="eastAsia" w:ascii="宋体" w:hAnsi="宋体" w:eastAsia="宋体" w:cs="宋体"/>
                <w:color w:val="auto"/>
                <w:sz w:val="21"/>
                <w:highlight w:val="none"/>
              </w:rPr>
            </w:pPr>
          </w:p>
        </w:tc>
        <w:tc>
          <w:tcPr>
            <w:tcW w:w="675" w:type="dxa"/>
            <w:vAlign w:val="top"/>
          </w:tcPr>
          <w:p w14:paraId="25E1402C">
            <w:pPr>
              <w:rPr>
                <w:rFonts w:hint="eastAsia" w:ascii="宋体" w:hAnsi="宋体" w:eastAsia="宋体" w:cs="宋体"/>
                <w:color w:val="auto"/>
                <w:sz w:val="21"/>
                <w:highlight w:val="none"/>
              </w:rPr>
            </w:pPr>
          </w:p>
        </w:tc>
        <w:tc>
          <w:tcPr>
            <w:tcW w:w="855" w:type="dxa"/>
            <w:vAlign w:val="top"/>
          </w:tcPr>
          <w:p w14:paraId="33F05792">
            <w:pPr>
              <w:rPr>
                <w:rFonts w:hint="eastAsia" w:ascii="宋体" w:hAnsi="宋体" w:eastAsia="宋体" w:cs="宋体"/>
                <w:color w:val="auto"/>
                <w:sz w:val="21"/>
                <w:highlight w:val="none"/>
              </w:rPr>
            </w:pPr>
          </w:p>
        </w:tc>
        <w:tc>
          <w:tcPr>
            <w:tcW w:w="990" w:type="dxa"/>
            <w:vAlign w:val="top"/>
          </w:tcPr>
          <w:p w14:paraId="0F3E8BBF">
            <w:pPr>
              <w:rPr>
                <w:rFonts w:hint="eastAsia" w:ascii="宋体" w:hAnsi="宋体" w:eastAsia="宋体" w:cs="宋体"/>
                <w:color w:val="auto"/>
                <w:sz w:val="21"/>
                <w:highlight w:val="none"/>
              </w:rPr>
            </w:pPr>
          </w:p>
        </w:tc>
        <w:tc>
          <w:tcPr>
            <w:tcW w:w="989" w:type="dxa"/>
            <w:vAlign w:val="top"/>
          </w:tcPr>
          <w:p w14:paraId="07C2B4EF">
            <w:pPr>
              <w:rPr>
                <w:rFonts w:hint="eastAsia" w:ascii="宋体" w:hAnsi="宋体" w:eastAsia="宋体" w:cs="宋体"/>
                <w:color w:val="auto"/>
                <w:sz w:val="21"/>
                <w:highlight w:val="none"/>
              </w:rPr>
            </w:pPr>
          </w:p>
        </w:tc>
        <w:tc>
          <w:tcPr>
            <w:tcW w:w="899" w:type="dxa"/>
            <w:vAlign w:val="top"/>
          </w:tcPr>
          <w:p w14:paraId="45FD04F8">
            <w:pPr>
              <w:rPr>
                <w:rFonts w:hint="eastAsia" w:ascii="宋体" w:hAnsi="宋体" w:eastAsia="宋体" w:cs="宋体"/>
                <w:color w:val="auto"/>
                <w:sz w:val="21"/>
                <w:highlight w:val="none"/>
              </w:rPr>
            </w:pPr>
          </w:p>
        </w:tc>
        <w:tc>
          <w:tcPr>
            <w:tcW w:w="855" w:type="dxa"/>
            <w:vAlign w:val="top"/>
          </w:tcPr>
          <w:p w14:paraId="7F9B466D">
            <w:pPr>
              <w:rPr>
                <w:rFonts w:hint="eastAsia" w:ascii="宋体" w:hAnsi="宋体" w:eastAsia="宋体" w:cs="宋体"/>
                <w:color w:val="auto"/>
                <w:sz w:val="21"/>
                <w:highlight w:val="none"/>
              </w:rPr>
            </w:pPr>
          </w:p>
        </w:tc>
        <w:tc>
          <w:tcPr>
            <w:tcW w:w="862" w:type="dxa"/>
            <w:vAlign w:val="top"/>
          </w:tcPr>
          <w:p w14:paraId="74417238">
            <w:pPr>
              <w:rPr>
                <w:rFonts w:hint="eastAsia" w:ascii="宋体" w:hAnsi="宋体" w:eastAsia="宋体" w:cs="宋体"/>
                <w:color w:val="auto"/>
                <w:sz w:val="21"/>
                <w:highlight w:val="none"/>
              </w:rPr>
            </w:pPr>
          </w:p>
        </w:tc>
      </w:tr>
      <w:tr w14:paraId="0CD25C53">
        <w:tblPrEx>
          <w:tblLayout w:type="fixed"/>
        </w:tblPrEx>
        <w:trPr>
          <w:trHeight w:val="540" w:hRule="atLeast"/>
        </w:trPr>
        <w:tc>
          <w:tcPr>
            <w:tcW w:w="1087" w:type="dxa"/>
            <w:vAlign w:val="top"/>
          </w:tcPr>
          <w:p w14:paraId="64052604">
            <w:pPr>
              <w:rPr>
                <w:rFonts w:hint="eastAsia" w:ascii="宋体" w:hAnsi="宋体" w:eastAsia="宋体" w:cs="宋体"/>
                <w:color w:val="auto"/>
                <w:sz w:val="21"/>
                <w:highlight w:val="none"/>
              </w:rPr>
            </w:pPr>
          </w:p>
        </w:tc>
        <w:tc>
          <w:tcPr>
            <w:tcW w:w="855" w:type="dxa"/>
            <w:vAlign w:val="top"/>
          </w:tcPr>
          <w:p w14:paraId="2E352245">
            <w:pPr>
              <w:rPr>
                <w:rFonts w:hint="eastAsia" w:ascii="宋体" w:hAnsi="宋体" w:eastAsia="宋体" w:cs="宋体"/>
                <w:color w:val="auto"/>
                <w:sz w:val="21"/>
                <w:highlight w:val="none"/>
              </w:rPr>
            </w:pPr>
          </w:p>
        </w:tc>
        <w:tc>
          <w:tcPr>
            <w:tcW w:w="1004" w:type="dxa"/>
            <w:vAlign w:val="top"/>
          </w:tcPr>
          <w:p w14:paraId="197C3C6D">
            <w:pPr>
              <w:rPr>
                <w:rFonts w:hint="eastAsia" w:ascii="宋体" w:hAnsi="宋体" w:eastAsia="宋体" w:cs="宋体"/>
                <w:color w:val="auto"/>
                <w:sz w:val="21"/>
                <w:highlight w:val="none"/>
              </w:rPr>
            </w:pPr>
          </w:p>
        </w:tc>
        <w:tc>
          <w:tcPr>
            <w:tcW w:w="675" w:type="dxa"/>
            <w:vAlign w:val="top"/>
          </w:tcPr>
          <w:p w14:paraId="480D6912">
            <w:pPr>
              <w:rPr>
                <w:rFonts w:hint="eastAsia" w:ascii="宋体" w:hAnsi="宋体" w:eastAsia="宋体" w:cs="宋体"/>
                <w:color w:val="auto"/>
                <w:sz w:val="21"/>
                <w:highlight w:val="none"/>
              </w:rPr>
            </w:pPr>
          </w:p>
        </w:tc>
        <w:tc>
          <w:tcPr>
            <w:tcW w:w="855" w:type="dxa"/>
            <w:vAlign w:val="top"/>
          </w:tcPr>
          <w:p w14:paraId="7D4EB490">
            <w:pPr>
              <w:rPr>
                <w:rFonts w:hint="eastAsia" w:ascii="宋体" w:hAnsi="宋体" w:eastAsia="宋体" w:cs="宋体"/>
                <w:color w:val="auto"/>
                <w:sz w:val="21"/>
                <w:highlight w:val="none"/>
              </w:rPr>
            </w:pPr>
          </w:p>
        </w:tc>
        <w:tc>
          <w:tcPr>
            <w:tcW w:w="990" w:type="dxa"/>
            <w:vAlign w:val="top"/>
          </w:tcPr>
          <w:p w14:paraId="7F394DD6">
            <w:pPr>
              <w:rPr>
                <w:rFonts w:hint="eastAsia" w:ascii="宋体" w:hAnsi="宋体" w:eastAsia="宋体" w:cs="宋体"/>
                <w:color w:val="auto"/>
                <w:sz w:val="21"/>
                <w:highlight w:val="none"/>
              </w:rPr>
            </w:pPr>
          </w:p>
        </w:tc>
        <w:tc>
          <w:tcPr>
            <w:tcW w:w="989" w:type="dxa"/>
            <w:vAlign w:val="top"/>
          </w:tcPr>
          <w:p w14:paraId="2C92A211">
            <w:pPr>
              <w:rPr>
                <w:rFonts w:hint="eastAsia" w:ascii="宋体" w:hAnsi="宋体" w:eastAsia="宋体" w:cs="宋体"/>
                <w:color w:val="auto"/>
                <w:sz w:val="21"/>
                <w:highlight w:val="none"/>
              </w:rPr>
            </w:pPr>
          </w:p>
        </w:tc>
        <w:tc>
          <w:tcPr>
            <w:tcW w:w="899" w:type="dxa"/>
            <w:vAlign w:val="top"/>
          </w:tcPr>
          <w:p w14:paraId="329E0B2F">
            <w:pPr>
              <w:rPr>
                <w:rFonts w:hint="eastAsia" w:ascii="宋体" w:hAnsi="宋体" w:eastAsia="宋体" w:cs="宋体"/>
                <w:color w:val="auto"/>
                <w:sz w:val="21"/>
                <w:highlight w:val="none"/>
              </w:rPr>
            </w:pPr>
          </w:p>
        </w:tc>
        <w:tc>
          <w:tcPr>
            <w:tcW w:w="855" w:type="dxa"/>
            <w:vAlign w:val="top"/>
          </w:tcPr>
          <w:p w14:paraId="79B6DEA5">
            <w:pPr>
              <w:rPr>
                <w:rFonts w:hint="eastAsia" w:ascii="宋体" w:hAnsi="宋体" w:eastAsia="宋体" w:cs="宋体"/>
                <w:color w:val="auto"/>
                <w:sz w:val="21"/>
                <w:highlight w:val="none"/>
              </w:rPr>
            </w:pPr>
          </w:p>
        </w:tc>
        <w:tc>
          <w:tcPr>
            <w:tcW w:w="862" w:type="dxa"/>
            <w:vAlign w:val="top"/>
          </w:tcPr>
          <w:p w14:paraId="5DACF891">
            <w:pPr>
              <w:rPr>
                <w:rFonts w:hint="eastAsia" w:ascii="宋体" w:hAnsi="宋体" w:eastAsia="宋体" w:cs="宋体"/>
                <w:color w:val="auto"/>
                <w:sz w:val="21"/>
                <w:highlight w:val="none"/>
              </w:rPr>
            </w:pPr>
          </w:p>
        </w:tc>
      </w:tr>
      <w:tr w14:paraId="307D026B">
        <w:tblPrEx>
          <w:tblLayout w:type="fixed"/>
        </w:tblPrEx>
        <w:trPr>
          <w:trHeight w:val="540" w:hRule="atLeast"/>
        </w:trPr>
        <w:tc>
          <w:tcPr>
            <w:tcW w:w="1087" w:type="dxa"/>
            <w:vAlign w:val="top"/>
          </w:tcPr>
          <w:p w14:paraId="049079D3">
            <w:pPr>
              <w:rPr>
                <w:rFonts w:hint="eastAsia" w:ascii="宋体" w:hAnsi="宋体" w:eastAsia="宋体" w:cs="宋体"/>
                <w:color w:val="auto"/>
                <w:sz w:val="21"/>
                <w:highlight w:val="none"/>
              </w:rPr>
            </w:pPr>
          </w:p>
        </w:tc>
        <w:tc>
          <w:tcPr>
            <w:tcW w:w="855" w:type="dxa"/>
            <w:vAlign w:val="top"/>
          </w:tcPr>
          <w:p w14:paraId="6589128D">
            <w:pPr>
              <w:rPr>
                <w:rFonts w:hint="eastAsia" w:ascii="宋体" w:hAnsi="宋体" w:eastAsia="宋体" w:cs="宋体"/>
                <w:color w:val="auto"/>
                <w:sz w:val="21"/>
                <w:highlight w:val="none"/>
              </w:rPr>
            </w:pPr>
          </w:p>
        </w:tc>
        <w:tc>
          <w:tcPr>
            <w:tcW w:w="1004" w:type="dxa"/>
            <w:vAlign w:val="top"/>
          </w:tcPr>
          <w:p w14:paraId="5DFB60B7">
            <w:pPr>
              <w:rPr>
                <w:rFonts w:hint="eastAsia" w:ascii="宋体" w:hAnsi="宋体" w:eastAsia="宋体" w:cs="宋体"/>
                <w:color w:val="auto"/>
                <w:sz w:val="21"/>
                <w:highlight w:val="none"/>
              </w:rPr>
            </w:pPr>
          </w:p>
        </w:tc>
        <w:tc>
          <w:tcPr>
            <w:tcW w:w="675" w:type="dxa"/>
            <w:vAlign w:val="top"/>
          </w:tcPr>
          <w:p w14:paraId="5DB920D5">
            <w:pPr>
              <w:rPr>
                <w:rFonts w:hint="eastAsia" w:ascii="宋体" w:hAnsi="宋体" w:eastAsia="宋体" w:cs="宋体"/>
                <w:color w:val="auto"/>
                <w:sz w:val="21"/>
                <w:highlight w:val="none"/>
              </w:rPr>
            </w:pPr>
          </w:p>
        </w:tc>
        <w:tc>
          <w:tcPr>
            <w:tcW w:w="855" w:type="dxa"/>
            <w:vAlign w:val="top"/>
          </w:tcPr>
          <w:p w14:paraId="33C87DF5">
            <w:pPr>
              <w:rPr>
                <w:rFonts w:hint="eastAsia" w:ascii="宋体" w:hAnsi="宋体" w:eastAsia="宋体" w:cs="宋体"/>
                <w:color w:val="auto"/>
                <w:sz w:val="21"/>
                <w:highlight w:val="none"/>
              </w:rPr>
            </w:pPr>
          </w:p>
        </w:tc>
        <w:tc>
          <w:tcPr>
            <w:tcW w:w="990" w:type="dxa"/>
            <w:vAlign w:val="top"/>
          </w:tcPr>
          <w:p w14:paraId="227EB0AE">
            <w:pPr>
              <w:rPr>
                <w:rFonts w:hint="eastAsia" w:ascii="宋体" w:hAnsi="宋体" w:eastAsia="宋体" w:cs="宋体"/>
                <w:color w:val="auto"/>
                <w:sz w:val="21"/>
                <w:highlight w:val="none"/>
              </w:rPr>
            </w:pPr>
          </w:p>
        </w:tc>
        <w:tc>
          <w:tcPr>
            <w:tcW w:w="989" w:type="dxa"/>
            <w:vAlign w:val="top"/>
          </w:tcPr>
          <w:p w14:paraId="4F0C9E16">
            <w:pPr>
              <w:rPr>
                <w:rFonts w:hint="eastAsia" w:ascii="宋体" w:hAnsi="宋体" w:eastAsia="宋体" w:cs="宋体"/>
                <w:color w:val="auto"/>
                <w:sz w:val="21"/>
                <w:highlight w:val="none"/>
              </w:rPr>
            </w:pPr>
          </w:p>
        </w:tc>
        <w:tc>
          <w:tcPr>
            <w:tcW w:w="899" w:type="dxa"/>
            <w:vAlign w:val="top"/>
          </w:tcPr>
          <w:p w14:paraId="0BB60236">
            <w:pPr>
              <w:rPr>
                <w:rFonts w:hint="eastAsia" w:ascii="宋体" w:hAnsi="宋体" w:eastAsia="宋体" w:cs="宋体"/>
                <w:color w:val="auto"/>
                <w:sz w:val="21"/>
                <w:highlight w:val="none"/>
              </w:rPr>
            </w:pPr>
          </w:p>
        </w:tc>
        <w:tc>
          <w:tcPr>
            <w:tcW w:w="855" w:type="dxa"/>
            <w:vAlign w:val="top"/>
          </w:tcPr>
          <w:p w14:paraId="6BC3394B">
            <w:pPr>
              <w:rPr>
                <w:rFonts w:hint="eastAsia" w:ascii="宋体" w:hAnsi="宋体" w:eastAsia="宋体" w:cs="宋体"/>
                <w:color w:val="auto"/>
                <w:sz w:val="21"/>
                <w:highlight w:val="none"/>
              </w:rPr>
            </w:pPr>
          </w:p>
        </w:tc>
        <w:tc>
          <w:tcPr>
            <w:tcW w:w="862" w:type="dxa"/>
            <w:vAlign w:val="top"/>
          </w:tcPr>
          <w:p w14:paraId="3395D5FD">
            <w:pPr>
              <w:rPr>
                <w:rFonts w:hint="eastAsia" w:ascii="宋体" w:hAnsi="宋体" w:eastAsia="宋体" w:cs="宋体"/>
                <w:color w:val="auto"/>
                <w:sz w:val="21"/>
                <w:highlight w:val="none"/>
              </w:rPr>
            </w:pPr>
          </w:p>
        </w:tc>
      </w:tr>
      <w:tr w14:paraId="638F87BB">
        <w:tblPrEx>
          <w:tblLayout w:type="fixed"/>
        </w:tblPrEx>
        <w:trPr>
          <w:trHeight w:val="525" w:hRule="atLeast"/>
        </w:trPr>
        <w:tc>
          <w:tcPr>
            <w:tcW w:w="1087" w:type="dxa"/>
            <w:tcBorders>
              <w:bottom w:val="single" w:color="000000" w:sz="4" w:space="0"/>
            </w:tcBorders>
            <w:vAlign w:val="top"/>
          </w:tcPr>
          <w:p w14:paraId="20B536B9">
            <w:pPr>
              <w:rPr>
                <w:rFonts w:hint="eastAsia" w:ascii="宋体" w:hAnsi="宋体" w:eastAsia="宋体" w:cs="宋体"/>
                <w:color w:val="auto"/>
                <w:sz w:val="21"/>
                <w:highlight w:val="none"/>
              </w:rPr>
            </w:pPr>
          </w:p>
        </w:tc>
        <w:tc>
          <w:tcPr>
            <w:tcW w:w="855" w:type="dxa"/>
            <w:tcBorders>
              <w:bottom w:val="single" w:color="000000" w:sz="4" w:space="0"/>
            </w:tcBorders>
            <w:vAlign w:val="top"/>
          </w:tcPr>
          <w:p w14:paraId="5CC99E96">
            <w:pPr>
              <w:rPr>
                <w:rFonts w:hint="eastAsia" w:ascii="宋体" w:hAnsi="宋体" w:eastAsia="宋体" w:cs="宋体"/>
                <w:color w:val="auto"/>
                <w:sz w:val="21"/>
                <w:highlight w:val="none"/>
              </w:rPr>
            </w:pPr>
          </w:p>
        </w:tc>
        <w:tc>
          <w:tcPr>
            <w:tcW w:w="1004" w:type="dxa"/>
            <w:tcBorders>
              <w:bottom w:val="single" w:color="000000" w:sz="4" w:space="0"/>
            </w:tcBorders>
            <w:vAlign w:val="top"/>
          </w:tcPr>
          <w:p w14:paraId="628B446C">
            <w:pPr>
              <w:rPr>
                <w:rFonts w:hint="eastAsia" w:ascii="宋体" w:hAnsi="宋体" w:eastAsia="宋体" w:cs="宋体"/>
                <w:color w:val="auto"/>
                <w:sz w:val="21"/>
                <w:highlight w:val="none"/>
              </w:rPr>
            </w:pPr>
          </w:p>
        </w:tc>
        <w:tc>
          <w:tcPr>
            <w:tcW w:w="675" w:type="dxa"/>
            <w:tcBorders>
              <w:bottom w:val="single" w:color="000000" w:sz="4" w:space="0"/>
            </w:tcBorders>
            <w:vAlign w:val="top"/>
          </w:tcPr>
          <w:p w14:paraId="012FB585">
            <w:pPr>
              <w:rPr>
                <w:rFonts w:hint="eastAsia" w:ascii="宋体" w:hAnsi="宋体" w:eastAsia="宋体" w:cs="宋体"/>
                <w:color w:val="auto"/>
                <w:sz w:val="21"/>
                <w:highlight w:val="none"/>
              </w:rPr>
            </w:pPr>
          </w:p>
        </w:tc>
        <w:tc>
          <w:tcPr>
            <w:tcW w:w="855" w:type="dxa"/>
            <w:tcBorders>
              <w:bottom w:val="single" w:color="000000" w:sz="4" w:space="0"/>
            </w:tcBorders>
            <w:vAlign w:val="top"/>
          </w:tcPr>
          <w:p w14:paraId="296FEDC4">
            <w:pPr>
              <w:rPr>
                <w:rFonts w:hint="eastAsia" w:ascii="宋体" w:hAnsi="宋体" w:eastAsia="宋体" w:cs="宋体"/>
                <w:color w:val="auto"/>
                <w:sz w:val="21"/>
                <w:highlight w:val="none"/>
              </w:rPr>
            </w:pPr>
          </w:p>
        </w:tc>
        <w:tc>
          <w:tcPr>
            <w:tcW w:w="990" w:type="dxa"/>
            <w:tcBorders>
              <w:bottom w:val="single" w:color="000000" w:sz="4" w:space="0"/>
            </w:tcBorders>
            <w:vAlign w:val="top"/>
          </w:tcPr>
          <w:p w14:paraId="61FBBB5B">
            <w:pPr>
              <w:rPr>
                <w:rFonts w:hint="eastAsia" w:ascii="宋体" w:hAnsi="宋体" w:eastAsia="宋体" w:cs="宋体"/>
                <w:color w:val="auto"/>
                <w:sz w:val="21"/>
                <w:highlight w:val="none"/>
              </w:rPr>
            </w:pPr>
          </w:p>
        </w:tc>
        <w:tc>
          <w:tcPr>
            <w:tcW w:w="989" w:type="dxa"/>
            <w:tcBorders>
              <w:bottom w:val="single" w:color="000000" w:sz="4" w:space="0"/>
            </w:tcBorders>
            <w:vAlign w:val="top"/>
          </w:tcPr>
          <w:p w14:paraId="4ED7918A">
            <w:pPr>
              <w:rPr>
                <w:rFonts w:hint="eastAsia" w:ascii="宋体" w:hAnsi="宋体" w:eastAsia="宋体" w:cs="宋体"/>
                <w:color w:val="auto"/>
                <w:sz w:val="21"/>
                <w:highlight w:val="none"/>
              </w:rPr>
            </w:pPr>
          </w:p>
        </w:tc>
        <w:tc>
          <w:tcPr>
            <w:tcW w:w="899" w:type="dxa"/>
            <w:tcBorders>
              <w:bottom w:val="single" w:color="000000" w:sz="4" w:space="0"/>
            </w:tcBorders>
            <w:vAlign w:val="top"/>
          </w:tcPr>
          <w:p w14:paraId="3DDB7801">
            <w:pPr>
              <w:rPr>
                <w:rFonts w:hint="eastAsia" w:ascii="宋体" w:hAnsi="宋体" w:eastAsia="宋体" w:cs="宋体"/>
                <w:color w:val="auto"/>
                <w:sz w:val="21"/>
                <w:highlight w:val="none"/>
              </w:rPr>
            </w:pPr>
          </w:p>
        </w:tc>
        <w:tc>
          <w:tcPr>
            <w:tcW w:w="855" w:type="dxa"/>
            <w:tcBorders>
              <w:bottom w:val="single" w:color="000000" w:sz="4" w:space="0"/>
            </w:tcBorders>
            <w:vAlign w:val="top"/>
          </w:tcPr>
          <w:p w14:paraId="26CA7759">
            <w:pPr>
              <w:rPr>
                <w:rFonts w:hint="eastAsia" w:ascii="宋体" w:hAnsi="宋体" w:eastAsia="宋体" w:cs="宋体"/>
                <w:color w:val="auto"/>
                <w:sz w:val="21"/>
                <w:highlight w:val="none"/>
              </w:rPr>
            </w:pPr>
          </w:p>
        </w:tc>
        <w:tc>
          <w:tcPr>
            <w:tcW w:w="862" w:type="dxa"/>
            <w:tcBorders>
              <w:bottom w:val="single" w:color="000000" w:sz="4" w:space="0"/>
            </w:tcBorders>
            <w:vAlign w:val="top"/>
          </w:tcPr>
          <w:p w14:paraId="419D0950">
            <w:pPr>
              <w:rPr>
                <w:rFonts w:hint="eastAsia" w:ascii="宋体" w:hAnsi="宋体" w:eastAsia="宋体" w:cs="宋体"/>
                <w:color w:val="auto"/>
                <w:sz w:val="21"/>
                <w:highlight w:val="none"/>
              </w:rPr>
            </w:pPr>
          </w:p>
        </w:tc>
      </w:tr>
      <w:tr w14:paraId="562F8B71">
        <w:tblPrEx>
          <w:tblLayout w:type="fixed"/>
        </w:tblPrEx>
        <w:trPr>
          <w:trHeight w:val="545" w:hRule="atLeast"/>
        </w:trPr>
        <w:tc>
          <w:tcPr>
            <w:tcW w:w="1087" w:type="dxa"/>
            <w:tcBorders>
              <w:top w:val="single" w:color="000000" w:sz="4" w:space="0"/>
            </w:tcBorders>
            <w:vAlign w:val="top"/>
          </w:tcPr>
          <w:p w14:paraId="2D47A126">
            <w:pPr>
              <w:rPr>
                <w:rFonts w:hint="eastAsia" w:ascii="宋体" w:hAnsi="宋体" w:eastAsia="宋体" w:cs="宋体"/>
                <w:color w:val="auto"/>
                <w:sz w:val="21"/>
                <w:highlight w:val="none"/>
              </w:rPr>
            </w:pPr>
          </w:p>
        </w:tc>
        <w:tc>
          <w:tcPr>
            <w:tcW w:w="855" w:type="dxa"/>
            <w:tcBorders>
              <w:top w:val="single" w:color="000000" w:sz="4" w:space="0"/>
            </w:tcBorders>
            <w:vAlign w:val="top"/>
          </w:tcPr>
          <w:p w14:paraId="6F4A527A">
            <w:pPr>
              <w:rPr>
                <w:rFonts w:hint="eastAsia" w:ascii="宋体" w:hAnsi="宋体" w:eastAsia="宋体" w:cs="宋体"/>
                <w:color w:val="auto"/>
                <w:sz w:val="21"/>
                <w:highlight w:val="none"/>
              </w:rPr>
            </w:pPr>
          </w:p>
        </w:tc>
        <w:tc>
          <w:tcPr>
            <w:tcW w:w="1004" w:type="dxa"/>
            <w:tcBorders>
              <w:top w:val="single" w:color="000000" w:sz="4" w:space="0"/>
            </w:tcBorders>
            <w:vAlign w:val="top"/>
          </w:tcPr>
          <w:p w14:paraId="17C6370D">
            <w:pPr>
              <w:rPr>
                <w:rFonts w:hint="eastAsia" w:ascii="宋体" w:hAnsi="宋体" w:eastAsia="宋体" w:cs="宋体"/>
                <w:color w:val="auto"/>
                <w:sz w:val="21"/>
                <w:highlight w:val="none"/>
              </w:rPr>
            </w:pPr>
          </w:p>
        </w:tc>
        <w:tc>
          <w:tcPr>
            <w:tcW w:w="675" w:type="dxa"/>
            <w:tcBorders>
              <w:top w:val="single" w:color="000000" w:sz="4" w:space="0"/>
            </w:tcBorders>
            <w:vAlign w:val="top"/>
          </w:tcPr>
          <w:p w14:paraId="21E63693">
            <w:pPr>
              <w:rPr>
                <w:rFonts w:hint="eastAsia" w:ascii="宋体" w:hAnsi="宋体" w:eastAsia="宋体" w:cs="宋体"/>
                <w:color w:val="auto"/>
                <w:sz w:val="21"/>
                <w:highlight w:val="none"/>
              </w:rPr>
            </w:pPr>
          </w:p>
        </w:tc>
        <w:tc>
          <w:tcPr>
            <w:tcW w:w="855" w:type="dxa"/>
            <w:tcBorders>
              <w:top w:val="single" w:color="000000" w:sz="4" w:space="0"/>
            </w:tcBorders>
            <w:vAlign w:val="top"/>
          </w:tcPr>
          <w:p w14:paraId="41E6E8A1">
            <w:pPr>
              <w:rPr>
                <w:rFonts w:hint="eastAsia" w:ascii="宋体" w:hAnsi="宋体" w:eastAsia="宋体" w:cs="宋体"/>
                <w:color w:val="auto"/>
                <w:sz w:val="21"/>
                <w:highlight w:val="none"/>
              </w:rPr>
            </w:pPr>
          </w:p>
        </w:tc>
        <w:tc>
          <w:tcPr>
            <w:tcW w:w="990" w:type="dxa"/>
            <w:tcBorders>
              <w:top w:val="single" w:color="000000" w:sz="4" w:space="0"/>
            </w:tcBorders>
            <w:vAlign w:val="top"/>
          </w:tcPr>
          <w:p w14:paraId="224E99A7">
            <w:pPr>
              <w:rPr>
                <w:rFonts w:hint="eastAsia" w:ascii="宋体" w:hAnsi="宋体" w:eastAsia="宋体" w:cs="宋体"/>
                <w:color w:val="auto"/>
                <w:sz w:val="21"/>
                <w:highlight w:val="none"/>
              </w:rPr>
            </w:pPr>
          </w:p>
        </w:tc>
        <w:tc>
          <w:tcPr>
            <w:tcW w:w="989" w:type="dxa"/>
            <w:tcBorders>
              <w:top w:val="single" w:color="000000" w:sz="4" w:space="0"/>
            </w:tcBorders>
            <w:vAlign w:val="top"/>
          </w:tcPr>
          <w:p w14:paraId="4229AD2F">
            <w:pPr>
              <w:rPr>
                <w:rFonts w:hint="eastAsia" w:ascii="宋体" w:hAnsi="宋体" w:eastAsia="宋体" w:cs="宋体"/>
                <w:color w:val="auto"/>
                <w:sz w:val="21"/>
                <w:highlight w:val="none"/>
              </w:rPr>
            </w:pPr>
          </w:p>
        </w:tc>
        <w:tc>
          <w:tcPr>
            <w:tcW w:w="899" w:type="dxa"/>
            <w:tcBorders>
              <w:top w:val="single" w:color="000000" w:sz="4" w:space="0"/>
            </w:tcBorders>
            <w:vAlign w:val="top"/>
          </w:tcPr>
          <w:p w14:paraId="0F6D6224">
            <w:pPr>
              <w:rPr>
                <w:rFonts w:hint="eastAsia" w:ascii="宋体" w:hAnsi="宋体" w:eastAsia="宋体" w:cs="宋体"/>
                <w:color w:val="auto"/>
                <w:sz w:val="21"/>
                <w:highlight w:val="none"/>
              </w:rPr>
            </w:pPr>
          </w:p>
        </w:tc>
        <w:tc>
          <w:tcPr>
            <w:tcW w:w="855" w:type="dxa"/>
            <w:tcBorders>
              <w:top w:val="single" w:color="000000" w:sz="4" w:space="0"/>
            </w:tcBorders>
            <w:vAlign w:val="top"/>
          </w:tcPr>
          <w:p w14:paraId="222F17E6">
            <w:pPr>
              <w:rPr>
                <w:rFonts w:hint="eastAsia" w:ascii="宋体" w:hAnsi="宋体" w:eastAsia="宋体" w:cs="宋体"/>
                <w:color w:val="auto"/>
                <w:sz w:val="21"/>
                <w:highlight w:val="none"/>
              </w:rPr>
            </w:pPr>
          </w:p>
        </w:tc>
        <w:tc>
          <w:tcPr>
            <w:tcW w:w="862" w:type="dxa"/>
            <w:tcBorders>
              <w:top w:val="single" w:color="000000" w:sz="4" w:space="0"/>
            </w:tcBorders>
            <w:vAlign w:val="top"/>
          </w:tcPr>
          <w:p w14:paraId="7BC40BA6">
            <w:pPr>
              <w:rPr>
                <w:rFonts w:hint="eastAsia" w:ascii="宋体" w:hAnsi="宋体" w:eastAsia="宋体" w:cs="宋体"/>
                <w:color w:val="auto"/>
                <w:sz w:val="21"/>
                <w:highlight w:val="none"/>
              </w:rPr>
            </w:pPr>
          </w:p>
        </w:tc>
      </w:tr>
      <w:tr w14:paraId="28F3F392">
        <w:tblPrEx>
          <w:tblLayout w:type="fixed"/>
        </w:tblPrEx>
        <w:trPr>
          <w:trHeight w:val="539" w:hRule="atLeast"/>
        </w:trPr>
        <w:tc>
          <w:tcPr>
            <w:tcW w:w="1087" w:type="dxa"/>
            <w:vAlign w:val="top"/>
          </w:tcPr>
          <w:p w14:paraId="743DC960">
            <w:pPr>
              <w:rPr>
                <w:rFonts w:hint="eastAsia" w:ascii="宋体" w:hAnsi="宋体" w:eastAsia="宋体" w:cs="宋体"/>
                <w:color w:val="auto"/>
                <w:sz w:val="21"/>
                <w:highlight w:val="none"/>
              </w:rPr>
            </w:pPr>
          </w:p>
        </w:tc>
        <w:tc>
          <w:tcPr>
            <w:tcW w:w="855" w:type="dxa"/>
            <w:vAlign w:val="top"/>
          </w:tcPr>
          <w:p w14:paraId="292C9B71">
            <w:pPr>
              <w:rPr>
                <w:rFonts w:hint="eastAsia" w:ascii="宋体" w:hAnsi="宋体" w:eastAsia="宋体" w:cs="宋体"/>
                <w:color w:val="auto"/>
                <w:sz w:val="21"/>
                <w:highlight w:val="none"/>
              </w:rPr>
            </w:pPr>
          </w:p>
        </w:tc>
        <w:tc>
          <w:tcPr>
            <w:tcW w:w="1004" w:type="dxa"/>
            <w:vAlign w:val="top"/>
          </w:tcPr>
          <w:p w14:paraId="5CCCC6FB">
            <w:pPr>
              <w:rPr>
                <w:rFonts w:hint="eastAsia" w:ascii="宋体" w:hAnsi="宋体" w:eastAsia="宋体" w:cs="宋体"/>
                <w:color w:val="auto"/>
                <w:sz w:val="21"/>
                <w:highlight w:val="none"/>
              </w:rPr>
            </w:pPr>
          </w:p>
        </w:tc>
        <w:tc>
          <w:tcPr>
            <w:tcW w:w="675" w:type="dxa"/>
            <w:vAlign w:val="top"/>
          </w:tcPr>
          <w:p w14:paraId="70F1FFDF">
            <w:pPr>
              <w:rPr>
                <w:rFonts w:hint="eastAsia" w:ascii="宋体" w:hAnsi="宋体" w:eastAsia="宋体" w:cs="宋体"/>
                <w:color w:val="auto"/>
                <w:sz w:val="21"/>
                <w:highlight w:val="none"/>
              </w:rPr>
            </w:pPr>
          </w:p>
        </w:tc>
        <w:tc>
          <w:tcPr>
            <w:tcW w:w="855" w:type="dxa"/>
            <w:vAlign w:val="top"/>
          </w:tcPr>
          <w:p w14:paraId="10A020BF">
            <w:pPr>
              <w:rPr>
                <w:rFonts w:hint="eastAsia" w:ascii="宋体" w:hAnsi="宋体" w:eastAsia="宋体" w:cs="宋体"/>
                <w:color w:val="auto"/>
                <w:sz w:val="21"/>
                <w:highlight w:val="none"/>
              </w:rPr>
            </w:pPr>
          </w:p>
        </w:tc>
        <w:tc>
          <w:tcPr>
            <w:tcW w:w="990" w:type="dxa"/>
            <w:vAlign w:val="top"/>
          </w:tcPr>
          <w:p w14:paraId="4B1EEA8E">
            <w:pPr>
              <w:rPr>
                <w:rFonts w:hint="eastAsia" w:ascii="宋体" w:hAnsi="宋体" w:eastAsia="宋体" w:cs="宋体"/>
                <w:color w:val="auto"/>
                <w:sz w:val="21"/>
                <w:highlight w:val="none"/>
              </w:rPr>
            </w:pPr>
          </w:p>
        </w:tc>
        <w:tc>
          <w:tcPr>
            <w:tcW w:w="989" w:type="dxa"/>
            <w:vAlign w:val="top"/>
          </w:tcPr>
          <w:p w14:paraId="1B45662F">
            <w:pPr>
              <w:rPr>
                <w:rFonts w:hint="eastAsia" w:ascii="宋体" w:hAnsi="宋体" w:eastAsia="宋体" w:cs="宋体"/>
                <w:color w:val="auto"/>
                <w:sz w:val="21"/>
                <w:highlight w:val="none"/>
              </w:rPr>
            </w:pPr>
          </w:p>
        </w:tc>
        <w:tc>
          <w:tcPr>
            <w:tcW w:w="899" w:type="dxa"/>
            <w:vAlign w:val="top"/>
          </w:tcPr>
          <w:p w14:paraId="36CDD3BB">
            <w:pPr>
              <w:rPr>
                <w:rFonts w:hint="eastAsia" w:ascii="宋体" w:hAnsi="宋体" w:eastAsia="宋体" w:cs="宋体"/>
                <w:color w:val="auto"/>
                <w:sz w:val="21"/>
                <w:highlight w:val="none"/>
              </w:rPr>
            </w:pPr>
          </w:p>
        </w:tc>
        <w:tc>
          <w:tcPr>
            <w:tcW w:w="855" w:type="dxa"/>
            <w:vAlign w:val="top"/>
          </w:tcPr>
          <w:p w14:paraId="031CE1BE">
            <w:pPr>
              <w:rPr>
                <w:rFonts w:hint="eastAsia" w:ascii="宋体" w:hAnsi="宋体" w:eastAsia="宋体" w:cs="宋体"/>
                <w:color w:val="auto"/>
                <w:sz w:val="21"/>
                <w:highlight w:val="none"/>
              </w:rPr>
            </w:pPr>
          </w:p>
        </w:tc>
        <w:tc>
          <w:tcPr>
            <w:tcW w:w="862" w:type="dxa"/>
            <w:vAlign w:val="top"/>
          </w:tcPr>
          <w:p w14:paraId="47EFD1A8">
            <w:pPr>
              <w:rPr>
                <w:rFonts w:hint="eastAsia" w:ascii="宋体" w:hAnsi="宋体" w:eastAsia="宋体" w:cs="宋体"/>
                <w:color w:val="auto"/>
                <w:sz w:val="21"/>
                <w:highlight w:val="none"/>
              </w:rPr>
            </w:pPr>
          </w:p>
        </w:tc>
      </w:tr>
      <w:tr w14:paraId="173D5454">
        <w:tblPrEx>
          <w:tblLayout w:type="fixed"/>
        </w:tblPrEx>
        <w:trPr>
          <w:trHeight w:val="524" w:hRule="atLeast"/>
        </w:trPr>
        <w:tc>
          <w:tcPr>
            <w:tcW w:w="1087" w:type="dxa"/>
            <w:vAlign w:val="top"/>
          </w:tcPr>
          <w:p w14:paraId="56D5D51C">
            <w:pPr>
              <w:rPr>
                <w:rFonts w:hint="eastAsia" w:ascii="宋体" w:hAnsi="宋体" w:eastAsia="宋体" w:cs="宋体"/>
                <w:color w:val="auto"/>
                <w:sz w:val="21"/>
                <w:highlight w:val="none"/>
              </w:rPr>
            </w:pPr>
          </w:p>
        </w:tc>
        <w:tc>
          <w:tcPr>
            <w:tcW w:w="855" w:type="dxa"/>
            <w:vAlign w:val="top"/>
          </w:tcPr>
          <w:p w14:paraId="53FF23DB">
            <w:pPr>
              <w:rPr>
                <w:rFonts w:hint="eastAsia" w:ascii="宋体" w:hAnsi="宋体" w:eastAsia="宋体" w:cs="宋体"/>
                <w:color w:val="auto"/>
                <w:sz w:val="21"/>
                <w:highlight w:val="none"/>
              </w:rPr>
            </w:pPr>
          </w:p>
        </w:tc>
        <w:tc>
          <w:tcPr>
            <w:tcW w:w="1004" w:type="dxa"/>
            <w:vAlign w:val="top"/>
          </w:tcPr>
          <w:p w14:paraId="08940778">
            <w:pPr>
              <w:rPr>
                <w:rFonts w:hint="eastAsia" w:ascii="宋体" w:hAnsi="宋体" w:eastAsia="宋体" w:cs="宋体"/>
                <w:color w:val="auto"/>
                <w:sz w:val="21"/>
                <w:highlight w:val="none"/>
              </w:rPr>
            </w:pPr>
          </w:p>
        </w:tc>
        <w:tc>
          <w:tcPr>
            <w:tcW w:w="675" w:type="dxa"/>
            <w:vAlign w:val="top"/>
          </w:tcPr>
          <w:p w14:paraId="5F00C3E5">
            <w:pPr>
              <w:rPr>
                <w:rFonts w:hint="eastAsia" w:ascii="宋体" w:hAnsi="宋体" w:eastAsia="宋体" w:cs="宋体"/>
                <w:color w:val="auto"/>
                <w:sz w:val="21"/>
                <w:highlight w:val="none"/>
              </w:rPr>
            </w:pPr>
          </w:p>
        </w:tc>
        <w:tc>
          <w:tcPr>
            <w:tcW w:w="855" w:type="dxa"/>
            <w:vAlign w:val="top"/>
          </w:tcPr>
          <w:p w14:paraId="0AE7321B">
            <w:pPr>
              <w:rPr>
                <w:rFonts w:hint="eastAsia" w:ascii="宋体" w:hAnsi="宋体" w:eastAsia="宋体" w:cs="宋体"/>
                <w:color w:val="auto"/>
                <w:sz w:val="21"/>
                <w:highlight w:val="none"/>
              </w:rPr>
            </w:pPr>
          </w:p>
        </w:tc>
        <w:tc>
          <w:tcPr>
            <w:tcW w:w="990" w:type="dxa"/>
            <w:vAlign w:val="top"/>
          </w:tcPr>
          <w:p w14:paraId="39F0AAC7">
            <w:pPr>
              <w:rPr>
                <w:rFonts w:hint="eastAsia" w:ascii="宋体" w:hAnsi="宋体" w:eastAsia="宋体" w:cs="宋体"/>
                <w:color w:val="auto"/>
                <w:sz w:val="21"/>
                <w:highlight w:val="none"/>
              </w:rPr>
            </w:pPr>
          </w:p>
        </w:tc>
        <w:tc>
          <w:tcPr>
            <w:tcW w:w="989" w:type="dxa"/>
            <w:vAlign w:val="top"/>
          </w:tcPr>
          <w:p w14:paraId="1B155353">
            <w:pPr>
              <w:rPr>
                <w:rFonts w:hint="eastAsia" w:ascii="宋体" w:hAnsi="宋体" w:eastAsia="宋体" w:cs="宋体"/>
                <w:color w:val="auto"/>
                <w:sz w:val="21"/>
                <w:highlight w:val="none"/>
              </w:rPr>
            </w:pPr>
          </w:p>
        </w:tc>
        <w:tc>
          <w:tcPr>
            <w:tcW w:w="899" w:type="dxa"/>
            <w:vAlign w:val="top"/>
          </w:tcPr>
          <w:p w14:paraId="589C6487">
            <w:pPr>
              <w:rPr>
                <w:rFonts w:hint="eastAsia" w:ascii="宋体" w:hAnsi="宋体" w:eastAsia="宋体" w:cs="宋体"/>
                <w:color w:val="auto"/>
                <w:sz w:val="21"/>
                <w:highlight w:val="none"/>
              </w:rPr>
            </w:pPr>
          </w:p>
        </w:tc>
        <w:tc>
          <w:tcPr>
            <w:tcW w:w="855" w:type="dxa"/>
            <w:vAlign w:val="top"/>
          </w:tcPr>
          <w:p w14:paraId="550B97D9">
            <w:pPr>
              <w:rPr>
                <w:rFonts w:hint="eastAsia" w:ascii="宋体" w:hAnsi="宋体" w:eastAsia="宋体" w:cs="宋体"/>
                <w:color w:val="auto"/>
                <w:sz w:val="21"/>
                <w:highlight w:val="none"/>
              </w:rPr>
            </w:pPr>
          </w:p>
        </w:tc>
        <w:tc>
          <w:tcPr>
            <w:tcW w:w="862" w:type="dxa"/>
            <w:vAlign w:val="top"/>
          </w:tcPr>
          <w:p w14:paraId="6198717E">
            <w:pPr>
              <w:rPr>
                <w:rFonts w:hint="eastAsia" w:ascii="宋体" w:hAnsi="宋体" w:eastAsia="宋体" w:cs="宋体"/>
                <w:color w:val="auto"/>
                <w:sz w:val="21"/>
                <w:highlight w:val="none"/>
              </w:rPr>
            </w:pPr>
          </w:p>
        </w:tc>
      </w:tr>
      <w:tr w14:paraId="115D6A2A">
        <w:tblPrEx>
          <w:tblLayout w:type="fixed"/>
        </w:tblPrEx>
        <w:trPr>
          <w:trHeight w:val="539" w:hRule="atLeast"/>
        </w:trPr>
        <w:tc>
          <w:tcPr>
            <w:tcW w:w="1087" w:type="dxa"/>
            <w:vAlign w:val="top"/>
          </w:tcPr>
          <w:p w14:paraId="0D0C891A">
            <w:pPr>
              <w:rPr>
                <w:rFonts w:hint="eastAsia" w:ascii="宋体" w:hAnsi="宋体" w:eastAsia="宋体" w:cs="宋体"/>
                <w:color w:val="auto"/>
                <w:sz w:val="21"/>
                <w:highlight w:val="none"/>
              </w:rPr>
            </w:pPr>
          </w:p>
        </w:tc>
        <w:tc>
          <w:tcPr>
            <w:tcW w:w="855" w:type="dxa"/>
            <w:vAlign w:val="top"/>
          </w:tcPr>
          <w:p w14:paraId="5962A13E">
            <w:pPr>
              <w:rPr>
                <w:rFonts w:hint="eastAsia" w:ascii="宋体" w:hAnsi="宋体" w:eastAsia="宋体" w:cs="宋体"/>
                <w:color w:val="auto"/>
                <w:sz w:val="21"/>
                <w:highlight w:val="none"/>
              </w:rPr>
            </w:pPr>
          </w:p>
        </w:tc>
        <w:tc>
          <w:tcPr>
            <w:tcW w:w="1004" w:type="dxa"/>
            <w:vAlign w:val="top"/>
          </w:tcPr>
          <w:p w14:paraId="34C302E8">
            <w:pPr>
              <w:rPr>
                <w:rFonts w:hint="eastAsia" w:ascii="宋体" w:hAnsi="宋体" w:eastAsia="宋体" w:cs="宋体"/>
                <w:color w:val="auto"/>
                <w:sz w:val="21"/>
                <w:highlight w:val="none"/>
              </w:rPr>
            </w:pPr>
          </w:p>
        </w:tc>
        <w:tc>
          <w:tcPr>
            <w:tcW w:w="675" w:type="dxa"/>
            <w:vAlign w:val="top"/>
          </w:tcPr>
          <w:p w14:paraId="51163E23">
            <w:pPr>
              <w:rPr>
                <w:rFonts w:hint="eastAsia" w:ascii="宋体" w:hAnsi="宋体" w:eastAsia="宋体" w:cs="宋体"/>
                <w:color w:val="auto"/>
                <w:sz w:val="21"/>
                <w:highlight w:val="none"/>
              </w:rPr>
            </w:pPr>
          </w:p>
        </w:tc>
        <w:tc>
          <w:tcPr>
            <w:tcW w:w="855" w:type="dxa"/>
            <w:vAlign w:val="top"/>
          </w:tcPr>
          <w:p w14:paraId="58FB79B0">
            <w:pPr>
              <w:rPr>
                <w:rFonts w:hint="eastAsia" w:ascii="宋体" w:hAnsi="宋体" w:eastAsia="宋体" w:cs="宋体"/>
                <w:color w:val="auto"/>
                <w:sz w:val="21"/>
                <w:highlight w:val="none"/>
              </w:rPr>
            </w:pPr>
          </w:p>
        </w:tc>
        <w:tc>
          <w:tcPr>
            <w:tcW w:w="990" w:type="dxa"/>
            <w:vAlign w:val="top"/>
          </w:tcPr>
          <w:p w14:paraId="66BC6667">
            <w:pPr>
              <w:rPr>
                <w:rFonts w:hint="eastAsia" w:ascii="宋体" w:hAnsi="宋体" w:eastAsia="宋体" w:cs="宋体"/>
                <w:color w:val="auto"/>
                <w:sz w:val="21"/>
                <w:highlight w:val="none"/>
              </w:rPr>
            </w:pPr>
          </w:p>
        </w:tc>
        <w:tc>
          <w:tcPr>
            <w:tcW w:w="989" w:type="dxa"/>
            <w:vAlign w:val="top"/>
          </w:tcPr>
          <w:p w14:paraId="2D64B9EE">
            <w:pPr>
              <w:rPr>
                <w:rFonts w:hint="eastAsia" w:ascii="宋体" w:hAnsi="宋体" w:eastAsia="宋体" w:cs="宋体"/>
                <w:color w:val="auto"/>
                <w:sz w:val="21"/>
                <w:highlight w:val="none"/>
              </w:rPr>
            </w:pPr>
          </w:p>
        </w:tc>
        <w:tc>
          <w:tcPr>
            <w:tcW w:w="899" w:type="dxa"/>
            <w:vAlign w:val="top"/>
          </w:tcPr>
          <w:p w14:paraId="2BE1F945">
            <w:pPr>
              <w:rPr>
                <w:rFonts w:hint="eastAsia" w:ascii="宋体" w:hAnsi="宋体" w:eastAsia="宋体" w:cs="宋体"/>
                <w:color w:val="auto"/>
                <w:sz w:val="21"/>
                <w:highlight w:val="none"/>
              </w:rPr>
            </w:pPr>
          </w:p>
        </w:tc>
        <w:tc>
          <w:tcPr>
            <w:tcW w:w="855" w:type="dxa"/>
            <w:vAlign w:val="top"/>
          </w:tcPr>
          <w:p w14:paraId="44D590A4">
            <w:pPr>
              <w:rPr>
                <w:rFonts w:hint="eastAsia" w:ascii="宋体" w:hAnsi="宋体" w:eastAsia="宋体" w:cs="宋体"/>
                <w:color w:val="auto"/>
                <w:sz w:val="21"/>
                <w:highlight w:val="none"/>
              </w:rPr>
            </w:pPr>
          </w:p>
        </w:tc>
        <w:tc>
          <w:tcPr>
            <w:tcW w:w="862" w:type="dxa"/>
            <w:vAlign w:val="top"/>
          </w:tcPr>
          <w:p w14:paraId="5DBA9FE1">
            <w:pPr>
              <w:rPr>
                <w:rFonts w:hint="eastAsia" w:ascii="宋体" w:hAnsi="宋体" w:eastAsia="宋体" w:cs="宋体"/>
                <w:color w:val="auto"/>
                <w:sz w:val="21"/>
                <w:highlight w:val="none"/>
              </w:rPr>
            </w:pPr>
          </w:p>
        </w:tc>
      </w:tr>
      <w:tr w14:paraId="6784FBE5">
        <w:tblPrEx>
          <w:tblLayout w:type="fixed"/>
        </w:tblPrEx>
        <w:trPr>
          <w:trHeight w:val="540" w:hRule="atLeast"/>
        </w:trPr>
        <w:tc>
          <w:tcPr>
            <w:tcW w:w="1087" w:type="dxa"/>
            <w:vAlign w:val="top"/>
          </w:tcPr>
          <w:p w14:paraId="1FCF63FA">
            <w:pPr>
              <w:rPr>
                <w:rFonts w:hint="eastAsia" w:ascii="宋体" w:hAnsi="宋体" w:eastAsia="宋体" w:cs="宋体"/>
                <w:color w:val="auto"/>
                <w:sz w:val="21"/>
                <w:highlight w:val="none"/>
              </w:rPr>
            </w:pPr>
          </w:p>
        </w:tc>
        <w:tc>
          <w:tcPr>
            <w:tcW w:w="855" w:type="dxa"/>
            <w:vAlign w:val="top"/>
          </w:tcPr>
          <w:p w14:paraId="5978AC87">
            <w:pPr>
              <w:rPr>
                <w:rFonts w:hint="eastAsia" w:ascii="宋体" w:hAnsi="宋体" w:eastAsia="宋体" w:cs="宋体"/>
                <w:color w:val="auto"/>
                <w:sz w:val="21"/>
                <w:highlight w:val="none"/>
              </w:rPr>
            </w:pPr>
          </w:p>
        </w:tc>
        <w:tc>
          <w:tcPr>
            <w:tcW w:w="1004" w:type="dxa"/>
            <w:vAlign w:val="top"/>
          </w:tcPr>
          <w:p w14:paraId="4683BF53">
            <w:pPr>
              <w:rPr>
                <w:rFonts w:hint="eastAsia" w:ascii="宋体" w:hAnsi="宋体" w:eastAsia="宋体" w:cs="宋体"/>
                <w:color w:val="auto"/>
                <w:sz w:val="21"/>
                <w:highlight w:val="none"/>
              </w:rPr>
            </w:pPr>
          </w:p>
        </w:tc>
        <w:tc>
          <w:tcPr>
            <w:tcW w:w="675" w:type="dxa"/>
            <w:vAlign w:val="top"/>
          </w:tcPr>
          <w:p w14:paraId="10821622">
            <w:pPr>
              <w:rPr>
                <w:rFonts w:hint="eastAsia" w:ascii="宋体" w:hAnsi="宋体" w:eastAsia="宋体" w:cs="宋体"/>
                <w:color w:val="auto"/>
                <w:sz w:val="21"/>
                <w:highlight w:val="none"/>
              </w:rPr>
            </w:pPr>
          </w:p>
        </w:tc>
        <w:tc>
          <w:tcPr>
            <w:tcW w:w="855" w:type="dxa"/>
            <w:vAlign w:val="top"/>
          </w:tcPr>
          <w:p w14:paraId="20466A41">
            <w:pPr>
              <w:rPr>
                <w:rFonts w:hint="eastAsia" w:ascii="宋体" w:hAnsi="宋体" w:eastAsia="宋体" w:cs="宋体"/>
                <w:color w:val="auto"/>
                <w:sz w:val="21"/>
                <w:highlight w:val="none"/>
              </w:rPr>
            </w:pPr>
          </w:p>
        </w:tc>
        <w:tc>
          <w:tcPr>
            <w:tcW w:w="990" w:type="dxa"/>
            <w:vAlign w:val="top"/>
          </w:tcPr>
          <w:p w14:paraId="52C08CBA">
            <w:pPr>
              <w:rPr>
                <w:rFonts w:hint="eastAsia" w:ascii="宋体" w:hAnsi="宋体" w:eastAsia="宋体" w:cs="宋体"/>
                <w:color w:val="auto"/>
                <w:sz w:val="21"/>
                <w:highlight w:val="none"/>
              </w:rPr>
            </w:pPr>
          </w:p>
        </w:tc>
        <w:tc>
          <w:tcPr>
            <w:tcW w:w="989" w:type="dxa"/>
            <w:vAlign w:val="top"/>
          </w:tcPr>
          <w:p w14:paraId="1083CA3B">
            <w:pPr>
              <w:rPr>
                <w:rFonts w:hint="eastAsia" w:ascii="宋体" w:hAnsi="宋体" w:eastAsia="宋体" w:cs="宋体"/>
                <w:color w:val="auto"/>
                <w:sz w:val="21"/>
                <w:highlight w:val="none"/>
              </w:rPr>
            </w:pPr>
          </w:p>
        </w:tc>
        <w:tc>
          <w:tcPr>
            <w:tcW w:w="899" w:type="dxa"/>
            <w:vAlign w:val="top"/>
          </w:tcPr>
          <w:p w14:paraId="359014EA">
            <w:pPr>
              <w:rPr>
                <w:rFonts w:hint="eastAsia" w:ascii="宋体" w:hAnsi="宋体" w:eastAsia="宋体" w:cs="宋体"/>
                <w:color w:val="auto"/>
                <w:sz w:val="21"/>
                <w:highlight w:val="none"/>
              </w:rPr>
            </w:pPr>
          </w:p>
        </w:tc>
        <w:tc>
          <w:tcPr>
            <w:tcW w:w="855" w:type="dxa"/>
            <w:vAlign w:val="top"/>
          </w:tcPr>
          <w:p w14:paraId="07BDD9C6">
            <w:pPr>
              <w:rPr>
                <w:rFonts w:hint="eastAsia" w:ascii="宋体" w:hAnsi="宋体" w:eastAsia="宋体" w:cs="宋体"/>
                <w:color w:val="auto"/>
                <w:sz w:val="21"/>
                <w:highlight w:val="none"/>
              </w:rPr>
            </w:pPr>
          </w:p>
        </w:tc>
        <w:tc>
          <w:tcPr>
            <w:tcW w:w="862" w:type="dxa"/>
            <w:vAlign w:val="top"/>
          </w:tcPr>
          <w:p w14:paraId="398650A7">
            <w:pPr>
              <w:rPr>
                <w:rFonts w:hint="eastAsia" w:ascii="宋体" w:hAnsi="宋体" w:eastAsia="宋体" w:cs="宋体"/>
                <w:color w:val="auto"/>
                <w:sz w:val="21"/>
                <w:highlight w:val="none"/>
              </w:rPr>
            </w:pPr>
          </w:p>
        </w:tc>
      </w:tr>
      <w:tr w14:paraId="1C413902">
        <w:tblPrEx>
          <w:tblLayout w:type="fixed"/>
        </w:tblPrEx>
        <w:trPr>
          <w:trHeight w:val="525" w:hRule="atLeast"/>
        </w:trPr>
        <w:tc>
          <w:tcPr>
            <w:tcW w:w="1087" w:type="dxa"/>
            <w:vAlign w:val="top"/>
          </w:tcPr>
          <w:p w14:paraId="31655C42">
            <w:pPr>
              <w:rPr>
                <w:rFonts w:hint="eastAsia" w:ascii="宋体" w:hAnsi="宋体" w:eastAsia="宋体" w:cs="宋体"/>
                <w:color w:val="auto"/>
                <w:sz w:val="21"/>
                <w:highlight w:val="none"/>
              </w:rPr>
            </w:pPr>
          </w:p>
        </w:tc>
        <w:tc>
          <w:tcPr>
            <w:tcW w:w="855" w:type="dxa"/>
            <w:vAlign w:val="top"/>
          </w:tcPr>
          <w:p w14:paraId="0D6ACC79">
            <w:pPr>
              <w:rPr>
                <w:rFonts w:hint="eastAsia" w:ascii="宋体" w:hAnsi="宋体" w:eastAsia="宋体" w:cs="宋体"/>
                <w:color w:val="auto"/>
                <w:sz w:val="21"/>
                <w:highlight w:val="none"/>
              </w:rPr>
            </w:pPr>
          </w:p>
        </w:tc>
        <w:tc>
          <w:tcPr>
            <w:tcW w:w="1004" w:type="dxa"/>
            <w:vAlign w:val="top"/>
          </w:tcPr>
          <w:p w14:paraId="73F3789E">
            <w:pPr>
              <w:rPr>
                <w:rFonts w:hint="eastAsia" w:ascii="宋体" w:hAnsi="宋体" w:eastAsia="宋体" w:cs="宋体"/>
                <w:color w:val="auto"/>
                <w:sz w:val="21"/>
                <w:highlight w:val="none"/>
              </w:rPr>
            </w:pPr>
          </w:p>
        </w:tc>
        <w:tc>
          <w:tcPr>
            <w:tcW w:w="675" w:type="dxa"/>
            <w:vAlign w:val="top"/>
          </w:tcPr>
          <w:p w14:paraId="7C20A9DD">
            <w:pPr>
              <w:rPr>
                <w:rFonts w:hint="eastAsia" w:ascii="宋体" w:hAnsi="宋体" w:eastAsia="宋体" w:cs="宋体"/>
                <w:color w:val="auto"/>
                <w:sz w:val="21"/>
                <w:highlight w:val="none"/>
              </w:rPr>
            </w:pPr>
          </w:p>
        </w:tc>
        <w:tc>
          <w:tcPr>
            <w:tcW w:w="855" w:type="dxa"/>
            <w:vAlign w:val="top"/>
          </w:tcPr>
          <w:p w14:paraId="4CEE23A4">
            <w:pPr>
              <w:rPr>
                <w:rFonts w:hint="eastAsia" w:ascii="宋体" w:hAnsi="宋体" w:eastAsia="宋体" w:cs="宋体"/>
                <w:color w:val="auto"/>
                <w:sz w:val="21"/>
                <w:highlight w:val="none"/>
              </w:rPr>
            </w:pPr>
          </w:p>
        </w:tc>
        <w:tc>
          <w:tcPr>
            <w:tcW w:w="990" w:type="dxa"/>
            <w:vAlign w:val="top"/>
          </w:tcPr>
          <w:p w14:paraId="7839AAE9">
            <w:pPr>
              <w:rPr>
                <w:rFonts w:hint="eastAsia" w:ascii="宋体" w:hAnsi="宋体" w:eastAsia="宋体" w:cs="宋体"/>
                <w:color w:val="auto"/>
                <w:sz w:val="21"/>
                <w:highlight w:val="none"/>
              </w:rPr>
            </w:pPr>
          </w:p>
        </w:tc>
        <w:tc>
          <w:tcPr>
            <w:tcW w:w="989" w:type="dxa"/>
            <w:vAlign w:val="top"/>
          </w:tcPr>
          <w:p w14:paraId="58EE7ED5">
            <w:pPr>
              <w:rPr>
                <w:rFonts w:hint="eastAsia" w:ascii="宋体" w:hAnsi="宋体" w:eastAsia="宋体" w:cs="宋体"/>
                <w:color w:val="auto"/>
                <w:sz w:val="21"/>
                <w:highlight w:val="none"/>
              </w:rPr>
            </w:pPr>
          </w:p>
        </w:tc>
        <w:tc>
          <w:tcPr>
            <w:tcW w:w="899" w:type="dxa"/>
            <w:vAlign w:val="top"/>
          </w:tcPr>
          <w:p w14:paraId="3C25B817">
            <w:pPr>
              <w:rPr>
                <w:rFonts w:hint="eastAsia" w:ascii="宋体" w:hAnsi="宋体" w:eastAsia="宋体" w:cs="宋体"/>
                <w:color w:val="auto"/>
                <w:sz w:val="21"/>
                <w:highlight w:val="none"/>
              </w:rPr>
            </w:pPr>
          </w:p>
        </w:tc>
        <w:tc>
          <w:tcPr>
            <w:tcW w:w="855" w:type="dxa"/>
            <w:vAlign w:val="top"/>
          </w:tcPr>
          <w:p w14:paraId="5DA3E503">
            <w:pPr>
              <w:rPr>
                <w:rFonts w:hint="eastAsia" w:ascii="宋体" w:hAnsi="宋体" w:eastAsia="宋体" w:cs="宋体"/>
                <w:color w:val="auto"/>
                <w:sz w:val="21"/>
                <w:highlight w:val="none"/>
              </w:rPr>
            </w:pPr>
          </w:p>
        </w:tc>
        <w:tc>
          <w:tcPr>
            <w:tcW w:w="862" w:type="dxa"/>
            <w:vAlign w:val="top"/>
          </w:tcPr>
          <w:p w14:paraId="6949FBDE">
            <w:pPr>
              <w:rPr>
                <w:rFonts w:hint="eastAsia" w:ascii="宋体" w:hAnsi="宋体" w:eastAsia="宋体" w:cs="宋体"/>
                <w:color w:val="auto"/>
                <w:sz w:val="21"/>
                <w:highlight w:val="none"/>
              </w:rPr>
            </w:pPr>
          </w:p>
        </w:tc>
      </w:tr>
      <w:tr w14:paraId="37AA2C9B">
        <w:tblPrEx>
          <w:tblLayout w:type="fixed"/>
        </w:tblPrEx>
        <w:trPr>
          <w:trHeight w:val="540" w:hRule="atLeast"/>
        </w:trPr>
        <w:tc>
          <w:tcPr>
            <w:tcW w:w="1087" w:type="dxa"/>
            <w:vAlign w:val="top"/>
          </w:tcPr>
          <w:p w14:paraId="061F10C7">
            <w:pPr>
              <w:rPr>
                <w:rFonts w:hint="eastAsia" w:ascii="宋体" w:hAnsi="宋体" w:eastAsia="宋体" w:cs="宋体"/>
                <w:color w:val="auto"/>
                <w:sz w:val="21"/>
                <w:highlight w:val="none"/>
              </w:rPr>
            </w:pPr>
          </w:p>
        </w:tc>
        <w:tc>
          <w:tcPr>
            <w:tcW w:w="855" w:type="dxa"/>
            <w:vAlign w:val="top"/>
          </w:tcPr>
          <w:p w14:paraId="0C53B10B">
            <w:pPr>
              <w:rPr>
                <w:rFonts w:hint="eastAsia" w:ascii="宋体" w:hAnsi="宋体" w:eastAsia="宋体" w:cs="宋体"/>
                <w:color w:val="auto"/>
                <w:sz w:val="21"/>
                <w:highlight w:val="none"/>
              </w:rPr>
            </w:pPr>
          </w:p>
        </w:tc>
        <w:tc>
          <w:tcPr>
            <w:tcW w:w="1004" w:type="dxa"/>
            <w:vAlign w:val="top"/>
          </w:tcPr>
          <w:p w14:paraId="406F6CF2">
            <w:pPr>
              <w:rPr>
                <w:rFonts w:hint="eastAsia" w:ascii="宋体" w:hAnsi="宋体" w:eastAsia="宋体" w:cs="宋体"/>
                <w:color w:val="auto"/>
                <w:sz w:val="21"/>
                <w:highlight w:val="none"/>
              </w:rPr>
            </w:pPr>
          </w:p>
        </w:tc>
        <w:tc>
          <w:tcPr>
            <w:tcW w:w="675" w:type="dxa"/>
            <w:vAlign w:val="top"/>
          </w:tcPr>
          <w:p w14:paraId="5555DAB4">
            <w:pPr>
              <w:rPr>
                <w:rFonts w:hint="eastAsia" w:ascii="宋体" w:hAnsi="宋体" w:eastAsia="宋体" w:cs="宋体"/>
                <w:color w:val="auto"/>
                <w:sz w:val="21"/>
                <w:highlight w:val="none"/>
              </w:rPr>
            </w:pPr>
          </w:p>
        </w:tc>
        <w:tc>
          <w:tcPr>
            <w:tcW w:w="855" w:type="dxa"/>
            <w:vAlign w:val="top"/>
          </w:tcPr>
          <w:p w14:paraId="66A497B8">
            <w:pPr>
              <w:rPr>
                <w:rFonts w:hint="eastAsia" w:ascii="宋体" w:hAnsi="宋体" w:eastAsia="宋体" w:cs="宋体"/>
                <w:color w:val="auto"/>
                <w:sz w:val="21"/>
                <w:highlight w:val="none"/>
              </w:rPr>
            </w:pPr>
          </w:p>
        </w:tc>
        <w:tc>
          <w:tcPr>
            <w:tcW w:w="990" w:type="dxa"/>
            <w:vAlign w:val="top"/>
          </w:tcPr>
          <w:p w14:paraId="58ECABA2">
            <w:pPr>
              <w:rPr>
                <w:rFonts w:hint="eastAsia" w:ascii="宋体" w:hAnsi="宋体" w:eastAsia="宋体" w:cs="宋体"/>
                <w:color w:val="auto"/>
                <w:sz w:val="21"/>
                <w:highlight w:val="none"/>
              </w:rPr>
            </w:pPr>
          </w:p>
        </w:tc>
        <w:tc>
          <w:tcPr>
            <w:tcW w:w="989" w:type="dxa"/>
            <w:vAlign w:val="top"/>
          </w:tcPr>
          <w:p w14:paraId="110E94B1">
            <w:pPr>
              <w:rPr>
                <w:rFonts w:hint="eastAsia" w:ascii="宋体" w:hAnsi="宋体" w:eastAsia="宋体" w:cs="宋体"/>
                <w:color w:val="auto"/>
                <w:sz w:val="21"/>
                <w:highlight w:val="none"/>
              </w:rPr>
            </w:pPr>
          </w:p>
        </w:tc>
        <w:tc>
          <w:tcPr>
            <w:tcW w:w="899" w:type="dxa"/>
            <w:vAlign w:val="top"/>
          </w:tcPr>
          <w:p w14:paraId="331CB855">
            <w:pPr>
              <w:rPr>
                <w:rFonts w:hint="eastAsia" w:ascii="宋体" w:hAnsi="宋体" w:eastAsia="宋体" w:cs="宋体"/>
                <w:color w:val="auto"/>
                <w:sz w:val="21"/>
                <w:highlight w:val="none"/>
              </w:rPr>
            </w:pPr>
          </w:p>
        </w:tc>
        <w:tc>
          <w:tcPr>
            <w:tcW w:w="855" w:type="dxa"/>
            <w:vAlign w:val="top"/>
          </w:tcPr>
          <w:p w14:paraId="2B6B10E8">
            <w:pPr>
              <w:rPr>
                <w:rFonts w:hint="eastAsia" w:ascii="宋体" w:hAnsi="宋体" w:eastAsia="宋体" w:cs="宋体"/>
                <w:color w:val="auto"/>
                <w:sz w:val="21"/>
                <w:highlight w:val="none"/>
              </w:rPr>
            </w:pPr>
          </w:p>
        </w:tc>
        <w:tc>
          <w:tcPr>
            <w:tcW w:w="862" w:type="dxa"/>
            <w:vAlign w:val="top"/>
          </w:tcPr>
          <w:p w14:paraId="3536A941">
            <w:pPr>
              <w:rPr>
                <w:rFonts w:hint="eastAsia" w:ascii="宋体" w:hAnsi="宋体" w:eastAsia="宋体" w:cs="宋体"/>
                <w:color w:val="auto"/>
                <w:sz w:val="21"/>
                <w:highlight w:val="none"/>
              </w:rPr>
            </w:pPr>
          </w:p>
        </w:tc>
      </w:tr>
      <w:tr w14:paraId="1964ADE2">
        <w:tblPrEx>
          <w:tblLayout w:type="fixed"/>
        </w:tblPrEx>
        <w:trPr>
          <w:trHeight w:val="540" w:hRule="atLeast"/>
        </w:trPr>
        <w:tc>
          <w:tcPr>
            <w:tcW w:w="1087" w:type="dxa"/>
            <w:vAlign w:val="top"/>
          </w:tcPr>
          <w:p w14:paraId="4F32393C">
            <w:pPr>
              <w:rPr>
                <w:rFonts w:hint="eastAsia" w:ascii="宋体" w:hAnsi="宋体" w:eastAsia="宋体" w:cs="宋体"/>
                <w:color w:val="auto"/>
                <w:sz w:val="21"/>
                <w:highlight w:val="none"/>
              </w:rPr>
            </w:pPr>
          </w:p>
        </w:tc>
        <w:tc>
          <w:tcPr>
            <w:tcW w:w="855" w:type="dxa"/>
            <w:vAlign w:val="top"/>
          </w:tcPr>
          <w:p w14:paraId="4B1B91E5">
            <w:pPr>
              <w:rPr>
                <w:rFonts w:hint="eastAsia" w:ascii="宋体" w:hAnsi="宋体" w:eastAsia="宋体" w:cs="宋体"/>
                <w:color w:val="auto"/>
                <w:sz w:val="21"/>
                <w:highlight w:val="none"/>
              </w:rPr>
            </w:pPr>
          </w:p>
        </w:tc>
        <w:tc>
          <w:tcPr>
            <w:tcW w:w="1004" w:type="dxa"/>
            <w:vAlign w:val="top"/>
          </w:tcPr>
          <w:p w14:paraId="596B3C06">
            <w:pPr>
              <w:rPr>
                <w:rFonts w:hint="eastAsia" w:ascii="宋体" w:hAnsi="宋体" w:eastAsia="宋体" w:cs="宋体"/>
                <w:color w:val="auto"/>
                <w:sz w:val="21"/>
                <w:highlight w:val="none"/>
              </w:rPr>
            </w:pPr>
          </w:p>
        </w:tc>
        <w:tc>
          <w:tcPr>
            <w:tcW w:w="675" w:type="dxa"/>
            <w:vAlign w:val="top"/>
          </w:tcPr>
          <w:p w14:paraId="68A3CFE4">
            <w:pPr>
              <w:rPr>
                <w:rFonts w:hint="eastAsia" w:ascii="宋体" w:hAnsi="宋体" w:eastAsia="宋体" w:cs="宋体"/>
                <w:color w:val="auto"/>
                <w:sz w:val="21"/>
                <w:highlight w:val="none"/>
              </w:rPr>
            </w:pPr>
          </w:p>
        </w:tc>
        <w:tc>
          <w:tcPr>
            <w:tcW w:w="855" w:type="dxa"/>
            <w:vAlign w:val="top"/>
          </w:tcPr>
          <w:p w14:paraId="2332B11A">
            <w:pPr>
              <w:rPr>
                <w:rFonts w:hint="eastAsia" w:ascii="宋体" w:hAnsi="宋体" w:eastAsia="宋体" w:cs="宋体"/>
                <w:color w:val="auto"/>
                <w:sz w:val="21"/>
                <w:highlight w:val="none"/>
              </w:rPr>
            </w:pPr>
          </w:p>
        </w:tc>
        <w:tc>
          <w:tcPr>
            <w:tcW w:w="990" w:type="dxa"/>
            <w:vAlign w:val="top"/>
          </w:tcPr>
          <w:p w14:paraId="05CA0E34">
            <w:pPr>
              <w:rPr>
                <w:rFonts w:hint="eastAsia" w:ascii="宋体" w:hAnsi="宋体" w:eastAsia="宋体" w:cs="宋体"/>
                <w:color w:val="auto"/>
                <w:sz w:val="21"/>
                <w:highlight w:val="none"/>
              </w:rPr>
            </w:pPr>
          </w:p>
        </w:tc>
        <w:tc>
          <w:tcPr>
            <w:tcW w:w="989" w:type="dxa"/>
            <w:vAlign w:val="top"/>
          </w:tcPr>
          <w:p w14:paraId="440E4BDB">
            <w:pPr>
              <w:rPr>
                <w:rFonts w:hint="eastAsia" w:ascii="宋体" w:hAnsi="宋体" w:eastAsia="宋体" w:cs="宋体"/>
                <w:color w:val="auto"/>
                <w:sz w:val="21"/>
                <w:highlight w:val="none"/>
              </w:rPr>
            </w:pPr>
          </w:p>
        </w:tc>
        <w:tc>
          <w:tcPr>
            <w:tcW w:w="899" w:type="dxa"/>
            <w:vAlign w:val="top"/>
          </w:tcPr>
          <w:p w14:paraId="5521E1A0">
            <w:pPr>
              <w:rPr>
                <w:rFonts w:hint="eastAsia" w:ascii="宋体" w:hAnsi="宋体" w:eastAsia="宋体" w:cs="宋体"/>
                <w:color w:val="auto"/>
                <w:sz w:val="21"/>
                <w:highlight w:val="none"/>
              </w:rPr>
            </w:pPr>
          </w:p>
        </w:tc>
        <w:tc>
          <w:tcPr>
            <w:tcW w:w="855" w:type="dxa"/>
            <w:vAlign w:val="top"/>
          </w:tcPr>
          <w:p w14:paraId="51C03B53">
            <w:pPr>
              <w:rPr>
                <w:rFonts w:hint="eastAsia" w:ascii="宋体" w:hAnsi="宋体" w:eastAsia="宋体" w:cs="宋体"/>
                <w:color w:val="auto"/>
                <w:sz w:val="21"/>
                <w:highlight w:val="none"/>
              </w:rPr>
            </w:pPr>
          </w:p>
        </w:tc>
        <w:tc>
          <w:tcPr>
            <w:tcW w:w="862" w:type="dxa"/>
            <w:vAlign w:val="top"/>
          </w:tcPr>
          <w:p w14:paraId="1EA5FC82">
            <w:pPr>
              <w:rPr>
                <w:rFonts w:hint="eastAsia" w:ascii="宋体" w:hAnsi="宋体" w:eastAsia="宋体" w:cs="宋体"/>
                <w:color w:val="auto"/>
                <w:sz w:val="21"/>
                <w:highlight w:val="none"/>
              </w:rPr>
            </w:pPr>
          </w:p>
        </w:tc>
      </w:tr>
      <w:tr w14:paraId="5BE37FF0">
        <w:tblPrEx>
          <w:tblLayout w:type="fixed"/>
        </w:tblPrEx>
        <w:trPr>
          <w:trHeight w:val="525" w:hRule="atLeast"/>
        </w:trPr>
        <w:tc>
          <w:tcPr>
            <w:tcW w:w="1087" w:type="dxa"/>
            <w:vAlign w:val="top"/>
          </w:tcPr>
          <w:p w14:paraId="78117D8D">
            <w:pPr>
              <w:rPr>
                <w:rFonts w:hint="eastAsia" w:ascii="宋体" w:hAnsi="宋体" w:eastAsia="宋体" w:cs="宋体"/>
                <w:color w:val="auto"/>
                <w:sz w:val="21"/>
                <w:highlight w:val="none"/>
              </w:rPr>
            </w:pPr>
          </w:p>
        </w:tc>
        <w:tc>
          <w:tcPr>
            <w:tcW w:w="855" w:type="dxa"/>
            <w:vAlign w:val="top"/>
          </w:tcPr>
          <w:p w14:paraId="0ED8E9D4">
            <w:pPr>
              <w:rPr>
                <w:rFonts w:hint="eastAsia" w:ascii="宋体" w:hAnsi="宋体" w:eastAsia="宋体" w:cs="宋体"/>
                <w:color w:val="auto"/>
                <w:sz w:val="21"/>
                <w:highlight w:val="none"/>
              </w:rPr>
            </w:pPr>
          </w:p>
        </w:tc>
        <w:tc>
          <w:tcPr>
            <w:tcW w:w="1004" w:type="dxa"/>
            <w:vAlign w:val="top"/>
          </w:tcPr>
          <w:p w14:paraId="5F82DEF6">
            <w:pPr>
              <w:rPr>
                <w:rFonts w:hint="eastAsia" w:ascii="宋体" w:hAnsi="宋体" w:eastAsia="宋体" w:cs="宋体"/>
                <w:color w:val="auto"/>
                <w:sz w:val="21"/>
                <w:highlight w:val="none"/>
              </w:rPr>
            </w:pPr>
          </w:p>
        </w:tc>
        <w:tc>
          <w:tcPr>
            <w:tcW w:w="675" w:type="dxa"/>
            <w:vAlign w:val="top"/>
          </w:tcPr>
          <w:p w14:paraId="74460969">
            <w:pPr>
              <w:rPr>
                <w:rFonts w:hint="eastAsia" w:ascii="宋体" w:hAnsi="宋体" w:eastAsia="宋体" w:cs="宋体"/>
                <w:color w:val="auto"/>
                <w:sz w:val="21"/>
                <w:highlight w:val="none"/>
              </w:rPr>
            </w:pPr>
          </w:p>
        </w:tc>
        <w:tc>
          <w:tcPr>
            <w:tcW w:w="855" w:type="dxa"/>
            <w:vAlign w:val="top"/>
          </w:tcPr>
          <w:p w14:paraId="78DA9C51">
            <w:pPr>
              <w:rPr>
                <w:rFonts w:hint="eastAsia" w:ascii="宋体" w:hAnsi="宋体" w:eastAsia="宋体" w:cs="宋体"/>
                <w:color w:val="auto"/>
                <w:sz w:val="21"/>
                <w:highlight w:val="none"/>
              </w:rPr>
            </w:pPr>
          </w:p>
        </w:tc>
        <w:tc>
          <w:tcPr>
            <w:tcW w:w="990" w:type="dxa"/>
            <w:vAlign w:val="top"/>
          </w:tcPr>
          <w:p w14:paraId="2124DB19">
            <w:pPr>
              <w:rPr>
                <w:rFonts w:hint="eastAsia" w:ascii="宋体" w:hAnsi="宋体" w:eastAsia="宋体" w:cs="宋体"/>
                <w:color w:val="auto"/>
                <w:sz w:val="21"/>
                <w:highlight w:val="none"/>
              </w:rPr>
            </w:pPr>
          </w:p>
        </w:tc>
        <w:tc>
          <w:tcPr>
            <w:tcW w:w="989" w:type="dxa"/>
            <w:vAlign w:val="top"/>
          </w:tcPr>
          <w:p w14:paraId="27001023">
            <w:pPr>
              <w:rPr>
                <w:rFonts w:hint="eastAsia" w:ascii="宋体" w:hAnsi="宋体" w:eastAsia="宋体" w:cs="宋体"/>
                <w:color w:val="auto"/>
                <w:sz w:val="21"/>
                <w:highlight w:val="none"/>
              </w:rPr>
            </w:pPr>
          </w:p>
        </w:tc>
        <w:tc>
          <w:tcPr>
            <w:tcW w:w="899" w:type="dxa"/>
            <w:vAlign w:val="top"/>
          </w:tcPr>
          <w:p w14:paraId="4C7E7887">
            <w:pPr>
              <w:rPr>
                <w:rFonts w:hint="eastAsia" w:ascii="宋体" w:hAnsi="宋体" w:eastAsia="宋体" w:cs="宋体"/>
                <w:color w:val="auto"/>
                <w:sz w:val="21"/>
                <w:highlight w:val="none"/>
              </w:rPr>
            </w:pPr>
          </w:p>
        </w:tc>
        <w:tc>
          <w:tcPr>
            <w:tcW w:w="855" w:type="dxa"/>
            <w:vAlign w:val="top"/>
          </w:tcPr>
          <w:p w14:paraId="11FFB68E">
            <w:pPr>
              <w:rPr>
                <w:rFonts w:hint="eastAsia" w:ascii="宋体" w:hAnsi="宋体" w:eastAsia="宋体" w:cs="宋体"/>
                <w:color w:val="auto"/>
                <w:sz w:val="21"/>
                <w:highlight w:val="none"/>
              </w:rPr>
            </w:pPr>
          </w:p>
        </w:tc>
        <w:tc>
          <w:tcPr>
            <w:tcW w:w="862" w:type="dxa"/>
            <w:vAlign w:val="top"/>
          </w:tcPr>
          <w:p w14:paraId="25F7F90F">
            <w:pPr>
              <w:rPr>
                <w:rFonts w:hint="eastAsia" w:ascii="宋体" w:hAnsi="宋体" w:eastAsia="宋体" w:cs="宋体"/>
                <w:color w:val="auto"/>
                <w:sz w:val="21"/>
                <w:highlight w:val="none"/>
              </w:rPr>
            </w:pPr>
          </w:p>
        </w:tc>
      </w:tr>
      <w:tr w14:paraId="73D6A6F7">
        <w:tblPrEx>
          <w:tblLayout w:type="fixed"/>
        </w:tblPrEx>
        <w:trPr>
          <w:trHeight w:val="540" w:hRule="atLeast"/>
        </w:trPr>
        <w:tc>
          <w:tcPr>
            <w:tcW w:w="1087" w:type="dxa"/>
            <w:vAlign w:val="top"/>
          </w:tcPr>
          <w:p w14:paraId="78AE40D0">
            <w:pPr>
              <w:rPr>
                <w:rFonts w:hint="eastAsia" w:ascii="宋体" w:hAnsi="宋体" w:eastAsia="宋体" w:cs="宋体"/>
                <w:color w:val="auto"/>
                <w:sz w:val="21"/>
                <w:highlight w:val="none"/>
              </w:rPr>
            </w:pPr>
          </w:p>
        </w:tc>
        <w:tc>
          <w:tcPr>
            <w:tcW w:w="855" w:type="dxa"/>
            <w:vAlign w:val="top"/>
          </w:tcPr>
          <w:p w14:paraId="1E4DBF46">
            <w:pPr>
              <w:rPr>
                <w:rFonts w:hint="eastAsia" w:ascii="宋体" w:hAnsi="宋体" w:eastAsia="宋体" w:cs="宋体"/>
                <w:color w:val="auto"/>
                <w:sz w:val="21"/>
                <w:highlight w:val="none"/>
              </w:rPr>
            </w:pPr>
          </w:p>
        </w:tc>
        <w:tc>
          <w:tcPr>
            <w:tcW w:w="1004" w:type="dxa"/>
            <w:vAlign w:val="top"/>
          </w:tcPr>
          <w:p w14:paraId="3C20F6F0">
            <w:pPr>
              <w:rPr>
                <w:rFonts w:hint="eastAsia" w:ascii="宋体" w:hAnsi="宋体" w:eastAsia="宋体" w:cs="宋体"/>
                <w:color w:val="auto"/>
                <w:sz w:val="21"/>
                <w:highlight w:val="none"/>
              </w:rPr>
            </w:pPr>
          </w:p>
        </w:tc>
        <w:tc>
          <w:tcPr>
            <w:tcW w:w="675" w:type="dxa"/>
            <w:vAlign w:val="top"/>
          </w:tcPr>
          <w:p w14:paraId="358A0FC9">
            <w:pPr>
              <w:rPr>
                <w:rFonts w:hint="eastAsia" w:ascii="宋体" w:hAnsi="宋体" w:eastAsia="宋体" w:cs="宋体"/>
                <w:color w:val="auto"/>
                <w:sz w:val="21"/>
                <w:highlight w:val="none"/>
              </w:rPr>
            </w:pPr>
          </w:p>
        </w:tc>
        <w:tc>
          <w:tcPr>
            <w:tcW w:w="855" w:type="dxa"/>
            <w:vAlign w:val="top"/>
          </w:tcPr>
          <w:p w14:paraId="0BE37085">
            <w:pPr>
              <w:rPr>
                <w:rFonts w:hint="eastAsia" w:ascii="宋体" w:hAnsi="宋体" w:eastAsia="宋体" w:cs="宋体"/>
                <w:color w:val="auto"/>
                <w:sz w:val="21"/>
                <w:highlight w:val="none"/>
              </w:rPr>
            </w:pPr>
          </w:p>
        </w:tc>
        <w:tc>
          <w:tcPr>
            <w:tcW w:w="990" w:type="dxa"/>
            <w:vAlign w:val="top"/>
          </w:tcPr>
          <w:p w14:paraId="7F540D85">
            <w:pPr>
              <w:rPr>
                <w:rFonts w:hint="eastAsia" w:ascii="宋体" w:hAnsi="宋体" w:eastAsia="宋体" w:cs="宋体"/>
                <w:color w:val="auto"/>
                <w:sz w:val="21"/>
                <w:highlight w:val="none"/>
              </w:rPr>
            </w:pPr>
          </w:p>
        </w:tc>
        <w:tc>
          <w:tcPr>
            <w:tcW w:w="989" w:type="dxa"/>
            <w:vAlign w:val="top"/>
          </w:tcPr>
          <w:p w14:paraId="1F98AF5B">
            <w:pPr>
              <w:rPr>
                <w:rFonts w:hint="eastAsia" w:ascii="宋体" w:hAnsi="宋体" w:eastAsia="宋体" w:cs="宋体"/>
                <w:color w:val="auto"/>
                <w:sz w:val="21"/>
                <w:highlight w:val="none"/>
              </w:rPr>
            </w:pPr>
          </w:p>
        </w:tc>
        <w:tc>
          <w:tcPr>
            <w:tcW w:w="899" w:type="dxa"/>
            <w:vAlign w:val="top"/>
          </w:tcPr>
          <w:p w14:paraId="5E4EEBB1">
            <w:pPr>
              <w:rPr>
                <w:rFonts w:hint="eastAsia" w:ascii="宋体" w:hAnsi="宋体" w:eastAsia="宋体" w:cs="宋体"/>
                <w:color w:val="auto"/>
                <w:sz w:val="21"/>
                <w:highlight w:val="none"/>
              </w:rPr>
            </w:pPr>
          </w:p>
        </w:tc>
        <w:tc>
          <w:tcPr>
            <w:tcW w:w="855" w:type="dxa"/>
            <w:vAlign w:val="top"/>
          </w:tcPr>
          <w:p w14:paraId="3621B5DF">
            <w:pPr>
              <w:rPr>
                <w:rFonts w:hint="eastAsia" w:ascii="宋体" w:hAnsi="宋体" w:eastAsia="宋体" w:cs="宋体"/>
                <w:color w:val="auto"/>
                <w:sz w:val="21"/>
                <w:highlight w:val="none"/>
              </w:rPr>
            </w:pPr>
          </w:p>
        </w:tc>
        <w:tc>
          <w:tcPr>
            <w:tcW w:w="862" w:type="dxa"/>
            <w:vAlign w:val="top"/>
          </w:tcPr>
          <w:p w14:paraId="1CB21AC5">
            <w:pPr>
              <w:rPr>
                <w:rFonts w:hint="eastAsia" w:ascii="宋体" w:hAnsi="宋体" w:eastAsia="宋体" w:cs="宋体"/>
                <w:color w:val="auto"/>
                <w:sz w:val="21"/>
                <w:highlight w:val="none"/>
              </w:rPr>
            </w:pPr>
          </w:p>
        </w:tc>
      </w:tr>
      <w:tr w14:paraId="3BBF55D2">
        <w:tblPrEx>
          <w:tblLayout w:type="fixed"/>
        </w:tblPrEx>
        <w:trPr>
          <w:trHeight w:val="540" w:hRule="atLeast"/>
        </w:trPr>
        <w:tc>
          <w:tcPr>
            <w:tcW w:w="1087" w:type="dxa"/>
            <w:vAlign w:val="top"/>
          </w:tcPr>
          <w:p w14:paraId="4454E7E8">
            <w:pPr>
              <w:rPr>
                <w:rFonts w:hint="eastAsia" w:ascii="宋体" w:hAnsi="宋体" w:eastAsia="宋体" w:cs="宋体"/>
                <w:color w:val="auto"/>
                <w:sz w:val="21"/>
                <w:highlight w:val="none"/>
              </w:rPr>
            </w:pPr>
          </w:p>
        </w:tc>
        <w:tc>
          <w:tcPr>
            <w:tcW w:w="855" w:type="dxa"/>
            <w:vAlign w:val="top"/>
          </w:tcPr>
          <w:p w14:paraId="3E0F7A3D">
            <w:pPr>
              <w:rPr>
                <w:rFonts w:hint="eastAsia" w:ascii="宋体" w:hAnsi="宋体" w:eastAsia="宋体" w:cs="宋体"/>
                <w:color w:val="auto"/>
                <w:sz w:val="21"/>
                <w:highlight w:val="none"/>
              </w:rPr>
            </w:pPr>
          </w:p>
        </w:tc>
        <w:tc>
          <w:tcPr>
            <w:tcW w:w="1004" w:type="dxa"/>
            <w:vAlign w:val="top"/>
          </w:tcPr>
          <w:p w14:paraId="3A6DAA02">
            <w:pPr>
              <w:rPr>
                <w:rFonts w:hint="eastAsia" w:ascii="宋体" w:hAnsi="宋体" w:eastAsia="宋体" w:cs="宋体"/>
                <w:color w:val="auto"/>
                <w:sz w:val="21"/>
                <w:highlight w:val="none"/>
              </w:rPr>
            </w:pPr>
          </w:p>
        </w:tc>
        <w:tc>
          <w:tcPr>
            <w:tcW w:w="675" w:type="dxa"/>
            <w:vAlign w:val="top"/>
          </w:tcPr>
          <w:p w14:paraId="0BAE6FD2">
            <w:pPr>
              <w:rPr>
                <w:rFonts w:hint="eastAsia" w:ascii="宋体" w:hAnsi="宋体" w:eastAsia="宋体" w:cs="宋体"/>
                <w:color w:val="auto"/>
                <w:sz w:val="21"/>
                <w:highlight w:val="none"/>
              </w:rPr>
            </w:pPr>
          </w:p>
        </w:tc>
        <w:tc>
          <w:tcPr>
            <w:tcW w:w="855" w:type="dxa"/>
            <w:vAlign w:val="top"/>
          </w:tcPr>
          <w:p w14:paraId="04615E24">
            <w:pPr>
              <w:rPr>
                <w:rFonts w:hint="eastAsia" w:ascii="宋体" w:hAnsi="宋体" w:eastAsia="宋体" w:cs="宋体"/>
                <w:color w:val="auto"/>
                <w:sz w:val="21"/>
                <w:highlight w:val="none"/>
              </w:rPr>
            </w:pPr>
          </w:p>
        </w:tc>
        <w:tc>
          <w:tcPr>
            <w:tcW w:w="990" w:type="dxa"/>
            <w:vAlign w:val="top"/>
          </w:tcPr>
          <w:p w14:paraId="22533D2B">
            <w:pPr>
              <w:rPr>
                <w:rFonts w:hint="eastAsia" w:ascii="宋体" w:hAnsi="宋体" w:eastAsia="宋体" w:cs="宋体"/>
                <w:color w:val="auto"/>
                <w:sz w:val="21"/>
                <w:highlight w:val="none"/>
              </w:rPr>
            </w:pPr>
          </w:p>
        </w:tc>
        <w:tc>
          <w:tcPr>
            <w:tcW w:w="989" w:type="dxa"/>
            <w:vAlign w:val="top"/>
          </w:tcPr>
          <w:p w14:paraId="3CC2CFCE">
            <w:pPr>
              <w:rPr>
                <w:rFonts w:hint="eastAsia" w:ascii="宋体" w:hAnsi="宋体" w:eastAsia="宋体" w:cs="宋体"/>
                <w:color w:val="auto"/>
                <w:sz w:val="21"/>
                <w:highlight w:val="none"/>
              </w:rPr>
            </w:pPr>
          </w:p>
        </w:tc>
        <w:tc>
          <w:tcPr>
            <w:tcW w:w="899" w:type="dxa"/>
            <w:vAlign w:val="top"/>
          </w:tcPr>
          <w:p w14:paraId="08E59660">
            <w:pPr>
              <w:rPr>
                <w:rFonts w:hint="eastAsia" w:ascii="宋体" w:hAnsi="宋体" w:eastAsia="宋体" w:cs="宋体"/>
                <w:color w:val="auto"/>
                <w:sz w:val="21"/>
                <w:highlight w:val="none"/>
              </w:rPr>
            </w:pPr>
          </w:p>
        </w:tc>
        <w:tc>
          <w:tcPr>
            <w:tcW w:w="855" w:type="dxa"/>
            <w:vAlign w:val="top"/>
          </w:tcPr>
          <w:p w14:paraId="04B66055">
            <w:pPr>
              <w:rPr>
                <w:rFonts w:hint="eastAsia" w:ascii="宋体" w:hAnsi="宋体" w:eastAsia="宋体" w:cs="宋体"/>
                <w:color w:val="auto"/>
                <w:sz w:val="21"/>
                <w:highlight w:val="none"/>
              </w:rPr>
            </w:pPr>
          </w:p>
        </w:tc>
        <w:tc>
          <w:tcPr>
            <w:tcW w:w="862" w:type="dxa"/>
            <w:vAlign w:val="top"/>
          </w:tcPr>
          <w:p w14:paraId="0411F818">
            <w:pPr>
              <w:rPr>
                <w:rFonts w:hint="eastAsia" w:ascii="宋体" w:hAnsi="宋体" w:eastAsia="宋体" w:cs="宋体"/>
                <w:color w:val="auto"/>
                <w:sz w:val="21"/>
                <w:highlight w:val="none"/>
              </w:rPr>
            </w:pPr>
          </w:p>
        </w:tc>
      </w:tr>
      <w:tr w14:paraId="118941C6">
        <w:tblPrEx>
          <w:tblLayout w:type="fixed"/>
        </w:tblPrEx>
        <w:trPr>
          <w:trHeight w:val="525" w:hRule="atLeast"/>
        </w:trPr>
        <w:tc>
          <w:tcPr>
            <w:tcW w:w="1087" w:type="dxa"/>
            <w:vAlign w:val="top"/>
          </w:tcPr>
          <w:p w14:paraId="29ECA9E9">
            <w:pPr>
              <w:rPr>
                <w:rFonts w:hint="eastAsia" w:ascii="宋体" w:hAnsi="宋体" w:eastAsia="宋体" w:cs="宋体"/>
                <w:color w:val="auto"/>
                <w:sz w:val="21"/>
                <w:highlight w:val="none"/>
              </w:rPr>
            </w:pPr>
          </w:p>
        </w:tc>
        <w:tc>
          <w:tcPr>
            <w:tcW w:w="855" w:type="dxa"/>
            <w:vAlign w:val="top"/>
          </w:tcPr>
          <w:p w14:paraId="430C76BB">
            <w:pPr>
              <w:rPr>
                <w:rFonts w:hint="eastAsia" w:ascii="宋体" w:hAnsi="宋体" w:eastAsia="宋体" w:cs="宋体"/>
                <w:color w:val="auto"/>
                <w:sz w:val="21"/>
                <w:highlight w:val="none"/>
              </w:rPr>
            </w:pPr>
          </w:p>
        </w:tc>
        <w:tc>
          <w:tcPr>
            <w:tcW w:w="1004" w:type="dxa"/>
            <w:vAlign w:val="top"/>
          </w:tcPr>
          <w:p w14:paraId="4EBF031C">
            <w:pPr>
              <w:rPr>
                <w:rFonts w:hint="eastAsia" w:ascii="宋体" w:hAnsi="宋体" w:eastAsia="宋体" w:cs="宋体"/>
                <w:color w:val="auto"/>
                <w:sz w:val="21"/>
                <w:highlight w:val="none"/>
              </w:rPr>
            </w:pPr>
          </w:p>
        </w:tc>
        <w:tc>
          <w:tcPr>
            <w:tcW w:w="675" w:type="dxa"/>
            <w:vAlign w:val="top"/>
          </w:tcPr>
          <w:p w14:paraId="08B55AAF">
            <w:pPr>
              <w:rPr>
                <w:rFonts w:hint="eastAsia" w:ascii="宋体" w:hAnsi="宋体" w:eastAsia="宋体" w:cs="宋体"/>
                <w:color w:val="auto"/>
                <w:sz w:val="21"/>
                <w:highlight w:val="none"/>
              </w:rPr>
            </w:pPr>
          </w:p>
        </w:tc>
        <w:tc>
          <w:tcPr>
            <w:tcW w:w="855" w:type="dxa"/>
            <w:vAlign w:val="top"/>
          </w:tcPr>
          <w:p w14:paraId="372718C2">
            <w:pPr>
              <w:rPr>
                <w:rFonts w:hint="eastAsia" w:ascii="宋体" w:hAnsi="宋体" w:eastAsia="宋体" w:cs="宋体"/>
                <w:color w:val="auto"/>
                <w:sz w:val="21"/>
                <w:highlight w:val="none"/>
              </w:rPr>
            </w:pPr>
          </w:p>
        </w:tc>
        <w:tc>
          <w:tcPr>
            <w:tcW w:w="990" w:type="dxa"/>
            <w:vAlign w:val="top"/>
          </w:tcPr>
          <w:p w14:paraId="1E8CD147">
            <w:pPr>
              <w:rPr>
                <w:rFonts w:hint="eastAsia" w:ascii="宋体" w:hAnsi="宋体" w:eastAsia="宋体" w:cs="宋体"/>
                <w:color w:val="auto"/>
                <w:sz w:val="21"/>
                <w:highlight w:val="none"/>
              </w:rPr>
            </w:pPr>
          </w:p>
        </w:tc>
        <w:tc>
          <w:tcPr>
            <w:tcW w:w="989" w:type="dxa"/>
            <w:vAlign w:val="top"/>
          </w:tcPr>
          <w:p w14:paraId="5C63004A">
            <w:pPr>
              <w:rPr>
                <w:rFonts w:hint="eastAsia" w:ascii="宋体" w:hAnsi="宋体" w:eastAsia="宋体" w:cs="宋体"/>
                <w:color w:val="auto"/>
                <w:sz w:val="21"/>
                <w:highlight w:val="none"/>
              </w:rPr>
            </w:pPr>
          </w:p>
        </w:tc>
        <w:tc>
          <w:tcPr>
            <w:tcW w:w="899" w:type="dxa"/>
            <w:vAlign w:val="top"/>
          </w:tcPr>
          <w:p w14:paraId="112711EF">
            <w:pPr>
              <w:rPr>
                <w:rFonts w:hint="eastAsia" w:ascii="宋体" w:hAnsi="宋体" w:eastAsia="宋体" w:cs="宋体"/>
                <w:color w:val="auto"/>
                <w:sz w:val="21"/>
                <w:highlight w:val="none"/>
              </w:rPr>
            </w:pPr>
          </w:p>
        </w:tc>
        <w:tc>
          <w:tcPr>
            <w:tcW w:w="855" w:type="dxa"/>
            <w:vAlign w:val="top"/>
          </w:tcPr>
          <w:p w14:paraId="0EA94DEB">
            <w:pPr>
              <w:rPr>
                <w:rFonts w:hint="eastAsia" w:ascii="宋体" w:hAnsi="宋体" w:eastAsia="宋体" w:cs="宋体"/>
                <w:color w:val="auto"/>
                <w:sz w:val="21"/>
                <w:highlight w:val="none"/>
              </w:rPr>
            </w:pPr>
          </w:p>
        </w:tc>
        <w:tc>
          <w:tcPr>
            <w:tcW w:w="862" w:type="dxa"/>
            <w:vAlign w:val="top"/>
          </w:tcPr>
          <w:p w14:paraId="591ED274">
            <w:pPr>
              <w:rPr>
                <w:rFonts w:hint="eastAsia" w:ascii="宋体" w:hAnsi="宋体" w:eastAsia="宋体" w:cs="宋体"/>
                <w:color w:val="auto"/>
                <w:sz w:val="21"/>
                <w:highlight w:val="none"/>
              </w:rPr>
            </w:pPr>
          </w:p>
        </w:tc>
      </w:tr>
      <w:tr w14:paraId="40D9D982">
        <w:tblPrEx>
          <w:tblLayout w:type="fixed"/>
        </w:tblPrEx>
        <w:trPr>
          <w:trHeight w:val="540" w:hRule="atLeast"/>
        </w:trPr>
        <w:tc>
          <w:tcPr>
            <w:tcW w:w="1087" w:type="dxa"/>
            <w:vAlign w:val="top"/>
          </w:tcPr>
          <w:p w14:paraId="36A0967D">
            <w:pPr>
              <w:rPr>
                <w:rFonts w:hint="eastAsia" w:ascii="宋体" w:hAnsi="宋体" w:eastAsia="宋体" w:cs="宋体"/>
                <w:color w:val="auto"/>
                <w:sz w:val="21"/>
                <w:highlight w:val="none"/>
              </w:rPr>
            </w:pPr>
          </w:p>
        </w:tc>
        <w:tc>
          <w:tcPr>
            <w:tcW w:w="855" w:type="dxa"/>
            <w:vAlign w:val="top"/>
          </w:tcPr>
          <w:p w14:paraId="3197D4FF">
            <w:pPr>
              <w:rPr>
                <w:rFonts w:hint="eastAsia" w:ascii="宋体" w:hAnsi="宋体" w:eastAsia="宋体" w:cs="宋体"/>
                <w:color w:val="auto"/>
                <w:sz w:val="21"/>
                <w:highlight w:val="none"/>
              </w:rPr>
            </w:pPr>
          </w:p>
        </w:tc>
        <w:tc>
          <w:tcPr>
            <w:tcW w:w="1004" w:type="dxa"/>
            <w:vAlign w:val="top"/>
          </w:tcPr>
          <w:p w14:paraId="1B9F6EBF">
            <w:pPr>
              <w:rPr>
                <w:rFonts w:hint="eastAsia" w:ascii="宋体" w:hAnsi="宋体" w:eastAsia="宋体" w:cs="宋体"/>
                <w:color w:val="auto"/>
                <w:sz w:val="21"/>
                <w:highlight w:val="none"/>
              </w:rPr>
            </w:pPr>
          </w:p>
        </w:tc>
        <w:tc>
          <w:tcPr>
            <w:tcW w:w="675" w:type="dxa"/>
            <w:vAlign w:val="top"/>
          </w:tcPr>
          <w:p w14:paraId="0B6BB69B">
            <w:pPr>
              <w:rPr>
                <w:rFonts w:hint="eastAsia" w:ascii="宋体" w:hAnsi="宋体" w:eastAsia="宋体" w:cs="宋体"/>
                <w:color w:val="auto"/>
                <w:sz w:val="21"/>
                <w:highlight w:val="none"/>
              </w:rPr>
            </w:pPr>
          </w:p>
        </w:tc>
        <w:tc>
          <w:tcPr>
            <w:tcW w:w="855" w:type="dxa"/>
            <w:vAlign w:val="top"/>
          </w:tcPr>
          <w:p w14:paraId="19CDB407">
            <w:pPr>
              <w:rPr>
                <w:rFonts w:hint="eastAsia" w:ascii="宋体" w:hAnsi="宋体" w:eastAsia="宋体" w:cs="宋体"/>
                <w:color w:val="auto"/>
                <w:sz w:val="21"/>
                <w:highlight w:val="none"/>
              </w:rPr>
            </w:pPr>
          </w:p>
        </w:tc>
        <w:tc>
          <w:tcPr>
            <w:tcW w:w="990" w:type="dxa"/>
            <w:vAlign w:val="top"/>
          </w:tcPr>
          <w:p w14:paraId="1E672B9D">
            <w:pPr>
              <w:rPr>
                <w:rFonts w:hint="eastAsia" w:ascii="宋体" w:hAnsi="宋体" w:eastAsia="宋体" w:cs="宋体"/>
                <w:color w:val="auto"/>
                <w:sz w:val="21"/>
                <w:highlight w:val="none"/>
              </w:rPr>
            </w:pPr>
          </w:p>
        </w:tc>
        <w:tc>
          <w:tcPr>
            <w:tcW w:w="989" w:type="dxa"/>
            <w:vAlign w:val="top"/>
          </w:tcPr>
          <w:p w14:paraId="01345629">
            <w:pPr>
              <w:rPr>
                <w:rFonts w:hint="eastAsia" w:ascii="宋体" w:hAnsi="宋体" w:eastAsia="宋体" w:cs="宋体"/>
                <w:color w:val="auto"/>
                <w:sz w:val="21"/>
                <w:highlight w:val="none"/>
              </w:rPr>
            </w:pPr>
          </w:p>
        </w:tc>
        <w:tc>
          <w:tcPr>
            <w:tcW w:w="899" w:type="dxa"/>
            <w:vAlign w:val="top"/>
          </w:tcPr>
          <w:p w14:paraId="03C83729">
            <w:pPr>
              <w:rPr>
                <w:rFonts w:hint="eastAsia" w:ascii="宋体" w:hAnsi="宋体" w:eastAsia="宋体" w:cs="宋体"/>
                <w:color w:val="auto"/>
                <w:sz w:val="21"/>
                <w:highlight w:val="none"/>
              </w:rPr>
            </w:pPr>
          </w:p>
        </w:tc>
        <w:tc>
          <w:tcPr>
            <w:tcW w:w="855" w:type="dxa"/>
            <w:vAlign w:val="top"/>
          </w:tcPr>
          <w:p w14:paraId="2E03F59B">
            <w:pPr>
              <w:rPr>
                <w:rFonts w:hint="eastAsia" w:ascii="宋体" w:hAnsi="宋体" w:eastAsia="宋体" w:cs="宋体"/>
                <w:color w:val="auto"/>
                <w:sz w:val="21"/>
                <w:highlight w:val="none"/>
              </w:rPr>
            </w:pPr>
          </w:p>
        </w:tc>
        <w:tc>
          <w:tcPr>
            <w:tcW w:w="862" w:type="dxa"/>
            <w:vAlign w:val="top"/>
          </w:tcPr>
          <w:p w14:paraId="5341D628">
            <w:pPr>
              <w:rPr>
                <w:rFonts w:hint="eastAsia" w:ascii="宋体" w:hAnsi="宋体" w:eastAsia="宋体" w:cs="宋体"/>
                <w:color w:val="auto"/>
                <w:sz w:val="21"/>
                <w:highlight w:val="none"/>
              </w:rPr>
            </w:pPr>
          </w:p>
        </w:tc>
      </w:tr>
      <w:tr w14:paraId="156DC3D4">
        <w:tblPrEx>
          <w:tblLayout w:type="fixed"/>
        </w:tblPrEx>
        <w:trPr>
          <w:trHeight w:val="532" w:hRule="atLeast"/>
        </w:trPr>
        <w:tc>
          <w:tcPr>
            <w:tcW w:w="1087" w:type="dxa"/>
            <w:vAlign w:val="top"/>
          </w:tcPr>
          <w:p w14:paraId="20200B3C">
            <w:pPr>
              <w:rPr>
                <w:rFonts w:hint="eastAsia" w:ascii="宋体" w:hAnsi="宋体" w:eastAsia="宋体" w:cs="宋体"/>
                <w:color w:val="auto"/>
                <w:sz w:val="21"/>
                <w:highlight w:val="none"/>
              </w:rPr>
            </w:pPr>
          </w:p>
        </w:tc>
        <w:tc>
          <w:tcPr>
            <w:tcW w:w="855" w:type="dxa"/>
            <w:vAlign w:val="top"/>
          </w:tcPr>
          <w:p w14:paraId="0F581EC5">
            <w:pPr>
              <w:rPr>
                <w:rFonts w:hint="eastAsia" w:ascii="宋体" w:hAnsi="宋体" w:eastAsia="宋体" w:cs="宋体"/>
                <w:color w:val="auto"/>
                <w:sz w:val="21"/>
                <w:highlight w:val="none"/>
              </w:rPr>
            </w:pPr>
          </w:p>
        </w:tc>
        <w:tc>
          <w:tcPr>
            <w:tcW w:w="1004" w:type="dxa"/>
            <w:vAlign w:val="top"/>
          </w:tcPr>
          <w:p w14:paraId="4DF164E8">
            <w:pPr>
              <w:rPr>
                <w:rFonts w:hint="eastAsia" w:ascii="宋体" w:hAnsi="宋体" w:eastAsia="宋体" w:cs="宋体"/>
                <w:color w:val="auto"/>
                <w:sz w:val="21"/>
                <w:highlight w:val="none"/>
              </w:rPr>
            </w:pPr>
          </w:p>
        </w:tc>
        <w:tc>
          <w:tcPr>
            <w:tcW w:w="675" w:type="dxa"/>
            <w:vAlign w:val="top"/>
          </w:tcPr>
          <w:p w14:paraId="3719DEE3">
            <w:pPr>
              <w:rPr>
                <w:rFonts w:hint="eastAsia" w:ascii="宋体" w:hAnsi="宋体" w:eastAsia="宋体" w:cs="宋体"/>
                <w:color w:val="auto"/>
                <w:sz w:val="21"/>
                <w:highlight w:val="none"/>
              </w:rPr>
            </w:pPr>
          </w:p>
        </w:tc>
        <w:tc>
          <w:tcPr>
            <w:tcW w:w="855" w:type="dxa"/>
            <w:vAlign w:val="top"/>
          </w:tcPr>
          <w:p w14:paraId="7604E9ED">
            <w:pPr>
              <w:rPr>
                <w:rFonts w:hint="eastAsia" w:ascii="宋体" w:hAnsi="宋体" w:eastAsia="宋体" w:cs="宋体"/>
                <w:color w:val="auto"/>
                <w:sz w:val="21"/>
                <w:highlight w:val="none"/>
              </w:rPr>
            </w:pPr>
          </w:p>
        </w:tc>
        <w:tc>
          <w:tcPr>
            <w:tcW w:w="990" w:type="dxa"/>
            <w:vAlign w:val="top"/>
          </w:tcPr>
          <w:p w14:paraId="54B3982E">
            <w:pPr>
              <w:rPr>
                <w:rFonts w:hint="eastAsia" w:ascii="宋体" w:hAnsi="宋体" w:eastAsia="宋体" w:cs="宋体"/>
                <w:color w:val="auto"/>
                <w:sz w:val="21"/>
                <w:highlight w:val="none"/>
              </w:rPr>
            </w:pPr>
          </w:p>
        </w:tc>
        <w:tc>
          <w:tcPr>
            <w:tcW w:w="989" w:type="dxa"/>
            <w:vAlign w:val="top"/>
          </w:tcPr>
          <w:p w14:paraId="430D0A14">
            <w:pPr>
              <w:rPr>
                <w:rFonts w:hint="eastAsia" w:ascii="宋体" w:hAnsi="宋体" w:eastAsia="宋体" w:cs="宋体"/>
                <w:color w:val="auto"/>
                <w:sz w:val="21"/>
                <w:highlight w:val="none"/>
              </w:rPr>
            </w:pPr>
          </w:p>
        </w:tc>
        <w:tc>
          <w:tcPr>
            <w:tcW w:w="899" w:type="dxa"/>
            <w:vAlign w:val="top"/>
          </w:tcPr>
          <w:p w14:paraId="602F3B88">
            <w:pPr>
              <w:rPr>
                <w:rFonts w:hint="eastAsia" w:ascii="宋体" w:hAnsi="宋体" w:eastAsia="宋体" w:cs="宋体"/>
                <w:color w:val="auto"/>
                <w:sz w:val="21"/>
                <w:highlight w:val="none"/>
              </w:rPr>
            </w:pPr>
          </w:p>
        </w:tc>
        <w:tc>
          <w:tcPr>
            <w:tcW w:w="855" w:type="dxa"/>
            <w:vAlign w:val="top"/>
          </w:tcPr>
          <w:p w14:paraId="52C94F01">
            <w:pPr>
              <w:rPr>
                <w:rFonts w:hint="eastAsia" w:ascii="宋体" w:hAnsi="宋体" w:eastAsia="宋体" w:cs="宋体"/>
                <w:color w:val="auto"/>
                <w:sz w:val="21"/>
                <w:highlight w:val="none"/>
              </w:rPr>
            </w:pPr>
          </w:p>
        </w:tc>
        <w:tc>
          <w:tcPr>
            <w:tcW w:w="862" w:type="dxa"/>
            <w:vAlign w:val="top"/>
          </w:tcPr>
          <w:p w14:paraId="36AF66CC">
            <w:pPr>
              <w:rPr>
                <w:rFonts w:hint="eastAsia" w:ascii="宋体" w:hAnsi="宋体" w:eastAsia="宋体" w:cs="宋体"/>
                <w:color w:val="auto"/>
                <w:sz w:val="21"/>
                <w:highlight w:val="none"/>
              </w:rPr>
            </w:pPr>
          </w:p>
        </w:tc>
      </w:tr>
    </w:tbl>
    <w:p w14:paraId="1CD11901">
      <w:pPr>
        <w:pStyle w:val="8"/>
        <w:rPr>
          <w:rFonts w:hint="eastAsia" w:ascii="宋体" w:hAnsi="宋体" w:eastAsia="宋体" w:cs="宋体"/>
          <w:color w:val="auto"/>
          <w:highlight w:val="none"/>
        </w:rPr>
      </w:pPr>
    </w:p>
    <w:p w14:paraId="77930076">
      <w:pPr>
        <w:rPr>
          <w:rFonts w:hint="eastAsia" w:ascii="宋体" w:hAnsi="宋体" w:eastAsia="宋体" w:cs="宋体"/>
          <w:color w:val="auto"/>
          <w:highlight w:val="none"/>
        </w:rPr>
        <w:sectPr>
          <w:footerReference r:id="rId7" w:type="default"/>
          <w:pgSz w:w="11910" w:h="16845"/>
          <w:pgMar w:top="1440" w:right="1800" w:bottom="1440" w:left="1800" w:header="0" w:footer="810" w:gutter="0"/>
          <w:pgNumType w:fmt="decimal"/>
          <w:cols w:space="720" w:num="1"/>
        </w:sectPr>
      </w:pPr>
    </w:p>
    <w:p w14:paraId="1A545030">
      <w:pPr>
        <w:spacing w:before="78" w:line="219" w:lineRule="auto"/>
        <w:ind w:left="148"/>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附件</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0"/>
          <w:sz w:val="24"/>
          <w:szCs w:val="24"/>
          <w:highlight w:val="none"/>
        </w:rPr>
        <w:t>2：</w:t>
      </w:r>
    </w:p>
    <w:p w14:paraId="124C3F95">
      <w:pPr>
        <w:spacing w:before="126" w:line="221" w:lineRule="auto"/>
        <w:ind w:left="2734"/>
        <w:rPr>
          <w:rFonts w:hint="eastAsia" w:ascii="宋体" w:hAnsi="宋体" w:eastAsia="宋体" w:cs="宋体"/>
          <w:color w:val="auto"/>
          <w:sz w:val="28"/>
          <w:szCs w:val="28"/>
          <w:highlight w:val="none"/>
        </w:rPr>
      </w:pPr>
      <w:r>
        <w:rPr>
          <w:rFonts w:hint="eastAsia" w:ascii="宋体" w:hAnsi="宋体" w:eastAsia="宋体" w:cs="宋体"/>
          <w:b/>
          <w:bCs/>
          <w:color w:val="auto"/>
          <w:spacing w:val="14"/>
          <w:sz w:val="28"/>
          <w:szCs w:val="28"/>
          <w:highlight w:val="none"/>
        </w:rPr>
        <w:t>发包人供应材料设备一览表</w:t>
      </w:r>
    </w:p>
    <w:tbl>
      <w:tblPr>
        <w:tblStyle w:val="50"/>
        <w:tblW w:w="907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7"/>
        <w:gridCol w:w="1170"/>
        <w:gridCol w:w="989"/>
        <w:gridCol w:w="675"/>
        <w:gridCol w:w="854"/>
        <w:gridCol w:w="1035"/>
        <w:gridCol w:w="989"/>
        <w:gridCol w:w="855"/>
        <w:gridCol w:w="855"/>
        <w:gridCol w:w="862"/>
      </w:tblGrid>
      <w:tr w14:paraId="6B35D006">
        <w:tblPrEx>
          <w:tblLayout w:type="fixed"/>
        </w:tblPrEx>
        <w:trPr>
          <w:trHeight w:val="922" w:hRule="atLeast"/>
        </w:trPr>
        <w:tc>
          <w:tcPr>
            <w:tcW w:w="787" w:type="dxa"/>
            <w:vAlign w:val="top"/>
          </w:tcPr>
          <w:p w14:paraId="060414B3">
            <w:pPr>
              <w:spacing w:line="349" w:lineRule="auto"/>
              <w:rPr>
                <w:rFonts w:hint="eastAsia" w:ascii="宋体" w:hAnsi="宋体" w:eastAsia="宋体" w:cs="宋体"/>
                <w:color w:val="auto"/>
                <w:sz w:val="21"/>
                <w:highlight w:val="none"/>
              </w:rPr>
            </w:pPr>
          </w:p>
          <w:p w14:paraId="5A279432">
            <w:pPr>
              <w:pStyle w:val="52"/>
              <w:spacing w:before="68" w:line="221" w:lineRule="auto"/>
              <w:ind w:left="17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1170" w:type="dxa"/>
            <w:vAlign w:val="top"/>
          </w:tcPr>
          <w:p w14:paraId="2CC908F2">
            <w:pPr>
              <w:pStyle w:val="52"/>
              <w:spacing w:before="195" w:line="315" w:lineRule="auto"/>
              <w:ind w:left="394" w:right="95" w:hanging="287"/>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材料、设备</w:t>
            </w:r>
            <w:r>
              <w:rPr>
                <w:rFonts w:hint="eastAsia" w:ascii="宋体" w:hAnsi="宋体" w:eastAsia="宋体" w:cs="宋体"/>
                <w:color w:val="auto"/>
                <w:spacing w:val="-7"/>
                <w:sz w:val="21"/>
                <w:szCs w:val="21"/>
                <w:highlight w:val="none"/>
              </w:rPr>
              <w:t>品种</w:t>
            </w:r>
          </w:p>
        </w:tc>
        <w:tc>
          <w:tcPr>
            <w:tcW w:w="989" w:type="dxa"/>
            <w:vAlign w:val="top"/>
          </w:tcPr>
          <w:p w14:paraId="38F70A0B">
            <w:pPr>
              <w:pStyle w:val="52"/>
              <w:spacing w:before="195" w:line="315" w:lineRule="auto"/>
              <w:ind w:left="383" w:right="182" w:hanging="2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规格型</w:t>
            </w:r>
            <w:r>
              <w:rPr>
                <w:rFonts w:hint="eastAsia" w:ascii="宋体" w:hAnsi="宋体" w:eastAsia="宋体" w:cs="宋体"/>
                <w:color w:val="auto"/>
                <w:sz w:val="21"/>
                <w:szCs w:val="21"/>
                <w:highlight w:val="none"/>
              </w:rPr>
              <w:t>号</w:t>
            </w:r>
          </w:p>
        </w:tc>
        <w:tc>
          <w:tcPr>
            <w:tcW w:w="675" w:type="dxa"/>
            <w:vAlign w:val="top"/>
          </w:tcPr>
          <w:p w14:paraId="442C4AE8">
            <w:pPr>
              <w:spacing w:line="349" w:lineRule="auto"/>
              <w:rPr>
                <w:rFonts w:hint="eastAsia" w:ascii="宋体" w:hAnsi="宋体" w:eastAsia="宋体" w:cs="宋体"/>
                <w:color w:val="auto"/>
                <w:sz w:val="21"/>
                <w:highlight w:val="none"/>
              </w:rPr>
            </w:pPr>
          </w:p>
          <w:p w14:paraId="5CBECACD">
            <w:pPr>
              <w:pStyle w:val="52"/>
              <w:spacing w:before="69" w:line="22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854" w:type="dxa"/>
            <w:vAlign w:val="top"/>
          </w:tcPr>
          <w:p w14:paraId="79E4188B">
            <w:pPr>
              <w:spacing w:line="349" w:lineRule="auto"/>
              <w:rPr>
                <w:rFonts w:hint="eastAsia" w:ascii="宋体" w:hAnsi="宋体" w:eastAsia="宋体" w:cs="宋体"/>
                <w:color w:val="auto"/>
                <w:sz w:val="21"/>
                <w:highlight w:val="none"/>
              </w:rPr>
            </w:pPr>
          </w:p>
          <w:p w14:paraId="2901691E">
            <w:pPr>
              <w:pStyle w:val="52"/>
              <w:spacing w:before="68" w:line="220" w:lineRule="auto"/>
              <w:ind w:left="2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1035" w:type="dxa"/>
            <w:vAlign w:val="top"/>
          </w:tcPr>
          <w:p w14:paraId="20F40562">
            <w:pPr>
              <w:pStyle w:val="52"/>
              <w:spacing w:before="195" w:line="315" w:lineRule="auto"/>
              <w:ind w:left="209" w:right="206" w:firstLine="10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单价</w:t>
            </w:r>
            <w:r>
              <w:rPr>
                <w:rFonts w:hint="eastAsia" w:ascii="宋体" w:hAnsi="宋体" w:eastAsia="宋体" w:cs="宋体"/>
                <w:color w:val="auto"/>
                <w:spacing w:val="-9"/>
                <w:sz w:val="21"/>
                <w:szCs w:val="21"/>
                <w:highlight w:val="none"/>
              </w:rPr>
              <w:t>（元）</w:t>
            </w:r>
          </w:p>
        </w:tc>
        <w:tc>
          <w:tcPr>
            <w:tcW w:w="989" w:type="dxa"/>
            <w:vAlign w:val="top"/>
          </w:tcPr>
          <w:p w14:paraId="51B00C87">
            <w:pPr>
              <w:pStyle w:val="52"/>
              <w:spacing w:before="195" w:line="315" w:lineRule="auto"/>
              <w:ind w:left="404" w:right="161" w:hanging="2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质量等</w:t>
            </w:r>
            <w:r>
              <w:rPr>
                <w:rFonts w:hint="eastAsia" w:ascii="宋体" w:hAnsi="宋体" w:eastAsia="宋体" w:cs="宋体"/>
                <w:color w:val="auto"/>
                <w:sz w:val="21"/>
                <w:szCs w:val="21"/>
                <w:highlight w:val="none"/>
              </w:rPr>
              <w:t>级</w:t>
            </w:r>
          </w:p>
        </w:tc>
        <w:tc>
          <w:tcPr>
            <w:tcW w:w="855" w:type="dxa"/>
            <w:vAlign w:val="top"/>
          </w:tcPr>
          <w:p w14:paraId="1592175A">
            <w:pPr>
              <w:pStyle w:val="52"/>
              <w:spacing w:before="194" w:line="219"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w:t>
            </w:r>
          </w:p>
          <w:p w14:paraId="74212D81">
            <w:pPr>
              <w:pStyle w:val="52"/>
              <w:spacing w:before="201" w:line="222" w:lineRule="auto"/>
              <w:ind w:left="24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时间</w:t>
            </w:r>
          </w:p>
        </w:tc>
        <w:tc>
          <w:tcPr>
            <w:tcW w:w="855" w:type="dxa"/>
            <w:vAlign w:val="top"/>
          </w:tcPr>
          <w:p w14:paraId="192B58EA">
            <w:pPr>
              <w:pStyle w:val="52"/>
              <w:spacing w:before="195" w:line="315" w:lineRule="auto"/>
              <w:ind w:left="339" w:right="98" w:hanging="2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送达地</w:t>
            </w:r>
            <w:r>
              <w:rPr>
                <w:rFonts w:hint="eastAsia" w:ascii="宋体" w:hAnsi="宋体" w:eastAsia="宋体" w:cs="宋体"/>
                <w:color w:val="auto"/>
                <w:sz w:val="21"/>
                <w:szCs w:val="21"/>
                <w:highlight w:val="none"/>
              </w:rPr>
              <w:t>点</w:t>
            </w:r>
          </w:p>
        </w:tc>
        <w:tc>
          <w:tcPr>
            <w:tcW w:w="862" w:type="dxa"/>
            <w:vAlign w:val="top"/>
          </w:tcPr>
          <w:p w14:paraId="245A0D8C">
            <w:pPr>
              <w:spacing w:line="349" w:lineRule="auto"/>
              <w:rPr>
                <w:rFonts w:hint="eastAsia" w:ascii="宋体" w:hAnsi="宋体" w:eastAsia="宋体" w:cs="宋体"/>
                <w:color w:val="auto"/>
                <w:sz w:val="21"/>
                <w:highlight w:val="none"/>
              </w:rPr>
            </w:pPr>
          </w:p>
          <w:p w14:paraId="6B4BE064">
            <w:pPr>
              <w:pStyle w:val="52"/>
              <w:spacing w:before="68" w:line="221" w:lineRule="auto"/>
              <w:ind w:left="22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7E0CBC38">
        <w:tblPrEx>
          <w:tblLayout w:type="fixed"/>
        </w:tblPrEx>
        <w:trPr>
          <w:trHeight w:val="539" w:hRule="atLeast"/>
        </w:trPr>
        <w:tc>
          <w:tcPr>
            <w:tcW w:w="787" w:type="dxa"/>
            <w:vAlign w:val="top"/>
          </w:tcPr>
          <w:p w14:paraId="0CB9A865">
            <w:pPr>
              <w:rPr>
                <w:rFonts w:hint="eastAsia" w:ascii="宋体" w:hAnsi="宋体" w:eastAsia="宋体" w:cs="宋体"/>
                <w:color w:val="auto"/>
                <w:sz w:val="21"/>
                <w:highlight w:val="none"/>
              </w:rPr>
            </w:pPr>
          </w:p>
        </w:tc>
        <w:tc>
          <w:tcPr>
            <w:tcW w:w="1170" w:type="dxa"/>
            <w:vAlign w:val="top"/>
          </w:tcPr>
          <w:p w14:paraId="0B93A3CE">
            <w:pPr>
              <w:rPr>
                <w:rFonts w:hint="eastAsia" w:ascii="宋体" w:hAnsi="宋体" w:eastAsia="宋体" w:cs="宋体"/>
                <w:color w:val="auto"/>
                <w:sz w:val="21"/>
                <w:highlight w:val="none"/>
              </w:rPr>
            </w:pPr>
          </w:p>
        </w:tc>
        <w:tc>
          <w:tcPr>
            <w:tcW w:w="989" w:type="dxa"/>
            <w:vAlign w:val="top"/>
          </w:tcPr>
          <w:p w14:paraId="6BDD4243">
            <w:pPr>
              <w:rPr>
                <w:rFonts w:hint="eastAsia" w:ascii="宋体" w:hAnsi="宋体" w:eastAsia="宋体" w:cs="宋体"/>
                <w:color w:val="auto"/>
                <w:sz w:val="21"/>
                <w:highlight w:val="none"/>
              </w:rPr>
            </w:pPr>
          </w:p>
        </w:tc>
        <w:tc>
          <w:tcPr>
            <w:tcW w:w="675" w:type="dxa"/>
            <w:vAlign w:val="top"/>
          </w:tcPr>
          <w:p w14:paraId="7B11F9CC">
            <w:pPr>
              <w:rPr>
                <w:rFonts w:hint="eastAsia" w:ascii="宋体" w:hAnsi="宋体" w:eastAsia="宋体" w:cs="宋体"/>
                <w:color w:val="auto"/>
                <w:sz w:val="21"/>
                <w:highlight w:val="none"/>
              </w:rPr>
            </w:pPr>
          </w:p>
        </w:tc>
        <w:tc>
          <w:tcPr>
            <w:tcW w:w="854" w:type="dxa"/>
            <w:vAlign w:val="top"/>
          </w:tcPr>
          <w:p w14:paraId="76933022">
            <w:pPr>
              <w:rPr>
                <w:rFonts w:hint="eastAsia" w:ascii="宋体" w:hAnsi="宋体" w:eastAsia="宋体" w:cs="宋体"/>
                <w:color w:val="auto"/>
                <w:sz w:val="21"/>
                <w:highlight w:val="none"/>
              </w:rPr>
            </w:pPr>
          </w:p>
        </w:tc>
        <w:tc>
          <w:tcPr>
            <w:tcW w:w="1035" w:type="dxa"/>
            <w:vAlign w:val="top"/>
          </w:tcPr>
          <w:p w14:paraId="5EE1CF86">
            <w:pPr>
              <w:rPr>
                <w:rFonts w:hint="eastAsia" w:ascii="宋体" w:hAnsi="宋体" w:eastAsia="宋体" w:cs="宋体"/>
                <w:color w:val="auto"/>
                <w:sz w:val="21"/>
                <w:highlight w:val="none"/>
              </w:rPr>
            </w:pPr>
          </w:p>
        </w:tc>
        <w:tc>
          <w:tcPr>
            <w:tcW w:w="989" w:type="dxa"/>
            <w:vAlign w:val="top"/>
          </w:tcPr>
          <w:p w14:paraId="30CF0766">
            <w:pPr>
              <w:rPr>
                <w:rFonts w:hint="eastAsia" w:ascii="宋体" w:hAnsi="宋体" w:eastAsia="宋体" w:cs="宋体"/>
                <w:color w:val="auto"/>
                <w:sz w:val="21"/>
                <w:highlight w:val="none"/>
              </w:rPr>
            </w:pPr>
          </w:p>
        </w:tc>
        <w:tc>
          <w:tcPr>
            <w:tcW w:w="855" w:type="dxa"/>
            <w:vAlign w:val="top"/>
          </w:tcPr>
          <w:p w14:paraId="5F40168D">
            <w:pPr>
              <w:rPr>
                <w:rFonts w:hint="eastAsia" w:ascii="宋体" w:hAnsi="宋体" w:eastAsia="宋体" w:cs="宋体"/>
                <w:color w:val="auto"/>
                <w:sz w:val="21"/>
                <w:highlight w:val="none"/>
              </w:rPr>
            </w:pPr>
          </w:p>
        </w:tc>
        <w:tc>
          <w:tcPr>
            <w:tcW w:w="855" w:type="dxa"/>
            <w:vAlign w:val="top"/>
          </w:tcPr>
          <w:p w14:paraId="6C311D41">
            <w:pPr>
              <w:rPr>
                <w:rFonts w:hint="eastAsia" w:ascii="宋体" w:hAnsi="宋体" w:eastAsia="宋体" w:cs="宋体"/>
                <w:color w:val="auto"/>
                <w:sz w:val="21"/>
                <w:highlight w:val="none"/>
              </w:rPr>
            </w:pPr>
          </w:p>
        </w:tc>
        <w:tc>
          <w:tcPr>
            <w:tcW w:w="862" w:type="dxa"/>
            <w:vAlign w:val="top"/>
          </w:tcPr>
          <w:p w14:paraId="55CBEB36">
            <w:pPr>
              <w:rPr>
                <w:rFonts w:hint="eastAsia" w:ascii="宋体" w:hAnsi="宋体" w:eastAsia="宋体" w:cs="宋体"/>
                <w:color w:val="auto"/>
                <w:sz w:val="21"/>
                <w:highlight w:val="none"/>
              </w:rPr>
            </w:pPr>
          </w:p>
        </w:tc>
      </w:tr>
      <w:tr w14:paraId="71DA15E6">
        <w:tblPrEx>
          <w:tblLayout w:type="fixed"/>
        </w:tblPrEx>
        <w:trPr>
          <w:trHeight w:val="540" w:hRule="atLeast"/>
        </w:trPr>
        <w:tc>
          <w:tcPr>
            <w:tcW w:w="787" w:type="dxa"/>
            <w:vAlign w:val="top"/>
          </w:tcPr>
          <w:p w14:paraId="0D1573BA">
            <w:pPr>
              <w:rPr>
                <w:rFonts w:hint="eastAsia" w:ascii="宋体" w:hAnsi="宋体" w:eastAsia="宋体" w:cs="宋体"/>
                <w:color w:val="auto"/>
                <w:sz w:val="21"/>
                <w:highlight w:val="none"/>
              </w:rPr>
            </w:pPr>
          </w:p>
        </w:tc>
        <w:tc>
          <w:tcPr>
            <w:tcW w:w="1170" w:type="dxa"/>
            <w:vAlign w:val="top"/>
          </w:tcPr>
          <w:p w14:paraId="4401C496">
            <w:pPr>
              <w:rPr>
                <w:rFonts w:hint="eastAsia" w:ascii="宋体" w:hAnsi="宋体" w:eastAsia="宋体" w:cs="宋体"/>
                <w:color w:val="auto"/>
                <w:sz w:val="21"/>
                <w:highlight w:val="none"/>
              </w:rPr>
            </w:pPr>
          </w:p>
        </w:tc>
        <w:tc>
          <w:tcPr>
            <w:tcW w:w="989" w:type="dxa"/>
            <w:vAlign w:val="top"/>
          </w:tcPr>
          <w:p w14:paraId="413F67C5">
            <w:pPr>
              <w:rPr>
                <w:rFonts w:hint="eastAsia" w:ascii="宋体" w:hAnsi="宋体" w:eastAsia="宋体" w:cs="宋体"/>
                <w:color w:val="auto"/>
                <w:sz w:val="21"/>
                <w:highlight w:val="none"/>
              </w:rPr>
            </w:pPr>
          </w:p>
        </w:tc>
        <w:tc>
          <w:tcPr>
            <w:tcW w:w="675" w:type="dxa"/>
            <w:vAlign w:val="top"/>
          </w:tcPr>
          <w:p w14:paraId="38C64B71">
            <w:pPr>
              <w:rPr>
                <w:rFonts w:hint="eastAsia" w:ascii="宋体" w:hAnsi="宋体" w:eastAsia="宋体" w:cs="宋体"/>
                <w:color w:val="auto"/>
                <w:sz w:val="21"/>
                <w:highlight w:val="none"/>
              </w:rPr>
            </w:pPr>
          </w:p>
        </w:tc>
        <w:tc>
          <w:tcPr>
            <w:tcW w:w="854" w:type="dxa"/>
            <w:vAlign w:val="top"/>
          </w:tcPr>
          <w:p w14:paraId="18688C50">
            <w:pPr>
              <w:rPr>
                <w:rFonts w:hint="eastAsia" w:ascii="宋体" w:hAnsi="宋体" w:eastAsia="宋体" w:cs="宋体"/>
                <w:color w:val="auto"/>
                <w:sz w:val="21"/>
                <w:highlight w:val="none"/>
              </w:rPr>
            </w:pPr>
          </w:p>
        </w:tc>
        <w:tc>
          <w:tcPr>
            <w:tcW w:w="1035" w:type="dxa"/>
            <w:vAlign w:val="top"/>
          </w:tcPr>
          <w:p w14:paraId="4ACDA4E7">
            <w:pPr>
              <w:rPr>
                <w:rFonts w:hint="eastAsia" w:ascii="宋体" w:hAnsi="宋体" w:eastAsia="宋体" w:cs="宋体"/>
                <w:color w:val="auto"/>
                <w:sz w:val="21"/>
                <w:highlight w:val="none"/>
              </w:rPr>
            </w:pPr>
          </w:p>
        </w:tc>
        <w:tc>
          <w:tcPr>
            <w:tcW w:w="989" w:type="dxa"/>
            <w:vAlign w:val="top"/>
          </w:tcPr>
          <w:p w14:paraId="076F4053">
            <w:pPr>
              <w:rPr>
                <w:rFonts w:hint="eastAsia" w:ascii="宋体" w:hAnsi="宋体" w:eastAsia="宋体" w:cs="宋体"/>
                <w:color w:val="auto"/>
                <w:sz w:val="21"/>
                <w:highlight w:val="none"/>
              </w:rPr>
            </w:pPr>
          </w:p>
        </w:tc>
        <w:tc>
          <w:tcPr>
            <w:tcW w:w="855" w:type="dxa"/>
            <w:vAlign w:val="top"/>
          </w:tcPr>
          <w:p w14:paraId="021FF3FB">
            <w:pPr>
              <w:rPr>
                <w:rFonts w:hint="eastAsia" w:ascii="宋体" w:hAnsi="宋体" w:eastAsia="宋体" w:cs="宋体"/>
                <w:color w:val="auto"/>
                <w:sz w:val="21"/>
                <w:highlight w:val="none"/>
              </w:rPr>
            </w:pPr>
          </w:p>
        </w:tc>
        <w:tc>
          <w:tcPr>
            <w:tcW w:w="855" w:type="dxa"/>
            <w:vAlign w:val="top"/>
          </w:tcPr>
          <w:p w14:paraId="3508B15F">
            <w:pPr>
              <w:rPr>
                <w:rFonts w:hint="eastAsia" w:ascii="宋体" w:hAnsi="宋体" w:eastAsia="宋体" w:cs="宋体"/>
                <w:color w:val="auto"/>
                <w:sz w:val="21"/>
                <w:highlight w:val="none"/>
              </w:rPr>
            </w:pPr>
          </w:p>
        </w:tc>
        <w:tc>
          <w:tcPr>
            <w:tcW w:w="862" w:type="dxa"/>
            <w:vAlign w:val="top"/>
          </w:tcPr>
          <w:p w14:paraId="4B71FC9A">
            <w:pPr>
              <w:rPr>
                <w:rFonts w:hint="eastAsia" w:ascii="宋体" w:hAnsi="宋体" w:eastAsia="宋体" w:cs="宋体"/>
                <w:color w:val="auto"/>
                <w:sz w:val="21"/>
                <w:highlight w:val="none"/>
              </w:rPr>
            </w:pPr>
          </w:p>
        </w:tc>
      </w:tr>
      <w:tr w14:paraId="307D5B8D">
        <w:tblPrEx>
          <w:tblLayout w:type="fixed"/>
        </w:tblPrEx>
        <w:trPr>
          <w:trHeight w:val="525" w:hRule="atLeast"/>
        </w:trPr>
        <w:tc>
          <w:tcPr>
            <w:tcW w:w="787" w:type="dxa"/>
            <w:vAlign w:val="top"/>
          </w:tcPr>
          <w:p w14:paraId="7CF95A51">
            <w:pPr>
              <w:rPr>
                <w:rFonts w:hint="eastAsia" w:ascii="宋体" w:hAnsi="宋体" w:eastAsia="宋体" w:cs="宋体"/>
                <w:color w:val="auto"/>
                <w:sz w:val="21"/>
                <w:highlight w:val="none"/>
              </w:rPr>
            </w:pPr>
          </w:p>
        </w:tc>
        <w:tc>
          <w:tcPr>
            <w:tcW w:w="1170" w:type="dxa"/>
            <w:vAlign w:val="top"/>
          </w:tcPr>
          <w:p w14:paraId="3DD23425">
            <w:pPr>
              <w:rPr>
                <w:rFonts w:hint="eastAsia" w:ascii="宋体" w:hAnsi="宋体" w:eastAsia="宋体" w:cs="宋体"/>
                <w:color w:val="auto"/>
                <w:sz w:val="21"/>
                <w:highlight w:val="none"/>
              </w:rPr>
            </w:pPr>
          </w:p>
        </w:tc>
        <w:tc>
          <w:tcPr>
            <w:tcW w:w="989" w:type="dxa"/>
            <w:vAlign w:val="top"/>
          </w:tcPr>
          <w:p w14:paraId="34F4DE19">
            <w:pPr>
              <w:rPr>
                <w:rFonts w:hint="eastAsia" w:ascii="宋体" w:hAnsi="宋体" w:eastAsia="宋体" w:cs="宋体"/>
                <w:color w:val="auto"/>
                <w:sz w:val="21"/>
                <w:highlight w:val="none"/>
              </w:rPr>
            </w:pPr>
          </w:p>
        </w:tc>
        <w:tc>
          <w:tcPr>
            <w:tcW w:w="675" w:type="dxa"/>
            <w:vAlign w:val="top"/>
          </w:tcPr>
          <w:p w14:paraId="06D7D111">
            <w:pPr>
              <w:rPr>
                <w:rFonts w:hint="eastAsia" w:ascii="宋体" w:hAnsi="宋体" w:eastAsia="宋体" w:cs="宋体"/>
                <w:color w:val="auto"/>
                <w:sz w:val="21"/>
                <w:highlight w:val="none"/>
              </w:rPr>
            </w:pPr>
          </w:p>
        </w:tc>
        <w:tc>
          <w:tcPr>
            <w:tcW w:w="854" w:type="dxa"/>
            <w:vAlign w:val="top"/>
          </w:tcPr>
          <w:p w14:paraId="1E019002">
            <w:pPr>
              <w:rPr>
                <w:rFonts w:hint="eastAsia" w:ascii="宋体" w:hAnsi="宋体" w:eastAsia="宋体" w:cs="宋体"/>
                <w:color w:val="auto"/>
                <w:sz w:val="21"/>
                <w:highlight w:val="none"/>
              </w:rPr>
            </w:pPr>
          </w:p>
        </w:tc>
        <w:tc>
          <w:tcPr>
            <w:tcW w:w="1035" w:type="dxa"/>
            <w:vAlign w:val="top"/>
          </w:tcPr>
          <w:p w14:paraId="60DAF26D">
            <w:pPr>
              <w:rPr>
                <w:rFonts w:hint="eastAsia" w:ascii="宋体" w:hAnsi="宋体" w:eastAsia="宋体" w:cs="宋体"/>
                <w:color w:val="auto"/>
                <w:sz w:val="21"/>
                <w:highlight w:val="none"/>
              </w:rPr>
            </w:pPr>
          </w:p>
        </w:tc>
        <w:tc>
          <w:tcPr>
            <w:tcW w:w="989" w:type="dxa"/>
            <w:vAlign w:val="top"/>
          </w:tcPr>
          <w:p w14:paraId="67CFEB6B">
            <w:pPr>
              <w:rPr>
                <w:rFonts w:hint="eastAsia" w:ascii="宋体" w:hAnsi="宋体" w:eastAsia="宋体" w:cs="宋体"/>
                <w:color w:val="auto"/>
                <w:sz w:val="21"/>
                <w:highlight w:val="none"/>
              </w:rPr>
            </w:pPr>
          </w:p>
        </w:tc>
        <w:tc>
          <w:tcPr>
            <w:tcW w:w="855" w:type="dxa"/>
            <w:vAlign w:val="top"/>
          </w:tcPr>
          <w:p w14:paraId="0C23282C">
            <w:pPr>
              <w:rPr>
                <w:rFonts w:hint="eastAsia" w:ascii="宋体" w:hAnsi="宋体" w:eastAsia="宋体" w:cs="宋体"/>
                <w:color w:val="auto"/>
                <w:sz w:val="21"/>
                <w:highlight w:val="none"/>
              </w:rPr>
            </w:pPr>
          </w:p>
        </w:tc>
        <w:tc>
          <w:tcPr>
            <w:tcW w:w="855" w:type="dxa"/>
            <w:vAlign w:val="top"/>
          </w:tcPr>
          <w:p w14:paraId="3D92CF3D">
            <w:pPr>
              <w:rPr>
                <w:rFonts w:hint="eastAsia" w:ascii="宋体" w:hAnsi="宋体" w:eastAsia="宋体" w:cs="宋体"/>
                <w:color w:val="auto"/>
                <w:sz w:val="21"/>
                <w:highlight w:val="none"/>
              </w:rPr>
            </w:pPr>
          </w:p>
        </w:tc>
        <w:tc>
          <w:tcPr>
            <w:tcW w:w="862" w:type="dxa"/>
            <w:vAlign w:val="top"/>
          </w:tcPr>
          <w:p w14:paraId="1B1F0888">
            <w:pPr>
              <w:rPr>
                <w:rFonts w:hint="eastAsia" w:ascii="宋体" w:hAnsi="宋体" w:eastAsia="宋体" w:cs="宋体"/>
                <w:color w:val="auto"/>
                <w:sz w:val="21"/>
                <w:highlight w:val="none"/>
              </w:rPr>
            </w:pPr>
          </w:p>
        </w:tc>
      </w:tr>
      <w:tr w14:paraId="5D336D73">
        <w:tblPrEx>
          <w:tblLayout w:type="fixed"/>
        </w:tblPrEx>
        <w:trPr>
          <w:trHeight w:val="540" w:hRule="atLeast"/>
        </w:trPr>
        <w:tc>
          <w:tcPr>
            <w:tcW w:w="787" w:type="dxa"/>
            <w:vAlign w:val="top"/>
          </w:tcPr>
          <w:p w14:paraId="3E093498">
            <w:pPr>
              <w:rPr>
                <w:rFonts w:hint="eastAsia" w:ascii="宋体" w:hAnsi="宋体" w:eastAsia="宋体" w:cs="宋体"/>
                <w:color w:val="auto"/>
                <w:sz w:val="21"/>
                <w:highlight w:val="none"/>
              </w:rPr>
            </w:pPr>
          </w:p>
        </w:tc>
        <w:tc>
          <w:tcPr>
            <w:tcW w:w="1170" w:type="dxa"/>
            <w:vAlign w:val="top"/>
          </w:tcPr>
          <w:p w14:paraId="2E72A2DC">
            <w:pPr>
              <w:rPr>
                <w:rFonts w:hint="eastAsia" w:ascii="宋体" w:hAnsi="宋体" w:eastAsia="宋体" w:cs="宋体"/>
                <w:color w:val="auto"/>
                <w:sz w:val="21"/>
                <w:highlight w:val="none"/>
              </w:rPr>
            </w:pPr>
          </w:p>
        </w:tc>
        <w:tc>
          <w:tcPr>
            <w:tcW w:w="989" w:type="dxa"/>
            <w:vAlign w:val="top"/>
          </w:tcPr>
          <w:p w14:paraId="1C0283EE">
            <w:pPr>
              <w:rPr>
                <w:rFonts w:hint="eastAsia" w:ascii="宋体" w:hAnsi="宋体" w:eastAsia="宋体" w:cs="宋体"/>
                <w:color w:val="auto"/>
                <w:sz w:val="21"/>
                <w:highlight w:val="none"/>
              </w:rPr>
            </w:pPr>
          </w:p>
        </w:tc>
        <w:tc>
          <w:tcPr>
            <w:tcW w:w="675" w:type="dxa"/>
            <w:vAlign w:val="top"/>
          </w:tcPr>
          <w:p w14:paraId="4BB2092C">
            <w:pPr>
              <w:rPr>
                <w:rFonts w:hint="eastAsia" w:ascii="宋体" w:hAnsi="宋体" w:eastAsia="宋体" w:cs="宋体"/>
                <w:color w:val="auto"/>
                <w:sz w:val="21"/>
                <w:highlight w:val="none"/>
              </w:rPr>
            </w:pPr>
          </w:p>
        </w:tc>
        <w:tc>
          <w:tcPr>
            <w:tcW w:w="854" w:type="dxa"/>
            <w:vAlign w:val="top"/>
          </w:tcPr>
          <w:p w14:paraId="223CBA14">
            <w:pPr>
              <w:rPr>
                <w:rFonts w:hint="eastAsia" w:ascii="宋体" w:hAnsi="宋体" w:eastAsia="宋体" w:cs="宋体"/>
                <w:color w:val="auto"/>
                <w:sz w:val="21"/>
                <w:highlight w:val="none"/>
              </w:rPr>
            </w:pPr>
          </w:p>
        </w:tc>
        <w:tc>
          <w:tcPr>
            <w:tcW w:w="1035" w:type="dxa"/>
            <w:vAlign w:val="top"/>
          </w:tcPr>
          <w:p w14:paraId="48D1DC6B">
            <w:pPr>
              <w:rPr>
                <w:rFonts w:hint="eastAsia" w:ascii="宋体" w:hAnsi="宋体" w:eastAsia="宋体" w:cs="宋体"/>
                <w:color w:val="auto"/>
                <w:sz w:val="21"/>
                <w:highlight w:val="none"/>
              </w:rPr>
            </w:pPr>
          </w:p>
        </w:tc>
        <w:tc>
          <w:tcPr>
            <w:tcW w:w="989" w:type="dxa"/>
            <w:vAlign w:val="top"/>
          </w:tcPr>
          <w:p w14:paraId="737AE042">
            <w:pPr>
              <w:rPr>
                <w:rFonts w:hint="eastAsia" w:ascii="宋体" w:hAnsi="宋体" w:eastAsia="宋体" w:cs="宋体"/>
                <w:color w:val="auto"/>
                <w:sz w:val="21"/>
                <w:highlight w:val="none"/>
              </w:rPr>
            </w:pPr>
          </w:p>
        </w:tc>
        <w:tc>
          <w:tcPr>
            <w:tcW w:w="855" w:type="dxa"/>
            <w:vAlign w:val="top"/>
          </w:tcPr>
          <w:p w14:paraId="2BFA7FF6">
            <w:pPr>
              <w:rPr>
                <w:rFonts w:hint="eastAsia" w:ascii="宋体" w:hAnsi="宋体" w:eastAsia="宋体" w:cs="宋体"/>
                <w:color w:val="auto"/>
                <w:sz w:val="21"/>
                <w:highlight w:val="none"/>
              </w:rPr>
            </w:pPr>
          </w:p>
        </w:tc>
        <w:tc>
          <w:tcPr>
            <w:tcW w:w="855" w:type="dxa"/>
            <w:vAlign w:val="top"/>
          </w:tcPr>
          <w:p w14:paraId="40A88FC6">
            <w:pPr>
              <w:rPr>
                <w:rFonts w:hint="eastAsia" w:ascii="宋体" w:hAnsi="宋体" w:eastAsia="宋体" w:cs="宋体"/>
                <w:color w:val="auto"/>
                <w:sz w:val="21"/>
                <w:highlight w:val="none"/>
              </w:rPr>
            </w:pPr>
          </w:p>
        </w:tc>
        <w:tc>
          <w:tcPr>
            <w:tcW w:w="862" w:type="dxa"/>
            <w:vAlign w:val="top"/>
          </w:tcPr>
          <w:p w14:paraId="2CD25976">
            <w:pPr>
              <w:rPr>
                <w:rFonts w:hint="eastAsia" w:ascii="宋体" w:hAnsi="宋体" w:eastAsia="宋体" w:cs="宋体"/>
                <w:color w:val="auto"/>
                <w:sz w:val="21"/>
                <w:highlight w:val="none"/>
              </w:rPr>
            </w:pPr>
          </w:p>
        </w:tc>
      </w:tr>
      <w:tr w14:paraId="2FF1D9E5">
        <w:tblPrEx>
          <w:tblLayout w:type="fixed"/>
        </w:tblPrEx>
        <w:trPr>
          <w:trHeight w:val="540" w:hRule="atLeast"/>
        </w:trPr>
        <w:tc>
          <w:tcPr>
            <w:tcW w:w="787" w:type="dxa"/>
            <w:vAlign w:val="top"/>
          </w:tcPr>
          <w:p w14:paraId="06270114">
            <w:pPr>
              <w:rPr>
                <w:rFonts w:hint="eastAsia" w:ascii="宋体" w:hAnsi="宋体" w:eastAsia="宋体" w:cs="宋体"/>
                <w:color w:val="auto"/>
                <w:sz w:val="21"/>
                <w:highlight w:val="none"/>
              </w:rPr>
            </w:pPr>
          </w:p>
        </w:tc>
        <w:tc>
          <w:tcPr>
            <w:tcW w:w="1170" w:type="dxa"/>
            <w:vAlign w:val="top"/>
          </w:tcPr>
          <w:p w14:paraId="6C9BEC9D">
            <w:pPr>
              <w:rPr>
                <w:rFonts w:hint="eastAsia" w:ascii="宋体" w:hAnsi="宋体" w:eastAsia="宋体" w:cs="宋体"/>
                <w:color w:val="auto"/>
                <w:sz w:val="21"/>
                <w:highlight w:val="none"/>
              </w:rPr>
            </w:pPr>
          </w:p>
        </w:tc>
        <w:tc>
          <w:tcPr>
            <w:tcW w:w="989" w:type="dxa"/>
            <w:vAlign w:val="top"/>
          </w:tcPr>
          <w:p w14:paraId="015CA7F0">
            <w:pPr>
              <w:rPr>
                <w:rFonts w:hint="eastAsia" w:ascii="宋体" w:hAnsi="宋体" w:eastAsia="宋体" w:cs="宋体"/>
                <w:color w:val="auto"/>
                <w:sz w:val="21"/>
                <w:highlight w:val="none"/>
              </w:rPr>
            </w:pPr>
          </w:p>
        </w:tc>
        <w:tc>
          <w:tcPr>
            <w:tcW w:w="675" w:type="dxa"/>
            <w:vAlign w:val="top"/>
          </w:tcPr>
          <w:p w14:paraId="55EC14BB">
            <w:pPr>
              <w:rPr>
                <w:rFonts w:hint="eastAsia" w:ascii="宋体" w:hAnsi="宋体" w:eastAsia="宋体" w:cs="宋体"/>
                <w:color w:val="auto"/>
                <w:sz w:val="21"/>
                <w:highlight w:val="none"/>
              </w:rPr>
            </w:pPr>
          </w:p>
        </w:tc>
        <w:tc>
          <w:tcPr>
            <w:tcW w:w="854" w:type="dxa"/>
            <w:vAlign w:val="top"/>
          </w:tcPr>
          <w:p w14:paraId="72690F97">
            <w:pPr>
              <w:rPr>
                <w:rFonts w:hint="eastAsia" w:ascii="宋体" w:hAnsi="宋体" w:eastAsia="宋体" w:cs="宋体"/>
                <w:color w:val="auto"/>
                <w:sz w:val="21"/>
                <w:highlight w:val="none"/>
              </w:rPr>
            </w:pPr>
          </w:p>
        </w:tc>
        <w:tc>
          <w:tcPr>
            <w:tcW w:w="1035" w:type="dxa"/>
            <w:vAlign w:val="top"/>
          </w:tcPr>
          <w:p w14:paraId="37A2B5D1">
            <w:pPr>
              <w:rPr>
                <w:rFonts w:hint="eastAsia" w:ascii="宋体" w:hAnsi="宋体" w:eastAsia="宋体" w:cs="宋体"/>
                <w:color w:val="auto"/>
                <w:sz w:val="21"/>
                <w:highlight w:val="none"/>
              </w:rPr>
            </w:pPr>
          </w:p>
        </w:tc>
        <w:tc>
          <w:tcPr>
            <w:tcW w:w="989" w:type="dxa"/>
            <w:vAlign w:val="top"/>
          </w:tcPr>
          <w:p w14:paraId="5AABA133">
            <w:pPr>
              <w:rPr>
                <w:rFonts w:hint="eastAsia" w:ascii="宋体" w:hAnsi="宋体" w:eastAsia="宋体" w:cs="宋体"/>
                <w:color w:val="auto"/>
                <w:sz w:val="21"/>
                <w:highlight w:val="none"/>
              </w:rPr>
            </w:pPr>
          </w:p>
        </w:tc>
        <w:tc>
          <w:tcPr>
            <w:tcW w:w="855" w:type="dxa"/>
            <w:vAlign w:val="top"/>
          </w:tcPr>
          <w:p w14:paraId="714607E6">
            <w:pPr>
              <w:rPr>
                <w:rFonts w:hint="eastAsia" w:ascii="宋体" w:hAnsi="宋体" w:eastAsia="宋体" w:cs="宋体"/>
                <w:color w:val="auto"/>
                <w:sz w:val="21"/>
                <w:highlight w:val="none"/>
              </w:rPr>
            </w:pPr>
          </w:p>
        </w:tc>
        <w:tc>
          <w:tcPr>
            <w:tcW w:w="855" w:type="dxa"/>
            <w:vAlign w:val="top"/>
          </w:tcPr>
          <w:p w14:paraId="7B795E93">
            <w:pPr>
              <w:rPr>
                <w:rFonts w:hint="eastAsia" w:ascii="宋体" w:hAnsi="宋体" w:eastAsia="宋体" w:cs="宋体"/>
                <w:color w:val="auto"/>
                <w:sz w:val="21"/>
                <w:highlight w:val="none"/>
              </w:rPr>
            </w:pPr>
          </w:p>
        </w:tc>
        <w:tc>
          <w:tcPr>
            <w:tcW w:w="862" w:type="dxa"/>
            <w:vAlign w:val="top"/>
          </w:tcPr>
          <w:p w14:paraId="7A6279FB">
            <w:pPr>
              <w:rPr>
                <w:rFonts w:hint="eastAsia" w:ascii="宋体" w:hAnsi="宋体" w:eastAsia="宋体" w:cs="宋体"/>
                <w:color w:val="auto"/>
                <w:sz w:val="21"/>
                <w:highlight w:val="none"/>
              </w:rPr>
            </w:pPr>
          </w:p>
        </w:tc>
      </w:tr>
      <w:tr w14:paraId="66BD0AAA">
        <w:tblPrEx>
          <w:tblLayout w:type="fixed"/>
        </w:tblPrEx>
        <w:trPr>
          <w:trHeight w:val="525" w:hRule="atLeast"/>
        </w:trPr>
        <w:tc>
          <w:tcPr>
            <w:tcW w:w="787" w:type="dxa"/>
            <w:tcBorders>
              <w:bottom w:val="single" w:color="000000" w:sz="4" w:space="0"/>
            </w:tcBorders>
            <w:vAlign w:val="top"/>
          </w:tcPr>
          <w:p w14:paraId="511F8AF5">
            <w:pPr>
              <w:rPr>
                <w:rFonts w:hint="eastAsia" w:ascii="宋体" w:hAnsi="宋体" w:eastAsia="宋体" w:cs="宋体"/>
                <w:color w:val="auto"/>
                <w:sz w:val="21"/>
                <w:highlight w:val="none"/>
              </w:rPr>
            </w:pPr>
          </w:p>
        </w:tc>
        <w:tc>
          <w:tcPr>
            <w:tcW w:w="1170" w:type="dxa"/>
            <w:tcBorders>
              <w:bottom w:val="single" w:color="000000" w:sz="4" w:space="0"/>
            </w:tcBorders>
            <w:vAlign w:val="top"/>
          </w:tcPr>
          <w:p w14:paraId="0AEE55B6">
            <w:pPr>
              <w:rPr>
                <w:rFonts w:hint="eastAsia" w:ascii="宋体" w:hAnsi="宋体" w:eastAsia="宋体" w:cs="宋体"/>
                <w:color w:val="auto"/>
                <w:sz w:val="21"/>
                <w:highlight w:val="none"/>
              </w:rPr>
            </w:pPr>
          </w:p>
        </w:tc>
        <w:tc>
          <w:tcPr>
            <w:tcW w:w="989" w:type="dxa"/>
            <w:tcBorders>
              <w:bottom w:val="single" w:color="000000" w:sz="4" w:space="0"/>
            </w:tcBorders>
            <w:vAlign w:val="top"/>
          </w:tcPr>
          <w:p w14:paraId="4BFD76C0">
            <w:pPr>
              <w:rPr>
                <w:rFonts w:hint="eastAsia" w:ascii="宋体" w:hAnsi="宋体" w:eastAsia="宋体" w:cs="宋体"/>
                <w:color w:val="auto"/>
                <w:sz w:val="21"/>
                <w:highlight w:val="none"/>
              </w:rPr>
            </w:pPr>
          </w:p>
        </w:tc>
        <w:tc>
          <w:tcPr>
            <w:tcW w:w="675" w:type="dxa"/>
            <w:tcBorders>
              <w:bottom w:val="single" w:color="000000" w:sz="4" w:space="0"/>
            </w:tcBorders>
            <w:vAlign w:val="top"/>
          </w:tcPr>
          <w:p w14:paraId="73AC6DBA">
            <w:pPr>
              <w:rPr>
                <w:rFonts w:hint="eastAsia" w:ascii="宋体" w:hAnsi="宋体" w:eastAsia="宋体" w:cs="宋体"/>
                <w:color w:val="auto"/>
                <w:sz w:val="21"/>
                <w:highlight w:val="none"/>
              </w:rPr>
            </w:pPr>
          </w:p>
        </w:tc>
        <w:tc>
          <w:tcPr>
            <w:tcW w:w="854" w:type="dxa"/>
            <w:tcBorders>
              <w:bottom w:val="single" w:color="000000" w:sz="4" w:space="0"/>
            </w:tcBorders>
            <w:vAlign w:val="top"/>
          </w:tcPr>
          <w:p w14:paraId="433C0B8E">
            <w:pPr>
              <w:rPr>
                <w:rFonts w:hint="eastAsia" w:ascii="宋体" w:hAnsi="宋体" w:eastAsia="宋体" w:cs="宋体"/>
                <w:color w:val="auto"/>
                <w:sz w:val="21"/>
                <w:highlight w:val="none"/>
              </w:rPr>
            </w:pPr>
          </w:p>
        </w:tc>
        <w:tc>
          <w:tcPr>
            <w:tcW w:w="1035" w:type="dxa"/>
            <w:tcBorders>
              <w:bottom w:val="single" w:color="000000" w:sz="4" w:space="0"/>
            </w:tcBorders>
            <w:vAlign w:val="top"/>
          </w:tcPr>
          <w:p w14:paraId="03F085F5">
            <w:pPr>
              <w:rPr>
                <w:rFonts w:hint="eastAsia" w:ascii="宋体" w:hAnsi="宋体" w:eastAsia="宋体" w:cs="宋体"/>
                <w:color w:val="auto"/>
                <w:sz w:val="21"/>
                <w:highlight w:val="none"/>
              </w:rPr>
            </w:pPr>
          </w:p>
        </w:tc>
        <w:tc>
          <w:tcPr>
            <w:tcW w:w="989" w:type="dxa"/>
            <w:tcBorders>
              <w:bottom w:val="single" w:color="000000" w:sz="4" w:space="0"/>
            </w:tcBorders>
            <w:vAlign w:val="top"/>
          </w:tcPr>
          <w:p w14:paraId="7DA8C662">
            <w:pPr>
              <w:rPr>
                <w:rFonts w:hint="eastAsia" w:ascii="宋体" w:hAnsi="宋体" w:eastAsia="宋体" w:cs="宋体"/>
                <w:color w:val="auto"/>
                <w:sz w:val="21"/>
                <w:highlight w:val="none"/>
              </w:rPr>
            </w:pPr>
          </w:p>
        </w:tc>
        <w:tc>
          <w:tcPr>
            <w:tcW w:w="855" w:type="dxa"/>
            <w:tcBorders>
              <w:bottom w:val="single" w:color="000000" w:sz="4" w:space="0"/>
            </w:tcBorders>
            <w:vAlign w:val="top"/>
          </w:tcPr>
          <w:p w14:paraId="6875511E">
            <w:pPr>
              <w:rPr>
                <w:rFonts w:hint="eastAsia" w:ascii="宋体" w:hAnsi="宋体" w:eastAsia="宋体" w:cs="宋体"/>
                <w:color w:val="auto"/>
                <w:sz w:val="21"/>
                <w:highlight w:val="none"/>
              </w:rPr>
            </w:pPr>
          </w:p>
        </w:tc>
        <w:tc>
          <w:tcPr>
            <w:tcW w:w="855" w:type="dxa"/>
            <w:tcBorders>
              <w:bottom w:val="single" w:color="000000" w:sz="4" w:space="0"/>
            </w:tcBorders>
            <w:vAlign w:val="top"/>
          </w:tcPr>
          <w:p w14:paraId="38E8A14B">
            <w:pPr>
              <w:rPr>
                <w:rFonts w:hint="eastAsia" w:ascii="宋体" w:hAnsi="宋体" w:eastAsia="宋体" w:cs="宋体"/>
                <w:color w:val="auto"/>
                <w:sz w:val="21"/>
                <w:highlight w:val="none"/>
              </w:rPr>
            </w:pPr>
          </w:p>
        </w:tc>
        <w:tc>
          <w:tcPr>
            <w:tcW w:w="862" w:type="dxa"/>
            <w:tcBorders>
              <w:bottom w:val="single" w:color="000000" w:sz="4" w:space="0"/>
            </w:tcBorders>
            <w:vAlign w:val="top"/>
          </w:tcPr>
          <w:p w14:paraId="633BAF9F">
            <w:pPr>
              <w:rPr>
                <w:rFonts w:hint="eastAsia" w:ascii="宋体" w:hAnsi="宋体" w:eastAsia="宋体" w:cs="宋体"/>
                <w:color w:val="auto"/>
                <w:sz w:val="21"/>
                <w:highlight w:val="none"/>
              </w:rPr>
            </w:pPr>
          </w:p>
        </w:tc>
      </w:tr>
      <w:tr w14:paraId="4E20553B">
        <w:tblPrEx>
          <w:tblLayout w:type="fixed"/>
        </w:tblPrEx>
        <w:trPr>
          <w:trHeight w:val="545" w:hRule="atLeast"/>
        </w:trPr>
        <w:tc>
          <w:tcPr>
            <w:tcW w:w="787" w:type="dxa"/>
            <w:tcBorders>
              <w:top w:val="single" w:color="000000" w:sz="4" w:space="0"/>
            </w:tcBorders>
            <w:vAlign w:val="top"/>
          </w:tcPr>
          <w:p w14:paraId="651A076B">
            <w:pPr>
              <w:rPr>
                <w:rFonts w:hint="eastAsia" w:ascii="宋体" w:hAnsi="宋体" w:eastAsia="宋体" w:cs="宋体"/>
                <w:color w:val="auto"/>
                <w:sz w:val="21"/>
                <w:highlight w:val="none"/>
              </w:rPr>
            </w:pPr>
          </w:p>
        </w:tc>
        <w:tc>
          <w:tcPr>
            <w:tcW w:w="1170" w:type="dxa"/>
            <w:tcBorders>
              <w:top w:val="single" w:color="000000" w:sz="4" w:space="0"/>
            </w:tcBorders>
            <w:vAlign w:val="top"/>
          </w:tcPr>
          <w:p w14:paraId="5C62B57D">
            <w:pPr>
              <w:rPr>
                <w:rFonts w:hint="eastAsia" w:ascii="宋体" w:hAnsi="宋体" w:eastAsia="宋体" w:cs="宋体"/>
                <w:color w:val="auto"/>
                <w:sz w:val="21"/>
                <w:highlight w:val="none"/>
              </w:rPr>
            </w:pPr>
          </w:p>
        </w:tc>
        <w:tc>
          <w:tcPr>
            <w:tcW w:w="989" w:type="dxa"/>
            <w:tcBorders>
              <w:top w:val="single" w:color="000000" w:sz="4" w:space="0"/>
            </w:tcBorders>
            <w:vAlign w:val="top"/>
          </w:tcPr>
          <w:p w14:paraId="0A8E3F6C">
            <w:pPr>
              <w:rPr>
                <w:rFonts w:hint="eastAsia" w:ascii="宋体" w:hAnsi="宋体" w:eastAsia="宋体" w:cs="宋体"/>
                <w:color w:val="auto"/>
                <w:sz w:val="21"/>
                <w:highlight w:val="none"/>
              </w:rPr>
            </w:pPr>
          </w:p>
        </w:tc>
        <w:tc>
          <w:tcPr>
            <w:tcW w:w="675" w:type="dxa"/>
            <w:tcBorders>
              <w:top w:val="single" w:color="000000" w:sz="4" w:space="0"/>
            </w:tcBorders>
            <w:vAlign w:val="top"/>
          </w:tcPr>
          <w:p w14:paraId="5B3E20CB">
            <w:pPr>
              <w:rPr>
                <w:rFonts w:hint="eastAsia" w:ascii="宋体" w:hAnsi="宋体" w:eastAsia="宋体" w:cs="宋体"/>
                <w:color w:val="auto"/>
                <w:sz w:val="21"/>
                <w:highlight w:val="none"/>
              </w:rPr>
            </w:pPr>
          </w:p>
        </w:tc>
        <w:tc>
          <w:tcPr>
            <w:tcW w:w="854" w:type="dxa"/>
            <w:tcBorders>
              <w:top w:val="single" w:color="000000" w:sz="4" w:space="0"/>
            </w:tcBorders>
            <w:vAlign w:val="top"/>
          </w:tcPr>
          <w:p w14:paraId="5B4022B6">
            <w:pPr>
              <w:rPr>
                <w:rFonts w:hint="eastAsia" w:ascii="宋体" w:hAnsi="宋体" w:eastAsia="宋体" w:cs="宋体"/>
                <w:color w:val="auto"/>
                <w:sz w:val="21"/>
                <w:highlight w:val="none"/>
              </w:rPr>
            </w:pPr>
          </w:p>
        </w:tc>
        <w:tc>
          <w:tcPr>
            <w:tcW w:w="1035" w:type="dxa"/>
            <w:tcBorders>
              <w:top w:val="single" w:color="000000" w:sz="4" w:space="0"/>
            </w:tcBorders>
            <w:vAlign w:val="top"/>
          </w:tcPr>
          <w:p w14:paraId="1326A5CC">
            <w:pPr>
              <w:rPr>
                <w:rFonts w:hint="eastAsia" w:ascii="宋体" w:hAnsi="宋体" w:eastAsia="宋体" w:cs="宋体"/>
                <w:color w:val="auto"/>
                <w:sz w:val="21"/>
                <w:highlight w:val="none"/>
              </w:rPr>
            </w:pPr>
          </w:p>
        </w:tc>
        <w:tc>
          <w:tcPr>
            <w:tcW w:w="989" w:type="dxa"/>
            <w:tcBorders>
              <w:top w:val="single" w:color="000000" w:sz="4" w:space="0"/>
            </w:tcBorders>
            <w:vAlign w:val="top"/>
          </w:tcPr>
          <w:p w14:paraId="76E7C220">
            <w:pPr>
              <w:rPr>
                <w:rFonts w:hint="eastAsia" w:ascii="宋体" w:hAnsi="宋体" w:eastAsia="宋体" w:cs="宋体"/>
                <w:color w:val="auto"/>
                <w:sz w:val="21"/>
                <w:highlight w:val="none"/>
              </w:rPr>
            </w:pPr>
          </w:p>
        </w:tc>
        <w:tc>
          <w:tcPr>
            <w:tcW w:w="855" w:type="dxa"/>
            <w:tcBorders>
              <w:top w:val="single" w:color="000000" w:sz="4" w:space="0"/>
            </w:tcBorders>
            <w:vAlign w:val="top"/>
          </w:tcPr>
          <w:p w14:paraId="1C53E62C">
            <w:pPr>
              <w:rPr>
                <w:rFonts w:hint="eastAsia" w:ascii="宋体" w:hAnsi="宋体" w:eastAsia="宋体" w:cs="宋体"/>
                <w:color w:val="auto"/>
                <w:sz w:val="21"/>
                <w:highlight w:val="none"/>
              </w:rPr>
            </w:pPr>
          </w:p>
        </w:tc>
        <w:tc>
          <w:tcPr>
            <w:tcW w:w="855" w:type="dxa"/>
            <w:tcBorders>
              <w:top w:val="single" w:color="000000" w:sz="4" w:space="0"/>
            </w:tcBorders>
            <w:vAlign w:val="top"/>
          </w:tcPr>
          <w:p w14:paraId="5B934075">
            <w:pPr>
              <w:rPr>
                <w:rFonts w:hint="eastAsia" w:ascii="宋体" w:hAnsi="宋体" w:eastAsia="宋体" w:cs="宋体"/>
                <w:color w:val="auto"/>
                <w:sz w:val="21"/>
                <w:highlight w:val="none"/>
              </w:rPr>
            </w:pPr>
          </w:p>
        </w:tc>
        <w:tc>
          <w:tcPr>
            <w:tcW w:w="862" w:type="dxa"/>
            <w:tcBorders>
              <w:top w:val="single" w:color="000000" w:sz="4" w:space="0"/>
            </w:tcBorders>
            <w:vAlign w:val="top"/>
          </w:tcPr>
          <w:p w14:paraId="107AC52E">
            <w:pPr>
              <w:rPr>
                <w:rFonts w:hint="eastAsia" w:ascii="宋体" w:hAnsi="宋体" w:eastAsia="宋体" w:cs="宋体"/>
                <w:color w:val="auto"/>
                <w:sz w:val="21"/>
                <w:highlight w:val="none"/>
              </w:rPr>
            </w:pPr>
          </w:p>
        </w:tc>
      </w:tr>
      <w:tr w14:paraId="4F8B6C3F">
        <w:tblPrEx>
          <w:tblLayout w:type="fixed"/>
        </w:tblPrEx>
        <w:trPr>
          <w:trHeight w:val="539" w:hRule="atLeast"/>
        </w:trPr>
        <w:tc>
          <w:tcPr>
            <w:tcW w:w="787" w:type="dxa"/>
            <w:vAlign w:val="top"/>
          </w:tcPr>
          <w:p w14:paraId="42CBCC89">
            <w:pPr>
              <w:rPr>
                <w:rFonts w:hint="eastAsia" w:ascii="宋体" w:hAnsi="宋体" w:eastAsia="宋体" w:cs="宋体"/>
                <w:color w:val="auto"/>
                <w:sz w:val="21"/>
                <w:highlight w:val="none"/>
              </w:rPr>
            </w:pPr>
          </w:p>
        </w:tc>
        <w:tc>
          <w:tcPr>
            <w:tcW w:w="1170" w:type="dxa"/>
            <w:vAlign w:val="top"/>
          </w:tcPr>
          <w:p w14:paraId="5AB9A5CB">
            <w:pPr>
              <w:rPr>
                <w:rFonts w:hint="eastAsia" w:ascii="宋体" w:hAnsi="宋体" w:eastAsia="宋体" w:cs="宋体"/>
                <w:color w:val="auto"/>
                <w:sz w:val="21"/>
                <w:highlight w:val="none"/>
              </w:rPr>
            </w:pPr>
          </w:p>
        </w:tc>
        <w:tc>
          <w:tcPr>
            <w:tcW w:w="989" w:type="dxa"/>
            <w:vAlign w:val="top"/>
          </w:tcPr>
          <w:p w14:paraId="25BE8024">
            <w:pPr>
              <w:rPr>
                <w:rFonts w:hint="eastAsia" w:ascii="宋体" w:hAnsi="宋体" w:eastAsia="宋体" w:cs="宋体"/>
                <w:color w:val="auto"/>
                <w:sz w:val="21"/>
                <w:highlight w:val="none"/>
              </w:rPr>
            </w:pPr>
          </w:p>
        </w:tc>
        <w:tc>
          <w:tcPr>
            <w:tcW w:w="675" w:type="dxa"/>
            <w:vAlign w:val="top"/>
          </w:tcPr>
          <w:p w14:paraId="25366141">
            <w:pPr>
              <w:rPr>
                <w:rFonts w:hint="eastAsia" w:ascii="宋体" w:hAnsi="宋体" w:eastAsia="宋体" w:cs="宋体"/>
                <w:color w:val="auto"/>
                <w:sz w:val="21"/>
                <w:highlight w:val="none"/>
              </w:rPr>
            </w:pPr>
          </w:p>
        </w:tc>
        <w:tc>
          <w:tcPr>
            <w:tcW w:w="854" w:type="dxa"/>
            <w:vAlign w:val="top"/>
          </w:tcPr>
          <w:p w14:paraId="32B8A7A9">
            <w:pPr>
              <w:rPr>
                <w:rFonts w:hint="eastAsia" w:ascii="宋体" w:hAnsi="宋体" w:eastAsia="宋体" w:cs="宋体"/>
                <w:color w:val="auto"/>
                <w:sz w:val="21"/>
                <w:highlight w:val="none"/>
              </w:rPr>
            </w:pPr>
          </w:p>
        </w:tc>
        <w:tc>
          <w:tcPr>
            <w:tcW w:w="1035" w:type="dxa"/>
            <w:vAlign w:val="top"/>
          </w:tcPr>
          <w:p w14:paraId="58ACAA5D">
            <w:pPr>
              <w:rPr>
                <w:rFonts w:hint="eastAsia" w:ascii="宋体" w:hAnsi="宋体" w:eastAsia="宋体" w:cs="宋体"/>
                <w:color w:val="auto"/>
                <w:sz w:val="21"/>
                <w:highlight w:val="none"/>
              </w:rPr>
            </w:pPr>
          </w:p>
        </w:tc>
        <w:tc>
          <w:tcPr>
            <w:tcW w:w="989" w:type="dxa"/>
            <w:vAlign w:val="top"/>
          </w:tcPr>
          <w:p w14:paraId="40872038">
            <w:pPr>
              <w:rPr>
                <w:rFonts w:hint="eastAsia" w:ascii="宋体" w:hAnsi="宋体" w:eastAsia="宋体" w:cs="宋体"/>
                <w:color w:val="auto"/>
                <w:sz w:val="21"/>
                <w:highlight w:val="none"/>
              </w:rPr>
            </w:pPr>
          </w:p>
        </w:tc>
        <w:tc>
          <w:tcPr>
            <w:tcW w:w="855" w:type="dxa"/>
            <w:vAlign w:val="top"/>
          </w:tcPr>
          <w:p w14:paraId="6BA9BA29">
            <w:pPr>
              <w:rPr>
                <w:rFonts w:hint="eastAsia" w:ascii="宋体" w:hAnsi="宋体" w:eastAsia="宋体" w:cs="宋体"/>
                <w:color w:val="auto"/>
                <w:sz w:val="21"/>
                <w:highlight w:val="none"/>
              </w:rPr>
            </w:pPr>
          </w:p>
        </w:tc>
        <w:tc>
          <w:tcPr>
            <w:tcW w:w="855" w:type="dxa"/>
            <w:vAlign w:val="top"/>
          </w:tcPr>
          <w:p w14:paraId="65206782">
            <w:pPr>
              <w:rPr>
                <w:rFonts w:hint="eastAsia" w:ascii="宋体" w:hAnsi="宋体" w:eastAsia="宋体" w:cs="宋体"/>
                <w:color w:val="auto"/>
                <w:sz w:val="21"/>
                <w:highlight w:val="none"/>
              </w:rPr>
            </w:pPr>
          </w:p>
        </w:tc>
        <w:tc>
          <w:tcPr>
            <w:tcW w:w="862" w:type="dxa"/>
            <w:vAlign w:val="top"/>
          </w:tcPr>
          <w:p w14:paraId="09013908">
            <w:pPr>
              <w:rPr>
                <w:rFonts w:hint="eastAsia" w:ascii="宋体" w:hAnsi="宋体" w:eastAsia="宋体" w:cs="宋体"/>
                <w:color w:val="auto"/>
                <w:sz w:val="21"/>
                <w:highlight w:val="none"/>
              </w:rPr>
            </w:pPr>
          </w:p>
        </w:tc>
      </w:tr>
      <w:tr w14:paraId="4CD724FA">
        <w:tblPrEx>
          <w:tblLayout w:type="fixed"/>
        </w:tblPrEx>
        <w:trPr>
          <w:trHeight w:val="524" w:hRule="atLeast"/>
        </w:trPr>
        <w:tc>
          <w:tcPr>
            <w:tcW w:w="787" w:type="dxa"/>
            <w:vAlign w:val="top"/>
          </w:tcPr>
          <w:p w14:paraId="21CF59EB">
            <w:pPr>
              <w:rPr>
                <w:rFonts w:hint="eastAsia" w:ascii="宋体" w:hAnsi="宋体" w:eastAsia="宋体" w:cs="宋体"/>
                <w:color w:val="auto"/>
                <w:sz w:val="21"/>
                <w:highlight w:val="none"/>
              </w:rPr>
            </w:pPr>
          </w:p>
        </w:tc>
        <w:tc>
          <w:tcPr>
            <w:tcW w:w="1170" w:type="dxa"/>
            <w:vAlign w:val="top"/>
          </w:tcPr>
          <w:p w14:paraId="6D1726B4">
            <w:pPr>
              <w:rPr>
                <w:rFonts w:hint="eastAsia" w:ascii="宋体" w:hAnsi="宋体" w:eastAsia="宋体" w:cs="宋体"/>
                <w:color w:val="auto"/>
                <w:sz w:val="21"/>
                <w:highlight w:val="none"/>
              </w:rPr>
            </w:pPr>
          </w:p>
        </w:tc>
        <w:tc>
          <w:tcPr>
            <w:tcW w:w="989" w:type="dxa"/>
            <w:vAlign w:val="top"/>
          </w:tcPr>
          <w:p w14:paraId="053CC2FA">
            <w:pPr>
              <w:rPr>
                <w:rFonts w:hint="eastAsia" w:ascii="宋体" w:hAnsi="宋体" w:eastAsia="宋体" w:cs="宋体"/>
                <w:color w:val="auto"/>
                <w:sz w:val="21"/>
                <w:highlight w:val="none"/>
              </w:rPr>
            </w:pPr>
          </w:p>
        </w:tc>
        <w:tc>
          <w:tcPr>
            <w:tcW w:w="675" w:type="dxa"/>
            <w:vAlign w:val="top"/>
          </w:tcPr>
          <w:p w14:paraId="2B0D18D0">
            <w:pPr>
              <w:rPr>
                <w:rFonts w:hint="eastAsia" w:ascii="宋体" w:hAnsi="宋体" w:eastAsia="宋体" w:cs="宋体"/>
                <w:color w:val="auto"/>
                <w:sz w:val="21"/>
                <w:highlight w:val="none"/>
              </w:rPr>
            </w:pPr>
          </w:p>
        </w:tc>
        <w:tc>
          <w:tcPr>
            <w:tcW w:w="854" w:type="dxa"/>
            <w:vAlign w:val="top"/>
          </w:tcPr>
          <w:p w14:paraId="0047BE40">
            <w:pPr>
              <w:rPr>
                <w:rFonts w:hint="eastAsia" w:ascii="宋体" w:hAnsi="宋体" w:eastAsia="宋体" w:cs="宋体"/>
                <w:color w:val="auto"/>
                <w:sz w:val="21"/>
                <w:highlight w:val="none"/>
              </w:rPr>
            </w:pPr>
          </w:p>
        </w:tc>
        <w:tc>
          <w:tcPr>
            <w:tcW w:w="1035" w:type="dxa"/>
            <w:vAlign w:val="top"/>
          </w:tcPr>
          <w:p w14:paraId="4319CAD2">
            <w:pPr>
              <w:rPr>
                <w:rFonts w:hint="eastAsia" w:ascii="宋体" w:hAnsi="宋体" w:eastAsia="宋体" w:cs="宋体"/>
                <w:color w:val="auto"/>
                <w:sz w:val="21"/>
                <w:highlight w:val="none"/>
              </w:rPr>
            </w:pPr>
          </w:p>
        </w:tc>
        <w:tc>
          <w:tcPr>
            <w:tcW w:w="989" w:type="dxa"/>
            <w:vAlign w:val="top"/>
          </w:tcPr>
          <w:p w14:paraId="77779306">
            <w:pPr>
              <w:rPr>
                <w:rFonts w:hint="eastAsia" w:ascii="宋体" w:hAnsi="宋体" w:eastAsia="宋体" w:cs="宋体"/>
                <w:color w:val="auto"/>
                <w:sz w:val="21"/>
                <w:highlight w:val="none"/>
              </w:rPr>
            </w:pPr>
          </w:p>
        </w:tc>
        <w:tc>
          <w:tcPr>
            <w:tcW w:w="855" w:type="dxa"/>
            <w:vAlign w:val="top"/>
          </w:tcPr>
          <w:p w14:paraId="36FBDE97">
            <w:pPr>
              <w:rPr>
                <w:rFonts w:hint="eastAsia" w:ascii="宋体" w:hAnsi="宋体" w:eastAsia="宋体" w:cs="宋体"/>
                <w:color w:val="auto"/>
                <w:sz w:val="21"/>
                <w:highlight w:val="none"/>
              </w:rPr>
            </w:pPr>
          </w:p>
        </w:tc>
        <w:tc>
          <w:tcPr>
            <w:tcW w:w="855" w:type="dxa"/>
            <w:vAlign w:val="top"/>
          </w:tcPr>
          <w:p w14:paraId="04186245">
            <w:pPr>
              <w:rPr>
                <w:rFonts w:hint="eastAsia" w:ascii="宋体" w:hAnsi="宋体" w:eastAsia="宋体" w:cs="宋体"/>
                <w:color w:val="auto"/>
                <w:sz w:val="21"/>
                <w:highlight w:val="none"/>
              </w:rPr>
            </w:pPr>
          </w:p>
        </w:tc>
        <w:tc>
          <w:tcPr>
            <w:tcW w:w="862" w:type="dxa"/>
            <w:vAlign w:val="top"/>
          </w:tcPr>
          <w:p w14:paraId="2624ACA7">
            <w:pPr>
              <w:rPr>
                <w:rFonts w:hint="eastAsia" w:ascii="宋体" w:hAnsi="宋体" w:eastAsia="宋体" w:cs="宋体"/>
                <w:color w:val="auto"/>
                <w:sz w:val="21"/>
                <w:highlight w:val="none"/>
              </w:rPr>
            </w:pPr>
          </w:p>
        </w:tc>
      </w:tr>
      <w:tr w14:paraId="0BD1D151">
        <w:tblPrEx>
          <w:tblLayout w:type="fixed"/>
        </w:tblPrEx>
        <w:trPr>
          <w:trHeight w:val="540" w:hRule="atLeast"/>
        </w:trPr>
        <w:tc>
          <w:tcPr>
            <w:tcW w:w="787" w:type="dxa"/>
            <w:vAlign w:val="top"/>
          </w:tcPr>
          <w:p w14:paraId="681011D4">
            <w:pPr>
              <w:rPr>
                <w:rFonts w:hint="eastAsia" w:ascii="宋体" w:hAnsi="宋体" w:eastAsia="宋体" w:cs="宋体"/>
                <w:color w:val="auto"/>
                <w:sz w:val="21"/>
                <w:highlight w:val="none"/>
              </w:rPr>
            </w:pPr>
          </w:p>
        </w:tc>
        <w:tc>
          <w:tcPr>
            <w:tcW w:w="1170" w:type="dxa"/>
            <w:vAlign w:val="top"/>
          </w:tcPr>
          <w:p w14:paraId="0BE102CD">
            <w:pPr>
              <w:rPr>
                <w:rFonts w:hint="eastAsia" w:ascii="宋体" w:hAnsi="宋体" w:eastAsia="宋体" w:cs="宋体"/>
                <w:color w:val="auto"/>
                <w:sz w:val="21"/>
                <w:highlight w:val="none"/>
              </w:rPr>
            </w:pPr>
          </w:p>
        </w:tc>
        <w:tc>
          <w:tcPr>
            <w:tcW w:w="989" w:type="dxa"/>
            <w:vAlign w:val="top"/>
          </w:tcPr>
          <w:p w14:paraId="6CF8A168">
            <w:pPr>
              <w:rPr>
                <w:rFonts w:hint="eastAsia" w:ascii="宋体" w:hAnsi="宋体" w:eastAsia="宋体" w:cs="宋体"/>
                <w:color w:val="auto"/>
                <w:sz w:val="21"/>
                <w:highlight w:val="none"/>
              </w:rPr>
            </w:pPr>
          </w:p>
        </w:tc>
        <w:tc>
          <w:tcPr>
            <w:tcW w:w="675" w:type="dxa"/>
            <w:vAlign w:val="top"/>
          </w:tcPr>
          <w:p w14:paraId="37FC6A4A">
            <w:pPr>
              <w:rPr>
                <w:rFonts w:hint="eastAsia" w:ascii="宋体" w:hAnsi="宋体" w:eastAsia="宋体" w:cs="宋体"/>
                <w:color w:val="auto"/>
                <w:sz w:val="21"/>
                <w:highlight w:val="none"/>
              </w:rPr>
            </w:pPr>
          </w:p>
        </w:tc>
        <w:tc>
          <w:tcPr>
            <w:tcW w:w="854" w:type="dxa"/>
            <w:vAlign w:val="top"/>
          </w:tcPr>
          <w:p w14:paraId="4E8FBCC7">
            <w:pPr>
              <w:rPr>
                <w:rFonts w:hint="eastAsia" w:ascii="宋体" w:hAnsi="宋体" w:eastAsia="宋体" w:cs="宋体"/>
                <w:color w:val="auto"/>
                <w:sz w:val="21"/>
                <w:highlight w:val="none"/>
              </w:rPr>
            </w:pPr>
          </w:p>
        </w:tc>
        <w:tc>
          <w:tcPr>
            <w:tcW w:w="1035" w:type="dxa"/>
            <w:vAlign w:val="top"/>
          </w:tcPr>
          <w:p w14:paraId="1814EB54">
            <w:pPr>
              <w:rPr>
                <w:rFonts w:hint="eastAsia" w:ascii="宋体" w:hAnsi="宋体" w:eastAsia="宋体" w:cs="宋体"/>
                <w:color w:val="auto"/>
                <w:sz w:val="21"/>
                <w:highlight w:val="none"/>
              </w:rPr>
            </w:pPr>
          </w:p>
        </w:tc>
        <w:tc>
          <w:tcPr>
            <w:tcW w:w="989" w:type="dxa"/>
            <w:vAlign w:val="top"/>
          </w:tcPr>
          <w:p w14:paraId="7923EC8C">
            <w:pPr>
              <w:rPr>
                <w:rFonts w:hint="eastAsia" w:ascii="宋体" w:hAnsi="宋体" w:eastAsia="宋体" w:cs="宋体"/>
                <w:color w:val="auto"/>
                <w:sz w:val="21"/>
                <w:highlight w:val="none"/>
              </w:rPr>
            </w:pPr>
          </w:p>
        </w:tc>
        <w:tc>
          <w:tcPr>
            <w:tcW w:w="855" w:type="dxa"/>
            <w:vAlign w:val="top"/>
          </w:tcPr>
          <w:p w14:paraId="2AE9A7A3">
            <w:pPr>
              <w:rPr>
                <w:rFonts w:hint="eastAsia" w:ascii="宋体" w:hAnsi="宋体" w:eastAsia="宋体" w:cs="宋体"/>
                <w:color w:val="auto"/>
                <w:sz w:val="21"/>
                <w:highlight w:val="none"/>
              </w:rPr>
            </w:pPr>
          </w:p>
        </w:tc>
        <w:tc>
          <w:tcPr>
            <w:tcW w:w="855" w:type="dxa"/>
            <w:vAlign w:val="top"/>
          </w:tcPr>
          <w:p w14:paraId="69CA8602">
            <w:pPr>
              <w:rPr>
                <w:rFonts w:hint="eastAsia" w:ascii="宋体" w:hAnsi="宋体" w:eastAsia="宋体" w:cs="宋体"/>
                <w:color w:val="auto"/>
                <w:sz w:val="21"/>
                <w:highlight w:val="none"/>
              </w:rPr>
            </w:pPr>
          </w:p>
        </w:tc>
        <w:tc>
          <w:tcPr>
            <w:tcW w:w="862" w:type="dxa"/>
            <w:vAlign w:val="top"/>
          </w:tcPr>
          <w:p w14:paraId="12C45CA1">
            <w:pPr>
              <w:rPr>
                <w:rFonts w:hint="eastAsia" w:ascii="宋体" w:hAnsi="宋体" w:eastAsia="宋体" w:cs="宋体"/>
                <w:color w:val="auto"/>
                <w:sz w:val="21"/>
                <w:highlight w:val="none"/>
              </w:rPr>
            </w:pPr>
          </w:p>
        </w:tc>
      </w:tr>
      <w:tr w14:paraId="13E1028B">
        <w:tblPrEx>
          <w:tblLayout w:type="fixed"/>
        </w:tblPrEx>
        <w:trPr>
          <w:trHeight w:val="540" w:hRule="atLeast"/>
        </w:trPr>
        <w:tc>
          <w:tcPr>
            <w:tcW w:w="787" w:type="dxa"/>
            <w:vAlign w:val="top"/>
          </w:tcPr>
          <w:p w14:paraId="71E09B70">
            <w:pPr>
              <w:rPr>
                <w:rFonts w:hint="eastAsia" w:ascii="宋体" w:hAnsi="宋体" w:eastAsia="宋体" w:cs="宋体"/>
                <w:color w:val="auto"/>
                <w:sz w:val="21"/>
                <w:highlight w:val="none"/>
              </w:rPr>
            </w:pPr>
          </w:p>
        </w:tc>
        <w:tc>
          <w:tcPr>
            <w:tcW w:w="1170" w:type="dxa"/>
            <w:vAlign w:val="top"/>
          </w:tcPr>
          <w:p w14:paraId="5A984DB3">
            <w:pPr>
              <w:rPr>
                <w:rFonts w:hint="eastAsia" w:ascii="宋体" w:hAnsi="宋体" w:eastAsia="宋体" w:cs="宋体"/>
                <w:color w:val="auto"/>
                <w:sz w:val="21"/>
                <w:highlight w:val="none"/>
              </w:rPr>
            </w:pPr>
          </w:p>
        </w:tc>
        <w:tc>
          <w:tcPr>
            <w:tcW w:w="989" w:type="dxa"/>
            <w:vAlign w:val="top"/>
          </w:tcPr>
          <w:p w14:paraId="7109EF9C">
            <w:pPr>
              <w:rPr>
                <w:rFonts w:hint="eastAsia" w:ascii="宋体" w:hAnsi="宋体" w:eastAsia="宋体" w:cs="宋体"/>
                <w:color w:val="auto"/>
                <w:sz w:val="21"/>
                <w:highlight w:val="none"/>
              </w:rPr>
            </w:pPr>
          </w:p>
        </w:tc>
        <w:tc>
          <w:tcPr>
            <w:tcW w:w="675" w:type="dxa"/>
            <w:vAlign w:val="top"/>
          </w:tcPr>
          <w:p w14:paraId="18F4C03C">
            <w:pPr>
              <w:rPr>
                <w:rFonts w:hint="eastAsia" w:ascii="宋体" w:hAnsi="宋体" w:eastAsia="宋体" w:cs="宋体"/>
                <w:color w:val="auto"/>
                <w:sz w:val="21"/>
                <w:highlight w:val="none"/>
              </w:rPr>
            </w:pPr>
          </w:p>
        </w:tc>
        <w:tc>
          <w:tcPr>
            <w:tcW w:w="854" w:type="dxa"/>
            <w:vAlign w:val="top"/>
          </w:tcPr>
          <w:p w14:paraId="38CE785E">
            <w:pPr>
              <w:rPr>
                <w:rFonts w:hint="eastAsia" w:ascii="宋体" w:hAnsi="宋体" w:eastAsia="宋体" w:cs="宋体"/>
                <w:color w:val="auto"/>
                <w:sz w:val="21"/>
                <w:highlight w:val="none"/>
              </w:rPr>
            </w:pPr>
          </w:p>
        </w:tc>
        <w:tc>
          <w:tcPr>
            <w:tcW w:w="1035" w:type="dxa"/>
            <w:vAlign w:val="top"/>
          </w:tcPr>
          <w:p w14:paraId="792C6D64">
            <w:pPr>
              <w:rPr>
                <w:rFonts w:hint="eastAsia" w:ascii="宋体" w:hAnsi="宋体" w:eastAsia="宋体" w:cs="宋体"/>
                <w:color w:val="auto"/>
                <w:sz w:val="21"/>
                <w:highlight w:val="none"/>
              </w:rPr>
            </w:pPr>
          </w:p>
        </w:tc>
        <w:tc>
          <w:tcPr>
            <w:tcW w:w="989" w:type="dxa"/>
            <w:vAlign w:val="top"/>
          </w:tcPr>
          <w:p w14:paraId="118A2086">
            <w:pPr>
              <w:rPr>
                <w:rFonts w:hint="eastAsia" w:ascii="宋体" w:hAnsi="宋体" w:eastAsia="宋体" w:cs="宋体"/>
                <w:color w:val="auto"/>
                <w:sz w:val="21"/>
                <w:highlight w:val="none"/>
              </w:rPr>
            </w:pPr>
          </w:p>
        </w:tc>
        <w:tc>
          <w:tcPr>
            <w:tcW w:w="855" w:type="dxa"/>
            <w:vAlign w:val="top"/>
          </w:tcPr>
          <w:p w14:paraId="511FBA19">
            <w:pPr>
              <w:rPr>
                <w:rFonts w:hint="eastAsia" w:ascii="宋体" w:hAnsi="宋体" w:eastAsia="宋体" w:cs="宋体"/>
                <w:color w:val="auto"/>
                <w:sz w:val="21"/>
                <w:highlight w:val="none"/>
              </w:rPr>
            </w:pPr>
          </w:p>
        </w:tc>
        <w:tc>
          <w:tcPr>
            <w:tcW w:w="855" w:type="dxa"/>
            <w:vAlign w:val="top"/>
          </w:tcPr>
          <w:p w14:paraId="71D9F4F6">
            <w:pPr>
              <w:rPr>
                <w:rFonts w:hint="eastAsia" w:ascii="宋体" w:hAnsi="宋体" w:eastAsia="宋体" w:cs="宋体"/>
                <w:color w:val="auto"/>
                <w:sz w:val="21"/>
                <w:highlight w:val="none"/>
              </w:rPr>
            </w:pPr>
          </w:p>
        </w:tc>
        <w:tc>
          <w:tcPr>
            <w:tcW w:w="862" w:type="dxa"/>
            <w:vAlign w:val="top"/>
          </w:tcPr>
          <w:p w14:paraId="7300D506">
            <w:pPr>
              <w:rPr>
                <w:rFonts w:hint="eastAsia" w:ascii="宋体" w:hAnsi="宋体" w:eastAsia="宋体" w:cs="宋体"/>
                <w:color w:val="auto"/>
                <w:sz w:val="21"/>
                <w:highlight w:val="none"/>
              </w:rPr>
            </w:pPr>
          </w:p>
        </w:tc>
      </w:tr>
      <w:tr w14:paraId="0C5BC535">
        <w:tblPrEx>
          <w:tblLayout w:type="fixed"/>
        </w:tblPrEx>
        <w:trPr>
          <w:trHeight w:val="525" w:hRule="atLeast"/>
        </w:trPr>
        <w:tc>
          <w:tcPr>
            <w:tcW w:w="787" w:type="dxa"/>
            <w:vAlign w:val="top"/>
          </w:tcPr>
          <w:p w14:paraId="2FC5A40C">
            <w:pPr>
              <w:rPr>
                <w:rFonts w:hint="eastAsia" w:ascii="宋体" w:hAnsi="宋体" w:eastAsia="宋体" w:cs="宋体"/>
                <w:color w:val="auto"/>
                <w:sz w:val="21"/>
                <w:highlight w:val="none"/>
              </w:rPr>
            </w:pPr>
          </w:p>
        </w:tc>
        <w:tc>
          <w:tcPr>
            <w:tcW w:w="1170" w:type="dxa"/>
            <w:vAlign w:val="top"/>
          </w:tcPr>
          <w:p w14:paraId="250ED67E">
            <w:pPr>
              <w:rPr>
                <w:rFonts w:hint="eastAsia" w:ascii="宋体" w:hAnsi="宋体" w:eastAsia="宋体" w:cs="宋体"/>
                <w:color w:val="auto"/>
                <w:sz w:val="21"/>
                <w:highlight w:val="none"/>
              </w:rPr>
            </w:pPr>
          </w:p>
        </w:tc>
        <w:tc>
          <w:tcPr>
            <w:tcW w:w="989" w:type="dxa"/>
            <w:vAlign w:val="top"/>
          </w:tcPr>
          <w:p w14:paraId="0C60DDA2">
            <w:pPr>
              <w:rPr>
                <w:rFonts w:hint="eastAsia" w:ascii="宋体" w:hAnsi="宋体" w:eastAsia="宋体" w:cs="宋体"/>
                <w:color w:val="auto"/>
                <w:sz w:val="21"/>
                <w:highlight w:val="none"/>
              </w:rPr>
            </w:pPr>
          </w:p>
        </w:tc>
        <w:tc>
          <w:tcPr>
            <w:tcW w:w="675" w:type="dxa"/>
            <w:vAlign w:val="top"/>
          </w:tcPr>
          <w:p w14:paraId="54B5DF97">
            <w:pPr>
              <w:rPr>
                <w:rFonts w:hint="eastAsia" w:ascii="宋体" w:hAnsi="宋体" w:eastAsia="宋体" w:cs="宋体"/>
                <w:color w:val="auto"/>
                <w:sz w:val="21"/>
                <w:highlight w:val="none"/>
              </w:rPr>
            </w:pPr>
          </w:p>
        </w:tc>
        <w:tc>
          <w:tcPr>
            <w:tcW w:w="854" w:type="dxa"/>
            <w:vAlign w:val="top"/>
          </w:tcPr>
          <w:p w14:paraId="0A21B7E9">
            <w:pPr>
              <w:rPr>
                <w:rFonts w:hint="eastAsia" w:ascii="宋体" w:hAnsi="宋体" w:eastAsia="宋体" w:cs="宋体"/>
                <w:color w:val="auto"/>
                <w:sz w:val="21"/>
                <w:highlight w:val="none"/>
              </w:rPr>
            </w:pPr>
          </w:p>
        </w:tc>
        <w:tc>
          <w:tcPr>
            <w:tcW w:w="1035" w:type="dxa"/>
            <w:vAlign w:val="top"/>
          </w:tcPr>
          <w:p w14:paraId="383D7C29">
            <w:pPr>
              <w:rPr>
                <w:rFonts w:hint="eastAsia" w:ascii="宋体" w:hAnsi="宋体" w:eastAsia="宋体" w:cs="宋体"/>
                <w:color w:val="auto"/>
                <w:sz w:val="21"/>
                <w:highlight w:val="none"/>
              </w:rPr>
            </w:pPr>
          </w:p>
        </w:tc>
        <w:tc>
          <w:tcPr>
            <w:tcW w:w="989" w:type="dxa"/>
            <w:vAlign w:val="top"/>
          </w:tcPr>
          <w:p w14:paraId="3B91742F">
            <w:pPr>
              <w:rPr>
                <w:rFonts w:hint="eastAsia" w:ascii="宋体" w:hAnsi="宋体" w:eastAsia="宋体" w:cs="宋体"/>
                <w:color w:val="auto"/>
                <w:sz w:val="21"/>
                <w:highlight w:val="none"/>
              </w:rPr>
            </w:pPr>
          </w:p>
        </w:tc>
        <w:tc>
          <w:tcPr>
            <w:tcW w:w="855" w:type="dxa"/>
            <w:vAlign w:val="top"/>
          </w:tcPr>
          <w:p w14:paraId="0060C258">
            <w:pPr>
              <w:rPr>
                <w:rFonts w:hint="eastAsia" w:ascii="宋体" w:hAnsi="宋体" w:eastAsia="宋体" w:cs="宋体"/>
                <w:color w:val="auto"/>
                <w:sz w:val="21"/>
                <w:highlight w:val="none"/>
              </w:rPr>
            </w:pPr>
          </w:p>
        </w:tc>
        <w:tc>
          <w:tcPr>
            <w:tcW w:w="855" w:type="dxa"/>
            <w:vAlign w:val="top"/>
          </w:tcPr>
          <w:p w14:paraId="7871DD71">
            <w:pPr>
              <w:rPr>
                <w:rFonts w:hint="eastAsia" w:ascii="宋体" w:hAnsi="宋体" w:eastAsia="宋体" w:cs="宋体"/>
                <w:color w:val="auto"/>
                <w:sz w:val="21"/>
                <w:highlight w:val="none"/>
              </w:rPr>
            </w:pPr>
          </w:p>
        </w:tc>
        <w:tc>
          <w:tcPr>
            <w:tcW w:w="862" w:type="dxa"/>
            <w:vAlign w:val="top"/>
          </w:tcPr>
          <w:p w14:paraId="4D88CAB7">
            <w:pPr>
              <w:rPr>
                <w:rFonts w:hint="eastAsia" w:ascii="宋体" w:hAnsi="宋体" w:eastAsia="宋体" w:cs="宋体"/>
                <w:color w:val="auto"/>
                <w:sz w:val="21"/>
                <w:highlight w:val="none"/>
              </w:rPr>
            </w:pPr>
          </w:p>
        </w:tc>
      </w:tr>
      <w:tr w14:paraId="55610EEC">
        <w:tblPrEx>
          <w:tblLayout w:type="fixed"/>
        </w:tblPrEx>
        <w:trPr>
          <w:trHeight w:val="540" w:hRule="atLeast"/>
        </w:trPr>
        <w:tc>
          <w:tcPr>
            <w:tcW w:w="787" w:type="dxa"/>
            <w:vAlign w:val="top"/>
          </w:tcPr>
          <w:p w14:paraId="4C440DC7">
            <w:pPr>
              <w:rPr>
                <w:rFonts w:hint="eastAsia" w:ascii="宋体" w:hAnsi="宋体" w:eastAsia="宋体" w:cs="宋体"/>
                <w:color w:val="auto"/>
                <w:sz w:val="21"/>
                <w:highlight w:val="none"/>
              </w:rPr>
            </w:pPr>
          </w:p>
        </w:tc>
        <w:tc>
          <w:tcPr>
            <w:tcW w:w="1170" w:type="dxa"/>
            <w:vAlign w:val="top"/>
          </w:tcPr>
          <w:p w14:paraId="78DA2E62">
            <w:pPr>
              <w:rPr>
                <w:rFonts w:hint="eastAsia" w:ascii="宋体" w:hAnsi="宋体" w:eastAsia="宋体" w:cs="宋体"/>
                <w:color w:val="auto"/>
                <w:sz w:val="21"/>
                <w:highlight w:val="none"/>
              </w:rPr>
            </w:pPr>
          </w:p>
        </w:tc>
        <w:tc>
          <w:tcPr>
            <w:tcW w:w="989" w:type="dxa"/>
            <w:vAlign w:val="top"/>
          </w:tcPr>
          <w:p w14:paraId="41CF9F63">
            <w:pPr>
              <w:rPr>
                <w:rFonts w:hint="eastAsia" w:ascii="宋体" w:hAnsi="宋体" w:eastAsia="宋体" w:cs="宋体"/>
                <w:color w:val="auto"/>
                <w:sz w:val="21"/>
                <w:highlight w:val="none"/>
              </w:rPr>
            </w:pPr>
          </w:p>
        </w:tc>
        <w:tc>
          <w:tcPr>
            <w:tcW w:w="675" w:type="dxa"/>
            <w:vAlign w:val="top"/>
          </w:tcPr>
          <w:p w14:paraId="25AC33DD">
            <w:pPr>
              <w:rPr>
                <w:rFonts w:hint="eastAsia" w:ascii="宋体" w:hAnsi="宋体" w:eastAsia="宋体" w:cs="宋体"/>
                <w:color w:val="auto"/>
                <w:sz w:val="21"/>
                <w:highlight w:val="none"/>
              </w:rPr>
            </w:pPr>
          </w:p>
        </w:tc>
        <w:tc>
          <w:tcPr>
            <w:tcW w:w="854" w:type="dxa"/>
            <w:vAlign w:val="top"/>
          </w:tcPr>
          <w:p w14:paraId="2B119E2F">
            <w:pPr>
              <w:rPr>
                <w:rFonts w:hint="eastAsia" w:ascii="宋体" w:hAnsi="宋体" w:eastAsia="宋体" w:cs="宋体"/>
                <w:color w:val="auto"/>
                <w:sz w:val="21"/>
                <w:highlight w:val="none"/>
              </w:rPr>
            </w:pPr>
          </w:p>
        </w:tc>
        <w:tc>
          <w:tcPr>
            <w:tcW w:w="1035" w:type="dxa"/>
            <w:vAlign w:val="top"/>
          </w:tcPr>
          <w:p w14:paraId="02CD5B2B">
            <w:pPr>
              <w:rPr>
                <w:rFonts w:hint="eastAsia" w:ascii="宋体" w:hAnsi="宋体" w:eastAsia="宋体" w:cs="宋体"/>
                <w:color w:val="auto"/>
                <w:sz w:val="21"/>
                <w:highlight w:val="none"/>
              </w:rPr>
            </w:pPr>
          </w:p>
        </w:tc>
        <w:tc>
          <w:tcPr>
            <w:tcW w:w="989" w:type="dxa"/>
            <w:vAlign w:val="top"/>
          </w:tcPr>
          <w:p w14:paraId="46839520">
            <w:pPr>
              <w:rPr>
                <w:rFonts w:hint="eastAsia" w:ascii="宋体" w:hAnsi="宋体" w:eastAsia="宋体" w:cs="宋体"/>
                <w:color w:val="auto"/>
                <w:sz w:val="21"/>
                <w:highlight w:val="none"/>
              </w:rPr>
            </w:pPr>
          </w:p>
        </w:tc>
        <w:tc>
          <w:tcPr>
            <w:tcW w:w="855" w:type="dxa"/>
            <w:vAlign w:val="top"/>
          </w:tcPr>
          <w:p w14:paraId="09B70A48">
            <w:pPr>
              <w:rPr>
                <w:rFonts w:hint="eastAsia" w:ascii="宋体" w:hAnsi="宋体" w:eastAsia="宋体" w:cs="宋体"/>
                <w:color w:val="auto"/>
                <w:sz w:val="21"/>
                <w:highlight w:val="none"/>
              </w:rPr>
            </w:pPr>
          </w:p>
        </w:tc>
        <w:tc>
          <w:tcPr>
            <w:tcW w:w="855" w:type="dxa"/>
            <w:vAlign w:val="top"/>
          </w:tcPr>
          <w:p w14:paraId="382B1E3D">
            <w:pPr>
              <w:rPr>
                <w:rFonts w:hint="eastAsia" w:ascii="宋体" w:hAnsi="宋体" w:eastAsia="宋体" w:cs="宋体"/>
                <w:color w:val="auto"/>
                <w:sz w:val="21"/>
                <w:highlight w:val="none"/>
              </w:rPr>
            </w:pPr>
          </w:p>
        </w:tc>
        <w:tc>
          <w:tcPr>
            <w:tcW w:w="862" w:type="dxa"/>
            <w:vAlign w:val="top"/>
          </w:tcPr>
          <w:p w14:paraId="7BEBEFEB">
            <w:pPr>
              <w:rPr>
                <w:rFonts w:hint="eastAsia" w:ascii="宋体" w:hAnsi="宋体" w:eastAsia="宋体" w:cs="宋体"/>
                <w:color w:val="auto"/>
                <w:sz w:val="21"/>
                <w:highlight w:val="none"/>
              </w:rPr>
            </w:pPr>
          </w:p>
        </w:tc>
      </w:tr>
      <w:tr w14:paraId="7304CEE5">
        <w:tblPrEx>
          <w:tblLayout w:type="fixed"/>
        </w:tblPrEx>
        <w:trPr>
          <w:trHeight w:val="540" w:hRule="atLeast"/>
        </w:trPr>
        <w:tc>
          <w:tcPr>
            <w:tcW w:w="787" w:type="dxa"/>
            <w:vAlign w:val="top"/>
          </w:tcPr>
          <w:p w14:paraId="79BFE56C">
            <w:pPr>
              <w:rPr>
                <w:rFonts w:hint="eastAsia" w:ascii="宋体" w:hAnsi="宋体" w:eastAsia="宋体" w:cs="宋体"/>
                <w:color w:val="auto"/>
                <w:sz w:val="21"/>
                <w:highlight w:val="none"/>
              </w:rPr>
            </w:pPr>
          </w:p>
        </w:tc>
        <w:tc>
          <w:tcPr>
            <w:tcW w:w="1170" w:type="dxa"/>
            <w:vAlign w:val="top"/>
          </w:tcPr>
          <w:p w14:paraId="5969C2C3">
            <w:pPr>
              <w:rPr>
                <w:rFonts w:hint="eastAsia" w:ascii="宋体" w:hAnsi="宋体" w:eastAsia="宋体" w:cs="宋体"/>
                <w:color w:val="auto"/>
                <w:sz w:val="21"/>
                <w:highlight w:val="none"/>
              </w:rPr>
            </w:pPr>
          </w:p>
        </w:tc>
        <w:tc>
          <w:tcPr>
            <w:tcW w:w="989" w:type="dxa"/>
            <w:vAlign w:val="top"/>
          </w:tcPr>
          <w:p w14:paraId="644C684C">
            <w:pPr>
              <w:rPr>
                <w:rFonts w:hint="eastAsia" w:ascii="宋体" w:hAnsi="宋体" w:eastAsia="宋体" w:cs="宋体"/>
                <w:color w:val="auto"/>
                <w:sz w:val="21"/>
                <w:highlight w:val="none"/>
              </w:rPr>
            </w:pPr>
          </w:p>
        </w:tc>
        <w:tc>
          <w:tcPr>
            <w:tcW w:w="675" w:type="dxa"/>
            <w:vAlign w:val="top"/>
          </w:tcPr>
          <w:p w14:paraId="68307A1F">
            <w:pPr>
              <w:rPr>
                <w:rFonts w:hint="eastAsia" w:ascii="宋体" w:hAnsi="宋体" w:eastAsia="宋体" w:cs="宋体"/>
                <w:color w:val="auto"/>
                <w:sz w:val="21"/>
                <w:highlight w:val="none"/>
              </w:rPr>
            </w:pPr>
          </w:p>
        </w:tc>
        <w:tc>
          <w:tcPr>
            <w:tcW w:w="854" w:type="dxa"/>
            <w:vAlign w:val="top"/>
          </w:tcPr>
          <w:p w14:paraId="636406D5">
            <w:pPr>
              <w:rPr>
                <w:rFonts w:hint="eastAsia" w:ascii="宋体" w:hAnsi="宋体" w:eastAsia="宋体" w:cs="宋体"/>
                <w:color w:val="auto"/>
                <w:sz w:val="21"/>
                <w:highlight w:val="none"/>
              </w:rPr>
            </w:pPr>
          </w:p>
        </w:tc>
        <w:tc>
          <w:tcPr>
            <w:tcW w:w="1035" w:type="dxa"/>
            <w:vAlign w:val="top"/>
          </w:tcPr>
          <w:p w14:paraId="19ACD07B">
            <w:pPr>
              <w:rPr>
                <w:rFonts w:hint="eastAsia" w:ascii="宋体" w:hAnsi="宋体" w:eastAsia="宋体" w:cs="宋体"/>
                <w:color w:val="auto"/>
                <w:sz w:val="21"/>
                <w:highlight w:val="none"/>
              </w:rPr>
            </w:pPr>
          </w:p>
        </w:tc>
        <w:tc>
          <w:tcPr>
            <w:tcW w:w="989" w:type="dxa"/>
            <w:vAlign w:val="top"/>
          </w:tcPr>
          <w:p w14:paraId="2AC90781">
            <w:pPr>
              <w:rPr>
                <w:rFonts w:hint="eastAsia" w:ascii="宋体" w:hAnsi="宋体" w:eastAsia="宋体" w:cs="宋体"/>
                <w:color w:val="auto"/>
                <w:sz w:val="21"/>
                <w:highlight w:val="none"/>
              </w:rPr>
            </w:pPr>
          </w:p>
        </w:tc>
        <w:tc>
          <w:tcPr>
            <w:tcW w:w="855" w:type="dxa"/>
            <w:vAlign w:val="top"/>
          </w:tcPr>
          <w:p w14:paraId="7D144E3F">
            <w:pPr>
              <w:rPr>
                <w:rFonts w:hint="eastAsia" w:ascii="宋体" w:hAnsi="宋体" w:eastAsia="宋体" w:cs="宋体"/>
                <w:color w:val="auto"/>
                <w:sz w:val="21"/>
                <w:highlight w:val="none"/>
              </w:rPr>
            </w:pPr>
          </w:p>
        </w:tc>
        <w:tc>
          <w:tcPr>
            <w:tcW w:w="855" w:type="dxa"/>
            <w:vAlign w:val="top"/>
          </w:tcPr>
          <w:p w14:paraId="1D08F51D">
            <w:pPr>
              <w:rPr>
                <w:rFonts w:hint="eastAsia" w:ascii="宋体" w:hAnsi="宋体" w:eastAsia="宋体" w:cs="宋体"/>
                <w:color w:val="auto"/>
                <w:sz w:val="21"/>
                <w:highlight w:val="none"/>
              </w:rPr>
            </w:pPr>
          </w:p>
        </w:tc>
        <w:tc>
          <w:tcPr>
            <w:tcW w:w="862" w:type="dxa"/>
            <w:vAlign w:val="top"/>
          </w:tcPr>
          <w:p w14:paraId="7850D9B2">
            <w:pPr>
              <w:rPr>
                <w:rFonts w:hint="eastAsia" w:ascii="宋体" w:hAnsi="宋体" w:eastAsia="宋体" w:cs="宋体"/>
                <w:color w:val="auto"/>
                <w:sz w:val="21"/>
                <w:highlight w:val="none"/>
              </w:rPr>
            </w:pPr>
          </w:p>
        </w:tc>
      </w:tr>
      <w:tr w14:paraId="14147989">
        <w:tblPrEx>
          <w:tblLayout w:type="fixed"/>
        </w:tblPrEx>
        <w:trPr>
          <w:trHeight w:val="525" w:hRule="atLeast"/>
        </w:trPr>
        <w:tc>
          <w:tcPr>
            <w:tcW w:w="787" w:type="dxa"/>
            <w:vAlign w:val="top"/>
          </w:tcPr>
          <w:p w14:paraId="7E2CB8F7">
            <w:pPr>
              <w:rPr>
                <w:rFonts w:hint="eastAsia" w:ascii="宋体" w:hAnsi="宋体" w:eastAsia="宋体" w:cs="宋体"/>
                <w:color w:val="auto"/>
                <w:sz w:val="21"/>
                <w:highlight w:val="none"/>
              </w:rPr>
            </w:pPr>
          </w:p>
        </w:tc>
        <w:tc>
          <w:tcPr>
            <w:tcW w:w="1170" w:type="dxa"/>
            <w:vAlign w:val="top"/>
          </w:tcPr>
          <w:p w14:paraId="00CC5346">
            <w:pPr>
              <w:rPr>
                <w:rFonts w:hint="eastAsia" w:ascii="宋体" w:hAnsi="宋体" w:eastAsia="宋体" w:cs="宋体"/>
                <w:color w:val="auto"/>
                <w:sz w:val="21"/>
                <w:highlight w:val="none"/>
              </w:rPr>
            </w:pPr>
          </w:p>
        </w:tc>
        <w:tc>
          <w:tcPr>
            <w:tcW w:w="989" w:type="dxa"/>
            <w:vAlign w:val="top"/>
          </w:tcPr>
          <w:p w14:paraId="1F93FCEF">
            <w:pPr>
              <w:rPr>
                <w:rFonts w:hint="eastAsia" w:ascii="宋体" w:hAnsi="宋体" w:eastAsia="宋体" w:cs="宋体"/>
                <w:color w:val="auto"/>
                <w:sz w:val="21"/>
                <w:highlight w:val="none"/>
              </w:rPr>
            </w:pPr>
          </w:p>
        </w:tc>
        <w:tc>
          <w:tcPr>
            <w:tcW w:w="675" w:type="dxa"/>
            <w:vAlign w:val="top"/>
          </w:tcPr>
          <w:p w14:paraId="0F237DD2">
            <w:pPr>
              <w:rPr>
                <w:rFonts w:hint="eastAsia" w:ascii="宋体" w:hAnsi="宋体" w:eastAsia="宋体" w:cs="宋体"/>
                <w:color w:val="auto"/>
                <w:sz w:val="21"/>
                <w:highlight w:val="none"/>
              </w:rPr>
            </w:pPr>
          </w:p>
        </w:tc>
        <w:tc>
          <w:tcPr>
            <w:tcW w:w="854" w:type="dxa"/>
            <w:vAlign w:val="top"/>
          </w:tcPr>
          <w:p w14:paraId="35C4FC48">
            <w:pPr>
              <w:rPr>
                <w:rFonts w:hint="eastAsia" w:ascii="宋体" w:hAnsi="宋体" w:eastAsia="宋体" w:cs="宋体"/>
                <w:color w:val="auto"/>
                <w:sz w:val="21"/>
                <w:highlight w:val="none"/>
              </w:rPr>
            </w:pPr>
          </w:p>
        </w:tc>
        <w:tc>
          <w:tcPr>
            <w:tcW w:w="1035" w:type="dxa"/>
            <w:vAlign w:val="top"/>
          </w:tcPr>
          <w:p w14:paraId="63CE308A">
            <w:pPr>
              <w:rPr>
                <w:rFonts w:hint="eastAsia" w:ascii="宋体" w:hAnsi="宋体" w:eastAsia="宋体" w:cs="宋体"/>
                <w:color w:val="auto"/>
                <w:sz w:val="21"/>
                <w:highlight w:val="none"/>
              </w:rPr>
            </w:pPr>
          </w:p>
        </w:tc>
        <w:tc>
          <w:tcPr>
            <w:tcW w:w="989" w:type="dxa"/>
            <w:vAlign w:val="top"/>
          </w:tcPr>
          <w:p w14:paraId="5E15FD60">
            <w:pPr>
              <w:rPr>
                <w:rFonts w:hint="eastAsia" w:ascii="宋体" w:hAnsi="宋体" w:eastAsia="宋体" w:cs="宋体"/>
                <w:color w:val="auto"/>
                <w:sz w:val="21"/>
                <w:highlight w:val="none"/>
              </w:rPr>
            </w:pPr>
          </w:p>
        </w:tc>
        <w:tc>
          <w:tcPr>
            <w:tcW w:w="855" w:type="dxa"/>
            <w:vAlign w:val="top"/>
          </w:tcPr>
          <w:p w14:paraId="3A9AF4B3">
            <w:pPr>
              <w:rPr>
                <w:rFonts w:hint="eastAsia" w:ascii="宋体" w:hAnsi="宋体" w:eastAsia="宋体" w:cs="宋体"/>
                <w:color w:val="auto"/>
                <w:sz w:val="21"/>
                <w:highlight w:val="none"/>
              </w:rPr>
            </w:pPr>
          </w:p>
        </w:tc>
        <w:tc>
          <w:tcPr>
            <w:tcW w:w="855" w:type="dxa"/>
            <w:vAlign w:val="top"/>
          </w:tcPr>
          <w:p w14:paraId="33969AE6">
            <w:pPr>
              <w:rPr>
                <w:rFonts w:hint="eastAsia" w:ascii="宋体" w:hAnsi="宋体" w:eastAsia="宋体" w:cs="宋体"/>
                <w:color w:val="auto"/>
                <w:sz w:val="21"/>
                <w:highlight w:val="none"/>
              </w:rPr>
            </w:pPr>
          </w:p>
        </w:tc>
        <w:tc>
          <w:tcPr>
            <w:tcW w:w="862" w:type="dxa"/>
            <w:vAlign w:val="top"/>
          </w:tcPr>
          <w:p w14:paraId="7E9E1233">
            <w:pPr>
              <w:rPr>
                <w:rFonts w:hint="eastAsia" w:ascii="宋体" w:hAnsi="宋体" w:eastAsia="宋体" w:cs="宋体"/>
                <w:color w:val="auto"/>
                <w:sz w:val="21"/>
                <w:highlight w:val="none"/>
              </w:rPr>
            </w:pPr>
          </w:p>
        </w:tc>
      </w:tr>
      <w:tr w14:paraId="280B6767">
        <w:tblPrEx>
          <w:tblLayout w:type="fixed"/>
        </w:tblPrEx>
        <w:trPr>
          <w:trHeight w:val="540" w:hRule="atLeast"/>
        </w:trPr>
        <w:tc>
          <w:tcPr>
            <w:tcW w:w="787" w:type="dxa"/>
            <w:vAlign w:val="top"/>
          </w:tcPr>
          <w:p w14:paraId="1B5AAD8C">
            <w:pPr>
              <w:rPr>
                <w:rFonts w:hint="eastAsia" w:ascii="宋体" w:hAnsi="宋体" w:eastAsia="宋体" w:cs="宋体"/>
                <w:color w:val="auto"/>
                <w:sz w:val="21"/>
                <w:highlight w:val="none"/>
              </w:rPr>
            </w:pPr>
          </w:p>
        </w:tc>
        <w:tc>
          <w:tcPr>
            <w:tcW w:w="1170" w:type="dxa"/>
            <w:vAlign w:val="top"/>
          </w:tcPr>
          <w:p w14:paraId="2E13B402">
            <w:pPr>
              <w:rPr>
                <w:rFonts w:hint="eastAsia" w:ascii="宋体" w:hAnsi="宋体" w:eastAsia="宋体" w:cs="宋体"/>
                <w:color w:val="auto"/>
                <w:sz w:val="21"/>
                <w:highlight w:val="none"/>
              </w:rPr>
            </w:pPr>
          </w:p>
        </w:tc>
        <w:tc>
          <w:tcPr>
            <w:tcW w:w="989" w:type="dxa"/>
            <w:vAlign w:val="top"/>
          </w:tcPr>
          <w:p w14:paraId="5F521DB9">
            <w:pPr>
              <w:rPr>
                <w:rFonts w:hint="eastAsia" w:ascii="宋体" w:hAnsi="宋体" w:eastAsia="宋体" w:cs="宋体"/>
                <w:color w:val="auto"/>
                <w:sz w:val="21"/>
                <w:highlight w:val="none"/>
              </w:rPr>
            </w:pPr>
          </w:p>
        </w:tc>
        <w:tc>
          <w:tcPr>
            <w:tcW w:w="675" w:type="dxa"/>
            <w:vAlign w:val="top"/>
          </w:tcPr>
          <w:p w14:paraId="60E7618C">
            <w:pPr>
              <w:rPr>
                <w:rFonts w:hint="eastAsia" w:ascii="宋体" w:hAnsi="宋体" w:eastAsia="宋体" w:cs="宋体"/>
                <w:color w:val="auto"/>
                <w:sz w:val="21"/>
                <w:highlight w:val="none"/>
              </w:rPr>
            </w:pPr>
          </w:p>
        </w:tc>
        <w:tc>
          <w:tcPr>
            <w:tcW w:w="854" w:type="dxa"/>
            <w:vAlign w:val="top"/>
          </w:tcPr>
          <w:p w14:paraId="243EB66C">
            <w:pPr>
              <w:rPr>
                <w:rFonts w:hint="eastAsia" w:ascii="宋体" w:hAnsi="宋体" w:eastAsia="宋体" w:cs="宋体"/>
                <w:color w:val="auto"/>
                <w:sz w:val="21"/>
                <w:highlight w:val="none"/>
              </w:rPr>
            </w:pPr>
          </w:p>
        </w:tc>
        <w:tc>
          <w:tcPr>
            <w:tcW w:w="1035" w:type="dxa"/>
            <w:vAlign w:val="top"/>
          </w:tcPr>
          <w:p w14:paraId="1614BCB2">
            <w:pPr>
              <w:rPr>
                <w:rFonts w:hint="eastAsia" w:ascii="宋体" w:hAnsi="宋体" w:eastAsia="宋体" w:cs="宋体"/>
                <w:color w:val="auto"/>
                <w:sz w:val="21"/>
                <w:highlight w:val="none"/>
              </w:rPr>
            </w:pPr>
          </w:p>
        </w:tc>
        <w:tc>
          <w:tcPr>
            <w:tcW w:w="989" w:type="dxa"/>
            <w:vAlign w:val="top"/>
          </w:tcPr>
          <w:p w14:paraId="1573BDA8">
            <w:pPr>
              <w:rPr>
                <w:rFonts w:hint="eastAsia" w:ascii="宋体" w:hAnsi="宋体" w:eastAsia="宋体" w:cs="宋体"/>
                <w:color w:val="auto"/>
                <w:sz w:val="21"/>
                <w:highlight w:val="none"/>
              </w:rPr>
            </w:pPr>
          </w:p>
        </w:tc>
        <w:tc>
          <w:tcPr>
            <w:tcW w:w="855" w:type="dxa"/>
            <w:vAlign w:val="top"/>
          </w:tcPr>
          <w:p w14:paraId="0E785019">
            <w:pPr>
              <w:rPr>
                <w:rFonts w:hint="eastAsia" w:ascii="宋体" w:hAnsi="宋体" w:eastAsia="宋体" w:cs="宋体"/>
                <w:color w:val="auto"/>
                <w:sz w:val="21"/>
                <w:highlight w:val="none"/>
              </w:rPr>
            </w:pPr>
          </w:p>
        </w:tc>
        <w:tc>
          <w:tcPr>
            <w:tcW w:w="855" w:type="dxa"/>
            <w:vAlign w:val="top"/>
          </w:tcPr>
          <w:p w14:paraId="6236A1AE">
            <w:pPr>
              <w:rPr>
                <w:rFonts w:hint="eastAsia" w:ascii="宋体" w:hAnsi="宋体" w:eastAsia="宋体" w:cs="宋体"/>
                <w:color w:val="auto"/>
                <w:sz w:val="21"/>
                <w:highlight w:val="none"/>
              </w:rPr>
            </w:pPr>
          </w:p>
        </w:tc>
        <w:tc>
          <w:tcPr>
            <w:tcW w:w="862" w:type="dxa"/>
            <w:vAlign w:val="top"/>
          </w:tcPr>
          <w:p w14:paraId="2A5C2EEF">
            <w:pPr>
              <w:rPr>
                <w:rFonts w:hint="eastAsia" w:ascii="宋体" w:hAnsi="宋体" w:eastAsia="宋体" w:cs="宋体"/>
                <w:color w:val="auto"/>
                <w:sz w:val="21"/>
                <w:highlight w:val="none"/>
              </w:rPr>
            </w:pPr>
          </w:p>
        </w:tc>
      </w:tr>
      <w:tr w14:paraId="3B10821B">
        <w:tblPrEx>
          <w:tblLayout w:type="fixed"/>
        </w:tblPrEx>
        <w:trPr>
          <w:trHeight w:val="540" w:hRule="atLeast"/>
        </w:trPr>
        <w:tc>
          <w:tcPr>
            <w:tcW w:w="787" w:type="dxa"/>
            <w:vAlign w:val="top"/>
          </w:tcPr>
          <w:p w14:paraId="4C8AFDA3">
            <w:pPr>
              <w:rPr>
                <w:rFonts w:hint="eastAsia" w:ascii="宋体" w:hAnsi="宋体" w:eastAsia="宋体" w:cs="宋体"/>
                <w:color w:val="auto"/>
                <w:sz w:val="21"/>
                <w:highlight w:val="none"/>
              </w:rPr>
            </w:pPr>
          </w:p>
        </w:tc>
        <w:tc>
          <w:tcPr>
            <w:tcW w:w="1170" w:type="dxa"/>
            <w:vAlign w:val="top"/>
          </w:tcPr>
          <w:p w14:paraId="17DD58BC">
            <w:pPr>
              <w:rPr>
                <w:rFonts w:hint="eastAsia" w:ascii="宋体" w:hAnsi="宋体" w:eastAsia="宋体" w:cs="宋体"/>
                <w:color w:val="auto"/>
                <w:sz w:val="21"/>
                <w:highlight w:val="none"/>
              </w:rPr>
            </w:pPr>
          </w:p>
        </w:tc>
        <w:tc>
          <w:tcPr>
            <w:tcW w:w="989" w:type="dxa"/>
            <w:vAlign w:val="top"/>
          </w:tcPr>
          <w:p w14:paraId="62CEA7DE">
            <w:pPr>
              <w:rPr>
                <w:rFonts w:hint="eastAsia" w:ascii="宋体" w:hAnsi="宋体" w:eastAsia="宋体" w:cs="宋体"/>
                <w:color w:val="auto"/>
                <w:sz w:val="21"/>
                <w:highlight w:val="none"/>
              </w:rPr>
            </w:pPr>
          </w:p>
        </w:tc>
        <w:tc>
          <w:tcPr>
            <w:tcW w:w="675" w:type="dxa"/>
            <w:vAlign w:val="top"/>
          </w:tcPr>
          <w:p w14:paraId="01B91B9D">
            <w:pPr>
              <w:rPr>
                <w:rFonts w:hint="eastAsia" w:ascii="宋体" w:hAnsi="宋体" w:eastAsia="宋体" w:cs="宋体"/>
                <w:color w:val="auto"/>
                <w:sz w:val="21"/>
                <w:highlight w:val="none"/>
              </w:rPr>
            </w:pPr>
          </w:p>
        </w:tc>
        <w:tc>
          <w:tcPr>
            <w:tcW w:w="854" w:type="dxa"/>
            <w:vAlign w:val="top"/>
          </w:tcPr>
          <w:p w14:paraId="2AFECFEC">
            <w:pPr>
              <w:rPr>
                <w:rFonts w:hint="eastAsia" w:ascii="宋体" w:hAnsi="宋体" w:eastAsia="宋体" w:cs="宋体"/>
                <w:color w:val="auto"/>
                <w:sz w:val="21"/>
                <w:highlight w:val="none"/>
              </w:rPr>
            </w:pPr>
          </w:p>
        </w:tc>
        <w:tc>
          <w:tcPr>
            <w:tcW w:w="1035" w:type="dxa"/>
            <w:vAlign w:val="top"/>
          </w:tcPr>
          <w:p w14:paraId="364848E8">
            <w:pPr>
              <w:rPr>
                <w:rFonts w:hint="eastAsia" w:ascii="宋体" w:hAnsi="宋体" w:eastAsia="宋体" w:cs="宋体"/>
                <w:color w:val="auto"/>
                <w:sz w:val="21"/>
                <w:highlight w:val="none"/>
              </w:rPr>
            </w:pPr>
          </w:p>
        </w:tc>
        <w:tc>
          <w:tcPr>
            <w:tcW w:w="989" w:type="dxa"/>
            <w:vAlign w:val="top"/>
          </w:tcPr>
          <w:p w14:paraId="4BA2C55B">
            <w:pPr>
              <w:rPr>
                <w:rFonts w:hint="eastAsia" w:ascii="宋体" w:hAnsi="宋体" w:eastAsia="宋体" w:cs="宋体"/>
                <w:color w:val="auto"/>
                <w:sz w:val="21"/>
                <w:highlight w:val="none"/>
              </w:rPr>
            </w:pPr>
          </w:p>
        </w:tc>
        <w:tc>
          <w:tcPr>
            <w:tcW w:w="855" w:type="dxa"/>
            <w:vAlign w:val="top"/>
          </w:tcPr>
          <w:p w14:paraId="57F12745">
            <w:pPr>
              <w:rPr>
                <w:rFonts w:hint="eastAsia" w:ascii="宋体" w:hAnsi="宋体" w:eastAsia="宋体" w:cs="宋体"/>
                <w:color w:val="auto"/>
                <w:sz w:val="21"/>
                <w:highlight w:val="none"/>
              </w:rPr>
            </w:pPr>
          </w:p>
        </w:tc>
        <w:tc>
          <w:tcPr>
            <w:tcW w:w="855" w:type="dxa"/>
            <w:vAlign w:val="top"/>
          </w:tcPr>
          <w:p w14:paraId="46F68FB2">
            <w:pPr>
              <w:rPr>
                <w:rFonts w:hint="eastAsia" w:ascii="宋体" w:hAnsi="宋体" w:eastAsia="宋体" w:cs="宋体"/>
                <w:color w:val="auto"/>
                <w:sz w:val="21"/>
                <w:highlight w:val="none"/>
              </w:rPr>
            </w:pPr>
          </w:p>
        </w:tc>
        <w:tc>
          <w:tcPr>
            <w:tcW w:w="862" w:type="dxa"/>
            <w:vAlign w:val="top"/>
          </w:tcPr>
          <w:p w14:paraId="00492750">
            <w:pPr>
              <w:rPr>
                <w:rFonts w:hint="eastAsia" w:ascii="宋体" w:hAnsi="宋体" w:eastAsia="宋体" w:cs="宋体"/>
                <w:color w:val="auto"/>
                <w:sz w:val="21"/>
                <w:highlight w:val="none"/>
              </w:rPr>
            </w:pPr>
          </w:p>
        </w:tc>
      </w:tr>
      <w:tr w14:paraId="674A300F">
        <w:tblPrEx>
          <w:tblLayout w:type="fixed"/>
        </w:tblPrEx>
        <w:trPr>
          <w:trHeight w:val="525" w:hRule="atLeast"/>
        </w:trPr>
        <w:tc>
          <w:tcPr>
            <w:tcW w:w="787" w:type="dxa"/>
            <w:vAlign w:val="top"/>
          </w:tcPr>
          <w:p w14:paraId="2FA5C4B4">
            <w:pPr>
              <w:rPr>
                <w:rFonts w:hint="eastAsia" w:ascii="宋体" w:hAnsi="宋体" w:eastAsia="宋体" w:cs="宋体"/>
                <w:color w:val="auto"/>
                <w:sz w:val="21"/>
                <w:highlight w:val="none"/>
              </w:rPr>
            </w:pPr>
          </w:p>
        </w:tc>
        <w:tc>
          <w:tcPr>
            <w:tcW w:w="1170" w:type="dxa"/>
            <w:vAlign w:val="top"/>
          </w:tcPr>
          <w:p w14:paraId="6CE79ED9">
            <w:pPr>
              <w:rPr>
                <w:rFonts w:hint="eastAsia" w:ascii="宋体" w:hAnsi="宋体" w:eastAsia="宋体" w:cs="宋体"/>
                <w:color w:val="auto"/>
                <w:sz w:val="21"/>
                <w:highlight w:val="none"/>
              </w:rPr>
            </w:pPr>
          </w:p>
        </w:tc>
        <w:tc>
          <w:tcPr>
            <w:tcW w:w="989" w:type="dxa"/>
            <w:vAlign w:val="top"/>
          </w:tcPr>
          <w:p w14:paraId="14D97AC4">
            <w:pPr>
              <w:rPr>
                <w:rFonts w:hint="eastAsia" w:ascii="宋体" w:hAnsi="宋体" w:eastAsia="宋体" w:cs="宋体"/>
                <w:color w:val="auto"/>
                <w:sz w:val="21"/>
                <w:highlight w:val="none"/>
              </w:rPr>
            </w:pPr>
          </w:p>
        </w:tc>
        <w:tc>
          <w:tcPr>
            <w:tcW w:w="675" w:type="dxa"/>
            <w:vAlign w:val="top"/>
          </w:tcPr>
          <w:p w14:paraId="311FEAAF">
            <w:pPr>
              <w:rPr>
                <w:rFonts w:hint="eastAsia" w:ascii="宋体" w:hAnsi="宋体" w:eastAsia="宋体" w:cs="宋体"/>
                <w:color w:val="auto"/>
                <w:sz w:val="21"/>
                <w:highlight w:val="none"/>
              </w:rPr>
            </w:pPr>
          </w:p>
        </w:tc>
        <w:tc>
          <w:tcPr>
            <w:tcW w:w="854" w:type="dxa"/>
            <w:vAlign w:val="top"/>
          </w:tcPr>
          <w:p w14:paraId="61E6EC4A">
            <w:pPr>
              <w:rPr>
                <w:rFonts w:hint="eastAsia" w:ascii="宋体" w:hAnsi="宋体" w:eastAsia="宋体" w:cs="宋体"/>
                <w:color w:val="auto"/>
                <w:sz w:val="21"/>
                <w:highlight w:val="none"/>
              </w:rPr>
            </w:pPr>
          </w:p>
        </w:tc>
        <w:tc>
          <w:tcPr>
            <w:tcW w:w="1035" w:type="dxa"/>
            <w:vAlign w:val="top"/>
          </w:tcPr>
          <w:p w14:paraId="7068F8DA">
            <w:pPr>
              <w:rPr>
                <w:rFonts w:hint="eastAsia" w:ascii="宋体" w:hAnsi="宋体" w:eastAsia="宋体" w:cs="宋体"/>
                <w:color w:val="auto"/>
                <w:sz w:val="21"/>
                <w:highlight w:val="none"/>
              </w:rPr>
            </w:pPr>
          </w:p>
        </w:tc>
        <w:tc>
          <w:tcPr>
            <w:tcW w:w="989" w:type="dxa"/>
            <w:vAlign w:val="top"/>
          </w:tcPr>
          <w:p w14:paraId="16ED3C98">
            <w:pPr>
              <w:rPr>
                <w:rFonts w:hint="eastAsia" w:ascii="宋体" w:hAnsi="宋体" w:eastAsia="宋体" w:cs="宋体"/>
                <w:color w:val="auto"/>
                <w:sz w:val="21"/>
                <w:highlight w:val="none"/>
              </w:rPr>
            </w:pPr>
          </w:p>
        </w:tc>
        <w:tc>
          <w:tcPr>
            <w:tcW w:w="855" w:type="dxa"/>
            <w:vAlign w:val="top"/>
          </w:tcPr>
          <w:p w14:paraId="2753709A">
            <w:pPr>
              <w:rPr>
                <w:rFonts w:hint="eastAsia" w:ascii="宋体" w:hAnsi="宋体" w:eastAsia="宋体" w:cs="宋体"/>
                <w:color w:val="auto"/>
                <w:sz w:val="21"/>
                <w:highlight w:val="none"/>
              </w:rPr>
            </w:pPr>
          </w:p>
        </w:tc>
        <w:tc>
          <w:tcPr>
            <w:tcW w:w="855" w:type="dxa"/>
            <w:vAlign w:val="top"/>
          </w:tcPr>
          <w:p w14:paraId="3C8F0DFF">
            <w:pPr>
              <w:rPr>
                <w:rFonts w:hint="eastAsia" w:ascii="宋体" w:hAnsi="宋体" w:eastAsia="宋体" w:cs="宋体"/>
                <w:color w:val="auto"/>
                <w:sz w:val="21"/>
                <w:highlight w:val="none"/>
              </w:rPr>
            </w:pPr>
          </w:p>
        </w:tc>
        <w:tc>
          <w:tcPr>
            <w:tcW w:w="862" w:type="dxa"/>
            <w:vAlign w:val="top"/>
          </w:tcPr>
          <w:p w14:paraId="3CBAE070">
            <w:pPr>
              <w:rPr>
                <w:rFonts w:hint="eastAsia" w:ascii="宋体" w:hAnsi="宋体" w:eastAsia="宋体" w:cs="宋体"/>
                <w:color w:val="auto"/>
                <w:sz w:val="21"/>
                <w:highlight w:val="none"/>
              </w:rPr>
            </w:pPr>
          </w:p>
        </w:tc>
      </w:tr>
    </w:tbl>
    <w:p w14:paraId="73D8A771">
      <w:pPr>
        <w:pStyle w:val="8"/>
        <w:rPr>
          <w:rFonts w:hint="eastAsia" w:ascii="宋体" w:hAnsi="宋体" w:eastAsia="宋体" w:cs="宋体"/>
          <w:color w:val="auto"/>
          <w:highlight w:val="none"/>
        </w:rPr>
      </w:pPr>
    </w:p>
    <w:p w14:paraId="7DE6F095">
      <w:pPr>
        <w:rPr>
          <w:rFonts w:hint="eastAsia" w:ascii="宋体" w:hAnsi="宋体" w:eastAsia="宋体" w:cs="宋体"/>
          <w:color w:val="auto"/>
          <w:highlight w:val="none"/>
        </w:rPr>
        <w:sectPr>
          <w:pgSz w:w="11910" w:h="16845"/>
          <w:pgMar w:top="1440" w:right="1800" w:bottom="1440" w:left="1800" w:header="0" w:footer="810" w:gutter="0"/>
          <w:pgNumType w:fmt="decimal"/>
          <w:cols w:space="720" w:num="1"/>
        </w:sectPr>
      </w:pPr>
    </w:p>
    <w:p w14:paraId="47AD697F">
      <w:pPr>
        <w:spacing w:before="78" w:line="219" w:lineRule="auto"/>
        <w:ind w:left="1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附件</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sz w:val="24"/>
          <w:szCs w:val="24"/>
          <w:highlight w:val="none"/>
        </w:rPr>
        <w:t>3：</w:t>
      </w:r>
    </w:p>
    <w:p w14:paraId="637CC71D">
      <w:pPr>
        <w:spacing w:before="270" w:line="219" w:lineRule="auto"/>
        <w:ind w:left="35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工程质量保修书</w:t>
      </w:r>
    </w:p>
    <w:p w14:paraId="1103C8BD">
      <w:pPr>
        <w:spacing w:before="297" w:line="220" w:lineRule="auto"/>
        <w:ind w:left="4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发包人（全称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 xml:space="preserve">                </w:t>
      </w:r>
    </w:p>
    <w:p w14:paraId="63AA4DBE">
      <w:pPr>
        <w:spacing w:before="184" w:line="22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承包人（全称）：</w:t>
      </w:r>
      <w:r>
        <w:rPr>
          <w:rFonts w:hint="eastAsia" w:ascii="宋体" w:hAnsi="宋体" w:eastAsia="宋体" w:cs="宋体"/>
          <w:color w:val="auto"/>
          <w:sz w:val="21"/>
          <w:szCs w:val="21"/>
          <w:highlight w:val="none"/>
          <w:u w:val="single" w:color="auto"/>
        </w:rPr>
        <w:t xml:space="preserve">                </w:t>
      </w:r>
    </w:p>
    <w:p w14:paraId="4A3901AE">
      <w:pPr>
        <w:spacing w:before="199" w:line="383" w:lineRule="auto"/>
        <w:ind w:left="3" w:right="30" w:firstLine="5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总承包人和承包人根据《中华人民共和国建筑法</w:t>
      </w:r>
      <w:r>
        <w:rPr>
          <w:rFonts w:hint="eastAsia" w:ascii="宋体" w:hAnsi="宋体" w:eastAsia="宋体" w:cs="宋体"/>
          <w:color w:val="auto"/>
          <w:spacing w:val="1"/>
          <w:sz w:val="21"/>
          <w:szCs w:val="21"/>
          <w:highlight w:val="none"/>
        </w:rPr>
        <w:t>》和《建设工程质量管理条例》，经协商</w:t>
      </w:r>
      <w:r>
        <w:rPr>
          <w:rFonts w:hint="eastAsia" w:ascii="宋体" w:hAnsi="宋体" w:eastAsia="宋体" w:cs="宋体"/>
          <w:color w:val="auto"/>
          <w:spacing w:val="-1"/>
          <w:sz w:val="21"/>
          <w:szCs w:val="21"/>
          <w:highlight w:val="none"/>
        </w:rPr>
        <w:t>一致就</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（工程全称）签订工程质量保修书。</w:t>
      </w:r>
    </w:p>
    <w:p w14:paraId="637DCD87">
      <w:pPr>
        <w:spacing w:before="1" w:line="219"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一、工程质量保修范围和内容</w:t>
      </w:r>
    </w:p>
    <w:p w14:paraId="01F05158">
      <w:pPr>
        <w:spacing w:before="200" w:line="22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承包人在质量保修期内，按照有关法律规定和合同约定，承担工程质量保修责任。</w:t>
      </w:r>
    </w:p>
    <w:p w14:paraId="21A6EBB0">
      <w:pPr>
        <w:spacing w:before="185" w:line="220"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具体保修的内容，双方约定如下：</w:t>
      </w:r>
      <w:r>
        <w:rPr>
          <w:rFonts w:hint="eastAsia" w:ascii="宋体" w:hAnsi="宋体" w:eastAsia="宋体" w:cs="宋体"/>
          <w:color w:val="auto"/>
          <w:sz w:val="21"/>
          <w:szCs w:val="21"/>
          <w:highlight w:val="none"/>
          <w:u w:val="single" w:color="auto"/>
        </w:rPr>
        <w:t xml:space="preserve">          </w:t>
      </w:r>
    </w:p>
    <w:p w14:paraId="3D6C517B">
      <w:pPr>
        <w:spacing w:before="185" w:line="22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二、质量保修期</w:t>
      </w:r>
    </w:p>
    <w:p w14:paraId="3A490CDF">
      <w:pPr>
        <w:spacing w:before="200" w:line="22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根据《建设工程质量管理条例》及有关规定，</w:t>
      </w:r>
      <w:r>
        <w:rPr>
          <w:rFonts w:hint="eastAsia" w:ascii="宋体" w:hAnsi="宋体" w:eastAsia="宋体" w:cs="宋体"/>
          <w:color w:val="auto"/>
          <w:spacing w:val="-2"/>
          <w:sz w:val="21"/>
          <w:szCs w:val="21"/>
          <w:highlight w:val="none"/>
        </w:rPr>
        <w:t>工程的质量保修期如下：</w:t>
      </w:r>
    </w:p>
    <w:p w14:paraId="7E754D3A">
      <w:pPr>
        <w:spacing w:before="185" w:line="220"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1．地基基础工程和主体结构工程为设计文件规定的工程合理使用年限；</w:t>
      </w:r>
    </w:p>
    <w:p w14:paraId="5E94D326">
      <w:pPr>
        <w:spacing w:before="186" w:line="22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2．屋面防水工程、有防水要求的卫生间、房间和外墙面的防渗为</w:t>
      </w:r>
      <w:r>
        <w:rPr>
          <w:rFonts w:hint="eastAsia" w:ascii="宋体" w:hAnsi="宋体" w:eastAsia="宋体" w:cs="宋体"/>
          <w:color w:val="auto"/>
          <w:spacing w:val="-1"/>
          <w:sz w:val="21"/>
          <w:szCs w:val="21"/>
          <w:highlight w:val="none"/>
          <w:u w:val="single" w:color="auto"/>
        </w:rPr>
        <w:t xml:space="preserve">  /  </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1"/>
          <w:sz w:val="21"/>
          <w:szCs w:val="21"/>
          <w:highlight w:val="none"/>
        </w:rPr>
        <w:t>年；</w:t>
      </w:r>
    </w:p>
    <w:p w14:paraId="73B107F9">
      <w:pPr>
        <w:spacing w:before="200" w:line="220" w:lineRule="auto"/>
        <w:ind w:left="52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3．装修工程为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4"/>
          <w:sz w:val="21"/>
          <w:szCs w:val="21"/>
          <w:highlight w:val="none"/>
        </w:rPr>
        <w:t>年；</w:t>
      </w:r>
    </w:p>
    <w:p w14:paraId="2027B653">
      <w:pPr>
        <w:spacing w:before="185" w:line="220" w:lineRule="auto"/>
        <w:ind w:left="5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4．电气管线、给排水管道、设备安装工程为</w:t>
      </w:r>
      <w:r>
        <w:rPr>
          <w:rFonts w:hint="eastAsia" w:ascii="宋体" w:hAnsi="宋体" w:eastAsia="宋体" w:cs="宋体"/>
          <w:color w:val="auto"/>
          <w:spacing w:val="-1"/>
          <w:sz w:val="21"/>
          <w:szCs w:val="21"/>
          <w:highlight w:val="none"/>
          <w:u w:val="single" w:color="auto"/>
        </w:rPr>
        <w:t xml:space="preserve">   2</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2"/>
          <w:sz w:val="21"/>
          <w:szCs w:val="21"/>
          <w:highlight w:val="none"/>
        </w:rPr>
        <w:t>年；</w:t>
      </w:r>
    </w:p>
    <w:p w14:paraId="180720B7">
      <w:pPr>
        <w:spacing w:before="185" w:line="219" w:lineRule="auto"/>
        <w:ind w:left="5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5．供热与供冷系统为</w:t>
      </w:r>
      <w:r>
        <w:rPr>
          <w:rFonts w:hint="eastAsia" w:ascii="宋体" w:hAnsi="宋体" w:eastAsia="宋体" w:cs="宋体"/>
          <w:color w:val="auto"/>
          <w:spacing w:val="-2"/>
          <w:sz w:val="21"/>
          <w:szCs w:val="21"/>
          <w:highlight w:val="none"/>
          <w:u w:val="single" w:color="auto"/>
        </w:rPr>
        <w:t xml:space="preserve">  / </w:t>
      </w:r>
      <w:r>
        <w:rPr>
          <w:rFonts w:hint="eastAsia" w:ascii="宋体" w:hAnsi="宋体" w:eastAsia="宋体" w:cs="宋体"/>
          <w:color w:val="auto"/>
          <w:spacing w:val="-2"/>
          <w:sz w:val="21"/>
          <w:szCs w:val="21"/>
          <w:highlight w:val="none"/>
        </w:rPr>
        <w:t>个采暖期、</w:t>
      </w:r>
      <w:r>
        <w:rPr>
          <w:rFonts w:hint="eastAsia" w:ascii="宋体" w:hAnsi="宋体" w:eastAsia="宋体" w:cs="宋体"/>
          <w:color w:val="auto"/>
          <w:spacing w:val="-3"/>
          <w:sz w:val="21"/>
          <w:szCs w:val="21"/>
          <w:highlight w:val="none"/>
        </w:rPr>
        <w:t>供冷期；</w:t>
      </w:r>
    </w:p>
    <w:p w14:paraId="211FC650">
      <w:pPr>
        <w:spacing w:before="201" w:line="220" w:lineRule="auto"/>
        <w:ind w:left="5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6．住宅小区内的给排水设施、道路等配套工程为</w:t>
      </w:r>
      <w:r>
        <w:rPr>
          <w:rFonts w:hint="eastAsia" w:ascii="宋体" w:hAnsi="宋体" w:eastAsia="宋体" w:cs="宋体"/>
          <w:color w:val="auto"/>
          <w:spacing w:val="-1"/>
          <w:sz w:val="21"/>
          <w:szCs w:val="21"/>
          <w:highlight w:val="none"/>
          <w:u w:val="single" w:color="auto"/>
        </w:rPr>
        <w:t xml:space="preserve">   2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2"/>
          <w:sz w:val="21"/>
          <w:szCs w:val="21"/>
          <w:highlight w:val="none"/>
        </w:rPr>
        <w:t>年；</w:t>
      </w:r>
    </w:p>
    <w:p w14:paraId="5C628C37">
      <w:pPr>
        <w:spacing w:before="186" w:line="219" w:lineRule="auto"/>
        <w:ind w:left="53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7．其他项目保修期限约定如下：</w:t>
      </w:r>
      <w:r>
        <w:rPr>
          <w:rFonts w:hint="eastAsia" w:ascii="宋体" w:hAnsi="宋体" w:eastAsia="宋体" w:cs="宋体"/>
          <w:color w:val="auto"/>
          <w:spacing w:val="-1"/>
          <w:sz w:val="21"/>
          <w:szCs w:val="21"/>
          <w:highlight w:val="none"/>
          <w:u w:val="single" w:color="auto"/>
        </w:rPr>
        <w:t xml:space="preserve">   本工程保修期为</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年    </w:t>
      </w:r>
      <w:r>
        <w:rPr>
          <w:rFonts w:hint="eastAsia" w:ascii="宋体" w:hAnsi="宋体" w:eastAsia="宋体" w:cs="宋体"/>
          <w:color w:val="auto"/>
          <w:spacing w:val="-1"/>
          <w:sz w:val="21"/>
          <w:szCs w:val="21"/>
          <w:highlight w:val="none"/>
        </w:rPr>
        <w:t>。</w:t>
      </w:r>
    </w:p>
    <w:p w14:paraId="6B84A2A8">
      <w:pPr>
        <w:spacing w:before="185" w:line="220" w:lineRule="auto"/>
        <w:ind w:left="631"/>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质量保修期自工程竣工验收合格之日起计算。</w:t>
      </w:r>
    </w:p>
    <w:p w14:paraId="2A620116">
      <w:pPr>
        <w:spacing w:before="66" w:line="22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三、缺陷责任期</w:t>
      </w:r>
    </w:p>
    <w:p w14:paraId="4307B1C3">
      <w:pPr>
        <w:spacing w:before="156" w:line="356" w:lineRule="auto"/>
        <w:ind w:right="1" w:firstLine="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工程缺陷责任期为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b/>
          <w:bCs/>
          <w:color w:val="auto"/>
          <w:spacing w:val="-1"/>
          <w:sz w:val="21"/>
          <w:szCs w:val="21"/>
          <w:highlight w:val="none"/>
          <w:u w:val="single" w:color="auto"/>
        </w:rPr>
        <w:t>24</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1"/>
          <w:sz w:val="21"/>
          <w:szCs w:val="21"/>
          <w:highlight w:val="none"/>
        </w:rPr>
        <w:t>个月，缺陷责任期自工程竣工验收合格之日起计算。单位工程先于全部工程进行验收，单位工程缺陷责任期自单位工程验收合格之日起算。</w:t>
      </w:r>
    </w:p>
    <w:p w14:paraId="05D1170E">
      <w:pPr>
        <w:spacing w:before="1" w:line="219" w:lineRule="auto"/>
        <w:ind w:left="44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四、质量保修责任</w:t>
      </w:r>
    </w:p>
    <w:p w14:paraId="741B5868">
      <w:pPr>
        <w:spacing w:before="170" w:line="288" w:lineRule="auto"/>
        <w:ind w:left="106" w:right="19" w:firstLine="44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1．属于保修范围、内容的项目，承包人应当在接到</w:t>
      </w:r>
      <w:r>
        <w:rPr>
          <w:rFonts w:hint="eastAsia" w:ascii="宋体" w:hAnsi="宋体" w:eastAsia="宋体" w:cs="宋体"/>
          <w:color w:val="auto"/>
          <w:spacing w:val="-3"/>
          <w:sz w:val="21"/>
          <w:szCs w:val="21"/>
          <w:highlight w:val="none"/>
        </w:rPr>
        <w:t>保修通知之日起</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7</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3"/>
          <w:sz w:val="21"/>
          <w:szCs w:val="21"/>
          <w:highlight w:val="none"/>
        </w:rPr>
        <w:t>天内派人保修。承包</w:t>
      </w:r>
      <w:r>
        <w:rPr>
          <w:rFonts w:hint="eastAsia" w:ascii="宋体" w:hAnsi="宋体" w:eastAsia="宋体" w:cs="宋体"/>
          <w:color w:val="auto"/>
          <w:spacing w:val="-1"/>
          <w:sz w:val="21"/>
          <w:szCs w:val="21"/>
          <w:highlight w:val="none"/>
        </w:rPr>
        <w:t>人不在约定期限内派人保修的，发包人可以委托他人修</w:t>
      </w:r>
      <w:r>
        <w:rPr>
          <w:rFonts w:hint="eastAsia" w:ascii="宋体" w:hAnsi="宋体" w:eastAsia="宋体" w:cs="宋体"/>
          <w:color w:val="auto"/>
          <w:spacing w:val="-2"/>
          <w:sz w:val="21"/>
          <w:szCs w:val="21"/>
          <w:highlight w:val="none"/>
        </w:rPr>
        <w:t>理。</w:t>
      </w:r>
    </w:p>
    <w:p w14:paraId="4BAC6ADB">
      <w:pPr>
        <w:spacing w:before="155" w:line="220" w:lineRule="auto"/>
        <w:ind w:left="54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2．发生紧急事故需抢修的，承包人在接到事故通知后，应当立即到达事故现场抢修。</w:t>
      </w:r>
    </w:p>
    <w:p w14:paraId="0C1DD497">
      <w:pPr>
        <w:spacing w:before="156" w:line="315" w:lineRule="auto"/>
        <w:ind w:left="105" w:right="27" w:firstLine="4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3．对于涉及结构安全的质量问题，应当按照《</w:t>
      </w:r>
      <w:r>
        <w:rPr>
          <w:rFonts w:hint="eastAsia" w:ascii="宋体" w:hAnsi="宋体" w:eastAsia="宋体" w:cs="宋体"/>
          <w:color w:val="auto"/>
          <w:spacing w:val="-2"/>
          <w:sz w:val="21"/>
          <w:szCs w:val="21"/>
          <w:highlight w:val="none"/>
        </w:rPr>
        <w:t>建设工程质量管理条例》的规定，立即向当</w:t>
      </w:r>
      <w:r>
        <w:rPr>
          <w:rFonts w:hint="eastAsia" w:ascii="宋体" w:hAnsi="宋体" w:eastAsia="宋体" w:cs="宋体"/>
          <w:color w:val="auto"/>
          <w:spacing w:val="2"/>
          <w:sz w:val="21"/>
          <w:szCs w:val="21"/>
          <w:highlight w:val="none"/>
        </w:rPr>
        <w:t>地建设行政主管部门和有关部门报告，采取安全防范措施，并由</w:t>
      </w:r>
      <w:r>
        <w:rPr>
          <w:rFonts w:hint="eastAsia" w:ascii="宋体" w:hAnsi="宋体" w:eastAsia="宋体" w:cs="宋体"/>
          <w:color w:val="auto"/>
          <w:spacing w:val="1"/>
          <w:sz w:val="21"/>
          <w:szCs w:val="21"/>
          <w:highlight w:val="none"/>
        </w:rPr>
        <w:t>原设计人或者具有相应资质等</w:t>
      </w:r>
      <w:r>
        <w:rPr>
          <w:rFonts w:hint="eastAsia" w:ascii="宋体" w:hAnsi="宋体" w:eastAsia="宋体" w:cs="宋体"/>
          <w:color w:val="auto"/>
          <w:spacing w:val="-2"/>
          <w:sz w:val="21"/>
          <w:szCs w:val="21"/>
          <w:highlight w:val="none"/>
        </w:rPr>
        <w:t>级的设计人提出保修方案，承包人实施保修。</w:t>
      </w:r>
    </w:p>
    <w:p w14:paraId="15EEE06E">
      <w:pPr>
        <w:spacing w:before="156" w:line="288" w:lineRule="auto"/>
        <w:ind w:left="112" w:firstLine="42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4．因承包人原因致使工程在设计使用期内造成人身和财产损害的，承包人应承担损害赔偿</w:t>
      </w:r>
      <w:r>
        <w:rPr>
          <w:rFonts w:hint="eastAsia" w:ascii="宋体" w:hAnsi="宋体" w:eastAsia="宋体" w:cs="宋体"/>
          <w:color w:val="auto"/>
          <w:spacing w:val="-10"/>
          <w:sz w:val="21"/>
          <w:szCs w:val="21"/>
          <w:highlight w:val="none"/>
        </w:rPr>
        <w:t>责任。</w:t>
      </w:r>
    </w:p>
    <w:p w14:paraId="5FB4161B">
      <w:pPr>
        <w:spacing w:before="155" w:line="220" w:lineRule="auto"/>
        <w:ind w:left="54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5.质量保修完成后，由发包人组织验收。</w:t>
      </w:r>
    </w:p>
    <w:p w14:paraId="6BC9FA82">
      <w:pPr>
        <w:spacing w:before="68" w:line="22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五、保修费用</w:t>
      </w:r>
    </w:p>
    <w:p w14:paraId="330D1378">
      <w:pPr>
        <w:spacing w:before="155" w:line="218" w:lineRule="auto"/>
        <w:ind w:left="5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保修费用由造成质量缺陷的责任方承担，工程质量保修金为最终确认的结</w:t>
      </w:r>
      <w:r>
        <w:rPr>
          <w:rFonts w:hint="eastAsia" w:ascii="宋体" w:hAnsi="宋体" w:eastAsia="宋体" w:cs="宋体"/>
          <w:color w:val="auto"/>
          <w:spacing w:val="-1"/>
          <w:sz w:val="21"/>
          <w:szCs w:val="21"/>
          <w:highlight w:val="none"/>
        </w:rPr>
        <w:t>算价的</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
          <w:sz w:val="21"/>
          <w:szCs w:val="21"/>
          <w:highlight w:val="none"/>
        </w:rPr>
        <w:t>3%。</w:t>
      </w:r>
    </w:p>
    <w:p w14:paraId="2AEFB136">
      <w:pPr>
        <w:spacing w:before="156" w:line="220" w:lineRule="auto"/>
        <w:ind w:left="42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六</w:t>
      </w:r>
      <w:r>
        <w:rPr>
          <w:rFonts w:hint="eastAsia" w:ascii="宋体" w:hAnsi="宋体" w:eastAsia="宋体" w:cs="宋体"/>
          <w:color w:val="auto"/>
          <w:spacing w:val="-2"/>
          <w:sz w:val="21"/>
          <w:szCs w:val="21"/>
          <w:highlight w:val="none"/>
        </w:rPr>
        <w:t>、双方约定的其他工程质量保修事项：</w:t>
      </w:r>
    </w:p>
    <w:p w14:paraId="6723EE74">
      <w:pPr>
        <w:tabs>
          <w:tab w:val="left" w:pos="530"/>
        </w:tabs>
        <w:spacing w:before="170" w:line="219" w:lineRule="auto"/>
        <w:ind w:left="4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
          <w:sz w:val="21"/>
          <w:szCs w:val="21"/>
          <w:highlight w:val="none"/>
          <w:u w:val="single" w:color="auto"/>
        </w:rPr>
        <w:t>（1）工程保修期内，承包人委托一名代表专职处理本工程的维修工作。</w:t>
      </w:r>
    </w:p>
    <w:p w14:paraId="146404EB">
      <w:pPr>
        <w:tabs>
          <w:tab w:val="left" w:pos="530"/>
        </w:tabs>
        <w:spacing w:before="156" w:line="219" w:lineRule="auto"/>
        <w:ind w:left="4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5"/>
          <w:sz w:val="21"/>
          <w:szCs w:val="21"/>
          <w:highlight w:val="none"/>
          <w:u w:val="single" w:color="auto"/>
        </w:rPr>
        <w:t>（2）本合同约定的质量保修金银行利率为</w:t>
      </w:r>
      <w:r>
        <w:rPr>
          <w:rFonts w:hint="eastAsia" w:ascii="宋体" w:hAnsi="宋体" w:eastAsia="宋体" w:cs="宋体"/>
          <w:color w:val="auto"/>
          <w:spacing w:val="-26"/>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0。</w:t>
      </w:r>
    </w:p>
    <w:p w14:paraId="119BC110">
      <w:pPr>
        <w:tabs>
          <w:tab w:val="left" w:pos="530"/>
        </w:tabs>
        <w:spacing w:before="156" w:line="220" w:lineRule="auto"/>
        <w:ind w:left="4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6"/>
          <w:sz w:val="21"/>
          <w:szCs w:val="21"/>
          <w:highlight w:val="none"/>
          <w:u w:val="single" w:color="auto"/>
        </w:rPr>
        <w:t>（3）承包人实施工程质量保修须遵守有关规定。</w:t>
      </w:r>
    </w:p>
    <w:p w14:paraId="4BBC2E4E">
      <w:pPr>
        <w:tabs>
          <w:tab w:val="left" w:pos="530"/>
        </w:tabs>
        <w:spacing w:before="155" w:line="295" w:lineRule="auto"/>
        <w:ind w:firstLine="4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u w:val="single" w:color="auto"/>
        </w:rPr>
        <w:t>（4）因承包人未能及时履行保修责任引起</w:t>
      </w:r>
      <w:r>
        <w:rPr>
          <w:rFonts w:hint="eastAsia" w:ascii="宋体" w:hAnsi="宋体" w:eastAsia="宋体" w:cs="宋体"/>
          <w:color w:val="auto"/>
          <w:spacing w:val="-3"/>
          <w:sz w:val="21"/>
          <w:szCs w:val="21"/>
          <w:highlight w:val="none"/>
          <w:u w:val="single" w:color="auto"/>
        </w:rPr>
        <w:t>发包人的一切损失，均由承包人承担，发生的保</w:t>
      </w:r>
      <w:r>
        <w:rPr>
          <w:rFonts w:hint="eastAsia" w:ascii="宋体" w:hAnsi="宋体" w:eastAsia="宋体" w:cs="宋体"/>
          <w:color w:val="auto"/>
          <w:sz w:val="21"/>
          <w:szCs w:val="21"/>
          <w:highlight w:val="none"/>
          <w:u w:val="single" w:color="auto"/>
        </w:rPr>
        <w:t>修费用由发包人从保修金中抵扣。不足部分，由承包人</w:t>
      </w:r>
      <w:r>
        <w:rPr>
          <w:rFonts w:hint="eastAsia" w:ascii="宋体" w:hAnsi="宋体" w:eastAsia="宋体" w:cs="宋体"/>
          <w:color w:val="auto"/>
          <w:spacing w:val="-1"/>
          <w:sz w:val="21"/>
          <w:szCs w:val="21"/>
          <w:highlight w:val="none"/>
          <w:u w:val="single" w:color="auto"/>
        </w:rPr>
        <w:t>承担。</w:t>
      </w:r>
    </w:p>
    <w:p w14:paraId="4B373E4D">
      <w:pPr>
        <w:spacing w:before="155" w:line="358" w:lineRule="auto"/>
        <w:ind w:right="46" w:firstLine="5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本工程质量保修书，由施工合同发包人、总承包人、承包人三方在竣工验收前共同签署，</w:t>
      </w:r>
      <w:r>
        <w:rPr>
          <w:rFonts w:hint="eastAsia" w:ascii="宋体" w:hAnsi="宋体" w:eastAsia="宋体" w:cs="宋体"/>
          <w:color w:val="auto"/>
          <w:spacing w:val="-2"/>
          <w:sz w:val="21"/>
          <w:szCs w:val="21"/>
          <w:highlight w:val="none"/>
        </w:rPr>
        <w:t>作为施工合同附件，其有效期限至保修期满。</w:t>
      </w:r>
    </w:p>
    <w:p w14:paraId="202F7F8C">
      <w:pPr>
        <w:pStyle w:val="8"/>
        <w:spacing w:line="465" w:lineRule="auto"/>
        <w:rPr>
          <w:rFonts w:hint="eastAsia" w:ascii="宋体" w:hAnsi="宋体" w:eastAsia="宋体" w:cs="宋体"/>
          <w:color w:val="auto"/>
          <w:highlight w:val="none"/>
        </w:rPr>
      </w:pPr>
    </w:p>
    <w:p w14:paraId="329EAFD5">
      <w:pPr>
        <w:spacing w:before="69" w:line="219" w:lineRule="auto"/>
        <w:ind w:left="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发包人（公章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承包人（公章</w:t>
      </w:r>
      <w:r>
        <w:rPr>
          <w:rFonts w:hint="eastAsia" w:ascii="宋体" w:hAnsi="宋体" w:eastAsia="宋体" w:cs="宋体"/>
          <w:color w:val="auto"/>
          <w:sz w:val="21"/>
          <w:szCs w:val="21"/>
          <w:highlight w:val="none"/>
        </w:rPr>
        <w:t>）：</w:t>
      </w:r>
    </w:p>
    <w:p w14:paraId="62537D6F">
      <w:pPr>
        <w:spacing w:before="171"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法定代表人（签字或盖章）：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法定代表人（签字</w:t>
      </w:r>
      <w:r>
        <w:rPr>
          <w:rFonts w:hint="eastAsia" w:ascii="宋体" w:hAnsi="宋体" w:eastAsia="宋体" w:cs="宋体"/>
          <w:color w:val="auto"/>
          <w:spacing w:val="-3"/>
          <w:sz w:val="21"/>
          <w:szCs w:val="21"/>
          <w:highlight w:val="none"/>
        </w:rPr>
        <w:t>或盖章</w:t>
      </w:r>
      <w:r>
        <w:rPr>
          <w:rFonts w:hint="eastAsia" w:ascii="宋体" w:hAnsi="宋体" w:eastAsia="宋体" w:cs="宋体"/>
          <w:color w:val="auto"/>
          <w:spacing w:val="-2"/>
          <w:sz w:val="21"/>
          <w:szCs w:val="21"/>
          <w:highlight w:val="none"/>
        </w:rPr>
        <w:t>）：</w:t>
      </w:r>
    </w:p>
    <w:p w14:paraId="3BA6FF5B">
      <w:pPr>
        <w:pStyle w:val="8"/>
        <w:spacing w:line="259" w:lineRule="auto"/>
        <w:rPr>
          <w:rFonts w:hint="eastAsia" w:ascii="宋体" w:hAnsi="宋体" w:eastAsia="宋体" w:cs="宋体"/>
          <w:color w:val="auto"/>
          <w:highlight w:val="none"/>
        </w:rPr>
      </w:pPr>
    </w:p>
    <w:p w14:paraId="565A6146">
      <w:pPr>
        <w:pStyle w:val="8"/>
        <w:spacing w:line="260" w:lineRule="auto"/>
        <w:rPr>
          <w:rFonts w:hint="eastAsia" w:ascii="宋体" w:hAnsi="宋体" w:eastAsia="宋体" w:cs="宋体"/>
          <w:color w:val="auto"/>
          <w:highlight w:val="none"/>
        </w:rPr>
      </w:pPr>
    </w:p>
    <w:p w14:paraId="740C1EE7">
      <w:pPr>
        <w:spacing w:before="69" w:line="220" w:lineRule="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年</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8"/>
          <w:sz w:val="21"/>
          <w:szCs w:val="21"/>
          <w:highlight w:val="none"/>
        </w:rPr>
        <w:t>月</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8"/>
          <w:sz w:val="21"/>
          <w:szCs w:val="21"/>
          <w:highlight w:val="none"/>
        </w:rPr>
        <w:t xml:space="preserve">日                                               </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rPr>
        <w:t>年</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8"/>
          <w:sz w:val="21"/>
          <w:szCs w:val="21"/>
          <w:highlight w:val="none"/>
        </w:rPr>
        <w:t xml:space="preserve">月 </w:t>
      </w:r>
      <w:r>
        <w:rPr>
          <w:rFonts w:hint="eastAsia" w:ascii="宋体" w:hAnsi="宋体" w:eastAsia="宋体" w:cs="宋体"/>
          <w:color w:val="auto"/>
          <w:spacing w:val="-9"/>
          <w:sz w:val="21"/>
          <w:szCs w:val="21"/>
          <w:highlight w:val="none"/>
        </w:rPr>
        <w:t xml:space="preserve">  日</w:t>
      </w:r>
    </w:p>
    <w:p w14:paraId="76D9CBFE">
      <w:pPr>
        <w:pStyle w:val="8"/>
        <w:rPr>
          <w:rFonts w:hint="eastAsia" w:ascii="宋体" w:hAnsi="宋体" w:eastAsia="宋体" w:cs="宋体"/>
          <w:color w:val="auto"/>
          <w:highlight w:val="none"/>
        </w:rPr>
      </w:pPr>
    </w:p>
    <w:p w14:paraId="45527C63">
      <w:pPr>
        <w:pStyle w:val="8"/>
        <w:rPr>
          <w:rFonts w:hint="eastAsia" w:ascii="宋体" w:hAnsi="宋体" w:eastAsia="宋体" w:cs="宋体"/>
          <w:color w:val="auto"/>
          <w:highlight w:val="none"/>
        </w:rPr>
      </w:pPr>
    </w:p>
    <w:p w14:paraId="08233669">
      <w:pPr>
        <w:pStyle w:val="8"/>
        <w:rPr>
          <w:rFonts w:hint="eastAsia" w:ascii="宋体" w:hAnsi="宋体" w:eastAsia="宋体" w:cs="宋体"/>
          <w:color w:val="auto"/>
          <w:highlight w:val="none"/>
        </w:rPr>
      </w:pPr>
    </w:p>
    <w:p w14:paraId="33CA34B6">
      <w:pPr>
        <w:pStyle w:val="8"/>
        <w:rPr>
          <w:rFonts w:hint="eastAsia" w:ascii="宋体" w:hAnsi="宋体" w:eastAsia="宋体" w:cs="宋体"/>
          <w:color w:val="auto"/>
          <w:highlight w:val="none"/>
        </w:rPr>
      </w:pPr>
    </w:p>
    <w:p w14:paraId="51D74F12">
      <w:pPr>
        <w:pStyle w:val="8"/>
        <w:rPr>
          <w:rFonts w:hint="eastAsia" w:ascii="宋体" w:hAnsi="宋体" w:eastAsia="宋体" w:cs="宋体"/>
          <w:color w:val="auto"/>
          <w:highlight w:val="none"/>
        </w:rPr>
      </w:pPr>
    </w:p>
    <w:p w14:paraId="7EAF5D12">
      <w:pPr>
        <w:pStyle w:val="8"/>
        <w:rPr>
          <w:rFonts w:hint="eastAsia" w:ascii="宋体" w:hAnsi="宋体" w:eastAsia="宋体" w:cs="宋体"/>
          <w:color w:val="auto"/>
          <w:highlight w:val="none"/>
        </w:rPr>
      </w:pPr>
    </w:p>
    <w:p w14:paraId="43D787CB">
      <w:pPr>
        <w:pStyle w:val="8"/>
        <w:rPr>
          <w:rFonts w:hint="eastAsia" w:ascii="宋体" w:hAnsi="宋体" w:eastAsia="宋体" w:cs="宋体"/>
          <w:color w:val="auto"/>
          <w:highlight w:val="none"/>
        </w:rPr>
      </w:pPr>
    </w:p>
    <w:p w14:paraId="42E124E6">
      <w:pPr>
        <w:pStyle w:val="8"/>
        <w:rPr>
          <w:rFonts w:hint="eastAsia" w:ascii="宋体" w:hAnsi="宋体" w:eastAsia="宋体" w:cs="宋体"/>
          <w:color w:val="auto"/>
          <w:highlight w:val="none"/>
        </w:rPr>
      </w:pPr>
    </w:p>
    <w:p w14:paraId="3A79397A">
      <w:pPr>
        <w:pStyle w:val="8"/>
        <w:rPr>
          <w:rFonts w:hint="eastAsia" w:ascii="宋体" w:hAnsi="宋体" w:eastAsia="宋体" w:cs="宋体"/>
          <w:color w:val="auto"/>
          <w:highlight w:val="none"/>
        </w:rPr>
      </w:pPr>
    </w:p>
    <w:p w14:paraId="1FC3654B">
      <w:pPr>
        <w:pStyle w:val="8"/>
        <w:rPr>
          <w:rFonts w:hint="eastAsia" w:ascii="宋体" w:hAnsi="宋体" w:eastAsia="宋体" w:cs="宋体"/>
          <w:color w:val="auto"/>
          <w:highlight w:val="none"/>
        </w:rPr>
      </w:pPr>
    </w:p>
    <w:p w14:paraId="35BE9D85">
      <w:pPr>
        <w:pStyle w:val="8"/>
        <w:rPr>
          <w:rFonts w:hint="eastAsia" w:ascii="宋体" w:hAnsi="宋体" w:eastAsia="宋体" w:cs="宋体"/>
          <w:color w:val="auto"/>
          <w:highlight w:val="none"/>
        </w:rPr>
      </w:pPr>
    </w:p>
    <w:p w14:paraId="7655039D">
      <w:pPr>
        <w:pStyle w:val="8"/>
        <w:rPr>
          <w:rFonts w:hint="eastAsia" w:ascii="宋体" w:hAnsi="宋体" w:eastAsia="宋体" w:cs="宋体"/>
          <w:color w:val="auto"/>
          <w:highlight w:val="none"/>
        </w:rPr>
      </w:pPr>
    </w:p>
    <w:p w14:paraId="5A171975">
      <w:pPr>
        <w:pStyle w:val="8"/>
        <w:rPr>
          <w:rFonts w:hint="eastAsia" w:ascii="宋体" w:hAnsi="宋体" w:eastAsia="宋体" w:cs="宋体"/>
          <w:color w:val="auto"/>
          <w:highlight w:val="none"/>
        </w:rPr>
      </w:pPr>
    </w:p>
    <w:p w14:paraId="2FEA8025">
      <w:pPr>
        <w:pStyle w:val="8"/>
        <w:rPr>
          <w:rFonts w:hint="eastAsia" w:ascii="宋体" w:hAnsi="宋体" w:eastAsia="宋体" w:cs="宋体"/>
          <w:color w:val="auto"/>
          <w:highlight w:val="none"/>
        </w:rPr>
      </w:pPr>
    </w:p>
    <w:p w14:paraId="3D9E7811">
      <w:pPr>
        <w:pStyle w:val="8"/>
        <w:rPr>
          <w:rFonts w:hint="eastAsia" w:ascii="宋体" w:hAnsi="宋体" w:eastAsia="宋体" w:cs="宋体"/>
          <w:color w:val="auto"/>
          <w:highlight w:val="none"/>
        </w:rPr>
      </w:pPr>
    </w:p>
    <w:p w14:paraId="134E6197">
      <w:pPr>
        <w:pStyle w:val="8"/>
        <w:rPr>
          <w:rFonts w:hint="eastAsia" w:ascii="宋体" w:hAnsi="宋体" w:eastAsia="宋体" w:cs="宋体"/>
          <w:color w:val="auto"/>
          <w:highlight w:val="none"/>
        </w:rPr>
      </w:pPr>
    </w:p>
    <w:p w14:paraId="10BB156E">
      <w:pPr>
        <w:pStyle w:val="8"/>
        <w:rPr>
          <w:rFonts w:hint="eastAsia" w:ascii="宋体" w:hAnsi="宋体" w:eastAsia="宋体" w:cs="宋体"/>
          <w:color w:val="auto"/>
          <w:highlight w:val="none"/>
        </w:rPr>
      </w:pPr>
    </w:p>
    <w:p w14:paraId="471728B6">
      <w:pPr>
        <w:pStyle w:val="8"/>
        <w:spacing w:line="241" w:lineRule="auto"/>
        <w:rPr>
          <w:rFonts w:hint="eastAsia" w:ascii="宋体" w:hAnsi="宋体" w:eastAsia="宋体" w:cs="宋体"/>
          <w:color w:val="auto"/>
          <w:highlight w:val="none"/>
        </w:rPr>
      </w:pPr>
    </w:p>
    <w:p w14:paraId="56939972">
      <w:pPr>
        <w:pStyle w:val="8"/>
        <w:spacing w:line="241" w:lineRule="auto"/>
        <w:rPr>
          <w:rFonts w:hint="eastAsia" w:ascii="宋体" w:hAnsi="宋体" w:eastAsia="宋体" w:cs="宋体"/>
          <w:color w:val="auto"/>
          <w:highlight w:val="none"/>
        </w:rPr>
      </w:pPr>
    </w:p>
    <w:p w14:paraId="08FBC3EF">
      <w:pPr>
        <w:spacing w:before="79" w:line="219" w:lineRule="auto"/>
        <w:ind w:left="1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附件</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9"/>
          <w:sz w:val="24"/>
          <w:szCs w:val="24"/>
          <w:highlight w:val="none"/>
        </w:rPr>
        <w:t>4：</w:t>
      </w:r>
    </w:p>
    <w:p w14:paraId="4DAF785F">
      <w:pPr>
        <w:spacing w:before="101" w:line="222" w:lineRule="auto"/>
        <w:ind w:left="2294"/>
        <w:rPr>
          <w:rFonts w:hint="eastAsia" w:ascii="宋体" w:hAnsi="宋体" w:eastAsia="宋体" w:cs="宋体"/>
          <w:color w:val="auto"/>
          <w:sz w:val="31"/>
          <w:szCs w:val="31"/>
          <w:highlight w:val="none"/>
        </w:rPr>
      </w:pPr>
      <w:r>
        <w:rPr>
          <w:rFonts w:hint="eastAsia" w:ascii="宋体" w:hAnsi="宋体" w:eastAsia="宋体" w:cs="宋体"/>
          <w:b/>
          <w:bCs/>
          <w:color w:val="auto"/>
          <w:spacing w:val="15"/>
          <w:sz w:val="31"/>
          <w:szCs w:val="31"/>
          <w:highlight w:val="none"/>
        </w:rPr>
        <w:t>承包人用于本工程施工的机械设备表</w:t>
      </w:r>
    </w:p>
    <w:p w14:paraId="71D8757B">
      <w:pPr>
        <w:spacing w:line="108" w:lineRule="exact"/>
        <w:rPr>
          <w:rFonts w:hint="eastAsia" w:ascii="宋体" w:hAnsi="宋体" w:eastAsia="宋体" w:cs="宋体"/>
          <w:color w:val="auto"/>
          <w:highlight w:val="none"/>
        </w:rPr>
      </w:pPr>
    </w:p>
    <w:tbl>
      <w:tblPr>
        <w:tblStyle w:val="50"/>
        <w:tblW w:w="91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9"/>
        <w:gridCol w:w="1323"/>
        <w:gridCol w:w="793"/>
        <w:gridCol w:w="975"/>
        <w:gridCol w:w="821"/>
        <w:gridCol w:w="948"/>
        <w:gridCol w:w="1366"/>
        <w:gridCol w:w="947"/>
        <w:gridCol w:w="884"/>
      </w:tblGrid>
      <w:tr w14:paraId="642E085E">
        <w:tblPrEx>
          <w:tblLayout w:type="fixed"/>
        </w:tblPrEx>
        <w:trPr>
          <w:trHeight w:val="955" w:hRule="atLeast"/>
        </w:trPr>
        <w:tc>
          <w:tcPr>
            <w:tcW w:w="1079" w:type="dxa"/>
            <w:tcBorders>
              <w:top w:val="single" w:color="000000" w:sz="12" w:space="0"/>
              <w:left w:val="single" w:color="000000" w:sz="12" w:space="0"/>
            </w:tcBorders>
            <w:vAlign w:val="top"/>
          </w:tcPr>
          <w:p w14:paraId="7E068DA6">
            <w:pPr>
              <w:spacing w:line="349" w:lineRule="auto"/>
              <w:rPr>
                <w:rFonts w:hint="eastAsia" w:ascii="宋体" w:hAnsi="宋体" w:eastAsia="宋体" w:cs="宋体"/>
                <w:color w:val="auto"/>
                <w:sz w:val="21"/>
                <w:highlight w:val="none"/>
              </w:rPr>
            </w:pPr>
          </w:p>
          <w:p w14:paraId="3835C258">
            <w:pPr>
              <w:pStyle w:val="52"/>
              <w:spacing w:before="68" w:line="221" w:lineRule="auto"/>
              <w:ind w:left="3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1323" w:type="dxa"/>
            <w:tcBorders>
              <w:top w:val="single" w:color="000000" w:sz="12" w:space="0"/>
            </w:tcBorders>
            <w:vAlign w:val="top"/>
          </w:tcPr>
          <w:p w14:paraId="6FAE1450">
            <w:pPr>
              <w:pStyle w:val="52"/>
              <w:spacing w:before="180" w:line="322" w:lineRule="auto"/>
              <w:ind w:left="566" w:right="110" w:hanging="5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机械或设备名</w:t>
            </w:r>
            <w:r>
              <w:rPr>
                <w:rFonts w:hint="eastAsia" w:ascii="宋体" w:hAnsi="宋体" w:eastAsia="宋体" w:cs="宋体"/>
                <w:color w:val="auto"/>
                <w:sz w:val="21"/>
                <w:szCs w:val="21"/>
                <w:highlight w:val="none"/>
              </w:rPr>
              <w:t>称</w:t>
            </w:r>
          </w:p>
        </w:tc>
        <w:tc>
          <w:tcPr>
            <w:tcW w:w="793" w:type="dxa"/>
            <w:tcBorders>
              <w:top w:val="single" w:color="000000" w:sz="12" w:space="0"/>
            </w:tcBorders>
            <w:vAlign w:val="top"/>
          </w:tcPr>
          <w:p w14:paraId="30F04F07">
            <w:pPr>
              <w:pStyle w:val="52"/>
              <w:spacing w:before="179" w:line="220" w:lineRule="auto"/>
              <w:ind w:left="18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规格</w:t>
            </w:r>
          </w:p>
          <w:p w14:paraId="18DA2F09">
            <w:pPr>
              <w:pStyle w:val="52"/>
              <w:spacing w:before="215" w:line="221" w:lineRule="auto"/>
              <w:ind w:left="18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型号</w:t>
            </w:r>
          </w:p>
        </w:tc>
        <w:tc>
          <w:tcPr>
            <w:tcW w:w="975" w:type="dxa"/>
            <w:tcBorders>
              <w:top w:val="single" w:color="000000" w:sz="12" w:space="0"/>
            </w:tcBorders>
            <w:vAlign w:val="top"/>
          </w:tcPr>
          <w:p w14:paraId="320DDDE6">
            <w:pPr>
              <w:spacing w:line="349" w:lineRule="auto"/>
              <w:rPr>
                <w:rFonts w:hint="eastAsia" w:ascii="宋体" w:hAnsi="宋体" w:eastAsia="宋体" w:cs="宋体"/>
                <w:color w:val="auto"/>
                <w:sz w:val="21"/>
                <w:highlight w:val="none"/>
              </w:rPr>
            </w:pPr>
          </w:p>
          <w:p w14:paraId="373BCAC7">
            <w:pPr>
              <w:pStyle w:val="52"/>
              <w:spacing w:before="68" w:line="220" w:lineRule="auto"/>
              <w:ind w:left="27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821" w:type="dxa"/>
            <w:tcBorders>
              <w:top w:val="single" w:color="000000" w:sz="12" w:space="0"/>
            </w:tcBorders>
            <w:vAlign w:val="top"/>
          </w:tcPr>
          <w:p w14:paraId="264E65A6">
            <w:pPr>
              <w:spacing w:line="349" w:lineRule="auto"/>
              <w:rPr>
                <w:rFonts w:hint="eastAsia" w:ascii="宋体" w:hAnsi="宋体" w:eastAsia="宋体" w:cs="宋体"/>
                <w:color w:val="auto"/>
                <w:sz w:val="21"/>
                <w:highlight w:val="none"/>
              </w:rPr>
            </w:pPr>
          </w:p>
          <w:p w14:paraId="076076E8">
            <w:pPr>
              <w:pStyle w:val="52"/>
              <w:spacing w:before="68" w:line="220" w:lineRule="auto"/>
              <w:ind w:left="2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产地</w:t>
            </w:r>
          </w:p>
        </w:tc>
        <w:tc>
          <w:tcPr>
            <w:tcW w:w="948" w:type="dxa"/>
            <w:tcBorders>
              <w:top w:val="single" w:color="000000" w:sz="12" w:space="0"/>
            </w:tcBorders>
            <w:vAlign w:val="top"/>
          </w:tcPr>
          <w:p w14:paraId="318371F0">
            <w:pPr>
              <w:pStyle w:val="52"/>
              <w:spacing w:before="179" w:line="220" w:lineRule="auto"/>
              <w:ind w:left="28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制造</w:t>
            </w:r>
          </w:p>
          <w:p w14:paraId="1C40D28E">
            <w:pPr>
              <w:pStyle w:val="52"/>
              <w:spacing w:before="214" w:line="220" w:lineRule="auto"/>
              <w:ind w:left="28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年份</w:t>
            </w:r>
          </w:p>
        </w:tc>
        <w:tc>
          <w:tcPr>
            <w:tcW w:w="1366" w:type="dxa"/>
            <w:tcBorders>
              <w:top w:val="single" w:color="000000" w:sz="12" w:space="0"/>
            </w:tcBorders>
            <w:vAlign w:val="top"/>
          </w:tcPr>
          <w:p w14:paraId="135ED4EE">
            <w:pPr>
              <w:spacing w:line="349" w:lineRule="auto"/>
              <w:rPr>
                <w:rFonts w:hint="eastAsia" w:ascii="宋体" w:hAnsi="宋体" w:eastAsia="宋体" w:cs="宋体"/>
                <w:color w:val="auto"/>
                <w:sz w:val="21"/>
                <w:highlight w:val="none"/>
              </w:rPr>
            </w:pPr>
          </w:p>
          <w:p w14:paraId="16DB0CB8">
            <w:pPr>
              <w:pStyle w:val="52"/>
              <w:spacing w:before="68" w:line="220"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额定功率（kW）</w:t>
            </w:r>
          </w:p>
        </w:tc>
        <w:tc>
          <w:tcPr>
            <w:tcW w:w="947" w:type="dxa"/>
            <w:tcBorders>
              <w:top w:val="single" w:color="000000" w:sz="12" w:space="0"/>
            </w:tcBorders>
            <w:vAlign w:val="top"/>
          </w:tcPr>
          <w:p w14:paraId="4032F201">
            <w:pPr>
              <w:pStyle w:val="52"/>
              <w:spacing w:before="179" w:line="220" w:lineRule="auto"/>
              <w:ind w:left="28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生产</w:t>
            </w:r>
          </w:p>
          <w:p w14:paraId="213BF8FF">
            <w:pPr>
              <w:pStyle w:val="52"/>
              <w:spacing w:before="215" w:line="220" w:lineRule="auto"/>
              <w:ind w:left="29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能力</w:t>
            </w:r>
          </w:p>
        </w:tc>
        <w:tc>
          <w:tcPr>
            <w:tcW w:w="884" w:type="dxa"/>
            <w:tcBorders>
              <w:top w:val="single" w:color="000000" w:sz="12" w:space="0"/>
              <w:right w:val="single" w:color="000000" w:sz="12" w:space="0"/>
            </w:tcBorders>
            <w:vAlign w:val="top"/>
          </w:tcPr>
          <w:p w14:paraId="04972215">
            <w:pPr>
              <w:spacing w:line="349" w:lineRule="auto"/>
              <w:rPr>
                <w:rFonts w:hint="eastAsia" w:ascii="宋体" w:hAnsi="宋体" w:eastAsia="宋体" w:cs="宋体"/>
                <w:color w:val="auto"/>
                <w:sz w:val="21"/>
                <w:highlight w:val="none"/>
              </w:rPr>
            </w:pPr>
          </w:p>
          <w:p w14:paraId="26AA68D4">
            <w:pPr>
              <w:pStyle w:val="52"/>
              <w:spacing w:before="68" w:line="221" w:lineRule="auto"/>
              <w:ind w:left="23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0B2BB98B">
        <w:tblPrEx>
          <w:tblLayout w:type="fixed"/>
        </w:tblPrEx>
        <w:trPr>
          <w:trHeight w:val="590" w:hRule="atLeast"/>
        </w:trPr>
        <w:tc>
          <w:tcPr>
            <w:tcW w:w="1079" w:type="dxa"/>
            <w:tcBorders>
              <w:left w:val="single" w:color="000000" w:sz="12" w:space="0"/>
            </w:tcBorders>
            <w:vAlign w:val="top"/>
          </w:tcPr>
          <w:p w14:paraId="678AE7C1">
            <w:pPr>
              <w:rPr>
                <w:rFonts w:hint="eastAsia" w:ascii="宋体" w:hAnsi="宋体" w:eastAsia="宋体" w:cs="宋体"/>
                <w:color w:val="auto"/>
                <w:sz w:val="21"/>
                <w:highlight w:val="none"/>
              </w:rPr>
            </w:pPr>
          </w:p>
        </w:tc>
        <w:tc>
          <w:tcPr>
            <w:tcW w:w="1323" w:type="dxa"/>
            <w:vAlign w:val="top"/>
          </w:tcPr>
          <w:p w14:paraId="06BD668F">
            <w:pPr>
              <w:rPr>
                <w:rFonts w:hint="eastAsia" w:ascii="宋体" w:hAnsi="宋体" w:eastAsia="宋体" w:cs="宋体"/>
                <w:color w:val="auto"/>
                <w:sz w:val="21"/>
                <w:highlight w:val="none"/>
              </w:rPr>
            </w:pPr>
          </w:p>
        </w:tc>
        <w:tc>
          <w:tcPr>
            <w:tcW w:w="793" w:type="dxa"/>
            <w:vAlign w:val="top"/>
          </w:tcPr>
          <w:p w14:paraId="0DB52912">
            <w:pPr>
              <w:rPr>
                <w:rFonts w:hint="eastAsia" w:ascii="宋体" w:hAnsi="宋体" w:eastAsia="宋体" w:cs="宋体"/>
                <w:color w:val="auto"/>
                <w:sz w:val="21"/>
                <w:highlight w:val="none"/>
              </w:rPr>
            </w:pPr>
          </w:p>
        </w:tc>
        <w:tc>
          <w:tcPr>
            <w:tcW w:w="975" w:type="dxa"/>
            <w:vAlign w:val="top"/>
          </w:tcPr>
          <w:p w14:paraId="570F6C7E">
            <w:pPr>
              <w:rPr>
                <w:rFonts w:hint="eastAsia" w:ascii="宋体" w:hAnsi="宋体" w:eastAsia="宋体" w:cs="宋体"/>
                <w:color w:val="auto"/>
                <w:sz w:val="21"/>
                <w:highlight w:val="none"/>
              </w:rPr>
            </w:pPr>
          </w:p>
        </w:tc>
        <w:tc>
          <w:tcPr>
            <w:tcW w:w="821" w:type="dxa"/>
            <w:vAlign w:val="top"/>
          </w:tcPr>
          <w:p w14:paraId="1AF0E3C9">
            <w:pPr>
              <w:rPr>
                <w:rFonts w:hint="eastAsia" w:ascii="宋体" w:hAnsi="宋体" w:eastAsia="宋体" w:cs="宋体"/>
                <w:color w:val="auto"/>
                <w:sz w:val="21"/>
                <w:highlight w:val="none"/>
              </w:rPr>
            </w:pPr>
          </w:p>
        </w:tc>
        <w:tc>
          <w:tcPr>
            <w:tcW w:w="948" w:type="dxa"/>
            <w:vAlign w:val="top"/>
          </w:tcPr>
          <w:p w14:paraId="072EF71F">
            <w:pPr>
              <w:rPr>
                <w:rFonts w:hint="eastAsia" w:ascii="宋体" w:hAnsi="宋体" w:eastAsia="宋体" w:cs="宋体"/>
                <w:color w:val="auto"/>
                <w:sz w:val="21"/>
                <w:highlight w:val="none"/>
              </w:rPr>
            </w:pPr>
          </w:p>
        </w:tc>
        <w:tc>
          <w:tcPr>
            <w:tcW w:w="1366" w:type="dxa"/>
            <w:vAlign w:val="top"/>
          </w:tcPr>
          <w:p w14:paraId="6D6C1187">
            <w:pPr>
              <w:rPr>
                <w:rFonts w:hint="eastAsia" w:ascii="宋体" w:hAnsi="宋体" w:eastAsia="宋体" w:cs="宋体"/>
                <w:color w:val="auto"/>
                <w:sz w:val="21"/>
                <w:highlight w:val="none"/>
              </w:rPr>
            </w:pPr>
          </w:p>
        </w:tc>
        <w:tc>
          <w:tcPr>
            <w:tcW w:w="947" w:type="dxa"/>
            <w:vAlign w:val="top"/>
          </w:tcPr>
          <w:p w14:paraId="56671D8B">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2A71BC9D">
            <w:pPr>
              <w:rPr>
                <w:rFonts w:hint="eastAsia" w:ascii="宋体" w:hAnsi="宋体" w:eastAsia="宋体" w:cs="宋体"/>
                <w:color w:val="auto"/>
                <w:sz w:val="21"/>
                <w:highlight w:val="none"/>
              </w:rPr>
            </w:pPr>
          </w:p>
        </w:tc>
      </w:tr>
      <w:tr w14:paraId="1ECB9CBC">
        <w:tblPrEx>
          <w:tblLayout w:type="fixed"/>
        </w:tblPrEx>
        <w:trPr>
          <w:trHeight w:val="586" w:hRule="atLeast"/>
        </w:trPr>
        <w:tc>
          <w:tcPr>
            <w:tcW w:w="1079" w:type="dxa"/>
            <w:tcBorders>
              <w:left w:val="single" w:color="000000" w:sz="12" w:space="0"/>
            </w:tcBorders>
            <w:vAlign w:val="top"/>
          </w:tcPr>
          <w:p w14:paraId="6D0F6A1A">
            <w:pPr>
              <w:rPr>
                <w:rFonts w:hint="eastAsia" w:ascii="宋体" w:hAnsi="宋体" w:eastAsia="宋体" w:cs="宋体"/>
                <w:color w:val="auto"/>
                <w:sz w:val="21"/>
                <w:highlight w:val="none"/>
              </w:rPr>
            </w:pPr>
          </w:p>
        </w:tc>
        <w:tc>
          <w:tcPr>
            <w:tcW w:w="1323" w:type="dxa"/>
            <w:vAlign w:val="top"/>
          </w:tcPr>
          <w:p w14:paraId="3673031A">
            <w:pPr>
              <w:rPr>
                <w:rFonts w:hint="eastAsia" w:ascii="宋体" w:hAnsi="宋体" w:eastAsia="宋体" w:cs="宋体"/>
                <w:color w:val="auto"/>
                <w:sz w:val="21"/>
                <w:highlight w:val="none"/>
              </w:rPr>
            </w:pPr>
          </w:p>
        </w:tc>
        <w:tc>
          <w:tcPr>
            <w:tcW w:w="793" w:type="dxa"/>
            <w:vAlign w:val="top"/>
          </w:tcPr>
          <w:p w14:paraId="21EFEBE0">
            <w:pPr>
              <w:rPr>
                <w:rFonts w:hint="eastAsia" w:ascii="宋体" w:hAnsi="宋体" w:eastAsia="宋体" w:cs="宋体"/>
                <w:color w:val="auto"/>
                <w:sz w:val="21"/>
                <w:highlight w:val="none"/>
              </w:rPr>
            </w:pPr>
          </w:p>
        </w:tc>
        <w:tc>
          <w:tcPr>
            <w:tcW w:w="975" w:type="dxa"/>
            <w:vAlign w:val="top"/>
          </w:tcPr>
          <w:p w14:paraId="5F9793C6">
            <w:pPr>
              <w:rPr>
                <w:rFonts w:hint="eastAsia" w:ascii="宋体" w:hAnsi="宋体" w:eastAsia="宋体" w:cs="宋体"/>
                <w:color w:val="auto"/>
                <w:sz w:val="21"/>
                <w:highlight w:val="none"/>
              </w:rPr>
            </w:pPr>
          </w:p>
        </w:tc>
        <w:tc>
          <w:tcPr>
            <w:tcW w:w="821" w:type="dxa"/>
            <w:vAlign w:val="top"/>
          </w:tcPr>
          <w:p w14:paraId="14ECDE77">
            <w:pPr>
              <w:rPr>
                <w:rFonts w:hint="eastAsia" w:ascii="宋体" w:hAnsi="宋体" w:eastAsia="宋体" w:cs="宋体"/>
                <w:color w:val="auto"/>
                <w:sz w:val="21"/>
                <w:highlight w:val="none"/>
              </w:rPr>
            </w:pPr>
          </w:p>
        </w:tc>
        <w:tc>
          <w:tcPr>
            <w:tcW w:w="948" w:type="dxa"/>
            <w:vAlign w:val="top"/>
          </w:tcPr>
          <w:p w14:paraId="458C5807">
            <w:pPr>
              <w:rPr>
                <w:rFonts w:hint="eastAsia" w:ascii="宋体" w:hAnsi="宋体" w:eastAsia="宋体" w:cs="宋体"/>
                <w:color w:val="auto"/>
                <w:sz w:val="21"/>
                <w:highlight w:val="none"/>
              </w:rPr>
            </w:pPr>
          </w:p>
        </w:tc>
        <w:tc>
          <w:tcPr>
            <w:tcW w:w="1366" w:type="dxa"/>
            <w:vAlign w:val="top"/>
          </w:tcPr>
          <w:p w14:paraId="499485C7">
            <w:pPr>
              <w:rPr>
                <w:rFonts w:hint="eastAsia" w:ascii="宋体" w:hAnsi="宋体" w:eastAsia="宋体" w:cs="宋体"/>
                <w:color w:val="auto"/>
                <w:sz w:val="21"/>
                <w:highlight w:val="none"/>
              </w:rPr>
            </w:pPr>
          </w:p>
        </w:tc>
        <w:tc>
          <w:tcPr>
            <w:tcW w:w="947" w:type="dxa"/>
            <w:vAlign w:val="top"/>
          </w:tcPr>
          <w:p w14:paraId="37B3A73E">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189F3EE0">
            <w:pPr>
              <w:rPr>
                <w:rFonts w:hint="eastAsia" w:ascii="宋体" w:hAnsi="宋体" w:eastAsia="宋体" w:cs="宋体"/>
                <w:color w:val="auto"/>
                <w:sz w:val="21"/>
                <w:highlight w:val="none"/>
              </w:rPr>
            </w:pPr>
          </w:p>
        </w:tc>
      </w:tr>
      <w:tr w14:paraId="3BABE90B">
        <w:tblPrEx>
          <w:tblLayout w:type="fixed"/>
        </w:tblPrEx>
        <w:trPr>
          <w:trHeight w:val="572" w:hRule="atLeast"/>
        </w:trPr>
        <w:tc>
          <w:tcPr>
            <w:tcW w:w="1079" w:type="dxa"/>
            <w:tcBorders>
              <w:left w:val="single" w:color="000000" w:sz="12" w:space="0"/>
            </w:tcBorders>
            <w:vAlign w:val="top"/>
          </w:tcPr>
          <w:p w14:paraId="1A9A9EDC">
            <w:pPr>
              <w:rPr>
                <w:rFonts w:hint="eastAsia" w:ascii="宋体" w:hAnsi="宋体" w:eastAsia="宋体" w:cs="宋体"/>
                <w:color w:val="auto"/>
                <w:sz w:val="21"/>
                <w:highlight w:val="none"/>
              </w:rPr>
            </w:pPr>
          </w:p>
        </w:tc>
        <w:tc>
          <w:tcPr>
            <w:tcW w:w="1323" w:type="dxa"/>
            <w:vAlign w:val="top"/>
          </w:tcPr>
          <w:p w14:paraId="1F37AF1F">
            <w:pPr>
              <w:rPr>
                <w:rFonts w:hint="eastAsia" w:ascii="宋体" w:hAnsi="宋体" w:eastAsia="宋体" w:cs="宋体"/>
                <w:color w:val="auto"/>
                <w:sz w:val="21"/>
                <w:highlight w:val="none"/>
              </w:rPr>
            </w:pPr>
          </w:p>
        </w:tc>
        <w:tc>
          <w:tcPr>
            <w:tcW w:w="793" w:type="dxa"/>
            <w:vAlign w:val="top"/>
          </w:tcPr>
          <w:p w14:paraId="7F284110">
            <w:pPr>
              <w:rPr>
                <w:rFonts w:hint="eastAsia" w:ascii="宋体" w:hAnsi="宋体" w:eastAsia="宋体" w:cs="宋体"/>
                <w:color w:val="auto"/>
                <w:sz w:val="21"/>
                <w:highlight w:val="none"/>
              </w:rPr>
            </w:pPr>
          </w:p>
        </w:tc>
        <w:tc>
          <w:tcPr>
            <w:tcW w:w="975" w:type="dxa"/>
            <w:vAlign w:val="top"/>
          </w:tcPr>
          <w:p w14:paraId="0D8DA108">
            <w:pPr>
              <w:rPr>
                <w:rFonts w:hint="eastAsia" w:ascii="宋体" w:hAnsi="宋体" w:eastAsia="宋体" w:cs="宋体"/>
                <w:color w:val="auto"/>
                <w:sz w:val="21"/>
                <w:highlight w:val="none"/>
              </w:rPr>
            </w:pPr>
          </w:p>
        </w:tc>
        <w:tc>
          <w:tcPr>
            <w:tcW w:w="821" w:type="dxa"/>
            <w:vAlign w:val="top"/>
          </w:tcPr>
          <w:p w14:paraId="12F8E904">
            <w:pPr>
              <w:rPr>
                <w:rFonts w:hint="eastAsia" w:ascii="宋体" w:hAnsi="宋体" w:eastAsia="宋体" w:cs="宋体"/>
                <w:color w:val="auto"/>
                <w:sz w:val="21"/>
                <w:highlight w:val="none"/>
              </w:rPr>
            </w:pPr>
          </w:p>
        </w:tc>
        <w:tc>
          <w:tcPr>
            <w:tcW w:w="948" w:type="dxa"/>
            <w:vAlign w:val="top"/>
          </w:tcPr>
          <w:p w14:paraId="4C8E334D">
            <w:pPr>
              <w:rPr>
                <w:rFonts w:hint="eastAsia" w:ascii="宋体" w:hAnsi="宋体" w:eastAsia="宋体" w:cs="宋体"/>
                <w:color w:val="auto"/>
                <w:sz w:val="21"/>
                <w:highlight w:val="none"/>
              </w:rPr>
            </w:pPr>
          </w:p>
        </w:tc>
        <w:tc>
          <w:tcPr>
            <w:tcW w:w="1366" w:type="dxa"/>
            <w:vAlign w:val="top"/>
          </w:tcPr>
          <w:p w14:paraId="239118EF">
            <w:pPr>
              <w:rPr>
                <w:rFonts w:hint="eastAsia" w:ascii="宋体" w:hAnsi="宋体" w:eastAsia="宋体" w:cs="宋体"/>
                <w:color w:val="auto"/>
                <w:sz w:val="21"/>
                <w:highlight w:val="none"/>
              </w:rPr>
            </w:pPr>
          </w:p>
        </w:tc>
        <w:tc>
          <w:tcPr>
            <w:tcW w:w="947" w:type="dxa"/>
            <w:vAlign w:val="top"/>
          </w:tcPr>
          <w:p w14:paraId="4032AF55">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3C3955E0">
            <w:pPr>
              <w:rPr>
                <w:rFonts w:hint="eastAsia" w:ascii="宋体" w:hAnsi="宋体" w:eastAsia="宋体" w:cs="宋体"/>
                <w:color w:val="auto"/>
                <w:sz w:val="21"/>
                <w:highlight w:val="none"/>
              </w:rPr>
            </w:pPr>
          </w:p>
        </w:tc>
      </w:tr>
      <w:tr w14:paraId="46F454D3">
        <w:tblPrEx>
          <w:tblLayout w:type="fixed"/>
        </w:tblPrEx>
        <w:trPr>
          <w:trHeight w:val="586" w:hRule="atLeast"/>
        </w:trPr>
        <w:tc>
          <w:tcPr>
            <w:tcW w:w="1079" w:type="dxa"/>
            <w:tcBorders>
              <w:left w:val="single" w:color="000000" w:sz="12" w:space="0"/>
            </w:tcBorders>
            <w:vAlign w:val="top"/>
          </w:tcPr>
          <w:p w14:paraId="3DDD1388">
            <w:pPr>
              <w:rPr>
                <w:rFonts w:hint="eastAsia" w:ascii="宋体" w:hAnsi="宋体" w:eastAsia="宋体" w:cs="宋体"/>
                <w:color w:val="auto"/>
                <w:sz w:val="21"/>
                <w:highlight w:val="none"/>
              </w:rPr>
            </w:pPr>
          </w:p>
        </w:tc>
        <w:tc>
          <w:tcPr>
            <w:tcW w:w="1323" w:type="dxa"/>
            <w:vAlign w:val="top"/>
          </w:tcPr>
          <w:p w14:paraId="754FB427">
            <w:pPr>
              <w:rPr>
                <w:rFonts w:hint="eastAsia" w:ascii="宋体" w:hAnsi="宋体" w:eastAsia="宋体" w:cs="宋体"/>
                <w:color w:val="auto"/>
                <w:sz w:val="21"/>
                <w:highlight w:val="none"/>
              </w:rPr>
            </w:pPr>
          </w:p>
        </w:tc>
        <w:tc>
          <w:tcPr>
            <w:tcW w:w="793" w:type="dxa"/>
            <w:vAlign w:val="top"/>
          </w:tcPr>
          <w:p w14:paraId="289A10B4">
            <w:pPr>
              <w:rPr>
                <w:rFonts w:hint="eastAsia" w:ascii="宋体" w:hAnsi="宋体" w:eastAsia="宋体" w:cs="宋体"/>
                <w:color w:val="auto"/>
                <w:sz w:val="21"/>
                <w:highlight w:val="none"/>
              </w:rPr>
            </w:pPr>
          </w:p>
        </w:tc>
        <w:tc>
          <w:tcPr>
            <w:tcW w:w="975" w:type="dxa"/>
            <w:vAlign w:val="top"/>
          </w:tcPr>
          <w:p w14:paraId="0D89181B">
            <w:pPr>
              <w:rPr>
                <w:rFonts w:hint="eastAsia" w:ascii="宋体" w:hAnsi="宋体" w:eastAsia="宋体" w:cs="宋体"/>
                <w:color w:val="auto"/>
                <w:sz w:val="21"/>
                <w:highlight w:val="none"/>
              </w:rPr>
            </w:pPr>
          </w:p>
        </w:tc>
        <w:tc>
          <w:tcPr>
            <w:tcW w:w="821" w:type="dxa"/>
            <w:vAlign w:val="top"/>
          </w:tcPr>
          <w:p w14:paraId="5FE2830D">
            <w:pPr>
              <w:rPr>
                <w:rFonts w:hint="eastAsia" w:ascii="宋体" w:hAnsi="宋体" w:eastAsia="宋体" w:cs="宋体"/>
                <w:color w:val="auto"/>
                <w:sz w:val="21"/>
                <w:highlight w:val="none"/>
              </w:rPr>
            </w:pPr>
          </w:p>
        </w:tc>
        <w:tc>
          <w:tcPr>
            <w:tcW w:w="948" w:type="dxa"/>
            <w:vAlign w:val="top"/>
          </w:tcPr>
          <w:p w14:paraId="0C9FF4CC">
            <w:pPr>
              <w:rPr>
                <w:rFonts w:hint="eastAsia" w:ascii="宋体" w:hAnsi="宋体" w:eastAsia="宋体" w:cs="宋体"/>
                <w:color w:val="auto"/>
                <w:sz w:val="21"/>
                <w:highlight w:val="none"/>
              </w:rPr>
            </w:pPr>
          </w:p>
        </w:tc>
        <w:tc>
          <w:tcPr>
            <w:tcW w:w="1366" w:type="dxa"/>
            <w:vAlign w:val="top"/>
          </w:tcPr>
          <w:p w14:paraId="4BAFEA6D">
            <w:pPr>
              <w:rPr>
                <w:rFonts w:hint="eastAsia" w:ascii="宋体" w:hAnsi="宋体" w:eastAsia="宋体" w:cs="宋体"/>
                <w:color w:val="auto"/>
                <w:sz w:val="21"/>
                <w:highlight w:val="none"/>
              </w:rPr>
            </w:pPr>
          </w:p>
        </w:tc>
        <w:tc>
          <w:tcPr>
            <w:tcW w:w="947" w:type="dxa"/>
            <w:vAlign w:val="top"/>
          </w:tcPr>
          <w:p w14:paraId="49865356">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0194123F">
            <w:pPr>
              <w:rPr>
                <w:rFonts w:hint="eastAsia" w:ascii="宋体" w:hAnsi="宋体" w:eastAsia="宋体" w:cs="宋体"/>
                <w:color w:val="auto"/>
                <w:sz w:val="21"/>
                <w:highlight w:val="none"/>
              </w:rPr>
            </w:pPr>
          </w:p>
        </w:tc>
      </w:tr>
      <w:tr w14:paraId="6B241BFB">
        <w:tblPrEx>
          <w:tblLayout w:type="fixed"/>
        </w:tblPrEx>
        <w:trPr>
          <w:trHeight w:val="586" w:hRule="atLeast"/>
        </w:trPr>
        <w:tc>
          <w:tcPr>
            <w:tcW w:w="1079" w:type="dxa"/>
            <w:tcBorders>
              <w:left w:val="single" w:color="000000" w:sz="12" w:space="0"/>
            </w:tcBorders>
            <w:vAlign w:val="top"/>
          </w:tcPr>
          <w:p w14:paraId="56783E4F">
            <w:pPr>
              <w:rPr>
                <w:rFonts w:hint="eastAsia" w:ascii="宋体" w:hAnsi="宋体" w:eastAsia="宋体" w:cs="宋体"/>
                <w:color w:val="auto"/>
                <w:sz w:val="21"/>
                <w:highlight w:val="none"/>
              </w:rPr>
            </w:pPr>
          </w:p>
        </w:tc>
        <w:tc>
          <w:tcPr>
            <w:tcW w:w="1323" w:type="dxa"/>
            <w:vAlign w:val="top"/>
          </w:tcPr>
          <w:p w14:paraId="0819612B">
            <w:pPr>
              <w:rPr>
                <w:rFonts w:hint="eastAsia" w:ascii="宋体" w:hAnsi="宋体" w:eastAsia="宋体" w:cs="宋体"/>
                <w:color w:val="auto"/>
                <w:sz w:val="21"/>
                <w:highlight w:val="none"/>
              </w:rPr>
            </w:pPr>
          </w:p>
        </w:tc>
        <w:tc>
          <w:tcPr>
            <w:tcW w:w="793" w:type="dxa"/>
            <w:vAlign w:val="top"/>
          </w:tcPr>
          <w:p w14:paraId="72315B0B">
            <w:pPr>
              <w:rPr>
                <w:rFonts w:hint="eastAsia" w:ascii="宋体" w:hAnsi="宋体" w:eastAsia="宋体" w:cs="宋体"/>
                <w:color w:val="auto"/>
                <w:sz w:val="21"/>
                <w:highlight w:val="none"/>
              </w:rPr>
            </w:pPr>
          </w:p>
        </w:tc>
        <w:tc>
          <w:tcPr>
            <w:tcW w:w="975" w:type="dxa"/>
            <w:vAlign w:val="top"/>
          </w:tcPr>
          <w:p w14:paraId="58C02DAF">
            <w:pPr>
              <w:rPr>
                <w:rFonts w:hint="eastAsia" w:ascii="宋体" w:hAnsi="宋体" w:eastAsia="宋体" w:cs="宋体"/>
                <w:color w:val="auto"/>
                <w:sz w:val="21"/>
                <w:highlight w:val="none"/>
              </w:rPr>
            </w:pPr>
          </w:p>
        </w:tc>
        <w:tc>
          <w:tcPr>
            <w:tcW w:w="821" w:type="dxa"/>
            <w:vAlign w:val="top"/>
          </w:tcPr>
          <w:p w14:paraId="43ACAD9B">
            <w:pPr>
              <w:rPr>
                <w:rFonts w:hint="eastAsia" w:ascii="宋体" w:hAnsi="宋体" w:eastAsia="宋体" w:cs="宋体"/>
                <w:color w:val="auto"/>
                <w:sz w:val="21"/>
                <w:highlight w:val="none"/>
              </w:rPr>
            </w:pPr>
          </w:p>
        </w:tc>
        <w:tc>
          <w:tcPr>
            <w:tcW w:w="948" w:type="dxa"/>
            <w:vAlign w:val="top"/>
          </w:tcPr>
          <w:p w14:paraId="78C53652">
            <w:pPr>
              <w:rPr>
                <w:rFonts w:hint="eastAsia" w:ascii="宋体" w:hAnsi="宋体" w:eastAsia="宋体" w:cs="宋体"/>
                <w:color w:val="auto"/>
                <w:sz w:val="21"/>
                <w:highlight w:val="none"/>
              </w:rPr>
            </w:pPr>
          </w:p>
        </w:tc>
        <w:tc>
          <w:tcPr>
            <w:tcW w:w="1366" w:type="dxa"/>
            <w:vAlign w:val="top"/>
          </w:tcPr>
          <w:p w14:paraId="6D392060">
            <w:pPr>
              <w:rPr>
                <w:rFonts w:hint="eastAsia" w:ascii="宋体" w:hAnsi="宋体" w:eastAsia="宋体" w:cs="宋体"/>
                <w:color w:val="auto"/>
                <w:sz w:val="21"/>
                <w:highlight w:val="none"/>
              </w:rPr>
            </w:pPr>
          </w:p>
        </w:tc>
        <w:tc>
          <w:tcPr>
            <w:tcW w:w="947" w:type="dxa"/>
            <w:vAlign w:val="top"/>
          </w:tcPr>
          <w:p w14:paraId="24254B50">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6A55294B">
            <w:pPr>
              <w:rPr>
                <w:rFonts w:hint="eastAsia" w:ascii="宋体" w:hAnsi="宋体" w:eastAsia="宋体" w:cs="宋体"/>
                <w:color w:val="auto"/>
                <w:sz w:val="21"/>
                <w:highlight w:val="none"/>
              </w:rPr>
            </w:pPr>
          </w:p>
        </w:tc>
      </w:tr>
      <w:tr w14:paraId="773A76DC">
        <w:tblPrEx>
          <w:tblLayout w:type="fixed"/>
        </w:tblPrEx>
        <w:trPr>
          <w:trHeight w:val="586" w:hRule="atLeast"/>
        </w:trPr>
        <w:tc>
          <w:tcPr>
            <w:tcW w:w="1079" w:type="dxa"/>
            <w:tcBorders>
              <w:left w:val="single" w:color="000000" w:sz="12" w:space="0"/>
            </w:tcBorders>
            <w:vAlign w:val="top"/>
          </w:tcPr>
          <w:p w14:paraId="40577308">
            <w:pPr>
              <w:rPr>
                <w:rFonts w:hint="eastAsia" w:ascii="宋体" w:hAnsi="宋体" w:eastAsia="宋体" w:cs="宋体"/>
                <w:color w:val="auto"/>
                <w:sz w:val="21"/>
                <w:highlight w:val="none"/>
              </w:rPr>
            </w:pPr>
          </w:p>
        </w:tc>
        <w:tc>
          <w:tcPr>
            <w:tcW w:w="1323" w:type="dxa"/>
            <w:vAlign w:val="top"/>
          </w:tcPr>
          <w:p w14:paraId="2222DCC9">
            <w:pPr>
              <w:rPr>
                <w:rFonts w:hint="eastAsia" w:ascii="宋体" w:hAnsi="宋体" w:eastAsia="宋体" w:cs="宋体"/>
                <w:color w:val="auto"/>
                <w:sz w:val="21"/>
                <w:highlight w:val="none"/>
              </w:rPr>
            </w:pPr>
          </w:p>
        </w:tc>
        <w:tc>
          <w:tcPr>
            <w:tcW w:w="793" w:type="dxa"/>
            <w:vAlign w:val="top"/>
          </w:tcPr>
          <w:p w14:paraId="3745F6CD">
            <w:pPr>
              <w:rPr>
                <w:rFonts w:hint="eastAsia" w:ascii="宋体" w:hAnsi="宋体" w:eastAsia="宋体" w:cs="宋体"/>
                <w:color w:val="auto"/>
                <w:sz w:val="21"/>
                <w:highlight w:val="none"/>
              </w:rPr>
            </w:pPr>
          </w:p>
        </w:tc>
        <w:tc>
          <w:tcPr>
            <w:tcW w:w="975" w:type="dxa"/>
            <w:vAlign w:val="top"/>
          </w:tcPr>
          <w:p w14:paraId="02F86584">
            <w:pPr>
              <w:rPr>
                <w:rFonts w:hint="eastAsia" w:ascii="宋体" w:hAnsi="宋体" w:eastAsia="宋体" w:cs="宋体"/>
                <w:color w:val="auto"/>
                <w:sz w:val="21"/>
                <w:highlight w:val="none"/>
              </w:rPr>
            </w:pPr>
          </w:p>
        </w:tc>
        <w:tc>
          <w:tcPr>
            <w:tcW w:w="821" w:type="dxa"/>
            <w:vAlign w:val="top"/>
          </w:tcPr>
          <w:p w14:paraId="066AE307">
            <w:pPr>
              <w:rPr>
                <w:rFonts w:hint="eastAsia" w:ascii="宋体" w:hAnsi="宋体" w:eastAsia="宋体" w:cs="宋体"/>
                <w:color w:val="auto"/>
                <w:sz w:val="21"/>
                <w:highlight w:val="none"/>
              </w:rPr>
            </w:pPr>
          </w:p>
        </w:tc>
        <w:tc>
          <w:tcPr>
            <w:tcW w:w="948" w:type="dxa"/>
            <w:vAlign w:val="top"/>
          </w:tcPr>
          <w:p w14:paraId="303D800B">
            <w:pPr>
              <w:rPr>
                <w:rFonts w:hint="eastAsia" w:ascii="宋体" w:hAnsi="宋体" w:eastAsia="宋体" w:cs="宋体"/>
                <w:color w:val="auto"/>
                <w:sz w:val="21"/>
                <w:highlight w:val="none"/>
              </w:rPr>
            </w:pPr>
          </w:p>
        </w:tc>
        <w:tc>
          <w:tcPr>
            <w:tcW w:w="1366" w:type="dxa"/>
            <w:vAlign w:val="top"/>
          </w:tcPr>
          <w:p w14:paraId="0F07BF75">
            <w:pPr>
              <w:rPr>
                <w:rFonts w:hint="eastAsia" w:ascii="宋体" w:hAnsi="宋体" w:eastAsia="宋体" w:cs="宋体"/>
                <w:color w:val="auto"/>
                <w:sz w:val="21"/>
                <w:highlight w:val="none"/>
              </w:rPr>
            </w:pPr>
          </w:p>
        </w:tc>
        <w:tc>
          <w:tcPr>
            <w:tcW w:w="947" w:type="dxa"/>
            <w:vAlign w:val="top"/>
          </w:tcPr>
          <w:p w14:paraId="0A245F6B">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203E154A">
            <w:pPr>
              <w:rPr>
                <w:rFonts w:hint="eastAsia" w:ascii="宋体" w:hAnsi="宋体" w:eastAsia="宋体" w:cs="宋体"/>
                <w:color w:val="auto"/>
                <w:sz w:val="21"/>
                <w:highlight w:val="none"/>
              </w:rPr>
            </w:pPr>
          </w:p>
        </w:tc>
      </w:tr>
      <w:tr w14:paraId="09AAC217">
        <w:tblPrEx>
          <w:tblLayout w:type="fixed"/>
        </w:tblPrEx>
        <w:trPr>
          <w:trHeight w:val="586" w:hRule="atLeast"/>
        </w:trPr>
        <w:tc>
          <w:tcPr>
            <w:tcW w:w="1079" w:type="dxa"/>
            <w:tcBorders>
              <w:left w:val="single" w:color="000000" w:sz="12" w:space="0"/>
            </w:tcBorders>
            <w:vAlign w:val="top"/>
          </w:tcPr>
          <w:p w14:paraId="7B9357F4">
            <w:pPr>
              <w:rPr>
                <w:rFonts w:hint="eastAsia" w:ascii="宋体" w:hAnsi="宋体" w:eastAsia="宋体" w:cs="宋体"/>
                <w:color w:val="auto"/>
                <w:sz w:val="21"/>
                <w:highlight w:val="none"/>
              </w:rPr>
            </w:pPr>
          </w:p>
        </w:tc>
        <w:tc>
          <w:tcPr>
            <w:tcW w:w="1323" w:type="dxa"/>
            <w:vAlign w:val="top"/>
          </w:tcPr>
          <w:p w14:paraId="0A6D0079">
            <w:pPr>
              <w:rPr>
                <w:rFonts w:hint="eastAsia" w:ascii="宋体" w:hAnsi="宋体" w:eastAsia="宋体" w:cs="宋体"/>
                <w:color w:val="auto"/>
                <w:sz w:val="21"/>
                <w:highlight w:val="none"/>
              </w:rPr>
            </w:pPr>
          </w:p>
        </w:tc>
        <w:tc>
          <w:tcPr>
            <w:tcW w:w="793" w:type="dxa"/>
            <w:vAlign w:val="top"/>
          </w:tcPr>
          <w:p w14:paraId="426723A8">
            <w:pPr>
              <w:rPr>
                <w:rFonts w:hint="eastAsia" w:ascii="宋体" w:hAnsi="宋体" w:eastAsia="宋体" w:cs="宋体"/>
                <w:color w:val="auto"/>
                <w:sz w:val="21"/>
                <w:highlight w:val="none"/>
              </w:rPr>
            </w:pPr>
          </w:p>
        </w:tc>
        <w:tc>
          <w:tcPr>
            <w:tcW w:w="975" w:type="dxa"/>
            <w:vAlign w:val="top"/>
          </w:tcPr>
          <w:p w14:paraId="2BCD88F9">
            <w:pPr>
              <w:rPr>
                <w:rFonts w:hint="eastAsia" w:ascii="宋体" w:hAnsi="宋体" w:eastAsia="宋体" w:cs="宋体"/>
                <w:color w:val="auto"/>
                <w:sz w:val="21"/>
                <w:highlight w:val="none"/>
              </w:rPr>
            </w:pPr>
          </w:p>
        </w:tc>
        <w:tc>
          <w:tcPr>
            <w:tcW w:w="821" w:type="dxa"/>
            <w:vAlign w:val="top"/>
          </w:tcPr>
          <w:p w14:paraId="61C0765B">
            <w:pPr>
              <w:rPr>
                <w:rFonts w:hint="eastAsia" w:ascii="宋体" w:hAnsi="宋体" w:eastAsia="宋体" w:cs="宋体"/>
                <w:color w:val="auto"/>
                <w:sz w:val="21"/>
                <w:highlight w:val="none"/>
              </w:rPr>
            </w:pPr>
          </w:p>
        </w:tc>
        <w:tc>
          <w:tcPr>
            <w:tcW w:w="948" w:type="dxa"/>
            <w:vAlign w:val="top"/>
          </w:tcPr>
          <w:p w14:paraId="7673C9B0">
            <w:pPr>
              <w:rPr>
                <w:rFonts w:hint="eastAsia" w:ascii="宋体" w:hAnsi="宋体" w:eastAsia="宋体" w:cs="宋体"/>
                <w:color w:val="auto"/>
                <w:sz w:val="21"/>
                <w:highlight w:val="none"/>
              </w:rPr>
            </w:pPr>
          </w:p>
        </w:tc>
        <w:tc>
          <w:tcPr>
            <w:tcW w:w="1366" w:type="dxa"/>
            <w:vAlign w:val="top"/>
          </w:tcPr>
          <w:p w14:paraId="37067F44">
            <w:pPr>
              <w:rPr>
                <w:rFonts w:hint="eastAsia" w:ascii="宋体" w:hAnsi="宋体" w:eastAsia="宋体" w:cs="宋体"/>
                <w:color w:val="auto"/>
                <w:sz w:val="21"/>
                <w:highlight w:val="none"/>
              </w:rPr>
            </w:pPr>
          </w:p>
        </w:tc>
        <w:tc>
          <w:tcPr>
            <w:tcW w:w="947" w:type="dxa"/>
            <w:vAlign w:val="top"/>
          </w:tcPr>
          <w:p w14:paraId="2221BACB">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54704463">
            <w:pPr>
              <w:rPr>
                <w:rFonts w:hint="eastAsia" w:ascii="宋体" w:hAnsi="宋体" w:eastAsia="宋体" w:cs="宋体"/>
                <w:color w:val="auto"/>
                <w:sz w:val="21"/>
                <w:highlight w:val="none"/>
              </w:rPr>
            </w:pPr>
          </w:p>
        </w:tc>
      </w:tr>
      <w:tr w14:paraId="0311DE31">
        <w:tblPrEx>
          <w:tblLayout w:type="fixed"/>
        </w:tblPrEx>
        <w:trPr>
          <w:trHeight w:val="572" w:hRule="atLeast"/>
        </w:trPr>
        <w:tc>
          <w:tcPr>
            <w:tcW w:w="1079" w:type="dxa"/>
            <w:tcBorders>
              <w:left w:val="single" w:color="000000" w:sz="12" w:space="0"/>
            </w:tcBorders>
            <w:vAlign w:val="top"/>
          </w:tcPr>
          <w:p w14:paraId="0CE24FD7">
            <w:pPr>
              <w:rPr>
                <w:rFonts w:hint="eastAsia" w:ascii="宋体" w:hAnsi="宋体" w:eastAsia="宋体" w:cs="宋体"/>
                <w:color w:val="auto"/>
                <w:sz w:val="21"/>
                <w:highlight w:val="none"/>
              </w:rPr>
            </w:pPr>
          </w:p>
        </w:tc>
        <w:tc>
          <w:tcPr>
            <w:tcW w:w="1323" w:type="dxa"/>
            <w:vAlign w:val="top"/>
          </w:tcPr>
          <w:p w14:paraId="6A20D2DF">
            <w:pPr>
              <w:rPr>
                <w:rFonts w:hint="eastAsia" w:ascii="宋体" w:hAnsi="宋体" w:eastAsia="宋体" w:cs="宋体"/>
                <w:color w:val="auto"/>
                <w:sz w:val="21"/>
                <w:highlight w:val="none"/>
              </w:rPr>
            </w:pPr>
          </w:p>
        </w:tc>
        <w:tc>
          <w:tcPr>
            <w:tcW w:w="793" w:type="dxa"/>
            <w:vAlign w:val="top"/>
          </w:tcPr>
          <w:p w14:paraId="3034A956">
            <w:pPr>
              <w:rPr>
                <w:rFonts w:hint="eastAsia" w:ascii="宋体" w:hAnsi="宋体" w:eastAsia="宋体" w:cs="宋体"/>
                <w:color w:val="auto"/>
                <w:sz w:val="21"/>
                <w:highlight w:val="none"/>
              </w:rPr>
            </w:pPr>
          </w:p>
        </w:tc>
        <w:tc>
          <w:tcPr>
            <w:tcW w:w="975" w:type="dxa"/>
            <w:vAlign w:val="top"/>
          </w:tcPr>
          <w:p w14:paraId="3B2134A4">
            <w:pPr>
              <w:rPr>
                <w:rFonts w:hint="eastAsia" w:ascii="宋体" w:hAnsi="宋体" w:eastAsia="宋体" w:cs="宋体"/>
                <w:color w:val="auto"/>
                <w:sz w:val="21"/>
                <w:highlight w:val="none"/>
              </w:rPr>
            </w:pPr>
          </w:p>
        </w:tc>
        <w:tc>
          <w:tcPr>
            <w:tcW w:w="821" w:type="dxa"/>
            <w:vAlign w:val="top"/>
          </w:tcPr>
          <w:p w14:paraId="721718E9">
            <w:pPr>
              <w:rPr>
                <w:rFonts w:hint="eastAsia" w:ascii="宋体" w:hAnsi="宋体" w:eastAsia="宋体" w:cs="宋体"/>
                <w:color w:val="auto"/>
                <w:sz w:val="21"/>
                <w:highlight w:val="none"/>
              </w:rPr>
            </w:pPr>
          </w:p>
        </w:tc>
        <w:tc>
          <w:tcPr>
            <w:tcW w:w="948" w:type="dxa"/>
            <w:vAlign w:val="top"/>
          </w:tcPr>
          <w:p w14:paraId="761C1B65">
            <w:pPr>
              <w:rPr>
                <w:rFonts w:hint="eastAsia" w:ascii="宋体" w:hAnsi="宋体" w:eastAsia="宋体" w:cs="宋体"/>
                <w:color w:val="auto"/>
                <w:sz w:val="21"/>
                <w:highlight w:val="none"/>
              </w:rPr>
            </w:pPr>
          </w:p>
        </w:tc>
        <w:tc>
          <w:tcPr>
            <w:tcW w:w="1366" w:type="dxa"/>
            <w:vAlign w:val="top"/>
          </w:tcPr>
          <w:p w14:paraId="46F433D8">
            <w:pPr>
              <w:rPr>
                <w:rFonts w:hint="eastAsia" w:ascii="宋体" w:hAnsi="宋体" w:eastAsia="宋体" w:cs="宋体"/>
                <w:color w:val="auto"/>
                <w:sz w:val="21"/>
                <w:highlight w:val="none"/>
              </w:rPr>
            </w:pPr>
          </w:p>
        </w:tc>
        <w:tc>
          <w:tcPr>
            <w:tcW w:w="947" w:type="dxa"/>
            <w:vAlign w:val="top"/>
          </w:tcPr>
          <w:p w14:paraId="4A53DC98">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12E3443F">
            <w:pPr>
              <w:rPr>
                <w:rFonts w:hint="eastAsia" w:ascii="宋体" w:hAnsi="宋体" w:eastAsia="宋体" w:cs="宋体"/>
                <w:color w:val="auto"/>
                <w:sz w:val="21"/>
                <w:highlight w:val="none"/>
              </w:rPr>
            </w:pPr>
          </w:p>
        </w:tc>
      </w:tr>
      <w:tr w14:paraId="74C1514D">
        <w:tblPrEx>
          <w:tblLayout w:type="fixed"/>
        </w:tblPrEx>
        <w:trPr>
          <w:trHeight w:val="586" w:hRule="atLeast"/>
        </w:trPr>
        <w:tc>
          <w:tcPr>
            <w:tcW w:w="1079" w:type="dxa"/>
            <w:tcBorders>
              <w:left w:val="single" w:color="000000" w:sz="12" w:space="0"/>
            </w:tcBorders>
            <w:vAlign w:val="top"/>
          </w:tcPr>
          <w:p w14:paraId="02DF5394">
            <w:pPr>
              <w:rPr>
                <w:rFonts w:hint="eastAsia" w:ascii="宋体" w:hAnsi="宋体" w:eastAsia="宋体" w:cs="宋体"/>
                <w:color w:val="auto"/>
                <w:sz w:val="21"/>
                <w:highlight w:val="none"/>
              </w:rPr>
            </w:pPr>
          </w:p>
        </w:tc>
        <w:tc>
          <w:tcPr>
            <w:tcW w:w="1323" w:type="dxa"/>
            <w:vAlign w:val="top"/>
          </w:tcPr>
          <w:p w14:paraId="10DDF73D">
            <w:pPr>
              <w:rPr>
                <w:rFonts w:hint="eastAsia" w:ascii="宋体" w:hAnsi="宋体" w:eastAsia="宋体" w:cs="宋体"/>
                <w:color w:val="auto"/>
                <w:sz w:val="21"/>
                <w:highlight w:val="none"/>
              </w:rPr>
            </w:pPr>
          </w:p>
        </w:tc>
        <w:tc>
          <w:tcPr>
            <w:tcW w:w="793" w:type="dxa"/>
            <w:vAlign w:val="top"/>
          </w:tcPr>
          <w:p w14:paraId="5278EAFB">
            <w:pPr>
              <w:rPr>
                <w:rFonts w:hint="eastAsia" w:ascii="宋体" w:hAnsi="宋体" w:eastAsia="宋体" w:cs="宋体"/>
                <w:color w:val="auto"/>
                <w:sz w:val="21"/>
                <w:highlight w:val="none"/>
              </w:rPr>
            </w:pPr>
          </w:p>
        </w:tc>
        <w:tc>
          <w:tcPr>
            <w:tcW w:w="975" w:type="dxa"/>
            <w:vAlign w:val="top"/>
          </w:tcPr>
          <w:p w14:paraId="5CE0833E">
            <w:pPr>
              <w:rPr>
                <w:rFonts w:hint="eastAsia" w:ascii="宋体" w:hAnsi="宋体" w:eastAsia="宋体" w:cs="宋体"/>
                <w:color w:val="auto"/>
                <w:sz w:val="21"/>
                <w:highlight w:val="none"/>
              </w:rPr>
            </w:pPr>
          </w:p>
        </w:tc>
        <w:tc>
          <w:tcPr>
            <w:tcW w:w="821" w:type="dxa"/>
            <w:vAlign w:val="top"/>
          </w:tcPr>
          <w:p w14:paraId="0B1C3156">
            <w:pPr>
              <w:rPr>
                <w:rFonts w:hint="eastAsia" w:ascii="宋体" w:hAnsi="宋体" w:eastAsia="宋体" w:cs="宋体"/>
                <w:color w:val="auto"/>
                <w:sz w:val="21"/>
                <w:highlight w:val="none"/>
              </w:rPr>
            </w:pPr>
          </w:p>
        </w:tc>
        <w:tc>
          <w:tcPr>
            <w:tcW w:w="948" w:type="dxa"/>
            <w:vAlign w:val="top"/>
          </w:tcPr>
          <w:p w14:paraId="0D6FCA1D">
            <w:pPr>
              <w:rPr>
                <w:rFonts w:hint="eastAsia" w:ascii="宋体" w:hAnsi="宋体" w:eastAsia="宋体" w:cs="宋体"/>
                <w:color w:val="auto"/>
                <w:sz w:val="21"/>
                <w:highlight w:val="none"/>
              </w:rPr>
            </w:pPr>
          </w:p>
        </w:tc>
        <w:tc>
          <w:tcPr>
            <w:tcW w:w="1366" w:type="dxa"/>
            <w:vAlign w:val="top"/>
          </w:tcPr>
          <w:p w14:paraId="6823D1AB">
            <w:pPr>
              <w:rPr>
                <w:rFonts w:hint="eastAsia" w:ascii="宋体" w:hAnsi="宋体" w:eastAsia="宋体" w:cs="宋体"/>
                <w:color w:val="auto"/>
                <w:sz w:val="21"/>
                <w:highlight w:val="none"/>
              </w:rPr>
            </w:pPr>
          </w:p>
        </w:tc>
        <w:tc>
          <w:tcPr>
            <w:tcW w:w="947" w:type="dxa"/>
            <w:vAlign w:val="top"/>
          </w:tcPr>
          <w:p w14:paraId="5BA56DBC">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53BB40C2">
            <w:pPr>
              <w:rPr>
                <w:rFonts w:hint="eastAsia" w:ascii="宋体" w:hAnsi="宋体" w:eastAsia="宋体" w:cs="宋体"/>
                <w:color w:val="auto"/>
                <w:sz w:val="21"/>
                <w:highlight w:val="none"/>
              </w:rPr>
            </w:pPr>
          </w:p>
        </w:tc>
      </w:tr>
      <w:tr w14:paraId="27A4BC29">
        <w:tblPrEx>
          <w:tblLayout w:type="fixed"/>
        </w:tblPrEx>
        <w:trPr>
          <w:trHeight w:val="586" w:hRule="atLeast"/>
        </w:trPr>
        <w:tc>
          <w:tcPr>
            <w:tcW w:w="1079" w:type="dxa"/>
            <w:tcBorders>
              <w:left w:val="single" w:color="000000" w:sz="12" w:space="0"/>
            </w:tcBorders>
            <w:vAlign w:val="top"/>
          </w:tcPr>
          <w:p w14:paraId="5859E401">
            <w:pPr>
              <w:rPr>
                <w:rFonts w:hint="eastAsia" w:ascii="宋体" w:hAnsi="宋体" w:eastAsia="宋体" w:cs="宋体"/>
                <w:color w:val="auto"/>
                <w:sz w:val="21"/>
                <w:highlight w:val="none"/>
              </w:rPr>
            </w:pPr>
          </w:p>
        </w:tc>
        <w:tc>
          <w:tcPr>
            <w:tcW w:w="1323" w:type="dxa"/>
            <w:vAlign w:val="top"/>
          </w:tcPr>
          <w:p w14:paraId="6ACE3B77">
            <w:pPr>
              <w:rPr>
                <w:rFonts w:hint="eastAsia" w:ascii="宋体" w:hAnsi="宋体" w:eastAsia="宋体" w:cs="宋体"/>
                <w:color w:val="auto"/>
                <w:sz w:val="21"/>
                <w:highlight w:val="none"/>
              </w:rPr>
            </w:pPr>
          </w:p>
        </w:tc>
        <w:tc>
          <w:tcPr>
            <w:tcW w:w="793" w:type="dxa"/>
            <w:vAlign w:val="top"/>
          </w:tcPr>
          <w:p w14:paraId="7A8E2BE1">
            <w:pPr>
              <w:rPr>
                <w:rFonts w:hint="eastAsia" w:ascii="宋体" w:hAnsi="宋体" w:eastAsia="宋体" w:cs="宋体"/>
                <w:color w:val="auto"/>
                <w:sz w:val="21"/>
                <w:highlight w:val="none"/>
              </w:rPr>
            </w:pPr>
          </w:p>
        </w:tc>
        <w:tc>
          <w:tcPr>
            <w:tcW w:w="975" w:type="dxa"/>
            <w:vAlign w:val="top"/>
          </w:tcPr>
          <w:p w14:paraId="43268267">
            <w:pPr>
              <w:rPr>
                <w:rFonts w:hint="eastAsia" w:ascii="宋体" w:hAnsi="宋体" w:eastAsia="宋体" w:cs="宋体"/>
                <w:color w:val="auto"/>
                <w:sz w:val="21"/>
                <w:highlight w:val="none"/>
              </w:rPr>
            </w:pPr>
          </w:p>
        </w:tc>
        <w:tc>
          <w:tcPr>
            <w:tcW w:w="821" w:type="dxa"/>
            <w:vAlign w:val="top"/>
          </w:tcPr>
          <w:p w14:paraId="0382B446">
            <w:pPr>
              <w:rPr>
                <w:rFonts w:hint="eastAsia" w:ascii="宋体" w:hAnsi="宋体" w:eastAsia="宋体" w:cs="宋体"/>
                <w:color w:val="auto"/>
                <w:sz w:val="21"/>
                <w:highlight w:val="none"/>
              </w:rPr>
            </w:pPr>
          </w:p>
        </w:tc>
        <w:tc>
          <w:tcPr>
            <w:tcW w:w="948" w:type="dxa"/>
            <w:vAlign w:val="top"/>
          </w:tcPr>
          <w:p w14:paraId="2320B5C0">
            <w:pPr>
              <w:rPr>
                <w:rFonts w:hint="eastAsia" w:ascii="宋体" w:hAnsi="宋体" w:eastAsia="宋体" w:cs="宋体"/>
                <w:color w:val="auto"/>
                <w:sz w:val="21"/>
                <w:highlight w:val="none"/>
              </w:rPr>
            </w:pPr>
          </w:p>
        </w:tc>
        <w:tc>
          <w:tcPr>
            <w:tcW w:w="1366" w:type="dxa"/>
            <w:vAlign w:val="top"/>
          </w:tcPr>
          <w:p w14:paraId="4C3F07B1">
            <w:pPr>
              <w:rPr>
                <w:rFonts w:hint="eastAsia" w:ascii="宋体" w:hAnsi="宋体" w:eastAsia="宋体" w:cs="宋体"/>
                <w:color w:val="auto"/>
                <w:sz w:val="21"/>
                <w:highlight w:val="none"/>
              </w:rPr>
            </w:pPr>
          </w:p>
        </w:tc>
        <w:tc>
          <w:tcPr>
            <w:tcW w:w="947" w:type="dxa"/>
            <w:vAlign w:val="top"/>
          </w:tcPr>
          <w:p w14:paraId="7CB7AC4B">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6252930F">
            <w:pPr>
              <w:rPr>
                <w:rFonts w:hint="eastAsia" w:ascii="宋体" w:hAnsi="宋体" w:eastAsia="宋体" w:cs="宋体"/>
                <w:color w:val="auto"/>
                <w:sz w:val="21"/>
                <w:highlight w:val="none"/>
              </w:rPr>
            </w:pPr>
          </w:p>
        </w:tc>
      </w:tr>
      <w:tr w14:paraId="396F1F6E">
        <w:tblPrEx>
          <w:tblLayout w:type="fixed"/>
        </w:tblPrEx>
        <w:trPr>
          <w:trHeight w:val="587" w:hRule="atLeast"/>
        </w:trPr>
        <w:tc>
          <w:tcPr>
            <w:tcW w:w="1079" w:type="dxa"/>
            <w:tcBorders>
              <w:left w:val="single" w:color="000000" w:sz="12" w:space="0"/>
            </w:tcBorders>
            <w:vAlign w:val="top"/>
          </w:tcPr>
          <w:p w14:paraId="34F103F9">
            <w:pPr>
              <w:rPr>
                <w:rFonts w:hint="eastAsia" w:ascii="宋体" w:hAnsi="宋体" w:eastAsia="宋体" w:cs="宋体"/>
                <w:color w:val="auto"/>
                <w:sz w:val="21"/>
                <w:highlight w:val="none"/>
              </w:rPr>
            </w:pPr>
          </w:p>
        </w:tc>
        <w:tc>
          <w:tcPr>
            <w:tcW w:w="1323" w:type="dxa"/>
            <w:vAlign w:val="top"/>
          </w:tcPr>
          <w:p w14:paraId="5269613C">
            <w:pPr>
              <w:rPr>
                <w:rFonts w:hint="eastAsia" w:ascii="宋体" w:hAnsi="宋体" w:eastAsia="宋体" w:cs="宋体"/>
                <w:color w:val="auto"/>
                <w:sz w:val="21"/>
                <w:highlight w:val="none"/>
              </w:rPr>
            </w:pPr>
          </w:p>
        </w:tc>
        <w:tc>
          <w:tcPr>
            <w:tcW w:w="793" w:type="dxa"/>
            <w:vAlign w:val="top"/>
          </w:tcPr>
          <w:p w14:paraId="76B9AD63">
            <w:pPr>
              <w:rPr>
                <w:rFonts w:hint="eastAsia" w:ascii="宋体" w:hAnsi="宋体" w:eastAsia="宋体" w:cs="宋体"/>
                <w:color w:val="auto"/>
                <w:sz w:val="21"/>
                <w:highlight w:val="none"/>
              </w:rPr>
            </w:pPr>
          </w:p>
        </w:tc>
        <w:tc>
          <w:tcPr>
            <w:tcW w:w="975" w:type="dxa"/>
            <w:vAlign w:val="top"/>
          </w:tcPr>
          <w:p w14:paraId="0C231F28">
            <w:pPr>
              <w:rPr>
                <w:rFonts w:hint="eastAsia" w:ascii="宋体" w:hAnsi="宋体" w:eastAsia="宋体" w:cs="宋体"/>
                <w:color w:val="auto"/>
                <w:sz w:val="21"/>
                <w:highlight w:val="none"/>
              </w:rPr>
            </w:pPr>
          </w:p>
        </w:tc>
        <w:tc>
          <w:tcPr>
            <w:tcW w:w="821" w:type="dxa"/>
            <w:vAlign w:val="top"/>
          </w:tcPr>
          <w:p w14:paraId="6E0DF635">
            <w:pPr>
              <w:rPr>
                <w:rFonts w:hint="eastAsia" w:ascii="宋体" w:hAnsi="宋体" w:eastAsia="宋体" w:cs="宋体"/>
                <w:color w:val="auto"/>
                <w:sz w:val="21"/>
                <w:highlight w:val="none"/>
              </w:rPr>
            </w:pPr>
          </w:p>
        </w:tc>
        <w:tc>
          <w:tcPr>
            <w:tcW w:w="948" w:type="dxa"/>
            <w:vAlign w:val="top"/>
          </w:tcPr>
          <w:p w14:paraId="1BF60DA6">
            <w:pPr>
              <w:rPr>
                <w:rFonts w:hint="eastAsia" w:ascii="宋体" w:hAnsi="宋体" w:eastAsia="宋体" w:cs="宋体"/>
                <w:color w:val="auto"/>
                <w:sz w:val="21"/>
                <w:highlight w:val="none"/>
              </w:rPr>
            </w:pPr>
          </w:p>
        </w:tc>
        <w:tc>
          <w:tcPr>
            <w:tcW w:w="1366" w:type="dxa"/>
            <w:vAlign w:val="top"/>
          </w:tcPr>
          <w:p w14:paraId="4AFC6CA7">
            <w:pPr>
              <w:rPr>
                <w:rFonts w:hint="eastAsia" w:ascii="宋体" w:hAnsi="宋体" w:eastAsia="宋体" w:cs="宋体"/>
                <w:color w:val="auto"/>
                <w:sz w:val="21"/>
                <w:highlight w:val="none"/>
              </w:rPr>
            </w:pPr>
          </w:p>
        </w:tc>
        <w:tc>
          <w:tcPr>
            <w:tcW w:w="947" w:type="dxa"/>
            <w:vAlign w:val="top"/>
          </w:tcPr>
          <w:p w14:paraId="784D7B6A">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5E1E0B79">
            <w:pPr>
              <w:rPr>
                <w:rFonts w:hint="eastAsia" w:ascii="宋体" w:hAnsi="宋体" w:eastAsia="宋体" w:cs="宋体"/>
                <w:color w:val="auto"/>
                <w:sz w:val="21"/>
                <w:highlight w:val="none"/>
              </w:rPr>
            </w:pPr>
          </w:p>
        </w:tc>
      </w:tr>
      <w:tr w14:paraId="52C8893C">
        <w:tblPrEx>
          <w:tblLayout w:type="fixed"/>
        </w:tblPrEx>
        <w:trPr>
          <w:trHeight w:val="587" w:hRule="atLeast"/>
        </w:trPr>
        <w:tc>
          <w:tcPr>
            <w:tcW w:w="1079" w:type="dxa"/>
            <w:tcBorders>
              <w:left w:val="single" w:color="000000" w:sz="12" w:space="0"/>
            </w:tcBorders>
            <w:vAlign w:val="top"/>
          </w:tcPr>
          <w:p w14:paraId="78BF8DAA">
            <w:pPr>
              <w:rPr>
                <w:rFonts w:hint="eastAsia" w:ascii="宋体" w:hAnsi="宋体" w:eastAsia="宋体" w:cs="宋体"/>
                <w:color w:val="auto"/>
                <w:sz w:val="21"/>
                <w:highlight w:val="none"/>
              </w:rPr>
            </w:pPr>
          </w:p>
        </w:tc>
        <w:tc>
          <w:tcPr>
            <w:tcW w:w="1323" w:type="dxa"/>
            <w:vAlign w:val="top"/>
          </w:tcPr>
          <w:p w14:paraId="5B91143E">
            <w:pPr>
              <w:rPr>
                <w:rFonts w:hint="eastAsia" w:ascii="宋体" w:hAnsi="宋体" w:eastAsia="宋体" w:cs="宋体"/>
                <w:color w:val="auto"/>
                <w:sz w:val="21"/>
                <w:highlight w:val="none"/>
              </w:rPr>
            </w:pPr>
          </w:p>
        </w:tc>
        <w:tc>
          <w:tcPr>
            <w:tcW w:w="793" w:type="dxa"/>
            <w:vAlign w:val="top"/>
          </w:tcPr>
          <w:p w14:paraId="036F160B">
            <w:pPr>
              <w:rPr>
                <w:rFonts w:hint="eastAsia" w:ascii="宋体" w:hAnsi="宋体" w:eastAsia="宋体" w:cs="宋体"/>
                <w:color w:val="auto"/>
                <w:sz w:val="21"/>
                <w:highlight w:val="none"/>
              </w:rPr>
            </w:pPr>
          </w:p>
        </w:tc>
        <w:tc>
          <w:tcPr>
            <w:tcW w:w="975" w:type="dxa"/>
            <w:vAlign w:val="top"/>
          </w:tcPr>
          <w:p w14:paraId="1ACF0008">
            <w:pPr>
              <w:rPr>
                <w:rFonts w:hint="eastAsia" w:ascii="宋体" w:hAnsi="宋体" w:eastAsia="宋体" w:cs="宋体"/>
                <w:color w:val="auto"/>
                <w:sz w:val="21"/>
                <w:highlight w:val="none"/>
              </w:rPr>
            </w:pPr>
          </w:p>
        </w:tc>
        <w:tc>
          <w:tcPr>
            <w:tcW w:w="821" w:type="dxa"/>
            <w:vAlign w:val="top"/>
          </w:tcPr>
          <w:p w14:paraId="7E01DC0A">
            <w:pPr>
              <w:rPr>
                <w:rFonts w:hint="eastAsia" w:ascii="宋体" w:hAnsi="宋体" w:eastAsia="宋体" w:cs="宋体"/>
                <w:color w:val="auto"/>
                <w:sz w:val="21"/>
                <w:highlight w:val="none"/>
              </w:rPr>
            </w:pPr>
          </w:p>
        </w:tc>
        <w:tc>
          <w:tcPr>
            <w:tcW w:w="948" w:type="dxa"/>
            <w:vAlign w:val="top"/>
          </w:tcPr>
          <w:p w14:paraId="04320AE1">
            <w:pPr>
              <w:rPr>
                <w:rFonts w:hint="eastAsia" w:ascii="宋体" w:hAnsi="宋体" w:eastAsia="宋体" w:cs="宋体"/>
                <w:color w:val="auto"/>
                <w:sz w:val="21"/>
                <w:highlight w:val="none"/>
              </w:rPr>
            </w:pPr>
          </w:p>
        </w:tc>
        <w:tc>
          <w:tcPr>
            <w:tcW w:w="1366" w:type="dxa"/>
            <w:vAlign w:val="top"/>
          </w:tcPr>
          <w:p w14:paraId="4FFB0DD6">
            <w:pPr>
              <w:rPr>
                <w:rFonts w:hint="eastAsia" w:ascii="宋体" w:hAnsi="宋体" w:eastAsia="宋体" w:cs="宋体"/>
                <w:color w:val="auto"/>
                <w:sz w:val="21"/>
                <w:highlight w:val="none"/>
              </w:rPr>
            </w:pPr>
          </w:p>
        </w:tc>
        <w:tc>
          <w:tcPr>
            <w:tcW w:w="947" w:type="dxa"/>
            <w:vAlign w:val="top"/>
          </w:tcPr>
          <w:p w14:paraId="42A54BFD">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2321A7AC">
            <w:pPr>
              <w:rPr>
                <w:rFonts w:hint="eastAsia" w:ascii="宋体" w:hAnsi="宋体" w:eastAsia="宋体" w:cs="宋体"/>
                <w:color w:val="auto"/>
                <w:sz w:val="21"/>
                <w:highlight w:val="none"/>
              </w:rPr>
            </w:pPr>
          </w:p>
        </w:tc>
      </w:tr>
      <w:tr w14:paraId="673F4667">
        <w:tblPrEx>
          <w:tblLayout w:type="fixed"/>
        </w:tblPrEx>
        <w:trPr>
          <w:trHeight w:val="572" w:hRule="atLeast"/>
        </w:trPr>
        <w:tc>
          <w:tcPr>
            <w:tcW w:w="1079" w:type="dxa"/>
            <w:tcBorders>
              <w:left w:val="single" w:color="000000" w:sz="12" w:space="0"/>
            </w:tcBorders>
            <w:vAlign w:val="top"/>
          </w:tcPr>
          <w:p w14:paraId="5D76051F">
            <w:pPr>
              <w:rPr>
                <w:rFonts w:hint="eastAsia" w:ascii="宋体" w:hAnsi="宋体" w:eastAsia="宋体" w:cs="宋体"/>
                <w:color w:val="auto"/>
                <w:sz w:val="21"/>
                <w:highlight w:val="none"/>
              </w:rPr>
            </w:pPr>
          </w:p>
        </w:tc>
        <w:tc>
          <w:tcPr>
            <w:tcW w:w="1323" w:type="dxa"/>
            <w:vAlign w:val="top"/>
          </w:tcPr>
          <w:p w14:paraId="19C2914E">
            <w:pPr>
              <w:rPr>
                <w:rFonts w:hint="eastAsia" w:ascii="宋体" w:hAnsi="宋体" w:eastAsia="宋体" w:cs="宋体"/>
                <w:color w:val="auto"/>
                <w:sz w:val="21"/>
                <w:highlight w:val="none"/>
              </w:rPr>
            </w:pPr>
          </w:p>
        </w:tc>
        <w:tc>
          <w:tcPr>
            <w:tcW w:w="793" w:type="dxa"/>
            <w:vAlign w:val="top"/>
          </w:tcPr>
          <w:p w14:paraId="6E921A0D">
            <w:pPr>
              <w:rPr>
                <w:rFonts w:hint="eastAsia" w:ascii="宋体" w:hAnsi="宋体" w:eastAsia="宋体" w:cs="宋体"/>
                <w:color w:val="auto"/>
                <w:sz w:val="21"/>
                <w:highlight w:val="none"/>
              </w:rPr>
            </w:pPr>
          </w:p>
        </w:tc>
        <w:tc>
          <w:tcPr>
            <w:tcW w:w="975" w:type="dxa"/>
            <w:vAlign w:val="top"/>
          </w:tcPr>
          <w:p w14:paraId="7A9A653C">
            <w:pPr>
              <w:rPr>
                <w:rFonts w:hint="eastAsia" w:ascii="宋体" w:hAnsi="宋体" w:eastAsia="宋体" w:cs="宋体"/>
                <w:color w:val="auto"/>
                <w:sz w:val="21"/>
                <w:highlight w:val="none"/>
              </w:rPr>
            </w:pPr>
          </w:p>
        </w:tc>
        <w:tc>
          <w:tcPr>
            <w:tcW w:w="821" w:type="dxa"/>
            <w:vAlign w:val="top"/>
          </w:tcPr>
          <w:p w14:paraId="190B66E0">
            <w:pPr>
              <w:rPr>
                <w:rFonts w:hint="eastAsia" w:ascii="宋体" w:hAnsi="宋体" w:eastAsia="宋体" w:cs="宋体"/>
                <w:color w:val="auto"/>
                <w:sz w:val="21"/>
                <w:highlight w:val="none"/>
              </w:rPr>
            </w:pPr>
          </w:p>
        </w:tc>
        <w:tc>
          <w:tcPr>
            <w:tcW w:w="948" w:type="dxa"/>
            <w:vAlign w:val="top"/>
          </w:tcPr>
          <w:p w14:paraId="087295CB">
            <w:pPr>
              <w:rPr>
                <w:rFonts w:hint="eastAsia" w:ascii="宋体" w:hAnsi="宋体" w:eastAsia="宋体" w:cs="宋体"/>
                <w:color w:val="auto"/>
                <w:sz w:val="21"/>
                <w:highlight w:val="none"/>
              </w:rPr>
            </w:pPr>
          </w:p>
        </w:tc>
        <w:tc>
          <w:tcPr>
            <w:tcW w:w="1366" w:type="dxa"/>
            <w:vAlign w:val="top"/>
          </w:tcPr>
          <w:p w14:paraId="2B00046B">
            <w:pPr>
              <w:rPr>
                <w:rFonts w:hint="eastAsia" w:ascii="宋体" w:hAnsi="宋体" w:eastAsia="宋体" w:cs="宋体"/>
                <w:color w:val="auto"/>
                <w:sz w:val="21"/>
                <w:highlight w:val="none"/>
              </w:rPr>
            </w:pPr>
          </w:p>
        </w:tc>
        <w:tc>
          <w:tcPr>
            <w:tcW w:w="947" w:type="dxa"/>
            <w:vAlign w:val="top"/>
          </w:tcPr>
          <w:p w14:paraId="44BFF57A">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09BC1DB1">
            <w:pPr>
              <w:rPr>
                <w:rFonts w:hint="eastAsia" w:ascii="宋体" w:hAnsi="宋体" w:eastAsia="宋体" w:cs="宋体"/>
                <w:color w:val="auto"/>
                <w:sz w:val="21"/>
                <w:highlight w:val="none"/>
              </w:rPr>
            </w:pPr>
          </w:p>
        </w:tc>
      </w:tr>
      <w:tr w14:paraId="10911B10">
        <w:tblPrEx>
          <w:tblLayout w:type="fixed"/>
        </w:tblPrEx>
        <w:trPr>
          <w:trHeight w:val="586" w:hRule="atLeast"/>
        </w:trPr>
        <w:tc>
          <w:tcPr>
            <w:tcW w:w="1079" w:type="dxa"/>
            <w:tcBorders>
              <w:left w:val="single" w:color="000000" w:sz="12" w:space="0"/>
            </w:tcBorders>
            <w:vAlign w:val="top"/>
          </w:tcPr>
          <w:p w14:paraId="351B7609">
            <w:pPr>
              <w:rPr>
                <w:rFonts w:hint="eastAsia" w:ascii="宋体" w:hAnsi="宋体" w:eastAsia="宋体" w:cs="宋体"/>
                <w:color w:val="auto"/>
                <w:sz w:val="21"/>
                <w:highlight w:val="none"/>
              </w:rPr>
            </w:pPr>
          </w:p>
        </w:tc>
        <w:tc>
          <w:tcPr>
            <w:tcW w:w="1323" w:type="dxa"/>
            <w:vAlign w:val="top"/>
          </w:tcPr>
          <w:p w14:paraId="75A7A450">
            <w:pPr>
              <w:rPr>
                <w:rFonts w:hint="eastAsia" w:ascii="宋体" w:hAnsi="宋体" w:eastAsia="宋体" w:cs="宋体"/>
                <w:color w:val="auto"/>
                <w:sz w:val="21"/>
                <w:highlight w:val="none"/>
              </w:rPr>
            </w:pPr>
          </w:p>
        </w:tc>
        <w:tc>
          <w:tcPr>
            <w:tcW w:w="793" w:type="dxa"/>
            <w:vAlign w:val="top"/>
          </w:tcPr>
          <w:p w14:paraId="4A06384B">
            <w:pPr>
              <w:rPr>
                <w:rFonts w:hint="eastAsia" w:ascii="宋体" w:hAnsi="宋体" w:eastAsia="宋体" w:cs="宋体"/>
                <w:color w:val="auto"/>
                <w:sz w:val="21"/>
                <w:highlight w:val="none"/>
              </w:rPr>
            </w:pPr>
          </w:p>
        </w:tc>
        <w:tc>
          <w:tcPr>
            <w:tcW w:w="975" w:type="dxa"/>
            <w:vAlign w:val="top"/>
          </w:tcPr>
          <w:p w14:paraId="17AF6579">
            <w:pPr>
              <w:rPr>
                <w:rFonts w:hint="eastAsia" w:ascii="宋体" w:hAnsi="宋体" w:eastAsia="宋体" w:cs="宋体"/>
                <w:color w:val="auto"/>
                <w:sz w:val="21"/>
                <w:highlight w:val="none"/>
              </w:rPr>
            </w:pPr>
          </w:p>
        </w:tc>
        <w:tc>
          <w:tcPr>
            <w:tcW w:w="821" w:type="dxa"/>
            <w:vAlign w:val="top"/>
          </w:tcPr>
          <w:p w14:paraId="35FE0663">
            <w:pPr>
              <w:rPr>
                <w:rFonts w:hint="eastAsia" w:ascii="宋体" w:hAnsi="宋体" w:eastAsia="宋体" w:cs="宋体"/>
                <w:color w:val="auto"/>
                <w:sz w:val="21"/>
                <w:highlight w:val="none"/>
              </w:rPr>
            </w:pPr>
          </w:p>
        </w:tc>
        <w:tc>
          <w:tcPr>
            <w:tcW w:w="948" w:type="dxa"/>
            <w:vAlign w:val="top"/>
          </w:tcPr>
          <w:p w14:paraId="270B603B">
            <w:pPr>
              <w:rPr>
                <w:rFonts w:hint="eastAsia" w:ascii="宋体" w:hAnsi="宋体" w:eastAsia="宋体" w:cs="宋体"/>
                <w:color w:val="auto"/>
                <w:sz w:val="21"/>
                <w:highlight w:val="none"/>
              </w:rPr>
            </w:pPr>
          </w:p>
        </w:tc>
        <w:tc>
          <w:tcPr>
            <w:tcW w:w="1366" w:type="dxa"/>
            <w:vAlign w:val="top"/>
          </w:tcPr>
          <w:p w14:paraId="5044979D">
            <w:pPr>
              <w:rPr>
                <w:rFonts w:hint="eastAsia" w:ascii="宋体" w:hAnsi="宋体" w:eastAsia="宋体" w:cs="宋体"/>
                <w:color w:val="auto"/>
                <w:sz w:val="21"/>
                <w:highlight w:val="none"/>
              </w:rPr>
            </w:pPr>
          </w:p>
        </w:tc>
        <w:tc>
          <w:tcPr>
            <w:tcW w:w="947" w:type="dxa"/>
            <w:vAlign w:val="top"/>
          </w:tcPr>
          <w:p w14:paraId="1197E732">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5EBAAA38">
            <w:pPr>
              <w:rPr>
                <w:rFonts w:hint="eastAsia" w:ascii="宋体" w:hAnsi="宋体" w:eastAsia="宋体" w:cs="宋体"/>
                <w:color w:val="auto"/>
                <w:sz w:val="21"/>
                <w:highlight w:val="none"/>
              </w:rPr>
            </w:pPr>
          </w:p>
        </w:tc>
      </w:tr>
      <w:tr w14:paraId="47452EE4">
        <w:tblPrEx>
          <w:tblLayout w:type="fixed"/>
        </w:tblPrEx>
        <w:trPr>
          <w:trHeight w:val="586" w:hRule="atLeast"/>
        </w:trPr>
        <w:tc>
          <w:tcPr>
            <w:tcW w:w="1079" w:type="dxa"/>
            <w:tcBorders>
              <w:left w:val="single" w:color="000000" w:sz="12" w:space="0"/>
            </w:tcBorders>
            <w:vAlign w:val="top"/>
          </w:tcPr>
          <w:p w14:paraId="512FB1BE">
            <w:pPr>
              <w:rPr>
                <w:rFonts w:hint="eastAsia" w:ascii="宋体" w:hAnsi="宋体" w:eastAsia="宋体" w:cs="宋体"/>
                <w:color w:val="auto"/>
                <w:sz w:val="21"/>
                <w:highlight w:val="none"/>
              </w:rPr>
            </w:pPr>
          </w:p>
        </w:tc>
        <w:tc>
          <w:tcPr>
            <w:tcW w:w="1323" w:type="dxa"/>
            <w:vAlign w:val="top"/>
          </w:tcPr>
          <w:p w14:paraId="6DD241C0">
            <w:pPr>
              <w:rPr>
                <w:rFonts w:hint="eastAsia" w:ascii="宋体" w:hAnsi="宋体" w:eastAsia="宋体" w:cs="宋体"/>
                <w:color w:val="auto"/>
                <w:sz w:val="21"/>
                <w:highlight w:val="none"/>
              </w:rPr>
            </w:pPr>
          </w:p>
        </w:tc>
        <w:tc>
          <w:tcPr>
            <w:tcW w:w="793" w:type="dxa"/>
            <w:vAlign w:val="top"/>
          </w:tcPr>
          <w:p w14:paraId="3FC92079">
            <w:pPr>
              <w:rPr>
                <w:rFonts w:hint="eastAsia" w:ascii="宋体" w:hAnsi="宋体" w:eastAsia="宋体" w:cs="宋体"/>
                <w:color w:val="auto"/>
                <w:sz w:val="21"/>
                <w:highlight w:val="none"/>
              </w:rPr>
            </w:pPr>
          </w:p>
        </w:tc>
        <w:tc>
          <w:tcPr>
            <w:tcW w:w="975" w:type="dxa"/>
            <w:vAlign w:val="top"/>
          </w:tcPr>
          <w:p w14:paraId="7FA32171">
            <w:pPr>
              <w:rPr>
                <w:rFonts w:hint="eastAsia" w:ascii="宋体" w:hAnsi="宋体" w:eastAsia="宋体" w:cs="宋体"/>
                <w:color w:val="auto"/>
                <w:sz w:val="21"/>
                <w:highlight w:val="none"/>
              </w:rPr>
            </w:pPr>
          </w:p>
        </w:tc>
        <w:tc>
          <w:tcPr>
            <w:tcW w:w="821" w:type="dxa"/>
            <w:vAlign w:val="top"/>
          </w:tcPr>
          <w:p w14:paraId="13DC6B5E">
            <w:pPr>
              <w:rPr>
                <w:rFonts w:hint="eastAsia" w:ascii="宋体" w:hAnsi="宋体" w:eastAsia="宋体" w:cs="宋体"/>
                <w:color w:val="auto"/>
                <w:sz w:val="21"/>
                <w:highlight w:val="none"/>
              </w:rPr>
            </w:pPr>
          </w:p>
        </w:tc>
        <w:tc>
          <w:tcPr>
            <w:tcW w:w="948" w:type="dxa"/>
            <w:vAlign w:val="top"/>
          </w:tcPr>
          <w:p w14:paraId="02D3A1A4">
            <w:pPr>
              <w:rPr>
                <w:rFonts w:hint="eastAsia" w:ascii="宋体" w:hAnsi="宋体" w:eastAsia="宋体" w:cs="宋体"/>
                <w:color w:val="auto"/>
                <w:sz w:val="21"/>
                <w:highlight w:val="none"/>
              </w:rPr>
            </w:pPr>
          </w:p>
        </w:tc>
        <w:tc>
          <w:tcPr>
            <w:tcW w:w="1366" w:type="dxa"/>
            <w:vAlign w:val="top"/>
          </w:tcPr>
          <w:p w14:paraId="645FB242">
            <w:pPr>
              <w:rPr>
                <w:rFonts w:hint="eastAsia" w:ascii="宋体" w:hAnsi="宋体" w:eastAsia="宋体" w:cs="宋体"/>
                <w:color w:val="auto"/>
                <w:sz w:val="21"/>
                <w:highlight w:val="none"/>
              </w:rPr>
            </w:pPr>
          </w:p>
        </w:tc>
        <w:tc>
          <w:tcPr>
            <w:tcW w:w="947" w:type="dxa"/>
            <w:vAlign w:val="top"/>
          </w:tcPr>
          <w:p w14:paraId="4C894040">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4CEFECFA">
            <w:pPr>
              <w:rPr>
                <w:rFonts w:hint="eastAsia" w:ascii="宋体" w:hAnsi="宋体" w:eastAsia="宋体" w:cs="宋体"/>
                <w:color w:val="auto"/>
                <w:sz w:val="21"/>
                <w:highlight w:val="none"/>
              </w:rPr>
            </w:pPr>
          </w:p>
        </w:tc>
      </w:tr>
      <w:tr w14:paraId="05D0CE01">
        <w:tblPrEx>
          <w:tblLayout w:type="fixed"/>
        </w:tblPrEx>
        <w:trPr>
          <w:trHeight w:val="586" w:hRule="atLeast"/>
        </w:trPr>
        <w:tc>
          <w:tcPr>
            <w:tcW w:w="1079" w:type="dxa"/>
            <w:tcBorders>
              <w:left w:val="single" w:color="000000" w:sz="12" w:space="0"/>
            </w:tcBorders>
            <w:vAlign w:val="top"/>
          </w:tcPr>
          <w:p w14:paraId="53313AB2">
            <w:pPr>
              <w:rPr>
                <w:rFonts w:hint="eastAsia" w:ascii="宋体" w:hAnsi="宋体" w:eastAsia="宋体" w:cs="宋体"/>
                <w:color w:val="auto"/>
                <w:sz w:val="21"/>
                <w:highlight w:val="none"/>
              </w:rPr>
            </w:pPr>
          </w:p>
        </w:tc>
        <w:tc>
          <w:tcPr>
            <w:tcW w:w="1323" w:type="dxa"/>
            <w:vAlign w:val="top"/>
          </w:tcPr>
          <w:p w14:paraId="1FB57478">
            <w:pPr>
              <w:rPr>
                <w:rFonts w:hint="eastAsia" w:ascii="宋体" w:hAnsi="宋体" w:eastAsia="宋体" w:cs="宋体"/>
                <w:color w:val="auto"/>
                <w:sz w:val="21"/>
                <w:highlight w:val="none"/>
              </w:rPr>
            </w:pPr>
          </w:p>
        </w:tc>
        <w:tc>
          <w:tcPr>
            <w:tcW w:w="793" w:type="dxa"/>
            <w:vAlign w:val="top"/>
          </w:tcPr>
          <w:p w14:paraId="6081D4B4">
            <w:pPr>
              <w:rPr>
                <w:rFonts w:hint="eastAsia" w:ascii="宋体" w:hAnsi="宋体" w:eastAsia="宋体" w:cs="宋体"/>
                <w:color w:val="auto"/>
                <w:sz w:val="21"/>
                <w:highlight w:val="none"/>
              </w:rPr>
            </w:pPr>
          </w:p>
        </w:tc>
        <w:tc>
          <w:tcPr>
            <w:tcW w:w="975" w:type="dxa"/>
            <w:vAlign w:val="top"/>
          </w:tcPr>
          <w:p w14:paraId="58B03B32">
            <w:pPr>
              <w:rPr>
                <w:rFonts w:hint="eastAsia" w:ascii="宋体" w:hAnsi="宋体" w:eastAsia="宋体" w:cs="宋体"/>
                <w:color w:val="auto"/>
                <w:sz w:val="21"/>
                <w:highlight w:val="none"/>
              </w:rPr>
            </w:pPr>
          </w:p>
        </w:tc>
        <w:tc>
          <w:tcPr>
            <w:tcW w:w="821" w:type="dxa"/>
            <w:vAlign w:val="top"/>
          </w:tcPr>
          <w:p w14:paraId="1EEA986B">
            <w:pPr>
              <w:rPr>
                <w:rFonts w:hint="eastAsia" w:ascii="宋体" w:hAnsi="宋体" w:eastAsia="宋体" w:cs="宋体"/>
                <w:color w:val="auto"/>
                <w:sz w:val="21"/>
                <w:highlight w:val="none"/>
              </w:rPr>
            </w:pPr>
          </w:p>
        </w:tc>
        <w:tc>
          <w:tcPr>
            <w:tcW w:w="948" w:type="dxa"/>
            <w:vAlign w:val="top"/>
          </w:tcPr>
          <w:p w14:paraId="61B70554">
            <w:pPr>
              <w:rPr>
                <w:rFonts w:hint="eastAsia" w:ascii="宋体" w:hAnsi="宋体" w:eastAsia="宋体" w:cs="宋体"/>
                <w:color w:val="auto"/>
                <w:sz w:val="21"/>
                <w:highlight w:val="none"/>
              </w:rPr>
            </w:pPr>
          </w:p>
        </w:tc>
        <w:tc>
          <w:tcPr>
            <w:tcW w:w="1366" w:type="dxa"/>
            <w:vAlign w:val="top"/>
          </w:tcPr>
          <w:p w14:paraId="1D7C607E">
            <w:pPr>
              <w:rPr>
                <w:rFonts w:hint="eastAsia" w:ascii="宋体" w:hAnsi="宋体" w:eastAsia="宋体" w:cs="宋体"/>
                <w:color w:val="auto"/>
                <w:sz w:val="21"/>
                <w:highlight w:val="none"/>
              </w:rPr>
            </w:pPr>
          </w:p>
        </w:tc>
        <w:tc>
          <w:tcPr>
            <w:tcW w:w="947" w:type="dxa"/>
            <w:vAlign w:val="top"/>
          </w:tcPr>
          <w:p w14:paraId="542CE1D7">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70E694D8">
            <w:pPr>
              <w:rPr>
                <w:rFonts w:hint="eastAsia" w:ascii="宋体" w:hAnsi="宋体" w:eastAsia="宋体" w:cs="宋体"/>
                <w:color w:val="auto"/>
                <w:sz w:val="21"/>
                <w:highlight w:val="none"/>
              </w:rPr>
            </w:pPr>
          </w:p>
        </w:tc>
      </w:tr>
      <w:tr w14:paraId="4B39003D">
        <w:tblPrEx>
          <w:tblLayout w:type="fixed"/>
        </w:tblPrEx>
        <w:trPr>
          <w:trHeight w:val="586" w:hRule="atLeast"/>
        </w:trPr>
        <w:tc>
          <w:tcPr>
            <w:tcW w:w="1079" w:type="dxa"/>
            <w:tcBorders>
              <w:left w:val="single" w:color="000000" w:sz="12" w:space="0"/>
            </w:tcBorders>
            <w:vAlign w:val="top"/>
          </w:tcPr>
          <w:p w14:paraId="4E82BF34">
            <w:pPr>
              <w:rPr>
                <w:rFonts w:hint="eastAsia" w:ascii="宋体" w:hAnsi="宋体" w:eastAsia="宋体" w:cs="宋体"/>
                <w:color w:val="auto"/>
                <w:sz w:val="21"/>
                <w:highlight w:val="none"/>
              </w:rPr>
            </w:pPr>
          </w:p>
        </w:tc>
        <w:tc>
          <w:tcPr>
            <w:tcW w:w="1323" w:type="dxa"/>
            <w:vAlign w:val="top"/>
          </w:tcPr>
          <w:p w14:paraId="08A8FFC6">
            <w:pPr>
              <w:rPr>
                <w:rFonts w:hint="eastAsia" w:ascii="宋体" w:hAnsi="宋体" w:eastAsia="宋体" w:cs="宋体"/>
                <w:color w:val="auto"/>
                <w:sz w:val="21"/>
                <w:highlight w:val="none"/>
              </w:rPr>
            </w:pPr>
          </w:p>
        </w:tc>
        <w:tc>
          <w:tcPr>
            <w:tcW w:w="793" w:type="dxa"/>
            <w:vAlign w:val="top"/>
          </w:tcPr>
          <w:p w14:paraId="197DC8D6">
            <w:pPr>
              <w:rPr>
                <w:rFonts w:hint="eastAsia" w:ascii="宋体" w:hAnsi="宋体" w:eastAsia="宋体" w:cs="宋体"/>
                <w:color w:val="auto"/>
                <w:sz w:val="21"/>
                <w:highlight w:val="none"/>
              </w:rPr>
            </w:pPr>
          </w:p>
        </w:tc>
        <w:tc>
          <w:tcPr>
            <w:tcW w:w="975" w:type="dxa"/>
            <w:vAlign w:val="top"/>
          </w:tcPr>
          <w:p w14:paraId="233120AF">
            <w:pPr>
              <w:rPr>
                <w:rFonts w:hint="eastAsia" w:ascii="宋体" w:hAnsi="宋体" w:eastAsia="宋体" w:cs="宋体"/>
                <w:color w:val="auto"/>
                <w:sz w:val="21"/>
                <w:highlight w:val="none"/>
              </w:rPr>
            </w:pPr>
          </w:p>
        </w:tc>
        <w:tc>
          <w:tcPr>
            <w:tcW w:w="821" w:type="dxa"/>
            <w:vAlign w:val="top"/>
          </w:tcPr>
          <w:p w14:paraId="18CBAB26">
            <w:pPr>
              <w:rPr>
                <w:rFonts w:hint="eastAsia" w:ascii="宋体" w:hAnsi="宋体" w:eastAsia="宋体" w:cs="宋体"/>
                <w:color w:val="auto"/>
                <w:sz w:val="21"/>
                <w:highlight w:val="none"/>
              </w:rPr>
            </w:pPr>
          </w:p>
        </w:tc>
        <w:tc>
          <w:tcPr>
            <w:tcW w:w="948" w:type="dxa"/>
            <w:vAlign w:val="top"/>
          </w:tcPr>
          <w:p w14:paraId="188731D7">
            <w:pPr>
              <w:rPr>
                <w:rFonts w:hint="eastAsia" w:ascii="宋体" w:hAnsi="宋体" w:eastAsia="宋体" w:cs="宋体"/>
                <w:color w:val="auto"/>
                <w:sz w:val="21"/>
                <w:highlight w:val="none"/>
              </w:rPr>
            </w:pPr>
          </w:p>
        </w:tc>
        <w:tc>
          <w:tcPr>
            <w:tcW w:w="1366" w:type="dxa"/>
            <w:vAlign w:val="top"/>
          </w:tcPr>
          <w:p w14:paraId="4DB935EE">
            <w:pPr>
              <w:rPr>
                <w:rFonts w:hint="eastAsia" w:ascii="宋体" w:hAnsi="宋体" w:eastAsia="宋体" w:cs="宋体"/>
                <w:color w:val="auto"/>
                <w:sz w:val="21"/>
                <w:highlight w:val="none"/>
              </w:rPr>
            </w:pPr>
          </w:p>
        </w:tc>
        <w:tc>
          <w:tcPr>
            <w:tcW w:w="947" w:type="dxa"/>
            <w:vAlign w:val="top"/>
          </w:tcPr>
          <w:p w14:paraId="45F21F78">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40E2FDFA">
            <w:pPr>
              <w:rPr>
                <w:rFonts w:hint="eastAsia" w:ascii="宋体" w:hAnsi="宋体" w:eastAsia="宋体" w:cs="宋体"/>
                <w:color w:val="auto"/>
                <w:sz w:val="21"/>
                <w:highlight w:val="none"/>
              </w:rPr>
            </w:pPr>
          </w:p>
        </w:tc>
      </w:tr>
      <w:tr w14:paraId="0B75ECB2">
        <w:tblPrEx>
          <w:tblLayout w:type="fixed"/>
        </w:tblPrEx>
        <w:trPr>
          <w:trHeight w:val="571" w:hRule="atLeast"/>
        </w:trPr>
        <w:tc>
          <w:tcPr>
            <w:tcW w:w="1079" w:type="dxa"/>
            <w:tcBorders>
              <w:left w:val="single" w:color="000000" w:sz="12" w:space="0"/>
            </w:tcBorders>
            <w:vAlign w:val="top"/>
          </w:tcPr>
          <w:p w14:paraId="49B9042D">
            <w:pPr>
              <w:rPr>
                <w:rFonts w:hint="eastAsia" w:ascii="宋体" w:hAnsi="宋体" w:eastAsia="宋体" w:cs="宋体"/>
                <w:color w:val="auto"/>
                <w:sz w:val="21"/>
                <w:highlight w:val="none"/>
              </w:rPr>
            </w:pPr>
          </w:p>
        </w:tc>
        <w:tc>
          <w:tcPr>
            <w:tcW w:w="1323" w:type="dxa"/>
            <w:vAlign w:val="top"/>
          </w:tcPr>
          <w:p w14:paraId="5A7CE219">
            <w:pPr>
              <w:rPr>
                <w:rFonts w:hint="eastAsia" w:ascii="宋体" w:hAnsi="宋体" w:eastAsia="宋体" w:cs="宋体"/>
                <w:color w:val="auto"/>
                <w:sz w:val="21"/>
                <w:highlight w:val="none"/>
              </w:rPr>
            </w:pPr>
          </w:p>
        </w:tc>
        <w:tc>
          <w:tcPr>
            <w:tcW w:w="793" w:type="dxa"/>
            <w:vAlign w:val="top"/>
          </w:tcPr>
          <w:p w14:paraId="3F3544E9">
            <w:pPr>
              <w:rPr>
                <w:rFonts w:hint="eastAsia" w:ascii="宋体" w:hAnsi="宋体" w:eastAsia="宋体" w:cs="宋体"/>
                <w:color w:val="auto"/>
                <w:sz w:val="21"/>
                <w:highlight w:val="none"/>
              </w:rPr>
            </w:pPr>
          </w:p>
        </w:tc>
        <w:tc>
          <w:tcPr>
            <w:tcW w:w="975" w:type="dxa"/>
            <w:vAlign w:val="top"/>
          </w:tcPr>
          <w:p w14:paraId="74BACD45">
            <w:pPr>
              <w:rPr>
                <w:rFonts w:hint="eastAsia" w:ascii="宋体" w:hAnsi="宋体" w:eastAsia="宋体" w:cs="宋体"/>
                <w:color w:val="auto"/>
                <w:sz w:val="21"/>
                <w:highlight w:val="none"/>
              </w:rPr>
            </w:pPr>
          </w:p>
        </w:tc>
        <w:tc>
          <w:tcPr>
            <w:tcW w:w="821" w:type="dxa"/>
            <w:vAlign w:val="top"/>
          </w:tcPr>
          <w:p w14:paraId="537953F7">
            <w:pPr>
              <w:rPr>
                <w:rFonts w:hint="eastAsia" w:ascii="宋体" w:hAnsi="宋体" w:eastAsia="宋体" w:cs="宋体"/>
                <w:color w:val="auto"/>
                <w:sz w:val="21"/>
                <w:highlight w:val="none"/>
              </w:rPr>
            </w:pPr>
          </w:p>
        </w:tc>
        <w:tc>
          <w:tcPr>
            <w:tcW w:w="948" w:type="dxa"/>
            <w:vAlign w:val="top"/>
          </w:tcPr>
          <w:p w14:paraId="41EBCEA0">
            <w:pPr>
              <w:rPr>
                <w:rFonts w:hint="eastAsia" w:ascii="宋体" w:hAnsi="宋体" w:eastAsia="宋体" w:cs="宋体"/>
                <w:color w:val="auto"/>
                <w:sz w:val="21"/>
                <w:highlight w:val="none"/>
              </w:rPr>
            </w:pPr>
          </w:p>
        </w:tc>
        <w:tc>
          <w:tcPr>
            <w:tcW w:w="1366" w:type="dxa"/>
            <w:vAlign w:val="top"/>
          </w:tcPr>
          <w:p w14:paraId="4F479FA0">
            <w:pPr>
              <w:rPr>
                <w:rFonts w:hint="eastAsia" w:ascii="宋体" w:hAnsi="宋体" w:eastAsia="宋体" w:cs="宋体"/>
                <w:color w:val="auto"/>
                <w:sz w:val="21"/>
                <w:highlight w:val="none"/>
              </w:rPr>
            </w:pPr>
          </w:p>
        </w:tc>
        <w:tc>
          <w:tcPr>
            <w:tcW w:w="947" w:type="dxa"/>
            <w:vAlign w:val="top"/>
          </w:tcPr>
          <w:p w14:paraId="021493EE">
            <w:pPr>
              <w:rPr>
                <w:rFonts w:hint="eastAsia" w:ascii="宋体" w:hAnsi="宋体" w:eastAsia="宋体" w:cs="宋体"/>
                <w:color w:val="auto"/>
                <w:sz w:val="21"/>
                <w:highlight w:val="none"/>
              </w:rPr>
            </w:pPr>
          </w:p>
        </w:tc>
        <w:tc>
          <w:tcPr>
            <w:tcW w:w="884" w:type="dxa"/>
            <w:tcBorders>
              <w:right w:val="single" w:color="000000" w:sz="12" w:space="0"/>
            </w:tcBorders>
            <w:vAlign w:val="top"/>
          </w:tcPr>
          <w:p w14:paraId="105511F1">
            <w:pPr>
              <w:rPr>
                <w:rFonts w:hint="eastAsia" w:ascii="宋体" w:hAnsi="宋体" w:eastAsia="宋体" w:cs="宋体"/>
                <w:color w:val="auto"/>
                <w:sz w:val="21"/>
                <w:highlight w:val="none"/>
              </w:rPr>
            </w:pPr>
          </w:p>
        </w:tc>
      </w:tr>
      <w:tr w14:paraId="1066C115">
        <w:tblPrEx>
          <w:tblLayout w:type="fixed"/>
        </w:tblPrEx>
        <w:trPr>
          <w:trHeight w:val="639" w:hRule="atLeast"/>
        </w:trPr>
        <w:tc>
          <w:tcPr>
            <w:tcW w:w="1079" w:type="dxa"/>
            <w:tcBorders>
              <w:left w:val="single" w:color="000000" w:sz="12" w:space="0"/>
              <w:bottom w:val="single" w:color="000000" w:sz="12" w:space="0"/>
            </w:tcBorders>
            <w:vAlign w:val="top"/>
          </w:tcPr>
          <w:p w14:paraId="10C695D4">
            <w:pPr>
              <w:rPr>
                <w:rFonts w:hint="eastAsia" w:ascii="宋体" w:hAnsi="宋体" w:eastAsia="宋体" w:cs="宋体"/>
                <w:color w:val="auto"/>
                <w:sz w:val="21"/>
                <w:highlight w:val="none"/>
              </w:rPr>
            </w:pPr>
          </w:p>
        </w:tc>
        <w:tc>
          <w:tcPr>
            <w:tcW w:w="1323" w:type="dxa"/>
            <w:tcBorders>
              <w:bottom w:val="single" w:color="000000" w:sz="12" w:space="0"/>
            </w:tcBorders>
            <w:vAlign w:val="top"/>
          </w:tcPr>
          <w:p w14:paraId="77D45648">
            <w:pPr>
              <w:rPr>
                <w:rFonts w:hint="eastAsia" w:ascii="宋体" w:hAnsi="宋体" w:eastAsia="宋体" w:cs="宋体"/>
                <w:color w:val="auto"/>
                <w:sz w:val="21"/>
                <w:highlight w:val="none"/>
              </w:rPr>
            </w:pPr>
          </w:p>
        </w:tc>
        <w:tc>
          <w:tcPr>
            <w:tcW w:w="793" w:type="dxa"/>
            <w:tcBorders>
              <w:bottom w:val="single" w:color="000000" w:sz="12" w:space="0"/>
            </w:tcBorders>
            <w:vAlign w:val="top"/>
          </w:tcPr>
          <w:p w14:paraId="7EED5328">
            <w:pPr>
              <w:rPr>
                <w:rFonts w:hint="eastAsia" w:ascii="宋体" w:hAnsi="宋体" w:eastAsia="宋体" w:cs="宋体"/>
                <w:color w:val="auto"/>
                <w:sz w:val="21"/>
                <w:highlight w:val="none"/>
              </w:rPr>
            </w:pPr>
          </w:p>
        </w:tc>
        <w:tc>
          <w:tcPr>
            <w:tcW w:w="975" w:type="dxa"/>
            <w:tcBorders>
              <w:bottom w:val="single" w:color="000000" w:sz="12" w:space="0"/>
            </w:tcBorders>
            <w:vAlign w:val="top"/>
          </w:tcPr>
          <w:p w14:paraId="7E4C83FC">
            <w:pPr>
              <w:rPr>
                <w:rFonts w:hint="eastAsia" w:ascii="宋体" w:hAnsi="宋体" w:eastAsia="宋体" w:cs="宋体"/>
                <w:color w:val="auto"/>
                <w:sz w:val="21"/>
                <w:highlight w:val="none"/>
              </w:rPr>
            </w:pPr>
          </w:p>
        </w:tc>
        <w:tc>
          <w:tcPr>
            <w:tcW w:w="821" w:type="dxa"/>
            <w:tcBorders>
              <w:bottom w:val="single" w:color="000000" w:sz="12" w:space="0"/>
            </w:tcBorders>
            <w:vAlign w:val="top"/>
          </w:tcPr>
          <w:p w14:paraId="102B0E64">
            <w:pPr>
              <w:rPr>
                <w:rFonts w:hint="eastAsia" w:ascii="宋体" w:hAnsi="宋体" w:eastAsia="宋体" w:cs="宋体"/>
                <w:color w:val="auto"/>
                <w:sz w:val="21"/>
                <w:highlight w:val="none"/>
              </w:rPr>
            </w:pPr>
          </w:p>
        </w:tc>
        <w:tc>
          <w:tcPr>
            <w:tcW w:w="948" w:type="dxa"/>
            <w:tcBorders>
              <w:bottom w:val="single" w:color="000000" w:sz="12" w:space="0"/>
            </w:tcBorders>
            <w:vAlign w:val="top"/>
          </w:tcPr>
          <w:p w14:paraId="4E87F452">
            <w:pPr>
              <w:rPr>
                <w:rFonts w:hint="eastAsia" w:ascii="宋体" w:hAnsi="宋体" w:eastAsia="宋体" w:cs="宋体"/>
                <w:color w:val="auto"/>
                <w:sz w:val="21"/>
                <w:highlight w:val="none"/>
              </w:rPr>
            </w:pPr>
          </w:p>
        </w:tc>
        <w:tc>
          <w:tcPr>
            <w:tcW w:w="1366" w:type="dxa"/>
            <w:tcBorders>
              <w:bottom w:val="single" w:color="000000" w:sz="12" w:space="0"/>
            </w:tcBorders>
            <w:vAlign w:val="top"/>
          </w:tcPr>
          <w:p w14:paraId="4CF791B6">
            <w:pPr>
              <w:rPr>
                <w:rFonts w:hint="eastAsia" w:ascii="宋体" w:hAnsi="宋体" w:eastAsia="宋体" w:cs="宋体"/>
                <w:color w:val="auto"/>
                <w:sz w:val="21"/>
                <w:highlight w:val="none"/>
              </w:rPr>
            </w:pPr>
          </w:p>
        </w:tc>
        <w:tc>
          <w:tcPr>
            <w:tcW w:w="947" w:type="dxa"/>
            <w:tcBorders>
              <w:bottom w:val="single" w:color="000000" w:sz="12" w:space="0"/>
            </w:tcBorders>
            <w:vAlign w:val="top"/>
          </w:tcPr>
          <w:p w14:paraId="032FFDC6">
            <w:pPr>
              <w:rPr>
                <w:rFonts w:hint="eastAsia" w:ascii="宋体" w:hAnsi="宋体" w:eastAsia="宋体" w:cs="宋体"/>
                <w:color w:val="auto"/>
                <w:sz w:val="21"/>
                <w:highlight w:val="none"/>
              </w:rPr>
            </w:pPr>
          </w:p>
        </w:tc>
        <w:tc>
          <w:tcPr>
            <w:tcW w:w="884" w:type="dxa"/>
            <w:tcBorders>
              <w:bottom w:val="single" w:color="000000" w:sz="12" w:space="0"/>
              <w:right w:val="single" w:color="000000" w:sz="12" w:space="0"/>
            </w:tcBorders>
            <w:vAlign w:val="top"/>
          </w:tcPr>
          <w:p w14:paraId="65521BBA">
            <w:pPr>
              <w:rPr>
                <w:rFonts w:hint="eastAsia" w:ascii="宋体" w:hAnsi="宋体" w:eastAsia="宋体" w:cs="宋体"/>
                <w:color w:val="auto"/>
                <w:sz w:val="21"/>
                <w:highlight w:val="none"/>
              </w:rPr>
            </w:pPr>
          </w:p>
        </w:tc>
      </w:tr>
    </w:tbl>
    <w:p w14:paraId="6E439F50">
      <w:pPr>
        <w:pStyle w:val="8"/>
        <w:rPr>
          <w:rFonts w:hint="eastAsia" w:ascii="宋体" w:hAnsi="宋体" w:eastAsia="宋体" w:cs="宋体"/>
          <w:color w:val="auto"/>
          <w:highlight w:val="none"/>
        </w:rPr>
      </w:pPr>
    </w:p>
    <w:p w14:paraId="5E3E8EAB">
      <w:pPr>
        <w:rPr>
          <w:rFonts w:hint="eastAsia" w:ascii="宋体" w:hAnsi="宋体" w:eastAsia="宋体" w:cs="宋体"/>
          <w:color w:val="auto"/>
          <w:highlight w:val="none"/>
        </w:rPr>
        <w:sectPr>
          <w:footerReference r:id="rId8" w:type="default"/>
          <w:pgSz w:w="11910" w:h="16845"/>
          <w:pgMar w:top="1440" w:right="1800" w:bottom="1440" w:left="1800" w:header="0" w:footer="810" w:gutter="0"/>
          <w:pgNumType w:fmt="decimal"/>
          <w:cols w:space="720" w:num="1"/>
        </w:sectPr>
      </w:pPr>
    </w:p>
    <w:p w14:paraId="3C440390">
      <w:pPr>
        <w:spacing w:before="78"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附件</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1"/>
          <w:sz w:val="24"/>
          <w:szCs w:val="24"/>
          <w:highlight w:val="none"/>
        </w:rPr>
        <w:t>5：</w:t>
      </w:r>
    </w:p>
    <w:p w14:paraId="509E9EFD">
      <w:pPr>
        <w:spacing w:before="325" w:line="223" w:lineRule="auto"/>
        <w:ind w:left="2940"/>
        <w:rPr>
          <w:rFonts w:hint="eastAsia" w:ascii="宋体" w:hAnsi="宋体" w:eastAsia="宋体" w:cs="宋体"/>
          <w:color w:val="auto"/>
          <w:sz w:val="31"/>
          <w:szCs w:val="31"/>
          <w:highlight w:val="none"/>
        </w:rPr>
      </w:pPr>
      <w:r>
        <w:rPr>
          <w:rFonts w:hint="eastAsia" w:ascii="宋体" w:hAnsi="宋体" w:eastAsia="宋体" w:cs="宋体"/>
          <w:b/>
          <w:bCs/>
          <w:color w:val="auto"/>
          <w:spacing w:val="14"/>
          <w:sz w:val="31"/>
          <w:szCs w:val="31"/>
          <w:highlight w:val="none"/>
        </w:rPr>
        <w:t>承包人主要施工管理人员表</w:t>
      </w:r>
    </w:p>
    <w:p w14:paraId="6ADA141D">
      <w:pPr>
        <w:spacing w:before="75"/>
        <w:rPr>
          <w:rFonts w:hint="eastAsia" w:ascii="宋体" w:hAnsi="宋体" w:eastAsia="宋体" w:cs="宋体"/>
          <w:color w:val="auto"/>
          <w:highlight w:val="none"/>
        </w:rPr>
      </w:pPr>
    </w:p>
    <w:tbl>
      <w:tblPr>
        <w:tblStyle w:val="50"/>
        <w:tblW w:w="8977"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5"/>
        <w:gridCol w:w="1290"/>
        <w:gridCol w:w="1043"/>
        <w:gridCol w:w="1029"/>
        <w:gridCol w:w="3920"/>
      </w:tblGrid>
      <w:tr w14:paraId="6EB51030">
        <w:tblPrEx>
          <w:tblLayout w:type="fixed"/>
        </w:tblPrEx>
        <w:trPr>
          <w:trHeight w:val="473" w:hRule="atLeast"/>
        </w:trPr>
        <w:tc>
          <w:tcPr>
            <w:tcW w:w="1695" w:type="dxa"/>
            <w:tcBorders>
              <w:top w:val="single" w:color="000000" w:sz="12" w:space="0"/>
              <w:left w:val="single" w:color="000000" w:sz="12" w:space="0"/>
            </w:tcBorders>
            <w:vAlign w:val="top"/>
          </w:tcPr>
          <w:p w14:paraId="00AE0AE1">
            <w:pPr>
              <w:pStyle w:val="52"/>
              <w:spacing w:before="33" w:line="222" w:lineRule="auto"/>
              <w:ind w:left="402"/>
              <w:rPr>
                <w:rFonts w:hint="eastAsia" w:ascii="宋体" w:hAnsi="宋体" w:eastAsia="宋体" w:cs="宋体"/>
                <w:color w:val="auto"/>
                <w:highlight w:val="none"/>
              </w:rPr>
            </w:pPr>
            <w:r>
              <w:rPr>
                <w:rFonts w:hint="eastAsia" w:ascii="宋体" w:hAnsi="宋体" w:eastAsia="宋体" w:cs="宋体"/>
                <w:color w:val="auto"/>
                <w:spacing w:val="-7"/>
                <w:highlight w:val="none"/>
              </w:rPr>
              <w:t>名</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7"/>
                <w:highlight w:val="none"/>
              </w:rPr>
              <w:t>称</w:t>
            </w:r>
          </w:p>
        </w:tc>
        <w:tc>
          <w:tcPr>
            <w:tcW w:w="1290" w:type="dxa"/>
            <w:tcBorders>
              <w:top w:val="single" w:color="000000" w:sz="12" w:space="0"/>
            </w:tcBorders>
            <w:vAlign w:val="top"/>
          </w:tcPr>
          <w:p w14:paraId="5926865D">
            <w:pPr>
              <w:pStyle w:val="52"/>
              <w:spacing w:before="33" w:line="220" w:lineRule="auto"/>
              <w:ind w:left="435"/>
              <w:rPr>
                <w:rFonts w:hint="eastAsia" w:ascii="宋体" w:hAnsi="宋体" w:eastAsia="宋体" w:cs="宋体"/>
                <w:color w:val="auto"/>
                <w:highlight w:val="none"/>
              </w:rPr>
            </w:pPr>
            <w:r>
              <w:rPr>
                <w:rFonts w:hint="eastAsia" w:ascii="宋体" w:hAnsi="宋体" w:eastAsia="宋体" w:cs="宋体"/>
                <w:color w:val="auto"/>
                <w:spacing w:val="-3"/>
                <w:highlight w:val="none"/>
              </w:rPr>
              <w:t>姓名</w:t>
            </w:r>
          </w:p>
        </w:tc>
        <w:tc>
          <w:tcPr>
            <w:tcW w:w="1043" w:type="dxa"/>
            <w:tcBorders>
              <w:top w:val="single" w:color="000000" w:sz="12" w:space="0"/>
            </w:tcBorders>
            <w:vAlign w:val="top"/>
          </w:tcPr>
          <w:p w14:paraId="1969B405">
            <w:pPr>
              <w:pStyle w:val="52"/>
              <w:spacing w:before="33" w:line="220" w:lineRule="auto"/>
              <w:ind w:left="306"/>
              <w:rPr>
                <w:rFonts w:hint="eastAsia" w:ascii="宋体" w:hAnsi="宋体" w:eastAsia="宋体" w:cs="宋体"/>
                <w:color w:val="auto"/>
                <w:highlight w:val="none"/>
              </w:rPr>
            </w:pPr>
            <w:r>
              <w:rPr>
                <w:rFonts w:hint="eastAsia" w:ascii="宋体" w:hAnsi="宋体" w:eastAsia="宋体" w:cs="宋体"/>
                <w:color w:val="auto"/>
                <w:spacing w:val="-3"/>
                <w:highlight w:val="none"/>
              </w:rPr>
              <w:t>职务</w:t>
            </w:r>
          </w:p>
        </w:tc>
        <w:tc>
          <w:tcPr>
            <w:tcW w:w="1029" w:type="dxa"/>
            <w:tcBorders>
              <w:top w:val="single" w:color="000000" w:sz="12" w:space="0"/>
            </w:tcBorders>
            <w:vAlign w:val="top"/>
          </w:tcPr>
          <w:p w14:paraId="5460726B">
            <w:pPr>
              <w:pStyle w:val="52"/>
              <w:spacing w:before="33" w:line="222" w:lineRule="auto"/>
              <w:ind w:left="309"/>
              <w:rPr>
                <w:rFonts w:hint="eastAsia" w:ascii="宋体" w:hAnsi="宋体" w:eastAsia="宋体" w:cs="宋体"/>
                <w:color w:val="auto"/>
                <w:highlight w:val="none"/>
              </w:rPr>
            </w:pPr>
            <w:r>
              <w:rPr>
                <w:rFonts w:hint="eastAsia" w:ascii="宋体" w:hAnsi="宋体" w:eastAsia="宋体" w:cs="宋体"/>
                <w:color w:val="auto"/>
                <w:spacing w:val="-3"/>
                <w:highlight w:val="none"/>
              </w:rPr>
              <w:t>职称</w:t>
            </w:r>
          </w:p>
        </w:tc>
        <w:tc>
          <w:tcPr>
            <w:tcW w:w="3920" w:type="dxa"/>
            <w:tcBorders>
              <w:top w:val="single" w:color="000000" w:sz="12" w:space="0"/>
              <w:right w:val="single" w:color="000000" w:sz="12" w:space="0"/>
            </w:tcBorders>
            <w:vAlign w:val="top"/>
          </w:tcPr>
          <w:p w14:paraId="4D950B84">
            <w:pPr>
              <w:pStyle w:val="52"/>
              <w:spacing w:before="33" w:line="220" w:lineRule="auto"/>
              <w:ind w:left="434"/>
              <w:rPr>
                <w:rFonts w:hint="eastAsia" w:ascii="宋体" w:hAnsi="宋体" w:eastAsia="宋体" w:cs="宋体"/>
                <w:color w:val="auto"/>
                <w:highlight w:val="none"/>
              </w:rPr>
            </w:pPr>
            <w:r>
              <w:rPr>
                <w:rFonts w:hint="eastAsia" w:ascii="宋体" w:hAnsi="宋体" w:eastAsia="宋体" w:cs="宋体"/>
                <w:color w:val="auto"/>
                <w:spacing w:val="-1"/>
                <w:highlight w:val="none"/>
              </w:rPr>
              <w:t>主要资历、经验及承担过的项目</w:t>
            </w:r>
          </w:p>
        </w:tc>
      </w:tr>
      <w:tr w14:paraId="203B2C79">
        <w:tblPrEx>
          <w:tblLayout w:type="fixed"/>
        </w:tblPrEx>
        <w:trPr>
          <w:trHeight w:val="516" w:hRule="atLeast"/>
        </w:trPr>
        <w:tc>
          <w:tcPr>
            <w:tcW w:w="1695" w:type="dxa"/>
            <w:tcBorders>
              <w:left w:val="single" w:color="000000" w:sz="12" w:space="0"/>
              <w:right w:val="nil"/>
            </w:tcBorders>
            <w:vAlign w:val="top"/>
          </w:tcPr>
          <w:p w14:paraId="682D24DB">
            <w:pPr>
              <w:pStyle w:val="52"/>
              <w:spacing w:before="70" w:line="220" w:lineRule="auto"/>
              <w:ind w:left="28"/>
              <w:rPr>
                <w:rFonts w:hint="eastAsia" w:ascii="宋体" w:hAnsi="宋体" w:eastAsia="宋体" w:cs="宋体"/>
                <w:color w:val="auto"/>
                <w:highlight w:val="none"/>
              </w:rPr>
            </w:pPr>
            <w:r>
              <w:rPr>
                <w:rFonts w:hint="eastAsia" w:ascii="宋体" w:hAnsi="宋体" w:eastAsia="宋体" w:cs="宋体"/>
                <w:color w:val="auto"/>
                <w:spacing w:val="-7"/>
                <w:highlight w:val="none"/>
              </w:rPr>
              <w:t>一、总部人员</w:t>
            </w:r>
          </w:p>
        </w:tc>
        <w:tc>
          <w:tcPr>
            <w:tcW w:w="1290" w:type="dxa"/>
            <w:tcBorders>
              <w:left w:val="nil"/>
              <w:right w:val="nil"/>
            </w:tcBorders>
            <w:vAlign w:val="top"/>
          </w:tcPr>
          <w:p w14:paraId="6BE6A3A0">
            <w:pPr>
              <w:rPr>
                <w:rFonts w:hint="eastAsia" w:ascii="宋体" w:hAnsi="宋体" w:eastAsia="宋体" w:cs="宋体"/>
                <w:color w:val="auto"/>
                <w:sz w:val="21"/>
                <w:highlight w:val="none"/>
              </w:rPr>
            </w:pPr>
          </w:p>
        </w:tc>
        <w:tc>
          <w:tcPr>
            <w:tcW w:w="1043" w:type="dxa"/>
            <w:tcBorders>
              <w:left w:val="nil"/>
              <w:right w:val="nil"/>
            </w:tcBorders>
            <w:vAlign w:val="top"/>
          </w:tcPr>
          <w:p w14:paraId="73501898">
            <w:pPr>
              <w:rPr>
                <w:rFonts w:hint="eastAsia" w:ascii="宋体" w:hAnsi="宋体" w:eastAsia="宋体" w:cs="宋体"/>
                <w:color w:val="auto"/>
                <w:sz w:val="21"/>
                <w:highlight w:val="none"/>
              </w:rPr>
            </w:pPr>
          </w:p>
        </w:tc>
        <w:tc>
          <w:tcPr>
            <w:tcW w:w="1029" w:type="dxa"/>
            <w:tcBorders>
              <w:left w:val="nil"/>
              <w:right w:val="nil"/>
            </w:tcBorders>
            <w:vAlign w:val="top"/>
          </w:tcPr>
          <w:p w14:paraId="589B6F3E">
            <w:pPr>
              <w:rPr>
                <w:rFonts w:hint="eastAsia" w:ascii="宋体" w:hAnsi="宋体" w:eastAsia="宋体" w:cs="宋体"/>
                <w:color w:val="auto"/>
                <w:sz w:val="21"/>
                <w:highlight w:val="none"/>
              </w:rPr>
            </w:pPr>
          </w:p>
        </w:tc>
        <w:tc>
          <w:tcPr>
            <w:tcW w:w="3920" w:type="dxa"/>
            <w:tcBorders>
              <w:left w:val="nil"/>
              <w:right w:val="single" w:color="000000" w:sz="12" w:space="0"/>
            </w:tcBorders>
            <w:vAlign w:val="top"/>
          </w:tcPr>
          <w:p w14:paraId="66796343">
            <w:pPr>
              <w:rPr>
                <w:rFonts w:hint="eastAsia" w:ascii="宋体" w:hAnsi="宋体" w:eastAsia="宋体" w:cs="宋体"/>
                <w:color w:val="auto"/>
                <w:sz w:val="21"/>
                <w:highlight w:val="none"/>
              </w:rPr>
            </w:pPr>
          </w:p>
        </w:tc>
      </w:tr>
      <w:tr w14:paraId="5F5C7C3E">
        <w:tblPrEx>
          <w:tblLayout w:type="fixed"/>
        </w:tblPrEx>
        <w:trPr>
          <w:trHeight w:val="510" w:hRule="atLeast"/>
        </w:trPr>
        <w:tc>
          <w:tcPr>
            <w:tcW w:w="1695" w:type="dxa"/>
            <w:tcBorders>
              <w:left w:val="single" w:color="000000" w:sz="12" w:space="0"/>
            </w:tcBorders>
            <w:vAlign w:val="top"/>
          </w:tcPr>
          <w:p w14:paraId="11B38583">
            <w:pPr>
              <w:pStyle w:val="52"/>
              <w:spacing w:before="65" w:line="220" w:lineRule="auto"/>
              <w:ind w:left="403"/>
              <w:rPr>
                <w:rFonts w:hint="eastAsia" w:ascii="宋体" w:hAnsi="宋体" w:eastAsia="宋体" w:cs="宋体"/>
                <w:color w:val="auto"/>
                <w:highlight w:val="none"/>
              </w:rPr>
            </w:pPr>
            <w:r>
              <w:rPr>
                <w:rFonts w:hint="eastAsia" w:ascii="宋体" w:hAnsi="宋体" w:eastAsia="宋体" w:cs="宋体"/>
                <w:color w:val="auto"/>
                <w:spacing w:val="-3"/>
                <w:highlight w:val="none"/>
              </w:rPr>
              <w:t>项目主管</w:t>
            </w:r>
          </w:p>
        </w:tc>
        <w:tc>
          <w:tcPr>
            <w:tcW w:w="1290" w:type="dxa"/>
            <w:vAlign w:val="top"/>
          </w:tcPr>
          <w:p w14:paraId="6002B634">
            <w:pPr>
              <w:rPr>
                <w:rFonts w:hint="eastAsia" w:ascii="宋体" w:hAnsi="宋体" w:eastAsia="宋体" w:cs="宋体"/>
                <w:color w:val="auto"/>
                <w:sz w:val="21"/>
                <w:highlight w:val="none"/>
              </w:rPr>
            </w:pPr>
          </w:p>
        </w:tc>
        <w:tc>
          <w:tcPr>
            <w:tcW w:w="1043" w:type="dxa"/>
            <w:vAlign w:val="top"/>
          </w:tcPr>
          <w:p w14:paraId="43A8E839">
            <w:pPr>
              <w:rPr>
                <w:rFonts w:hint="eastAsia" w:ascii="宋体" w:hAnsi="宋体" w:eastAsia="宋体" w:cs="宋体"/>
                <w:color w:val="auto"/>
                <w:sz w:val="21"/>
                <w:highlight w:val="none"/>
              </w:rPr>
            </w:pPr>
          </w:p>
        </w:tc>
        <w:tc>
          <w:tcPr>
            <w:tcW w:w="1029" w:type="dxa"/>
            <w:vAlign w:val="top"/>
          </w:tcPr>
          <w:p w14:paraId="2756C837">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17AB718C">
            <w:pPr>
              <w:rPr>
                <w:rFonts w:hint="eastAsia" w:ascii="宋体" w:hAnsi="宋体" w:eastAsia="宋体" w:cs="宋体"/>
                <w:color w:val="auto"/>
                <w:sz w:val="21"/>
                <w:highlight w:val="none"/>
              </w:rPr>
            </w:pPr>
          </w:p>
        </w:tc>
      </w:tr>
      <w:tr w14:paraId="561BE9BB">
        <w:tblPrEx>
          <w:tblLayout w:type="fixed"/>
        </w:tblPrEx>
        <w:trPr>
          <w:trHeight w:val="510" w:hRule="atLeast"/>
        </w:trPr>
        <w:tc>
          <w:tcPr>
            <w:tcW w:w="1695" w:type="dxa"/>
            <w:vMerge w:val="restart"/>
            <w:tcBorders>
              <w:left w:val="single" w:color="000000" w:sz="12" w:space="0"/>
              <w:bottom w:val="nil"/>
            </w:tcBorders>
            <w:vAlign w:val="top"/>
          </w:tcPr>
          <w:p w14:paraId="597F6E4D">
            <w:pPr>
              <w:spacing w:line="255" w:lineRule="auto"/>
              <w:rPr>
                <w:rFonts w:hint="eastAsia" w:ascii="宋体" w:hAnsi="宋体" w:eastAsia="宋体" w:cs="宋体"/>
                <w:color w:val="auto"/>
                <w:sz w:val="21"/>
                <w:highlight w:val="none"/>
              </w:rPr>
            </w:pPr>
          </w:p>
          <w:p w14:paraId="7A7AB91B">
            <w:pPr>
              <w:spacing w:line="256" w:lineRule="auto"/>
              <w:rPr>
                <w:rFonts w:hint="eastAsia" w:ascii="宋体" w:hAnsi="宋体" w:eastAsia="宋体" w:cs="宋体"/>
                <w:color w:val="auto"/>
                <w:sz w:val="21"/>
                <w:highlight w:val="none"/>
              </w:rPr>
            </w:pPr>
          </w:p>
          <w:p w14:paraId="779C6997">
            <w:pPr>
              <w:pStyle w:val="52"/>
              <w:spacing w:before="78" w:line="220" w:lineRule="auto"/>
              <w:ind w:left="400"/>
              <w:rPr>
                <w:rFonts w:hint="eastAsia" w:ascii="宋体" w:hAnsi="宋体" w:eastAsia="宋体" w:cs="宋体"/>
                <w:color w:val="auto"/>
                <w:highlight w:val="none"/>
              </w:rPr>
            </w:pPr>
            <w:r>
              <w:rPr>
                <w:rFonts w:hint="eastAsia" w:ascii="宋体" w:hAnsi="宋体" w:eastAsia="宋体" w:cs="宋体"/>
                <w:color w:val="auto"/>
                <w:spacing w:val="-2"/>
                <w:highlight w:val="none"/>
              </w:rPr>
              <w:t>其他人员</w:t>
            </w:r>
          </w:p>
        </w:tc>
        <w:tc>
          <w:tcPr>
            <w:tcW w:w="1290" w:type="dxa"/>
            <w:vAlign w:val="top"/>
          </w:tcPr>
          <w:p w14:paraId="1B8AEDA9">
            <w:pPr>
              <w:rPr>
                <w:rFonts w:hint="eastAsia" w:ascii="宋体" w:hAnsi="宋体" w:eastAsia="宋体" w:cs="宋体"/>
                <w:color w:val="auto"/>
                <w:sz w:val="21"/>
                <w:highlight w:val="none"/>
              </w:rPr>
            </w:pPr>
          </w:p>
        </w:tc>
        <w:tc>
          <w:tcPr>
            <w:tcW w:w="1043" w:type="dxa"/>
            <w:vAlign w:val="top"/>
          </w:tcPr>
          <w:p w14:paraId="6D208269">
            <w:pPr>
              <w:rPr>
                <w:rFonts w:hint="eastAsia" w:ascii="宋体" w:hAnsi="宋体" w:eastAsia="宋体" w:cs="宋体"/>
                <w:color w:val="auto"/>
                <w:sz w:val="21"/>
                <w:highlight w:val="none"/>
              </w:rPr>
            </w:pPr>
          </w:p>
        </w:tc>
        <w:tc>
          <w:tcPr>
            <w:tcW w:w="1029" w:type="dxa"/>
            <w:vAlign w:val="top"/>
          </w:tcPr>
          <w:p w14:paraId="218D2644">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797161EE">
            <w:pPr>
              <w:rPr>
                <w:rFonts w:hint="eastAsia" w:ascii="宋体" w:hAnsi="宋体" w:eastAsia="宋体" w:cs="宋体"/>
                <w:color w:val="auto"/>
                <w:sz w:val="21"/>
                <w:highlight w:val="none"/>
              </w:rPr>
            </w:pPr>
          </w:p>
        </w:tc>
      </w:tr>
      <w:tr w14:paraId="6E89EA0C">
        <w:tblPrEx>
          <w:tblLayout w:type="fixed"/>
        </w:tblPrEx>
        <w:trPr>
          <w:trHeight w:val="510" w:hRule="atLeast"/>
        </w:trPr>
        <w:tc>
          <w:tcPr>
            <w:tcW w:w="1695" w:type="dxa"/>
            <w:vMerge w:val="continue"/>
            <w:tcBorders>
              <w:top w:val="nil"/>
              <w:left w:val="single" w:color="000000" w:sz="12" w:space="0"/>
              <w:bottom w:val="nil"/>
            </w:tcBorders>
            <w:vAlign w:val="top"/>
          </w:tcPr>
          <w:p w14:paraId="08250956">
            <w:pPr>
              <w:rPr>
                <w:rFonts w:hint="eastAsia" w:ascii="宋体" w:hAnsi="宋体" w:eastAsia="宋体" w:cs="宋体"/>
                <w:color w:val="auto"/>
                <w:sz w:val="21"/>
                <w:highlight w:val="none"/>
              </w:rPr>
            </w:pPr>
          </w:p>
        </w:tc>
        <w:tc>
          <w:tcPr>
            <w:tcW w:w="1290" w:type="dxa"/>
            <w:vAlign w:val="top"/>
          </w:tcPr>
          <w:p w14:paraId="300CCFC0">
            <w:pPr>
              <w:rPr>
                <w:rFonts w:hint="eastAsia" w:ascii="宋体" w:hAnsi="宋体" w:eastAsia="宋体" w:cs="宋体"/>
                <w:color w:val="auto"/>
                <w:sz w:val="21"/>
                <w:highlight w:val="none"/>
              </w:rPr>
            </w:pPr>
          </w:p>
        </w:tc>
        <w:tc>
          <w:tcPr>
            <w:tcW w:w="1043" w:type="dxa"/>
            <w:vAlign w:val="top"/>
          </w:tcPr>
          <w:p w14:paraId="717F9F58">
            <w:pPr>
              <w:rPr>
                <w:rFonts w:hint="eastAsia" w:ascii="宋体" w:hAnsi="宋体" w:eastAsia="宋体" w:cs="宋体"/>
                <w:color w:val="auto"/>
                <w:sz w:val="21"/>
                <w:highlight w:val="none"/>
              </w:rPr>
            </w:pPr>
          </w:p>
        </w:tc>
        <w:tc>
          <w:tcPr>
            <w:tcW w:w="1029" w:type="dxa"/>
            <w:vAlign w:val="top"/>
          </w:tcPr>
          <w:p w14:paraId="792A34CD">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6598906A">
            <w:pPr>
              <w:rPr>
                <w:rFonts w:hint="eastAsia" w:ascii="宋体" w:hAnsi="宋体" w:eastAsia="宋体" w:cs="宋体"/>
                <w:color w:val="auto"/>
                <w:sz w:val="21"/>
                <w:highlight w:val="none"/>
              </w:rPr>
            </w:pPr>
          </w:p>
        </w:tc>
      </w:tr>
      <w:tr w14:paraId="26414D5F">
        <w:tblPrEx>
          <w:tblLayout w:type="fixed"/>
        </w:tblPrEx>
        <w:trPr>
          <w:trHeight w:val="511" w:hRule="atLeast"/>
        </w:trPr>
        <w:tc>
          <w:tcPr>
            <w:tcW w:w="1695" w:type="dxa"/>
            <w:vMerge w:val="continue"/>
            <w:tcBorders>
              <w:top w:val="nil"/>
              <w:left w:val="single" w:color="000000" w:sz="12" w:space="0"/>
            </w:tcBorders>
            <w:vAlign w:val="top"/>
          </w:tcPr>
          <w:p w14:paraId="6D4356ED">
            <w:pPr>
              <w:rPr>
                <w:rFonts w:hint="eastAsia" w:ascii="宋体" w:hAnsi="宋体" w:eastAsia="宋体" w:cs="宋体"/>
                <w:color w:val="auto"/>
                <w:sz w:val="21"/>
                <w:highlight w:val="none"/>
              </w:rPr>
            </w:pPr>
          </w:p>
        </w:tc>
        <w:tc>
          <w:tcPr>
            <w:tcW w:w="1290" w:type="dxa"/>
            <w:vAlign w:val="top"/>
          </w:tcPr>
          <w:p w14:paraId="3EB46C32">
            <w:pPr>
              <w:rPr>
                <w:rFonts w:hint="eastAsia" w:ascii="宋体" w:hAnsi="宋体" w:eastAsia="宋体" w:cs="宋体"/>
                <w:color w:val="auto"/>
                <w:sz w:val="21"/>
                <w:highlight w:val="none"/>
              </w:rPr>
            </w:pPr>
          </w:p>
        </w:tc>
        <w:tc>
          <w:tcPr>
            <w:tcW w:w="1043" w:type="dxa"/>
            <w:vAlign w:val="top"/>
          </w:tcPr>
          <w:p w14:paraId="29857C34">
            <w:pPr>
              <w:rPr>
                <w:rFonts w:hint="eastAsia" w:ascii="宋体" w:hAnsi="宋体" w:eastAsia="宋体" w:cs="宋体"/>
                <w:color w:val="auto"/>
                <w:sz w:val="21"/>
                <w:highlight w:val="none"/>
              </w:rPr>
            </w:pPr>
          </w:p>
        </w:tc>
        <w:tc>
          <w:tcPr>
            <w:tcW w:w="1029" w:type="dxa"/>
            <w:vAlign w:val="top"/>
          </w:tcPr>
          <w:p w14:paraId="767D2BCD">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2A2F7D18">
            <w:pPr>
              <w:rPr>
                <w:rFonts w:hint="eastAsia" w:ascii="宋体" w:hAnsi="宋体" w:eastAsia="宋体" w:cs="宋体"/>
                <w:color w:val="auto"/>
                <w:sz w:val="21"/>
                <w:highlight w:val="none"/>
              </w:rPr>
            </w:pPr>
          </w:p>
        </w:tc>
      </w:tr>
      <w:tr w14:paraId="27FBFCAF">
        <w:tblPrEx>
          <w:tblLayout w:type="fixed"/>
        </w:tblPrEx>
        <w:trPr>
          <w:trHeight w:val="510" w:hRule="atLeast"/>
        </w:trPr>
        <w:tc>
          <w:tcPr>
            <w:tcW w:w="1695" w:type="dxa"/>
            <w:tcBorders>
              <w:left w:val="single" w:color="000000" w:sz="12" w:space="0"/>
              <w:right w:val="nil"/>
            </w:tcBorders>
            <w:vAlign w:val="top"/>
          </w:tcPr>
          <w:p w14:paraId="0139567C">
            <w:pPr>
              <w:pStyle w:val="52"/>
              <w:spacing w:before="67" w:line="220" w:lineRule="auto"/>
              <w:ind w:left="28"/>
              <w:rPr>
                <w:rFonts w:hint="eastAsia" w:ascii="宋体" w:hAnsi="宋体" w:eastAsia="宋体" w:cs="宋体"/>
                <w:color w:val="auto"/>
                <w:highlight w:val="none"/>
              </w:rPr>
            </w:pPr>
            <w:r>
              <w:rPr>
                <w:rFonts w:hint="eastAsia" w:ascii="宋体" w:hAnsi="宋体" w:eastAsia="宋体" w:cs="宋体"/>
                <w:color w:val="auto"/>
                <w:spacing w:val="-2"/>
                <w:highlight w:val="none"/>
              </w:rPr>
              <w:t>二、现场人员</w:t>
            </w:r>
          </w:p>
        </w:tc>
        <w:tc>
          <w:tcPr>
            <w:tcW w:w="1290" w:type="dxa"/>
            <w:tcBorders>
              <w:left w:val="nil"/>
              <w:right w:val="nil"/>
            </w:tcBorders>
            <w:vAlign w:val="top"/>
          </w:tcPr>
          <w:p w14:paraId="64DDD6CE">
            <w:pPr>
              <w:rPr>
                <w:rFonts w:hint="eastAsia" w:ascii="宋体" w:hAnsi="宋体" w:eastAsia="宋体" w:cs="宋体"/>
                <w:color w:val="auto"/>
                <w:sz w:val="21"/>
                <w:highlight w:val="none"/>
              </w:rPr>
            </w:pPr>
          </w:p>
        </w:tc>
        <w:tc>
          <w:tcPr>
            <w:tcW w:w="1043" w:type="dxa"/>
            <w:tcBorders>
              <w:left w:val="nil"/>
              <w:right w:val="nil"/>
            </w:tcBorders>
            <w:vAlign w:val="top"/>
          </w:tcPr>
          <w:p w14:paraId="55F3D1C1">
            <w:pPr>
              <w:rPr>
                <w:rFonts w:hint="eastAsia" w:ascii="宋体" w:hAnsi="宋体" w:eastAsia="宋体" w:cs="宋体"/>
                <w:color w:val="auto"/>
                <w:sz w:val="21"/>
                <w:highlight w:val="none"/>
              </w:rPr>
            </w:pPr>
          </w:p>
        </w:tc>
        <w:tc>
          <w:tcPr>
            <w:tcW w:w="1029" w:type="dxa"/>
            <w:tcBorders>
              <w:left w:val="nil"/>
              <w:right w:val="nil"/>
            </w:tcBorders>
            <w:vAlign w:val="top"/>
          </w:tcPr>
          <w:p w14:paraId="1A293416">
            <w:pPr>
              <w:rPr>
                <w:rFonts w:hint="eastAsia" w:ascii="宋体" w:hAnsi="宋体" w:eastAsia="宋体" w:cs="宋体"/>
                <w:color w:val="auto"/>
                <w:sz w:val="21"/>
                <w:highlight w:val="none"/>
              </w:rPr>
            </w:pPr>
          </w:p>
        </w:tc>
        <w:tc>
          <w:tcPr>
            <w:tcW w:w="3920" w:type="dxa"/>
            <w:tcBorders>
              <w:left w:val="nil"/>
              <w:right w:val="single" w:color="000000" w:sz="12" w:space="0"/>
            </w:tcBorders>
            <w:vAlign w:val="top"/>
          </w:tcPr>
          <w:p w14:paraId="52AF57F7">
            <w:pPr>
              <w:rPr>
                <w:rFonts w:hint="eastAsia" w:ascii="宋体" w:hAnsi="宋体" w:eastAsia="宋体" w:cs="宋体"/>
                <w:color w:val="auto"/>
                <w:sz w:val="21"/>
                <w:highlight w:val="none"/>
              </w:rPr>
            </w:pPr>
          </w:p>
        </w:tc>
      </w:tr>
      <w:tr w14:paraId="2BEFC801">
        <w:tblPrEx>
          <w:tblLayout w:type="fixed"/>
        </w:tblPrEx>
        <w:trPr>
          <w:trHeight w:val="510" w:hRule="atLeast"/>
        </w:trPr>
        <w:tc>
          <w:tcPr>
            <w:tcW w:w="1695" w:type="dxa"/>
            <w:tcBorders>
              <w:left w:val="single" w:color="000000" w:sz="12" w:space="0"/>
            </w:tcBorders>
            <w:vAlign w:val="top"/>
          </w:tcPr>
          <w:p w14:paraId="0F35FAB9">
            <w:pPr>
              <w:pStyle w:val="52"/>
              <w:spacing w:before="67" w:line="220" w:lineRule="auto"/>
              <w:ind w:left="403"/>
              <w:rPr>
                <w:rFonts w:hint="eastAsia" w:ascii="宋体" w:hAnsi="宋体" w:eastAsia="宋体" w:cs="宋体"/>
                <w:color w:val="auto"/>
                <w:highlight w:val="none"/>
              </w:rPr>
            </w:pPr>
            <w:r>
              <w:rPr>
                <w:rFonts w:hint="eastAsia" w:ascii="宋体" w:hAnsi="宋体" w:eastAsia="宋体" w:cs="宋体"/>
                <w:color w:val="auto"/>
                <w:spacing w:val="-3"/>
                <w:highlight w:val="none"/>
              </w:rPr>
              <w:t>项目经理</w:t>
            </w:r>
          </w:p>
        </w:tc>
        <w:tc>
          <w:tcPr>
            <w:tcW w:w="1290" w:type="dxa"/>
            <w:vAlign w:val="top"/>
          </w:tcPr>
          <w:p w14:paraId="783C7DE7">
            <w:pPr>
              <w:rPr>
                <w:rFonts w:hint="eastAsia" w:ascii="宋体" w:hAnsi="宋体" w:eastAsia="宋体" w:cs="宋体"/>
                <w:color w:val="auto"/>
                <w:sz w:val="21"/>
                <w:highlight w:val="none"/>
              </w:rPr>
            </w:pPr>
          </w:p>
        </w:tc>
        <w:tc>
          <w:tcPr>
            <w:tcW w:w="1043" w:type="dxa"/>
            <w:vAlign w:val="top"/>
          </w:tcPr>
          <w:p w14:paraId="0019435F">
            <w:pPr>
              <w:rPr>
                <w:rFonts w:hint="eastAsia" w:ascii="宋体" w:hAnsi="宋体" w:eastAsia="宋体" w:cs="宋体"/>
                <w:color w:val="auto"/>
                <w:sz w:val="21"/>
                <w:highlight w:val="none"/>
              </w:rPr>
            </w:pPr>
          </w:p>
        </w:tc>
        <w:tc>
          <w:tcPr>
            <w:tcW w:w="1029" w:type="dxa"/>
            <w:vAlign w:val="top"/>
          </w:tcPr>
          <w:p w14:paraId="048DFEE0">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354A2033">
            <w:pPr>
              <w:rPr>
                <w:rFonts w:hint="eastAsia" w:ascii="宋体" w:hAnsi="宋体" w:eastAsia="宋体" w:cs="宋体"/>
                <w:color w:val="auto"/>
                <w:sz w:val="21"/>
                <w:highlight w:val="none"/>
              </w:rPr>
            </w:pPr>
          </w:p>
        </w:tc>
      </w:tr>
      <w:tr w14:paraId="58D14467">
        <w:tblPrEx>
          <w:tblLayout w:type="fixed"/>
        </w:tblPrEx>
        <w:trPr>
          <w:trHeight w:val="510" w:hRule="atLeast"/>
        </w:trPr>
        <w:tc>
          <w:tcPr>
            <w:tcW w:w="1695" w:type="dxa"/>
            <w:tcBorders>
              <w:left w:val="single" w:color="000000" w:sz="12" w:space="0"/>
            </w:tcBorders>
            <w:vAlign w:val="top"/>
          </w:tcPr>
          <w:p w14:paraId="74E89B92">
            <w:pPr>
              <w:pStyle w:val="52"/>
              <w:spacing w:before="67" w:line="220" w:lineRule="auto"/>
              <w:ind w:left="283"/>
              <w:rPr>
                <w:rFonts w:hint="eastAsia" w:ascii="宋体" w:hAnsi="宋体" w:eastAsia="宋体" w:cs="宋体"/>
                <w:color w:val="auto"/>
                <w:highlight w:val="none"/>
              </w:rPr>
            </w:pPr>
            <w:r>
              <w:rPr>
                <w:rFonts w:hint="eastAsia" w:ascii="宋体" w:hAnsi="宋体" w:eastAsia="宋体" w:cs="宋体"/>
                <w:color w:val="auto"/>
                <w:spacing w:val="-2"/>
                <w:highlight w:val="none"/>
              </w:rPr>
              <w:t>项目副经理</w:t>
            </w:r>
          </w:p>
        </w:tc>
        <w:tc>
          <w:tcPr>
            <w:tcW w:w="1290" w:type="dxa"/>
            <w:vAlign w:val="top"/>
          </w:tcPr>
          <w:p w14:paraId="62195D31">
            <w:pPr>
              <w:rPr>
                <w:rFonts w:hint="eastAsia" w:ascii="宋体" w:hAnsi="宋体" w:eastAsia="宋体" w:cs="宋体"/>
                <w:color w:val="auto"/>
                <w:sz w:val="21"/>
                <w:highlight w:val="none"/>
              </w:rPr>
            </w:pPr>
          </w:p>
        </w:tc>
        <w:tc>
          <w:tcPr>
            <w:tcW w:w="1043" w:type="dxa"/>
            <w:vAlign w:val="top"/>
          </w:tcPr>
          <w:p w14:paraId="3918DD6F">
            <w:pPr>
              <w:rPr>
                <w:rFonts w:hint="eastAsia" w:ascii="宋体" w:hAnsi="宋体" w:eastAsia="宋体" w:cs="宋体"/>
                <w:color w:val="auto"/>
                <w:sz w:val="21"/>
                <w:highlight w:val="none"/>
              </w:rPr>
            </w:pPr>
          </w:p>
        </w:tc>
        <w:tc>
          <w:tcPr>
            <w:tcW w:w="1029" w:type="dxa"/>
            <w:vAlign w:val="top"/>
          </w:tcPr>
          <w:p w14:paraId="672AC583">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13B350D1">
            <w:pPr>
              <w:rPr>
                <w:rFonts w:hint="eastAsia" w:ascii="宋体" w:hAnsi="宋体" w:eastAsia="宋体" w:cs="宋体"/>
                <w:color w:val="auto"/>
                <w:sz w:val="21"/>
                <w:highlight w:val="none"/>
              </w:rPr>
            </w:pPr>
          </w:p>
        </w:tc>
      </w:tr>
      <w:tr w14:paraId="395DE9EB">
        <w:tblPrEx>
          <w:tblLayout w:type="fixed"/>
        </w:tblPrEx>
        <w:trPr>
          <w:trHeight w:val="510" w:hRule="atLeast"/>
        </w:trPr>
        <w:tc>
          <w:tcPr>
            <w:tcW w:w="1695" w:type="dxa"/>
            <w:tcBorders>
              <w:left w:val="single" w:color="000000" w:sz="12" w:space="0"/>
            </w:tcBorders>
            <w:vAlign w:val="top"/>
          </w:tcPr>
          <w:p w14:paraId="362C664B">
            <w:pPr>
              <w:pStyle w:val="52"/>
              <w:spacing w:before="67" w:line="220" w:lineRule="auto"/>
              <w:ind w:left="280"/>
              <w:rPr>
                <w:rFonts w:hint="eastAsia" w:ascii="宋体" w:hAnsi="宋体" w:eastAsia="宋体" w:cs="宋体"/>
                <w:color w:val="auto"/>
                <w:highlight w:val="none"/>
              </w:rPr>
            </w:pPr>
            <w:r>
              <w:rPr>
                <w:rFonts w:hint="eastAsia" w:ascii="宋体" w:hAnsi="宋体" w:eastAsia="宋体" w:cs="宋体"/>
                <w:color w:val="auto"/>
                <w:spacing w:val="-2"/>
                <w:highlight w:val="none"/>
              </w:rPr>
              <w:t>技术负责人</w:t>
            </w:r>
          </w:p>
        </w:tc>
        <w:tc>
          <w:tcPr>
            <w:tcW w:w="1290" w:type="dxa"/>
            <w:vAlign w:val="top"/>
          </w:tcPr>
          <w:p w14:paraId="540DD9DA">
            <w:pPr>
              <w:rPr>
                <w:rFonts w:hint="eastAsia" w:ascii="宋体" w:hAnsi="宋体" w:eastAsia="宋体" w:cs="宋体"/>
                <w:color w:val="auto"/>
                <w:sz w:val="21"/>
                <w:highlight w:val="none"/>
              </w:rPr>
            </w:pPr>
          </w:p>
        </w:tc>
        <w:tc>
          <w:tcPr>
            <w:tcW w:w="1043" w:type="dxa"/>
            <w:vAlign w:val="top"/>
          </w:tcPr>
          <w:p w14:paraId="0E65F999">
            <w:pPr>
              <w:rPr>
                <w:rFonts w:hint="eastAsia" w:ascii="宋体" w:hAnsi="宋体" w:eastAsia="宋体" w:cs="宋体"/>
                <w:color w:val="auto"/>
                <w:sz w:val="21"/>
                <w:highlight w:val="none"/>
              </w:rPr>
            </w:pPr>
          </w:p>
        </w:tc>
        <w:tc>
          <w:tcPr>
            <w:tcW w:w="1029" w:type="dxa"/>
            <w:vAlign w:val="top"/>
          </w:tcPr>
          <w:p w14:paraId="369C39A7">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72B31462">
            <w:pPr>
              <w:rPr>
                <w:rFonts w:hint="eastAsia" w:ascii="宋体" w:hAnsi="宋体" w:eastAsia="宋体" w:cs="宋体"/>
                <w:color w:val="auto"/>
                <w:sz w:val="21"/>
                <w:highlight w:val="none"/>
              </w:rPr>
            </w:pPr>
          </w:p>
        </w:tc>
      </w:tr>
      <w:tr w14:paraId="58F645C3">
        <w:tblPrEx>
          <w:tblLayout w:type="fixed"/>
        </w:tblPrEx>
        <w:trPr>
          <w:trHeight w:val="510" w:hRule="atLeast"/>
        </w:trPr>
        <w:tc>
          <w:tcPr>
            <w:tcW w:w="1695" w:type="dxa"/>
            <w:tcBorders>
              <w:left w:val="single" w:color="000000" w:sz="12" w:space="0"/>
            </w:tcBorders>
            <w:vAlign w:val="top"/>
          </w:tcPr>
          <w:p w14:paraId="78DBCE0F">
            <w:pPr>
              <w:pStyle w:val="52"/>
              <w:spacing w:before="68" w:line="218" w:lineRule="auto"/>
              <w:ind w:left="398"/>
              <w:rPr>
                <w:rFonts w:hint="eastAsia" w:ascii="宋体" w:hAnsi="宋体" w:eastAsia="宋体" w:cs="宋体"/>
                <w:color w:val="auto"/>
                <w:highlight w:val="none"/>
              </w:rPr>
            </w:pPr>
            <w:r>
              <w:rPr>
                <w:rFonts w:hint="eastAsia" w:ascii="宋体" w:hAnsi="宋体" w:eastAsia="宋体" w:cs="宋体"/>
                <w:color w:val="auto"/>
                <w:spacing w:val="-2"/>
                <w:highlight w:val="none"/>
              </w:rPr>
              <w:t>造价管理</w:t>
            </w:r>
          </w:p>
        </w:tc>
        <w:tc>
          <w:tcPr>
            <w:tcW w:w="1290" w:type="dxa"/>
            <w:vAlign w:val="top"/>
          </w:tcPr>
          <w:p w14:paraId="7A19EB04">
            <w:pPr>
              <w:rPr>
                <w:rFonts w:hint="eastAsia" w:ascii="宋体" w:hAnsi="宋体" w:eastAsia="宋体" w:cs="宋体"/>
                <w:color w:val="auto"/>
                <w:sz w:val="21"/>
                <w:highlight w:val="none"/>
              </w:rPr>
            </w:pPr>
          </w:p>
        </w:tc>
        <w:tc>
          <w:tcPr>
            <w:tcW w:w="1043" w:type="dxa"/>
            <w:vAlign w:val="top"/>
          </w:tcPr>
          <w:p w14:paraId="236717F9">
            <w:pPr>
              <w:rPr>
                <w:rFonts w:hint="eastAsia" w:ascii="宋体" w:hAnsi="宋体" w:eastAsia="宋体" w:cs="宋体"/>
                <w:color w:val="auto"/>
                <w:sz w:val="21"/>
                <w:highlight w:val="none"/>
              </w:rPr>
            </w:pPr>
          </w:p>
        </w:tc>
        <w:tc>
          <w:tcPr>
            <w:tcW w:w="1029" w:type="dxa"/>
            <w:vAlign w:val="top"/>
          </w:tcPr>
          <w:p w14:paraId="54F12D24">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1305A8EE">
            <w:pPr>
              <w:rPr>
                <w:rFonts w:hint="eastAsia" w:ascii="宋体" w:hAnsi="宋体" w:eastAsia="宋体" w:cs="宋体"/>
                <w:color w:val="auto"/>
                <w:sz w:val="21"/>
                <w:highlight w:val="none"/>
              </w:rPr>
            </w:pPr>
          </w:p>
        </w:tc>
      </w:tr>
      <w:tr w14:paraId="63D6F89A">
        <w:tblPrEx>
          <w:tblLayout w:type="fixed"/>
        </w:tblPrEx>
        <w:trPr>
          <w:trHeight w:val="511" w:hRule="atLeast"/>
        </w:trPr>
        <w:tc>
          <w:tcPr>
            <w:tcW w:w="1695" w:type="dxa"/>
            <w:tcBorders>
              <w:left w:val="single" w:color="000000" w:sz="12" w:space="0"/>
            </w:tcBorders>
            <w:vAlign w:val="top"/>
          </w:tcPr>
          <w:p w14:paraId="68B496AD">
            <w:pPr>
              <w:pStyle w:val="52"/>
              <w:spacing w:before="68" w:line="220" w:lineRule="auto"/>
              <w:ind w:left="400"/>
              <w:rPr>
                <w:rFonts w:hint="eastAsia" w:ascii="宋体" w:hAnsi="宋体" w:eastAsia="宋体" w:cs="宋体"/>
                <w:color w:val="auto"/>
                <w:highlight w:val="none"/>
              </w:rPr>
            </w:pPr>
            <w:r>
              <w:rPr>
                <w:rFonts w:hint="eastAsia" w:ascii="宋体" w:hAnsi="宋体" w:eastAsia="宋体" w:cs="宋体"/>
                <w:color w:val="auto"/>
                <w:spacing w:val="-2"/>
                <w:highlight w:val="none"/>
              </w:rPr>
              <w:t>质量管理</w:t>
            </w:r>
          </w:p>
        </w:tc>
        <w:tc>
          <w:tcPr>
            <w:tcW w:w="1290" w:type="dxa"/>
            <w:vAlign w:val="top"/>
          </w:tcPr>
          <w:p w14:paraId="425F9905">
            <w:pPr>
              <w:rPr>
                <w:rFonts w:hint="eastAsia" w:ascii="宋体" w:hAnsi="宋体" w:eastAsia="宋体" w:cs="宋体"/>
                <w:color w:val="auto"/>
                <w:sz w:val="21"/>
                <w:highlight w:val="none"/>
              </w:rPr>
            </w:pPr>
          </w:p>
        </w:tc>
        <w:tc>
          <w:tcPr>
            <w:tcW w:w="1043" w:type="dxa"/>
            <w:vAlign w:val="top"/>
          </w:tcPr>
          <w:p w14:paraId="3FFCB47F">
            <w:pPr>
              <w:rPr>
                <w:rFonts w:hint="eastAsia" w:ascii="宋体" w:hAnsi="宋体" w:eastAsia="宋体" w:cs="宋体"/>
                <w:color w:val="auto"/>
                <w:sz w:val="21"/>
                <w:highlight w:val="none"/>
              </w:rPr>
            </w:pPr>
          </w:p>
        </w:tc>
        <w:tc>
          <w:tcPr>
            <w:tcW w:w="1029" w:type="dxa"/>
            <w:vAlign w:val="top"/>
          </w:tcPr>
          <w:p w14:paraId="35FD30D9">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6EB4EBCB">
            <w:pPr>
              <w:rPr>
                <w:rFonts w:hint="eastAsia" w:ascii="宋体" w:hAnsi="宋体" w:eastAsia="宋体" w:cs="宋体"/>
                <w:color w:val="auto"/>
                <w:sz w:val="21"/>
                <w:highlight w:val="none"/>
              </w:rPr>
            </w:pPr>
          </w:p>
        </w:tc>
      </w:tr>
      <w:tr w14:paraId="72FE71FF">
        <w:tblPrEx>
          <w:tblLayout w:type="fixed"/>
        </w:tblPrEx>
        <w:trPr>
          <w:trHeight w:val="510" w:hRule="atLeast"/>
        </w:trPr>
        <w:tc>
          <w:tcPr>
            <w:tcW w:w="1695" w:type="dxa"/>
            <w:tcBorders>
              <w:left w:val="single" w:color="000000" w:sz="12" w:space="0"/>
            </w:tcBorders>
            <w:vAlign w:val="top"/>
          </w:tcPr>
          <w:p w14:paraId="6340E563">
            <w:pPr>
              <w:pStyle w:val="52"/>
              <w:spacing w:before="68" w:line="219" w:lineRule="auto"/>
              <w:ind w:left="399"/>
              <w:rPr>
                <w:rFonts w:hint="eastAsia" w:ascii="宋体" w:hAnsi="宋体" w:eastAsia="宋体" w:cs="宋体"/>
                <w:color w:val="auto"/>
                <w:highlight w:val="none"/>
              </w:rPr>
            </w:pPr>
            <w:r>
              <w:rPr>
                <w:rFonts w:hint="eastAsia" w:ascii="宋体" w:hAnsi="宋体" w:eastAsia="宋体" w:cs="宋体"/>
                <w:color w:val="auto"/>
                <w:spacing w:val="-2"/>
                <w:highlight w:val="none"/>
              </w:rPr>
              <w:t>材料管理</w:t>
            </w:r>
          </w:p>
        </w:tc>
        <w:tc>
          <w:tcPr>
            <w:tcW w:w="1290" w:type="dxa"/>
            <w:vAlign w:val="top"/>
          </w:tcPr>
          <w:p w14:paraId="2EF2B5D0">
            <w:pPr>
              <w:rPr>
                <w:rFonts w:hint="eastAsia" w:ascii="宋体" w:hAnsi="宋体" w:eastAsia="宋体" w:cs="宋体"/>
                <w:color w:val="auto"/>
                <w:sz w:val="21"/>
                <w:highlight w:val="none"/>
              </w:rPr>
            </w:pPr>
          </w:p>
        </w:tc>
        <w:tc>
          <w:tcPr>
            <w:tcW w:w="1043" w:type="dxa"/>
            <w:vAlign w:val="top"/>
          </w:tcPr>
          <w:p w14:paraId="3BE59B0E">
            <w:pPr>
              <w:rPr>
                <w:rFonts w:hint="eastAsia" w:ascii="宋体" w:hAnsi="宋体" w:eastAsia="宋体" w:cs="宋体"/>
                <w:color w:val="auto"/>
                <w:sz w:val="21"/>
                <w:highlight w:val="none"/>
              </w:rPr>
            </w:pPr>
          </w:p>
        </w:tc>
        <w:tc>
          <w:tcPr>
            <w:tcW w:w="1029" w:type="dxa"/>
            <w:vAlign w:val="top"/>
          </w:tcPr>
          <w:p w14:paraId="7853C177">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2DF2AB1A">
            <w:pPr>
              <w:rPr>
                <w:rFonts w:hint="eastAsia" w:ascii="宋体" w:hAnsi="宋体" w:eastAsia="宋体" w:cs="宋体"/>
                <w:color w:val="auto"/>
                <w:sz w:val="21"/>
                <w:highlight w:val="none"/>
              </w:rPr>
            </w:pPr>
          </w:p>
        </w:tc>
      </w:tr>
      <w:tr w14:paraId="3FEB62B1">
        <w:tblPrEx>
          <w:tblLayout w:type="fixed"/>
        </w:tblPrEx>
        <w:trPr>
          <w:trHeight w:val="510" w:hRule="atLeast"/>
        </w:trPr>
        <w:tc>
          <w:tcPr>
            <w:tcW w:w="1695" w:type="dxa"/>
            <w:tcBorders>
              <w:left w:val="single" w:color="000000" w:sz="12" w:space="0"/>
            </w:tcBorders>
            <w:vAlign w:val="top"/>
          </w:tcPr>
          <w:p w14:paraId="68194093">
            <w:pPr>
              <w:pStyle w:val="52"/>
              <w:spacing w:before="68" w:line="220" w:lineRule="auto"/>
              <w:ind w:left="399"/>
              <w:rPr>
                <w:rFonts w:hint="eastAsia" w:ascii="宋体" w:hAnsi="宋体" w:eastAsia="宋体" w:cs="宋体"/>
                <w:color w:val="auto"/>
                <w:highlight w:val="none"/>
              </w:rPr>
            </w:pPr>
            <w:r>
              <w:rPr>
                <w:rFonts w:hint="eastAsia" w:ascii="宋体" w:hAnsi="宋体" w:eastAsia="宋体" w:cs="宋体"/>
                <w:color w:val="auto"/>
                <w:spacing w:val="-2"/>
                <w:highlight w:val="none"/>
              </w:rPr>
              <w:t>计划管理</w:t>
            </w:r>
          </w:p>
        </w:tc>
        <w:tc>
          <w:tcPr>
            <w:tcW w:w="1290" w:type="dxa"/>
            <w:vAlign w:val="top"/>
          </w:tcPr>
          <w:p w14:paraId="253B1C94">
            <w:pPr>
              <w:rPr>
                <w:rFonts w:hint="eastAsia" w:ascii="宋体" w:hAnsi="宋体" w:eastAsia="宋体" w:cs="宋体"/>
                <w:color w:val="auto"/>
                <w:sz w:val="21"/>
                <w:highlight w:val="none"/>
              </w:rPr>
            </w:pPr>
          </w:p>
        </w:tc>
        <w:tc>
          <w:tcPr>
            <w:tcW w:w="1043" w:type="dxa"/>
            <w:vAlign w:val="top"/>
          </w:tcPr>
          <w:p w14:paraId="68F74B87">
            <w:pPr>
              <w:rPr>
                <w:rFonts w:hint="eastAsia" w:ascii="宋体" w:hAnsi="宋体" w:eastAsia="宋体" w:cs="宋体"/>
                <w:color w:val="auto"/>
                <w:sz w:val="21"/>
                <w:highlight w:val="none"/>
              </w:rPr>
            </w:pPr>
          </w:p>
        </w:tc>
        <w:tc>
          <w:tcPr>
            <w:tcW w:w="1029" w:type="dxa"/>
            <w:vAlign w:val="top"/>
          </w:tcPr>
          <w:p w14:paraId="40EBDD9A">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53AEAE77">
            <w:pPr>
              <w:rPr>
                <w:rFonts w:hint="eastAsia" w:ascii="宋体" w:hAnsi="宋体" w:eastAsia="宋体" w:cs="宋体"/>
                <w:color w:val="auto"/>
                <w:sz w:val="21"/>
                <w:highlight w:val="none"/>
              </w:rPr>
            </w:pPr>
          </w:p>
        </w:tc>
      </w:tr>
      <w:tr w14:paraId="3A0876FA">
        <w:tblPrEx>
          <w:tblLayout w:type="fixed"/>
        </w:tblPrEx>
        <w:trPr>
          <w:trHeight w:val="510" w:hRule="atLeast"/>
        </w:trPr>
        <w:tc>
          <w:tcPr>
            <w:tcW w:w="1695" w:type="dxa"/>
            <w:tcBorders>
              <w:left w:val="single" w:color="000000" w:sz="12" w:space="0"/>
            </w:tcBorders>
            <w:vAlign w:val="top"/>
          </w:tcPr>
          <w:p w14:paraId="1F26A75F">
            <w:pPr>
              <w:pStyle w:val="52"/>
              <w:spacing w:before="68" w:line="220" w:lineRule="auto"/>
              <w:ind w:left="404"/>
              <w:rPr>
                <w:rFonts w:hint="eastAsia" w:ascii="宋体" w:hAnsi="宋体" w:eastAsia="宋体" w:cs="宋体"/>
                <w:color w:val="auto"/>
                <w:highlight w:val="none"/>
              </w:rPr>
            </w:pPr>
            <w:r>
              <w:rPr>
                <w:rFonts w:hint="eastAsia" w:ascii="宋体" w:hAnsi="宋体" w:eastAsia="宋体" w:cs="宋体"/>
                <w:color w:val="auto"/>
                <w:spacing w:val="-3"/>
                <w:highlight w:val="none"/>
              </w:rPr>
              <w:t>安全管理</w:t>
            </w:r>
          </w:p>
        </w:tc>
        <w:tc>
          <w:tcPr>
            <w:tcW w:w="1290" w:type="dxa"/>
            <w:vAlign w:val="top"/>
          </w:tcPr>
          <w:p w14:paraId="7FB936D1">
            <w:pPr>
              <w:rPr>
                <w:rFonts w:hint="eastAsia" w:ascii="宋体" w:hAnsi="宋体" w:eastAsia="宋体" w:cs="宋体"/>
                <w:color w:val="auto"/>
                <w:sz w:val="21"/>
                <w:highlight w:val="none"/>
              </w:rPr>
            </w:pPr>
          </w:p>
        </w:tc>
        <w:tc>
          <w:tcPr>
            <w:tcW w:w="1043" w:type="dxa"/>
            <w:vAlign w:val="top"/>
          </w:tcPr>
          <w:p w14:paraId="3C2E3AAE">
            <w:pPr>
              <w:rPr>
                <w:rFonts w:hint="eastAsia" w:ascii="宋体" w:hAnsi="宋体" w:eastAsia="宋体" w:cs="宋体"/>
                <w:color w:val="auto"/>
                <w:sz w:val="21"/>
                <w:highlight w:val="none"/>
              </w:rPr>
            </w:pPr>
          </w:p>
        </w:tc>
        <w:tc>
          <w:tcPr>
            <w:tcW w:w="1029" w:type="dxa"/>
            <w:vAlign w:val="top"/>
          </w:tcPr>
          <w:p w14:paraId="603491C7">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5DF3DA1A">
            <w:pPr>
              <w:rPr>
                <w:rFonts w:hint="eastAsia" w:ascii="宋体" w:hAnsi="宋体" w:eastAsia="宋体" w:cs="宋体"/>
                <w:color w:val="auto"/>
                <w:sz w:val="21"/>
                <w:highlight w:val="none"/>
              </w:rPr>
            </w:pPr>
          </w:p>
        </w:tc>
      </w:tr>
      <w:tr w14:paraId="5A140E5C">
        <w:tblPrEx>
          <w:tblLayout w:type="fixed"/>
        </w:tblPrEx>
        <w:trPr>
          <w:trHeight w:val="510" w:hRule="atLeast"/>
        </w:trPr>
        <w:tc>
          <w:tcPr>
            <w:tcW w:w="1695" w:type="dxa"/>
            <w:vMerge w:val="restart"/>
            <w:tcBorders>
              <w:left w:val="single" w:color="000000" w:sz="12" w:space="0"/>
              <w:bottom w:val="nil"/>
            </w:tcBorders>
            <w:vAlign w:val="top"/>
          </w:tcPr>
          <w:p w14:paraId="6BCFA860">
            <w:pPr>
              <w:spacing w:line="261" w:lineRule="auto"/>
              <w:rPr>
                <w:rFonts w:hint="eastAsia" w:ascii="宋体" w:hAnsi="宋体" w:eastAsia="宋体" w:cs="宋体"/>
                <w:color w:val="auto"/>
                <w:sz w:val="21"/>
                <w:highlight w:val="none"/>
              </w:rPr>
            </w:pPr>
          </w:p>
          <w:p w14:paraId="32EB1B9D">
            <w:pPr>
              <w:spacing w:line="261" w:lineRule="auto"/>
              <w:rPr>
                <w:rFonts w:hint="eastAsia" w:ascii="宋体" w:hAnsi="宋体" w:eastAsia="宋体" w:cs="宋体"/>
                <w:color w:val="auto"/>
                <w:sz w:val="21"/>
                <w:highlight w:val="none"/>
              </w:rPr>
            </w:pPr>
          </w:p>
          <w:p w14:paraId="6DFC22D9">
            <w:pPr>
              <w:spacing w:line="261" w:lineRule="auto"/>
              <w:rPr>
                <w:rFonts w:hint="eastAsia" w:ascii="宋体" w:hAnsi="宋体" w:eastAsia="宋体" w:cs="宋体"/>
                <w:color w:val="auto"/>
                <w:sz w:val="21"/>
                <w:highlight w:val="none"/>
              </w:rPr>
            </w:pPr>
          </w:p>
          <w:p w14:paraId="07E202C0">
            <w:pPr>
              <w:spacing w:line="261" w:lineRule="auto"/>
              <w:rPr>
                <w:rFonts w:hint="eastAsia" w:ascii="宋体" w:hAnsi="宋体" w:eastAsia="宋体" w:cs="宋体"/>
                <w:color w:val="auto"/>
                <w:sz w:val="21"/>
                <w:highlight w:val="none"/>
              </w:rPr>
            </w:pPr>
          </w:p>
          <w:p w14:paraId="1FE9F621">
            <w:pPr>
              <w:spacing w:line="261" w:lineRule="auto"/>
              <w:rPr>
                <w:rFonts w:hint="eastAsia" w:ascii="宋体" w:hAnsi="宋体" w:eastAsia="宋体" w:cs="宋体"/>
                <w:color w:val="auto"/>
                <w:sz w:val="21"/>
                <w:highlight w:val="none"/>
              </w:rPr>
            </w:pPr>
          </w:p>
          <w:p w14:paraId="3A26DE7B">
            <w:pPr>
              <w:pStyle w:val="52"/>
              <w:spacing w:before="78" w:line="220" w:lineRule="auto"/>
              <w:ind w:left="400"/>
              <w:rPr>
                <w:rFonts w:hint="eastAsia" w:ascii="宋体" w:hAnsi="宋体" w:eastAsia="宋体" w:cs="宋体"/>
                <w:color w:val="auto"/>
                <w:highlight w:val="none"/>
              </w:rPr>
            </w:pPr>
            <w:r>
              <w:rPr>
                <w:rFonts w:hint="eastAsia" w:ascii="宋体" w:hAnsi="宋体" w:eastAsia="宋体" w:cs="宋体"/>
                <w:color w:val="auto"/>
                <w:spacing w:val="-2"/>
                <w:highlight w:val="none"/>
              </w:rPr>
              <w:t>其他人员</w:t>
            </w:r>
          </w:p>
        </w:tc>
        <w:tc>
          <w:tcPr>
            <w:tcW w:w="1290" w:type="dxa"/>
            <w:vAlign w:val="top"/>
          </w:tcPr>
          <w:p w14:paraId="7C91BBA4">
            <w:pPr>
              <w:rPr>
                <w:rFonts w:hint="eastAsia" w:ascii="宋体" w:hAnsi="宋体" w:eastAsia="宋体" w:cs="宋体"/>
                <w:color w:val="auto"/>
                <w:sz w:val="21"/>
                <w:highlight w:val="none"/>
              </w:rPr>
            </w:pPr>
          </w:p>
        </w:tc>
        <w:tc>
          <w:tcPr>
            <w:tcW w:w="1043" w:type="dxa"/>
            <w:vAlign w:val="top"/>
          </w:tcPr>
          <w:p w14:paraId="7F897547">
            <w:pPr>
              <w:rPr>
                <w:rFonts w:hint="eastAsia" w:ascii="宋体" w:hAnsi="宋体" w:eastAsia="宋体" w:cs="宋体"/>
                <w:color w:val="auto"/>
                <w:sz w:val="21"/>
                <w:highlight w:val="none"/>
              </w:rPr>
            </w:pPr>
          </w:p>
        </w:tc>
        <w:tc>
          <w:tcPr>
            <w:tcW w:w="1029" w:type="dxa"/>
            <w:vAlign w:val="top"/>
          </w:tcPr>
          <w:p w14:paraId="4414D1B3">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1267487A">
            <w:pPr>
              <w:rPr>
                <w:rFonts w:hint="eastAsia" w:ascii="宋体" w:hAnsi="宋体" w:eastAsia="宋体" w:cs="宋体"/>
                <w:color w:val="auto"/>
                <w:sz w:val="21"/>
                <w:highlight w:val="none"/>
              </w:rPr>
            </w:pPr>
          </w:p>
        </w:tc>
      </w:tr>
      <w:tr w14:paraId="45A20FFB">
        <w:tblPrEx>
          <w:tblLayout w:type="fixed"/>
        </w:tblPrEx>
        <w:trPr>
          <w:trHeight w:val="510" w:hRule="atLeast"/>
        </w:trPr>
        <w:tc>
          <w:tcPr>
            <w:tcW w:w="1695" w:type="dxa"/>
            <w:vMerge w:val="continue"/>
            <w:tcBorders>
              <w:top w:val="nil"/>
              <w:left w:val="single" w:color="000000" w:sz="12" w:space="0"/>
              <w:bottom w:val="nil"/>
            </w:tcBorders>
            <w:vAlign w:val="top"/>
          </w:tcPr>
          <w:p w14:paraId="6054C503">
            <w:pPr>
              <w:rPr>
                <w:rFonts w:hint="eastAsia" w:ascii="宋体" w:hAnsi="宋体" w:eastAsia="宋体" w:cs="宋体"/>
                <w:color w:val="auto"/>
                <w:sz w:val="21"/>
                <w:highlight w:val="none"/>
              </w:rPr>
            </w:pPr>
          </w:p>
        </w:tc>
        <w:tc>
          <w:tcPr>
            <w:tcW w:w="1290" w:type="dxa"/>
            <w:vAlign w:val="top"/>
          </w:tcPr>
          <w:p w14:paraId="6DCD7604">
            <w:pPr>
              <w:rPr>
                <w:rFonts w:hint="eastAsia" w:ascii="宋体" w:hAnsi="宋体" w:eastAsia="宋体" w:cs="宋体"/>
                <w:color w:val="auto"/>
                <w:sz w:val="21"/>
                <w:highlight w:val="none"/>
              </w:rPr>
            </w:pPr>
          </w:p>
        </w:tc>
        <w:tc>
          <w:tcPr>
            <w:tcW w:w="1043" w:type="dxa"/>
            <w:vAlign w:val="top"/>
          </w:tcPr>
          <w:p w14:paraId="11007197">
            <w:pPr>
              <w:rPr>
                <w:rFonts w:hint="eastAsia" w:ascii="宋体" w:hAnsi="宋体" w:eastAsia="宋体" w:cs="宋体"/>
                <w:color w:val="auto"/>
                <w:sz w:val="21"/>
                <w:highlight w:val="none"/>
              </w:rPr>
            </w:pPr>
          </w:p>
        </w:tc>
        <w:tc>
          <w:tcPr>
            <w:tcW w:w="1029" w:type="dxa"/>
            <w:vAlign w:val="top"/>
          </w:tcPr>
          <w:p w14:paraId="7C853AB5">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149E6C48">
            <w:pPr>
              <w:rPr>
                <w:rFonts w:hint="eastAsia" w:ascii="宋体" w:hAnsi="宋体" w:eastAsia="宋体" w:cs="宋体"/>
                <w:color w:val="auto"/>
                <w:sz w:val="21"/>
                <w:highlight w:val="none"/>
              </w:rPr>
            </w:pPr>
          </w:p>
        </w:tc>
      </w:tr>
      <w:tr w14:paraId="7C62BD44">
        <w:tblPrEx>
          <w:tblLayout w:type="fixed"/>
        </w:tblPrEx>
        <w:trPr>
          <w:trHeight w:val="510" w:hRule="atLeast"/>
        </w:trPr>
        <w:tc>
          <w:tcPr>
            <w:tcW w:w="1695" w:type="dxa"/>
            <w:vMerge w:val="continue"/>
            <w:tcBorders>
              <w:top w:val="nil"/>
              <w:left w:val="single" w:color="000000" w:sz="12" w:space="0"/>
              <w:bottom w:val="nil"/>
            </w:tcBorders>
            <w:vAlign w:val="top"/>
          </w:tcPr>
          <w:p w14:paraId="7B211499">
            <w:pPr>
              <w:rPr>
                <w:rFonts w:hint="eastAsia" w:ascii="宋体" w:hAnsi="宋体" w:eastAsia="宋体" w:cs="宋体"/>
                <w:color w:val="auto"/>
                <w:sz w:val="21"/>
                <w:highlight w:val="none"/>
              </w:rPr>
            </w:pPr>
          </w:p>
        </w:tc>
        <w:tc>
          <w:tcPr>
            <w:tcW w:w="1290" w:type="dxa"/>
            <w:vAlign w:val="top"/>
          </w:tcPr>
          <w:p w14:paraId="1FB3835A">
            <w:pPr>
              <w:rPr>
                <w:rFonts w:hint="eastAsia" w:ascii="宋体" w:hAnsi="宋体" w:eastAsia="宋体" w:cs="宋体"/>
                <w:color w:val="auto"/>
                <w:sz w:val="21"/>
                <w:highlight w:val="none"/>
              </w:rPr>
            </w:pPr>
          </w:p>
        </w:tc>
        <w:tc>
          <w:tcPr>
            <w:tcW w:w="1043" w:type="dxa"/>
            <w:vAlign w:val="top"/>
          </w:tcPr>
          <w:p w14:paraId="689EFA47">
            <w:pPr>
              <w:rPr>
                <w:rFonts w:hint="eastAsia" w:ascii="宋体" w:hAnsi="宋体" w:eastAsia="宋体" w:cs="宋体"/>
                <w:color w:val="auto"/>
                <w:sz w:val="21"/>
                <w:highlight w:val="none"/>
              </w:rPr>
            </w:pPr>
          </w:p>
        </w:tc>
        <w:tc>
          <w:tcPr>
            <w:tcW w:w="1029" w:type="dxa"/>
            <w:vAlign w:val="top"/>
          </w:tcPr>
          <w:p w14:paraId="2DE8842D">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7CF5FF52">
            <w:pPr>
              <w:rPr>
                <w:rFonts w:hint="eastAsia" w:ascii="宋体" w:hAnsi="宋体" w:eastAsia="宋体" w:cs="宋体"/>
                <w:color w:val="auto"/>
                <w:sz w:val="21"/>
                <w:highlight w:val="none"/>
              </w:rPr>
            </w:pPr>
          </w:p>
        </w:tc>
      </w:tr>
      <w:tr w14:paraId="285D2200">
        <w:tblPrEx>
          <w:tblLayout w:type="fixed"/>
        </w:tblPrEx>
        <w:trPr>
          <w:trHeight w:val="510" w:hRule="atLeast"/>
        </w:trPr>
        <w:tc>
          <w:tcPr>
            <w:tcW w:w="1695" w:type="dxa"/>
            <w:vMerge w:val="continue"/>
            <w:tcBorders>
              <w:top w:val="nil"/>
              <w:left w:val="single" w:color="000000" w:sz="12" w:space="0"/>
              <w:bottom w:val="nil"/>
            </w:tcBorders>
            <w:vAlign w:val="top"/>
          </w:tcPr>
          <w:p w14:paraId="15C558BB">
            <w:pPr>
              <w:rPr>
                <w:rFonts w:hint="eastAsia" w:ascii="宋体" w:hAnsi="宋体" w:eastAsia="宋体" w:cs="宋体"/>
                <w:color w:val="auto"/>
                <w:sz w:val="21"/>
                <w:highlight w:val="none"/>
              </w:rPr>
            </w:pPr>
          </w:p>
        </w:tc>
        <w:tc>
          <w:tcPr>
            <w:tcW w:w="1290" w:type="dxa"/>
            <w:vAlign w:val="top"/>
          </w:tcPr>
          <w:p w14:paraId="38AF740A">
            <w:pPr>
              <w:rPr>
                <w:rFonts w:hint="eastAsia" w:ascii="宋体" w:hAnsi="宋体" w:eastAsia="宋体" w:cs="宋体"/>
                <w:color w:val="auto"/>
                <w:sz w:val="21"/>
                <w:highlight w:val="none"/>
              </w:rPr>
            </w:pPr>
          </w:p>
        </w:tc>
        <w:tc>
          <w:tcPr>
            <w:tcW w:w="1043" w:type="dxa"/>
            <w:vAlign w:val="top"/>
          </w:tcPr>
          <w:p w14:paraId="6B80661F">
            <w:pPr>
              <w:rPr>
                <w:rFonts w:hint="eastAsia" w:ascii="宋体" w:hAnsi="宋体" w:eastAsia="宋体" w:cs="宋体"/>
                <w:color w:val="auto"/>
                <w:sz w:val="21"/>
                <w:highlight w:val="none"/>
              </w:rPr>
            </w:pPr>
          </w:p>
        </w:tc>
        <w:tc>
          <w:tcPr>
            <w:tcW w:w="1029" w:type="dxa"/>
            <w:vAlign w:val="top"/>
          </w:tcPr>
          <w:p w14:paraId="248AB165">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4EEE01C1">
            <w:pPr>
              <w:rPr>
                <w:rFonts w:hint="eastAsia" w:ascii="宋体" w:hAnsi="宋体" w:eastAsia="宋体" w:cs="宋体"/>
                <w:color w:val="auto"/>
                <w:sz w:val="21"/>
                <w:highlight w:val="none"/>
              </w:rPr>
            </w:pPr>
          </w:p>
        </w:tc>
      </w:tr>
      <w:tr w14:paraId="3EC33E6C">
        <w:tblPrEx>
          <w:tblLayout w:type="fixed"/>
        </w:tblPrEx>
        <w:trPr>
          <w:trHeight w:val="510" w:hRule="atLeast"/>
        </w:trPr>
        <w:tc>
          <w:tcPr>
            <w:tcW w:w="1695" w:type="dxa"/>
            <w:vMerge w:val="continue"/>
            <w:tcBorders>
              <w:top w:val="nil"/>
              <w:left w:val="single" w:color="000000" w:sz="12" w:space="0"/>
              <w:bottom w:val="nil"/>
            </w:tcBorders>
            <w:vAlign w:val="top"/>
          </w:tcPr>
          <w:p w14:paraId="3105BCF1">
            <w:pPr>
              <w:rPr>
                <w:rFonts w:hint="eastAsia" w:ascii="宋体" w:hAnsi="宋体" w:eastAsia="宋体" w:cs="宋体"/>
                <w:color w:val="auto"/>
                <w:sz w:val="21"/>
                <w:highlight w:val="none"/>
              </w:rPr>
            </w:pPr>
          </w:p>
        </w:tc>
        <w:tc>
          <w:tcPr>
            <w:tcW w:w="1290" w:type="dxa"/>
            <w:vAlign w:val="top"/>
          </w:tcPr>
          <w:p w14:paraId="3C5D8AF3">
            <w:pPr>
              <w:rPr>
                <w:rFonts w:hint="eastAsia" w:ascii="宋体" w:hAnsi="宋体" w:eastAsia="宋体" w:cs="宋体"/>
                <w:color w:val="auto"/>
                <w:sz w:val="21"/>
                <w:highlight w:val="none"/>
              </w:rPr>
            </w:pPr>
          </w:p>
        </w:tc>
        <w:tc>
          <w:tcPr>
            <w:tcW w:w="1043" w:type="dxa"/>
            <w:vAlign w:val="top"/>
          </w:tcPr>
          <w:p w14:paraId="7D929618">
            <w:pPr>
              <w:rPr>
                <w:rFonts w:hint="eastAsia" w:ascii="宋体" w:hAnsi="宋体" w:eastAsia="宋体" w:cs="宋体"/>
                <w:color w:val="auto"/>
                <w:sz w:val="21"/>
                <w:highlight w:val="none"/>
              </w:rPr>
            </w:pPr>
          </w:p>
        </w:tc>
        <w:tc>
          <w:tcPr>
            <w:tcW w:w="1029" w:type="dxa"/>
            <w:vAlign w:val="top"/>
          </w:tcPr>
          <w:p w14:paraId="62D6FE02">
            <w:pPr>
              <w:rPr>
                <w:rFonts w:hint="eastAsia" w:ascii="宋体" w:hAnsi="宋体" w:eastAsia="宋体" w:cs="宋体"/>
                <w:color w:val="auto"/>
                <w:sz w:val="21"/>
                <w:highlight w:val="none"/>
              </w:rPr>
            </w:pPr>
          </w:p>
        </w:tc>
        <w:tc>
          <w:tcPr>
            <w:tcW w:w="3920" w:type="dxa"/>
            <w:tcBorders>
              <w:right w:val="single" w:color="000000" w:sz="12" w:space="0"/>
            </w:tcBorders>
            <w:vAlign w:val="top"/>
          </w:tcPr>
          <w:p w14:paraId="7A6E290C">
            <w:pPr>
              <w:rPr>
                <w:rFonts w:hint="eastAsia" w:ascii="宋体" w:hAnsi="宋体" w:eastAsia="宋体" w:cs="宋体"/>
                <w:color w:val="auto"/>
                <w:sz w:val="21"/>
                <w:highlight w:val="none"/>
              </w:rPr>
            </w:pPr>
          </w:p>
        </w:tc>
      </w:tr>
      <w:tr w14:paraId="51140158">
        <w:tblPrEx>
          <w:tblLayout w:type="fixed"/>
        </w:tblPrEx>
        <w:trPr>
          <w:trHeight w:val="533" w:hRule="atLeast"/>
        </w:trPr>
        <w:tc>
          <w:tcPr>
            <w:tcW w:w="1695" w:type="dxa"/>
            <w:vMerge w:val="continue"/>
            <w:tcBorders>
              <w:top w:val="nil"/>
              <w:left w:val="single" w:color="000000" w:sz="12" w:space="0"/>
              <w:bottom w:val="single" w:color="000000" w:sz="12" w:space="0"/>
            </w:tcBorders>
            <w:vAlign w:val="top"/>
          </w:tcPr>
          <w:p w14:paraId="576B119C">
            <w:pPr>
              <w:rPr>
                <w:rFonts w:hint="eastAsia" w:ascii="宋体" w:hAnsi="宋体" w:eastAsia="宋体" w:cs="宋体"/>
                <w:color w:val="auto"/>
                <w:sz w:val="21"/>
                <w:highlight w:val="none"/>
              </w:rPr>
            </w:pPr>
          </w:p>
        </w:tc>
        <w:tc>
          <w:tcPr>
            <w:tcW w:w="1290" w:type="dxa"/>
            <w:tcBorders>
              <w:bottom w:val="single" w:color="000000" w:sz="12" w:space="0"/>
            </w:tcBorders>
            <w:vAlign w:val="top"/>
          </w:tcPr>
          <w:p w14:paraId="6A54FE56">
            <w:pPr>
              <w:rPr>
                <w:rFonts w:hint="eastAsia" w:ascii="宋体" w:hAnsi="宋体" w:eastAsia="宋体" w:cs="宋体"/>
                <w:color w:val="auto"/>
                <w:sz w:val="21"/>
                <w:highlight w:val="none"/>
              </w:rPr>
            </w:pPr>
          </w:p>
        </w:tc>
        <w:tc>
          <w:tcPr>
            <w:tcW w:w="1043" w:type="dxa"/>
            <w:tcBorders>
              <w:bottom w:val="single" w:color="000000" w:sz="12" w:space="0"/>
            </w:tcBorders>
            <w:vAlign w:val="top"/>
          </w:tcPr>
          <w:p w14:paraId="1E1AE90B">
            <w:pPr>
              <w:rPr>
                <w:rFonts w:hint="eastAsia" w:ascii="宋体" w:hAnsi="宋体" w:eastAsia="宋体" w:cs="宋体"/>
                <w:color w:val="auto"/>
                <w:sz w:val="21"/>
                <w:highlight w:val="none"/>
              </w:rPr>
            </w:pPr>
          </w:p>
        </w:tc>
        <w:tc>
          <w:tcPr>
            <w:tcW w:w="1029" w:type="dxa"/>
            <w:tcBorders>
              <w:bottom w:val="single" w:color="000000" w:sz="12" w:space="0"/>
            </w:tcBorders>
            <w:vAlign w:val="top"/>
          </w:tcPr>
          <w:p w14:paraId="326880CF">
            <w:pPr>
              <w:rPr>
                <w:rFonts w:hint="eastAsia" w:ascii="宋体" w:hAnsi="宋体" w:eastAsia="宋体" w:cs="宋体"/>
                <w:color w:val="auto"/>
                <w:sz w:val="21"/>
                <w:highlight w:val="none"/>
              </w:rPr>
            </w:pPr>
          </w:p>
        </w:tc>
        <w:tc>
          <w:tcPr>
            <w:tcW w:w="3920" w:type="dxa"/>
            <w:tcBorders>
              <w:bottom w:val="single" w:color="000000" w:sz="12" w:space="0"/>
              <w:right w:val="single" w:color="000000" w:sz="12" w:space="0"/>
            </w:tcBorders>
            <w:vAlign w:val="top"/>
          </w:tcPr>
          <w:p w14:paraId="1439CEB4">
            <w:pPr>
              <w:rPr>
                <w:rFonts w:hint="eastAsia" w:ascii="宋体" w:hAnsi="宋体" w:eastAsia="宋体" w:cs="宋体"/>
                <w:color w:val="auto"/>
                <w:sz w:val="21"/>
                <w:highlight w:val="none"/>
              </w:rPr>
            </w:pPr>
          </w:p>
        </w:tc>
      </w:tr>
    </w:tbl>
    <w:p w14:paraId="4141DAD8">
      <w:pPr>
        <w:pStyle w:val="8"/>
        <w:rPr>
          <w:rFonts w:hint="eastAsia" w:ascii="宋体" w:hAnsi="宋体" w:eastAsia="宋体" w:cs="宋体"/>
          <w:color w:val="auto"/>
          <w:highlight w:val="none"/>
        </w:rPr>
      </w:pPr>
    </w:p>
    <w:p w14:paraId="46E1B6AE">
      <w:pPr>
        <w:rPr>
          <w:rFonts w:hint="eastAsia" w:ascii="宋体" w:hAnsi="宋体" w:eastAsia="宋体" w:cs="宋体"/>
          <w:color w:val="auto"/>
          <w:highlight w:val="none"/>
        </w:rPr>
        <w:sectPr>
          <w:footerReference r:id="rId9" w:type="default"/>
          <w:pgSz w:w="11910" w:h="16845"/>
          <w:pgMar w:top="1440" w:right="1800" w:bottom="1440" w:left="1800" w:header="0" w:footer="810" w:gutter="0"/>
          <w:pgNumType w:fmt="decimal"/>
          <w:cols w:space="720" w:num="1"/>
        </w:sectPr>
      </w:pPr>
    </w:p>
    <w:p w14:paraId="5321188B">
      <w:pPr>
        <w:spacing w:before="78" w:line="219" w:lineRule="auto"/>
        <w:ind w:left="18"/>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附件</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0"/>
          <w:sz w:val="24"/>
          <w:szCs w:val="24"/>
          <w:highlight w:val="none"/>
        </w:rPr>
        <w:t>6：</w:t>
      </w:r>
    </w:p>
    <w:p w14:paraId="480ED5C5">
      <w:pPr>
        <w:spacing w:before="197" w:line="219" w:lineRule="auto"/>
        <w:ind w:left="2712"/>
        <w:rPr>
          <w:rFonts w:hint="eastAsia" w:ascii="宋体" w:hAnsi="宋体" w:eastAsia="宋体" w:cs="宋体"/>
          <w:color w:val="auto"/>
          <w:sz w:val="36"/>
          <w:szCs w:val="36"/>
          <w:highlight w:val="none"/>
        </w:rPr>
      </w:pPr>
      <w:r>
        <w:rPr>
          <w:rFonts w:hint="eastAsia" w:ascii="宋体" w:hAnsi="宋体" w:eastAsia="宋体" w:cs="宋体"/>
          <w:b/>
          <w:bCs/>
          <w:color w:val="auto"/>
          <w:spacing w:val="8"/>
          <w:sz w:val="36"/>
          <w:szCs w:val="36"/>
          <w:highlight w:val="none"/>
        </w:rPr>
        <w:t>工程建设廉政承诺书</w:t>
      </w:r>
    </w:p>
    <w:p w14:paraId="1AB0F56C">
      <w:pPr>
        <w:pStyle w:val="8"/>
        <w:spacing w:line="262" w:lineRule="auto"/>
        <w:rPr>
          <w:rFonts w:hint="eastAsia" w:ascii="宋体" w:hAnsi="宋体" w:eastAsia="宋体" w:cs="宋体"/>
          <w:color w:val="auto"/>
          <w:highlight w:val="none"/>
        </w:rPr>
      </w:pPr>
    </w:p>
    <w:p w14:paraId="19E3B211">
      <w:pPr>
        <w:pStyle w:val="8"/>
        <w:spacing w:line="263" w:lineRule="auto"/>
        <w:rPr>
          <w:rFonts w:hint="eastAsia" w:ascii="宋体" w:hAnsi="宋体" w:eastAsia="宋体" w:cs="宋体"/>
          <w:color w:val="auto"/>
          <w:highlight w:val="none"/>
        </w:rPr>
      </w:pPr>
    </w:p>
    <w:p w14:paraId="10DA33D7">
      <w:pPr>
        <w:spacing w:before="78" w:line="220" w:lineRule="auto"/>
        <w:ind w:left="2"/>
        <w:rPr>
          <w:rFonts w:hint="eastAsia" w:ascii="宋体" w:hAnsi="宋体" w:eastAsia="宋体" w:cs="宋体"/>
          <w:color w:val="auto"/>
          <w:sz w:val="24"/>
          <w:szCs w:val="24"/>
          <w:highlight w:val="none"/>
        </w:rPr>
      </w:pPr>
      <w:r>
        <w:rPr>
          <w:rFonts w:hint="eastAsia" w:ascii="宋体" w:hAnsi="宋体" w:cs="宋体"/>
          <w:b/>
          <w:bCs/>
          <w:color w:val="auto"/>
          <w:spacing w:val="7"/>
          <w:sz w:val="24"/>
          <w:szCs w:val="24"/>
          <w:highlight w:val="none"/>
          <w:lang w:eastAsia="zh-CN"/>
        </w:rPr>
        <w:t>南通轨道城市服务有限公司</w:t>
      </w:r>
      <w:r>
        <w:rPr>
          <w:rFonts w:hint="eastAsia" w:ascii="宋体" w:hAnsi="宋体" w:eastAsia="宋体" w:cs="宋体"/>
          <w:b/>
          <w:bCs/>
          <w:color w:val="auto"/>
          <w:spacing w:val="7"/>
          <w:sz w:val="24"/>
          <w:szCs w:val="24"/>
          <w:highlight w:val="none"/>
        </w:rPr>
        <w:t>：</w:t>
      </w:r>
    </w:p>
    <w:p w14:paraId="289A55CE">
      <w:pPr>
        <w:spacing w:before="179" w:line="362" w:lineRule="auto"/>
        <w:ind w:right="1"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本公司于</w:t>
      </w:r>
      <w:r>
        <w:rPr>
          <w:rFonts w:hint="eastAsia" w:ascii="宋体" w:hAnsi="宋体" w:eastAsia="宋体" w:cs="宋体"/>
          <w:color w:val="auto"/>
          <w:spacing w:val="-120"/>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9"/>
          <w:sz w:val="24"/>
          <w:szCs w:val="24"/>
          <w:highlight w:val="none"/>
        </w:rPr>
        <w:t xml:space="preserve"> </w:t>
      </w:r>
      <w:r>
        <w:rPr>
          <w:rFonts w:hint="eastAsia" w:ascii="宋体" w:hAnsi="宋体" w:eastAsia="宋体" w:cs="宋体"/>
          <w:color w:val="auto"/>
          <w:spacing w:val="-4"/>
          <w:sz w:val="24"/>
          <w:szCs w:val="24"/>
          <w:highlight w:val="none"/>
        </w:rPr>
        <w:t>日中标承建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4"/>
          <w:sz w:val="24"/>
          <w:szCs w:val="24"/>
          <w:highlight w:val="none"/>
        </w:rPr>
        <w:t>，中标价</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7"/>
          <w:sz w:val="24"/>
          <w:szCs w:val="24"/>
          <w:highlight w:val="none"/>
        </w:rPr>
        <w:t xml:space="preserve"> </w:t>
      </w:r>
      <w:r>
        <w:rPr>
          <w:rFonts w:hint="eastAsia" w:ascii="宋体" w:hAnsi="宋体" w:eastAsia="宋体" w:cs="宋体"/>
          <w:color w:val="auto"/>
          <w:spacing w:val="-4"/>
          <w:sz w:val="24"/>
          <w:szCs w:val="24"/>
          <w:highlight w:val="none"/>
        </w:rPr>
        <w:t>元</w:t>
      </w:r>
      <w:r>
        <w:rPr>
          <w:rFonts w:hint="eastAsia" w:ascii="宋体" w:hAnsi="宋体" w:eastAsia="宋体" w:cs="宋体"/>
          <w:color w:val="auto"/>
          <w:spacing w:val="-5"/>
          <w:sz w:val="24"/>
          <w:szCs w:val="24"/>
          <w:highlight w:val="none"/>
        </w:rPr>
        <w:t>，为</w:t>
      </w:r>
      <w:r>
        <w:rPr>
          <w:rFonts w:hint="eastAsia" w:ascii="宋体" w:hAnsi="宋体" w:eastAsia="宋体" w:cs="宋体"/>
          <w:color w:val="auto"/>
          <w:spacing w:val="-2"/>
          <w:sz w:val="24"/>
          <w:szCs w:val="24"/>
          <w:highlight w:val="none"/>
        </w:rPr>
        <w:t>确保在工程建设中保持廉洁自律的工作作风，防止各种不正</w:t>
      </w:r>
      <w:r>
        <w:rPr>
          <w:rFonts w:hint="eastAsia" w:ascii="宋体" w:hAnsi="宋体" w:eastAsia="宋体" w:cs="宋体"/>
          <w:color w:val="auto"/>
          <w:spacing w:val="-3"/>
          <w:sz w:val="24"/>
          <w:szCs w:val="24"/>
          <w:highlight w:val="none"/>
        </w:rPr>
        <w:t>当行为的发生，根据国家</w:t>
      </w:r>
      <w:r>
        <w:rPr>
          <w:rFonts w:hint="eastAsia" w:ascii="宋体" w:hAnsi="宋体" w:eastAsia="宋体" w:cs="宋体"/>
          <w:color w:val="auto"/>
          <w:spacing w:val="-2"/>
          <w:sz w:val="24"/>
          <w:szCs w:val="24"/>
          <w:highlight w:val="none"/>
        </w:rPr>
        <w:t>有关建设工程廉政建设的规定，现自愿向你委承诺如</w:t>
      </w:r>
      <w:r>
        <w:rPr>
          <w:rFonts w:hint="eastAsia" w:ascii="宋体" w:hAnsi="宋体" w:eastAsia="宋体" w:cs="宋体"/>
          <w:color w:val="auto"/>
          <w:spacing w:val="-3"/>
          <w:sz w:val="24"/>
          <w:szCs w:val="24"/>
          <w:highlight w:val="none"/>
        </w:rPr>
        <w:t>下：</w:t>
      </w:r>
    </w:p>
    <w:p w14:paraId="5AB89CF0">
      <w:pPr>
        <w:spacing w:line="219"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1、在施工现场醒目位置设置《廉政公示牌》。</w:t>
      </w:r>
    </w:p>
    <w:p w14:paraId="1EFD9877">
      <w:pPr>
        <w:spacing w:before="180" w:line="288" w:lineRule="auto"/>
        <w:ind w:right="27"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2、不以任何名义向建设方和监理公司工作人员赠送礼金、购物卡、兑换券、有</w:t>
      </w:r>
      <w:r>
        <w:rPr>
          <w:rFonts w:hint="eastAsia" w:ascii="宋体" w:hAnsi="宋体" w:eastAsia="宋体" w:cs="宋体"/>
          <w:color w:val="auto"/>
          <w:spacing w:val="-4"/>
          <w:sz w:val="24"/>
          <w:szCs w:val="24"/>
          <w:highlight w:val="none"/>
        </w:rPr>
        <w:t>价证券、贵重物品等。</w:t>
      </w:r>
    </w:p>
    <w:p w14:paraId="4792C807">
      <w:pPr>
        <w:spacing w:before="183" w:line="288" w:lineRule="auto"/>
        <w:ind w:right="25" w:firstLine="4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3、不以任何名义邀请建设方和监理公司工作人员到高档娱乐场所消费或外出旅</w:t>
      </w:r>
      <w:r>
        <w:rPr>
          <w:rFonts w:hint="eastAsia" w:ascii="宋体" w:hAnsi="宋体" w:eastAsia="宋体" w:cs="宋体"/>
          <w:color w:val="auto"/>
          <w:spacing w:val="-2"/>
          <w:sz w:val="24"/>
          <w:szCs w:val="24"/>
          <w:highlight w:val="none"/>
        </w:rPr>
        <w:t>游，不介绍或诱惑相关人员参与“黄、赌、毒”活动。</w:t>
      </w:r>
    </w:p>
    <w:p w14:paraId="72BF4FCA">
      <w:pPr>
        <w:spacing w:before="182" w:line="288" w:lineRule="auto"/>
        <w:ind w:left="39" w:right="26" w:firstLine="4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4、发现建设方和监理方人员有索贿、吃拿卡要、报销个人费用等行为，以及擅</w:t>
      </w:r>
      <w:r>
        <w:rPr>
          <w:rFonts w:hint="eastAsia" w:ascii="宋体" w:hAnsi="宋体" w:eastAsia="宋体" w:cs="宋体"/>
          <w:color w:val="auto"/>
          <w:spacing w:val="-3"/>
          <w:sz w:val="24"/>
          <w:szCs w:val="24"/>
          <w:highlight w:val="none"/>
        </w:rPr>
        <w:t>自介绍或指定材料供应商的，应及时向开发区纪工委汇报。</w:t>
      </w:r>
    </w:p>
    <w:p w14:paraId="7CF7A32C">
      <w:pPr>
        <w:spacing w:before="195" w:line="220"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5、未经甲方许可备案登记，不得变更项目经理，不得分包、转包</w:t>
      </w:r>
      <w:r>
        <w:rPr>
          <w:rFonts w:hint="eastAsia" w:ascii="宋体" w:hAnsi="宋体" w:eastAsia="宋体" w:cs="宋体"/>
          <w:color w:val="auto"/>
          <w:spacing w:val="-2"/>
          <w:sz w:val="24"/>
          <w:szCs w:val="24"/>
          <w:highlight w:val="none"/>
        </w:rPr>
        <w:t>工程。</w:t>
      </w:r>
    </w:p>
    <w:p w14:paraId="24ACC3E3">
      <w:pPr>
        <w:spacing w:before="179" w:line="360" w:lineRule="auto"/>
        <w:ind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以上承诺，本公司将自觉、自愿遵守，自觉接受群众和开发区纪工委的监督，如</w:t>
      </w:r>
      <w:r>
        <w:rPr>
          <w:rFonts w:hint="eastAsia" w:ascii="宋体" w:hAnsi="宋体" w:eastAsia="宋体" w:cs="宋体"/>
          <w:color w:val="auto"/>
          <w:spacing w:val="-2"/>
          <w:sz w:val="24"/>
          <w:szCs w:val="24"/>
          <w:highlight w:val="none"/>
        </w:rPr>
        <w:t>违反上述任何一条，我公司同意三年内不再承建</w:t>
      </w:r>
      <w:r>
        <w:rPr>
          <w:rFonts w:hint="eastAsia" w:ascii="宋体" w:hAnsi="宋体" w:cs="宋体"/>
          <w:color w:val="auto"/>
          <w:spacing w:val="-2"/>
          <w:sz w:val="24"/>
          <w:szCs w:val="24"/>
          <w:highlight w:val="none"/>
          <w:lang w:eastAsia="zh-CN"/>
        </w:rPr>
        <w:t>南通轨道城市服务有限公司</w:t>
      </w:r>
      <w:r>
        <w:rPr>
          <w:rFonts w:hint="eastAsia" w:ascii="宋体" w:hAnsi="宋体" w:eastAsia="宋体" w:cs="宋体"/>
          <w:color w:val="auto"/>
          <w:spacing w:val="-3"/>
          <w:sz w:val="24"/>
          <w:szCs w:val="24"/>
          <w:highlight w:val="none"/>
        </w:rPr>
        <w:t>工程项目，项目经理进入你司“黑名单”。</w:t>
      </w:r>
    </w:p>
    <w:p w14:paraId="4974CD3D">
      <w:pPr>
        <w:pStyle w:val="8"/>
        <w:spacing w:line="378" w:lineRule="auto"/>
        <w:rPr>
          <w:rFonts w:hint="eastAsia" w:ascii="宋体" w:hAnsi="宋体" w:eastAsia="宋体" w:cs="宋体"/>
          <w:color w:val="auto"/>
          <w:highlight w:val="none"/>
        </w:rPr>
      </w:pPr>
    </w:p>
    <w:p w14:paraId="1D84C39B">
      <w:pPr>
        <w:spacing w:before="78" w:line="219" w:lineRule="auto"/>
        <w:ind w:left="3366"/>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单位盖章：</w:t>
      </w:r>
    </w:p>
    <w:p w14:paraId="3133F8B1">
      <w:pPr>
        <w:spacing w:before="181" w:line="220" w:lineRule="auto"/>
        <w:ind w:left="336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承</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1"/>
          <w:sz w:val="24"/>
          <w:szCs w:val="24"/>
          <w:highlight w:val="none"/>
        </w:rPr>
        <w:t>诺</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1"/>
          <w:sz w:val="24"/>
          <w:szCs w:val="24"/>
          <w:highlight w:val="none"/>
        </w:rPr>
        <w:t>人（签字</w:t>
      </w:r>
      <w:r>
        <w:rPr>
          <w:rFonts w:hint="eastAsia" w:ascii="宋体" w:hAnsi="宋体" w:eastAsia="宋体" w:cs="宋体"/>
          <w:color w:val="auto"/>
          <w:spacing w:val="-4"/>
          <w:sz w:val="24"/>
          <w:szCs w:val="24"/>
          <w:highlight w:val="none"/>
        </w:rPr>
        <w:t>）：</w:t>
      </w:r>
    </w:p>
    <w:p w14:paraId="53D6C43B">
      <w:pPr>
        <w:spacing w:before="181" w:line="220" w:lineRule="auto"/>
        <w:ind w:left="3364"/>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日    期：</w:t>
      </w:r>
    </w:p>
    <w:p w14:paraId="55956F52">
      <w:pPr>
        <w:spacing w:before="181" w:line="220" w:lineRule="auto"/>
        <w:ind w:left="3364"/>
        <w:rPr>
          <w:rFonts w:hint="eastAsia" w:ascii="宋体" w:hAnsi="宋体" w:eastAsia="宋体" w:cs="宋体"/>
          <w:color w:val="auto"/>
          <w:spacing w:val="-11"/>
          <w:sz w:val="24"/>
          <w:szCs w:val="24"/>
          <w:highlight w:val="none"/>
        </w:rPr>
        <w:sectPr>
          <w:footerReference r:id="rId10" w:type="default"/>
          <w:pgSz w:w="11910" w:h="16845"/>
          <w:pgMar w:top="1440" w:right="1800" w:bottom="1440" w:left="1800" w:header="0" w:footer="810" w:gutter="0"/>
          <w:pgNumType w:fmt="decimal"/>
          <w:cols w:space="720" w:num="1"/>
        </w:sectPr>
      </w:pPr>
    </w:p>
    <w:p w14:paraId="5ED7372C">
      <w:pPr>
        <w:spacing w:line="440" w:lineRule="exact"/>
        <w:ind w:right="-941" w:rightChars="-448"/>
        <w:jc w:val="center"/>
        <w:outlineLvl w:val="0"/>
        <w:rPr>
          <w:rFonts w:hint="eastAsia" w:ascii="宋体" w:hAnsi="宋体" w:cs="宋体"/>
          <w:b/>
          <w:sz w:val="32"/>
          <w:szCs w:val="32"/>
          <w:highlight w:val="none"/>
          <w:lang w:val="zh-CN"/>
        </w:rPr>
      </w:pPr>
      <w:bookmarkStart w:id="364" w:name="_Toc24640"/>
      <w:r>
        <w:rPr>
          <w:rFonts w:hint="eastAsia" w:ascii="宋体" w:hAnsi="宋体" w:cs="宋体"/>
          <w:b/>
          <w:sz w:val="32"/>
          <w:szCs w:val="32"/>
          <w:highlight w:val="none"/>
          <w:lang w:val="zh-CN"/>
        </w:rPr>
        <w:t>第八章  质疑提出和处理</w:t>
      </w:r>
      <w:bookmarkEnd w:id="225"/>
      <w:bookmarkEnd w:id="226"/>
      <w:bookmarkEnd w:id="227"/>
      <w:bookmarkEnd w:id="228"/>
      <w:bookmarkEnd w:id="229"/>
      <w:bookmarkEnd w:id="230"/>
      <w:bookmarkEnd w:id="231"/>
      <w:bookmarkEnd w:id="232"/>
      <w:bookmarkEnd w:id="364"/>
    </w:p>
    <w:p w14:paraId="016C8840">
      <w:pPr>
        <w:rPr>
          <w:rFonts w:hint="eastAsia" w:ascii="宋体" w:hAnsi="宋体" w:cs="宋体"/>
          <w:highlight w:val="none"/>
        </w:rPr>
      </w:pPr>
      <w:bookmarkStart w:id="365" w:name="_Toc10558"/>
      <w:bookmarkStart w:id="366" w:name="_Toc15641"/>
      <w:bookmarkStart w:id="367" w:name="_Toc3098"/>
      <w:bookmarkStart w:id="368" w:name="_Toc11112"/>
    </w:p>
    <w:p w14:paraId="3BB3BCFE">
      <w:pPr>
        <w:pStyle w:val="43"/>
        <w:adjustRightInd/>
        <w:spacing w:line="440" w:lineRule="exact"/>
        <w:ind w:right="-739" w:rightChars="-352"/>
        <w:outlineLvl w:val="1"/>
        <w:rPr>
          <w:rFonts w:hint="eastAsia" w:eastAsia="宋体"/>
          <w:color w:val="auto"/>
          <w:sz w:val="21"/>
          <w:szCs w:val="21"/>
          <w:highlight w:val="none"/>
        </w:rPr>
      </w:pPr>
      <w:bookmarkStart w:id="369" w:name="_Toc13732"/>
      <w:bookmarkStart w:id="370" w:name="_Toc15783"/>
      <w:bookmarkStart w:id="371" w:name="_Toc7778"/>
      <w:bookmarkStart w:id="372" w:name="_Toc15043"/>
      <w:r>
        <w:rPr>
          <w:rFonts w:hint="eastAsia" w:eastAsia="宋体"/>
          <w:color w:val="auto"/>
          <w:sz w:val="21"/>
          <w:szCs w:val="21"/>
          <w:highlight w:val="none"/>
        </w:rPr>
        <w:t>一、质疑的提出</w:t>
      </w:r>
      <w:bookmarkEnd w:id="365"/>
      <w:bookmarkEnd w:id="366"/>
      <w:bookmarkEnd w:id="367"/>
      <w:bookmarkEnd w:id="369"/>
      <w:bookmarkEnd w:id="370"/>
      <w:bookmarkEnd w:id="371"/>
      <w:bookmarkEnd w:id="372"/>
    </w:p>
    <w:bookmarkEnd w:id="368"/>
    <w:p w14:paraId="79662986">
      <w:pPr>
        <w:spacing w:line="440" w:lineRule="exact"/>
        <w:ind w:right="-739" w:rightChars="-352"/>
        <w:rPr>
          <w:rFonts w:hint="eastAsia" w:ascii="宋体" w:hAnsi="宋体" w:cs="宋体"/>
          <w:szCs w:val="21"/>
          <w:highlight w:val="none"/>
        </w:rPr>
      </w:pPr>
      <w:bookmarkStart w:id="373" w:name="_Toc22477"/>
      <w:r>
        <w:rPr>
          <w:rFonts w:hint="eastAsia" w:ascii="宋体" w:hAnsi="宋体" w:cs="宋体"/>
          <w:szCs w:val="21"/>
          <w:highlight w:val="none"/>
        </w:rPr>
        <w:t>(一)质疑人的身份要求</w:t>
      </w:r>
      <w:bookmarkEnd w:id="373"/>
      <w:r>
        <w:rPr>
          <w:rFonts w:hint="eastAsia" w:ascii="宋体" w:hAnsi="宋体" w:cs="宋体"/>
          <w:szCs w:val="21"/>
          <w:highlight w:val="none"/>
        </w:rPr>
        <w:t xml:space="preserve">      </w:t>
      </w:r>
    </w:p>
    <w:p w14:paraId="5F53E965">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提出质疑的投标人应当是参与所质疑项目招投标活动的投标人。</w:t>
      </w:r>
    </w:p>
    <w:p w14:paraId="312DC14D">
      <w:pPr>
        <w:spacing w:line="440" w:lineRule="exact"/>
        <w:ind w:right="-739" w:rightChars="-352"/>
        <w:rPr>
          <w:rFonts w:hint="eastAsia" w:ascii="宋体" w:hAnsi="宋体" w:cs="宋体"/>
          <w:szCs w:val="21"/>
          <w:highlight w:val="none"/>
        </w:rPr>
      </w:pPr>
      <w:bookmarkStart w:id="374" w:name="_Toc10412"/>
      <w:r>
        <w:rPr>
          <w:rFonts w:hint="eastAsia" w:ascii="宋体" w:hAnsi="宋体" w:cs="宋体"/>
          <w:szCs w:val="21"/>
          <w:highlight w:val="none"/>
        </w:rPr>
        <w:t>(二)质疑提出的格式要求</w:t>
      </w:r>
      <w:bookmarkEnd w:id="374"/>
      <w:r>
        <w:rPr>
          <w:rFonts w:hint="eastAsia" w:ascii="宋体" w:hAnsi="宋体" w:cs="宋体"/>
          <w:szCs w:val="21"/>
          <w:highlight w:val="none"/>
        </w:rPr>
        <w:t xml:space="preserve">   </w:t>
      </w:r>
    </w:p>
    <w:p w14:paraId="435D793E">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1、对本次招投标有质疑的，须实名制以书面形式提出，不得进行匿名、虚假、恶意质疑。</w:t>
      </w:r>
    </w:p>
    <w:p w14:paraId="74012A4B">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2、质疑函应包括：    </w:t>
      </w:r>
    </w:p>
    <w:p w14:paraId="6BC0793A">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（1）质疑投标人的名称、地址、邮编、联系人及联系电话；</w:t>
      </w:r>
    </w:p>
    <w:p w14:paraId="51F79B2F">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（2）具体、明确的质疑事项及明确的请求；</w:t>
      </w:r>
    </w:p>
    <w:p w14:paraId="23093052">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（3）质疑的事实依据和必要的法律依据；</w:t>
      </w:r>
    </w:p>
    <w:p w14:paraId="328F6FE3">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（4）提起质疑的日期；</w:t>
      </w:r>
    </w:p>
    <w:p w14:paraId="43C436D9">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（5）认为自己合法权益受到损害或可能受到损害的相关证据材料；</w:t>
      </w:r>
    </w:p>
    <w:p w14:paraId="59790570">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14:paraId="12D27507">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3、质疑函需遵循的原则</w:t>
      </w:r>
    </w:p>
    <w:p w14:paraId="2EE05121">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14:paraId="6E9532AE">
      <w:pPr>
        <w:spacing w:line="440" w:lineRule="exact"/>
        <w:ind w:right="-739" w:rightChars="-352"/>
        <w:rPr>
          <w:rFonts w:hint="eastAsia" w:ascii="宋体" w:hAnsi="宋体" w:cs="宋体"/>
          <w:szCs w:val="21"/>
          <w:highlight w:val="none"/>
        </w:rPr>
      </w:pPr>
      <w:bookmarkStart w:id="375" w:name="_Toc9615"/>
      <w:r>
        <w:rPr>
          <w:rFonts w:hint="eastAsia" w:ascii="宋体" w:hAnsi="宋体" w:cs="宋体"/>
          <w:szCs w:val="21"/>
          <w:highlight w:val="none"/>
        </w:rPr>
        <w:t>（三）质疑提出的时效要求</w:t>
      </w:r>
      <w:bookmarkEnd w:id="375"/>
    </w:p>
    <w:p w14:paraId="6CC6394A">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1、投标人认为招标文件、招投标过程和评标结果使自己的权益受到损害的，可以在规定的时间内，以书面形式向招标人提出质疑。</w:t>
      </w:r>
    </w:p>
    <w:p w14:paraId="0B90C44C">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（1）投标人或者其他利害关系人对招标文件有异议的，应当在投标截止时间10日前以书面形式提出。</w:t>
      </w:r>
    </w:p>
    <w:p w14:paraId="4BC74730">
      <w:pPr>
        <w:pStyle w:val="9"/>
        <w:spacing w:line="44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对招投标过程提出质疑的，为各招投标程序环节结束之日；投标人对开标有异议的，应当于开标会上以书面扫描件形式提出，招标人应当作出答复，并制作记录。开标结束后投标人不得对开标事项再提出异议。</w:t>
      </w:r>
    </w:p>
    <w:p w14:paraId="3702E364">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（3）投标人或者其他利害关系人对评标结果有异议的，应当在中标候选人公示期间提出。</w:t>
      </w:r>
    </w:p>
    <w:p w14:paraId="04DA3CD6">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2、投标人应在法定质疑期一次性提出针对同一招投标程序环节的质疑。 </w:t>
      </w:r>
    </w:p>
    <w:p w14:paraId="435C987C">
      <w:pPr>
        <w:pStyle w:val="43"/>
        <w:adjustRightInd/>
        <w:spacing w:line="420" w:lineRule="exact"/>
        <w:ind w:right="-739" w:rightChars="-352"/>
        <w:outlineLvl w:val="1"/>
        <w:rPr>
          <w:rFonts w:hint="eastAsia" w:eastAsia="宋体"/>
          <w:color w:val="auto"/>
          <w:sz w:val="21"/>
          <w:szCs w:val="21"/>
          <w:highlight w:val="none"/>
        </w:rPr>
      </w:pPr>
      <w:bookmarkStart w:id="376" w:name="_Toc21535"/>
      <w:bookmarkStart w:id="377" w:name="_Toc31468"/>
      <w:bookmarkStart w:id="378" w:name="_Toc5111"/>
      <w:bookmarkStart w:id="379" w:name="_Toc13294"/>
      <w:bookmarkStart w:id="380" w:name="_Toc24945"/>
      <w:bookmarkStart w:id="381" w:name="_Toc27583"/>
      <w:bookmarkStart w:id="382" w:name="_Toc28700"/>
      <w:bookmarkStart w:id="383" w:name="_Toc11993"/>
      <w:r>
        <w:rPr>
          <w:rFonts w:hint="eastAsia" w:eastAsia="宋体"/>
          <w:color w:val="auto"/>
          <w:sz w:val="21"/>
          <w:szCs w:val="21"/>
          <w:highlight w:val="none"/>
        </w:rPr>
        <w:t>二、《质疑函》的受理和答复</w:t>
      </w:r>
      <w:bookmarkEnd w:id="376"/>
      <w:bookmarkEnd w:id="377"/>
      <w:bookmarkEnd w:id="378"/>
      <w:bookmarkEnd w:id="379"/>
      <w:bookmarkEnd w:id="380"/>
      <w:bookmarkEnd w:id="381"/>
      <w:bookmarkEnd w:id="382"/>
    </w:p>
    <w:bookmarkEnd w:id="383"/>
    <w:p w14:paraId="5252B678">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1、招标人收到质疑函后，将对质疑的形式和内容进行审查，如质疑函内容、格式不符合规定，招标人将告知质疑人进行补正。</w:t>
      </w:r>
    </w:p>
    <w:p w14:paraId="4A2F093D">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2、质疑人应当在法定质疑期限内进行补正并重新提交质疑函，拒不补正或者在法定期限内未重新提交质疑函的，为无效质疑，招标人将不予受理。</w:t>
      </w:r>
    </w:p>
    <w:p w14:paraId="0982355E">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3、招标人或招标代理机构答复投标人质疑应当采用书面方式并依法送达，质疑投标人或其委托代理人拒绝签收的视为已经送达。</w:t>
      </w:r>
    </w:p>
    <w:p w14:paraId="63460035">
      <w:pPr>
        <w:pStyle w:val="43"/>
        <w:adjustRightInd/>
        <w:spacing w:line="420" w:lineRule="exact"/>
        <w:ind w:right="-739" w:rightChars="-352"/>
        <w:outlineLvl w:val="1"/>
        <w:rPr>
          <w:rFonts w:hint="eastAsia" w:eastAsia="宋体"/>
          <w:color w:val="auto"/>
          <w:sz w:val="21"/>
          <w:szCs w:val="21"/>
          <w:highlight w:val="none"/>
        </w:rPr>
      </w:pPr>
      <w:bookmarkStart w:id="384" w:name="_Toc9353"/>
      <w:bookmarkStart w:id="385" w:name="_Toc20123"/>
      <w:bookmarkStart w:id="386" w:name="_Toc15332"/>
      <w:bookmarkStart w:id="387" w:name="_Toc23635"/>
      <w:bookmarkStart w:id="388" w:name="_Toc17615"/>
      <w:bookmarkStart w:id="389" w:name="_Toc15988"/>
      <w:bookmarkStart w:id="390" w:name="_Toc17639"/>
      <w:bookmarkStart w:id="391" w:name="_Toc22138"/>
      <w:r>
        <w:rPr>
          <w:rFonts w:hint="eastAsia" w:eastAsia="宋体"/>
          <w:color w:val="auto"/>
          <w:sz w:val="21"/>
          <w:szCs w:val="21"/>
          <w:highlight w:val="none"/>
        </w:rPr>
        <w:t>三、质疑处理</w:t>
      </w:r>
      <w:bookmarkEnd w:id="384"/>
      <w:bookmarkEnd w:id="385"/>
      <w:bookmarkEnd w:id="386"/>
      <w:bookmarkEnd w:id="387"/>
      <w:bookmarkEnd w:id="388"/>
      <w:bookmarkEnd w:id="389"/>
      <w:bookmarkEnd w:id="390"/>
    </w:p>
    <w:bookmarkEnd w:id="391"/>
    <w:p w14:paraId="0F82DFC7">
      <w:pPr>
        <w:spacing w:line="420" w:lineRule="exact"/>
        <w:ind w:right="-739" w:rightChars="-352"/>
        <w:rPr>
          <w:rFonts w:hint="eastAsia" w:ascii="宋体" w:hAnsi="宋体" w:cs="宋体"/>
          <w:szCs w:val="21"/>
          <w:highlight w:val="none"/>
        </w:rPr>
      </w:pPr>
      <w:bookmarkStart w:id="392" w:name="_Toc29318"/>
      <w:r>
        <w:rPr>
          <w:rFonts w:hint="eastAsia" w:ascii="宋体" w:hAnsi="宋体" w:cs="宋体"/>
          <w:szCs w:val="21"/>
          <w:highlight w:val="none"/>
        </w:rPr>
        <w:t>1、质疑成立的处理</w:t>
      </w:r>
      <w:bookmarkEnd w:id="392"/>
    </w:p>
    <w:p w14:paraId="2ACF85B3">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（1）对于内容、格式符合规定的质疑函，招标人在收到投标人的书面质疑后七个工作日内作出书面答复，但答复的内容不得涉及商业秘密。</w:t>
      </w:r>
    </w:p>
    <w:p w14:paraId="7648E48A">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（2）对招标文件提出的质疑，依法通过澄清或者修改可以继续开展招投标活动的，澄清或者修改招标文件后继续开展招投标活动；否则应当修改招标文件后重新开展招投标活动。</w:t>
      </w:r>
    </w:p>
    <w:p w14:paraId="65746B08">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（3）对招投标过程、中标或者成交结果提出的质疑，合格投标人符合法定数量时，可以从合格的中标候选人中另行确定中标、成交人的，应当依法另行确定中标人；否则应当重新开展招投标活动。</w:t>
      </w:r>
    </w:p>
    <w:p w14:paraId="3E3AF723">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（4）质疑答复导致中标、成交结果改变的，招标人或者招标代理机构应当将有关情况书面报告项目主管部门。</w:t>
      </w:r>
    </w:p>
    <w:p w14:paraId="7727BC66">
      <w:pPr>
        <w:spacing w:line="420" w:lineRule="exact"/>
        <w:ind w:right="-739" w:rightChars="-352"/>
        <w:rPr>
          <w:rFonts w:hint="eastAsia" w:ascii="宋体" w:hAnsi="宋体" w:cs="宋体"/>
          <w:szCs w:val="21"/>
          <w:highlight w:val="none"/>
        </w:rPr>
      </w:pPr>
      <w:bookmarkStart w:id="393" w:name="_Toc16354"/>
      <w:r>
        <w:rPr>
          <w:rFonts w:hint="eastAsia" w:ascii="宋体" w:hAnsi="宋体" w:cs="宋体"/>
          <w:szCs w:val="21"/>
          <w:highlight w:val="none"/>
        </w:rPr>
        <w:t>2、质疑不成立的处理</w:t>
      </w:r>
      <w:bookmarkEnd w:id="393"/>
    </w:p>
    <w:p w14:paraId="4A738838">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若质疑不成立，或者成立未对中标、成交结果构成影响的，继续开展招投标活动。</w:t>
      </w:r>
    </w:p>
    <w:p w14:paraId="4D3DAD3A">
      <w:pPr>
        <w:spacing w:line="420" w:lineRule="exact"/>
        <w:ind w:right="-739" w:rightChars="-352"/>
        <w:rPr>
          <w:rFonts w:hint="eastAsia" w:ascii="宋体" w:hAnsi="宋体" w:cs="宋体"/>
          <w:szCs w:val="21"/>
          <w:highlight w:val="none"/>
        </w:rPr>
      </w:pPr>
      <w:bookmarkStart w:id="394" w:name="_Toc50"/>
      <w:r>
        <w:rPr>
          <w:rFonts w:hint="eastAsia" w:ascii="宋体" w:hAnsi="宋体" w:cs="宋体"/>
          <w:szCs w:val="21"/>
          <w:highlight w:val="none"/>
        </w:rPr>
        <w:t>3、虚假质疑的处理</w:t>
      </w:r>
      <w:bookmarkEnd w:id="394"/>
      <w:r>
        <w:rPr>
          <w:rFonts w:hint="eastAsia" w:ascii="宋体" w:hAnsi="宋体" w:cs="宋体"/>
          <w:szCs w:val="21"/>
          <w:highlight w:val="none"/>
        </w:rPr>
        <w:t xml:space="preserve">     </w:t>
      </w:r>
    </w:p>
    <w:p w14:paraId="522B5E97">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（1）投标人提出书面质疑必须有理、有据，不得恶意质疑或提交虚假质疑。否则，一经查实，招标人有权对该投标人进行相应的处罚。</w:t>
      </w:r>
    </w:p>
    <w:p w14:paraId="64D89C7F">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（2）在江苏省范围内一年累计三次以上质疑，均查无实据的投标人将按失信行为记入该注册投标人诚信档案中。</w:t>
      </w:r>
    </w:p>
    <w:p w14:paraId="64F8A594">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（3）受理质疑和答复相关咨询：</w:t>
      </w:r>
    </w:p>
    <w:p w14:paraId="31F4F8C1">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监督部门：综合管理部</w:t>
      </w:r>
    </w:p>
    <w:p w14:paraId="1DF7E3B9">
      <w:pPr>
        <w:pStyle w:val="9"/>
        <w:spacing w:line="420" w:lineRule="exact"/>
        <w:ind w:left="0" w:right="-739" w:rightChars="-352"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投诉举报电话：0513-80813993</w:t>
      </w:r>
    </w:p>
    <w:p w14:paraId="49E8015B">
      <w:pPr>
        <w:pStyle w:val="9"/>
        <w:spacing w:line="420" w:lineRule="exact"/>
        <w:ind w:left="0" w:right="-739" w:rightChars="-352" w:firstLine="420" w:firstLineChars="200"/>
        <w:contextualSpacing/>
        <w:rPr>
          <w:rFonts w:hint="eastAsia" w:ascii="宋体" w:hAnsi="宋体" w:eastAsia="宋体" w:cs="宋体"/>
          <w:sz w:val="24"/>
          <w:szCs w:val="24"/>
          <w:highlight w:val="none"/>
        </w:rPr>
      </w:pPr>
      <w:r>
        <w:rPr>
          <w:rFonts w:hint="eastAsia" w:ascii="宋体" w:hAnsi="宋体" w:eastAsia="宋体" w:cs="宋体"/>
          <w:sz w:val="21"/>
          <w:szCs w:val="21"/>
          <w:highlight w:val="none"/>
        </w:rPr>
        <w:t>通信地址：南通市崇川区崇川路158号18楼</w:t>
      </w:r>
    </w:p>
    <w:p w14:paraId="0279AED0">
      <w:pPr>
        <w:spacing w:line="420" w:lineRule="exact"/>
        <w:ind w:right="-941" w:rightChars="-448"/>
        <w:jc w:val="center"/>
        <w:rPr>
          <w:rFonts w:hint="eastAsia" w:ascii="宋体" w:hAnsi="宋体" w:cs="宋体"/>
          <w:kern w:val="0"/>
          <w:sz w:val="24"/>
          <w:highlight w:val="none"/>
          <w:lang w:val="zh-CN"/>
        </w:rPr>
        <w:sectPr>
          <w:footerReference r:id="rId11" w:type="default"/>
          <w:pgSz w:w="11905"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720" w:num="1"/>
          <w:docGrid w:type="lines" w:linePitch="325" w:charSpace="0"/>
        </w:sectPr>
      </w:pPr>
    </w:p>
    <w:p w14:paraId="6F7B50FA">
      <w:pPr>
        <w:spacing w:line="440" w:lineRule="exact"/>
        <w:ind w:right="-101" w:rightChars="-48"/>
        <w:jc w:val="center"/>
        <w:outlineLvl w:val="0"/>
        <w:rPr>
          <w:rFonts w:hint="eastAsia" w:ascii="宋体" w:hAnsi="宋体" w:cs="宋体"/>
          <w:b/>
          <w:sz w:val="32"/>
          <w:szCs w:val="32"/>
          <w:highlight w:val="none"/>
          <w:lang w:val="zh-CN"/>
        </w:rPr>
      </w:pPr>
      <w:bookmarkStart w:id="395" w:name="_Toc9911"/>
      <w:bookmarkStart w:id="396" w:name="_Toc5930"/>
      <w:bookmarkStart w:id="397" w:name="_Toc12215"/>
      <w:bookmarkStart w:id="398" w:name="_Toc26916"/>
      <w:bookmarkStart w:id="399" w:name="_Toc4121"/>
      <w:bookmarkStart w:id="400" w:name="_Toc10298"/>
      <w:bookmarkStart w:id="401" w:name="_Toc9891"/>
      <w:bookmarkStart w:id="402" w:name="_Toc6898"/>
      <w:r>
        <w:rPr>
          <w:rFonts w:hint="eastAsia" w:ascii="宋体" w:hAnsi="宋体" w:cs="宋体"/>
          <w:b/>
          <w:sz w:val="32"/>
          <w:szCs w:val="32"/>
          <w:highlight w:val="none"/>
          <w:lang w:val="zh-CN"/>
        </w:rPr>
        <w:t>第九章  投标文件组成</w:t>
      </w:r>
      <w:bookmarkEnd w:id="395"/>
      <w:bookmarkEnd w:id="396"/>
      <w:bookmarkEnd w:id="397"/>
      <w:bookmarkEnd w:id="398"/>
      <w:bookmarkEnd w:id="399"/>
      <w:bookmarkEnd w:id="400"/>
      <w:bookmarkEnd w:id="401"/>
      <w:bookmarkEnd w:id="402"/>
    </w:p>
    <w:p w14:paraId="68DE7650">
      <w:pPr>
        <w:rPr>
          <w:rFonts w:hint="eastAsia" w:ascii="宋体" w:hAnsi="宋体" w:cs="宋体"/>
          <w:highlight w:val="none"/>
        </w:rPr>
      </w:pPr>
      <w:bookmarkStart w:id="403" w:name="_Toc30967_WPSOffice_Level2"/>
      <w:bookmarkStart w:id="404" w:name="_Toc16976_WPSOffice_Level2"/>
      <w:bookmarkStart w:id="405" w:name="_Toc16566_WPSOffice_Level2"/>
    </w:p>
    <w:p w14:paraId="4E48A551">
      <w:pPr>
        <w:rPr>
          <w:rFonts w:hint="eastAsia" w:ascii="宋体" w:hAnsi="宋体" w:eastAsia="宋体" w:cs="宋体"/>
          <w:color w:val="auto"/>
          <w:highlight w:val="none"/>
        </w:rPr>
      </w:pPr>
    </w:p>
    <w:p w14:paraId="038B075D">
      <w:pPr>
        <w:rPr>
          <w:rFonts w:hint="eastAsia" w:ascii="宋体" w:hAnsi="宋体" w:cs="宋体"/>
          <w:highlight w:val="none"/>
        </w:rPr>
      </w:pPr>
    </w:p>
    <w:p w14:paraId="425FC0F8">
      <w:pPr>
        <w:rPr>
          <w:rFonts w:hint="eastAsia" w:ascii="宋体" w:hAnsi="宋体" w:cs="宋体"/>
          <w:highlight w:val="none"/>
        </w:rPr>
      </w:pPr>
    </w:p>
    <w:p w14:paraId="6E7AB17F">
      <w:pPr>
        <w:spacing w:line="440" w:lineRule="exact"/>
        <w:jc w:val="center"/>
        <w:rPr>
          <w:rFonts w:hint="eastAsia" w:ascii="宋体" w:hAnsi="宋体" w:cs="宋体"/>
          <w:b/>
          <w:sz w:val="36"/>
          <w:szCs w:val="36"/>
          <w:highlight w:val="none"/>
        </w:rPr>
      </w:pPr>
    </w:p>
    <w:bookmarkEnd w:id="403"/>
    <w:bookmarkEnd w:id="404"/>
    <w:bookmarkEnd w:id="405"/>
    <w:p w14:paraId="73F8594F">
      <w:pPr>
        <w:spacing w:line="360" w:lineRule="auto"/>
        <w:jc w:val="center"/>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钟秀西地铁大食堂改造工程（</w:t>
      </w:r>
      <w:r>
        <w:rPr>
          <w:rFonts w:hint="eastAsia" w:ascii="宋体" w:hAnsi="宋体" w:cs="宋体"/>
          <w:b/>
          <w:sz w:val="44"/>
          <w:szCs w:val="44"/>
          <w:highlight w:val="none"/>
          <w:lang w:val="en-US" w:eastAsia="zh-CN"/>
        </w:rPr>
        <w:t>二次</w:t>
      </w:r>
      <w:r>
        <w:rPr>
          <w:rFonts w:hint="eastAsia" w:ascii="宋体" w:hAnsi="宋体" w:cs="宋体"/>
          <w:b/>
          <w:sz w:val="44"/>
          <w:szCs w:val="44"/>
          <w:highlight w:val="none"/>
          <w:lang w:eastAsia="zh-CN"/>
        </w:rPr>
        <w:t>）</w:t>
      </w:r>
    </w:p>
    <w:p w14:paraId="1987156D">
      <w:pPr>
        <w:rPr>
          <w:rFonts w:hint="eastAsia" w:ascii="宋体" w:hAnsi="宋体" w:cs="宋体"/>
          <w:highlight w:val="none"/>
        </w:rPr>
      </w:pPr>
      <w:bookmarkStart w:id="406" w:name="_Toc23606"/>
      <w:bookmarkStart w:id="407" w:name="_Toc20468"/>
      <w:bookmarkStart w:id="408" w:name="_Toc29099"/>
      <w:bookmarkStart w:id="409" w:name="_Toc20680"/>
      <w:bookmarkStart w:id="410" w:name="_Toc20415"/>
    </w:p>
    <w:p w14:paraId="6E4DB576">
      <w:pPr>
        <w:spacing w:line="360" w:lineRule="auto"/>
        <w:jc w:val="center"/>
        <w:outlineLvl w:val="0"/>
        <w:rPr>
          <w:rFonts w:hint="eastAsia" w:ascii="宋体" w:hAnsi="宋体" w:cs="宋体"/>
          <w:b/>
          <w:bCs/>
          <w:sz w:val="36"/>
          <w:szCs w:val="36"/>
          <w:highlight w:val="none"/>
        </w:rPr>
      </w:pPr>
      <w:bookmarkStart w:id="411" w:name="_Toc21054"/>
      <w:bookmarkStart w:id="412" w:name="_Toc30679"/>
      <w:bookmarkStart w:id="413" w:name="_Toc9107"/>
      <w:bookmarkStart w:id="414" w:name="_Toc15745"/>
      <w:bookmarkStart w:id="415" w:name="_Toc14478"/>
      <w:r>
        <w:rPr>
          <w:rFonts w:hint="eastAsia" w:ascii="宋体" w:hAnsi="宋体" w:cs="宋体"/>
          <w:b/>
          <w:bCs/>
          <w:sz w:val="36"/>
          <w:szCs w:val="36"/>
          <w:highlight w:val="none"/>
        </w:rPr>
        <w:t>（资格审查文件）</w:t>
      </w:r>
      <w:bookmarkEnd w:id="406"/>
      <w:bookmarkEnd w:id="407"/>
      <w:bookmarkEnd w:id="408"/>
      <w:bookmarkEnd w:id="409"/>
      <w:bookmarkEnd w:id="410"/>
      <w:bookmarkEnd w:id="411"/>
      <w:bookmarkEnd w:id="412"/>
      <w:bookmarkEnd w:id="413"/>
      <w:bookmarkEnd w:id="414"/>
      <w:bookmarkEnd w:id="415"/>
    </w:p>
    <w:p w14:paraId="363758EB">
      <w:pPr>
        <w:spacing w:line="440" w:lineRule="exact"/>
        <w:rPr>
          <w:rFonts w:hint="eastAsia" w:ascii="宋体" w:hAnsi="宋体" w:cs="宋体"/>
          <w:sz w:val="32"/>
          <w:highlight w:val="none"/>
        </w:rPr>
      </w:pPr>
    </w:p>
    <w:p w14:paraId="045AFC54">
      <w:pPr>
        <w:spacing w:line="440" w:lineRule="exact"/>
        <w:rPr>
          <w:rFonts w:hint="eastAsia" w:ascii="宋体" w:hAnsi="宋体" w:cs="宋体"/>
          <w:sz w:val="32"/>
          <w:highlight w:val="none"/>
        </w:rPr>
      </w:pPr>
    </w:p>
    <w:p w14:paraId="318EC489">
      <w:pPr>
        <w:spacing w:line="440" w:lineRule="exact"/>
        <w:rPr>
          <w:rFonts w:hint="eastAsia" w:ascii="宋体" w:hAnsi="宋体" w:cs="宋体"/>
          <w:sz w:val="32"/>
          <w:highlight w:val="none"/>
        </w:rPr>
      </w:pPr>
    </w:p>
    <w:p w14:paraId="4D168114">
      <w:pPr>
        <w:spacing w:line="440" w:lineRule="exact"/>
        <w:rPr>
          <w:rFonts w:hint="eastAsia" w:ascii="宋体" w:hAnsi="宋体" w:cs="宋体"/>
          <w:sz w:val="32"/>
          <w:highlight w:val="none"/>
        </w:rPr>
      </w:pPr>
    </w:p>
    <w:p w14:paraId="7362B6C7">
      <w:pPr>
        <w:spacing w:line="440" w:lineRule="exact"/>
        <w:rPr>
          <w:rFonts w:hint="eastAsia" w:ascii="宋体" w:hAnsi="宋体" w:cs="宋体"/>
          <w:sz w:val="32"/>
          <w:highlight w:val="none"/>
        </w:rPr>
      </w:pPr>
    </w:p>
    <w:p w14:paraId="2D0ADA51">
      <w:pPr>
        <w:rPr>
          <w:rFonts w:hint="eastAsia" w:ascii="宋体" w:hAnsi="宋体" w:cs="宋体"/>
          <w:highlight w:val="none"/>
        </w:rPr>
      </w:pPr>
    </w:p>
    <w:p w14:paraId="1466302B">
      <w:pPr>
        <w:rPr>
          <w:rFonts w:hint="eastAsia" w:ascii="宋体" w:hAnsi="宋体" w:cs="宋体"/>
          <w:sz w:val="32"/>
          <w:highlight w:val="none"/>
        </w:rPr>
      </w:pPr>
    </w:p>
    <w:p w14:paraId="2F5293D3">
      <w:pPr>
        <w:spacing w:line="440" w:lineRule="exact"/>
        <w:rPr>
          <w:rFonts w:hint="eastAsia" w:ascii="宋体" w:hAnsi="宋体" w:cs="宋体"/>
          <w:sz w:val="32"/>
          <w:highlight w:val="none"/>
        </w:rPr>
      </w:pPr>
    </w:p>
    <w:p w14:paraId="0DFDD3F5">
      <w:pPr>
        <w:rPr>
          <w:rFonts w:hint="eastAsia" w:ascii="宋体" w:hAnsi="宋体" w:cs="宋体"/>
          <w:highlight w:val="none"/>
        </w:rPr>
      </w:pPr>
    </w:p>
    <w:p w14:paraId="5DB90A5C">
      <w:pPr>
        <w:rPr>
          <w:rFonts w:hint="eastAsia" w:ascii="宋体" w:hAnsi="宋体" w:cs="宋体"/>
          <w:b/>
          <w:bCs/>
          <w:sz w:val="28"/>
          <w:szCs w:val="28"/>
          <w:highlight w:val="none"/>
        </w:rPr>
      </w:pPr>
      <w:bookmarkStart w:id="416" w:name="_Toc25067_WPSOffice_Level3"/>
      <w:bookmarkStart w:id="417" w:name="_Toc18398"/>
      <w:bookmarkStart w:id="418" w:name="_Toc22742_WPSOffice_Level3"/>
      <w:bookmarkStart w:id="419" w:name="_Toc25691_WPSOffice_Level3"/>
    </w:p>
    <w:p w14:paraId="1ECF59A5">
      <w:pPr>
        <w:rPr>
          <w:rFonts w:hint="eastAsia" w:ascii="宋体" w:hAnsi="宋体" w:cs="宋体"/>
          <w:highlight w:val="none"/>
        </w:rPr>
      </w:pPr>
    </w:p>
    <w:bookmarkEnd w:id="416"/>
    <w:bookmarkEnd w:id="417"/>
    <w:bookmarkEnd w:id="418"/>
    <w:bookmarkEnd w:id="419"/>
    <w:p w14:paraId="13AEC9D7">
      <w:pPr>
        <w:ind w:firstLine="1687" w:firstLineChars="600"/>
        <w:rPr>
          <w:rFonts w:hint="eastAsia" w:ascii="宋体" w:hAnsi="宋体" w:cs="宋体"/>
          <w:b/>
          <w:bCs/>
          <w:sz w:val="28"/>
          <w:szCs w:val="28"/>
          <w:highlight w:val="none"/>
        </w:rPr>
      </w:pPr>
    </w:p>
    <w:p w14:paraId="3381E7BE">
      <w:pPr>
        <w:ind w:firstLine="1585" w:firstLineChars="564"/>
        <w:rPr>
          <w:rFonts w:hint="eastAsia" w:ascii="宋体" w:hAnsi="宋体" w:cs="宋体"/>
          <w:b/>
          <w:bCs/>
          <w:sz w:val="28"/>
          <w:szCs w:val="28"/>
          <w:highlight w:val="none"/>
        </w:rPr>
      </w:pPr>
      <w:bookmarkStart w:id="420" w:name="_Toc15095"/>
      <w:bookmarkStart w:id="421" w:name="_Toc10713"/>
      <w:bookmarkStart w:id="422" w:name="_Toc20169"/>
      <w:bookmarkStart w:id="423" w:name="_Toc12943"/>
      <w:bookmarkStart w:id="424" w:name="_Toc26305"/>
    </w:p>
    <w:p w14:paraId="19A42510">
      <w:pPr>
        <w:jc w:val="center"/>
        <w:rPr>
          <w:rFonts w:hint="eastAsia" w:ascii="宋体" w:hAnsi="宋体" w:cs="宋体"/>
          <w:b/>
          <w:bCs/>
          <w:sz w:val="28"/>
          <w:szCs w:val="28"/>
          <w:highlight w:val="none"/>
        </w:rPr>
      </w:pPr>
    </w:p>
    <w:p w14:paraId="492EA3C3">
      <w:pPr>
        <w:jc w:val="center"/>
        <w:rPr>
          <w:rFonts w:hint="eastAsia" w:ascii="宋体" w:hAnsi="宋体" w:cs="宋体"/>
          <w:b/>
          <w:bCs/>
          <w:sz w:val="28"/>
          <w:szCs w:val="28"/>
          <w:highlight w:val="none"/>
          <w:u w:val="single"/>
        </w:rPr>
      </w:pPr>
      <w:r>
        <w:rPr>
          <w:rFonts w:hint="eastAsia" w:ascii="宋体" w:hAnsi="宋体" w:cs="宋体"/>
          <w:b/>
          <w:bCs/>
          <w:sz w:val="28"/>
          <w:szCs w:val="28"/>
          <w:highlight w:val="none"/>
        </w:rPr>
        <w:t xml:space="preserve">投  标  人: </w:t>
      </w:r>
      <w:r>
        <w:rPr>
          <w:rFonts w:hint="eastAsia" w:ascii="宋体" w:hAnsi="宋体" w:cs="宋体"/>
          <w:b/>
          <w:bCs/>
          <w:sz w:val="28"/>
          <w:szCs w:val="28"/>
          <w:highlight w:val="none"/>
          <w:u w:val="single"/>
        </w:rPr>
        <w:t xml:space="preserve">         （全称）（盖章）</w:t>
      </w:r>
    </w:p>
    <w:p w14:paraId="1D4D5E96">
      <w:pPr>
        <w:jc w:val="center"/>
        <w:rPr>
          <w:rFonts w:hint="eastAsia" w:ascii="宋体" w:hAnsi="宋体" w:cs="宋体"/>
          <w:b/>
          <w:bCs/>
          <w:sz w:val="28"/>
          <w:szCs w:val="28"/>
          <w:highlight w:val="none"/>
          <w:u w:val="single"/>
        </w:rPr>
      </w:pPr>
      <w:r>
        <w:rPr>
          <w:rFonts w:hint="eastAsia" w:ascii="宋体" w:hAnsi="宋体" w:cs="宋体"/>
          <w:b/>
          <w:bCs/>
          <w:sz w:val="28"/>
          <w:szCs w:val="28"/>
          <w:highlight w:val="none"/>
        </w:rPr>
        <w:t>法定代表人：</w:t>
      </w:r>
      <w:r>
        <w:rPr>
          <w:rFonts w:hint="eastAsia" w:ascii="宋体" w:hAnsi="宋体" w:cs="宋体"/>
          <w:b/>
          <w:bCs/>
          <w:sz w:val="28"/>
          <w:szCs w:val="28"/>
          <w:highlight w:val="none"/>
          <w:u w:val="single"/>
        </w:rPr>
        <w:t xml:space="preserve">           （签字或盖章）</w:t>
      </w:r>
    </w:p>
    <w:p w14:paraId="3C3265CD">
      <w:pPr>
        <w:jc w:val="center"/>
        <w:rPr>
          <w:rFonts w:hint="eastAsia" w:ascii="宋体" w:hAnsi="宋体" w:cs="宋体"/>
          <w:b/>
          <w:bCs/>
          <w:sz w:val="28"/>
          <w:szCs w:val="28"/>
          <w:highlight w:val="none"/>
        </w:rPr>
      </w:pPr>
      <w:r>
        <w:rPr>
          <w:rFonts w:hint="eastAsia" w:ascii="宋体" w:hAnsi="宋体" w:cs="宋体"/>
          <w:b/>
          <w:bCs/>
          <w:sz w:val="28"/>
          <w:szCs w:val="28"/>
          <w:highlight w:val="none"/>
        </w:rPr>
        <w:t>时      间：       年      月      日</w:t>
      </w:r>
    </w:p>
    <w:p w14:paraId="27A47CFD">
      <w:pPr>
        <w:spacing w:line="440" w:lineRule="exact"/>
        <w:ind w:firstLine="1928" w:firstLineChars="600"/>
        <w:jc w:val="center"/>
        <w:rPr>
          <w:rFonts w:hint="eastAsia" w:ascii="宋体" w:hAnsi="宋体" w:cs="宋体"/>
          <w:b/>
          <w:bCs/>
          <w:sz w:val="32"/>
          <w:szCs w:val="32"/>
          <w:highlight w:val="none"/>
        </w:rPr>
        <w:sectPr>
          <w:pgSz w:w="11905"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720" w:num="1"/>
          <w:docGrid w:type="lines" w:linePitch="325" w:charSpace="0"/>
        </w:sectPr>
      </w:pPr>
    </w:p>
    <w:p w14:paraId="44D50492">
      <w:pPr>
        <w:keepNext/>
        <w:keepLines/>
        <w:spacing w:before="260" w:after="260" w:line="440" w:lineRule="exact"/>
        <w:jc w:val="center"/>
        <w:outlineLvl w:val="1"/>
        <w:rPr>
          <w:rFonts w:hint="eastAsia" w:ascii="宋体" w:hAnsi="宋体" w:cs="宋体"/>
          <w:b/>
          <w:bCs/>
          <w:kern w:val="0"/>
          <w:sz w:val="32"/>
          <w:szCs w:val="32"/>
          <w:highlight w:val="none"/>
        </w:rPr>
      </w:pPr>
      <w:bookmarkStart w:id="425" w:name="_Toc10051"/>
      <w:bookmarkStart w:id="426" w:name="_Toc23411"/>
      <w:bookmarkStart w:id="427" w:name="_Toc14884"/>
      <w:bookmarkStart w:id="428" w:name="_Toc31008"/>
      <w:bookmarkStart w:id="429" w:name="_Toc3439"/>
      <w:bookmarkStart w:id="430" w:name="_Toc21091"/>
      <w:bookmarkStart w:id="431" w:name="_Toc5324"/>
      <w:bookmarkStart w:id="432" w:name="_Toc4386"/>
      <w:r>
        <w:rPr>
          <w:rFonts w:hint="eastAsia" w:ascii="宋体" w:hAnsi="宋体" w:cs="宋体"/>
          <w:b/>
          <w:bCs/>
          <w:kern w:val="0"/>
          <w:sz w:val="32"/>
          <w:szCs w:val="32"/>
          <w:highlight w:val="none"/>
        </w:rPr>
        <w:t>目  录</w:t>
      </w:r>
      <w:bookmarkEnd w:id="420"/>
      <w:bookmarkEnd w:id="421"/>
      <w:bookmarkEnd w:id="422"/>
      <w:bookmarkEnd w:id="423"/>
      <w:bookmarkEnd w:id="424"/>
      <w:bookmarkEnd w:id="425"/>
      <w:bookmarkEnd w:id="426"/>
      <w:bookmarkEnd w:id="427"/>
      <w:bookmarkEnd w:id="428"/>
      <w:bookmarkEnd w:id="429"/>
      <w:bookmarkEnd w:id="430"/>
      <w:bookmarkEnd w:id="431"/>
      <w:bookmarkEnd w:id="432"/>
    </w:p>
    <w:p w14:paraId="3B1D2FC7">
      <w:pPr>
        <w:spacing w:line="440" w:lineRule="exact"/>
        <w:rPr>
          <w:rFonts w:hint="eastAsia" w:ascii="宋体" w:hAnsi="宋体" w:cs="宋体"/>
          <w:highlight w:val="none"/>
        </w:rPr>
      </w:pPr>
      <w:bookmarkStart w:id="433" w:name="_Toc25880_WPSOffice_Level3"/>
      <w:bookmarkStart w:id="434" w:name="_Toc14117_WPSOffice_Level3"/>
    </w:p>
    <w:bookmarkEnd w:id="433"/>
    <w:bookmarkEnd w:id="434"/>
    <w:p w14:paraId="69BEBDDB">
      <w:pPr>
        <w:spacing w:line="440" w:lineRule="exact"/>
        <w:rPr>
          <w:rFonts w:hint="eastAsia" w:ascii="宋体" w:hAnsi="宋体" w:cs="宋体"/>
          <w:szCs w:val="21"/>
          <w:highlight w:val="none"/>
        </w:rPr>
      </w:pPr>
      <w:bookmarkStart w:id="435" w:name="_Toc30041"/>
      <w:bookmarkStart w:id="436" w:name="_Toc30629"/>
      <w:bookmarkStart w:id="437" w:name="_Toc9958"/>
      <w:r>
        <w:rPr>
          <w:rFonts w:hint="eastAsia" w:ascii="宋体" w:hAnsi="宋体" w:cs="宋体"/>
          <w:szCs w:val="21"/>
          <w:highlight w:val="none"/>
        </w:rPr>
        <w:t>一</w:t>
      </w:r>
      <w:r>
        <w:rPr>
          <w:rFonts w:hint="eastAsia" w:ascii="宋体" w:hAnsi="宋体" w:cs="宋体"/>
          <w:szCs w:val="21"/>
          <w:highlight w:val="none"/>
          <w:lang w:eastAsia="zh-CN"/>
        </w:rPr>
        <w:t>、</w:t>
      </w:r>
      <w:r>
        <w:rPr>
          <w:rFonts w:hint="eastAsia" w:ascii="宋体" w:hAnsi="宋体" w:cs="宋体"/>
          <w:szCs w:val="21"/>
          <w:highlight w:val="none"/>
        </w:rPr>
        <w:t>法定代表人身份证明或其授权委托书</w:t>
      </w:r>
      <w:bookmarkEnd w:id="435"/>
      <w:bookmarkEnd w:id="436"/>
      <w:bookmarkEnd w:id="437"/>
    </w:p>
    <w:p w14:paraId="55866F39">
      <w:pPr>
        <w:spacing w:line="440" w:lineRule="exact"/>
        <w:rPr>
          <w:rFonts w:hint="eastAsia" w:ascii="宋体" w:hAnsi="宋体" w:cs="宋体"/>
          <w:szCs w:val="21"/>
          <w:highlight w:val="none"/>
        </w:rPr>
      </w:pPr>
      <w:bookmarkStart w:id="438" w:name="_Toc28094"/>
      <w:bookmarkStart w:id="439" w:name="_Toc30089_WPSOffice_Level3"/>
      <w:bookmarkStart w:id="440" w:name="_Toc24867"/>
      <w:bookmarkStart w:id="441" w:name="_Toc27775"/>
      <w:bookmarkStart w:id="442" w:name="_Toc18864_WPSOffice_Level3"/>
      <w:r>
        <w:rPr>
          <w:rFonts w:hint="eastAsia" w:ascii="宋体" w:hAnsi="宋体" w:cs="宋体"/>
          <w:szCs w:val="21"/>
          <w:highlight w:val="none"/>
        </w:rPr>
        <w:t>二</w:t>
      </w:r>
      <w:r>
        <w:rPr>
          <w:rFonts w:hint="eastAsia" w:ascii="宋体" w:hAnsi="宋体" w:cs="宋体"/>
          <w:szCs w:val="21"/>
          <w:highlight w:val="none"/>
          <w:lang w:eastAsia="zh-CN"/>
        </w:rPr>
        <w:t>、</w:t>
      </w:r>
      <w:r>
        <w:rPr>
          <w:rFonts w:hint="eastAsia" w:ascii="宋体" w:hAnsi="宋体" w:cs="宋体"/>
          <w:szCs w:val="21"/>
          <w:highlight w:val="none"/>
        </w:rPr>
        <w:t>投标人基本情况表</w:t>
      </w:r>
      <w:bookmarkEnd w:id="438"/>
      <w:bookmarkEnd w:id="439"/>
      <w:bookmarkEnd w:id="440"/>
      <w:bookmarkEnd w:id="441"/>
      <w:bookmarkEnd w:id="442"/>
      <w:bookmarkStart w:id="443" w:name="_Toc30487_WPSOffice_Level3"/>
      <w:bookmarkStart w:id="444" w:name="_Toc2754_WPSOffice_Level3"/>
      <w:bookmarkStart w:id="445" w:name="_Toc29264"/>
      <w:bookmarkStart w:id="446" w:name="_Toc27952"/>
      <w:bookmarkStart w:id="447" w:name="_Toc16802"/>
    </w:p>
    <w:p w14:paraId="552E33D1">
      <w:pPr>
        <w:spacing w:line="440" w:lineRule="exact"/>
        <w:rPr>
          <w:rFonts w:hint="eastAsia" w:ascii="宋体" w:hAnsi="宋体" w:cs="宋体"/>
          <w:szCs w:val="21"/>
          <w:highlight w:val="none"/>
        </w:rPr>
      </w:pPr>
      <w:r>
        <w:rPr>
          <w:rFonts w:hint="eastAsia" w:ascii="宋体" w:hAnsi="宋体" w:cs="宋体"/>
          <w:szCs w:val="21"/>
          <w:highlight w:val="none"/>
        </w:rPr>
        <w:t>三</w:t>
      </w:r>
      <w:r>
        <w:rPr>
          <w:rFonts w:hint="eastAsia" w:ascii="宋体" w:hAnsi="宋体" w:cs="宋体"/>
          <w:szCs w:val="21"/>
          <w:highlight w:val="none"/>
          <w:lang w:eastAsia="zh-CN"/>
        </w:rPr>
        <w:t>、</w:t>
      </w:r>
      <w:bookmarkEnd w:id="443"/>
      <w:bookmarkEnd w:id="444"/>
      <w:r>
        <w:rPr>
          <w:rFonts w:hint="eastAsia" w:ascii="宋体" w:hAnsi="宋体" w:cs="宋体"/>
          <w:szCs w:val="21"/>
          <w:highlight w:val="none"/>
          <w:lang w:eastAsia="zh-CN"/>
        </w:rPr>
        <w:t>项目经理简历表</w:t>
      </w:r>
    </w:p>
    <w:bookmarkEnd w:id="445"/>
    <w:bookmarkEnd w:id="446"/>
    <w:bookmarkEnd w:id="447"/>
    <w:p w14:paraId="6886BA2E">
      <w:pPr>
        <w:spacing w:line="440" w:lineRule="exact"/>
        <w:rPr>
          <w:rFonts w:hint="eastAsia" w:ascii="宋体" w:hAnsi="宋体" w:cs="宋体"/>
          <w:szCs w:val="21"/>
          <w:highlight w:val="none"/>
        </w:rPr>
      </w:pPr>
      <w:bookmarkStart w:id="448" w:name="_Toc3766"/>
      <w:bookmarkStart w:id="449" w:name="_Toc1262"/>
      <w:bookmarkStart w:id="450" w:name="_Toc28045"/>
      <w:r>
        <w:rPr>
          <w:rFonts w:hint="eastAsia" w:ascii="宋体" w:hAnsi="宋体" w:cs="宋体"/>
          <w:szCs w:val="21"/>
          <w:highlight w:val="none"/>
          <w:lang w:val="en-US" w:eastAsia="zh-CN"/>
        </w:rPr>
        <w:t>四</w:t>
      </w:r>
      <w:r>
        <w:rPr>
          <w:rFonts w:hint="eastAsia" w:ascii="宋体" w:hAnsi="宋体" w:cs="宋体"/>
          <w:szCs w:val="21"/>
          <w:highlight w:val="none"/>
          <w:lang w:eastAsia="zh-CN"/>
        </w:rPr>
        <w:t>、</w:t>
      </w:r>
      <w:r>
        <w:rPr>
          <w:rFonts w:hint="eastAsia" w:ascii="宋体" w:hAnsi="宋体" w:cs="宋体"/>
          <w:szCs w:val="21"/>
          <w:highlight w:val="none"/>
        </w:rPr>
        <w:t>承诺</w:t>
      </w:r>
      <w:bookmarkEnd w:id="448"/>
      <w:bookmarkEnd w:id="449"/>
      <w:bookmarkEnd w:id="450"/>
      <w:r>
        <w:rPr>
          <w:rFonts w:hint="eastAsia" w:ascii="宋体" w:hAnsi="宋体" w:cs="宋体"/>
          <w:szCs w:val="21"/>
          <w:highlight w:val="none"/>
        </w:rPr>
        <w:t>书</w:t>
      </w:r>
    </w:p>
    <w:p w14:paraId="6E8198FF">
      <w:pPr>
        <w:spacing w:line="44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五、投标保证金</w:t>
      </w:r>
    </w:p>
    <w:p w14:paraId="13A16E13">
      <w:pPr>
        <w:spacing w:line="440" w:lineRule="exact"/>
        <w:rPr>
          <w:rFonts w:hint="eastAsia" w:ascii="宋体" w:hAnsi="宋体" w:cs="宋体"/>
          <w:szCs w:val="21"/>
          <w:highlight w:val="none"/>
        </w:rPr>
      </w:pPr>
      <w:r>
        <w:rPr>
          <w:rFonts w:hint="eastAsia" w:ascii="宋体" w:hAnsi="宋体" w:cs="宋体"/>
          <w:szCs w:val="21"/>
          <w:highlight w:val="none"/>
        </w:rPr>
        <w:t>（投标人自行编制目录页码）</w:t>
      </w:r>
    </w:p>
    <w:p w14:paraId="33088FF1">
      <w:pPr>
        <w:spacing w:line="440" w:lineRule="exact"/>
        <w:rPr>
          <w:rFonts w:hint="eastAsia" w:ascii="宋体" w:hAnsi="宋体" w:cs="宋体"/>
          <w:sz w:val="24"/>
          <w:highlight w:val="none"/>
        </w:rPr>
      </w:pPr>
    </w:p>
    <w:p w14:paraId="6A86DD80">
      <w:pPr>
        <w:spacing w:line="440" w:lineRule="exact"/>
        <w:rPr>
          <w:rFonts w:hint="eastAsia" w:ascii="宋体" w:hAnsi="宋体" w:cs="宋体"/>
          <w:sz w:val="24"/>
          <w:highlight w:val="none"/>
        </w:rPr>
      </w:pPr>
    </w:p>
    <w:p w14:paraId="581EA3E9">
      <w:pPr>
        <w:spacing w:line="440" w:lineRule="exact"/>
        <w:rPr>
          <w:rFonts w:hint="eastAsia" w:ascii="宋体" w:hAnsi="宋体" w:cs="宋体"/>
          <w:sz w:val="24"/>
          <w:highlight w:val="none"/>
        </w:rPr>
        <w:sectPr>
          <w:pgSz w:w="11905"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720" w:num="1"/>
          <w:docGrid w:type="lines" w:linePitch="325" w:charSpace="0"/>
        </w:sectPr>
      </w:pPr>
    </w:p>
    <w:p w14:paraId="1A5CF871">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lang w:val="en-US" w:eastAsia="zh-CN"/>
        </w:rPr>
      </w:pPr>
      <w:bookmarkStart w:id="451" w:name="_Toc7903"/>
      <w:bookmarkStart w:id="452" w:name="_Toc28510"/>
      <w:bookmarkStart w:id="453" w:name="_Toc12306"/>
      <w:bookmarkStart w:id="454" w:name="_Toc12675"/>
      <w:bookmarkStart w:id="455" w:name="_Toc9739"/>
      <w:bookmarkStart w:id="456" w:name="_Toc13481"/>
      <w:bookmarkStart w:id="457" w:name="_Toc18478"/>
      <w:bookmarkStart w:id="458" w:name="_Toc25882"/>
      <w:bookmarkStart w:id="459" w:name="_Toc25135"/>
      <w:bookmarkStart w:id="460" w:name="_Toc2668"/>
      <w:bookmarkStart w:id="461" w:name="_Toc12442"/>
      <w:bookmarkStart w:id="462" w:name="_Toc28952"/>
      <w:r>
        <w:rPr>
          <w:rFonts w:hint="eastAsia" w:ascii="宋体" w:hAnsi="宋体" w:eastAsia="宋体" w:cs="宋体"/>
          <w:b/>
          <w:bCs/>
          <w:color w:val="auto"/>
          <w:sz w:val="30"/>
          <w:szCs w:val="30"/>
          <w:highlight w:val="none"/>
          <w:lang w:val="en-US" w:eastAsia="zh-CN"/>
        </w:rPr>
        <w:t>一、法定代表人身份证明或其授权委托书</w:t>
      </w:r>
      <w:bookmarkEnd w:id="451"/>
    </w:p>
    <w:p w14:paraId="75A4BB8A">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rPr>
      </w:pPr>
      <w:bookmarkStart w:id="463" w:name="_Toc11976"/>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法定代表人身份证明</w:t>
      </w:r>
      <w:bookmarkEnd w:id="452"/>
      <w:bookmarkEnd w:id="453"/>
      <w:bookmarkEnd w:id="454"/>
      <w:bookmarkEnd w:id="463"/>
    </w:p>
    <w:p w14:paraId="4BBB8B34">
      <w:pPr>
        <w:pStyle w:val="11"/>
        <w:ind w:left="0" w:leftChars="0" w:firstLine="480" w:firstLineChars="200"/>
        <w:rPr>
          <w:rFonts w:hint="eastAsia" w:ascii="宋体" w:hAnsi="宋体" w:eastAsia="宋体" w:cs="宋体"/>
          <w:color w:val="auto"/>
          <w:sz w:val="24"/>
          <w:szCs w:val="24"/>
          <w:highlight w:val="none"/>
        </w:rPr>
      </w:pPr>
    </w:p>
    <w:p w14:paraId="59D54982">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29815B49">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56E65F02">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43FCB4F4">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081E8E57">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26D1C231">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6A199E8F">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                       </w:t>
      </w:r>
      <w:r>
        <w:rPr>
          <w:rFonts w:hint="eastAsia" w:ascii="宋体" w:hAnsi="宋体" w:eastAsia="宋体" w:cs="宋体"/>
          <w:color w:val="auto"/>
          <w:sz w:val="24"/>
          <w:szCs w:val="24"/>
          <w:highlight w:val="none"/>
        </w:rPr>
        <w:t>的法定代表人。</w:t>
      </w:r>
    </w:p>
    <w:p w14:paraId="603DC05B">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03D7F39F">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EA65167">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44B90C78">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35C910EA">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5B5793D9">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13900EA4">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7AED9E97">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35C79E7C">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w:t>
      </w:r>
    </w:p>
    <w:p w14:paraId="0F6EC4C2">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7E5D07F1">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02E25">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62921EA7">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17F4A1DB">
      <w:pPr>
        <w:adjustRightInd w:val="0"/>
        <w:snapToGrid w:val="0"/>
        <w:spacing w:line="360" w:lineRule="auto"/>
        <w:ind w:right="-124" w:rightChars="-59" w:firstLine="480" w:firstLineChars="200"/>
        <w:rPr>
          <w:rFonts w:hint="eastAsia" w:ascii="宋体" w:hAnsi="宋体" w:eastAsia="宋体" w:cs="宋体"/>
          <w:color w:val="auto"/>
          <w:sz w:val="24"/>
          <w:szCs w:val="24"/>
          <w:highlight w:val="none"/>
        </w:rPr>
      </w:pPr>
    </w:p>
    <w:p w14:paraId="4C78C6FE">
      <w:pPr>
        <w:topLinePunct/>
        <w:adjustRightInd w:val="0"/>
        <w:snapToGrid w:val="0"/>
        <w:spacing w:line="360" w:lineRule="auto"/>
        <w:ind w:right="-124" w:rightChars="-59"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附：法定代表人身份证双面复印件；若组成联合体参与投标，须出具联合体各成员方的法定代表人身份证明，并附各方法定代表人身份证复印件。</w:t>
      </w:r>
    </w:p>
    <w:p w14:paraId="7B9458E7">
      <w:pPr>
        <w:pStyle w:val="11"/>
        <w:adjustRightInd w:val="0"/>
        <w:snapToGrid w:val="0"/>
        <w:ind w:left="315" w:leftChars="0" w:right="131"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523A15D">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rPr>
      </w:pPr>
      <w:bookmarkStart w:id="464" w:name="_Toc467764295"/>
      <w:bookmarkStart w:id="465" w:name="_Toc7783"/>
      <w:bookmarkStart w:id="466" w:name="_Toc32622"/>
      <w:bookmarkStart w:id="467" w:name="_Toc25789"/>
      <w:bookmarkStart w:id="468" w:name="_Toc24345"/>
      <w:bookmarkStart w:id="469" w:name="_Toc21361"/>
      <w:bookmarkStart w:id="470" w:name="_Toc31703"/>
      <w:bookmarkStart w:id="471" w:name="_Toc23027"/>
      <w:bookmarkStart w:id="472" w:name="_Toc11617"/>
      <w:bookmarkStart w:id="473" w:name="_Toc29790"/>
      <w:bookmarkStart w:id="474" w:name="_Toc388189058"/>
      <w:bookmarkStart w:id="475" w:name="_Toc12517"/>
      <w:bookmarkStart w:id="476" w:name="_Toc52196411"/>
      <w:bookmarkStart w:id="477" w:name="_Toc5394"/>
      <w:bookmarkStart w:id="478" w:name="_Toc455145949"/>
      <w:bookmarkStart w:id="479" w:name="_Toc21014"/>
      <w:bookmarkStart w:id="480" w:name="_Toc5627"/>
      <w:bookmarkStart w:id="481" w:name="_Toc459729771"/>
      <w:bookmarkStart w:id="482" w:name="_Toc2797"/>
      <w:bookmarkStart w:id="483" w:name="_Toc514430469"/>
      <w:bookmarkStart w:id="484" w:name="_Toc17963"/>
      <w:bookmarkStart w:id="485" w:name="_Toc49268612"/>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二</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授权委托书</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2F2219C">
      <w:pPr>
        <w:spacing w:line="360" w:lineRule="auto"/>
        <w:ind w:firstLine="480" w:firstLineChars="200"/>
        <w:rPr>
          <w:rFonts w:hint="eastAsia" w:ascii="宋体" w:hAnsi="宋体" w:eastAsia="宋体" w:cs="宋体"/>
          <w:color w:val="auto"/>
          <w:sz w:val="24"/>
          <w:szCs w:val="24"/>
          <w:highlight w:val="none"/>
        </w:rPr>
      </w:pPr>
      <w:bookmarkStart w:id="486" w:name="_Toc18209295"/>
    </w:p>
    <w:bookmarkEnd w:id="486"/>
    <w:p w14:paraId="47950550">
      <w:pPr>
        <w:spacing w:line="360" w:lineRule="auto"/>
        <w:ind w:right="-124" w:rightChars="-5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致：南通轨道城市服务有限公司</w:t>
      </w:r>
    </w:p>
    <w:p w14:paraId="7C7059D3">
      <w:pPr>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w:t>
      </w:r>
    </w:p>
    <w:p w14:paraId="4DCD9CBF">
      <w:pPr>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（姓名）为我公司授权的合法代理人，以本公司的名义参加</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招标投标活动。</w:t>
      </w:r>
    </w:p>
    <w:p w14:paraId="7BBB0030">
      <w:pPr>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委托代理人在开标、评标、合同谈判和合同签署过程中所签署的一切文件和处理与之有关的一切事务，我均予以承认。</w:t>
      </w:r>
    </w:p>
    <w:p w14:paraId="463412A9">
      <w:pPr>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本委托书的有效期限为</w:t>
      </w:r>
      <w:r>
        <w:rPr>
          <w:rFonts w:hint="eastAsia" w:ascii="宋体" w:hAnsi="宋体" w:eastAsia="宋体" w:cs="宋体"/>
          <w:color w:val="auto"/>
          <w:sz w:val="24"/>
          <w:szCs w:val="24"/>
          <w:highlight w:val="none"/>
          <w:u w:val="single"/>
        </w:rPr>
        <w:t>自即日起至       日止</w:t>
      </w:r>
      <w:r>
        <w:rPr>
          <w:rFonts w:hint="eastAsia" w:ascii="宋体" w:hAnsi="宋体" w:eastAsia="宋体" w:cs="宋体"/>
          <w:color w:val="auto"/>
          <w:sz w:val="24"/>
          <w:szCs w:val="24"/>
          <w:highlight w:val="none"/>
        </w:rPr>
        <w:t>。</w:t>
      </w:r>
    </w:p>
    <w:p w14:paraId="6BDC359E">
      <w:pPr>
        <w:spacing w:line="360" w:lineRule="auto"/>
        <w:ind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特此委托，此委托无转委托权。</w:t>
      </w:r>
    </w:p>
    <w:p w14:paraId="2D23F998">
      <w:pPr>
        <w:spacing w:line="360" w:lineRule="auto"/>
        <w:ind w:right="-124" w:rightChars="-59"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附：委托代理人身份证双面复印件。</w:t>
      </w:r>
    </w:p>
    <w:p w14:paraId="4AA25A76">
      <w:pPr>
        <w:spacing w:line="360" w:lineRule="auto"/>
        <w:ind w:right="-124" w:rightChars="-59" w:firstLine="480" w:firstLineChars="200"/>
        <w:rPr>
          <w:rFonts w:hint="eastAsia" w:ascii="宋体" w:hAnsi="宋体" w:eastAsia="宋体" w:cs="宋体"/>
          <w:color w:val="auto"/>
          <w:sz w:val="24"/>
          <w:szCs w:val="24"/>
          <w:highlight w:val="none"/>
        </w:rPr>
      </w:pPr>
    </w:p>
    <w:p w14:paraId="0323BB33">
      <w:pPr>
        <w:spacing w:line="360" w:lineRule="auto"/>
        <w:ind w:right="-124" w:rightChars="-59" w:firstLine="480" w:firstLineChars="200"/>
        <w:rPr>
          <w:rFonts w:hint="eastAsia" w:ascii="宋体" w:hAnsi="宋体" w:eastAsia="宋体" w:cs="宋体"/>
          <w:color w:val="auto"/>
          <w:sz w:val="24"/>
          <w:szCs w:val="24"/>
          <w:highlight w:val="none"/>
        </w:rPr>
      </w:pPr>
    </w:p>
    <w:p w14:paraId="0EBFA3FC">
      <w:pPr>
        <w:spacing w:line="360" w:lineRule="auto"/>
        <w:ind w:right="-124" w:rightChars="-59" w:firstLine="480" w:firstLineChars="200"/>
        <w:rPr>
          <w:rFonts w:hint="eastAsia" w:ascii="宋体" w:hAnsi="宋体" w:eastAsia="宋体" w:cs="宋体"/>
          <w:color w:val="auto"/>
          <w:sz w:val="24"/>
          <w:szCs w:val="24"/>
          <w:highlight w:val="none"/>
        </w:rPr>
      </w:pPr>
    </w:p>
    <w:p w14:paraId="3DDEEC95">
      <w:pPr>
        <w:pStyle w:val="9"/>
        <w:spacing w:line="360" w:lineRule="auto"/>
        <w:ind w:left="0"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（盖章）</w:t>
      </w:r>
    </w:p>
    <w:p w14:paraId="35947FDF">
      <w:pPr>
        <w:pStyle w:val="9"/>
        <w:spacing w:line="360" w:lineRule="auto"/>
        <w:ind w:left="0" w:right="-124" w:rightChars="-59"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（签字或盖章）</w:t>
      </w:r>
    </w:p>
    <w:p w14:paraId="5BAFA5D9">
      <w:pPr>
        <w:pStyle w:val="9"/>
        <w:spacing w:line="360" w:lineRule="auto"/>
        <w:ind w:left="0"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517BB9F9">
      <w:pPr>
        <w:pStyle w:val="9"/>
        <w:spacing w:line="360" w:lineRule="auto"/>
        <w:ind w:left="0"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（签字或盖章）</w:t>
      </w:r>
    </w:p>
    <w:p w14:paraId="05301A1A">
      <w:pPr>
        <w:pStyle w:val="9"/>
        <w:spacing w:line="360" w:lineRule="auto"/>
        <w:ind w:left="0"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2A9B783F">
      <w:pPr>
        <w:pStyle w:val="9"/>
        <w:spacing w:line="360" w:lineRule="auto"/>
        <w:ind w:left="0" w:right="-124" w:rightChars="-59"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u w:val="single"/>
        </w:rPr>
        <w:t xml:space="preserve">                       </w:t>
      </w:r>
    </w:p>
    <w:p w14:paraId="0F9F16F8">
      <w:pPr>
        <w:pStyle w:val="9"/>
        <w:spacing w:line="360" w:lineRule="auto"/>
        <w:ind w:left="0" w:right="-124" w:rightChars="-5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4CFB208">
      <w:pPr>
        <w:adjustRightInd w:val="0"/>
        <w:spacing w:line="360" w:lineRule="auto"/>
        <w:ind w:right="-124" w:rightChars="-59" w:firstLine="480" w:firstLineChars="200"/>
        <w:textAlignment w:val="baseline"/>
        <w:rPr>
          <w:rFonts w:hint="eastAsia" w:ascii="宋体" w:hAnsi="宋体" w:eastAsia="宋体" w:cs="宋体"/>
          <w:color w:val="auto"/>
          <w:sz w:val="24"/>
          <w:szCs w:val="24"/>
          <w:highlight w:val="none"/>
        </w:rPr>
      </w:pPr>
    </w:p>
    <w:p w14:paraId="3C5ED7F4">
      <w:pPr>
        <w:adjustRightInd w:val="0"/>
        <w:spacing w:line="360" w:lineRule="auto"/>
        <w:ind w:right="-124" w:rightChars="-59" w:firstLine="480" w:firstLineChars="200"/>
        <w:textAlignment w:val="baseline"/>
        <w:rPr>
          <w:rFonts w:hint="eastAsia" w:ascii="宋体" w:hAnsi="宋体" w:eastAsia="宋体" w:cs="宋体"/>
          <w:color w:val="auto"/>
          <w:sz w:val="24"/>
          <w:szCs w:val="24"/>
          <w:highlight w:val="none"/>
        </w:rPr>
      </w:pPr>
    </w:p>
    <w:p w14:paraId="3757086A">
      <w:pPr>
        <w:pStyle w:val="9"/>
        <w:adjustRightInd w:val="0"/>
        <w:snapToGrid w:val="0"/>
        <w:spacing w:after="0" w:line="360" w:lineRule="auto"/>
        <w:ind w:left="1200" w:leftChars="211" w:right="-124" w:rightChars="-59" w:hanging="757" w:hangingChars="31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说明：如投标人由法定代表人亲自签署投标文件并参与相关活动，则不需办理授权。如由被授权的代理人签署上述文件，则必须按本格式规定办理授权书。</w:t>
      </w:r>
    </w:p>
    <w:p w14:paraId="4E4CDCDA">
      <w:pPr>
        <w:widowControl/>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br w:type="page"/>
      </w:r>
    </w:p>
    <w:p w14:paraId="75C186B0">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lang w:val="en-US" w:eastAsia="zh-CN"/>
        </w:rPr>
      </w:pPr>
      <w:bookmarkStart w:id="487" w:name="_Toc27166"/>
      <w:bookmarkStart w:id="488" w:name="_Toc4135"/>
      <w:bookmarkStart w:id="489" w:name="_Toc22131"/>
      <w:bookmarkStart w:id="490" w:name="_Toc14355"/>
      <w:r>
        <w:rPr>
          <w:rFonts w:hint="eastAsia" w:ascii="宋体" w:hAnsi="宋体" w:eastAsia="宋体" w:cs="宋体"/>
          <w:b/>
          <w:bCs/>
          <w:color w:val="auto"/>
          <w:sz w:val="30"/>
          <w:szCs w:val="30"/>
          <w:highlight w:val="none"/>
          <w:lang w:val="en-US" w:eastAsia="zh-CN"/>
        </w:rPr>
        <w:t>二、</w:t>
      </w:r>
      <w:bookmarkEnd w:id="487"/>
      <w:r>
        <w:rPr>
          <w:rFonts w:hint="eastAsia" w:ascii="宋体" w:hAnsi="宋体" w:eastAsia="宋体" w:cs="宋体"/>
          <w:b/>
          <w:bCs/>
          <w:color w:val="auto"/>
          <w:sz w:val="30"/>
          <w:szCs w:val="30"/>
          <w:highlight w:val="none"/>
          <w:lang w:val="en-US" w:eastAsia="zh-CN"/>
        </w:rPr>
        <w:t>投标人基本情况表</w:t>
      </w:r>
      <w:bookmarkEnd w:id="488"/>
      <w:bookmarkEnd w:id="489"/>
      <w:bookmarkEnd w:id="490"/>
    </w:p>
    <w:p w14:paraId="1C58F292">
      <w:pPr>
        <w:rPr>
          <w:rFonts w:hint="eastAsia" w:ascii="宋体" w:hAnsi="宋体" w:eastAsia="宋体" w:cs="宋体"/>
          <w:color w:val="auto"/>
          <w:highlight w:val="none"/>
        </w:rPr>
      </w:pPr>
    </w:p>
    <w:tbl>
      <w:tblPr>
        <w:tblStyle w:val="33"/>
        <w:tblW w:w="84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1296"/>
        <w:gridCol w:w="1572"/>
        <w:gridCol w:w="1319"/>
        <w:gridCol w:w="1537"/>
        <w:gridCol w:w="1396"/>
      </w:tblGrid>
      <w:tr w14:paraId="2828865C">
        <w:tblPrEx>
          <w:tblLayout w:type="fixed"/>
        </w:tblPrEx>
        <w:trPr>
          <w:trHeight w:val="883" w:hRule="atLeast"/>
          <w:jc w:val="center"/>
        </w:trPr>
        <w:tc>
          <w:tcPr>
            <w:tcW w:w="1372" w:type="dxa"/>
            <w:vAlign w:val="center"/>
          </w:tcPr>
          <w:p w14:paraId="670C166A">
            <w:pPr>
              <w:jc w:val="center"/>
              <w:rPr>
                <w:rFonts w:hint="eastAsia" w:ascii="宋体" w:hAnsi="宋体" w:eastAsia="宋体" w:cs="宋体"/>
                <w:color w:val="auto"/>
                <w:highlight w:val="none"/>
              </w:rPr>
            </w:pPr>
            <w:r>
              <w:rPr>
                <w:rFonts w:hint="eastAsia" w:ascii="宋体" w:hAnsi="宋体" w:eastAsia="宋体" w:cs="宋体"/>
                <w:color w:val="auto"/>
                <w:highlight w:val="none"/>
              </w:rPr>
              <w:t>投标人名称</w:t>
            </w:r>
          </w:p>
        </w:tc>
        <w:tc>
          <w:tcPr>
            <w:tcW w:w="7120" w:type="dxa"/>
            <w:gridSpan w:val="5"/>
            <w:vAlign w:val="center"/>
          </w:tcPr>
          <w:p w14:paraId="5CCF95F4">
            <w:pPr>
              <w:rPr>
                <w:rFonts w:hint="eastAsia" w:ascii="宋体" w:hAnsi="宋体" w:eastAsia="宋体" w:cs="宋体"/>
                <w:color w:val="auto"/>
                <w:highlight w:val="none"/>
              </w:rPr>
            </w:pPr>
          </w:p>
        </w:tc>
      </w:tr>
      <w:tr w14:paraId="1723F516">
        <w:tblPrEx>
          <w:tblLayout w:type="fixed"/>
        </w:tblPrEx>
        <w:trPr>
          <w:trHeight w:val="883" w:hRule="atLeast"/>
          <w:jc w:val="center"/>
        </w:trPr>
        <w:tc>
          <w:tcPr>
            <w:tcW w:w="1372" w:type="dxa"/>
            <w:vAlign w:val="center"/>
          </w:tcPr>
          <w:p w14:paraId="13F4A3B0">
            <w:pPr>
              <w:jc w:val="center"/>
              <w:rPr>
                <w:rFonts w:hint="eastAsia" w:ascii="宋体" w:hAnsi="宋体" w:eastAsia="宋体" w:cs="宋体"/>
                <w:color w:val="auto"/>
                <w:highlight w:val="none"/>
              </w:rPr>
            </w:pPr>
            <w:r>
              <w:rPr>
                <w:rFonts w:hint="eastAsia" w:ascii="宋体" w:hAnsi="宋体" w:eastAsia="宋体" w:cs="宋体"/>
                <w:color w:val="auto"/>
                <w:highlight w:val="none"/>
              </w:rPr>
              <w:t>企业资质</w:t>
            </w:r>
          </w:p>
        </w:tc>
        <w:tc>
          <w:tcPr>
            <w:tcW w:w="7120" w:type="dxa"/>
            <w:gridSpan w:val="5"/>
            <w:vAlign w:val="center"/>
          </w:tcPr>
          <w:p w14:paraId="17313FDC">
            <w:pPr>
              <w:rPr>
                <w:rFonts w:hint="eastAsia" w:ascii="宋体" w:hAnsi="宋体" w:eastAsia="宋体" w:cs="宋体"/>
                <w:color w:val="auto"/>
                <w:highlight w:val="none"/>
              </w:rPr>
            </w:pPr>
            <w:r>
              <w:rPr>
                <w:rFonts w:hint="eastAsia" w:ascii="宋体" w:hAnsi="宋体" w:eastAsia="宋体" w:cs="宋体"/>
                <w:color w:val="auto"/>
                <w:highlight w:val="none"/>
              </w:rPr>
              <w:t>1、等级：     2、证书号：       3、发证机关：     4、业务范围：</w:t>
            </w:r>
          </w:p>
        </w:tc>
      </w:tr>
      <w:tr w14:paraId="1DA41917">
        <w:tblPrEx>
          <w:tblLayout w:type="fixed"/>
        </w:tblPrEx>
        <w:trPr>
          <w:trHeight w:val="883" w:hRule="atLeast"/>
          <w:jc w:val="center"/>
        </w:trPr>
        <w:tc>
          <w:tcPr>
            <w:tcW w:w="1372" w:type="dxa"/>
            <w:vAlign w:val="center"/>
          </w:tcPr>
          <w:p w14:paraId="1A7939D7">
            <w:pPr>
              <w:jc w:val="center"/>
              <w:rPr>
                <w:rFonts w:hint="eastAsia" w:ascii="宋体" w:hAnsi="宋体" w:eastAsia="宋体" w:cs="宋体"/>
                <w:color w:val="auto"/>
                <w:highlight w:val="none"/>
              </w:rPr>
            </w:pPr>
            <w:r>
              <w:rPr>
                <w:rFonts w:hint="eastAsia" w:ascii="宋体" w:hAnsi="宋体" w:eastAsia="宋体" w:cs="宋体"/>
                <w:color w:val="auto"/>
                <w:highlight w:val="none"/>
              </w:rPr>
              <w:t>营业执照</w:t>
            </w:r>
          </w:p>
        </w:tc>
        <w:tc>
          <w:tcPr>
            <w:tcW w:w="7120" w:type="dxa"/>
            <w:gridSpan w:val="5"/>
            <w:vAlign w:val="center"/>
          </w:tcPr>
          <w:p w14:paraId="235D1FF3">
            <w:pP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统一社会信用代码</w:t>
            </w:r>
            <w:r>
              <w:rPr>
                <w:rFonts w:hint="eastAsia" w:ascii="宋体" w:hAnsi="宋体" w:eastAsia="宋体" w:cs="宋体"/>
                <w:color w:val="auto"/>
                <w:highlight w:val="none"/>
              </w:rPr>
              <w:t>：     2、发照机关：       3、营业范围：</w:t>
            </w:r>
          </w:p>
        </w:tc>
      </w:tr>
      <w:tr w14:paraId="29E60DFC">
        <w:tblPrEx>
          <w:tblLayout w:type="fixed"/>
        </w:tblPrEx>
        <w:trPr>
          <w:trHeight w:val="883" w:hRule="atLeast"/>
          <w:jc w:val="center"/>
        </w:trPr>
        <w:tc>
          <w:tcPr>
            <w:tcW w:w="1372" w:type="dxa"/>
            <w:vAlign w:val="center"/>
          </w:tcPr>
          <w:p w14:paraId="52B0D520">
            <w:pPr>
              <w:jc w:val="center"/>
              <w:rPr>
                <w:rFonts w:hint="eastAsia" w:ascii="宋体" w:hAnsi="宋体" w:eastAsia="宋体" w:cs="宋体"/>
                <w:color w:val="auto"/>
                <w:highlight w:val="none"/>
              </w:rPr>
            </w:pPr>
            <w:r>
              <w:rPr>
                <w:rFonts w:hint="eastAsia" w:ascii="宋体" w:hAnsi="宋体" w:eastAsia="宋体" w:cs="宋体"/>
                <w:color w:val="auto"/>
                <w:highlight w:val="none"/>
              </w:rPr>
              <w:t>成立日期</w:t>
            </w:r>
          </w:p>
        </w:tc>
        <w:tc>
          <w:tcPr>
            <w:tcW w:w="1296" w:type="dxa"/>
            <w:vAlign w:val="center"/>
          </w:tcPr>
          <w:p w14:paraId="5BC20783">
            <w:pPr>
              <w:rPr>
                <w:rFonts w:hint="eastAsia" w:ascii="宋体" w:hAnsi="宋体" w:eastAsia="宋体" w:cs="宋体"/>
                <w:color w:val="auto"/>
                <w:highlight w:val="none"/>
              </w:rPr>
            </w:pPr>
          </w:p>
        </w:tc>
        <w:tc>
          <w:tcPr>
            <w:tcW w:w="1572" w:type="dxa"/>
            <w:vAlign w:val="center"/>
          </w:tcPr>
          <w:p w14:paraId="009434DC">
            <w:pPr>
              <w:jc w:val="center"/>
              <w:rPr>
                <w:rFonts w:hint="eastAsia" w:ascii="宋体" w:hAnsi="宋体" w:eastAsia="宋体" w:cs="宋体"/>
                <w:color w:val="auto"/>
                <w:highlight w:val="none"/>
              </w:rPr>
            </w:pPr>
            <w:r>
              <w:rPr>
                <w:rFonts w:hint="eastAsia" w:ascii="宋体" w:hAnsi="宋体" w:eastAsia="宋体" w:cs="宋体"/>
                <w:color w:val="auto"/>
                <w:highlight w:val="none"/>
              </w:rPr>
              <w:t>现有职工</w:t>
            </w:r>
          </w:p>
          <w:p w14:paraId="20305F3D">
            <w:pPr>
              <w:jc w:val="center"/>
              <w:rPr>
                <w:rFonts w:hint="eastAsia" w:ascii="宋体" w:hAnsi="宋体" w:eastAsia="宋体" w:cs="宋体"/>
                <w:color w:val="auto"/>
                <w:highlight w:val="none"/>
              </w:rPr>
            </w:pPr>
            <w:r>
              <w:rPr>
                <w:rFonts w:hint="eastAsia" w:ascii="宋体" w:hAnsi="宋体" w:eastAsia="宋体" w:cs="宋体"/>
                <w:color w:val="auto"/>
                <w:highlight w:val="none"/>
              </w:rPr>
              <w:t>总人数（人）</w:t>
            </w:r>
          </w:p>
        </w:tc>
        <w:tc>
          <w:tcPr>
            <w:tcW w:w="1319" w:type="dxa"/>
            <w:vAlign w:val="center"/>
          </w:tcPr>
          <w:p w14:paraId="3E137150">
            <w:pPr>
              <w:rPr>
                <w:rFonts w:hint="eastAsia" w:ascii="宋体" w:hAnsi="宋体" w:eastAsia="宋体" w:cs="宋体"/>
                <w:color w:val="auto"/>
                <w:highlight w:val="none"/>
              </w:rPr>
            </w:pPr>
          </w:p>
        </w:tc>
        <w:tc>
          <w:tcPr>
            <w:tcW w:w="1537" w:type="dxa"/>
            <w:tcBorders>
              <w:right w:val="single" w:color="auto" w:sz="4" w:space="0"/>
            </w:tcBorders>
            <w:vAlign w:val="center"/>
          </w:tcPr>
          <w:p w14:paraId="7F27D2F7">
            <w:pPr>
              <w:jc w:val="center"/>
              <w:rPr>
                <w:rFonts w:hint="eastAsia" w:ascii="宋体" w:hAnsi="宋体" w:eastAsia="宋体" w:cs="宋体"/>
                <w:color w:val="auto"/>
                <w:highlight w:val="none"/>
              </w:rPr>
            </w:pPr>
            <w:r>
              <w:rPr>
                <w:rFonts w:hint="eastAsia" w:ascii="宋体" w:hAnsi="宋体" w:eastAsia="宋体" w:cs="宋体"/>
                <w:color w:val="auto"/>
                <w:highlight w:val="none"/>
              </w:rPr>
              <w:t>技术人员人数</w:t>
            </w:r>
          </w:p>
          <w:p w14:paraId="29F19F54">
            <w:pPr>
              <w:jc w:val="center"/>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1396" w:type="dxa"/>
            <w:tcBorders>
              <w:left w:val="single" w:color="auto" w:sz="4" w:space="0"/>
            </w:tcBorders>
            <w:vAlign w:val="center"/>
          </w:tcPr>
          <w:p w14:paraId="1124CE21">
            <w:pPr>
              <w:jc w:val="center"/>
              <w:rPr>
                <w:rFonts w:hint="eastAsia" w:ascii="宋体" w:hAnsi="宋体" w:eastAsia="宋体" w:cs="宋体"/>
                <w:color w:val="auto"/>
                <w:highlight w:val="none"/>
              </w:rPr>
            </w:pPr>
          </w:p>
        </w:tc>
      </w:tr>
      <w:tr w14:paraId="62CD1E01">
        <w:tblPrEx>
          <w:tblLayout w:type="fixed"/>
        </w:tblPrEx>
        <w:trPr>
          <w:trHeight w:val="883" w:hRule="atLeast"/>
          <w:jc w:val="center"/>
        </w:trPr>
        <w:tc>
          <w:tcPr>
            <w:tcW w:w="1372" w:type="dxa"/>
            <w:vAlign w:val="center"/>
          </w:tcPr>
          <w:p w14:paraId="07663C8A">
            <w:pPr>
              <w:spacing w:line="3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7120" w:type="dxa"/>
            <w:gridSpan w:val="5"/>
            <w:vAlign w:val="center"/>
          </w:tcPr>
          <w:p w14:paraId="4348E814">
            <w:pPr>
              <w:rPr>
                <w:rFonts w:hint="eastAsia" w:ascii="宋体" w:hAnsi="宋体" w:eastAsia="宋体" w:cs="宋体"/>
                <w:color w:val="auto"/>
                <w:highlight w:val="none"/>
              </w:rPr>
            </w:pPr>
            <w:r>
              <w:rPr>
                <w:rFonts w:hint="eastAsia" w:ascii="宋体" w:hAnsi="宋体" w:eastAsia="宋体" w:cs="宋体"/>
                <w:color w:val="auto"/>
                <w:highlight w:val="none"/>
              </w:rPr>
              <w:t xml:space="preserve">1、姓名：           2、职务：             3、职称：                 </w:t>
            </w:r>
          </w:p>
          <w:p w14:paraId="64AFFB97">
            <w:pPr>
              <w:rPr>
                <w:rFonts w:hint="eastAsia" w:ascii="宋体" w:hAnsi="宋体" w:eastAsia="宋体" w:cs="宋体"/>
                <w:color w:val="auto"/>
                <w:highlight w:val="none"/>
              </w:rPr>
            </w:pPr>
            <w:r>
              <w:rPr>
                <w:rFonts w:hint="eastAsia" w:ascii="宋体" w:hAnsi="宋体" w:eastAsia="宋体" w:cs="宋体"/>
                <w:color w:val="auto"/>
                <w:highlight w:val="none"/>
              </w:rPr>
              <w:t>4、联系电话：</w:t>
            </w:r>
          </w:p>
        </w:tc>
      </w:tr>
      <w:tr w14:paraId="3156251C">
        <w:tblPrEx>
          <w:tblLayout w:type="fixed"/>
        </w:tblPrEx>
        <w:trPr>
          <w:trHeight w:val="883" w:hRule="atLeast"/>
          <w:jc w:val="center"/>
        </w:trPr>
        <w:tc>
          <w:tcPr>
            <w:tcW w:w="1372" w:type="dxa"/>
            <w:vAlign w:val="center"/>
          </w:tcPr>
          <w:p w14:paraId="61210B2F">
            <w:pPr>
              <w:spacing w:line="3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7120" w:type="dxa"/>
            <w:gridSpan w:val="5"/>
            <w:vAlign w:val="center"/>
          </w:tcPr>
          <w:p w14:paraId="467DD4C8">
            <w:pPr>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1、地址：           2、邮编：             3、联系人：              </w:t>
            </w:r>
          </w:p>
          <w:p w14:paraId="05521AD5">
            <w:pPr>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4、联系电话：       5、传真：             6、E-mail：  </w:t>
            </w:r>
          </w:p>
        </w:tc>
      </w:tr>
      <w:tr w14:paraId="265FA9BB">
        <w:tblPrEx>
          <w:tblLayout w:type="fixed"/>
        </w:tblPrEx>
        <w:trPr>
          <w:trHeight w:val="883" w:hRule="atLeast"/>
          <w:jc w:val="center"/>
        </w:trPr>
        <w:tc>
          <w:tcPr>
            <w:tcW w:w="1372" w:type="dxa"/>
            <w:vAlign w:val="center"/>
          </w:tcPr>
          <w:p w14:paraId="24E0FE04">
            <w:pPr>
              <w:jc w:val="center"/>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7120" w:type="dxa"/>
            <w:gridSpan w:val="5"/>
            <w:vAlign w:val="center"/>
          </w:tcPr>
          <w:p w14:paraId="0A55FF78">
            <w:pP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银行</w:t>
            </w:r>
            <w:r>
              <w:rPr>
                <w:rFonts w:hint="eastAsia" w:ascii="宋体" w:hAnsi="宋体" w:eastAsia="宋体" w:cs="宋体"/>
                <w:color w:val="auto"/>
                <w:highlight w:val="none"/>
              </w:rPr>
              <w:t>名称：           2、</w:t>
            </w:r>
            <w:r>
              <w:rPr>
                <w:rFonts w:hint="eastAsia" w:ascii="宋体" w:hAnsi="宋体" w:eastAsia="宋体" w:cs="宋体"/>
                <w:color w:val="auto"/>
                <w:highlight w:val="none"/>
                <w:lang w:val="en-US" w:eastAsia="zh-CN"/>
              </w:rPr>
              <w:t>账号</w:t>
            </w:r>
            <w:r>
              <w:rPr>
                <w:rFonts w:hint="eastAsia" w:ascii="宋体" w:hAnsi="宋体" w:eastAsia="宋体" w:cs="宋体"/>
                <w:color w:val="auto"/>
                <w:highlight w:val="none"/>
              </w:rPr>
              <w:t>：</w:t>
            </w:r>
          </w:p>
        </w:tc>
      </w:tr>
      <w:tr w14:paraId="0EC492A8">
        <w:tblPrEx>
          <w:tblLayout w:type="fixed"/>
        </w:tblPrEx>
        <w:trPr>
          <w:cantSplit/>
          <w:trHeight w:val="1599" w:hRule="atLeast"/>
          <w:jc w:val="center"/>
        </w:trPr>
        <w:tc>
          <w:tcPr>
            <w:tcW w:w="1372" w:type="dxa"/>
            <w:vAlign w:val="center"/>
          </w:tcPr>
          <w:p w14:paraId="5EE7CFEC">
            <w:pPr>
              <w:jc w:val="center"/>
              <w:rPr>
                <w:rFonts w:hint="eastAsia" w:ascii="宋体" w:hAnsi="宋体" w:eastAsia="宋体" w:cs="宋体"/>
                <w:color w:val="auto"/>
                <w:highlight w:val="none"/>
              </w:rPr>
            </w:pPr>
            <w:r>
              <w:rPr>
                <w:rFonts w:hint="eastAsia" w:ascii="宋体" w:hAnsi="宋体" w:eastAsia="宋体" w:cs="宋体"/>
                <w:color w:val="auto"/>
                <w:highlight w:val="none"/>
              </w:rPr>
              <w:t>投标人资历</w:t>
            </w:r>
          </w:p>
          <w:p w14:paraId="7E0CA606">
            <w:pPr>
              <w:jc w:val="center"/>
              <w:rPr>
                <w:rFonts w:hint="eastAsia" w:ascii="宋体" w:hAnsi="宋体" w:eastAsia="宋体" w:cs="宋体"/>
                <w:color w:val="auto"/>
                <w:highlight w:val="none"/>
              </w:rPr>
            </w:pPr>
            <w:r>
              <w:rPr>
                <w:rFonts w:hint="eastAsia" w:ascii="宋体" w:hAnsi="宋体" w:eastAsia="宋体" w:cs="宋体"/>
                <w:color w:val="auto"/>
                <w:highlight w:val="none"/>
              </w:rPr>
              <w:t>简介</w:t>
            </w:r>
          </w:p>
        </w:tc>
        <w:tc>
          <w:tcPr>
            <w:tcW w:w="7120" w:type="dxa"/>
            <w:gridSpan w:val="5"/>
            <w:vAlign w:val="center"/>
          </w:tcPr>
          <w:p w14:paraId="57FCF025">
            <w:pPr>
              <w:jc w:val="center"/>
              <w:rPr>
                <w:rFonts w:hint="eastAsia" w:ascii="宋体" w:hAnsi="宋体" w:eastAsia="宋体" w:cs="宋体"/>
                <w:color w:val="auto"/>
                <w:highlight w:val="none"/>
              </w:rPr>
            </w:pPr>
          </w:p>
        </w:tc>
      </w:tr>
    </w:tbl>
    <w:p w14:paraId="0E0BDBD2">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highlight w:val="none"/>
        </w:rPr>
        <w:t>注：本表后应包括不限于附投标人营业执照（事业单位法人可以提供事业单位法人证书和组织机构代码证）、资质证书、安全生产许可证</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业绩证明材料</w:t>
      </w:r>
      <w:r>
        <w:rPr>
          <w:rFonts w:hint="eastAsia" w:ascii="宋体" w:hAnsi="宋体" w:eastAsia="宋体" w:cs="宋体"/>
          <w:color w:val="auto"/>
          <w:highlight w:val="none"/>
        </w:rPr>
        <w:t>复印件或扫描件等，并与原件保持一致。</w:t>
      </w:r>
    </w:p>
    <w:p w14:paraId="12D7E340">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br w:type="page"/>
      </w:r>
    </w:p>
    <w:p w14:paraId="7F35C193">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lang w:val="en-US" w:eastAsia="zh-CN"/>
        </w:rPr>
      </w:pPr>
      <w:bookmarkStart w:id="491" w:name="_Toc17824"/>
      <w:bookmarkStart w:id="492" w:name="_Toc27516"/>
      <w:bookmarkStart w:id="493" w:name="_Toc3511"/>
      <w:bookmarkStart w:id="494" w:name="_Toc23280"/>
      <w:r>
        <w:rPr>
          <w:rFonts w:hint="eastAsia" w:ascii="宋体" w:hAnsi="宋体" w:eastAsia="宋体" w:cs="宋体"/>
          <w:b/>
          <w:bCs/>
          <w:color w:val="auto"/>
          <w:sz w:val="30"/>
          <w:szCs w:val="30"/>
          <w:highlight w:val="none"/>
          <w:lang w:val="en-US" w:eastAsia="zh-CN"/>
        </w:rPr>
        <w:t>三、项目经理简历表</w:t>
      </w:r>
      <w:bookmarkEnd w:id="491"/>
      <w:bookmarkEnd w:id="492"/>
      <w:bookmarkEnd w:id="493"/>
    </w:p>
    <w:p w14:paraId="28E0C45A">
      <w:pPr>
        <w:rPr>
          <w:rFonts w:hint="eastAsia" w:ascii="宋体" w:hAnsi="宋体" w:eastAsia="宋体" w:cs="宋体"/>
          <w:color w:val="auto"/>
          <w:highlight w:val="none"/>
        </w:rPr>
      </w:pPr>
    </w:p>
    <w:tbl>
      <w:tblPr>
        <w:tblStyle w:val="33"/>
        <w:tblW w:w="878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342"/>
        <w:gridCol w:w="1560"/>
        <w:gridCol w:w="1308"/>
        <w:gridCol w:w="1260"/>
        <w:gridCol w:w="256"/>
        <w:gridCol w:w="1466"/>
      </w:tblGrid>
      <w:tr w14:paraId="17BB0D16">
        <w:tblPrEx>
          <w:tblLayout w:type="fixed"/>
        </w:tblPrEx>
        <w:trPr>
          <w:trHeight w:val="656" w:hRule="atLeast"/>
          <w:jc w:val="center"/>
        </w:trPr>
        <w:tc>
          <w:tcPr>
            <w:tcW w:w="1591" w:type="dxa"/>
            <w:vAlign w:val="center"/>
          </w:tcPr>
          <w:p w14:paraId="25412617">
            <w:pPr>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342" w:type="dxa"/>
            <w:vAlign w:val="center"/>
          </w:tcPr>
          <w:p w14:paraId="18946FA2">
            <w:pPr>
              <w:jc w:val="center"/>
              <w:rPr>
                <w:rFonts w:hint="eastAsia" w:ascii="宋体" w:hAnsi="宋体" w:eastAsia="宋体" w:cs="宋体"/>
                <w:color w:val="auto"/>
                <w:highlight w:val="none"/>
              </w:rPr>
            </w:pPr>
          </w:p>
        </w:tc>
        <w:tc>
          <w:tcPr>
            <w:tcW w:w="1560" w:type="dxa"/>
            <w:vAlign w:val="center"/>
          </w:tcPr>
          <w:p w14:paraId="7DB0DB33">
            <w:pPr>
              <w:jc w:val="center"/>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308" w:type="dxa"/>
            <w:vAlign w:val="center"/>
          </w:tcPr>
          <w:p w14:paraId="4AA739E7">
            <w:pPr>
              <w:jc w:val="center"/>
              <w:rPr>
                <w:rFonts w:hint="eastAsia" w:ascii="宋体" w:hAnsi="宋体" w:eastAsia="宋体" w:cs="宋体"/>
                <w:color w:val="auto"/>
                <w:highlight w:val="none"/>
              </w:rPr>
            </w:pPr>
          </w:p>
        </w:tc>
        <w:tc>
          <w:tcPr>
            <w:tcW w:w="1260" w:type="dxa"/>
            <w:vAlign w:val="center"/>
          </w:tcPr>
          <w:p w14:paraId="1E49508D">
            <w:pPr>
              <w:jc w:val="center"/>
              <w:rPr>
                <w:rFonts w:hint="eastAsia" w:ascii="宋体" w:hAnsi="宋体" w:eastAsia="宋体" w:cs="宋体"/>
                <w:color w:val="auto"/>
                <w:highlight w:val="none"/>
              </w:rPr>
            </w:pPr>
            <w:r>
              <w:rPr>
                <w:rFonts w:hint="eastAsia" w:ascii="宋体" w:hAnsi="宋体" w:eastAsia="宋体" w:cs="宋体"/>
                <w:color w:val="auto"/>
                <w:highlight w:val="none"/>
              </w:rPr>
              <w:t>出生年月</w:t>
            </w:r>
          </w:p>
        </w:tc>
        <w:tc>
          <w:tcPr>
            <w:tcW w:w="1722" w:type="dxa"/>
            <w:gridSpan w:val="2"/>
            <w:vAlign w:val="center"/>
          </w:tcPr>
          <w:p w14:paraId="781E05A9">
            <w:pPr>
              <w:jc w:val="center"/>
              <w:rPr>
                <w:rFonts w:hint="eastAsia" w:ascii="宋体" w:hAnsi="宋体" w:eastAsia="宋体" w:cs="宋体"/>
                <w:color w:val="auto"/>
                <w:highlight w:val="none"/>
              </w:rPr>
            </w:pPr>
          </w:p>
        </w:tc>
      </w:tr>
      <w:tr w14:paraId="2DA151EF">
        <w:tblPrEx>
          <w:tblLayout w:type="fixed"/>
        </w:tblPrEx>
        <w:trPr>
          <w:trHeight w:val="656" w:hRule="atLeast"/>
          <w:jc w:val="center"/>
        </w:trPr>
        <w:tc>
          <w:tcPr>
            <w:tcW w:w="1591" w:type="dxa"/>
            <w:vAlign w:val="center"/>
          </w:tcPr>
          <w:p w14:paraId="23D1D0EF">
            <w:pPr>
              <w:jc w:val="center"/>
              <w:rPr>
                <w:rFonts w:hint="eastAsia" w:ascii="宋体" w:hAnsi="宋体" w:eastAsia="宋体" w:cs="宋体"/>
                <w:color w:val="auto"/>
                <w:highlight w:val="none"/>
              </w:rPr>
            </w:pPr>
            <w:r>
              <w:rPr>
                <w:rFonts w:hint="eastAsia" w:ascii="宋体" w:hAnsi="宋体" w:eastAsia="宋体" w:cs="宋体"/>
                <w:color w:val="auto"/>
                <w:highlight w:val="none"/>
              </w:rPr>
              <w:t>现任职务</w:t>
            </w:r>
          </w:p>
        </w:tc>
        <w:tc>
          <w:tcPr>
            <w:tcW w:w="1342" w:type="dxa"/>
            <w:vAlign w:val="center"/>
          </w:tcPr>
          <w:p w14:paraId="4318FD6E">
            <w:pPr>
              <w:jc w:val="center"/>
              <w:rPr>
                <w:rFonts w:hint="eastAsia" w:ascii="宋体" w:hAnsi="宋体" w:eastAsia="宋体" w:cs="宋体"/>
                <w:color w:val="auto"/>
                <w:highlight w:val="none"/>
              </w:rPr>
            </w:pPr>
          </w:p>
        </w:tc>
        <w:tc>
          <w:tcPr>
            <w:tcW w:w="1560" w:type="dxa"/>
            <w:vAlign w:val="center"/>
          </w:tcPr>
          <w:p w14:paraId="706EB8D2">
            <w:pPr>
              <w:jc w:val="center"/>
              <w:rPr>
                <w:rFonts w:hint="eastAsia" w:ascii="宋体" w:hAnsi="宋体" w:eastAsia="宋体" w:cs="宋体"/>
                <w:color w:val="auto"/>
                <w:highlight w:val="none"/>
              </w:rPr>
            </w:pPr>
            <w:r>
              <w:rPr>
                <w:rFonts w:hint="eastAsia" w:ascii="宋体" w:hAnsi="宋体" w:eastAsia="宋体" w:cs="宋体"/>
                <w:color w:val="auto"/>
                <w:highlight w:val="none"/>
              </w:rPr>
              <w:t>政治面貌</w:t>
            </w:r>
          </w:p>
        </w:tc>
        <w:tc>
          <w:tcPr>
            <w:tcW w:w="1308" w:type="dxa"/>
            <w:vAlign w:val="center"/>
          </w:tcPr>
          <w:p w14:paraId="05C9FC45">
            <w:pPr>
              <w:jc w:val="center"/>
              <w:rPr>
                <w:rFonts w:hint="eastAsia" w:ascii="宋体" w:hAnsi="宋体" w:eastAsia="宋体" w:cs="宋体"/>
                <w:color w:val="auto"/>
                <w:highlight w:val="none"/>
              </w:rPr>
            </w:pPr>
          </w:p>
        </w:tc>
        <w:tc>
          <w:tcPr>
            <w:tcW w:w="1260" w:type="dxa"/>
            <w:vAlign w:val="center"/>
          </w:tcPr>
          <w:p w14:paraId="121B0C10">
            <w:pPr>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722" w:type="dxa"/>
            <w:gridSpan w:val="2"/>
            <w:vAlign w:val="center"/>
          </w:tcPr>
          <w:p w14:paraId="13045C8A">
            <w:pPr>
              <w:jc w:val="center"/>
              <w:rPr>
                <w:rFonts w:hint="eastAsia" w:ascii="宋体" w:hAnsi="宋体" w:eastAsia="宋体" w:cs="宋体"/>
                <w:color w:val="auto"/>
                <w:highlight w:val="none"/>
              </w:rPr>
            </w:pPr>
          </w:p>
        </w:tc>
      </w:tr>
      <w:tr w14:paraId="3DD167D0">
        <w:tblPrEx>
          <w:tblLayout w:type="fixed"/>
        </w:tblPrEx>
        <w:trPr>
          <w:trHeight w:val="656" w:hRule="atLeast"/>
          <w:jc w:val="center"/>
        </w:trPr>
        <w:tc>
          <w:tcPr>
            <w:tcW w:w="1591" w:type="dxa"/>
            <w:vAlign w:val="center"/>
          </w:tcPr>
          <w:p w14:paraId="4E9D713F">
            <w:pPr>
              <w:jc w:val="center"/>
              <w:rPr>
                <w:rFonts w:hint="eastAsia" w:ascii="宋体" w:hAnsi="宋体" w:eastAsia="宋体" w:cs="宋体"/>
                <w:color w:val="auto"/>
                <w:highlight w:val="none"/>
              </w:rPr>
            </w:pPr>
            <w:r>
              <w:rPr>
                <w:rFonts w:hint="eastAsia" w:ascii="宋体" w:hAnsi="宋体" w:eastAsia="宋体" w:cs="宋体"/>
                <w:color w:val="auto"/>
                <w:highlight w:val="none"/>
              </w:rPr>
              <w:t>毕业院校</w:t>
            </w:r>
          </w:p>
          <w:p w14:paraId="4760CE8A">
            <w:pPr>
              <w:jc w:val="center"/>
              <w:rPr>
                <w:rFonts w:hint="eastAsia" w:ascii="宋体" w:hAnsi="宋体" w:eastAsia="宋体" w:cs="宋体"/>
                <w:color w:val="auto"/>
                <w:highlight w:val="none"/>
              </w:rPr>
            </w:pPr>
            <w:r>
              <w:rPr>
                <w:rFonts w:hint="eastAsia" w:ascii="宋体" w:hAnsi="宋体" w:eastAsia="宋体" w:cs="宋体"/>
                <w:color w:val="auto"/>
                <w:highlight w:val="none"/>
              </w:rPr>
              <w:t>及专业</w:t>
            </w:r>
          </w:p>
        </w:tc>
        <w:tc>
          <w:tcPr>
            <w:tcW w:w="1342" w:type="dxa"/>
            <w:vAlign w:val="center"/>
          </w:tcPr>
          <w:p w14:paraId="1F56CF49">
            <w:pPr>
              <w:jc w:val="center"/>
              <w:rPr>
                <w:rFonts w:hint="eastAsia" w:ascii="宋体" w:hAnsi="宋体" w:eastAsia="宋体" w:cs="宋体"/>
                <w:color w:val="auto"/>
                <w:highlight w:val="none"/>
              </w:rPr>
            </w:pPr>
          </w:p>
        </w:tc>
        <w:tc>
          <w:tcPr>
            <w:tcW w:w="1560" w:type="dxa"/>
            <w:vAlign w:val="center"/>
          </w:tcPr>
          <w:p w14:paraId="0EF02DAD">
            <w:pPr>
              <w:jc w:val="center"/>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308" w:type="dxa"/>
            <w:vAlign w:val="center"/>
          </w:tcPr>
          <w:p w14:paraId="2C211F40">
            <w:pPr>
              <w:jc w:val="center"/>
              <w:rPr>
                <w:rFonts w:hint="eastAsia" w:ascii="宋体" w:hAnsi="宋体" w:eastAsia="宋体" w:cs="宋体"/>
                <w:color w:val="auto"/>
                <w:highlight w:val="none"/>
              </w:rPr>
            </w:pPr>
          </w:p>
        </w:tc>
        <w:tc>
          <w:tcPr>
            <w:tcW w:w="1260" w:type="dxa"/>
            <w:vAlign w:val="center"/>
          </w:tcPr>
          <w:p w14:paraId="6C7E6796">
            <w:pPr>
              <w:jc w:val="center"/>
              <w:rPr>
                <w:rFonts w:hint="eastAsia" w:ascii="宋体" w:hAnsi="宋体" w:eastAsia="宋体" w:cs="宋体"/>
                <w:color w:val="auto"/>
                <w:highlight w:val="none"/>
              </w:rPr>
            </w:pPr>
            <w:r>
              <w:rPr>
                <w:rFonts w:hint="eastAsia" w:ascii="宋体" w:hAnsi="宋体" w:eastAsia="宋体" w:cs="宋体"/>
                <w:color w:val="auto"/>
                <w:highlight w:val="none"/>
              </w:rPr>
              <w:t>最高学历</w:t>
            </w:r>
          </w:p>
        </w:tc>
        <w:tc>
          <w:tcPr>
            <w:tcW w:w="1722" w:type="dxa"/>
            <w:gridSpan w:val="2"/>
            <w:vAlign w:val="center"/>
          </w:tcPr>
          <w:p w14:paraId="3D983C6E">
            <w:pPr>
              <w:jc w:val="center"/>
              <w:rPr>
                <w:rFonts w:hint="eastAsia" w:ascii="宋体" w:hAnsi="宋体" w:eastAsia="宋体" w:cs="宋体"/>
                <w:color w:val="auto"/>
                <w:highlight w:val="none"/>
              </w:rPr>
            </w:pPr>
          </w:p>
        </w:tc>
      </w:tr>
      <w:tr w14:paraId="2505EA5C">
        <w:tblPrEx>
          <w:tblLayout w:type="fixed"/>
        </w:tblPrEx>
        <w:trPr>
          <w:trHeight w:val="656" w:hRule="atLeast"/>
          <w:jc w:val="center"/>
        </w:trPr>
        <w:tc>
          <w:tcPr>
            <w:tcW w:w="1591" w:type="dxa"/>
            <w:vAlign w:val="center"/>
          </w:tcPr>
          <w:p w14:paraId="33CD9585">
            <w:pPr>
              <w:jc w:val="center"/>
              <w:rPr>
                <w:rFonts w:hint="eastAsia" w:ascii="宋体" w:hAnsi="宋体" w:eastAsia="宋体" w:cs="宋体"/>
                <w:color w:val="auto"/>
                <w:highlight w:val="none"/>
              </w:rPr>
            </w:pPr>
            <w:r>
              <w:rPr>
                <w:rFonts w:hint="eastAsia" w:ascii="宋体" w:hAnsi="宋体" w:eastAsia="宋体" w:cs="宋体"/>
                <w:color w:val="auto"/>
                <w:highlight w:val="none"/>
              </w:rPr>
              <w:t>联系电话</w:t>
            </w:r>
          </w:p>
        </w:tc>
        <w:tc>
          <w:tcPr>
            <w:tcW w:w="7192" w:type="dxa"/>
            <w:gridSpan w:val="6"/>
            <w:vAlign w:val="center"/>
          </w:tcPr>
          <w:p w14:paraId="5205FDC6">
            <w:pPr>
              <w:jc w:val="center"/>
              <w:rPr>
                <w:rFonts w:hint="eastAsia" w:ascii="宋体" w:hAnsi="宋体" w:eastAsia="宋体" w:cs="宋体"/>
                <w:color w:val="auto"/>
                <w:highlight w:val="none"/>
              </w:rPr>
            </w:pPr>
          </w:p>
        </w:tc>
      </w:tr>
      <w:tr w14:paraId="4C583AB4">
        <w:tblPrEx>
          <w:tblLayout w:type="fixed"/>
        </w:tblPrEx>
        <w:trPr>
          <w:trHeight w:val="656" w:hRule="atLeast"/>
          <w:jc w:val="center"/>
        </w:trPr>
        <w:tc>
          <w:tcPr>
            <w:tcW w:w="1591" w:type="dxa"/>
            <w:vMerge w:val="restart"/>
            <w:vAlign w:val="center"/>
          </w:tcPr>
          <w:p w14:paraId="51BCF468">
            <w:pPr>
              <w:jc w:val="center"/>
              <w:rPr>
                <w:rFonts w:hint="eastAsia" w:ascii="宋体" w:hAnsi="宋体" w:eastAsia="宋体" w:cs="宋体"/>
                <w:color w:val="auto"/>
                <w:highlight w:val="none"/>
              </w:rPr>
            </w:pPr>
            <w:r>
              <w:rPr>
                <w:rFonts w:hint="eastAsia" w:ascii="宋体" w:hAnsi="宋体" w:eastAsia="宋体" w:cs="宋体"/>
                <w:color w:val="auto"/>
                <w:highlight w:val="none"/>
              </w:rPr>
              <w:t>专业技术证书及证书号</w:t>
            </w:r>
          </w:p>
        </w:tc>
        <w:tc>
          <w:tcPr>
            <w:tcW w:w="1342" w:type="dxa"/>
            <w:vAlign w:val="center"/>
          </w:tcPr>
          <w:p w14:paraId="49D7DE5B">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868" w:type="dxa"/>
            <w:gridSpan w:val="2"/>
            <w:vAlign w:val="center"/>
          </w:tcPr>
          <w:p w14:paraId="33F93E96">
            <w:pPr>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2982" w:type="dxa"/>
            <w:gridSpan w:val="3"/>
            <w:vAlign w:val="center"/>
          </w:tcPr>
          <w:p w14:paraId="62C21E59">
            <w:pPr>
              <w:jc w:val="center"/>
              <w:rPr>
                <w:rFonts w:hint="eastAsia" w:ascii="宋体" w:hAnsi="宋体" w:eastAsia="宋体" w:cs="宋体"/>
                <w:color w:val="auto"/>
                <w:highlight w:val="none"/>
              </w:rPr>
            </w:pPr>
            <w:r>
              <w:rPr>
                <w:rFonts w:hint="eastAsia" w:ascii="宋体" w:hAnsi="宋体" w:eastAsia="宋体" w:cs="宋体"/>
                <w:color w:val="auto"/>
                <w:highlight w:val="none"/>
              </w:rPr>
              <w:t>证书号</w:t>
            </w:r>
          </w:p>
        </w:tc>
      </w:tr>
      <w:tr w14:paraId="7B09E22A">
        <w:tblPrEx>
          <w:tblLayout w:type="fixed"/>
        </w:tblPrEx>
        <w:trPr>
          <w:trHeight w:val="526" w:hRule="atLeast"/>
          <w:jc w:val="center"/>
        </w:trPr>
        <w:tc>
          <w:tcPr>
            <w:tcW w:w="1591" w:type="dxa"/>
            <w:vMerge w:val="continue"/>
            <w:vAlign w:val="center"/>
          </w:tcPr>
          <w:p w14:paraId="22E499B8">
            <w:pPr>
              <w:jc w:val="center"/>
              <w:rPr>
                <w:rFonts w:hint="eastAsia" w:ascii="宋体" w:hAnsi="宋体" w:eastAsia="宋体" w:cs="宋体"/>
                <w:color w:val="auto"/>
                <w:highlight w:val="none"/>
              </w:rPr>
            </w:pPr>
          </w:p>
        </w:tc>
        <w:tc>
          <w:tcPr>
            <w:tcW w:w="1342" w:type="dxa"/>
            <w:vAlign w:val="center"/>
          </w:tcPr>
          <w:p w14:paraId="6DEC46B4">
            <w:pPr>
              <w:jc w:val="center"/>
              <w:rPr>
                <w:rFonts w:hint="eastAsia" w:ascii="宋体" w:hAnsi="宋体" w:eastAsia="宋体" w:cs="宋体"/>
                <w:color w:val="auto"/>
                <w:highlight w:val="none"/>
              </w:rPr>
            </w:pPr>
          </w:p>
        </w:tc>
        <w:tc>
          <w:tcPr>
            <w:tcW w:w="2868" w:type="dxa"/>
            <w:gridSpan w:val="2"/>
            <w:vAlign w:val="center"/>
          </w:tcPr>
          <w:p w14:paraId="33D7C744">
            <w:pPr>
              <w:jc w:val="center"/>
              <w:rPr>
                <w:rFonts w:hint="eastAsia" w:ascii="宋体" w:hAnsi="宋体" w:eastAsia="宋体" w:cs="宋体"/>
                <w:color w:val="auto"/>
                <w:highlight w:val="none"/>
              </w:rPr>
            </w:pPr>
          </w:p>
        </w:tc>
        <w:tc>
          <w:tcPr>
            <w:tcW w:w="2982" w:type="dxa"/>
            <w:gridSpan w:val="3"/>
            <w:vAlign w:val="center"/>
          </w:tcPr>
          <w:p w14:paraId="588B53A2">
            <w:pPr>
              <w:jc w:val="center"/>
              <w:rPr>
                <w:rFonts w:hint="eastAsia" w:ascii="宋体" w:hAnsi="宋体" w:eastAsia="宋体" w:cs="宋体"/>
                <w:color w:val="auto"/>
                <w:highlight w:val="none"/>
              </w:rPr>
            </w:pPr>
          </w:p>
        </w:tc>
      </w:tr>
      <w:tr w14:paraId="29AF2294">
        <w:tblPrEx>
          <w:tblLayout w:type="fixed"/>
        </w:tblPrEx>
        <w:trPr>
          <w:trHeight w:val="470" w:hRule="atLeast"/>
          <w:jc w:val="center"/>
        </w:trPr>
        <w:tc>
          <w:tcPr>
            <w:tcW w:w="1591" w:type="dxa"/>
            <w:vMerge w:val="continue"/>
            <w:vAlign w:val="center"/>
          </w:tcPr>
          <w:p w14:paraId="4E3EDE7A">
            <w:pPr>
              <w:jc w:val="center"/>
              <w:rPr>
                <w:rFonts w:hint="eastAsia" w:ascii="宋体" w:hAnsi="宋体" w:eastAsia="宋体" w:cs="宋体"/>
                <w:color w:val="auto"/>
                <w:highlight w:val="none"/>
              </w:rPr>
            </w:pPr>
          </w:p>
        </w:tc>
        <w:tc>
          <w:tcPr>
            <w:tcW w:w="1342" w:type="dxa"/>
            <w:vAlign w:val="center"/>
          </w:tcPr>
          <w:p w14:paraId="490AD281">
            <w:pPr>
              <w:jc w:val="center"/>
              <w:rPr>
                <w:rFonts w:hint="eastAsia" w:ascii="宋体" w:hAnsi="宋体" w:eastAsia="宋体" w:cs="宋体"/>
                <w:color w:val="auto"/>
                <w:highlight w:val="none"/>
              </w:rPr>
            </w:pPr>
          </w:p>
        </w:tc>
        <w:tc>
          <w:tcPr>
            <w:tcW w:w="2868" w:type="dxa"/>
            <w:gridSpan w:val="2"/>
            <w:vAlign w:val="center"/>
          </w:tcPr>
          <w:p w14:paraId="3362EC40">
            <w:pPr>
              <w:jc w:val="center"/>
              <w:rPr>
                <w:rFonts w:hint="eastAsia" w:ascii="宋体" w:hAnsi="宋体" w:eastAsia="宋体" w:cs="宋体"/>
                <w:color w:val="auto"/>
                <w:highlight w:val="none"/>
              </w:rPr>
            </w:pPr>
          </w:p>
        </w:tc>
        <w:tc>
          <w:tcPr>
            <w:tcW w:w="2982" w:type="dxa"/>
            <w:gridSpan w:val="3"/>
            <w:vAlign w:val="center"/>
          </w:tcPr>
          <w:p w14:paraId="0015D13F">
            <w:pPr>
              <w:jc w:val="center"/>
              <w:rPr>
                <w:rFonts w:hint="eastAsia" w:ascii="宋体" w:hAnsi="宋体" w:eastAsia="宋体" w:cs="宋体"/>
                <w:color w:val="auto"/>
                <w:highlight w:val="none"/>
              </w:rPr>
            </w:pPr>
          </w:p>
        </w:tc>
      </w:tr>
      <w:tr w14:paraId="6CE055DB">
        <w:tblPrEx>
          <w:tblLayout w:type="fixed"/>
        </w:tblPrEx>
        <w:trPr>
          <w:trHeight w:val="484" w:hRule="atLeast"/>
          <w:jc w:val="center"/>
        </w:trPr>
        <w:tc>
          <w:tcPr>
            <w:tcW w:w="1591" w:type="dxa"/>
            <w:vMerge w:val="continue"/>
            <w:vAlign w:val="center"/>
          </w:tcPr>
          <w:p w14:paraId="7AF782C3">
            <w:pPr>
              <w:jc w:val="center"/>
              <w:rPr>
                <w:rFonts w:hint="eastAsia" w:ascii="宋体" w:hAnsi="宋体" w:eastAsia="宋体" w:cs="宋体"/>
                <w:color w:val="auto"/>
                <w:highlight w:val="none"/>
              </w:rPr>
            </w:pPr>
          </w:p>
        </w:tc>
        <w:tc>
          <w:tcPr>
            <w:tcW w:w="1342" w:type="dxa"/>
            <w:vAlign w:val="center"/>
          </w:tcPr>
          <w:p w14:paraId="4C0D8E9B">
            <w:pPr>
              <w:jc w:val="center"/>
              <w:rPr>
                <w:rFonts w:hint="eastAsia" w:ascii="宋体" w:hAnsi="宋体" w:eastAsia="宋体" w:cs="宋体"/>
                <w:color w:val="auto"/>
                <w:highlight w:val="none"/>
              </w:rPr>
            </w:pPr>
          </w:p>
        </w:tc>
        <w:tc>
          <w:tcPr>
            <w:tcW w:w="2868" w:type="dxa"/>
            <w:gridSpan w:val="2"/>
            <w:vAlign w:val="center"/>
          </w:tcPr>
          <w:p w14:paraId="14551DB5">
            <w:pPr>
              <w:jc w:val="center"/>
              <w:rPr>
                <w:rFonts w:hint="eastAsia" w:ascii="宋体" w:hAnsi="宋体" w:eastAsia="宋体" w:cs="宋体"/>
                <w:color w:val="auto"/>
                <w:highlight w:val="none"/>
              </w:rPr>
            </w:pPr>
          </w:p>
        </w:tc>
        <w:tc>
          <w:tcPr>
            <w:tcW w:w="2982" w:type="dxa"/>
            <w:gridSpan w:val="3"/>
            <w:vAlign w:val="center"/>
          </w:tcPr>
          <w:p w14:paraId="13CF1F12">
            <w:pPr>
              <w:jc w:val="center"/>
              <w:rPr>
                <w:rFonts w:hint="eastAsia" w:ascii="宋体" w:hAnsi="宋体" w:eastAsia="宋体" w:cs="宋体"/>
                <w:color w:val="auto"/>
                <w:highlight w:val="none"/>
              </w:rPr>
            </w:pPr>
          </w:p>
        </w:tc>
      </w:tr>
      <w:tr w14:paraId="021FD90D">
        <w:tblPrEx>
          <w:tblLayout w:type="fixed"/>
        </w:tblPrEx>
        <w:trPr>
          <w:trHeight w:val="656" w:hRule="atLeast"/>
          <w:jc w:val="center"/>
        </w:trPr>
        <w:tc>
          <w:tcPr>
            <w:tcW w:w="1591" w:type="dxa"/>
            <w:vAlign w:val="center"/>
          </w:tcPr>
          <w:p w14:paraId="59D29391">
            <w:pPr>
              <w:jc w:val="center"/>
              <w:rPr>
                <w:rFonts w:hint="eastAsia" w:ascii="宋体" w:hAnsi="宋体" w:eastAsia="宋体" w:cs="宋体"/>
                <w:color w:val="auto"/>
                <w:highlight w:val="none"/>
              </w:rPr>
            </w:pPr>
            <w:r>
              <w:rPr>
                <w:rFonts w:hint="eastAsia" w:ascii="宋体" w:hAnsi="宋体" w:eastAsia="宋体" w:cs="宋体"/>
                <w:color w:val="auto"/>
                <w:highlight w:val="none"/>
              </w:rPr>
              <w:t>本项目</w:t>
            </w:r>
          </w:p>
          <w:p w14:paraId="2C554E05">
            <w:pPr>
              <w:jc w:val="center"/>
              <w:rPr>
                <w:rFonts w:hint="eastAsia" w:ascii="宋体" w:hAnsi="宋体" w:eastAsia="宋体" w:cs="宋体"/>
                <w:color w:val="auto"/>
                <w:highlight w:val="none"/>
              </w:rPr>
            </w:pPr>
            <w:r>
              <w:rPr>
                <w:rFonts w:hint="eastAsia" w:ascii="宋体" w:hAnsi="宋体" w:eastAsia="宋体" w:cs="宋体"/>
                <w:color w:val="auto"/>
                <w:highlight w:val="none"/>
              </w:rPr>
              <w:t>拟任岗位</w:t>
            </w:r>
          </w:p>
        </w:tc>
        <w:tc>
          <w:tcPr>
            <w:tcW w:w="1342" w:type="dxa"/>
            <w:vAlign w:val="center"/>
          </w:tcPr>
          <w:p w14:paraId="39EDDA68">
            <w:pPr>
              <w:jc w:val="center"/>
              <w:rPr>
                <w:rFonts w:hint="eastAsia" w:ascii="宋体" w:hAnsi="宋体" w:eastAsia="宋体" w:cs="宋体"/>
                <w:color w:val="auto"/>
                <w:highlight w:val="none"/>
              </w:rPr>
            </w:pPr>
          </w:p>
        </w:tc>
        <w:tc>
          <w:tcPr>
            <w:tcW w:w="1560" w:type="dxa"/>
            <w:vAlign w:val="center"/>
          </w:tcPr>
          <w:p w14:paraId="1B025684">
            <w:pPr>
              <w:jc w:val="center"/>
              <w:rPr>
                <w:rFonts w:hint="eastAsia" w:ascii="宋体" w:hAnsi="宋体" w:eastAsia="宋体" w:cs="宋体"/>
                <w:color w:val="auto"/>
                <w:highlight w:val="none"/>
              </w:rPr>
            </w:pPr>
            <w:r>
              <w:rPr>
                <w:rFonts w:hint="eastAsia" w:ascii="宋体" w:hAnsi="宋体" w:eastAsia="宋体" w:cs="宋体"/>
                <w:color w:val="auto"/>
                <w:highlight w:val="none"/>
              </w:rPr>
              <w:t>为投标人服务的时间（年）</w:t>
            </w:r>
          </w:p>
        </w:tc>
        <w:tc>
          <w:tcPr>
            <w:tcW w:w="1308" w:type="dxa"/>
            <w:vAlign w:val="center"/>
          </w:tcPr>
          <w:p w14:paraId="3FFF2B2F">
            <w:pPr>
              <w:jc w:val="center"/>
              <w:rPr>
                <w:rFonts w:hint="eastAsia" w:ascii="宋体" w:hAnsi="宋体" w:eastAsia="宋体" w:cs="宋体"/>
                <w:color w:val="auto"/>
                <w:highlight w:val="none"/>
              </w:rPr>
            </w:pPr>
          </w:p>
        </w:tc>
        <w:tc>
          <w:tcPr>
            <w:tcW w:w="1260" w:type="dxa"/>
            <w:vAlign w:val="center"/>
          </w:tcPr>
          <w:p w14:paraId="57110E75">
            <w:pPr>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1722" w:type="dxa"/>
            <w:gridSpan w:val="2"/>
            <w:vAlign w:val="center"/>
          </w:tcPr>
          <w:p w14:paraId="668DD64F">
            <w:pPr>
              <w:jc w:val="center"/>
              <w:rPr>
                <w:rFonts w:hint="eastAsia" w:ascii="宋体" w:hAnsi="宋体" w:eastAsia="宋体" w:cs="宋体"/>
                <w:color w:val="auto"/>
                <w:highlight w:val="none"/>
              </w:rPr>
            </w:pPr>
          </w:p>
        </w:tc>
      </w:tr>
      <w:tr w14:paraId="7372FC52">
        <w:tblPrEx>
          <w:tblLayout w:type="fixed"/>
        </w:tblPrEx>
        <w:trPr>
          <w:trHeight w:val="656" w:hRule="atLeast"/>
          <w:jc w:val="center"/>
        </w:trPr>
        <w:tc>
          <w:tcPr>
            <w:tcW w:w="8783" w:type="dxa"/>
            <w:gridSpan w:val="7"/>
            <w:vAlign w:val="center"/>
          </w:tcPr>
          <w:p w14:paraId="1FB7E236">
            <w:pPr>
              <w:jc w:val="center"/>
              <w:rPr>
                <w:rFonts w:hint="eastAsia" w:ascii="宋体" w:hAnsi="宋体" w:eastAsia="宋体" w:cs="宋体"/>
                <w:color w:val="auto"/>
                <w:highlight w:val="none"/>
              </w:rPr>
            </w:pPr>
            <w:r>
              <w:rPr>
                <w:rFonts w:hint="eastAsia" w:ascii="宋体" w:hAnsi="宋体" w:eastAsia="宋体" w:cs="宋体"/>
                <w:color w:val="auto"/>
                <w:highlight w:val="none"/>
              </w:rPr>
              <w:t>相关专业经历与工作经验</w:t>
            </w:r>
          </w:p>
        </w:tc>
      </w:tr>
      <w:tr w14:paraId="6C8994E9">
        <w:tblPrEx>
          <w:tblLayout w:type="fixed"/>
        </w:tblPrEx>
        <w:trPr>
          <w:trHeight w:val="656" w:hRule="atLeast"/>
          <w:jc w:val="center"/>
        </w:trPr>
        <w:tc>
          <w:tcPr>
            <w:tcW w:w="1591" w:type="dxa"/>
            <w:vAlign w:val="center"/>
          </w:tcPr>
          <w:p w14:paraId="603D6CD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2902" w:type="dxa"/>
            <w:gridSpan w:val="2"/>
            <w:vAlign w:val="center"/>
          </w:tcPr>
          <w:p w14:paraId="5363955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参加过的同类项目</w:t>
            </w:r>
          </w:p>
        </w:tc>
        <w:tc>
          <w:tcPr>
            <w:tcW w:w="2824" w:type="dxa"/>
            <w:gridSpan w:val="3"/>
            <w:vAlign w:val="center"/>
          </w:tcPr>
          <w:p w14:paraId="134D34E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1466" w:type="dxa"/>
            <w:vAlign w:val="center"/>
          </w:tcPr>
          <w:p w14:paraId="64B1B7E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发包人及联系电话</w:t>
            </w:r>
          </w:p>
        </w:tc>
      </w:tr>
      <w:tr w14:paraId="1B22CEDE">
        <w:tblPrEx>
          <w:tblLayout w:type="fixed"/>
        </w:tblPrEx>
        <w:trPr>
          <w:trHeight w:val="476" w:hRule="atLeast"/>
          <w:jc w:val="center"/>
        </w:trPr>
        <w:tc>
          <w:tcPr>
            <w:tcW w:w="1591" w:type="dxa"/>
            <w:vAlign w:val="center"/>
          </w:tcPr>
          <w:p w14:paraId="3F8B214A">
            <w:pPr>
              <w:jc w:val="center"/>
              <w:rPr>
                <w:rFonts w:hint="eastAsia" w:ascii="宋体" w:hAnsi="宋体" w:eastAsia="宋体" w:cs="宋体"/>
                <w:color w:val="auto"/>
                <w:highlight w:val="none"/>
              </w:rPr>
            </w:pPr>
          </w:p>
        </w:tc>
        <w:tc>
          <w:tcPr>
            <w:tcW w:w="2902" w:type="dxa"/>
            <w:gridSpan w:val="2"/>
            <w:vAlign w:val="center"/>
          </w:tcPr>
          <w:p w14:paraId="736A4B47">
            <w:pPr>
              <w:jc w:val="center"/>
              <w:rPr>
                <w:rFonts w:hint="eastAsia" w:ascii="宋体" w:hAnsi="宋体" w:eastAsia="宋体" w:cs="宋体"/>
                <w:color w:val="auto"/>
                <w:highlight w:val="none"/>
              </w:rPr>
            </w:pPr>
          </w:p>
        </w:tc>
        <w:tc>
          <w:tcPr>
            <w:tcW w:w="2824" w:type="dxa"/>
            <w:gridSpan w:val="3"/>
            <w:vAlign w:val="center"/>
          </w:tcPr>
          <w:p w14:paraId="2472D139">
            <w:pPr>
              <w:jc w:val="center"/>
              <w:rPr>
                <w:rFonts w:hint="eastAsia" w:ascii="宋体" w:hAnsi="宋体" w:eastAsia="宋体" w:cs="宋体"/>
                <w:color w:val="auto"/>
                <w:highlight w:val="none"/>
              </w:rPr>
            </w:pPr>
          </w:p>
        </w:tc>
        <w:tc>
          <w:tcPr>
            <w:tcW w:w="1466" w:type="dxa"/>
            <w:vAlign w:val="center"/>
          </w:tcPr>
          <w:p w14:paraId="3E36C23D">
            <w:pPr>
              <w:jc w:val="center"/>
              <w:rPr>
                <w:rFonts w:hint="eastAsia" w:ascii="宋体" w:hAnsi="宋体" w:eastAsia="宋体" w:cs="宋体"/>
                <w:color w:val="auto"/>
                <w:highlight w:val="none"/>
              </w:rPr>
            </w:pPr>
          </w:p>
        </w:tc>
      </w:tr>
      <w:tr w14:paraId="656138E9">
        <w:tblPrEx>
          <w:tblLayout w:type="fixed"/>
        </w:tblPrEx>
        <w:trPr>
          <w:trHeight w:val="444" w:hRule="atLeast"/>
          <w:jc w:val="center"/>
        </w:trPr>
        <w:tc>
          <w:tcPr>
            <w:tcW w:w="1591" w:type="dxa"/>
            <w:vAlign w:val="center"/>
          </w:tcPr>
          <w:p w14:paraId="550602D4">
            <w:pPr>
              <w:jc w:val="center"/>
              <w:rPr>
                <w:rFonts w:hint="eastAsia" w:ascii="宋体" w:hAnsi="宋体" w:eastAsia="宋体" w:cs="宋体"/>
                <w:color w:val="auto"/>
                <w:highlight w:val="none"/>
              </w:rPr>
            </w:pPr>
          </w:p>
        </w:tc>
        <w:tc>
          <w:tcPr>
            <w:tcW w:w="2902" w:type="dxa"/>
            <w:gridSpan w:val="2"/>
            <w:vAlign w:val="center"/>
          </w:tcPr>
          <w:p w14:paraId="556395F1">
            <w:pPr>
              <w:jc w:val="center"/>
              <w:rPr>
                <w:rFonts w:hint="eastAsia" w:ascii="宋体" w:hAnsi="宋体" w:eastAsia="宋体" w:cs="宋体"/>
                <w:color w:val="auto"/>
                <w:highlight w:val="none"/>
              </w:rPr>
            </w:pPr>
          </w:p>
        </w:tc>
        <w:tc>
          <w:tcPr>
            <w:tcW w:w="2824" w:type="dxa"/>
            <w:gridSpan w:val="3"/>
            <w:vAlign w:val="center"/>
          </w:tcPr>
          <w:p w14:paraId="2064C6C8">
            <w:pPr>
              <w:jc w:val="center"/>
              <w:rPr>
                <w:rFonts w:hint="eastAsia" w:ascii="宋体" w:hAnsi="宋体" w:eastAsia="宋体" w:cs="宋体"/>
                <w:color w:val="auto"/>
                <w:highlight w:val="none"/>
              </w:rPr>
            </w:pPr>
          </w:p>
        </w:tc>
        <w:tc>
          <w:tcPr>
            <w:tcW w:w="1466" w:type="dxa"/>
            <w:vAlign w:val="center"/>
          </w:tcPr>
          <w:p w14:paraId="27B3EC99">
            <w:pPr>
              <w:jc w:val="center"/>
              <w:rPr>
                <w:rFonts w:hint="eastAsia" w:ascii="宋体" w:hAnsi="宋体" w:eastAsia="宋体" w:cs="宋体"/>
                <w:color w:val="auto"/>
                <w:highlight w:val="none"/>
              </w:rPr>
            </w:pPr>
          </w:p>
        </w:tc>
      </w:tr>
    </w:tbl>
    <w:p w14:paraId="10B176C4">
      <w:pPr>
        <w:spacing w:line="360" w:lineRule="auto"/>
        <w:ind w:right="-124" w:rightChars="-59"/>
        <w:rPr>
          <w:rFonts w:hint="eastAsia" w:ascii="宋体" w:hAnsi="宋体" w:eastAsia="宋体" w:cs="宋体"/>
          <w:b/>
          <w:bCs/>
          <w:color w:val="auto"/>
          <w:highlight w:val="none"/>
        </w:rPr>
      </w:pPr>
      <w:r>
        <w:rPr>
          <w:rFonts w:hint="eastAsia" w:ascii="宋体" w:hAnsi="宋体" w:eastAsia="宋体" w:cs="宋体"/>
          <w:color w:val="auto"/>
          <w:highlight w:val="none"/>
        </w:rPr>
        <w:t>注：本表后应附项目</w:t>
      </w:r>
      <w:r>
        <w:rPr>
          <w:rFonts w:hint="eastAsia" w:ascii="宋体" w:hAnsi="宋体" w:eastAsia="宋体" w:cs="宋体"/>
          <w:color w:val="auto"/>
          <w:highlight w:val="none"/>
          <w:lang w:val="en-US" w:eastAsia="zh-CN"/>
        </w:rPr>
        <w:t>负责人</w:t>
      </w:r>
      <w:r>
        <w:rPr>
          <w:rFonts w:hint="eastAsia" w:ascii="宋体" w:hAnsi="宋体" w:eastAsia="宋体" w:cs="宋体"/>
          <w:color w:val="auto"/>
          <w:highlight w:val="none"/>
        </w:rPr>
        <w:t>的劳动合同、安全生产考核合格证、注册证书等材料的复印件或扫描件。</w:t>
      </w:r>
    </w:p>
    <w:p w14:paraId="1FB53BA9">
      <w:pPr>
        <w:spacing w:line="360" w:lineRule="auto"/>
        <w:ind w:right="-124" w:rightChars="-59"/>
        <w:rPr>
          <w:rFonts w:hint="eastAsia" w:ascii="宋体" w:hAnsi="宋体" w:eastAsia="宋体" w:cs="宋体"/>
          <w:b/>
          <w:bCs/>
          <w:color w:val="auto"/>
          <w:highlight w:val="none"/>
        </w:rPr>
      </w:pPr>
    </w:p>
    <w:p w14:paraId="3A676BE3">
      <w:pPr>
        <w:spacing w:line="360" w:lineRule="auto"/>
        <w:ind w:right="-124" w:rightChars="-59" w:firstLine="403" w:firstLineChars="192"/>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（盖章） </w:t>
      </w:r>
    </w:p>
    <w:p w14:paraId="1B3B439E">
      <w:pPr>
        <w:spacing w:line="360" w:lineRule="auto"/>
        <w:ind w:right="-124" w:rightChars="-59" w:firstLine="403" w:firstLineChars="192"/>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（签字或盖章） </w:t>
      </w:r>
    </w:p>
    <w:p w14:paraId="4C500E80">
      <w:pPr>
        <w:spacing w:line="360" w:lineRule="auto"/>
        <w:jc w:val="right"/>
        <w:rPr>
          <w:rFonts w:hint="eastAsia" w:ascii="宋体" w:hAnsi="宋体" w:eastAsia="宋体" w:cs="宋体"/>
          <w:color w:val="auto"/>
          <w:sz w:val="30"/>
          <w:szCs w:val="30"/>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sz w:val="30"/>
          <w:szCs w:val="30"/>
          <w:highlight w:val="none"/>
        </w:rPr>
        <w:br w:type="page"/>
      </w:r>
    </w:p>
    <w:bookmarkEnd w:id="494"/>
    <w:p w14:paraId="6C888200">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lang w:val="en-US" w:eastAsia="zh-CN"/>
        </w:rPr>
      </w:pPr>
      <w:bookmarkStart w:id="495" w:name="_Toc32018"/>
      <w:bookmarkStart w:id="496" w:name="_Toc27639"/>
      <w:bookmarkStart w:id="497" w:name="_Toc10467"/>
      <w:bookmarkStart w:id="498" w:name="_Toc31277"/>
      <w:bookmarkStart w:id="499" w:name="_Toc9008"/>
      <w:bookmarkStart w:id="500" w:name="_Toc4284"/>
      <w:bookmarkStart w:id="501" w:name="_Toc17019"/>
      <w:r>
        <w:rPr>
          <w:rFonts w:hint="eastAsia" w:ascii="宋体" w:hAnsi="宋体" w:eastAsia="宋体" w:cs="宋体"/>
          <w:b/>
          <w:bCs/>
          <w:color w:val="auto"/>
          <w:sz w:val="30"/>
          <w:szCs w:val="30"/>
          <w:highlight w:val="none"/>
          <w:lang w:val="en-US" w:eastAsia="zh-CN"/>
        </w:rPr>
        <w:t>四、承诺书</w:t>
      </w:r>
      <w:bookmarkEnd w:id="495"/>
      <w:bookmarkEnd w:id="496"/>
      <w:bookmarkEnd w:id="497"/>
      <w:bookmarkEnd w:id="498"/>
      <w:bookmarkEnd w:id="499"/>
      <w:bookmarkEnd w:id="500"/>
      <w:bookmarkEnd w:id="501"/>
    </w:p>
    <w:p w14:paraId="70941E64">
      <w:pPr>
        <w:spacing w:line="380" w:lineRule="exact"/>
        <w:ind w:right="-124" w:rightChars="-59"/>
        <w:rPr>
          <w:rFonts w:hint="eastAsia" w:ascii="宋体" w:hAnsi="宋体" w:eastAsia="宋体" w:cs="宋体"/>
          <w:color w:val="auto"/>
          <w:kern w:val="0"/>
          <w:highlight w:val="none"/>
          <w:u w:val="single"/>
        </w:rPr>
      </w:pPr>
    </w:p>
    <w:p w14:paraId="261C8C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南通轨道城市服务有限公司：</w:t>
      </w:r>
    </w:p>
    <w:p w14:paraId="56DC74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我方参加你方的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（以下简称“本工程”）的投标，现我方法定代表人向你方慎重承诺：</w:t>
      </w:r>
    </w:p>
    <w:p w14:paraId="044531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我方拟派项目经理投标时未担任其他在建工程的项目经理。</w:t>
      </w:r>
    </w:p>
    <w:p w14:paraId="06252F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项目经理是非变更后无在建工程，或项目经理是变更后无在建工程（必须原合同工期已满且变更备案之日已满6个月），或因非承包方原因致使工程项目停工或因故不能按期开工、且已办理了项目经理解锁手续，或项目经理有在建工程，但该在建工程与本次招标的工程属于同一工程项目、同一项目批文、同一施工地点分段发包或分期施工的情况且总的工程规模在项目经理执业范围之内。</w:t>
      </w:r>
    </w:p>
    <w:p w14:paraId="678AF8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违反上述任何一条承诺，愿意接受任何处罚，包括同意你方取消我方中标资格并不予退还投标保证金或履约担保，将我方列入黑名单，并上报建设主管部门，我方主动放弃今后参与你集团及下属公司所有项目的投标或竞价的资格。</w:t>
      </w:r>
    </w:p>
    <w:p w14:paraId="1D8851C4">
      <w:pPr>
        <w:widowControl/>
        <w:spacing w:line="380" w:lineRule="exact"/>
        <w:ind w:right="-124" w:rightChars="-59" w:firstLine="422" w:firstLineChars="200"/>
        <w:rPr>
          <w:rFonts w:hint="eastAsia" w:ascii="宋体" w:hAnsi="宋体" w:eastAsia="宋体" w:cs="宋体"/>
          <w:b/>
          <w:color w:val="auto"/>
          <w:kern w:val="0"/>
          <w:highlight w:val="none"/>
        </w:rPr>
      </w:pPr>
    </w:p>
    <w:p w14:paraId="76237CEB">
      <w:pPr>
        <w:spacing w:line="360" w:lineRule="auto"/>
        <w:ind w:right="-124" w:rightChars="-59" w:firstLine="403" w:firstLineChars="192"/>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（盖章） </w:t>
      </w:r>
    </w:p>
    <w:p w14:paraId="1DC1D728">
      <w:pPr>
        <w:spacing w:line="360" w:lineRule="auto"/>
        <w:ind w:right="-124" w:rightChars="-59" w:firstLine="403" w:firstLineChars="192"/>
        <w:jc w:val="right"/>
        <w:rPr>
          <w:rFonts w:hint="eastAsia" w:ascii="宋体" w:hAnsi="宋体" w:eastAsia="宋体" w:cs="宋体"/>
          <w:color w:val="auto"/>
          <w:highlight w:val="none"/>
        </w:rPr>
      </w:pPr>
      <w:bookmarkStart w:id="502" w:name="_Toc12862"/>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（签字或盖章）</w:t>
      </w:r>
      <w:bookmarkEnd w:id="502"/>
      <w:r>
        <w:rPr>
          <w:rFonts w:hint="eastAsia" w:ascii="宋体" w:hAnsi="宋体" w:eastAsia="宋体" w:cs="宋体"/>
          <w:color w:val="auto"/>
          <w:highlight w:val="none"/>
        </w:rPr>
        <w:t xml:space="preserve"> </w:t>
      </w:r>
    </w:p>
    <w:p w14:paraId="1B9A0F21">
      <w:pPr>
        <w:spacing w:line="360" w:lineRule="auto"/>
        <w:ind w:right="-124" w:rightChars="-59" w:firstLine="403" w:firstLineChars="192"/>
        <w:jc w:val="right"/>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2C23126">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7B62DE6F">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lang w:val="en-US" w:eastAsia="zh-CN"/>
        </w:rPr>
      </w:pPr>
      <w:bookmarkStart w:id="503" w:name="_Toc30964"/>
      <w:bookmarkStart w:id="504" w:name="_Toc20370"/>
      <w:bookmarkStart w:id="505" w:name="_Toc32027"/>
      <w:r>
        <w:rPr>
          <w:rFonts w:hint="eastAsia" w:ascii="宋体" w:hAnsi="宋体" w:eastAsia="宋体" w:cs="宋体"/>
          <w:b/>
          <w:bCs/>
          <w:color w:val="auto"/>
          <w:sz w:val="30"/>
          <w:szCs w:val="30"/>
          <w:highlight w:val="none"/>
          <w:lang w:val="en-US" w:eastAsia="zh-CN"/>
        </w:rPr>
        <w:t>五、投标保证金</w:t>
      </w:r>
      <w:bookmarkEnd w:id="503"/>
      <w:bookmarkEnd w:id="504"/>
      <w:bookmarkEnd w:id="505"/>
    </w:p>
    <w:p w14:paraId="1AFC55A4">
      <w:pPr>
        <w:spacing w:line="360" w:lineRule="auto"/>
        <w:ind w:firstLine="420" w:firstLineChars="200"/>
        <w:rPr>
          <w:rFonts w:hint="eastAsia" w:ascii="宋体" w:hAnsi="宋体" w:cs="宋体"/>
          <w:szCs w:val="21"/>
        </w:rPr>
      </w:pPr>
      <w:bookmarkStart w:id="506" w:name="_Toc467764296"/>
      <w:bookmarkStart w:id="507" w:name="_Toc459729772"/>
      <w:r>
        <w:rPr>
          <w:rFonts w:hint="eastAsia" w:ascii="宋体" w:hAnsi="宋体" w:cs="宋体"/>
          <w:szCs w:val="21"/>
        </w:rPr>
        <w:t>若采用电汇，投标人应在此提供汇款凭证的复印件和基本开户行许可证复印件。</w:t>
      </w:r>
    </w:p>
    <w:p w14:paraId="5D6E3E3B">
      <w:pPr>
        <w:spacing w:line="360" w:lineRule="auto"/>
        <w:rPr>
          <w:rFonts w:hint="eastAsia" w:ascii="宋体" w:hAnsi="宋体" w:cs="宋体"/>
          <w:b/>
          <w:szCs w:val="21"/>
        </w:rPr>
      </w:pPr>
      <w:r>
        <w:rPr>
          <w:rFonts w:hint="eastAsia" w:ascii="宋体" w:hAnsi="宋体" w:cs="宋体"/>
          <w:b/>
          <w:szCs w:val="21"/>
        </w:rPr>
        <w:t>电汇回单 （格式）</w:t>
      </w:r>
      <w:bookmarkEnd w:id="506"/>
      <w:bookmarkEnd w:id="507"/>
    </w:p>
    <w:tbl>
      <w:tblPr>
        <w:tblStyle w:val="33"/>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2EC0C581">
        <w:tblPrEx>
          <w:tblLayout w:type="fixed"/>
        </w:tblPrEx>
        <w:trPr>
          <w:trHeight w:val="4009" w:hRule="atLeast"/>
          <w:jc w:val="center"/>
        </w:trPr>
        <w:tc>
          <w:tcPr>
            <w:tcW w:w="9174" w:type="dxa"/>
            <w:vAlign w:val="center"/>
          </w:tcPr>
          <w:p w14:paraId="69564C7A">
            <w:pPr>
              <w:ind w:left="709" w:hanging="394"/>
              <w:jc w:val="center"/>
              <w:rPr>
                <w:rFonts w:hint="eastAsia" w:ascii="宋体" w:hAnsi="宋体" w:cs="宋体"/>
                <w:b/>
              </w:rPr>
            </w:pPr>
            <w:r>
              <w:rPr>
                <w:rFonts w:hint="eastAsia" w:ascii="宋体" w:hAnsi="宋体" w:cs="宋体"/>
                <w:b/>
              </w:rPr>
              <w:t>电汇回单复印件</w:t>
            </w:r>
          </w:p>
        </w:tc>
      </w:tr>
    </w:tbl>
    <w:p w14:paraId="3465AFE5">
      <w:pPr>
        <w:spacing w:line="360" w:lineRule="auto"/>
        <w:ind w:left="318"/>
        <w:jc w:val="center"/>
        <w:rPr>
          <w:rFonts w:hint="eastAsia" w:ascii="宋体" w:hAnsi="宋体" w:cs="宋体"/>
          <w:b/>
          <w:bCs/>
          <w:sz w:val="28"/>
          <w:szCs w:val="28"/>
        </w:rPr>
      </w:pPr>
    </w:p>
    <w:p w14:paraId="3C19A95A">
      <w:pPr>
        <w:pStyle w:val="9"/>
        <w:ind w:firstLine="240"/>
        <w:rPr>
          <w:rFonts w:hint="eastAsia" w:ascii="宋体" w:hAnsi="宋体" w:eastAsia="宋体" w:cs="宋体"/>
        </w:rPr>
      </w:pPr>
    </w:p>
    <w:p w14:paraId="3F82AE46">
      <w:pPr>
        <w:spacing w:line="440" w:lineRule="exact"/>
        <w:ind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14:paraId="13647F56">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14:paraId="1175B9CC">
      <w:pPr>
        <w:spacing w:line="360" w:lineRule="auto"/>
        <w:ind w:firstLine="48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7A93639">
      <w:pPr>
        <w:spacing w:line="360" w:lineRule="auto"/>
        <w:rPr>
          <w:rFonts w:hint="eastAsia" w:ascii="宋体" w:hAnsi="宋体" w:cs="宋体"/>
        </w:rPr>
        <w:sectPr>
          <w:pgSz w:w="11906" w:h="16838"/>
          <w:pgMar w:top="1440" w:right="1797" w:bottom="1440" w:left="1797"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14:paraId="0BEEA03D">
      <w:pPr>
        <w:spacing w:line="360" w:lineRule="auto"/>
        <w:jc w:val="center"/>
        <w:rPr>
          <w:rFonts w:hint="eastAsia" w:ascii="宋体" w:hAnsi="宋体" w:cs="宋体"/>
          <w:szCs w:val="21"/>
        </w:rPr>
      </w:pPr>
      <w:r>
        <w:rPr>
          <w:rFonts w:hint="eastAsia" w:ascii="宋体" w:hAnsi="宋体" w:cs="宋体"/>
          <w:szCs w:val="21"/>
        </w:rPr>
        <w:t>投标保函格式（如采用）</w:t>
      </w:r>
    </w:p>
    <w:p w14:paraId="5C85EC8C">
      <w:pPr>
        <w:spacing w:line="480" w:lineRule="auto"/>
        <w:rPr>
          <w:rFonts w:hint="eastAsia" w:ascii="宋体" w:hAnsi="宋体" w:cs="宋体"/>
          <w:b/>
          <w:szCs w:val="21"/>
        </w:rPr>
      </w:pPr>
      <w:r>
        <w:rPr>
          <w:rFonts w:hint="eastAsia" w:ascii="宋体" w:hAnsi="宋体" w:cs="宋体"/>
          <w:b/>
          <w:bCs/>
          <w:szCs w:val="21"/>
        </w:rPr>
        <w:t>南通轨道城市服务有限公司：</w:t>
      </w:r>
    </w:p>
    <w:p w14:paraId="18D08D08">
      <w:pPr>
        <w:spacing w:line="360" w:lineRule="auto"/>
        <w:ind w:firstLine="420" w:firstLineChars="200"/>
        <w:rPr>
          <w:rFonts w:hint="eastAsia" w:ascii="宋体" w:hAnsi="宋体" w:cs="宋体"/>
          <w:bCs/>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(下称“投标人”)拟向南通轨道城市服务有限公司(下称“招标人”)送交的关于</w:t>
      </w:r>
      <w:r>
        <w:rPr>
          <w:rFonts w:hint="eastAsia" w:ascii="宋体" w:hAnsi="宋体" w:cs="宋体"/>
          <w:szCs w:val="21"/>
          <w:u w:val="single"/>
        </w:rPr>
        <w:t>（项目名称）</w:t>
      </w:r>
      <w:r>
        <w:rPr>
          <w:rFonts w:hint="eastAsia" w:ascii="宋体" w:hAnsi="宋体" w:cs="宋体"/>
          <w:szCs w:val="21"/>
        </w:rPr>
        <w:t>的投标文件，根据招标文件的规定,投标人须按</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元人民币）金额由其委托的银行出具一份投标保函（以下简称“保函”）作为履行招标文件中规定义务的担保。</w:t>
      </w:r>
    </w:p>
    <w:p w14:paraId="13BF1B0A">
      <w:pPr>
        <w:spacing w:line="360" w:lineRule="auto"/>
        <w:ind w:firstLine="420" w:firstLineChars="200"/>
        <w:rPr>
          <w:rFonts w:hint="eastAsia" w:ascii="宋体" w:hAnsi="宋体" w:cs="宋体"/>
          <w:szCs w:val="21"/>
        </w:rPr>
      </w:pPr>
      <w:r>
        <w:rPr>
          <w:rFonts w:hint="eastAsia" w:ascii="宋体" w:hAnsi="宋体" w:cs="宋体"/>
          <w:szCs w:val="21"/>
        </w:rPr>
        <w:t xml:space="preserve">我方同意为投标人出具本保函，作为投标人的投标担保。本保函为见索即付保函，本保函的金额为 </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w:t>
      </w:r>
    </w:p>
    <w:p w14:paraId="257D0BC7">
      <w:pPr>
        <w:spacing w:line="360" w:lineRule="auto"/>
        <w:ind w:firstLine="420" w:firstLineChars="200"/>
        <w:rPr>
          <w:rFonts w:hint="eastAsia" w:ascii="宋体" w:hAnsi="宋体" w:cs="宋体"/>
          <w:szCs w:val="21"/>
        </w:rPr>
      </w:pPr>
      <w:r>
        <w:rPr>
          <w:rFonts w:hint="eastAsia" w:ascii="宋体" w:hAnsi="宋体" w:cs="宋体"/>
          <w:szCs w:val="21"/>
        </w:rPr>
        <w:t>本保函的条件是：</w:t>
      </w:r>
    </w:p>
    <w:p w14:paraId="49398D29">
      <w:pPr>
        <w:spacing w:line="360" w:lineRule="auto"/>
        <w:ind w:firstLine="420" w:firstLineChars="200"/>
        <w:rPr>
          <w:rFonts w:hint="eastAsia" w:ascii="宋体" w:hAnsi="宋体" w:cs="宋体"/>
          <w:szCs w:val="21"/>
        </w:rPr>
      </w:pPr>
      <w:r>
        <w:rPr>
          <w:rFonts w:hint="eastAsia" w:ascii="宋体" w:hAnsi="宋体" w:cs="宋体"/>
          <w:szCs w:val="21"/>
        </w:rPr>
        <w:t>（1）投标人在投标有效期内撤回投标文件；</w:t>
      </w:r>
    </w:p>
    <w:p w14:paraId="3FE93CC1">
      <w:pPr>
        <w:spacing w:line="360" w:lineRule="auto"/>
        <w:ind w:firstLine="420" w:firstLineChars="200"/>
        <w:rPr>
          <w:rFonts w:hint="eastAsia" w:ascii="宋体" w:hAnsi="宋体" w:cs="宋体"/>
          <w:szCs w:val="21"/>
        </w:rPr>
      </w:pPr>
      <w:r>
        <w:rPr>
          <w:rFonts w:hint="eastAsia" w:ascii="宋体" w:hAnsi="宋体" w:cs="宋体"/>
          <w:szCs w:val="21"/>
        </w:rPr>
        <w:t>（2）中标通知书发出后，投标人放弃中标项目的，无正当理由不与招标人签订合同的，在签订合同时向招标人提出附加条件或者更改合同实质性内容的，或者拒不提交所要求的履约担保的；</w:t>
      </w:r>
    </w:p>
    <w:p w14:paraId="71CC904D">
      <w:pPr>
        <w:spacing w:line="360" w:lineRule="auto"/>
        <w:ind w:firstLine="420" w:firstLineChars="200"/>
        <w:rPr>
          <w:rFonts w:hint="eastAsia" w:ascii="宋体" w:hAnsi="宋体" w:cs="宋体"/>
          <w:szCs w:val="21"/>
        </w:rPr>
      </w:pPr>
      <w:r>
        <w:rPr>
          <w:rFonts w:hint="eastAsia" w:ascii="宋体" w:hAnsi="宋体" w:cs="宋体"/>
          <w:szCs w:val="21"/>
        </w:rPr>
        <w:t>（3）招投标法或本项目招标文件规定的其他不予退还的情况。</w:t>
      </w:r>
    </w:p>
    <w:p w14:paraId="4FC8D228">
      <w:pPr>
        <w:spacing w:line="360" w:lineRule="auto"/>
        <w:ind w:firstLine="420" w:firstLineChars="200"/>
        <w:rPr>
          <w:rFonts w:hint="eastAsia" w:ascii="宋体" w:hAnsi="宋体" w:cs="宋体"/>
          <w:szCs w:val="21"/>
        </w:rPr>
      </w:pPr>
      <w:r>
        <w:rPr>
          <w:rFonts w:hint="eastAsia" w:ascii="宋体" w:hAnsi="宋体" w:cs="宋体"/>
          <w:szCs w:val="21"/>
        </w:rPr>
        <w:t>我方承担连带保证责任，保证在收到招标人的书面索赔通知之日起10天内向招标人支付上述款项，并放弃向招标人提出异议的权利，也不要求招标人出具证明或者说明理由。</w:t>
      </w:r>
    </w:p>
    <w:p w14:paraId="66332FDB">
      <w:pPr>
        <w:spacing w:line="360" w:lineRule="auto"/>
        <w:ind w:firstLine="420" w:firstLineChars="200"/>
        <w:rPr>
          <w:rFonts w:hint="eastAsia" w:ascii="宋体" w:hAnsi="宋体" w:cs="宋体"/>
          <w:szCs w:val="21"/>
        </w:rPr>
      </w:pPr>
      <w:r>
        <w:rPr>
          <w:rFonts w:hint="eastAsia" w:ascii="宋体" w:hAnsi="宋体" w:cs="宋体"/>
          <w:szCs w:val="21"/>
        </w:rPr>
        <w:t>本保函在按投标须知规定的投标有效期（含延长的投标有效期）满之日起30天内保持有效。我方同意招标人延长投标有效期的决定可以不书面通知我方。</w:t>
      </w:r>
    </w:p>
    <w:p w14:paraId="54BFD0E7">
      <w:pPr>
        <w:spacing w:line="360" w:lineRule="auto"/>
        <w:ind w:left="840"/>
        <w:rPr>
          <w:rFonts w:hint="eastAsia" w:ascii="宋体" w:hAnsi="宋体" w:cs="宋体"/>
          <w:b/>
          <w:szCs w:val="21"/>
        </w:rPr>
      </w:pPr>
    </w:p>
    <w:p w14:paraId="5DBE20C8">
      <w:pPr>
        <w:spacing w:line="360" w:lineRule="auto"/>
        <w:ind w:left="420" w:leftChars="200"/>
        <w:rPr>
          <w:rFonts w:hint="eastAsia" w:ascii="宋体" w:hAnsi="宋体" w:cs="宋体"/>
          <w:szCs w:val="21"/>
        </w:rPr>
      </w:pPr>
      <w:r>
        <w:rPr>
          <w:rFonts w:hint="eastAsia" w:ascii="宋体" w:hAnsi="宋体" w:cs="宋体"/>
          <w:szCs w:val="21"/>
        </w:rPr>
        <w:t>银行名称：___________________（盖章）</w:t>
      </w:r>
    </w:p>
    <w:p w14:paraId="61FC83F4">
      <w:pPr>
        <w:spacing w:line="360" w:lineRule="auto"/>
        <w:ind w:left="420" w:leftChars="200"/>
        <w:rPr>
          <w:rFonts w:hint="eastAsia" w:ascii="宋体" w:hAnsi="宋体" w:cs="宋体"/>
          <w:szCs w:val="21"/>
        </w:rPr>
      </w:pPr>
      <w:r>
        <w:rPr>
          <w:rFonts w:hint="eastAsia" w:ascii="宋体" w:hAnsi="宋体" w:cs="宋体"/>
          <w:szCs w:val="21"/>
        </w:rPr>
        <w:t>银行法定代表人或负责人：___________________（签字）</w:t>
      </w:r>
    </w:p>
    <w:p w14:paraId="2F5F05AD">
      <w:pPr>
        <w:spacing w:line="360" w:lineRule="auto"/>
        <w:ind w:left="420" w:leftChars="200"/>
        <w:rPr>
          <w:rFonts w:hint="eastAsia" w:ascii="宋体" w:hAnsi="宋体" w:cs="宋体"/>
          <w:szCs w:val="21"/>
        </w:rPr>
      </w:pPr>
      <w:r>
        <w:rPr>
          <w:rFonts w:hint="eastAsia" w:ascii="宋体" w:hAnsi="宋体" w:cs="宋体"/>
          <w:szCs w:val="21"/>
        </w:rPr>
        <w:t>职    务：__________________________________</w:t>
      </w:r>
    </w:p>
    <w:p w14:paraId="6B69961C">
      <w:pPr>
        <w:spacing w:line="360" w:lineRule="auto"/>
        <w:ind w:left="420" w:leftChars="200"/>
        <w:rPr>
          <w:rFonts w:hint="eastAsia" w:ascii="宋体" w:hAnsi="宋体" w:cs="宋体"/>
          <w:szCs w:val="21"/>
        </w:rPr>
      </w:pPr>
      <w:r>
        <w:rPr>
          <w:rFonts w:hint="eastAsia" w:ascii="宋体" w:hAnsi="宋体" w:cs="宋体"/>
          <w:szCs w:val="21"/>
        </w:rPr>
        <w:t xml:space="preserve">地    址：________________________________  </w:t>
      </w:r>
    </w:p>
    <w:p w14:paraId="4CB0AF53">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电    话：_________________________________ </w:t>
      </w:r>
      <w:r>
        <w:rPr>
          <w:rFonts w:hint="eastAsia" w:ascii="宋体" w:hAnsi="宋体" w:cs="宋体"/>
          <w:szCs w:val="21"/>
        </w:rPr>
        <w:tab/>
      </w:r>
    </w:p>
    <w:p w14:paraId="3142E66F">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传    真：_______________________           </w:t>
      </w:r>
    </w:p>
    <w:p w14:paraId="6E8EFDA6">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邮    编：_________________________________ </w:t>
      </w:r>
      <w:r>
        <w:rPr>
          <w:rFonts w:hint="eastAsia" w:ascii="宋体" w:hAnsi="宋体" w:cs="宋体"/>
          <w:szCs w:val="21"/>
        </w:rPr>
        <w:tab/>
      </w:r>
    </w:p>
    <w:p w14:paraId="7EA5B486">
      <w:pPr>
        <w:tabs>
          <w:tab w:val="left" w:pos="1200"/>
        </w:tabs>
        <w:spacing w:line="360" w:lineRule="auto"/>
        <w:ind w:firstLine="420" w:firstLineChars="200"/>
        <w:rPr>
          <w:rFonts w:hint="eastAsia" w:ascii="宋体" w:hAnsi="宋体" w:cs="宋体"/>
          <w:szCs w:val="21"/>
        </w:rPr>
      </w:pPr>
      <w:r>
        <w:rPr>
          <w:rFonts w:hint="eastAsia" w:ascii="宋体" w:hAnsi="宋体" w:cs="宋体"/>
          <w:szCs w:val="21"/>
        </w:rPr>
        <w:t xml:space="preserve">日    期：_______________________          </w:t>
      </w:r>
    </w:p>
    <w:p w14:paraId="1C644223">
      <w:pPr>
        <w:rPr>
          <w:rFonts w:hint="eastAsia" w:ascii="宋体" w:hAnsi="宋体" w:cs="宋体"/>
          <w:b/>
          <w:sz w:val="36"/>
          <w:szCs w:val="36"/>
          <w:highlight w:val="none"/>
        </w:rPr>
      </w:pPr>
      <w:r>
        <w:rPr>
          <w:rFonts w:hint="eastAsia" w:ascii="宋体" w:hAnsi="宋体" w:cs="宋体"/>
          <w:b/>
          <w:sz w:val="36"/>
          <w:szCs w:val="36"/>
          <w:highlight w:val="none"/>
        </w:rPr>
        <w:br w:type="page"/>
      </w:r>
    </w:p>
    <w:p w14:paraId="247A16D3">
      <w:pPr>
        <w:pStyle w:val="2"/>
        <w:rPr>
          <w:rFonts w:hint="eastAsia"/>
        </w:rPr>
      </w:pPr>
    </w:p>
    <w:bookmarkEnd w:id="455"/>
    <w:bookmarkEnd w:id="456"/>
    <w:bookmarkEnd w:id="457"/>
    <w:p w14:paraId="2E7CBD64">
      <w:pPr>
        <w:spacing w:line="360" w:lineRule="auto"/>
        <w:jc w:val="center"/>
        <w:rPr>
          <w:rFonts w:hint="eastAsia" w:ascii="宋体" w:hAnsi="宋体" w:cs="宋体"/>
          <w:b/>
          <w:sz w:val="36"/>
          <w:szCs w:val="36"/>
          <w:highlight w:val="none"/>
        </w:rPr>
      </w:pPr>
      <w:bookmarkStart w:id="508" w:name="_Toc24222"/>
      <w:bookmarkStart w:id="509" w:name="_Toc8321"/>
      <w:bookmarkStart w:id="510" w:name="_Toc14912"/>
      <w:bookmarkStart w:id="511" w:name="_Toc25804"/>
      <w:bookmarkStart w:id="512" w:name="_Toc18590"/>
    </w:p>
    <w:p w14:paraId="07DDEF02">
      <w:pPr>
        <w:spacing w:line="360" w:lineRule="auto"/>
        <w:jc w:val="center"/>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钟秀西地铁大食堂改造工程（</w:t>
      </w:r>
      <w:r>
        <w:rPr>
          <w:rFonts w:hint="eastAsia" w:ascii="宋体" w:hAnsi="宋体" w:cs="宋体"/>
          <w:b/>
          <w:sz w:val="44"/>
          <w:szCs w:val="44"/>
          <w:highlight w:val="none"/>
          <w:lang w:val="en-US" w:eastAsia="zh-CN"/>
        </w:rPr>
        <w:t>二次</w:t>
      </w:r>
      <w:r>
        <w:rPr>
          <w:rFonts w:hint="eastAsia" w:ascii="宋体" w:hAnsi="宋体" w:cs="宋体"/>
          <w:b/>
          <w:sz w:val="44"/>
          <w:szCs w:val="44"/>
          <w:highlight w:val="none"/>
          <w:lang w:eastAsia="zh-CN"/>
        </w:rPr>
        <w:t>）</w:t>
      </w:r>
    </w:p>
    <w:p w14:paraId="034C8FED">
      <w:pPr>
        <w:rPr>
          <w:rFonts w:hint="eastAsia" w:ascii="宋体" w:hAnsi="宋体" w:cs="宋体"/>
          <w:highlight w:val="none"/>
        </w:rPr>
      </w:pPr>
    </w:p>
    <w:p w14:paraId="2FA24424">
      <w:pPr>
        <w:spacing w:line="360" w:lineRule="auto"/>
        <w:jc w:val="center"/>
        <w:outlineLvl w:val="0"/>
        <w:rPr>
          <w:rFonts w:hint="eastAsia" w:ascii="宋体" w:hAnsi="宋体" w:cs="宋体"/>
          <w:b/>
          <w:bCs/>
          <w:sz w:val="36"/>
          <w:szCs w:val="36"/>
          <w:highlight w:val="none"/>
        </w:rPr>
      </w:pPr>
      <w:bookmarkStart w:id="513" w:name="_Toc3536"/>
      <w:bookmarkStart w:id="514" w:name="_Toc19790"/>
      <w:bookmarkStart w:id="515" w:name="_Toc23270"/>
      <w:bookmarkStart w:id="516" w:name="_Toc26017"/>
      <w:bookmarkStart w:id="517" w:name="_Toc2548"/>
      <w:r>
        <w:rPr>
          <w:rFonts w:hint="eastAsia" w:ascii="宋体" w:hAnsi="宋体" w:cs="宋体"/>
          <w:b/>
          <w:bCs/>
          <w:sz w:val="36"/>
          <w:szCs w:val="36"/>
          <w:highlight w:val="none"/>
        </w:rPr>
        <w:t>（商务投标文件）</w:t>
      </w:r>
      <w:bookmarkEnd w:id="508"/>
      <w:bookmarkEnd w:id="509"/>
      <w:bookmarkEnd w:id="510"/>
      <w:bookmarkEnd w:id="511"/>
      <w:bookmarkEnd w:id="512"/>
      <w:bookmarkEnd w:id="513"/>
      <w:bookmarkEnd w:id="514"/>
      <w:bookmarkEnd w:id="515"/>
      <w:bookmarkEnd w:id="516"/>
      <w:bookmarkEnd w:id="517"/>
    </w:p>
    <w:p w14:paraId="7F1CF0E4">
      <w:pPr>
        <w:spacing w:line="360" w:lineRule="auto"/>
        <w:rPr>
          <w:rFonts w:hint="eastAsia" w:ascii="宋体" w:hAnsi="宋体" w:cs="宋体"/>
          <w:sz w:val="32"/>
          <w:highlight w:val="none"/>
        </w:rPr>
      </w:pPr>
    </w:p>
    <w:p w14:paraId="1452568A">
      <w:pPr>
        <w:spacing w:line="440" w:lineRule="exact"/>
        <w:rPr>
          <w:rFonts w:hint="eastAsia" w:ascii="宋体" w:hAnsi="宋体" w:cs="宋体"/>
          <w:sz w:val="32"/>
          <w:highlight w:val="none"/>
        </w:rPr>
      </w:pPr>
    </w:p>
    <w:p w14:paraId="35CE9B6A">
      <w:pPr>
        <w:spacing w:line="440" w:lineRule="exact"/>
        <w:rPr>
          <w:rFonts w:hint="eastAsia" w:ascii="宋体" w:hAnsi="宋体" w:cs="宋体"/>
          <w:sz w:val="32"/>
          <w:highlight w:val="none"/>
        </w:rPr>
      </w:pPr>
    </w:p>
    <w:p w14:paraId="522CFC96">
      <w:pPr>
        <w:spacing w:line="440" w:lineRule="exact"/>
        <w:rPr>
          <w:rFonts w:hint="eastAsia" w:ascii="宋体" w:hAnsi="宋体" w:cs="宋体"/>
          <w:sz w:val="32"/>
          <w:highlight w:val="none"/>
        </w:rPr>
      </w:pPr>
    </w:p>
    <w:p w14:paraId="22E2E07C">
      <w:pPr>
        <w:spacing w:line="440" w:lineRule="exact"/>
        <w:rPr>
          <w:rFonts w:hint="eastAsia" w:ascii="宋体" w:hAnsi="宋体" w:cs="宋体"/>
          <w:sz w:val="32"/>
          <w:highlight w:val="none"/>
        </w:rPr>
      </w:pPr>
    </w:p>
    <w:p w14:paraId="74CAAE4A">
      <w:pPr>
        <w:spacing w:line="440" w:lineRule="exact"/>
        <w:rPr>
          <w:rFonts w:hint="eastAsia" w:ascii="宋体" w:hAnsi="宋体" w:cs="宋体"/>
          <w:sz w:val="32"/>
          <w:highlight w:val="none"/>
        </w:rPr>
      </w:pPr>
    </w:p>
    <w:p w14:paraId="1E8D4465">
      <w:pPr>
        <w:rPr>
          <w:rFonts w:hint="eastAsia" w:ascii="宋体" w:hAnsi="宋体" w:cs="宋体"/>
          <w:highlight w:val="none"/>
        </w:rPr>
      </w:pPr>
    </w:p>
    <w:p w14:paraId="2C85A5BE">
      <w:pPr>
        <w:spacing w:line="440" w:lineRule="exact"/>
        <w:rPr>
          <w:rFonts w:hint="eastAsia" w:ascii="宋体" w:hAnsi="宋体" w:cs="宋体"/>
          <w:highlight w:val="none"/>
        </w:rPr>
      </w:pPr>
    </w:p>
    <w:p w14:paraId="1E3435B4">
      <w:pPr>
        <w:spacing w:line="440" w:lineRule="exact"/>
        <w:ind w:firstLine="1687" w:firstLineChars="600"/>
        <w:rPr>
          <w:rFonts w:hint="eastAsia" w:ascii="宋体" w:hAnsi="宋体" w:cs="宋体"/>
          <w:b/>
          <w:sz w:val="28"/>
          <w:szCs w:val="28"/>
          <w:highlight w:val="none"/>
        </w:rPr>
      </w:pPr>
    </w:p>
    <w:p w14:paraId="53FCFF66">
      <w:pPr>
        <w:ind w:firstLine="1687" w:firstLineChars="600"/>
        <w:rPr>
          <w:rFonts w:hint="eastAsia" w:ascii="宋体" w:hAnsi="宋体" w:cs="宋体"/>
          <w:b/>
          <w:bCs/>
          <w:sz w:val="28"/>
          <w:szCs w:val="28"/>
          <w:highlight w:val="none"/>
        </w:rPr>
      </w:pPr>
    </w:p>
    <w:p w14:paraId="2BDED10F">
      <w:pPr>
        <w:ind w:firstLine="1687" w:firstLineChars="600"/>
        <w:rPr>
          <w:rFonts w:hint="eastAsia" w:ascii="宋体" w:hAnsi="宋体" w:cs="宋体"/>
          <w:b/>
          <w:bCs/>
          <w:sz w:val="28"/>
          <w:szCs w:val="28"/>
          <w:highlight w:val="none"/>
        </w:rPr>
      </w:pPr>
    </w:p>
    <w:p w14:paraId="1E070099">
      <w:pPr>
        <w:jc w:val="center"/>
        <w:rPr>
          <w:rFonts w:hint="eastAsia" w:ascii="宋体" w:hAnsi="宋体" w:cs="宋体"/>
          <w:b/>
          <w:bCs/>
          <w:sz w:val="28"/>
          <w:szCs w:val="28"/>
          <w:highlight w:val="none"/>
        </w:rPr>
      </w:pPr>
    </w:p>
    <w:p w14:paraId="0DAEA063">
      <w:pPr>
        <w:jc w:val="center"/>
        <w:rPr>
          <w:rFonts w:hint="eastAsia" w:ascii="宋体" w:hAnsi="宋体" w:cs="宋体"/>
          <w:b/>
          <w:bCs/>
          <w:sz w:val="28"/>
          <w:szCs w:val="28"/>
          <w:highlight w:val="none"/>
        </w:rPr>
      </w:pPr>
    </w:p>
    <w:p w14:paraId="7F4BAF48">
      <w:pPr>
        <w:jc w:val="center"/>
        <w:rPr>
          <w:rFonts w:hint="eastAsia" w:ascii="宋体" w:hAnsi="宋体" w:cs="宋体"/>
          <w:b/>
          <w:bCs/>
          <w:sz w:val="28"/>
          <w:szCs w:val="28"/>
          <w:highlight w:val="none"/>
          <w:u w:val="single"/>
        </w:rPr>
      </w:pPr>
      <w:bookmarkStart w:id="518" w:name="_Toc30439"/>
      <w:bookmarkStart w:id="519" w:name="_Toc11216"/>
      <w:bookmarkStart w:id="520" w:name="_Toc9781"/>
      <w:bookmarkStart w:id="521" w:name="_Toc18349"/>
      <w:bookmarkStart w:id="522" w:name="_Toc7812"/>
      <w:r>
        <w:rPr>
          <w:rFonts w:hint="eastAsia" w:ascii="宋体" w:hAnsi="宋体" w:cs="宋体"/>
          <w:b/>
          <w:bCs/>
          <w:sz w:val="28"/>
          <w:szCs w:val="28"/>
          <w:highlight w:val="none"/>
        </w:rPr>
        <w:t xml:space="preserve">投  标  人: </w:t>
      </w:r>
      <w:r>
        <w:rPr>
          <w:rFonts w:hint="eastAsia" w:ascii="宋体" w:hAnsi="宋体" w:cs="宋体"/>
          <w:b/>
          <w:bCs/>
          <w:sz w:val="28"/>
          <w:szCs w:val="28"/>
          <w:highlight w:val="none"/>
          <w:u w:val="single"/>
        </w:rPr>
        <w:t xml:space="preserve">         （全称）（盖章）</w:t>
      </w:r>
    </w:p>
    <w:p w14:paraId="15905BA3">
      <w:pPr>
        <w:jc w:val="center"/>
        <w:rPr>
          <w:rFonts w:hint="eastAsia" w:ascii="宋体" w:hAnsi="宋体" w:cs="宋体"/>
          <w:b/>
          <w:bCs/>
          <w:sz w:val="28"/>
          <w:szCs w:val="28"/>
          <w:highlight w:val="none"/>
          <w:u w:val="single"/>
        </w:rPr>
      </w:pPr>
      <w:r>
        <w:rPr>
          <w:rFonts w:hint="eastAsia" w:ascii="宋体" w:hAnsi="宋体" w:cs="宋体"/>
          <w:b/>
          <w:bCs/>
          <w:sz w:val="28"/>
          <w:szCs w:val="28"/>
          <w:highlight w:val="none"/>
        </w:rPr>
        <w:t>法定代表人：</w:t>
      </w:r>
      <w:r>
        <w:rPr>
          <w:rFonts w:hint="eastAsia" w:ascii="宋体" w:hAnsi="宋体" w:cs="宋体"/>
          <w:b/>
          <w:bCs/>
          <w:sz w:val="28"/>
          <w:szCs w:val="28"/>
          <w:highlight w:val="none"/>
          <w:u w:val="single"/>
        </w:rPr>
        <w:t xml:space="preserve">           （签字或盖章）</w:t>
      </w:r>
    </w:p>
    <w:p w14:paraId="5E184711">
      <w:pPr>
        <w:jc w:val="center"/>
        <w:rPr>
          <w:rFonts w:hint="eastAsia" w:ascii="宋体" w:hAnsi="宋体" w:cs="宋体"/>
          <w:b/>
          <w:bCs/>
          <w:sz w:val="28"/>
          <w:szCs w:val="28"/>
          <w:highlight w:val="none"/>
        </w:rPr>
      </w:pPr>
      <w:r>
        <w:rPr>
          <w:rFonts w:hint="eastAsia" w:ascii="宋体" w:hAnsi="宋体" w:cs="宋体"/>
          <w:b/>
          <w:bCs/>
          <w:sz w:val="28"/>
          <w:szCs w:val="28"/>
          <w:highlight w:val="none"/>
        </w:rPr>
        <w:t>时      间：       年      月      日</w:t>
      </w:r>
    </w:p>
    <w:p w14:paraId="23A4C88F">
      <w:pPr>
        <w:spacing w:line="440" w:lineRule="exact"/>
        <w:ind w:firstLine="1928" w:firstLineChars="600"/>
        <w:jc w:val="center"/>
        <w:rPr>
          <w:rFonts w:hint="eastAsia" w:ascii="宋体" w:hAnsi="宋体" w:cs="宋体"/>
          <w:b/>
          <w:bCs/>
          <w:sz w:val="32"/>
          <w:szCs w:val="32"/>
          <w:highlight w:val="none"/>
        </w:rPr>
        <w:sectPr>
          <w:pgSz w:w="11905"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720" w:num="1"/>
          <w:docGrid w:type="lines" w:linePitch="325" w:charSpace="0"/>
        </w:sectPr>
      </w:pPr>
    </w:p>
    <w:p w14:paraId="01E7B9BD">
      <w:pPr>
        <w:keepNext/>
        <w:keepLines/>
        <w:spacing w:before="260" w:after="260" w:line="440" w:lineRule="exact"/>
        <w:jc w:val="center"/>
        <w:outlineLvl w:val="0"/>
        <w:rPr>
          <w:rFonts w:hint="eastAsia" w:ascii="宋体" w:hAnsi="宋体" w:cs="宋体"/>
          <w:b/>
          <w:bCs/>
          <w:kern w:val="0"/>
          <w:sz w:val="32"/>
          <w:szCs w:val="28"/>
          <w:highlight w:val="none"/>
        </w:rPr>
      </w:pPr>
      <w:bookmarkStart w:id="523" w:name="_Toc4645"/>
      <w:bookmarkStart w:id="524" w:name="_Toc3661"/>
      <w:bookmarkStart w:id="525" w:name="_Toc14401"/>
      <w:r>
        <w:rPr>
          <w:rFonts w:hint="eastAsia" w:ascii="宋体" w:hAnsi="宋体" w:cs="宋体"/>
          <w:b/>
          <w:bCs/>
          <w:kern w:val="0"/>
          <w:sz w:val="32"/>
          <w:szCs w:val="28"/>
          <w:highlight w:val="none"/>
        </w:rPr>
        <w:t>目  录</w:t>
      </w:r>
      <w:bookmarkEnd w:id="458"/>
      <w:bookmarkEnd w:id="459"/>
      <w:bookmarkEnd w:id="460"/>
      <w:bookmarkEnd w:id="461"/>
      <w:bookmarkEnd w:id="462"/>
      <w:bookmarkEnd w:id="518"/>
      <w:bookmarkEnd w:id="519"/>
      <w:bookmarkEnd w:id="520"/>
      <w:bookmarkEnd w:id="521"/>
      <w:bookmarkEnd w:id="522"/>
      <w:bookmarkEnd w:id="523"/>
      <w:bookmarkEnd w:id="524"/>
      <w:bookmarkEnd w:id="525"/>
    </w:p>
    <w:p w14:paraId="31CD3152">
      <w:pPr>
        <w:spacing w:line="440" w:lineRule="exact"/>
        <w:rPr>
          <w:rFonts w:hint="eastAsia" w:ascii="宋体" w:hAnsi="宋体" w:cs="宋体"/>
          <w:szCs w:val="21"/>
          <w:highlight w:val="none"/>
        </w:rPr>
      </w:pPr>
      <w:bookmarkStart w:id="526" w:name="_Toc3911_WPSOffice_Level2"/>
      <w:bookmarkStart w:id="527" w:name="_Toc18696"/>
      <w:bookmarkStart w:id="528" w:name="_Toc7707"/>
      <w:r>
        <w:rPr>
          <w:rFonts w:hint="eastAsia" w:ascii="宋体" w:hAnsi="宋体" w:cs="宋体"/>
          <w:szCs w:val="21"/>
          <w:highlight w:val="none"/>
        </w:rPr>
        <w:t>一</w:t>
      </w:r>
      <w:r>
        <w:rPr>
          <w:rFonts w:hint="eastAsia" w:ascii="宋体" w:hAnsi="宋体" w:cs="宋体"/>
          <w:szCs w:val="21"/>
          <w:highlight w:val="none"/>
          <w:lang w:eastAsia="zh-CN"/>
        </w:rPr>
        <w:t>、</w:t>
      </w:r>
      <w:r>
        <w:rPr>
          <w:rFonts w:hint="eastAsia" w:ascii="宋体" w:hAnsi="宋体" w:cs="宋体"/>
          <w:szCs w:val="21"/>
          <w:highlight w:val="none"/>
        </w:rPr>
        <w:t>投标函</w:t>
      </w:r>
      <w:bookmarkEnd w:id="526"/>
      <w:bookmarkEnd w:id="527"/>
      <w:bookmarkEnd w:id="528"/>
    </w:p>
    <w:p w14:paraId="27E9F055">
      <w:pPr>
        <w:spacing w:line="440" w:lineRule="exact"/>
        <w:rPr>
          <w:rFonts w:hint="eastAsia" w:ascii="宋体" w:hAnsi="宋体" w:cs="宋体"/>
          <w:szCs w:val="21"/>
          <w:highlight w:val="none"/>
        </w:rPr>
      </w:pPr>
      <w:bookmarkStart w:id="529" w:name="_Toc25080_WPSOffice_Level2"/>
      <w:bookmarkStart w:id="530" w:name="_Toc5976"/>
      <w:bookmarkStart w:id="531" w:name="_Toc25424"/>
      <w:r>
        <w:rPr>
          <w:rFonts w:hint="eastAsia" w:ascii="宋体" w:hAnsi="宋体" w:cs="宋体"/>
          <w:szCs w:val="21"/>
          <w:highlight w:val="none"/>
        </w:rPr>
        <w:t>二</w:t>
      </w:r>
      <w:bookmarkEnd w:id="529"/>
      <w:r>
        <w:rPr>
          <w:rFonts w:hint="eastAsia" w:ascii="宋体" w:hAnsi="宋体" w:cs="宋体"/>
          <w:szCs w:val="21"/>
          <w:highlight w:val="none"/>
          <w:lang w:eastAsia="zh-CN"/>
        </w:rPr>
        <w:t>、</w:t>
      </w:r>
      <w:r>
        <w:rPr>
          <w:rFonts w:hint="eastAsia" w:ascii="宋体" w:hAnsi="宋体" w:cs="宋体"/>
          <w:szCs w:val="21"/>
          <w:highlight w:val="none"/>
          <w:lang w:val="en-US" w:eastAsia="zh-CN"/>
        </w:rPr>
        <w:t>项目负责人</w:t>
      </w:r>
      <w:r>
        <w:rPr>
          <w:rFonts w:hint="eastAsia" w:ascii="宋体" w:hAnsi="宋体" w:cs="宋体"/>
          <w:szCs w:val="21"/>
          <w:highlight w:val="none"/>
        </w:rPr>
        <w:t>业绩汇总表</w:t>
      </w:r>
      <w:bookmarkEnd w:id="530"/>
      <w:bookmarkEnd w:id="531"/>
    </w:p>
    <w:p w14:paraId="54B5B9AE">
      <w:pPr>
        <w:spacing w:line="440" w:lineRule="exact"/>
        <w:rPr>
          <w:rFonts w:hint="eastAsia" w:ascii="宋体" w:hAnsi="宋体" w:cs="宋体"/>
          <w:szCs w:val="21"/>
          <w:highlight w:val="none"/>
        </w:rPr>
      </w:pPr>
      <w:bookmarkStart w:id="532" w:name="_Toc29409"/>
      <w:bookmarkStart w:id="533" w:name="_Toc20007"/>
      <w:r>
        <w:rPr>
          <w:rFonts w:hint="eastAsia" w:ascii="宋体" w:hAnsi="宋体" w:cs="宋体"/>
          <w:szCs w:val="21"/>
          <w:highlight w:val="none"/>
        </w:rPr>
        <w:t>三</w:t>
      </w:r>
      <w:r>
        <w:rPr>
          <w:rFonts w:hint="eastAsia" w:ascii="宋体" w:hAnsi="宋体" w:cs="宋体"/>
          <w:szCs w:val="21"/>
          <w:highlight w:val="none"/>
          <w:lang w:eastAsia="zh-CN"/>
        </w:rPr>
        <w:t>、</w:t>
      </w:r>
      <w:r>
        <w:rPr>
          <w:rFonts w:hint="eastAsia" w:ascii="宋体" w:hAnsi="宋体" w:cs="宋体"/>
          <w:szCs w:val="21"/>
          <w:highlight w:val="none"/>
          <w:lang w:val="en-US" w:eastAsia="zh-CN"/>
        </w:rPr>
        <w:t>项目负责人</w:t>
      </w:r>
      <w:r>
        <w:rPr>
          <w:rFonts w:hint="eastAsia" w:ascii="宋体" w:hAnsi="宋体" w:cs="宋体"/>
          <w:szCs w:val="21"/>
          <w:highlight w:val="none"/>
        </w:rPr>
        <w:t>业绩概况表</w:t>
      </w:r>
      <w:bookmarkEnd w:id="532"/>
      <w:bookmarkEnd w:id="533"/>
    </w:p>
    <w:p w14:paraId="73AF725D">
      <w:pPr>
        <w:spacing w:line="440" w:lineRule="exact"/>
        <w:rPr>
          <w:rFonts w:hint="eastAsia" w:ascii="宋体" w:hAnsi="宋体" w:cs="宋体"/>
          <w:szCs w:val="21"/>
          <w:highlight w:val="none"/>
        </w:rPr>
      </w:pPr>
      <w:r>
        <w:rPr>
          <w:rFonts w:hint="eastAsia" w:ascii="宋体" w:hAnsi="宋体" w:cs="宋体"/>
          <w:szCs w:val="21"/>
          <w:highlight w:val="none"/>
        </w:rPr>
        <w:t>（投标人自行编制目录页码）</w:t>
      </w:r>
    </w:p>
    <w:p w14:paraId="2CC359EA">
      <w:pPr>
        <w:spacing w:line="440" w:lineRule="exact"/>
        <w:rPr>
          <w:rFonts w:hint="eastAsia" w:ascii="宋体" w:hAnsi="宋体" w:cs="宋体"/>
          <w:sz w:val="24"/>
          <w:highlight w:val="none"/>
        </w:rPr>
      </w:pPr>
    </w:p>
    <w:p w14:paraId="5D5D30DC">
      <w:pPr>
        <w:spacing w:line="440" w:lineRule="exact"/>
        <w:rPr>
          <w:rFonts w:hint="eastAsia" w:ascii="宋体" w:hAnsi="宋体" w:cs="宋体"/>
          <w:sz w:val="24"/>
          <w:highlight w:val="none"/>
        </w:rPr>
      </w:pPr>
    </w:p>
    <w:p w14:paraId="4273CEA8">
      <w:pPr>
        <w:spacing w:line="440" w:lineRule="exact"/>
        <w:rPr>
          <w:rFonts w:hint="eastAsia" w:ascii="宋体" w:hAnsi="宋体" w:cs="宋体"/>
          <w:highlight w:val="none"/>
        </w:rPr>
        <w:sectPr>
          <w:pgSz w:w="11905"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720" w:num="1"/>
          <w:docGrid w:type="lines" w:linePitch="325" w:charSpace="0"/>
        </w:sectPr>
      </w:pPr>
    </w:p>
    <w:p w14:paraId="3513291F">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lang w:val="en-US" w:eastAsia="zh-CN"/>
        </w:rPr>
      </w:pPr>
      <w:bookmarkStart w:id="534" w:name="_Toc26406"/>
      <w:bookmarkStart w:id="535" w:name="_Toc17874"/>
      <w:bookmarkStart w:id="536" w:name="_Toc27461"/>
      <w:bookmarkStart w:id="537" w:name="_Toc2147"/>
      <w:bookmarkStart w:id="538" w:name="_Toc13217"/>
      <w:bookmarkStart w:id="539" w:name="_Toc290"/>
      <w:bookmarkStart w:id="540" w:name="_Toc25904"/>
      <w:bookmarkStart w:id="541" w:name="_Toc18479"/>
      <w:bookmarkStart w:id="542" w:name="_Toc25748"/>
      <w:bookmarkStart w:id="543" w:name="_Toc25746"/>
      <w:bookmarkStart w:id="544" w:name="_Toc30425"/>
      <w:bookmarkStart w:id="545" w:name="_Toc25696"/>
      <w:bookmarkStart w:id="546" w:name="_Toc22818"/>
      <w:bookmarkStart w:id="547" w:name="_Toc10521"/>
      <w:bookmarkStart w:id="548" w:name="_Toc5042"/>
      <w:bookmarkStart w:id="549" w:name="_Toc18552_WPSOffice_Level2"/>
      <w:bookmarkStart w:id="550" w:name="_Toc30573"/>
      <w:bookmarkStart w:id="551" w:name="_Toc23546"/>
      <w:bookmarkStart w:id="552" w:name="_Toc11485"/>
      <w:bookmarkStart w:id="553" w:name="_Toc79"/>
      <w:bookmarkStart w:id="554" w:name="_Toc21842"/>
      <w:r>
        <w:rPr>
          <w:rFonts w:hint="eastAsia" w:ascii="宋体" w:hAnsi="宋体" w:eastAsia="宋体" w:cs="宋体"/>
          <w:b/>
          <w:bCs/>
          <w:color w:val="auto"/>
          <w:sz w:val="30"/>
          <w:szCs w:val="30"/>
          <w:highlight w:val="none"/>
          <w:lang w:val="en-US" w:eastAsia="zh-CN"/>
        </w:rPr>
        <w:t>一、投标函</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3B1D5A49">
      <w:pPr>
        <w:rPr>
          <w:rFonts w:hint="eastAsia" w:ascii="宋体" w:hAnsi="宋体" w:cs="宋体"/>
          <w:highlight w:val="none"/>
        </w:rPr>
      </w:pPr>
    </w:p>
    <w:p w14:paraId="701D7C0E">
      <w:pPr>
        <w:spacing w:line="440" w:lineRule="exact"/>
        <w:ind w:firstLine="422" w:firstLineChars="200"/>
        <w:rPr>
          <w:rFonts w:hint="eastAsia" w:ascii="宋体" w:hAnsi="宋体" w:cs="宋体"/>
          <w:b/>
          <w:highlight w:val="none"/>
        </w:rPr>
      </w:pPr>
      <w:r>
        <w:rPr>
          <w:rFonts w:hint="eastAsia" w:ascii="宋体" w:hAnsi="宋体" w:cs="宋体"/>
          <w:b/>
          <w:highlight w:val="none"/>
        </w:rPr>
        <w:t>致：南通轨道城市服务有限公司</w:t>
      </w:r>
    </w:p>
    <w:p w14:paraId="362D279D">
      <w:pPr>
        <w:spacing w:line="440" w:lineRule="exact"/>
        <w:ind w:firstLine="420" w:firstLineChars="200"/>
        <w:rPr>
          <w:rFonts w:hint="eastAsia" w:ascii="宋体" w:hAnsi="宋体" w:cs="宋体"/>
          <w:highlight w:val="none"/>
        </w:rPr>
      </w:pPr>
      <w:r>
        <w:rPr>
          <w:rFonts w:hint="eastAsia" w:ascii="宋体" w:hAnsi="宋体" w:cs="宋体"/>
          <w:highlight w:val="none"/>
        </w:rPr>
        <w:t>根据已收到的</w:t>
      </w:r>
      <w:r>
        <w:rPr>
          <w:rFonts w:hint="eastAsia" w:ascii="宋体" w:hAnsi="宋体" w:cs="宋体"/>
          <w:highlight w:val="none"/>
          <w:u w:val="single"/>
          <w:lang w:eastAsia="zh-CN"/>
        </w:rPr>
        <w:t>钟秀西地铁大食堂改造工程</w:t>
      </w:r>
      <w:r>
        <w:rPr>
          <w:rFonts w:hint="eastAsia" w:ascii="宋体" w:hAnsi="宋体" w:cs="宋体"/>
          <w:kern w:val="58"/>
          <w:szCs w:val="21"/>
          <w:highlight w:val="none"/>
          <w:u w:val="single"/>
          <w:lang w:eastAsia="zh-CN"/>
        </w:rPr>
        <w:t>（</w:t>
      </w:r>
      <w:r>
        <w:rPr>
          <w:rFonts w:hint="eastAsia" w:ascii="宋体" w:hAnsi="宋体" w:cs="宋体"/>
          <w:kern w:val="58"/>
          <w:szCs w:val="21"/>
          <w:highlight w:val="none"/>
          <w:u w:val="single"/>
          <w:lang w:val="en-US" w:eastAsia="zh-CN"/>
        </w:rPr>
        <w:t>二次</w:t>
      </w:r>
      <w:r>
        <w:rPr>
          <w:rFonts w:hint="eastAsia" w:ascii="宋体" w:hAnsi="宋体" w:cs="宋体"/>
          <w:kern w:val="58"/>
          <w:szCs w:val="21"/>
          <w:highlight w:val="none"/>
          <w:u w:val="single"/>
          <w:lang w:eastAsia="zh-CN"/>
        </w:rPr>
        <w:t>）</w:t>
      </w:r>
      <w:r>
        <w:rPr>
          <w:rFonts w:hint="eastAsia" w:ascii="宋体" w:hAnsi="宋体" w:cs="宋体"/>
          <w:highlight w:val="none"/>
        </w:rPr>
        <w:t>招标文件，遵照规定,我方经考察现场和认真研究上述招标文件后，愿承认其全部内容。</w:t>
      </w:r>
    </w:p>
    <w:p w14:paraId="7D5575B1">
      <w:pPr>
        <w:spacing w:line="440" w:lineRule="exact"/>
        <w:ind w:firstLine="420" w:firstLineChars="200"/>
        <w:rPr>
          <w:rFonts w:hint="eastAsia" w:ascii="宋体" w:hAnsi="宋体" w:cs="宋体"/>
          <w:highlight w:val="none"/>
        </w:rPr>
      </w:pPr>
      <w:r>
        <w:rPr>
          <w:rFonts w:hint="eastAsia" w:ascii="宋体" w:hAnsi="宋体" w:cs="宋体"/>
          <w:highlight w:val="none"/>
        </w:rPr>
        <w:t>1、我方以报价投标文件中的投标总报价，按招标文件中的要求承担</w:t>
      </w:r>
      <w:r>
        <w:rPr>
          <w:rFonts w:hint="eastAsia" w:ascii="宋体" w:hAnsi="宋体" w:cs="宋体"/>
          <w:highlight w:val="none"/>
          <w:u w:val="single"/>
          <w:lang w:eastAsia="zh-CN"/>
        </w:rPr>
        <w:t>钟秀西地铁大食堂改造工程</w:t>
      </w:r>
      <w:r>
        <w:rPr>
          <w:rFonts w:hint="eastAsia" w:ascii="宋体" w:hAnsi="宋体" w:cs="宋体"/>
          <w:kern w:val="58"/>
          <w:szCs w:val="21"/>
          <w:highlight w:val="none"/>
          <w:u w:val="single"/>
          <w:lang w:eastAsia="zh-CN"/>
        </w:rPr>
        <w:t>（</w:t>
      </w:r>
      <w:r>
        <w:rPr>
          <w:rFonts w:hint="eastAsia" w:ascii="宋体" w:hAnsi="宋体" w:cs="宋体"/>
          <w:kern w:val="58"/>
          <w:szCs w:val="21"/>
          <w:highlight w:val="none"/>
          <w:u w:val="single"/>
          <w:lang w:val="en-US" w:eastAsia="zh-CN"/>
        </w:rPr>
        <w:t>二次</w:t>
      </w:r>
      <w:r>
        <w:rPr>
          <w:rFonts w:hint="eastAsia" w:ascii="宋体" w:hAnsi="宋体" w:cs="宋体"/>
          <w:kern w:val="58"/>
          <w:szCs w:val="21"/>
          <w:highlight w:val="none"/>
          <w:u w:val="single"/>
          <w:lang w:eastAsia="zh-CN"/>
        </w:rPr>
        <w:t>）</w:t>
      </w:r>
      <w:r>
        <w:rPr>
          <w:rFonts w:hint="eastAsia" w:ascii="宋体" w:hAnsi="宋体" w:cs="宋体"/>
          <w:highlight w:val="none"/>
        </w:rPr>
        <w:t>的全部工作内容。</w:t>
      </w:r>
    </w:p>
    <w:p w14:paraId="52910854">
      <w:pPr>
        <w:spacing w:line="440" w:lineRule="exact"/>
        <w:ind w:firstLine="420" w:firstLineChars="200"/>
        <w:rPr>
          <w:rFonts w:hint="eastAsia" w:ascii="宋体" w:hAnsi="宋体" w:cs="宋体"/>
          <w:highlight w:val="none"/>
        </w:rPr>
      </w:pPr>
      <w:r>
        <w:rPr>
          <w:rFonts w:hint="eastAsia" w:ascii="宋体" w:hAnsi="宋体" w:cs="宋体"/>
          <w:highlight w:val="none"/>
        </w:rPr>
        <w:t>2、我方承诺服务周期及投标文件响应招标文件所规定的所有工作完成时间均满足合同条款。</w:t>
      </w:r>
    </w:p>
    <w:p w14:paraId="20F95044">
      <w:pPr>
        <w:spacing w:line="440" w:lineRule="exact"/>
        <w:ind w:firstLine="420" w:firstLineChars="200"/>
        <w:rPr>
          <w:rFonts w:hint="eastAsia" w:ascii="宋体" w:hAnsi="宋体" w:cs="宋体"/>
          <w:highlight w:val="none"/>
        </w:rPr>
      </w:pPr>
      <w:r>
        <w:rPr>
          <w:rFonts w:hint="eastAsia" w:ascii="宋体" w:hAnsi="宋体" w:cs="宋体"/>
          <w:highlight w:val="none"/>
        </w:rPr>
        <w:t>3、如果贵方接受我方投标，我方在接到中标通知书后将按中标通知书和招标文件的要求及时签订合同，提交履约保证金。我方保证在投标人须知中规定的期限内按照要求提交成果。</w:t>
      </w:r>
    </w:p>
    <w:p w14:paraId="1788FAB3">
      <w:pPr>
        <w:spacing w:line="440" w:lineRule="exact"/>
        <w:ind w:firstLine="420" w:firstLineChars="200"/>
        <w:rPr>
          <w:rFonts w:hint="eastAsia" w:ascii="宋体" w:hAnsi="宋体" w:cs="宋体"/>
          <w:highlight w:val="none"/>
        </w:rPr>
      </w:pPr>
      <w:r>
        <w:rPr>
          <w:rFonts w:hint="eastAsia" w:ascii="宋体" w:hAnsi="宋体" w:cs="宋体"/>
          <w:highlight w:val="none"/>
        </w:rPr>
        <w:t>4、我方同意在贵方招标文件规定的投标有效期内遵守约定。在该期限期满之前，本投标书对我方始终具有约束力。</w:t>
      </w:r>
    </w:p>
    <w:p w14:paraId="7D066F21">
      <w:pPr>
        <w:spacing w:line="440" w:lineRule="exact"/>
        <w:ind w:firstLine="420" w:firstLineChars="200"/>
        <w:rPr>
          <w:rFonts w:hint="eastAsia" w:ascii="宋体" w:hAnsi="宋体" w:cs="宋体"/>
          <w:highlight w:val="none"/>
        </w:rPr>
      </w:pPr>
      <w:r>
        <w:rPr>
          <w:rFonts w:hint="eastAsia" w:ascii="宋体" w:hAnsi="宋体" w:cs="宋体"/>
          <w:highlight w:val="none"/>
        </w:rPr>
        <w:t>5、我方充分理解贵方招标文件所提出的关于人员、设备、管理等提出的隐性要求，一旦中标，确保能按照贵方要求执行，否则愿意接受贵方对我方的相关处罚。</w:t>
      </w:r>
    </w:p>
    <w:p w14:paraId="7AE2377A">
      <w:pPr>
        <w:spacing w:line="440" w:lineRule="exact"/>
        <w:ind w:firstLine="420" w:firstLineChars="200"/>
        <w:rPr>
          <w:rFonts w:hint="eastAsia" w:ascii="宋体" w:hAnsi="宋体" w:cs="宋体"/>
          <w:highlight w:val="none"/>
        </w:rPr>
      </w:pPr>
      <w:r>
        <w:rPr>
          <w:rFonts w:hint="eastAsia" w:ascii="宋体" w:hAnsi="宋体" w:cs="宋体"/>
          <w:highlight w:val="none"/>
        </w:rPr>
        <w:t>6、在正式签订合同协议书之前，本投标书连同贵方的中标通知书应成为约束贵方、我方的合同文件。</w:t>
      </w:r>
    </w:p>
    <w:p w14:paraId="53773223">
      <w:pPr>
        <w:spacing w:line="440" w:lineRule="exact"/>
        <w:ind w:firstLine="420" w:firstLineChars="200"/>
        <w:rPr>
          <w:rFonts w:hint="eastAsia" w:ascii="宋体" w:hAnsi="宋体" w:cs="宋体"/>
          <w:highlight w:val="none"/>
        </w:rPr>
      </w:pPr>
      <w:r>
        <w:rPr>
          <w:rFonts w:hint="eastAsia" w:ascii="宋体" w:hAnsi="宋体" w:cs="宋体"/>
          <w:highlight w:val="none"/>
        </w:rPr>
        <w:t>7、我方理解，贵方不一定接受最低标价的投标或可能接受其他任何投标；同时也理解，贵方不负担我单位的任何投标费用。</w:t>
      </w:r>
    </w:p>
    <w:p w14:paraId="1ECB5B6F">
      <w:pPr>
        <w:spacing w:line="440" w:lineRule="exact"/>
        <w:ind w:firstLine="420" w:firstLineChars="200"/>
        <w:rPr>
          <w:rFonts w:hint="eastAsia" w:ascii="宋体" w:hAnsi="宋体" w:cs="宋体"/>
          <w:highlight w:val="none"/>
        </w:rPr>
      </w:pPr>
      <w:r>
        <w:rPr>
          <w:rFonts w:hint="eastAsia" w:ascii="宋体" w:hAnsi="宋体" w:cs="宋体"/>
          <w:highlight w:val="none"/>
        </w:rPr>
        <w:t>8、我方承诺：本投标文件提供的信息、数据、资料或证书均真实有效，否则贵方有权取消我方的投标或中标资格。</w:t>
      </w:r>
    </w:p>
    <w:p w14:paraId="7A7F6851">
      <w:pPr>
        <w:spacing w:line="440" w:lineRule="exact"/>
        <w:ind w:firstLine="420" w:firstLineChars="200"/>
        <w:rPr>
          <w:rFonts w:hint="eastAsia" w:ascii="宋体" w:hAnsi="宋体" w:cs="宋体"/>
          <w:highlight w:val="none"/>
        </w:rPr>
      </w:pPr>
    </w:p>
    <w:p w14:paraId="04D1F812">
      <w:pPr>
        <w:spacing w:line="440" w:lineRule="exact"/>
        <w:ind w:firstLine="420" w:firstLineChars="200"/>
        <w:rPr>
          <w:rFonts w:hint="eastAsia" w:ascii="宋体" w:hAnsi="宋体" w:cs="宋体"/>
          <w:highlight w:val="none"/>
        </w:rPr>
      </w:pPr>
    </w:p>
    <w:p w14:paraId="06267BC5">
      <w:pPr>
        <w:spacing w:line="440" w:lineRule="exact"/>
        <w:ind w:firstLine="403" w:firstLineChars="192"/>
        <w:rPr>
          <w:rFonts w:hint="eastAsia" w:ascii="宋体" w:hAnsi="宋体" w:cs="宋体"/>
          <w:highlight w:val="none"/>
        </w:rPr>
      </w:pPr>
    </w:p>
    <w:p w14:paraId="0D66F502">
      <w:pPr>
        <w:spacing w:line="440" w:lineRule="exact"/>
        <w:ind w:firstLine="403" w:firstLineChars="192"/>
        <w:jc w:val="right"/>
        <w:rPr>
          <w:rFonts w:hint="eastAsia" w:ascii="宋体" w:hAnsi="宋体" w:cs="宋体"/>
          <w:highlight w:val="none"/>
          <w:u w:val="single"/>
        </w:rPr>
      </w:pPr>
      <w:r>
        <w:rPr>
          <w:rFonts w:hint="eastAsia" w:ascii="宋体" w:hAnsi="宋体" w:cs="宋体"/>
          <w:highlight w:val="none"/>
        </w:rPr>
        <w:t>投标人：</w:t>
      </w:r>
      <w:r>
        <w:rPr>
          <w:rFonts w:hint="eastAsia" w:ascii="宋体" w:hAnsi="宋体" w:cs="宋体"/>
          <w:highlight w:val="none"/>
          <w:u w:val="single"/>
        </w:rPr>
        <w:t xml:space="preserve">                       （盖章） </w:t>
      </w:r>
    </w:p>
    <w:p w14:paraId="41D2094B">
      <w:pPr>
        <w:spacing w:line="440" w:lineRule="exact"/>
        <w:ind w:firstLine="403" w:firstLineChars="192"/>
        <w:jc w:val="right"/>
        <w:rPr>
          <w:rFonts w:hint="eastAsia" w:ascii="宋体" w:hAnsi="宋体" w:cs="宋体"/>
          <w:highlight w:val="none"/>
        </w:rPr>
      </w:pPr>
      <w:r>
        <w:rPr>
          <w:rFonts w:hint="eastAsia" w:ascii="宋体" w:hAnsi="宋体" w:cs="宋体"/>
          <w:highlight w:val="none"/>
        </w:rPr>
        <w:t>法定代表人或委托代理人：</w:t>
      </w:r>
      <w:r>
        <w:rPr>
          <w:rFonts w:hint="eastAsia" w:ascii="宋体" w:hAnsi="宋体" w:cs="宋体"/>
          <w:highlight w:val="none"/>
          <w:u w:val="single"/>
        </w:rPr>
        <w:t xml:space="preserve"> （签字或盖章） </w:t>
      </w:r>
      <w:r>
        <w:rPr>
          <w:rFonts w:hint="eastAsia" w:ascii="宋体" w:hAnsi="宋体" w:cs="宋体"/>
          <w:highlight w:val="none"/>
        </w:rPr>
        <w:t xml:space="preserve"> </w:t>
      </w:r>
    </w:p>
    <w:p w14:paraId="31BB6B99">
      <w:pPr>
        <w:spacing w:line="440" w:lineRule="exact"/>
        <w:jc w:val="right"/>
        <w:rPr>
          <w:rFonts w:hint="eastAsia"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0612440B">
      <w:pPr>
        <w:spacing w:line="440" w:lineRule="exact"/>
        <w:rPr>
          <w:rFonts w:hint="eastAsia" w:ascii="宋体" w:hAnsi="宋体" w:cs="宋体"/>
          <w:highlight w:val="none"/>
        </w:rPr>
        <w:sectPr>
          <w:pgSz w:w="11905"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720" w:num="1"/>
          <w:docGrid w:type="lines" w:linePitch="325" w:charSpace="0"/>
        </w:sectPr>
      </w:pPr>
    </w:p>
    <w:p w14:paraId="0245B785">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lang w:val="en-US" w:eastAsia="zh-CN"/>
        </w:rPr>
      </w:pPr>
      <w:bookmarkStart w:id="555" w:name="_Toc22260"/>
      <w:bookmarkStart w:id="556" w:name="_Toc27920"/>
      <w:bookmarkStart w:id="557" w:name="_Toc4389"/>
      <w:bookmarkStart w:id="558" w:name="_Toc13919"/>
      <w:bookmarkStart w:id="559" w:name="_Toc6622"/>
      <w:bookmarkStart w:id="560" w:name="_Toc26567"/>
      <w:bookmarkStart w:id="561" w:name="_Toc25880_WPSOffice_Level2"/>
      <w:bookmarkStart w:id="562" w:name="_Toc21731"/>
      <w:bookmarkStart w:id="563" w:name="_Toc26085"/>
      <w:bookmarkStart w:id="564" w:name="_Toc16520"/>
      <w:bookmarkStart w:id="565" w:name="_Toc521"/>
      <w:bookmarkStart w:id="566" w:name="_Toc20039"/>
      <w:bookmarkStart w:id="567" w:name="_Toc7045"/>
      <w:bookmarkStart w:id="568" w:name="_Toc21204"/>
      <w:bookmarkStart w:id="569" w:name="_Toc7574"/>
      <w:bookmarkStart w:id="570" w:name="_Toc1151"/>
      <w:bookmarkStart w:id="571" w:name="_Toc18919"/>
      <w:bookmarkStart w:id="572" w:name="_Toc26611"/>
      <w:bookmarkStart w:id="573" w:name="_Toc23662"/>
      <w:bookmarkStart w:id="574" w:name="_Toc19776"/>
      <w:bookmarkStart w:id="575" w:name="_Toc16041"/>
      <w:bookmarkStart w:id="576" w:name="_Toc22333"/>
      <w:r>
        <w:rPr>
          <w:rFonts w:hint="eastAsia" w:ascii="宋体" w:hAnsi="宋体" w:eastAsia="宋体" w:cs="宋体"/>
          <w:b/>
          <w:bCs/>
          <w:color w:val="auto"/>
          <w:sz w:val="30"/>
          <w:szCs w:val="30"/>
          <w:highlight w:val="none"/>
          <w:lang w:val="en-US" w:eastAsia="zh-CN"/>
        </w:rPr>
        <w:t>二、项目负责人业绩汇总表</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79E1201">
      <w:pPr>
        <w:spacing w:line="440" w:lineRule="exact"/>
        <w:jc w:val="right"/>
        <w:rPr>
          <w:rFonts w:hint="eastAsia" w:ascii="宋体" w:hAnsi="宋体" w:cs="宋体"/>
          <w:highlight w:val="none"/>
        </w:rPr>
      </w:pPr>
      <w:r>
        <w:rPr>
          <w:rFonts w:hint="eastAsia" w:ascii="宋体" w:hAnsi="宋体" w:cs="宋体"/>
          <w:highlight w:val="none"/>
        </w:rPr>
        <w:t xml:space="preserve">                                            </w:t>
      </w:r>
    </w:p>
    <w:tbl>
      <w:tblPr>
        <w:tblStyle w:val="33"/>
        <w:tblW w:w="877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14:paraId="1255F81D">
        <w:tblPrEx>
          <w:tblLayout w:type="fixed"/>
        </w:tblPrEx>
        <w:trPr>
          <w:trHeight w:val="803" w:hRule="atLeast"/>
          <w:jc w:val="center"/>
        </w:trPr>
        <w:tc>
          <w:tcPr>
            <w:tcW w:w="1106" w:type="dxa"/>
            <w:vAlign w:val="center"/>
          </w:tcPr>
          <w:p w14:paraId="16257C0C">
            <w:pPr>
              <w:spacing w:line="440" w:lineRule="exact"/>
              <w:jc w:val="center"/>
              <w:rPr>
                <w:rFonts w:hint="eastAsia" w:ascii="宋体" w:hAnsi="宋体" w:cs="宋体"/>
                <w:highlight w:val="none"/>
              </w:rPr>
            </w:pPr>
            <w:bookmarkStart w:id="577" w:name="_Toc218710269"/>
            <w:r>
              <w:rPr>
                <w:rFonts w:hint="eastAsia" w:ascii="宋体" w:hAnsi="宋体" w:cs="宋体"/>
                <w:highlight w:val="none"/>
              </w:rPr>
              <w:t>序号</w:t>
            </w:r>
          </w:p>
        </w:tc>
        <w:tc>
          <w:tcPr>
            <w:tcW w:w="1808" w:type="dxa"/>
            <w:vAlign w:val="center"/>
          </w:tcPr>
          <w:p w14:paraId="37148E02">
            <w:pPr>
              <w:spacing w:line="440" w:lineRule="exact"/>
              <w:jc w:val="center"/>
              <w:rPr>
                <w:rFonts w:hint="eastAsia" w:ascii="宋体" w:hAnsi="宋体" w:cs="宋体"/>
                <w:highlight w:val="none"/>
              </w:rPr>
            </w:pPr>
            <w:r>
              <w:rPr>
                <w:rFonts w:hint="eastAsia" w:ascii="宋体" w:hAnsi="宋体" w:cs="宋体"/>
                <w:highlight w:val="none"/>
              </w:rPr>
              <w:t>业主名称</w:t>
            </w:r>
          </w:p>
        </w:tc>
        <w:tc>
          <w:tcPr>
            <w:tcW w:w="2040" w:type="dxa"/>
            <w:vAlign w:val="center"/>
          </w:tcPr>
          <w:p w14:paraId="2A98BEAA">
            <w:pPr>
              <w:spacing w:line="440" w:lineRule="exact"/>
              <w:jc w:val="center"/>
              <w:rPr>
                <w:rFonts w:hint="eastAsia" w:ascii="宋体" w:hAnsi="宋体" w:cs="宋体"/>
                <w:highlight w:val="none"/>
              </w:rPr>
            </w:pPr>
            <w:r>
              <w:rPr>
                <w:rFonts w:hint="eastAsia" w:ascii="宋体" w:hAnsi="宋体" w:cs="宋体"/>
                <w:highlight w:val="none"/>
              </w:rPr>
              <w:t>项目名称</w:t>
            </w:r>
          </w:p>
        </w:tc>
        <w:tc>
          <w:tcPr>
            <w:tcW w:w="2023" w:type="dxa"/>
            <w:vAlign w:val="center"/>
          </w:tcPr>
          <w:p w14:paraId="40D754BA">
            <w:pPr>
              <w:spacing w:line="440" w:lineRule="exact"/>
              <w:jc w:val="center"/>
              <w:rPr>
                <w:rFonts w:hint="eastAsia" w:ascii="宋体" w:hAnsi="宋体" w:cs="宋体"/>
                <w:highlight w:val="none"/>
              </w:rPr>
            </w:pPr>
            <w:r>
              <w:rPr>
                <w:rFonts w:hint="eastAsia" w:ascii="宋体" w:hAnsi="宋体" w:cs="宋体"/>
                <w:highlight w:val="none"/>
              </w:rPr>
              <w:t>工作内容</w:t>
            </w:r>
          </w:p>
        </w:tc>
        <w:tc>
          <w:tcPr>
            <w:tcW w:w="1800" w:type="dxa"/>
            <w:vAlign w:val="center"/>
          </w:tcPr>
          <w:p w14:paraId="1FDA3CAA">
            <w:pPr>
              <w:spacing w:line="440" w:lineRule="exact"/>
              <w:jc w:val="center"/>
              <w:rPr>
                <w:rFonts w:hint="eastAsia" w:ascii="宋体" w:hAnsi="宋体" w:cs="宋体"/>
                <w:highlight w:val="none"/>
              </w:rPr>
            </w:pPr>
            <w:r>
              <w:rPr>
                <w:rFonts w:hint="eastAsia" w:ascii="宋体" w:hAnsi="宋体" w:cs="宋体"/>
                <w:highlight w:val="none"/>
              </w:rPr>
              <w:t>人数</w:t>
            </w:r>
          </w:p>
        </w:tc>
      </w:tr>
      <w:tr w14:paraId="66ADDCC9">
        <w:tblPrEx>
          <w:tblLayout w:type="fixed"/>
        </w:tblPrEx>
        <w:trPr>
          <w:trHeight w:val="1010" w:hRule="atLeast"/>
          <w:jc w:val="center"/>
        </w:trPr>
        <w:tc>
          <w:tcPr>
            <w:tcW w:w="1106" w:type="dxa"/>
            <w:vAlign w:val="center"/>
          </w:tcPr>
          <w:p w14:paraId="071C266A">
            <w:pPr>
              <w:spacing w:line="440" w:lineRule="exact"/>
              <w:jc w:val="center"/>
              <w:rPr>
                <w:rFonts w:hint="eastAsia" w:ascii="宋体" w:hAnsi="宋体" w:cs="宋体"/>
                <w:highlight w:val="none"/>
              </w:rPr>
            </w:pPr>
            <w:r>
              <w:rPr>
                <w:rFonts w:hint="eastAsia" w:ascii="宋体" w:hAnsi="宋体" w:cs="宋体"/>
                <w:highlight w:val="none"/>
              </w:rPr>
              <w:t>1</w:t>
            </w:r>
          </w:p>
        </w:tc>
        <w:tc>
          <w:tcPr>
            <w:tcW w:w="1808" w:type="dxa"/>
            <w:vAlign w:val="center"/>
          </w:tcPr>
          <w:p w14:paraId="5DFA549F">
            <w:pPr>
              <w:spacing w:line="440" w:lineRule="exact"/>
              <w:jc w:val="center"/>
              <w:rPr>
                <w:rFonts w:hint="eastAsia" w:ascii="宋体" w:hAnsi="宋体" w:cs="宋体"/>
                <w:highlight w:val="none"/>
              </w:rPr>
            </w:pPr>
          </w:p>
        </w:tc>
        <w:tc>
          <w:tcPr>
            <w:tcW w:w="2040" w:type="dxa"/>
            <w:vAlign w:val="center"/>
          </w:tcPr>
          <w:p w14:paraId="678D46BA">
            <w:pPr>
              <w:spacing w:line="440" w:lineRule="exact"/>
              <w:jc w:val="center"/>
              <w:rPr>
                <w:rFonts w:hint="eastAsia" w:ascii="宋体" w:hAnsi="宋体" w:cs="宋体"/>
                <w:highlight w:val="none"/>
              </w:rPr>
            </w:pPr>
          </w:p>
        </w:tc>
        <w:tc>
          <w:tcPr>
            <w:tcW w:w="2023" w:type="dxa"/>
            <w:vAlign w:val="center"/>
          </w:tcPr>
          <w:p w14:paraId="31DF4E26">
            <w:pPr>
              <w:spacing w:line="440" w:lineRule="exact"/>
              <w:jc w:val="center"/>
              <w:rPr>
                <w:rFonts w:hint="eastAsia" w:ascii="宋体" w:hAnsi="宋体" w:cs="宋体"/>
                <w:highlight w:val="none"/>
              </w:rPr>
            </w:pPr>
          </w:p>
        </w:tc>
        <w:tc>
          <w:tcPr>
            <w:tcW w:w="1800" w:type="dxa"/>
            <w:vAlign w:val="center"/>
          </w:tcPr>
          <w:p w14:paraId="5EC5D5F4">
            <w:pPr>
              <w:spacing w:line="440" w:lineRule="exact"/>
              <w:jc w:val="center"/>
              <w:rPr>
                <w:rFonts w:hint="eastAsia" w:ascii="宋体" w:hAnsi="宋体" w:cs="宋体"/>
                <w:highlight w:val="none"/>
              </w:rPr>
            </w:pPr>
          </w:p>
        </w:tc>
      </w:tr>
      <w:tr w14:paraId="2106A4D4">
        <w:tblPrEx>
          <w:tblLayout w:type="fixed"/>
        </w:tblPrEx>
        <w:trPr>
          <w:trHeight w:val="1010" w:hRule="atLeast"/>
          <w:jc w:val="center"/>
        </w:trPr>
        <w:tc>
          <w:tcPr>
            <w:tcW w:w="1106" w:type="dxa"/>
            <w:vAlign w:val="center"/>
          </w:tcPr>
          <w:p w14:paraId="36FC017B">
            <w:pPr>
              <w:spacing w:line="440" w:lineRule="exact"/>
              <w:jc w:val="center"/>
              <w:rPr>
                <w:rFonts w:hint="eastAsia" w:ascii="宋体" w:hAnsi="宋体" w:cs="宋体"/>
                <w:highlight w:val="none"/>
              </w:rPr>
            </w:pPr>
            <w:r>
              <w:rPr>
                <w:rFonts w:hint="eastAsia" w:ascii="宋体" w:hAnsi="宋体" w:cs="宋体"/>
                <w:highlight w:val="none"/>
              </w:rPr>
              <w:t>2</w:t>
            </w:r>
          </w:p>
        </w:tc>
        <w:tc>
          <w:tcPr>
            <w:tcW w:w="1808" w:type="dxa"/>
            <w:vAlign w:val="center"/>
          </w:tcPr>
          <w:p w14:paraId="7CD1AC30">
            <w:pPr>
              <w:spacing w:line="440" w:lineRule="exact"/>
              <w:jc w:val="center"/>
              <w:rPr>
                <w:rFonts w:hint="eastAsia" w:ascii="宋体" w:hAnsi="宋体" w:cs="宋体"/>
                <w:highlight w:val="none"/>
              </w:rPr>
            </w:pPr>
          </w:p>
        </w:tc>
        <w:tc>
          <w:tcPr>
            <w:tcW w:w="2040" w:type="dxa"/>
            <w:vAlign w:val="center"/>
          </w:tcPr>
          <w:p w14:paraId="12C7ABD8">
            <w:pPr>
              <w:spacing w:line="440" w:lineRule="exact"/>
              <w:jc w:val="center"/>
              <w:rPr>
                <w:rFonts w:hint="eastAsia" w:ascii="宋体" w:hAnsi="宋体" w:cs="宋体"/>
                <w:highlight w:val="none"/>
              </w:rPr>
            </w:pPr>
          </w:p>
        </w:tc>
        <w:tc>
          <w:tcPr>
            <w:tcW w:w="2023" w:type="dxa"/>
            <w:vAlign w:val="center"/>
          </w:tcPr>
          <w:p w14:paraId="1118416F">
            <w:pPr>
              <w:spacing w:line="440" w:lineRule="exact"/>
              <w:jc w:val="center"/>
              <w:rPr>
                <w:rFonts w:hint="eastAsia" w:ascii="宋体" w:hAnsi="宋体" w:cs="宋体"/>
                <w:highlight w:val="none"/>
              </w:rPr>
            </w:pPr>
          </w:p>
        </w:tc>
        <w:tc>
          <w:tcPr>
            <w:tcW w:w="1800" w:type="dxa"/>
            <w:vAlign w:val="center"/>
          </w:tcPr>
          <w:p w14:paraId="6A92E922">
            <w:pPr>
              <w:spacing w:line="440" w:lineRule="exact"/>
              <w:jc w:val="center"/>
              <w:rPr>
                <w:rFonts w:hint="eastAsia" w:ascii="宋体" w:hAnsi="宋体" w:cs="宋体"/>
                <w:highlight w:val="none"/>
              </w:rPr>
            </w:pPr>
          </w:p>
        </w:tc>
      </w:tr>
      <w:tr w14:paraId="59853824">
        <w:tblPrEx>
          <w:tblLayout w:type="fixed"/>
        </w:tblPrEx>
        <w:trPr>
          <w:trHeight w:val="1010" w:hRule="atLeast"/>
          <w:jc w:val="center"/>
        </w:trPr>
        <w:tc>
          <w:tcPr>
            <w:tcW w:w="1106" w:type="dxa"/>
            <w:vAlign w:val="center"/>
          </w:tcPr>
          <w:p w14:paraId="16EE2CF0">
            <w:pPr>
              <w:spacing w:line="440" w:lineRule="exact"/>
              <w:jc w:val="center"/>
              <w:rPr>
                <w:rFonts w:hint="eastAsia" w:ascii="宋体" w:hAnsi="宋体" w:cs="宋体"/>
                <w:highlight w:val="none"/>
              </w:rPr>
            </w:pPr>
            <w:r>
              <w:rPr>
                <w:rFonts w:hint="eastAsia" w:ascii="宋体" w:hAnsi="宋体" w:cs="宋体"/>
                <w:highlight w:val="none"/>
              </w:rPr>
              <w:t>3</w:t>
            </w:r>
          </w:p>
        </w:tc>
        <w:tc>
          <w:tcPr>
            <w:tcW w:w="1808" w:type="dxa"/>
            <w:vAlign w:val="center"/>
          </w:tcPr>
          <w:p w14:paraId="4A3EB772">
            <w:pPr>
              <w:spacing w:line="440" w:lineRule="exact"/>
              <w:jc w:val="center"/>
              <w:rPr>
                <w:rFonts w:hint="eastAsia" w:ascii="宋体" w:hAnsi="宋体" w:cs="宋体"/>
                <w:highlight w:val="none"/>
              </w:rPr>
            </w:pPr>
          </w:p>
        </w:tc>
        <w:tc>
          <w:tcPr>
            <w:tcW w:w="2040" w:type="dxa"/>
            <w:vAlign w:val="center"/>
          </w:tcPr>
          <w:p w14:paraId="63107C75">
            <w:pPr>
              <w:spacing w:line="440" w:lineRule="exact"/>
              <w:jc w:val="center"/>
              <w:rPr>
                <w:rFonts w:hint="eastAsia" w:ascii="宋体" w:hAnsi="宋体" w:cs="宋体"/>
                <w:highlight w:val="none"/>
              </w:rPr>
            </w:pPr>
          </w:p>
        </w:tc>
        <w:tc>
          <w:tcPr>
            <w:tcW w:w="2023" w:type="dxa"/>
            <w:vAlign w:val="center"/>
          </w:tcPr>
          <w:p w14:paraId="0A8391DD">
            <w:pPr>
              <w:spacing w:line="440" w:lineRule="exact"/>
              <w:jc w:val="center"/>
              <w:rPr>
                <w:rFonts w:hint="eastAsia" w:ascii="宋体" w:hAnsi="宋体" w:cs="宋体"/>
                <w:highlight w:val="none"/>
              </w:rPr>
            </w:pPr>
          </w:p>
        </w:tc>
        <w:tc>
          <w:tcPr>
            <w:tcW w:w="1800" w:type="dxa"/>
            <w:vAlign w:val="center"/>
          </w:tcPr>
          <w:p w14:paraId="747F7A56">
            <w:pPr>
              <w:spacing w:line="440" w:lineRule="exact"/>
              <w:jc w:val="center"/>
              <w:rPr>
                <w:rFonts w:hint="eastAsia" w:ascii="宋体" w:hAnsi="宋体" w:cs="宋体"/>
                <w:highlight w:val="none"/>
              </w:rPr>
            </w:pPr>
          </w:p>
        </w:tc>
      </w:tr>
      <w:tr w14:paraId="58CD28D8">
        <w:tblPrEx>
          <w:tblLayout w:type="fixed"/>
        </w:tblPrEx>
        <w:trPr>
          <w:trHeight w:val="1010" w:hRule="atLeast"/>
          <w:jc w:val="center"/>
        </w:trPr>
        <w:tc>
          <w:tcPr>
            <w:tcW w:w="1106" w:type="dxa"/>
            <w:vAlign w:val="center"/>
          </w:tcPr>
          <w:p w14:paraId="66C7A381">
            <w:pPr>
              <w:spacing w:line="440" w:lineRule="exact"/>
              <w:jc w:val="center"/>
              <w:rPr>
                <w:rFonts w:hint="eastAsia" w:ascii="宋体" w:hAnsi="宋体" w:cs="宋体"/>
                <w:highlight w:val="none"/>
              </w:rPr>
            </w:pPr>
            <w:r>
              <w:rPr>
                <w:rFonts w:hint="eastAsia" w:ascii="宋体" w:hAnsi="宋体" w:cs="宋体"/>
                <w:highlight w:val="none"/>
              </w:rPr>
              <w:t>4</w:t>
            </w:r>
          </w:p>
        </w:tc>
        <w:tc>
          <w:tcPr>
            <w:tcW w:w="1808" w:type="dxa"/>
            <w:vAlign w:val="center"/>
          </w:tcPr>
          <w:p w14:paraId="13D87152">
            <w:pPr>
              <w:spacing w:line="440" w:lineRule="exact"/>
              <w:jc w:val="center"/>
              <w:rPr>
                <w:rFonts w:hint="eastAsia" w:ascii="宋体" w:hAnsi="宋体" w:cs="宋体"/>
                <w:highlight w:val="none"/>
              </w:rPr>
            </w:pPr>
          </w:p>
        </w:tc>
        <w:tc>
          <w:tcPr>
            <w:tcW w:w="2040" w:type="dxa"/>
            <w:vAlign w:val="center"/>
          </w:tcPr>
          <w:p w14:paraId="71800804">
            <w:pPr>
              <w:spacing w:line="440" w:lineRule="exact"/>
              <w:jc w:val="center"/>
              <w:rPr>
                <w:rFonts w:hint="eastAsia" w:ascii="宋体" w:hAnsi="宋体" w:cs="宋体"/>
                <w:highlight w:val="none"/>
              </w:rPr>
            </w:pPr>
          </w:p>
        </w:tc>
        <w:tc>
          <w:tcPr>
            <w:tcW w:w="2023" w:type="dxa"/>
            <w:vAlign w:val="center"/>
          </w:tcPr>
          <w:p w14:paraId="57C06841">
            <w:pPr>
              <w:spacing w:line="440" w:lineRule="exact"/>
              <w:jc w:val="center"/>
              <w:rPr>
                <w:rFonts w:hint="eastAsia" w:ascii="宋体" w:hAnsi="宋体" w:cs="宋体"/>
                <w:highlight w:val="none"/>
              </w:rPr>
            </w:pPr>
          </w:p>
        </w:tc>
        <w:tc>
          <w:tcPr>
            <w:tcW w:w="1800" w:type="dxa"/>
            <w:vAlign w:val="center"/>
          </w:tcPr>
          <w:p w14:paraId="0B6C678C">
            <w:pPr>
              <w:spacing w:line="440" w:lineRule="exact"/>
              <w:jc w:val="center"/>
              <w:rPr>
                <w:rFonts w:hint="eastAsia" w:ascii="宋体" w:hAnsi="宋体" w:cs="宋体"/>
                <w:highlight w:val="none"/>
              </w:rPr>
            </w:pPr>
          </w:p>
        </w:tc>
      </w:tr>
      <w:tr w14:paraId="33E5C19E">
        <w:tblPrEx>
          <w:tblLayout w:type="fixed"/>
        </w:tblPrEx>
        <w:trPr>
          <w:trHeight w:val="1083" w:hRule="atLeast"/>
          <w:jc w:val="center"/>
        </w:trPr>
        <w:tc>
          <w:tcPr>
            <w:tcW w:w="1106" w:type="dxa"/>
            <w:vAlign w:val="center"/>
          </w:tcPr>
          <w:p w14:paraId="51A4CF25">
            <w:pPr>
              <w:spacing w:line="440" w:lineRule="exact"/>
              <w:jc w:val="center"/>
              <w:rPr>
                <w:rFonts w:hint="eastAsia" w:ascii="宋体" w:hAnsi="宋体" w:cs="宋体"/>
                <w:highlight w:val="none"/>
              </w:rPr>
            </w:pPr>
            <w:r>
              <w:rPr>
                <w:rFonts w:hint="eastAsia" w:ascii="宋体" w:hAnsi="宋体" w:cs="宋体"/>
                <w:highlight w:val="none"/>
              </w:rPr>
              <w:t>…</w:t>
            </w:r>
          </w:p>
        </w:tc>
        <w:tc>
          <w:tcPr>
            <w:tcW w:w="1808" w:type="dxa"/>
            <w:vAlign w:val="center"/>
          </w:tcPr>
          <w:p w14:paraId="3AAB8EC4">
            <w:pPr>
              <w:spacing w:line="440" w:lineRule="exact"/>
              <w:jc w:val="center"/>
              <w:rPr>
                <w:rFonts w:hint="eastAsia" w:ascii="宋体" w:hAnsi="宋体" w:cs="宋体"/>
                <w:highlight w:val="none"/>
              </w:rPr>
            </w:pPr>
          </w:p>
        </w:tc>
        <w:tc>
          <w:tcPr>
            <w:tcW w:w="2040" w:type="dxa"/>
            <w:vAlign w:val="center"/>
          </w:tcPr>
          <w:p w14:paraId="6290C440">
            <w:pPr>
              <w:spacing w:line="440" w:lineRule="exact"/>
              <w:jc w:val="center"/>
              <w:rPr>
                <w:rFonts w:hint="eastAsia" w:ascii="宋体" w:hAnsi="宋体" w:cs="宋体"/>
                <w:highlight w:val="none"/>
              </w:rPr>
            </w:pPr>
          </w:p>
        </w:tc>
        <w:tc>
          <w:tcPr>
            <w:tcW w:w="2023" w:type="dxa"/>
            <w:vAlign w:val="center"/>
          </w:tcPr>
          <w:p w14:paraId="66C5BD4A">
            <w:pPr>
              <w:spacing w:line="440" w:lineRule="exact"/>
              <w:jc w:val="center"/>
              <w:rPr>
                <w:rFonts w:hint="eastAsia" w:ascii="宋体" w:hAnsi="宋体" w:cs="宋体"/>
                <w:highlight w:val="none"/>
              </w:rPr>
            </w:pPr>
          </w:p>
        </w:tc>
        <w:tc>
          <w:tcPr>
            <w:tcW w:w="1800" w:type="dxa"/>
            <w:vAlign w:val="center"/>
          </w:tcPr>
          <w:p w14:paraId="4AFBAB41">
            <w:pPr>
              <w:spacing w:line="440" w:lineRule="exact"/>
              <w:jc w:val="center"/>
              <w:rPr>
                <w:rFonts w:hint="eastAsia" w:ascii="宋体" w:hAnsi="宋体" w:cs="宋体"/>
                <w:highlight w:val="none"/>
              </w:rPr>
            </w:pPr>
          </w:p>
        </w:tc>
      </w:tr>
    </w:tbl>
    <w:p w14:paraId="10419E8C">
      <w:pPr>
        <w:spacing w:line="440" w:lineRule="exact"/>
        <w:ind w:left="437" w:leftChars="208" w:firstLine="2"/>
        <w:rPr>
          <w:rFonts w:hint="eastAsia" w:ascii="宋体" w:hAnsi="宋体" w:cs="宋体"/>
          <w:b/>
          <w:highlight w:val="none"/>
        </w:rPr>
      </w:pPr>
      <w:r>
        <w:rPr>
          <w:rFonts w:hint="eastAsia" w:ascii="宋体" w:hAnsi="宋体" w:cs="宋体"/>
          <w:b/>
          <w:highlight w:val="none"/>
        </w:rPr>
        <w:t>注：本页可续表。</w:t>
      </w:r>
    </w:p>
    <w:p w14:paraId="406C13A9">
      <w:pPr>
        <w:spacing w:line="440" w:lineRule="exact"/>
        <w:ind w:firstLine="403" w:firstLineChars="192"/>
        <w:rPr>
          <w:rFonts w:hint="eastAsia" w:ascii="宋体" w:hAnsi="宋体" w:cs="宋体"/>
          <w:highlight w:val="none"/>
        </w:rPr>
      </w:pPr>
    </w:p>
    <w:p w14:paraId="0D3B1A15">
      <w:pPr>
        <w:spacing w:line="440" w:lineRule="exact"/>
        <w:ind w:firstLine="403" w:firstLineChars="192"/>
        <w:rPr>
          <w:rFonts w:hint="eastAsia" w:ascii="宋体" w:hAnsi="宋体" w:cs="宋体"/>
          <w:highlight w:val="none"/>
        </w:rPr>
      </w:pPr>
    </w:p>
    <w:p w14:paraId="2F644962">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ascii="宋体" w:hAnsi="宋体" w:cs="宋体"/>
          <w:b/>
          <w:bCs/>
          <w:kern w:val="0"/>
          <w:sz w:val="24"/>
          <w:highlight w:val="none"/>
        </w:rPr>
        <w:br w:type="page"/>
      </w:r>
      <w:bookmarkEnd w:id="577"/>
      <w:bookmarkStart w:id="578" w:name="_Toc8315"/>
      <w:bookmarkStart w:id="579" w:name="_Toc13113"/>
      <w:bookmarkStart w:id="580" w:name="_Toc18726"/>
      <w:bookmarkStart w:id="581" w:name="_Toc259"/>
      <w:bookmarkStart w:id="582" w:name="_Toc1128"/>
      <w:bookmarkStart w:id="583" w:name="_Toc18049"/>
      <w:bookmarkStart w:id="584" w:name="_Toc5618"/>
      <w:bookmarkStart w:id="585" w:name="_Toc11231"/>
      <w:bookmarkStart w:id="586" w:name="_Toc18046"/>
      <w:bookmarkStart w:id="587" w:name="_Toc2919"/>
      <w:bookmarkStart w:id="588" w:name="_Toc16889"/>
      <w:bookmarkStart w:id="589" w:name="_Toc11301"/>
      <w:bookmarkStart w:id="590" w:name="_Toc15474"/>
      <w:bookmarkStart w:id="591" w:name="_Toc420"/>
      <w:bookmarkStart w:id="592" w:name="_Toc9086"/>
      <w:bookmarkStart w:id="593" w:name="_Toc2092"/>
      <w:bookmarkStart w:id="594" w:name="_Toc1937"/>
      <w:bookmarkStart w:id="595" w:name="_Toc14369"/>
      <w:bookmarkStart w:id="596" w:name="_Toc22252"/>
      <w:bookmarkStart w:id="597" w:name="_Toc24460"/>
      <w:bookmarkStart w:id="598" w:name="_Toc11784_WPSOffice_Level2"/>
      <w:bookmarkStart w:id="599" w:name="_Toc3873"/>
      <w:r>
        <w:rPr>
          <w:rFonts w:hint="eastAsia" w:ascii="宋体" w:hAnsi="宋体" w:eastAsia="宋体" w:cs="宋体"/>
          <w:b/>
          <w:bCs/>
          <w:color w:val="auto"/>
          <w:sz w:val="30"/>
          <w:szCs w:val="30"/>
          <w:highlight w:val="none"/>
          <w:lang w:val="en-US" w:eastAsia="zh-CN"/>
        </w:rPr>
        <w:t>三、项目负责人业绩概况表</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355FFF75">
      <w:pPr>
        <w:spacing w:line="440" w:lineRule="exact"/>
        <w:ind w:left="439" w:hanging="438" w:hangingChars="209"/>
        <w:jc w:val="right"/>
        <w:rPr>
          <w:rFonts w:hint="eastAsia" w:ascii="宋体" w:hAnsi="宋体" w:cs="宋体"/>
          <w:highlight w:val="none"/>
        </w:rPr>
      </w:pPr>
      <w:r>
        <w:rPr>
          <w:rFonts w:hint="eastAsia" w:ascii="宋体" w:hAnsi="宋体" w:cs="宋体"/>
          <w:highlight w:val="none"/>
        </w:rPr>
        <w:t xml:space="preserve">                              </w:t>
      </w:r>
    </w:p>
    <w:tbl>
      <w:tblPr>
        <w:tblStyle w:val="33"/>
        <w:tblW w:w="887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14:paraId="0BDA2342">
        <w:tblPrEx>
          <w:tblLayout w:type="fixed"/>
        </w:tblPrEx>
        <w:trPr>
          <w:trHeight w:val="567" w:hRule="atLeast"/>
          <w:jc w:val="center"/>
        </w:trPr>
        <w:tc>
          <w:tcPr>
            <w:tcW w:w="3297" w:type="dxa"/>
            <w:vAlign w:val="center"/>
          </w:tcPr>
          <w:p w14:paraId="3ED7F097">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序号</w:t>
            </w:r>
          </w:p>
        </w:tc>
        <w:tc>
          <w:tcPr>
            <w:tcW w:w="5577" w:type="dxa"/>
            <w:vAlign w:val="center"/>
          </w:tcPr>
          <w:p w14:paraId="7D359676">
            <w:pPr>
              <w:adjustRightInd w:val="0"/>
              <w:snapToGrid w:val="0"/>
              <w:spacing w:line="440" w:lineRule="exact"/>
              <w:ind w:firstLine="420" w:firstLineChars="200"/>
              <w:jc w:val="center"/>
              <w:rPr>
                <w:rFonts w:hint="eastAsia" w:ascii="宋体" w:hAnsi="宋体" w:cs="宋体"/>
                <w:highlight w:val="none"/>
              </w:rPr>
            </w:pPr>
          </w:p>
        </w:tc>
      </w:tr>
      <w:tr w14:paraId="526F2263">
        <w:tblPrEx>
          <w:tblLayout w:type="fixed"/>
        </w:tblPrEx>
        <w:trPr>
          <w:trHeight w:val="567" w:hRule="atLeast"/>
          <w:jc w:val="center"/>
        </w:trPr>
        <w:tc>
          <w:tcPr>
            <w:tcW w:w="3297" w:type="dxa"/>
            <w:vAlign w:val="center"/>
          </w:tcPr>
          <w:p w14:paraId="4A874E27">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项目名称</w:t>
            </w:r>
          </w:p>
        </w:tc>
        <w:tc>
          <w:tcPr>
            <w:tcW w:w="5577" w:type="dxa"/>
            <w:vAlign w:val="center"/>
          </w:tcPr>
          <w:p w14:paraId="43CE0A54">
            <w:pPr>
              <w:adjustRightInd w:val="0"/>
              <w:snapToGrid w:val="0"/>
              <w:spacing w:line="440" w:lineRule="exact"/>
              <w:ind w:firstLine="420" w:firstLineChars="200"/>
              <w:jc w:val="center"/>
              <w:rPr>
                <w:rFonts w:hint="eastAsia" w:ascii="宋体" w:hAnsi="宋体" w:cs="宋体"/>
                <w:highlight w:val="none"/>
              </w:rPr>
            </w:pPr>
          </w:p>
        </w:tc>
      </w:tr>
      <w:tr w14:paraId="5F7BBAC5">
        <w:tblPrEx>
          <w:tblLayout w:type="fixed"/>
        </w:tblPrEx>
        <w:trPr>
          <w:trHeight w:val="567" w:hRule="atLeast"/>
          <w:jc w:val="center"/>
        </w:trPr>
        <w:tc>
          <w:tcPr>
            <w:tcW w:w="3297" w:type="dxa"/>
            <w:vAlign w:val="center"/>
          </w:tcPr>
          <w:p w14:paraId="0C87230F">
            <w:pPr>
              <w:adjustRightInd w:val="0"/>
              <w:snapToGrid w:val="0"/>
              <w:spacing w:line="440" w:lineRule="exact"/>
              <w:ind w:left="42" w:hanging="42" w:hangingChars="20"/>
              <w:jc w:val="center"/>
              <w:rPr>
                <w:rFonts w:hint="eastAsia" w:ascii="宋体" w:hAnsi="宋体" w:cs="宋体"/>
                <w:highlight w:val="none"/>
              </w:rPr>
            </w:pPr>
            <w:r>
              <w:rPr>
                <w:rFonts w:hint="eastAsia" w:ascii="宋体" w:hAnsi="宋体" w:cs="宋体"/>
                <w:highlight w:val="none"/>
              </w:rPr>
              <w:t>项目所在地</w:t>
            </w:r>
          </w:p>
        </w:tc>
        <w:tc>
          <w:tcPr>
            <w:tcW w:w="5577" w:type="dxa"/>
            <w:vAlign w:val="center"/>
          </w:tcPr>
          <w:p w14:paraId="3758A9ED">
            <w:pPr>
              <w:adjustRightInd w:val="0"/>
              <w:snapToGrid w:val="0"/>
              <w:spacing w:line="440" w:lineRule="exact"/>
              <w:ind w:firstLine="420" w:firstLineChars="200"/>
              <w:jc w:val="center"/>
              <w:rPr>
                <w:rFonts w:hint="eastAsia" w:ascii="宋体" w:hAnsi="宋体" w:cs="宋体"/>
                <w:highlight w:val="none"/>
              </w:rPr>
            </w:pPr>
          </w:p>
        </w:tc>
      </w:tr>
      <w:tr w14:paraId="6835642F">
        <w:tblPrEx>
          <w:tblLayout w:type="fixed"/>
        </w:tblPrEx>
        <w:trPr>
          <w:trHeight w:val="567" w:hRule="atLeast"/>
          <w:jc w:val="center"/>
        </w:trPr>
        <w:tc>
          <w:tcPr>
            <w:tcW w:w="3297" w:type="dxa"/>
            <w:vAlign w:val="center"/>
          </w:tcPr>
          <w:p w14:paraId="28B8F0F5">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业主名称</w:t>
            </w:r>
          </w:p>
        </w:tc>
        <w:tc>
          <w:tcPr>
            <w:tcW w:w="5577" w:type="dxa"/>
            <w:vAlign w:val="center"/>
          </w:tcPr>
          <w:p w14:paraId="5A00B53A">
            <w:pPr>
              <w:adjustRightInd w:val="0"/>
              <w:snapToGrid w:val="0"/>
              <w:spacing w:line="440" w:lineRule="exact"/>
              <w:ind w:firstLine="420" w:firstLineChars="200"/>
              <w:jc w:val="center"/>
              <w:rPr>
                <w:rFonts w:hint="eastAsia" w:ascii="宋体" w:hAnsi="宋体" w:cs="宋体"/>
                <w:highlight w:val="none"/>
              </w:rPr>
            </w:pPr>
          </w:p>
        </w:tc>
      </w:tr>
      <w:tr w14:paraId="2C2640D9">
        <w:tblPrEx>
          <w:tblLayout w:type="fixed"/>
        </w:tblPrEx>
        <w:trPr>
          <w:trHeight w:val="567" w:hRule="atLeast"/>
          <w:jc w:val="center"/>
        </w:trPr>
        <w:tc>
          <w:tcPr>
            <w:tcW w:w="3297" w:type="dxa"/>
            <w:vAlign w:val="center"/>
          </w:tcPr>
          <w:p w14:paraId="6351516A">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业主地址</w:t>
            </w:r>
          </w:p>
        </w:tc>
        <w:tc>
          <w:tcPr>
            <w:tcW w:w="5577" w:type="dxa"/>
            <w:vAlign w:val="center"/>
          </w:tcPr>
          <w:p w14:paraId="41AD3064">
            <w:pPr>
              <w:adjustRightInd w:val="0"/>
              <w:snapToGrid w:val="0"/>
              <w:spacing w:line="440" w:lineRule="exact"/>
              <w:ind w:firstLine="420" w:firstLineChars="200"/>
              <w:jc w:val="center"/>
              <w:rPr>
                <w:rFonts w:hint="eastAsia" w:ascii="宋体" w:hAnsi="宋体" w:cs="宋体"/>
                <w:highlight w:val="none"/>
              </w:rPr>
            </w:pPr>
          </w:p>
        </w:tc>
      </w:tr>
      <w:tr w14:paraId="0904F40C">
        <w:tblPrEx>
          <w:tblLayout w:type="fixed"/>
        </w:tblPrEx>
        <w:trPr>
          <w:trHeight w:val="567" w:hRule="atLeast"/>
          <w:jc w:val="center"/>
        </w:trPr>
        <w:tc>
          <w:tcPr>
            <w:tcW w:w="3297" w:type="dxa"/>
            <w:vAlign w:val="center"/>
          </w:tcPr>
          <w:p w14:paraId="52929A79">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业主电话</w:t>
            </w:r>
          </w:p>
        </w:tc>
        <w:tc>
          <w:tcPr>
            <w:tcW w:w="5577" w:type="dxa"/>
            <w:vAlign w:val="center"/>
          </w:tcPr>
          <w:p w14:paraId="5D3D0566">
            <w:pPr>
              <w:adjustRightInd w:val="0"/>
              <w:snapToGrid w:val="0"/>
              <w:spacing w:line="440" w:lineRule="exact"/>
              <w:ind w:firstLine="420" w:firstLineChars="200"/>
              <w:jc w:val="center"/>
              <w:rPr>
                <w:rFonts w:hint="eastAsia" w:ascii="宋体" w:hAnsi="宋体" w:cs="宋体"/>
                <w:highlight w:val="none"/>
              </w:rPr>
            </w:pPr>
          </w:p>
        </w:tc>
      </w:tr>
      <w:tr w14:paraId="2A28877B">
        <w:tblPrEx>
          <w:tblLayout w:type="fixed"/>
        </w:tblPrEx>
        <w:trPr>
          <w:trHeight w:val="567" w:hRule="atLeast"/>
          <w:jc w:val="center"/>
        </w:trPr>
        <w:tc>
          <w:tcPr>
            <w:tcW w:w="3297" w:type="dxa"/>
            <w:vAlign w:val="center"/>
          </w:tcPr>
          <w:p w14:paraId="1E13299B">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合同金额</w:t>
            </w:r>
          </w:p>
        </w:tc>
        <w:tc>
          <w:tcPr>
            <w:tcW w:w="5577" w:type="dxa"/>
            <w:vAlign w:val="center"/>
          </w:tcPr>
          <w:p w14:paraId="602FF074">
            <w:pPr>
              <w:adjustRightInd w:val="0"/>
              <w:snapToGrid w:val="0"/>
              <w:spacing w:line="440" w:lineRule="exact"/>
              <w:ind w:firstLine="420" w:firstLineChars="200"/>
              <w:jc w:val="center"/>
              <w:rPr>
                <w:rFonts w:hint="eastAsia" w:ascii="宋体" w:hAnsi="宋体" w:cs="宋体"/>
                <w:highlight w:val="none"/>
              </w:rPr>
            </w:pPr>
          </w:p>
        </w:tc>
      </w:tr>
      <w:tr w14:paraId="3B9B69EB">
        <w:tblPrEx>
          <w:tblLayout w:type="fixed"/>
        </w:tblPrEx>
        <w:trPr>
          <w:trHeight w:val="567" w:hRule="atLeast"/>
          <w:jc w:val="center"/>
        </w:trPr>
        <w:tc>
          <w:tcPr>
            <w:tcW w:w="3297" w:type="dxa"/>
            <w:vAlign w:val="center"/>
          </w:tcPr>
          <w:p w14:paraId="6FE23E64">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承担的工作内容</w:t>
            </w:r>
          </w:p>
        </w:tc>
        <w:tc>
          <w:tcPr>
            <w:tcW w:w="5577" w:type="dxa"/>
            <w:vAlign w:val="center"/>
          </w:tcPr>
          <w:p w14:paraId="558071D2">
            <w:pPr>
              <w:adjustRightInd w:val="0"/>
              <w:snapToGrid w:val="0"/>
              <w:spacing w:line="440" w:lineRule="exact"/>
              <w:ind w:firstLine="420" w:firstLineChars="200"/>
              <w:jc w:val="center"/>
              <w:rPr>
                <w:rFonts w:hint="eastAsia" w:ascii="宋体" w:hAnsi="宋体" w:cs="宋体"/>
                <w:highlight w:val="none"/>
              </w:rPr>
            </w:pPr>
          </w:p>
        </w:tc>
      </w:tr>
      <w:tr w14:paraId="31A7FC72">
        <w:tblPrEx>
          <w:tblLayout w:type="fixed"/>
        </w:tblPrEx>
        <w:trPr>
          <w:trHeight w:val="567" w:hRule="atLeast"/>
          <w:jc w:val="center"/>
        </w:trPr>
        <w:tc>
          <w:tcPr>
            <w:tcW w:w="3297" w:type="dxa"/>
            <w:vAlign w:val="center"/>
          </w:tcPr>
          <w:p w14:paraId="543B3409">
            <w:pPr>
              <w:adjustRightInd w:val="0"/>
              <w:snapToGrid w:val="0"/>
              <w:spacing w:line="440" w:lineRule="exact"/>
              <w:jc w:val="center"/>
              <w:rPr>
                <w:rFonts w:hint="eastAsia" w:ascii="宋体" w:hAnsi="宋体" w:cs="宋体"/>
                <w:highlight w:val="none"/>
              </w:rPr>
            </w:pPr>
            <w:r>
              <w:rPr>
                <w:rFonts w:hint="eastAsia" w:ascii="宋体" w:hAnsi="宋体" w:cs="宋体"/>
                <w:highlight w:val="none"/>
              </w:rPr>
              <w:t>人数</w:t>
            </w:r>
          </w:p>
        </w:tc>
        <w:tc>
          <w:tcPr>
            <w:tcW w:w="5577" w:type="dxa"/>
            <w:vAlign w:val="center"/>
          </w:tcPr>
          <w:p w14:paraId="7E482B09">
            <w:pPr>
              <w:adjustRightInd w:val="0"/>
              <w:snapToGrid w:val="0"/>
              <w:spacing w:line="440" w:lineRule="exact"/>
              <w:ind w:firstLine="420" w:firstLineChars="200"/>
              <w:jc w:val="center"/>
              <w:rPr>
                <w:rFonts w:hint="eastAsia" w:ascii="宋体" w:hAnsi="宋体" w:cs="宋体"/>
                <w:highlight w:val="none"/>
              </w:rPr>
            </w:pPr>
          </w:p>
        </w:tc>
      </w:tr>
    </w:tbl>
    <w:p w14:paraId="148C64C7">
      <w:pPr>
        <w:tabs>
          <w:tab w:val="left" w:pos="440"/>
        </w:tabs>
        <w:spacing w:line="440" w:lineRule="exact"/>
        <w:ind w:left="439" w:hanging="439" w:hangingChars="208"/>
        <w:rPr>
          <w:rFonts w:hint="eastAsia" w:ascii="宋体" w:hAnsi="宋体" w:cs="宋体"/>
          <w:b/>
          <w:bCs/>
          <w:highlight w:val="none"/>
        </w:rPr>
      </w:pPr>
      <w:r>
        <w:rPr>
          <w:rFonts w:hint="eastAsia" w:ascii="宋体" w:hAnsi="宋体" w:cs="宋体"/>
          <w:b/>
          <w:bCs/>
          <w:highlight w:val="none"/>
        </w:rPr>
        <w:t>注：每一个项目填一张表，本表后附业绩证明材料复印件或扫描件。</w:t>
      </w:r>
    </w:p>
    <w:p w14:paraId="6902E515">
      <w:pPr>
        <w:spacing w:line="440" w:lineRule="exact"/>
        <w:ind w:left="439" w:hanging="438" w:hangingChars="209"/>
        <w:rPr>
          <w:rFonts w:hint="eastAsia" w:ascii="宋体" w:hAnsi="宋体" w:cs="宋体"/>
          <w:highlight w:val="none"/>
        </w:rPr>
      </w:pPr>
    </w:p>
    <w:p w14:paraId="6734F65C">
      <w:pPr>
        <w:spacing w:line="440" w:lineRule="exact"/>
        <w:jc w:val="center"/>
        <w:rPr>
          <w:rFonts w:hint="eastAsia" w:ascii="宋体" w:hAnsi="宋体" w:cs="宋体"/>
          <w:b/>
          <w:sz w:val="36"/>
          <w:szCs w:val="36"/>
          <w:highlight w:val="none"/>
        </w:rPr>
      </w:pPr>
      <w:r>
        <w:rPr>
          <w:rFonts w:hint="eastAsia" w:ascii="宋体" w:hAnsi="宋体" w:cs="宋体"/>
          <w:b/>
          <w:bCs/>
          <w:kern w:val="0"/>
          <w:sz w:val="32"/>
          <w:szCs w:val="32"/>
          <w:highlight w:val="none"/>
        </w:rPr>
        <w:br w:type="page"/>
      </w:r>
      <w:bookmarkEnd w:id="599"/>
      <w:bookmarkStart w:id="600" w:name="_Toc25174"/>
      <w:bookmarkStart w:id="601" w:name="_Toc22240"/>
      <w:bookmarkStart w:id="602" w:name="_Toc27313"/>
      <w:bookmarkStart w:id="603" w:name="_Toc12698"/>
      <w:bookmarkStart w:id="604" w:name="_Toc4072"/>
      <w:bookmarkStart w:id="605" w:name="_Toc32222"/>
      <w:bookmarkStart w:id="606" w:name="_Toc1013"/>
      <w:bookmarkStart w:id="607" w:name="_Toc12098"/>
      <w:bookmarkStart w:id="608" w:name="_Toc12471"/>
      <w:bookmarkStart w:id="609" w:name="_Toc13787"/>
      <w:bookmarkStart w:id="610" w:name="_Toc2344"/>
      <w:bookmarkStart w:id="611" w:name="_Toc3277"/>
      <w:bookmarkStart w:id="612" w:name="_Toc2384"/>
      <w:bookmarkStart w:id="613" w:name="_Toc14418"/>
      <w:bookmarkStart w:id="614" w:name="_Toc14282"/>
    </w:p>
    <w:p w14:paraId="5E40F757">
      <w:pPr>
        <w:pStyle w:val="2"/>
        <w:rPr>
          <w:rFonts w:hint="eastAsia"/>
        </w:rPr>
      </w:pPr>
    </w:p>
    <w:p w14:paraId="75DC18B6">
      <w:pPr>
        <w:spacing w:line="360" w:lineRule="auto"/>
        <w:jc w:val="center"/>
        <w:rPr>
          <w:rFonts w:hint="eastAsia" w:ascii="宋体" w:hAnsi="宋体" w:cs="宋体"/>
          <w:b/>
          <w:sz w:val="36"/>
          <w:szCs w:val="36"/>
          <w:highlight w:val="none"/>
        </w:rPr>
      </w:pPr>
    </w:p>
    <w:p w14:paraId="4774A70C">
      <w:pPr>
        <w:spacing w:line="360" w:lineRule="auto"/>
        <w:jc w:val="center"/>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钟秀西地铁大食堂改造工程（</w:t>
      </w:r>
      <w:r>
        <w:rPr>
          <w:rFonts w:hint="eastAsia" w:ascii="宋体" w:hAnsi="宋体" w:cs="宋体"/>
          <w:b/>
          <w:sz w:val="44"/>
          <w:szCs w:val="44"/>
          <w:highlight w:val="none"/>
          <w:lang w:val="en-US" w:eastAsia="zh-CN"/>
        </w:rPr>
        <w:t>二次</w:t>
      </w:r>
      <w:r>
        <w:rPr>
          <w:rFonts w:hint="eastAsia" w:ascii="宋体" w:hAnsi="宋体" w:cs="宋体"/>
          <w:b/>
          <w:sz w:val="44"/>
          <w:szCs w:val="44"/>
          <w:highlight w:val="none"/>
          <w:lang w:eastAsia="zh-CN"/>
        </w:rPr>
        <w:t>）</w:t>
      </w:r>
    </w:p>
    <w:p w14:paraId="21D9B816">
      <w:pPr>
        <w:rPr>
          <w:rFonts w:hint="eastAsia" w:ascii="宋体" w:hAnsi="宋体" w:cs="宋体"/>
          <w:highlight w:val="none"/>
        </w:rPr>
      </w:pPr>
    </w:p>
    <w:p w14:paraId="3AFF893F">
      <w:pPr>
        <w:spacing w:line="360" w:lineRule="auto"/>
        <w:jc w:val="center"/>
        <w:outlineLvl w:val="0"/>
        <w:rPr>
          <w:rFonts w:hint="eastAsia" w:ascii="宋体" w:hAnsi="宋体" w:cs="宋体"/>
          <w:b/>
          <w:bCs/>
          <w:sz w:val="36"/>
          <w:szCs w:val="36"/>
          <w:highlight w:val="none"/>
        </w:rPr>
      </w:pPr>
      <w:bookmarkStart w:id="615" w:name="_Toc15497"/>
      <w:bookmarkStart w:id="616" w:name="_Toc4601"/>
      <w:bookmarkStart w:id="617" w:name="_Toc3234"/>
      <w:r>
        <w:rPr>
          <w:rFonts w:hint="eastAsia" w:ascii="宋体" w:hAnsi="宋体" w:cs="宋体"/>
          <w:b/>
          <w:bCs/>
          <w:sz w:val="36"/>
          <w:szCs w:val="36"/>
          <w:highlight w:val="none"/>
        </w:rPr>
        <w:t>（报价投标文件）</w:t>
      </w:r>
      <w:bookmarkEnd w:id="615"/>
      <w:bookmarkEnd w:id="616"/>
      <w:bookmarkEnd w:id="617"/>
    </w:p>
    <w:p w14:paraId="784107C8">
      <w:pPr>
        <w:spacing w:line="360" w:lineRule="auto"/>
        <w:rPr>
          <w:rFonts w:hint="eastAsia" w:ascii="宋体" w:hAnsi="宋体" w:cs="宋体"/>
          <w:sz w:val="32"/>
          <w:highlight w:val="none"/>
        </w:rPr>
      </w:pPr>
    </w:p>
    <w:p w14:paraId="71D471F3">
      <w:pPr>
        <w:spacing w:line="440" w:lineRule="exact"/>
        <w:rPr>
          <w:rFonts w:hint="eastAsia" w:ascii="宋体" w:hAnsi="宋体" w:cs="宋体"/>
          <w:sz w:val="32"/>
          <w:highlight w:val="none"/>
        </w:rPr>
      </w:pPr>
    </w:p>
    <w:p w14:paraId="7E245F80">
      <w:pPr>
        <w:spacing w:line="440" w:lineRule="exact"/>
        <w:rPr>
          <w:rFonts w:hint="eastAsia" w:ascii="宋体" w:hAnsi="宋体" w:cs="宋体"/>
          <w:sz w:val="32"/>
          <w:highlight w:val="none"/>
        </w:rPr>
      </w:pPr>
    </w:p>
    <w:p w14:paraId="5470A4D0">
      <w:pPr>
        <w:spacing w:line="440" w:lineRule="exact"/>
        <w:rPr>
          <w:rFonts w:hint="eastAsia" w:ascii="宋体" w:hAnsi="宋体" w:cs="宋体"/>
          <w:sz w:val="32"/>
          <w:highlight w:val="none"/>
        </w:rPr>
      </w:pPr>
    </w:p>
    <w:p w14:paraId="006FAE63">
      <w:pPr>
        <w:spacing w:line="440" w:lineRule="exact"/>
        <w:rPr>
          <w:rFonts w:hint="eastAsia" w:ascii="宋体" w:hAnsi="宋体" w:cs="宋体"/>
          <w:sz w:val="32"/>
          <w:highlight w:val="none"/>
        </w:rPr>
      </w:pPr>
    </w:p>
    <w:p w14:paraId="5781B1E1">
      <w:pPr>
        <w:spacing w:line="440" w:lineRule="exact"/>
        <w:rPr>
          <w:rFonts w:hint="eastAsia" w:ascii="宋体" w:hAnsi="宋体" w:cs="宋体"/>
          <w:sz w:val="32"/>
          <w:highlight w:val="none"/>
        </w:rPr>
      </w:pPr>
    </w:p>
    <w:p w14:paraId="2591DB22">
      <w:pPr>
        <w:rPr>
          <w:rFonts w:hint="eastAsia" w:ascii="宋体" w:hAnsi="宋体" w:cs="宋体"/>
          <w:highlight w:val="none"/>
        </w:rPr>
      </w:pPr>
    </w:p>
    <w:p w14:paraId="679076D9">
      <w:pPr>
        <w:spacing w:line="440" w:lineRule="exact"/>
        <w:rPr>
          <w:rFonts w:hint="eastAsia" w:ascii="宋体" w:hAnsi="宋体" w:cs="宋体"/>
          <w:highlight w:val="none"/>
        </w:rPr>
      </w:pPr>
    </w:p>
    <w:p w14:paraId="2C2C5852">
      <w:pPr>
        <w:spacing w:line="440" w:lineRule="exact"/>
        <w:ind w:firstLine="1687" w:firstLineChars="600"/>
        <w:rPr>
          <w:rFonts w:hint="eastAsia" w:ascii="宋体" w:hAnsi="宋体" w:cs="宋体"/>
          <w:b/>
          <w:sz w:val="28"/>
          <w:szCs w:val="28"/>
          <w:highlight w:val="none"/>
        </w:rPr>
      </w:pPr>
    </w:p>
    <w:p w14:paraId="3C45146F">
      <w:pPr>
        <w:ind w:firstLine="1687" w:firstLineChars="600"/>
        <w:rPr>
          <w:rFonts w:hint="eastAsia" w:ascii="宋体" w:hAnsi="宋体" w:cs="宋体"/>
          <w:b/>
          <w:bCs/>
          <w:sz w:val="28"/>
          <w:szCs w:val="28"/>
          <w:highlight w:val="none"/>
        </w:rPr>
      </w:pPr>
    </w:p>
    <w:p w14:paraId="412DCD93">
      <w:pPr>
        <w:ind w:firstLine="1687" w:firstLineChars="600"/>
        <w:rPr>
          <w:rFonts w:hint="eastAsia" w:ascii="宋体" w:hAnsi="宋体" w:cs="宋体"/>
          <w:b/>
          <w:bCs/>
          <w:sz w:val="28"/>
          <w:szCs w:val="28"/>
          <w:highlight w:val="none"/>
        </w:rPr>
      </w:pPr>
    </w:p>
    <w:p w14:paraId="153465C9">
      <w:pPr>
        <w:jc w:val="center"/>
        <w:rPr>
          <w:rFonts w:hint="eastAsia" w:ascii="宋体" w:hAnsi="宋体" w:cs="宋体"/>
          <w:b/>
          <w:bCs/>
          <w:sz w:val="28"/>
          <w:szCs w:val="28"/>
          <w:highlight w:val="none"/>
        </w:rPr>
      </w:pPr>
    </w:p>
    <w:p w14:paraId="16317A48">
      <w:pPr>
        <w:jc w:val="center"/>
        <w:rPr>
          <w:rFonts w:hint="eastAsia" w:ascii="宋体" w:hAnsi="宋体" w:cs="宋体"/>
          <w:b/>
          <w:bCs/>
          <w:sz w:val="28"/>
          <w:szCs w:val="28"/>
          <w:highlight w:val="none"/>
        </w:rPr>
      </w:pPr>
    </w:p>
    <w:p w14:paraId="032CE0B8">
      <w:pPr>
        <w:jc w:val="center"/>
        <w:rPr>
          <w:rFonts w:hint="eastAsia" w:ascii="宋体" w:hAnsi="宋体" w:cs="宋体"/>
          <w:b/>
          <w:bCs/>
          <w:sz w:val="28"/>
          <w:szCs w:val="28"/>
          <w:highlight w:val="none"/>
          <w:u w:val="single"/>
        </w:rPr>
      </w:pPr>
      <w:r>
        <w:rPr>
          <w:rFonts w:hint="eastAsia" w:ascii="宋体" w:hAnsi="宋体" w:cs="宋体"/>
          <w:b/>
          <w:bCs/>
          <w:sz w:val="28"/>
          <w:szCs w:val="28"/>
          <w:highlight w:val="none"/>
        </w:rPr>
        <w:t xml:space="preserve">投  标  人: </w:t>
      </w:r>
      <w:r>
        <w:rPr>
          <w:rFonts w:hint="eastAsia" w:ascii="宋体" w:hAnsi="宋体" w:cs="宋体"/>
          <w:b/>
          <w:bCs/>
          <w:sz w:val="28"/>
          <w:szCs w:val="28"/>
          <w:highlight w:val="none"/>
          <w:u w:val="single"/>
        </w:rPr>
        <w:t xml:space="preserve">         （全称）（盖章）</w:t>
      </w:r>
    </w:p>
    <w:p w14:paraId="6BB5AE09">
      <w:pPr>
        <w:jc w:val="center"/>
        <w:rPr>
          <w:rFonts w:hint="eastAsia" w:ascii="宋体" w:hAnsi="宋体" w:cs="宋体"/>
          <w:b/>
          <w:bCs/>
          <w:sz w:val="28"/>
          <w:szCs w:val="28"/>
          <w:highlight w:val="none"/>
          <w:u w:val="single"/>
        </w:rPr>
      </w:pPr>
      <w:r>
        <w:rPr>
          <w:rFonts w:hint="eastAsia" w:ascii="宋体" w:hAnsi="宋体" w:cs="宋体"/>
          <w:b/>
          <w:bCs/>
          <w:sz w:val="28"/>
          <w:szCs w:val="28"/>
          <w:highlight w:val="none"/>
        </w:rPr>
        <w:t>法定代表人：</w:t>
      </w:r>
      <w:r>
        <w:rPr>
          <w:rFonts w:hint="eastAsia" w:ascii="宋体" w:hAnsi="宋体" w:cs="宋体"/>
          <w:b/>
          <w:bCs/>
          <w:sz w:val="28"/>
          <w:szCs w:val="28"/>
          <w:highlight w:val="none"/>
          <w:u w:val="single"/>
        </w:rPr>
        <w:t xml:space="preserve">           （签字或盖章）</w:t>
      </w:r>
    </w:p>
    <w:p w14:paraId="33E27C25">
      <w:pPr>
        <w:jc w:val="center"/>
        <w:rPr>
          <w:rFonts w:hint="eastAsia" w:ascii="宋体" w:hAnsi="宋体" w:cs="宋体"/>
          <w:b/>
          <w:bCs/>
          <w:sz w:val="28"/>
          <w:szCs w:val="28"/>
          <w:highlight w:val="none"/>
        </w:rPr>
      </w:pPr>
      <w:r>
        <w:rPr>
          <w:rFonts w:hint="eastAsia" w:ascii="宋体" w:hAnsi="宋体" w:cs="宋体"/>
          <w:b/>
          <w:bCs/>
          <w:sz w:val="28"/>
          <w:szCs w:val="28"/>
          <w:highlight w:val="none"/>
        </w:rPr>
        <w:t>时      间：       年      月      日</w:t>
      </w:r>
    </w:p>
    <w:p w14:paraId="5BFAC9BB">
      <w:pPr>
        <w:spacing w:line="440" w:lineRule="exact"/>
        <w:ind w:firstLine="1928" w:firstLineChars="600"/>
        <w:jc w:val="center"/>
        <w:rPr>
          <w:rFonts w:hint="eastAsia" w:ascii="宋体" w:hAnsi="宋体" w:cs="宋体"/>
          <w:b/>
          <w:bCs/>
          <w:sz w:val="32"/>
          <w:szCs w:val="32"/>
          <w:highlight w:val="none"/>
        </w:rPr>
        <w:sectPr>
          <w:footerReference r:id="rId12" w:type="default"/>
          <w:pgSz w:w="11905"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720" w:num="1"/>
          <w:docGrid w:type="lines" w:linePitch="325" w:charSpace="0"/>
        </w:sectPr>
      </w:pPr>
    </w:p>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14:paraId="7C4E699E">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lang w:val="en-US" w:eastAsia="zh-CN"/>
        </w:rPr>
      </w:pPr>
      <w:bookmarkStart w:id="618" w:name="_Toc7705"/>
      <w:bookmarkStart w:id="619" w:name="_Toc28728"/>
      <w:bookmarkStart w:id="620" w:name="_Toc20605"/>
      <w:bookmarkStart w:id="621" w:name="_Toc25339"/>
      <w:bookmarkStart w:id="622" w:name="_Toc28221"/>
      <w:bookmarkStart w:id="623" w:name="_Toc10151"/>
      <w:bookmarkStart w:id="624" w:name="_Toc21795"/>
      <w:r>
        <w:rPr>
          <w:rFonts w:hint="eastAsia" w:ascii="宋体" w:hAnsi="宋体" w:eastAsia="宋体" w:cs="宋体"/>
          <w:b/>
          <w:bCs/>
          <w:color w:val="auto"/>
          <w:sz w:val="30"/>
          <w:szCs w:val="30"/>
          <w:highlight w:val="none"/>
          <w:lang w:val="en-US" w:eastAsia="zh-CN"/>
        </w:rPr>
        <w:t>一、投标函</w:t>
      </w:r>
      <w:bookmarkEnd w:id="618"/>
      <w:bookmarkEnd w:id="619"/>
      <w:bookmarkEnd w:id="620"/>
    </w:p>
    <w:p w14:paraId="6736C75C">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shd w:val="clear" w:color="auto" w:fill="FFFFFF"/>
        </w:rPr>
        <w:t>南通轨道城市服务有限公司：</w:t>
      </w:r>
    </w:p>
    <w:p w14:paraId="2AA46AD0">
      <w:pPr>
        <w:pStyle w:val="2"/>
        <w:keepNext w:val="0"/>
        <w:keepLines w:val="0"/>
        <w:pageBreakBefore w:val="0"/>
        <w:widowControl/>
        <w:kinsoku/>
        <w:wordWrap/>
        <w:overflowPunct/>
        <w:topLinePunct w:val="0"/>
        <w:autoSpaceDE/>
        <w:autoSpaceDN/>
        <w:bidi w:val="0"/>
        <w:adjustRightInd/>
        <w:snapToGrid/>
        <w:spacing w:line="360" w:lineRule="auto"/>
        <w:ind w:right="-124" w:rightChars="-59"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（一）根据已收到的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工程的招标文件，我单位将遵照《中华人民共和国招标投标法》等有关规定并根据工程招标文件的规定，经考察现场和研究招标文件后，愿以人民币(大写)</w:t>
      </w:r>
      <w:r>
        <w:rPr>
          <w:rFonts w:hint="eastAsia" w:ascii="宋体" w:hAnsi="宋体" w:eastAsia="宋体" w:cs="宋体"/>
          <w:color w:val="auto"/>
          <w:sz w:val="24"/>
          <w:szCs w:val="24"/>
          <w:highlight w:val="none"/>
          <w:u w:val="single"/>
        </w:rPr>
        <w:t xml:space="preserve">            (¥      元）</w:t>
      </w:r>
      <w:r>
        <w:rPr>
          <w:rFonts w:hint="eastAsia" w:ascii="宋体" w:hAnsi="宋体" w:eastAsia="宋体" w:cs="宋体"/>
          <w:color w:val="auto"/>
          <w:sz w:val="24"/>
          <w:szCs w:val="24"/>
          <w:highlight w:val="none"/>
        </w:rPr>
        <w:t>的总价，按招标文件的要求承包本项目招标范围内的全部工程，其中安全文明施工措施费共计人民币(大写)</w:t>
      </w:r>
      <w:r>
        <w:rPr>
          <w:rFonts w:hint="eastAsia" w:ascii="宋体" w:hAnsi="宋体" w:eastAsia="宋体" w:cs="宋体"/>
          <w:color w:val="auto"/>
          <w:sz w:val="24"/>
          <w:szCs w:val="24"/>
          <w:highlight w:val="none"/>
          <w:u w:val="single"/>
        </w:rPr>
        <w:t xml:space="preserve">       (¥      元）</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我单位承诺，该安全文明施工措施费全部投入用于本工程，不作为利润或挪作它用。</w:t>
      </w:r>
    </w:p>
    <w:p w14:paraId="5A1FDAC0">
      <w:pPr>
        <w:pStyle w:val="2"/>
        <w:keepNext w:val="0"/>
        <w:keepLines w:val="0"/>
        <w:pageBreakBefore w:val="0"/>
        <w:widowControl/>
        <w:kinsoku/>
        <w:wordWrap/>
        <w:overflowPunct/>
        <w:topLinePunct w:val="0"/>
        <w:autoSpaceDE/>
        <w:autoSpaceDN/>
        <w:bidi w:val="0"/>
        <w:adjustRightInd/>
        <w:snapToGrid/>
        <w:spacing w:line="360" w:lineRule="auto"/>
        <w:ind w:right="-124" w:rightChars="-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（二）我单位保证在收到贵单位发出的书面开工令后立即开工，并按业主要求的时间竣工。</w:t>
      </w:r>
    </w:p>
    <w:p w14:paraId="32873D05">
      <w:pPr>
        <w:pStyle w:val="2"/>
        <w:keepNext w:val="0"/>
        <w:keepLines w:val="0"/>
        <w:pageBreakBefore w:val="0"/>
        <w:widowControl/>
        <w:kinsoku/>
        <w:wordWrap/>
        <w:overflowPunct/>
        <w:topLinePunct w:val="0"/>
        <w:autoSpaceDE/>
        <w:autoSpaceDN/>
        <w:bidi w:val="0"/>
        <w:adjustRightInd/>
        <w:snapToGrid/>
        <w:spacing w:line="360" w:lineRule="auto"/>
        <w:ind w:right="-124" w:rightChars="-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（三）我单位保证本工程质量达到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0D2473A">
      <w:pPr>
        <w:pStyle w:val="2"/>
        <w:keepNext w:val="0"/>
        <w:keepLines w:val="0"/>
        <w:pageBreakBefore w:val="0"/>
        <w:widowControl/>
        <w:kinsoku/>
        <w:wordWrap/>
        <w:overflowPunct/>
        <w:topLinePunct w:val="0"/>
        <w:autoSpaceDE/>
        <w:autoSpaceDN/>
        <w:bidi w:val="0"/>
        <w:adjustRightInd/>
        <w:snapToGrid/>
        <w:spacing w:line="360" w:lineRule="auto"/>
        <w:ind w:right="-124" w:rightChars="-59"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（四）如果我方中标，我方将按照招标文件规定的比例提交银行转账和保函作为履约担保。</w:t>
      </w:r>
    </w:p>
    <w:p w14:paraId="50E98E94">
      <w:pPr>
        <w:pStyle w:val="2"/>
        <w:keepNext w:val="0"/>
        <w:keepLines w:val="0"/>
        <w:pageBreakBefore w:val="0"/>
        <w:widowControl/>
        <w:kinsoku/>
        <w:wordWrap/>
        <w:overflowPunct/>
        <w:topLinePunct w:val="0"/>
        <w:autoSpaceDE/>
        <w:autoSpaceDN/>
        <w:bidi w:val="0"/>
        <w:adjustRightInd/>
        <w:snapToGrid/>
        <w:spacing w:line="360" w:lineRule="auto"/>
        <w:ind w:right="-124" w:rightChars="-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（六）招标文件中的其他实质性要求以及合同条款我方均响应。</w:t>
      </w:r>
    </w:p>
    <w:p w14:paraId="5A1668DA">
      <w:pPr>
        <w:pStyle w:val="2"/>
        <w:keepNext w:val="0"/>
        <w:keepLines w:val="0"/>
        <w:pageBreakBefore w:val="0"/>
        <w:widowControl/>
        <w:kinsoku/>
        <w:wordWrap/>
        <w:overflowPunct/>
        <w:topLinePunct w:val="0"/>
        <w:autoSpaceDE/>
        <w:autoSpaceDN/>
        <w:bidi w:val="0"/>
        <w:adjustRightInd/>
        <w:snapToGrid/>
        <w:spacing w:line="360" w:lineRule="auto"/>
        <w:ind w:right="-124" w:rightChars="-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（七）贵单位的招标文件、中标通知书和本投标文件将构成约束我们双方的合同。</w:t>
      </w:r>
    </w:p>
    <w:p w14:paraId="67F7B0C7">
      <w:pPr>
        <w:tabs>
          <w:tab w:val="left" w:pos="1200"/>
        </w:tabs>
        <w:spacing w:line="440" w:lineRule="exact"/>
        <w:jc w:val="right"/>
        <w:rPr>
          <w:rFonts w:hint="eastAsia" w:ascii="宋体" w:hAnsi="宋体" w:eastAsia="宋体" w:cs="宋体"/>
          <w:color w:val="auto"/>
          <w:sz w:val="24"/>
          <w:szCs w:val="24"/>
          <w:highlight w:val="none"/>
        </w:rPr>
      </w:pPr>
    </w:p>
    <w:p w14:paraId="0A1DAC62">
      <w:pPr>
        <w:tabs>
          <w:tab w:val="left" w:pos="1200"/>
        </w:tabs>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2F6AD69D">
      <w:pPr>
        <w:tabs>
          <w:tab w:val="left" w:pos="1200"/>
        </w:tabs>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0B8028D">
      <w:pPr>
        <w:pStyle w:val="2"/>
        <w:spacing w:line="440" w:lineRule="exact"/>
        <w:ind w:firstLine="0" w:firstLine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E46B9EF">
      <w:pPr>
        <w:widowControl/>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br w:type="page"/>
      </w:r>
    </w:p>
    <w:p w14:paraId="0E564BA6">
      <w:pPr>
        <w:pStyle w:val="4"/>
        <w:spacing w:before="0" w:after="0" w:line="440" w:lineRule="exact"/>
        <w:jc w:val="center"/>
        <w:rPr>
          <w:rFonts w:hint="eastAsia" w:ascii="宋体" w:hAnsi="宋体" w:eastAsia="宋体" w:cs="宋体"/>
          <w:color w:val="auto"/>
          <w:sz w:val="30"/>
          <w:szCs w:val="30"/>
          <w:highlight w:val="none"/>
        </w:rPr>
        <w:sectPr>
          <w:footerReference r:id="rId13" w:type="default"/>
          <w:pgSz w:w="11906" w:h="16838"/>
          <w:pgMar w:top="1440" w:right="1800" w:bottom="1440" w:left="1800" w:header="851" w:footer="992" w:gutter="0"/>
          <w:pgNumType w:fmt="decimal"/>
          <w:cols w:space="0" w:num="1"/>
          <w:docGrid w:type="lines" w:linePitch="319" w:charSpace="0"/>
        </w:sectPr>
      </w:pPr>
      <w:bookmarkStart w:id="625" w:name="_Toc3718"/>
    </w:p>
    <w:p w14:paraId="064078B3">
      <w:pPr>
        <w:pStyle w:val="4"/>
        <w:spacing w:before="0" w:after="0" w:line="440" w:lineRule="exact"/>
        <w:ind w:left="0" w:leftChars="0" w:firstLine="0" w:firstLineChars="0"/>
        <w:jc w:val="center"/>
        <w:rPr>
          <w:rFonts w:hint="eastAsia" w:ascii="宋体" w:hAnsi="宋体" w:eastAsia="宋体" w:cs="宋体"/>
          <w:b/>
          <w:bCs/>
          <w:color w:val="auto"/>
          <w:sz w:val="30"/>
          <w:szCs w:val="30"/>
          <w:highlight w:val="none"/>
          <w:lang w:val="en-US" w:eastAsia="zh-CN"/>
        </w:rPr>
      </w:pPr>
      <w:bookmarkStart w:id="626" w:name="_Toc4371"/>
      <w:bookmarkStart w:id="627" w:name="_Toc15851"/>
      <w:bookmarkStart w:id="628" w:name="_Toc22798"/>
      <w:r>
        <w:rPr>
          <w:rFonts w:hint="eastAsia" w:ascii="宋体" w:hAnsi="宋体" w:eastAsia="宋体" w:cs="宋体"/>
          <w:b/>
          <w:bCs/>
          <w:color w:val="auto"/>
          <w:sz w:val="30"/>
          <w:szCs w:val="30"/>
          <w:highlight w:val="none"/>
          <w:lang w:val="en-US" w:eastAsia="zh-CN"/>
        </w:rPr>
        <w:t>二、工程量清单</w:t>
      </w:r>
      <w:bookmarkEnd w:id="626"/>
      <w:bookmarkEnd w:id="627"/>
      <w:bookmarkEnd w:id="628"/>
    </w:p>
    <w:bookmarkEnd w:id="621"/>
    <w:bookmarkEnd w:id="622"/>
    <w:bookmarkEnd w:id="623"/>
    <w:bookmarkEnd w:id="624"/>
    <w:bookmarkEnd w:id="625"/>
    <w:p w14:paraId="3BF4A834">
      <w:pPr>
        <w:jc w:val="right"/>
        <w:rPr>
          <w:rFonts w:hint="eastAsia" w:ascii="宋体" w:hAnsi="宋体" w:cs="宋体"/>
          <w:highlight w:val="none"/>
        </w:rPr>
      </w:pPr>
    </w:p>
    <w:sectPr>
      <w:footerReference r:id="rId14" w:type="default"/>
      <w:pgSz w:w="11905"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00000000" w:usb1="0000000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00000000" w:usb1="00000000"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000" w:usb1="00000000" w:usb2="00000000" w:usb3="00000000" w:csb0="2000009F" w:csb1="47010000"/>
  </w:font>
  <w:font w:name="讣篮 绊雕">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A4C2">
    <w:pPr>
      <w:pStyle w:val="12"/>
      <w:jc w:val="center"/>
    </w:pPr>
  </w:p>
  <w:p w14:paraId="3AD78809">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B435">
    <w:pPr>
      <w:pStyle w:val="12"/>
      <w:ind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96FB4">
                          <w:pPr>
                            <w:pStyle w:val="1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AA&#10;">
              <v:fill on="f" focussize="0,0"/>
              <v:stroke on="f" weight="0.5pt"/>
              <v:imagedata o:title=""/>
              <o:lock v:ext="edit" aspectratio="f"/>
              <v:textbox inset="0mm,0mm,0mm,0mm" style="mso-fit-shape-to-text:t;">
                <w:txbxContent>
                  <w:p w14:paraId="2BE96FB4">
                    <w:pPr>
                      <w:pStyle w:val="1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E290">
    <w:pPr>
      <w:pStyle w:val="12"/>
      <w:jc w:val="center"/>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11829">
                          <w:pPr>
                            <w:pStyle w:val="12"/>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AA&#10;">
              <v:fill on="f" focussize="0,0"/>
              <v:stroke on="f" weight="0.5pt"/>
              <v:imagedata o:title=""/>
              <o:lock v:ext="edit" aspectratio="f"/>
              <v:textbox inset="0mm,0mm,0mm,0mm" style="mso-fit-shape-to-text:t;">
                <w:txbxContent>
                  <w:p w14:paraId="20F11829">
                    <w:pPr>
                      <w:pStyle w:val="12"/>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4ED5">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B5723">
                          <w:pPr>
                            <w:pStyle w:val="12"/>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AA&#10;">
              <v:fill on="f" focussize="0,0"/>
              <v:stroke on="f" weight="0.5pt"/>
              <v:imagedata o:title=""/>
              <o:lock v:ext="edit" aspectratio="f"/>
              <v:textbox inset="0mm,0mm,0mm,0mm" style="mso-fit-shape-to-text:t;">
                <w:txbxContent>
                  <w:p w14:paraId="153B5723">
                    <w:pPr>
                      <w:pStyle w:val="12"/>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0671">
    <w:pPr>
      <w:spacing w:line="220" w:lineRule="auto"/>
      <w:ind w:left="41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8D7F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14:paraId="36A8D7F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6A94">
    <w:pPr>
      <w:spacing w:line="220"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222F7">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14:paraId="3EC222F7">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0044">
    <w:pPr>
      <w:spacing w:line="220" w:lineRule="auto"/>
      <w:ind w:left="43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3744A">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14:paraId="2F93744A">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0B1A">
    <w:pPr>
      <w:spacing w:line="220" w:lineRule="auto"/>
      <w:ind w:left="44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1CCB8">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A&#10;">
              <v:fill on="f" focussize="0,0"/>
              <v:stroke on="f" weight="0.5pt"/>
              <v:imagedata o:title=""/>
              <o:lock v:ext="edit" aspectratio="f"/>
              <v:textbox inset="0mm,0mm,0mm,0mm" style="mso-fit-shape-to-text:t;">
                <w:txbxContent>
                  <w:p w14:paraId="2781CCB8">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1CB7">
    <w:pPr>
      <w:spacing w:line="220" w:lineRule="auto"/>
      <w:ind w:left="48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47003">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14:paraId="38547003">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68AB">
    <w:pPr>
      <w:spacing w:line="220" w:lineRule="auto"/>
      <w:ind w:left="4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5431A">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A&#10;">
              <v:fill on="f" focussize="0,0"/>
              <v:stroke on="f" weight="0.5pt"/>
              <v:imagedata o:title=""/>
              <o:lock v:ext="edit" aspectratio="f"/>
              <v:textbox inset="0mm,0mm,0mm,0mm" style="mso-fit-shape-to-text:t;">
                <w:txbxContent>
                  <w:p w14:paraId="4195431A">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4E790">
    <w:pPr>
      <w:spacing w:line="220" w:lineRule="auto"/>
      <w:ind w:left="43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748E0">
                          <w:pPr>
                            <w:pStyle w:val="1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A&#10;">
              <v:fill on="f" focussize="0,0"/>
              <v:stroke on="f" weight="0.5pt"/>
              <v:imagedata o:title=""/>
              <o:lock v:ext="edit" aspectratio="f"/>
              <v:textbox inset="0mm,0mm,0mm,0mm" style="mso-fit-shape-to-text:t;">
                <w:txbxContent>
                  <w:p w14:paraId="28B748E0">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3BD82">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E146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14:paraId="242E1462">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29A3D8DF">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4">
    <w:name w:val="heading 2"/>
    <w:basedOn w:val="1"/>
    <w:next w:val="1"/>
    <w:link w:val="38"/>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5">
    <w:name w:val="heading 3"/>
    <w:basedOn w:val="1"/>
    <w:next w:val="1"/>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6">
    <w:name w:val="heading 4"/>
    <w:basedOn w:val="1"/>
    <w:next w:val="1"/>
    <w:link w:val="36"/>
    <w:unhideWhenUsed/>
    <w:qFormat/>
    <w:uiPriority w:val="0"/>
    <w:pPr>
      <w:keepNext/>
      <w:keepLines/>
      <w:spacing w:line="590" w:lineRule="exact"/>
      <w:outlineLvl w:val="3"/>
    </w:pPr>
    <w:rPr>
      <w:rFonts w:ascii="Arial" w:hAnsi="Arial" w:eastAsia="方正仿宋_GBK"/>
      <w:b/>
      <w:sz w:val="32"/>
    </w:rPr>
  </w:style>
  <w:style w:type="character" w:default="1" w:styleId="19">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szCs w:val="20"/>
    </w:rPr>
  </w:style>
  <w:style w:type="paragraph" w:styleId="7">
    <w:name w:val="toa heading"/>
    <w:basedOn w:val="1"/>
    <w:next w:val="1"/>
    <w:semiHidden/>
    <w:qFormat/>
    <w:uiPriority w:val="0"/>
    <w:pPr>
      <w:widowControl w:val="0"/>
      <w:jc w:val="center"/>
    </w:pPr>
    <w:rPr>
      <w:rFonts w:ascii="Arial" w:hAnsi="Arial" w:eastAsia="黑体" w:cs="Times New Roman"/>
      <w:kern w:val="2"/>
      <w:sz w:val="36"/>
      <w:szCs w:val="24"/>
      <w:lang w:val="en-US" w:eastAsia="zh-CN" w:bidi="ar-SA"/>
    </w:rPr>
  </w:style>
  <w:style w:type="paragraph" w:styleId="8">
    <w:name w:val="Body Text"/>
    <w:basedOn w:val="1"/>
    <w:qFormat/>
    <w:uiPriority w:val="0"/>
    <w:pPr>
      <w:spacing w:after="120"/>
    </w:pPr>
  </w:style>
  <w:style w:type="paragraph" w:styleId="9">
    <w:name w:val="Body Text Indent"/>
    <w:basedOn w:val="1"/>
    <w:next w:val="10"/>
    <w:qFormat/>
    <w:uiPriority w:val="0"/>
    <w:pPr>
      <w:ind w:left="765"/>
    </w:pPr>
    <w:rPr>
      <w:rFonts w:ascii="仿宋_GB2312" w:eastAsia="仿宋_GB2312"/>
      <w:kern w:val="0"/>
      <w:sz w:val="28"/>
      <w:szCs w:val="20"/>
    </w:rPr>
  </w:style>
  <w:style w:type="paragraph" w:styleId="10">
    <w:name w:val="envelope return"/>
    <w:basedOn w:val="1"/>
    <w:unhideWhenUsed/>
    <w:qFormat/>
    <w:uiPriority w:val="99"/>
    <w:pPr>
      <w:snapToGrid w:val="0"/>
    </w:pPr>
    <w:rPr>
      <w:rFonts w:ascii="Arial" w:hAnsi="Arial"/>
    </w:rPr>
  </w:style>
  <w:style w:type="paragraph" w:styleId="11">
    <w:name w:val="Plain Text"/>
    <w:basedOn w:val="1"/>
    <w:unhideWhenUsed/>
    <w:qFormat/>
    <w:uiPriority w:val="0"/>
    <w:pPr>
      <w:spacing w:line="360" w:lineRule="auto"/>
      <w:ind w:left="708" w:leftChars="150" w:hanging="393" w:hangingChars="187"/>
    </w:pPr>
    <w:rPr>
      <w:rFonts w:ascii="宋体" w:hAnsi="Courier New" w:eastAsia="宋体" w:cs="Times New Roman"/>
      <w:kern w:val="0"/>
      <w:sz w:val="20"/>
      <w:szCs w:val="21"/>
    </w:r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Body Text First Indent 2"/>
    <w:basedOn w:val="9"/>
    <w:unhideWhenUsed/>
    <w:qFormat/>
    <w:uiPriority w:val="99"/>
    <w:pPr>
      <w:ind w:firstLine="420" w:firstLineChars="200"/>
    </w:p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next w:val="1"/>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6">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qFormat/>
    <w:uiPriority w:val="0"/>
    <w:pPr>
      <w:keepNext/>
      <w:keepLines/>
      <w:jc w:val="center"/>
      <w:outlineLvl w:val="0"/>
    </w:pPr>
    <w:rPr>
      <w:rFonts w:eastAsia="方正小标宋_GBK" w:asciiTheme="minorHAnsi" w:hAnsiTheme="minorHAnsi"/>
      <w:bCs/>
      <w:color w:val="1A1A1A"/>
      <w:sz w:val="44"/>
      <w:szCs w:val="48"/>
    </w:r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rPr>
      <w:bdr w:val="single" w:color="BDBEC1" w:sz="2" w:space="0"/>
      <w:shd w:val="clear" w:fill="FFFFFF"/>
    </w:rPr>
  </w:style>
  <w:style w:type="character" w:styleId="24">
    <w:name w:val="HTML Typewriter"/>
    <w:basedOn w:val="19"/>
    <w:qFormat/>
    <w:uiPriority w:val="0"/>
    <w:rPr>
      <w:rFonts w:hint="default" w:ascii="monospace" w:hAnsi="monospace" w:eastAsia="monospace" w:cs="monospace"/>
      <w:sz w:val="20"/>
      <w:bdr w:val="single" w:color="DBDEC1" w:sz="2" w:space="0"/>
      <w:shd w:val="clear" w:fill="FFFFFF"/>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annotation reference"/>
    <w:unhideWhenUsed/>
    <w:qFormat/>
    <w:uiPriority w:val="99"/>
    <w:rPr>
      <w:sz w:val="21"/>
      <w:szCs w:val="21"/>
    </w:rPr>
  </w:style>
  <w:style w:type="character" w:styleId="30">
    <w:name w:val="HTML Cite"/>
    <w:basedOn w:val="19"/>
    <w:qFormat/>
    <w:uiPriority w:val="0"/>
  </w:style>
  <w:style w:type="character" w:styleId="31">
    <w:name w:val="HTML Keyboard"/>
    <w:basedOn w:val="19"/>
    <w:qFormat/>
    <w:uiPriority w:val="0"/>
    <w:rPr>
      <w:rFonts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table" w:styleId="34">
    <w:name w:val="Table Grid"/>
    <w:basedOn w:val="3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35">
    <w:name w:val="xl53"/>
    <w:basedOn w:val="1"/>
    <w:next w:val="1"/>
    <w:qFormat/>
    <w:uiPriority w:val="99"/>
    <w:pPr>
      <w:spacing w:before="280" w:after="280" w:line="100" w:lineRule="exact"/>
      <w:jc w:val="center"/>
    </w:pPr>
    <w:rPr>
      <w:b/>
      <w:sz w:val="20"/>
    </w:rPr>
  </w:style>
  <w:style w:type="character" w:customStyle="1" w:styleId="36">
    <w:name w:val="标题 4 字符"/>
    <w:link w:val="6"/>
    <w:qFormat/>
    <w:uiPriority w:val="0"/>
    <w:rPr>
      <w:rFonts w:ascii="Arial" w:hAnsi="Arial" w:eastAsia="方正仿宋_GBK"/>
      <w:b/>
      <w:sz w:val="32"/>
    </w:rPr>
  </w:style>
  <w:style w:type="character" w:customStyle="1" w:styleId="37">
    <w:name w:val="标题 1 字符"/>
    <w:basedOn w:val="19"/>
    <w:link w:val="3"/>
    <w:qFormat/>
    <w:uiPriority w:val="9"/>
    <w:rPr>
      <w:rFonts w:ascii="Times New Roman" w:hAnsi="Times New Roman" w:eastAsia="方正小标宋_GBK" w:cstheme="majorBidi"/>
      <w:caps/>
      <w:color w:val="auto"/>
      <w:spacing w:val="0"/>
      <w:sz w:val="44"/>
      <w:szCs w:val="24"/>
    </w:rPr>
  </w:style>
  <w:style w:type="character" w:customStyle="1" w:styleId="38">
    <w:name w:val="标题 2 字符"/>
    <w:basedOn w:val="19"/>
    <w:link w:val="4"/>
    <w:qFormat/>
    <w:uiPriority w:val="9"/>
    <w:rPr>
      <w:rFonts w:ascii="Arial" w:hAnsi="Arial" w:eastAsia="方正黑体_GBK" w:cs="方正仿宋_GBK"/>
      <w:caps/>
      <w:color w:val="auto"/>
      <w:spacing w:val="0"/>
      <w:sz w:val="32"/>
      <w:szCs w:val="22"/>
      <w:lang w:val="zh-CN" w:bidi="zh-CN"/>
    </w:rPr>
  </w:style>
  <w:style w:type="paragraph" w:customStyle="1" w:styleId="39">
    <w:name w:val="正文会展"/>
    <w:basedOn w:val="1"/>
    <w:qFormat/>
    <w:uiPriority w:val="0"/>
    <w:pPr>
      <w:ind w:firstLine="480"/>
    </w:pPr>
    <w:rPr>
      <w:rFonts w:ascii="Calibri" w:hAnsi="Calibri" w:cs="宋体"/>
    </w:rPr>
  </w:style>
  <w:style w:type="paragraph" w:customStyle="1" w:styleId="40">
    <w:name w:val="正文缩进11"/>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41">
    <w:name w:val="正文缩进2格"/>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4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44">
    <w:name w:val="列出段落2"/>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45">
    <w:name w:val="正文 A"/>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character" w:customStyle="1" w:styleId="46">
    <w:name w:val="font21"/>
    <w:basedOn w:val="19"/>
    <w:qFormat/>
    <w:uiPriority w:val="0"/>
    <w:rPr>
      <w:rFonts w:hint="eastAsia" w:ascii="宋体" w:hAnsi="宋体" w:eastAsia="宋体" w:cs="宋体"/>
      <w:color w:val="000000"/>
      <w:sz w:val="22"/>
      <w:szCs w:val="22"/>
      <w:u w:val="none"/>
    </w:rPr>
  </w:style>
  <w:style w:type="character" w:customStyle="1" w:styleId="47">
    <w:name w:val="font01"/>
    <w:basedOn w:val="19"/>
    <w:qFormat/>
    <w:uiPriority w:val="0"/>
    <w:rPr>
      <w:rFonts w:hint="eastAsia" w:ascii="宋体" w:hAnsi="宋体" w:eastAsia="宋体" w:cs="宋体"/>
      <w:color w:val="000000"/>
      <w:sz w:val="22"/>
      <w:szCs w:val="22"/>
      <w:u w:val="none"/>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50">
    <w:name w:val="Table Normal"/>
    <w:unhideWhenUsed/>
    <w:qFormat/>
    <w:uiPriority w:val="0"/>
    <w:tblPr>
      <w:tblLayout w:type="fixed"/>
      <w:tblCellMar>
        <w:top w:w="0" w:type="dxa"/>
        <w:left w:w="0" w:type="dxa"/>
        <w:bottom w:w="0" w:type="dxa"/>
        <w:right w:w="0" w:type="dxa"/>
      </w:tblCellMar>
    </w:tblPr>
  </w:style>
  <w:style w:type="paragraph" w:customStyle="1" w:styleId="5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30216</Words>
  <Characters>31367</Characters>
  <Lines>233</Lines>
  <Paragraphs>65</Paragraphs>
  <TotalTime>0</TotalTime>
  <ScaleCrop>false</ScaleCrop>
  <LinksUpToDate>false</LinksUpToDate>
  <CharactersWithSpaces>40120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2022-07-20T21:39:00Z</dcterms:created>
  <dc:creator>郭苏徽</dc:creator>
  <cp:lastModifiedBy>iPhone</cp:lastModifiedBy>
  <cp:lastPrinted>2024-02-06T00:59:00Z</cp:lastPrinted>
  <dcterms:modified xsi:type="dcterms:W3CDTF">2026-01-16T18:07:53Z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2052-12.38.0</vt:lpwstr>
  </property>
  <property fmtid="{D5CDD505-2E9C-101B-9397-08002B2CF9AE}" pid="3" name="ICV">
    <vt:lpwstr>EF5C30B8C3BAFFD3F90D6A695D43B7EF_33</vt:lpwstr>
  </property>
  <property fmtid="{D5CDD505-2E9C-101B-9397-08002B2CF9AE}" pid="4" name="KSOTemplateDocerSaveRecord">
    <vt:lpwstr>eyJoZGlkIjoiYTVhZDc3NDlkMjgxMzJhYzkxYjJjN2FkMzc2ODg0YTgiLCJ1c2VySWQiOiI1NzY2MTkzMDYifQ==</vt:lpwstr>
  </property>
</Properties>
</file>