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C5019">
      <w:pPr>
        <w:spacing w:line="480" w:lineRule="auto"/>
        <w:ind w:firstLine="0" w:firstLineChars="0"/>
        <w:rPr>
          <w:rFonts w:ascii="黑体" w:hAnsi="黑体" w:eastAsia="黑体"/>
          <w:sz w:val="44"/>
          <w:szCs w:val="48"/>
          <w:highlight w:val="none"/>
          <w:u w:val="single"/>
        </w:rPr>
      </w:pPr>
    </w:p>
    <w:p w14:paraId="195FEDB7">
      <w:pPr>
        <w:ind w:firstLine="0" w:firstLineChars="0"/>
        <w:jc w:val="center"/>
        <w:rPr>
          <w:rFonts w:ascii="宋体" w:hAnsi="宋体" w:cs="宋体"/>
          <w:b/>
          <w:bCs/>
          <w:sz w:val="40"/>
          <w:szCs w:val="40"/>
          <w:highlight w:val="none"/>
          <w:u w:val="single"/>
        </w:rPr>
      </w:pPr>
      <w:bookmarkStart w:id="0" w:name="_Toc6457"/>
      <w:r>
        <w:rPr>
          <w:rFonts w:hint="eastAsia" w:ascii="宋体" w:hAnsi="宋体" w:cs="宋体"/>
          <w:b/>
          <w:bCs/>
          <w:sz w:val="40"/>
          <w:szCs w:val="40"/>
          <w:highlight w:val="none"/>
          <w:u w:val="none"/>
        </w:rPr>
        <w:t>南通轨道交通集团有限公司运营分公司2026年度办公设备耗材采购项目</w:t>
      </w:r>
    </w:p>
    <w:p w14:paraId="78C6F00A">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sz w:val="40"/>
          <w:szCs w:val="40"/>
          <w:highlight w:val="none"/>
          <w:u w:val="none"/>
          <w:lang w:eastAsia="zh-CN"/>
        </w:rPr>
        <w:t>NTGY-2026-FW-BX-004</w:t>
      </w:r>
      <w:r>
        <w:rPr>
          <w:rFonts w:hint="eastAsia" w:ascii="宋体" w:hAnsi="宋体" w:cs="宋体"/>
          <w:b/>
          <w:bCs/>
          <w:sz w:val="40"/>
          <w:szCs w:val="40"/>
          <w:highlight w:val="none"/>
        </w:rPr>
        <w:t>）</w:t>
      </w:r>
      <w:bookmarkEnd w:id="0"/>
    </w:p>
    <w:p w14:paraId="25A11878">
      <w:pPr>
        <w:ind w:firstLine="480"/>
        <w:rPr>
          <w:rFonts w:ascii="宋体" w:hAnsi="宋体" w:cs="宋体"/>
          <w:b/>
          <w:bCs/>
          <w:sz w:val="44"/>
          <w:szCs w:val="44"/>
          <w:highlight w:val="none"/>
        </w:rPr>
      </w:pPr>
      <w:r>
        <w:rPr>
          <w:highlight w:val="none"/>
        </w:rPr>
        <w:t xml:space="preserve"> </w:t>
      </w:r>
      <w:bookmarkStart w:id="1" w:name="_Toc11519"/>
    </w:p>
    <w:p w14:paraId="0796FD11">
      <w:pPr>
        <w:ind w:firstLine="0" w:firstLineChars="0"/>
        <w:jc w:val="center"/>
        <w:rPr>
          <w:rFonts w:ascii="宋体" w:hAnsi="宋体" w:cs="宋体"/>
          <w:b/>
          <w:bCs/>
          <w:sz w:val="44"/>
          <w:szCs w:val="44"/>
          <w:highlight w:val="none"/>
        </w:rPr>
      </w:pPr>
    </w:p>
    <w:p w14:paraId="0F4E39D7">
      <w:pPr>
        <w:ind w:firstLine="0" w:firstLineChars="0"/>
        <w:jc w:val="center"/>
        <w:rPr>
          <w:rFonts w:ascii="宋体" w:hAnsi="宋体" w:cs="宋体"/>
          <w:b/>
          <w:bCs/>
          <w:sz w:val="72"/>
          <w:szCs w:val="72"/>
          <w:highlight w:val="none"/>
        </w:rPr>
      </w:pPr>
    </w:p>
    <w:p w14:paraId="073FF79A">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14:paraId="6C3A2550">
      <w:pPr>
        <w:ind w:firstLine="0" w:firstLineChars="0"/>
        <w:jc w:val="center"/>
        <w:rPr>
          <w:rFonts w:ascii="黑体" w:hAnsi="黑体" w:eastAsia="黑体"/>
          <w:sz w:val="48"/>
          <w:szCs w:val="52"/>
          <w:highlight w:val="none"/>
        </w:rPr>
      </w:pPr>
    </w:p>
    <w:p w14:paraId="648BBC43">
      <w:pPr>
        <w:ind w:firstLine="0" w:firstLineChars="0"/>
        <w:jc w:val="center"/>
        <w:rPr>
          <w:rFonts w:ascii="黑体" w:hAnsi="黑体" w:eastAsia="黑体"/>
          <w:sz w:val="48"/>
          <w:szCs w:val="52"/>
          <w:highlight w:val="none"/>
        </w:rPr>
      </w:pPr>
    </w:p>
    <w:p w14:paraId="4DC1CD97">
      <w:pPr>
        <w:ind w:firstLine="0" w:firstLineChars="0"/>
        <w:jc w:val="center"/>
        <w:rPr>
          <w:rFonts w:ascii="黑体" w:hAnsi="黑体" w:eastAsia="黑体"/>
          <w:sz w:val="48"/>
          <w:szCs w:val="52"/>
          <w:highlight w:val="none"/>
        </w:rPr>
      </w:pPr>
    </w:p>
    <w:p w14:paraId="14B33E51">
      <w:pPr>
        <w:ind w:firstLine="0" w:firstLineChars="0"/>
        <w:jc w:val="center"/>
        <w:rPr>
          <w:rFonts w:ascii="黑体" w:hAnsi="黑体" w:eastAsia="黑体"/>
          <w:sz w:val="48"/>
          <w:szCs w:val="52"/>
          <w:highlight w:val="none"/>
        </w:rPr>
      </w:pPr>
    </w:p>
    <w:p w14:paraId="338D175F">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14:paraId="66771B4B">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14:paraId="04F66C02">
      <w:pPr>
        <w:ind w:firstLine="0" w:firstLineChars="0"/>
        <w:jc w:val="center"/>
        <w:rPr>
          <w:rFonts w:ascii="宋体" w:hAnsi="宋体"/>
          <w:szCs w:val="24"/>
          <w:highlight w:val="none"/>
          <w:u w:val="single"/>
        </w:rPr>
      </w:pPr>
      <w:r>
        <w:rPr>
          <w:rFonts w:hint="eastAsia" w:ascii="宋体" w:hAnsi="宋体"/>
          <w:szCs w:val="24"/>
          <w:highlight w:val="none"/>
        </w:rPr>
        <w:t>编制时间：</w:t>
      </w:r>
      <w:r>
        <w:rPr>
          <w:rFonts w:ascii="宋体" w:hAnsi="宋体"/>
          <w:szCs w:val="24"/>
          <w:highlight w:val="none"/>
          <w:u w:val="single"/>
        </w:rPr>
        <w:t>202</w:t>
      </w:r>
      <w:r>
        <w:rPr>
          <w:rFonts w:hint="eastAsia" w:ascii="宋体" w:hAnsi="宋体"/>
          <w:szCs w:val="24"/>
          <w:highlight w:val="none"/>
          <w:u w:val="single"/>
          <w:lang w:val="en-US" w:eastAsia="zh-CN"/>
        </w:rPr>
        <w:t>6</w:t>
      </w:r>
      <w:r>
        <w:rPr>
          <w:rFonts w:ascii="宋体" w:hAnsi="宋体"/>
          <w:szCs w:val="24"/>
          <w:highlight w:val="none"/>
          <w:u w:val="single"/>
        </w:rPr>
        <w:t>年</w:t>
      </w:r>
      <w:r>
        <w:rPr>
          <w:rFonts w:hint="eastAsia" w:ascii="宋体" w:hAnsi="宋体"/>
          <w:szCs w:val="24"/>
          <w:highlight w:val="none"/>
          <w:u w:val="single"/>
          <w:lang w:val="en-US" w:eastAsia="zh-CN"/>
        </w:rPr>
        <w:t>3</w:t>
      </w:r>
      <w:r>
        <w:rPr>
          <w:rFonts w:ascii="宋体" w:hAnsi="宋体"/>
          <w:szCs w:val="24"/>
          <w:highlight w:val="none"/>
          <w:u w:val="single"/>
        </w:rPr>
        <w:t>月</w:t>
      </w:r>
    </w:p>
    <w:p w14:paraId="014F5B3F">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pgNumType w:fmt="decimal"/>
          <w:cols w:space="720" w:num="1"/>
          <w:docGrid w:linePitch="312" w:charSpace="0"/>
        </w:sectPr>
      </w:pPr>
    </w:p>
    <w:p w14:paraId="7CD8338F">
      <w:pPr>
        <w:pStyle w:val="3"/>
        <w:ind w:firstLine="0" w:firstLineChars="0"/>
        <w:rPr>
          <w:highlight w:val="none"/>
        </w:rPr>
      </w:pPr>
      <w:bookmarkStart w:id="2" w:name="_Toc76"/>
      <w:r>
        <w:rPr>
          <w:rFonts w:hint="eastAsia"/>
          <w:sz w:val="40"/>
          <w:szCs w:val="40"/>
          <w:highlight w:val="none"/>
        </w:rPr>
        <w:t>目录</w:t>
      </w:r>
      <w:bookmarkEnd w:id="2"/>
    </w:p>
    <w:p w14:paraId="537B097C">
      <w:pPr>
        <w:pStyle w:val="20"/>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310EC560">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9912B21">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EE172BD">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EE5FF13">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0F808DCF">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08E7C73">
      <w:pPr>
        <w:pStyle w:val="20"/>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7CB840C">
      <w:pPr>
        <w:ind w:firstLine="480"/>
        <w:rPr>
          <w:highlight w:val="none"/>
        </w:rPr>
      </w:pPr>
      <w:r>
        <w:rPr>
          <w:rFonts w:hint="eastAsia" w:ascii="宋体" w:hAnsi="宋体" w:cs="宋体"/>
          <w:szCs w:val="28"/>
          <w:highlight w:val="none"/>
        </w:rPr>
        <w:fldChar w:fldCharType="end"/>
      </w:r>
    </w:p>
    <w:p w14:paraId="46E11883">
      <w:pPr>
        <w:ind w:firstLine="480"/>
        <w:rPr>
          <w:highlight w:val="none"/>
        </w:rPr>
      </w:pPr>
    </w:p>
    <w:p w14:paraId="574C43D9">
      <w:pPr>
        <w:ind w:firstLine="480"/>
        <w:rPr>
          <w:highlight w:val="none"/>
        </w:rPr>
      </w:pPr>
    </w:p>
    <w:p w14:paraId="60B30404">
      <w:pPr>
        <w:ind w:firstLine="480"/>
        <w:rPr>
          <w:highlight w:val="none"/>
        </w:rPr>
        <w:sectPr>
          <w:footerReference r:id="rId11" w:type="default"/>
          <w:pgSz w:w="11906" w:h="16838"/>
          <w:pgMar w:top="1418" w:right="1588" w:bottom="1418" w:left="1588" w:header="851" w:footer="992" w:gutter="0"/>
          <w:pgNumType w:fmt="decimal" w:start="1"/>
          <w:cols w:space="720" w:num="1"/>
          <w:docGrid w:linePitch="312" w:charSpace="0"/>
        </w:sectPr>
      </w:pPr>
    </w:p>
    <w:p w14:paraId="0F98F480">
      <w:pPr>
        <w:ind w:firstLine="0" w:firstLineChars="0"/>
        <w:rPr>
          <w:highlight w:val="none"/>
        </w:rPr>
      </w:pPr>
    </w:p>
    <w:p w14:paraId="20F40C6E">
      <w:pPr>
        <w:ind w:firstLine="480"/>
        <w:rPr>
          <w:highlight w:val="none"/>
        </w:rPr>
      </w:pPr>
    </w:p>
    <w:p w14:paraId="4E300344">
      <w:pPr>
        <w:ind w:firstLine="480"/>
        <w:rPr>
          <w:highlight w:val="none"/>
        </w:rPr>
      </w:pPr>
    </w:p>
    <w:p w14:paraId="15B414F2">
      <w:pPr>
        <w:ind w:firstLine="480"/>
        <w:rPr>
          <w:highlight w:val="none"/>
        </w:rPr>
      </w:pPr>
    </w:p>
    <w:p w14:paraId="15A8F9B2">
      <w:pPr>
        <w:ind w:firstLine="480"/>
        <w:rPr>
          <w:highlight w:val="none"/>
        </w:rPr>
      </w:pPr>
    </w:p>
    <w:p w14:paraId="768B676E">
      <w:pPr>
        <w:ind w:firstLine="480"/>
        <w:rPr>
          <w:highlight w:val="none"/>
        </w:rPr>
      </w:pPr>
    </w:p>
    <w:p w14:paraId="29F5A074">
      <w:pPr>
        <w:ind w:firstLine="480"/>
        <w:rPr>
          <w:highlight w:val="none"/>
        </w:rPr>
      </w:pPr>
    </w:p>
    <w:p w14:paraId="7A66365E">
      <w:pPr>
        <w:ind w:firstLine="480"/>
        <w:rPr>
          <w:highlight w:val="none"/>
        </w:rPr>
      </w:pPr>
    </w:p>
    <w:p w14:paraId="0F4B65AC">
      <w:pPr>
        <w:ind w:firstLine="480"/>
        <w:rPr>
          <w:highlight w:val="none"/>
        </w:rPr>
      </w:pPr>
    </w:p>
    <w:p w14:paraId="581FB3D2">
      <w:pPr>
        <w:ind w:firstLine="480"/>
        <w:rPr>
          <w:highlight w:val="none"/>
        </w:rPr>
      </w:pPr>
    </w:p>
    <w:p w14:paraId="1F30A2AE">
      <w:pPr>
        <w:ind w:firstLine="480"/>
        <w:rPr>
          <w:highlight w:val="none"/>
        </w:rPr>
      </w:pPr>
    </w:p>
    <w:p w14:paraId="25B1C9FA">
      <w:pPr>
        <w:ind w:firstLine="480"/>
        <w:rPr>
          <w:highlight w:val="none"/>
        </w:rPr>
      </w:pPr>
    </w:p>
    <w:p w14:paraId="2C108E8C">
      <w:pPr>
        <w:ind w:firstLine="480"/>
        <w:rPr>
          <w:highlight w:val="none"/>
        </w:rPr>
      </w:pPr>
    </w:p>
    <w:p w14:paraId="258D4EC7">
      <w:pPr>
        <w:pStyle w:val="3"/>
        <w:ind w:firstLine="0" w:firstLineChars="0"/>
        <w:rPr>
          <w:highlight w:val="none"/>
        </w:rPr>
      </w:pPr>
      <w:bookmarkStart w:id="3" w:name="_Toc15324"/>
      <w:r>
        <w:rPr>
          <w:rFonts w:hint="eastAsia"/>
          <w:highlight w:val="none"/>
        </w:rPr>
        <w:t>第一章 采购公告</w:t>
      </w:r>
      <w:bookmarkEnd w:id="3"/>
    </w:p>
    <w:p w14:paraId="731D5492">
      <w:pPr>
        <w:widowControl/>
        <w:spacing w:line="240" w:lineRule="auto"/>
        <w:ind w:firstLine="0" w:firstLineChars="0"/>
        <w:jc w:val="left"/>
        <w:rPr>
          <w:rFonts w:eastAsia="黑体"/>
          <w:bCs/>
          <w:kern w:val="44"/>
          <w:sz w:val="44"/>
          <w:szCs w:val="44"/>
          <w:highlight w:val="none"/>
        </w:rPr>
      </w:pPr>
      <w:r>
        <w:rPr>
          <w:highlight w:val="none"/>
        </w:rPr>
        <w:br w:type="page"/>
      </w:r>
    </w:p>
    <w:p w14:paraId="3A17F200">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14:paraId="27BD2451">
      <w:pPr>
        <w:ind w:firstLine="480"/>
        <w:rPr>
          <w:highlight w:val="none"/>
        </w:rPr>
      </w:pPr>
      <w:r>
        <w:rPr>
          <w:rFonts w:hint="eastAsia"/>
          <w:highlight w:val="none"/>
          <w:u w:val="single"/>
          <w:lang w:eastAsia="zh-CN"/>
        </w:rPr>
        <w:t>南通轨道交通集团有限公司运营分公司2026年度办公设备耗材采购项目</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14:paraId="3643D5E1">
      <w:pPr>
        <w:pStyle w:val="2"/>
        <w:ind w:firstLine="482"/>
        <w:rPr>
          <w:highlight w:val="none"/>
        </w:rPr>
      </w:pPr>
      <w:r>
        <w:rPr>
          <w:rFonts w:cs="Times New Roman"/>
          <w:highlight w:val="none"/>
        </w:rPr>
        <w:t>1</w:t>
      </w:r>
      <w:r>
        <w:rPr>
          <w:highlight w:val="none"/>
        </w:rPr>
        <w:t xml:space="preserve"> </w:t>
      </w:r>
      <w:r>
        <w:rPr>
          <w:rFonts w:hint="eastAsia"/>
          <w:highlight w:val="none"/>
        </w:rPr>
        <w:t>项目概况</w:t>
      </w:r>
    </w:p>
    <w:p w14:paraId="544DBDDC">
      <w:pPr>
        <w:ind w:firstLine="482"/>
        <w:rPr>
          <w:rFonts w:hint="eastAsia" w:eastAsia="宋体"/>
          <w:highlight w:val="none"/>
          <w:u w:val="singl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南通轨道交通集团有限公司运营分公司2026年度办公设备耗材采购项目</w:t>
      </w:r>
    </w:p>
    <w:p w14:paraId="565A054C">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NTGY-2026-FW-BX-004</w:t>
      </w:r>
    </w:p>
    <w:p w14:paraId="294F98D8">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14:paraId="3B931189">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14:paraId="7E66D680">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14:paraId="3ABFCD39">
      <w:pPr>
        <w:ind w:firstLine="482"/>
        <w:rPr>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59.3万元</w:t>
      </w:r>
      <w:r>
        <w:rPr>
          <w:rFonts w:hint="eastAsia"/>
          <w:highlight w:val="none"/>
          <w:u w:val="single"/>
        </w:rPr>
        <w:t xml:space="preserve"> 人民币（含税）</w:t>
      </w:r>
    </w:p>
    <w:p w14:paraId="291EC06D">
      <w:pPr>
        <w:pStyle w:val="2"/>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14:paraId="3E6E5FF5">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14:paraId="544C026F">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项目工期：</w:t>
      </w:r>
      <w:r>
        <w:rPr>
          <w:rFonts w:hint="eastAsia"/>
          <w:highlight w:val="none"/>
          <w:u w:val="single"/>
        </w:rPr>
        <w:t>见第五章《采购需求》</w:t>
      </w:r>
    </w:p>
    <w:p w14:paraId="6CDCA56B">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14:paraId="655FCE7E">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14:paraId="2C710AAF">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14:paraId="48CDFEF3">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14:paraId="406F9D93">
      <w:pPr>
        <w:pStyle w:val="2"/>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14:paraId="301EF84C">
      <w:pPr>
        <w:ind w:left="420" w:firstLine="60" w:firstLineChars="25"/>
        <w:rPr>
          <w:highlight w:val="none"/>
        </w:rPr>
      </w:pPr>
      <w:r>
        <w:rPr>
          <w:rFonts w:hint="eastAsia"/>
          <w:b/>
          <w:bCs/>
          <w:highlight w:val="none"/>
        </w:rPr>
        <w:t>3</w:t>
      </w:r>
      <w:r>
        <w:rPr>
          <w:b/>
          <w:bCs/>
          <w:highlight w:val="none"/>
        </w:rPr>
        <w:t>.1</w:t>
      </w:r>
      <w:r>
        <w:rPr>
          <w:rFonts w:hint="eastAsia"/>
          <w:b/>
          <w:bCs/>
          <w:highlight w:val="none"/>
        </w:rPr>
        <w:t>资格要求：</w:t>
      </w:r>
      <w:r>
        <w:rPr>
          <w:rFonts w:hint="eastAsia"/>
          <w:highlight w:val="none"/>
          <w:u w:val="single"/>
        </w:rPr>
        <w:t>注册于中华人民共和国境内，具有独立法人资格</w:t>
      </w:r>
    </w:p>
    <w:p w14:paraId="5C419724">
      <w:pPr>
        <w:ind w:firstLine="482"/>
        <w:rPr>
          <w:rFonts w:hint="default" w:eastAsia="宋体"/>
          <w:highlight w:val="none"/>
          <w:u w:val="single"/>
          <w:lang w:val="en-US" w:eastAsia="zh-CN"/>
        </w:rPr>
      </w:pPr>
      <w:r>
        <w:rPr>
          <w:rFonts w:hint="eastAsia"/>
          <w:b/>
          <w:bCs/>
          <w:highlight w:val="none"/>
        </w:rPr>
        <w:t>3</w:t>
      </w:r>
      <w:r>
        <w:rPr>
          <w:b/>
          <w:bCs/>
          <w:highlight w:val="none"/>
        </w:rPr>
        <w:t>.2</w:t>
      </w:r>
      <w:r>
        <w:rPr>
          <w:rFonts w:hint="eastAsia"/>
          <w:b/>
          <w:bCs/>
          <w:highlight w:val="none"/>
        </w:rPr>
        <w:t>资质要求：</w:t>
      </w:r>
      <w:r>
        <w:rPr>
          <w:rFonts w:hint="eastAsia"/>
          <w:highlight w:val="none"/>
          <w:u w:val="single"/>
          <w:lang w:val="en-US" w:eastAsia="zh-CN"/>
        </w:rPr>
        <w:t xml:space="preserve">/ </w:t>
      </w:r>
    </w:p>
    <w:p w14:paraId="2041F147">
      <w:pPr>
        <w:ind w:firstLine="482"/>
        <w:rPr>
          <w:rFonts w:hint="eastAsia" w:eastAsia="宋体"/>
          <w:highlight w:val="none"/>
          <w:u w:val="single"/>
          <w:lang w:eastAsia="zh-CN"/>
        </w:rPr>
      </w:pPr>
      <w:r>
        <w:rPr>
          <w:rFonts w:hint="eastAsia"/>
          <w:b/>
          <w:bCs/>
          <w:highlight w:val="none"/>
        </w:rPr>
        <w:t>3</w:t>
      </w:r>
      <w:r>
        <w:rPr>
          <w:b/>
          <w:bCs/>
          <w:highlight w:val="none"/>
        </w:rPr>
        <w:t>.3</w:t>
      </w:r>
      <w:r>
        <w:rPr>
          <w:rFonts w:hint="eastAsia"/>
          <w:b/>
          <w:bCs/>
          <w:highlight w:val="none"/>
        </w:rPr>
        <w:t>业绩要求：</w:t>
      </w:r>
      <w:r>
        <w:rPr>
          <w:rFonts w:hint="eastAsia" w:ascii="Times New Roman" w:hAnsi="Times New Roman" w:eastAsia="宋体"/>
          <w:highlight w:val="none"/>
          <w:u w:val="single"/>
          <w:lang w:val="en-US" w:eastAsia="zh-CN"/>
        </w:rPr>
        <w:t>参选人自2023年1月1日以来至本项目参选截止之日内，参选人完成过一项办公设备配套耗材项目</w:t>
      </w:r>
      <w:r>
        <w:rPr>
          <w:rFonts w:hint="eastAsia"/>
          <w:highlight w:val="none"/>
          <w:u w:val="single"/>
          <w:lang w:val="en-US" w:eastAsia="zh-CN"/>
        </w:rPr>
        <w:t>。</w:t>
      </w:r>
    </w:p>
    <w:p w14:paraId="78B9F633">
      <w:pPr>
        <w:ind w:firstLine="482"/>
        <w:rPr>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b w:val="0"/>
          <w:bCs w:val="0"/>
          <w:highlight w:val="none"/>
          <w:u w:val="single"/>
          <w:lang w:val="en-US" w:eastAsia="zh-CN"/>
        </w:rPr>
        <w:t>参选人</w:t>
      </w:r>
      <w:r>
        <w:rPr>
          <w:rFonts w:hint="eastAsia"/>
          <w:b w:val="0"/>
          <w:bCs w:val="0"/>
          <w:highlight w:val="none"/>
          <w:u w:val="single"/>
        </w:rPr>
        <w:t>具</w:t>
      </w:r>
      <w:r>
        <w:rPr>
          <w:rFonts w:hint="eastAsia"/>
          <w:highlight w:val="none"/>
          <w:u w:val="single"/>
        </w:rPr>
        <w:t>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行政处罚、司法裁判与执行等记录）</w:t>
      </w:r>
    </w:p>
    <w:p w14:paraId="36C51933">
      <w:pPr>
        <w:ind w:firstLine="482"/>
        <w:rPr>
          <w:rFonts w:hint="eastAsia"/>
          <w:highlight w:val="none"/>
          <w:u w:val="single"/>
          <w:lang w:val="en-US" w:eastAsia="zh-CN"/>
        </w:rPr>
      </w:pPr>
      <w:r>
        <w:rPr>
          <w:rFonts w:hint="eastAsia"/>
          <w:b/>
          <w:bCs/>
          <w:highlight w:val="none"/>
          <w:u w:val="none"/>
        </w:rPr>
        <w:t>3.5人员要求：</w:t>
      </w:r>
      <w:r>
        <w:rPr>
          <w:rFonts w:hint="eastAsia"/>
          <w:highlight w:val="none"/>
          <w:u w:val="single"/>
          <w:lang w:val="en-US" w:eastAsia="zh-CN"/>
        </w:rPr>
        <w:t>/</w:t>
      </w:r>
    </w:p>
    <w:p w14:paraId="7A551049">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14:paraId="2E9E9801">
      <w:pPr>
        <w:wordWrap w:val="0"/>
        <w:ind w:left="420" w:firstLine="60" w:firstLineChars="25"/>
        <w:jc w:val="left"/>
        <w:rPr>
          <w:b/>
          <w:bCs/>
          <w:highlight w:val="none"/>
        </w:rPr>
      </w:pPr>
      <w:r>
        <w:rPr>
          <w:rFonts w:hint="eastAsia"/>
          <w:b/>
          <w:bCs/>
          <w:highlight w:val="none"/>
        </w:rPr>
        <w:t>3.7禁止情形：</w:t>
      </w:r>
    </w:p>
    <w:p w14:paraId="67933969">
      <w:pPr>
        <w:wordWrap w:val="0"/>
        <w:ind w:left="420" w:firstLine="60" w:firstLineChars="25"/>
        <w:jc w:val="left"/>
        <w:rPr>
          <w:rFonts w:hint="eastAsia"/>
          <w:highlight w:val="none"/>
        </w:rPr>
      </w:pPr>
      <w:r>
        <w:rPr>
          <w:rFonts w:hint="eastAsia"/>
          <w:highlight w:val="none"/>
        </w:rPr>
        <w:t>3.7.1单位负责人为同一人或者存在控股、管理关系的不同单位，不得参加同一</w:t>
      </w:r>
    </w:p>
    <w:p w14:paraId="6E56A8DD">
      <w:pPr>
        <w:wordWrap w:val="0"/>
        <w:ind w:firstLine="0" w:firstLineChars="0"/>
        <w:jc w:val="left"/>
        <w:rPr>
          <w:highlight w:val="none"/>
        </w:rPr>
      </w:pPr>
      <w:r>
        <w:rPr>
          <w:rFonts w:hint="eastAsia"/>
          <w:highlight w:val="none"/>
        </w:rPr>
        <w:t>标段或者未划分标段的同一项目的采购活动；</w:t>
      </w:r>
    </w:p>
    <w:p w14:paraId="28F52BBA">
      <w:pPr>
        <w:wordWrap w:val="0"/>
        <w:ind w:left="420" w:firstLine="60" w:firstLineChars="25"/>
        <w:jc w:val="left"/>
        <w:rPr>
          <w:rFonts w:hint="eastAsia"/>
          <w:highlight w:val="none"/>
        </w:rPr>
      </w:pPr>
      <w:r>
        <w:rPr>
          <w:rFonts w:hint="eastAsia"/>
          <w:highlight w:val="none"/>
        </w:rPr>
        <w:t>3.7.2与采购人存在利害关系可能影响采购公正性的法人、其他组织或者个人，</w:t>
      </w:r>
    </w:p>
    <w:p w14:paraId="07D7226D">
      <w:pPr>
        <w:wordWrap w:val="0"/>
        <w:ind w:firstLine="0" w:firstLineChars="0"/>
        <w:jc w:val="left"/>
        <w:rPr>
          <w:highlight w:val="none"/>
        </w:rPr>
      </w:pPr>
      <w:r>
        <w:rPr>
          <w:rFonts w:hint="eastAsia"/>
          <w:highlight w:val="none"/>
        </w:rPr>
        <w:t>不得参加采购活动。</w:t>
      </w:r>
    </w:p>
    <w:p w14:paraId="3028C867">
      <w:pPr>
        <w:wordWrap w:val="0"/>
        <w:ind w:left="420" w:firstLine="60" w:firstLineChars="25"/>
        <w:jc w:val="left"/>
        <w:rPr>
          <w:highlight w:val="none"/>
        </w:rPr>
      </w:pPr>
      <w:r>
        <w:rPr>
          <w:rFonts w:hint="eastAsia"/>
          <w:b/>
          <w:highlight w:val="none"/>
        </w:rPr>
        <w:t>3.8其他要求：</w:t>
      </w:r>
      <w:r>
        <w:rPr>
          <w:highlight w:val="none"/>
          <w:u w:val="single"/>
        </w:rPr>
        <w:t xml:space="preserve">  /  </w:t>
      </w:r>
      <w:r>
        <w:rPr>
          <w:rFonts w:hint="eastAsia"/>
          <w:highlight w:val="none"/>
        </w:rPr>
        <w:t xml:space="preserve">。 </w:t>
      </w:r>
    </w:p>
    <w:p w14:paraId="613E40F5">
      <w:pPr>
        <w:ind w:firstLine="482"/>
        <w:rPr>
          <w:highlight w:val="none"/>
        </w:rPr>
      </w:pPr>
      <w:r>
        <w:rPr>
          <w:rFonts w:hint="eastAsia" w:cs="Times New Roman"/>
          <w:b/>
          <w:bCs/>
          <w:highlight w:val="none"/>
        </w:rPr>
        <w:t>4</w:t>
      </w:r>
      <w:r>
        <w:rPr>
          <w:b/>
          <w:bCs/>
          <w:highlight w:val="none"/>
        </w:rPr>
        <w:t xml:space="preserve"> </w:t>
      </w:r>
      <w:r>
        <w:rPr>
          <w:rFonts w:hint="eastAsia"/>
          <w:b/>
          <w:bCs/>
          <w:highlight w:val="none"/>
        </w:rPr>
        <w:t>采购文件获取：</w:t>
      </w:r>
      <w:r>
        <w:rPr>
          <w:rFonts w:hint="eastAsia"/>
          <w:highlight w:val="none"/>
          <w:u w:val="single"/>
        </w:rPr>
        <w:t>采购文件在本网页内下载</w:t>
      </w:r>
    </w:p>
    <w:p w14:paraId="3FF4A581">
      <w:pPr>
        <w:pStyle w:val="2"/>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14:paraId="21D9D9BD">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4</w:t>
      </w:r>
      <w:r>
        <w:rPr>
          <w:rFonts w:hint="eastAsia"/>
          <w:highlight w:val="none"/>
          <w:u w:val="single"/>
        </w:rPr>
        <w:t>月</w:t>
      </w:r>
      <w:r>
        <w:rPr>
          <w:rFonts w:hint="eastAsia"/>
          <w:highlight w:val="none"/>
          <w:u w:val="single"/>
          <w:lang w:val="en-US" w:eastAsia="zh-CN"/>
        </w:rPr>
        <w:t>8</w:t>
      </w:r>
      <w:r>
        <w:rPr>
          <w:rFonts w:hint="eastAsia"/>
          <w:highlight w:val="none"/>
          <w:u w:val="single"/>
        </w:rPr>
        <w:t>日1</w:t>
      </w:r>
      <w:r>
        <w:rPr>
          <w:rFonts w:hint="eastAsia"/>
          <w:highlight w:val="none"/>
          <w:u w:val="single"/>
          <w:lang w:val="en-US" w:eastAsia="zh-CN"/>
        </w:rPr>
        <w:t>4</w:t>
      </w:r>
      <w:r>
        <w:rPr>
          <w:rFonts w:hint="eastAsia"/>
          <w:highlight w:val="none"/>
          <w:u w:val="single"/>
        </w:rPr>
        <w:t>:</w:t>
      </w:r>
      <w:r>
        <w:rPr>
          <w:rFonts w:hint="eastAsia"/>
          <w:highlight w:val="none"/>
          <w:u w:val="single"/>
          <w:lang w:val="en-US" w:eastAsia="zh-CN"/>
        </w:rPr>
        <w:t>3</w:t>
      </w:r>
      <w:r>
        <w:rPr>
          <w:highlight w:val="none"/>
          <w:u w:val="single"/>
        </w:rPr>
        <w:t>0</w:t>
      </w:r>
    </w:p>
    <w:p w14:paraId="1AF652A6">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14:paraId="4F2E4861">
      <w:pPr>
        <w:ind w:firstLine="0" w:firstLineChars="0"/>
        <w:rPr>
          <w:highlight w:val="none"/>
          <w:u w:val="single"/>
        </w:rPr>
      </w:pPr>
      <w:r>
        <w:rPr>
          <w:rFonts w:ascii="宋体" w:hAnsi="宋体" w:cs="宋体"/>
          <w:szCs w:val="24"/>
          <w:highlight w:val="none"/>
          <w:u w:val="single"/>
        </w:rPr>
        <w:t>标室</w:t>
      </w:r>
    </w:p>
    <w:p w14:paraId="535BEF4B">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14:paraId="54374B5C">
      <w:pPr>
        <w:ind w:firstLine="0" w:firstLineChars="0"/>
        <w:rPr>
          <w:highlight w:val="none"/>
        </w:rPr>
      </w:pPr>
      <w:r>
        <w:rPr>
          <w:rFonts w:hint="eastAsia"/>
          <w:highlight w:val="none"/>
          <w:u w:val="single"/>
        </w:rPr>
        <w:t>不接受邮寄等其他方式。</w:t>
      </w:r>
    </w:p>
    <w:p w14:paraId="5C955224">
      <w:pPr>
        <w:ind w:firstLine="480"/>
        <w:rPr>
          <w:highlight w:val="none"/>
        </w:rPr>
      </w:pPr>
      <w:r>
        <w:rPr>
          <w:rFonts w:hint="eastAsia"/>
          <w:highlight w:val="none"/>
        </w:rPr>
        <w:t>5</w:t>
      </w:r>
      <w:r>
        <w:rPr>
          <w:highlight w:val="none"/>
        </w:rPr>
        <w:t>.</w:t>
      </w:r>
      <w:r>
        <w:rPr>
          <w:rFonts w:hint="eastAsia"/>
          <w:highlight w:val="none"/>
        </w:rPr>
        <w:t>4逾期送达、未送达指定地点的或未密封的响应文件，采购人将拒绝接收。</w:t>
      </w:r>
    </w:p>
    <w:p w14:paraId="28BF6448">
      <w:pPr>
        <w:pStyle w:val="2"/>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14:paraId="784C3A97">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14:paraId="130B2E45">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14:paraId="2ACD22DF">
      <w:pPr>
        <w:pStyle w:val="7"/>
        <w:ind w:firstLine="482"/>
        <w:rPr>
          <w:rFonts w:ascii="Times New Roman" w:cs="Times New Roman"/>
          <w:kern w:val="2"/>
          <w:sz w:val="24"/>
          <w:szCs w:val="32"/>
          <w:highlight w:val="none"/>
          <w:u w:val="single"/>
        </w:rPr>
      </w:pPr>
      <w:r>
        <w:rPr>
          <w:rFonts w:hint="eastAsia" w:ascii="Times New Roman" w:cs="Times New Roman"/>
          <w:b/>
          <w:bCs/>
          <w:kern w:val="2"/>
          <w:sz w:val="24"/>
          <w:szCs w:val="32"/>
          <w:highlight w:val="none"/>
        </w:rPr>
        <w:t>6.3资格审查：</w:t>
      </w:r>
      <w:r>
        <w:rPr>
          <w:rFonts w:hint="eastAsia" w:ascii="Times New Roman" w:cs="Times New Roman"/>
          <w:kern w:val="2"/>
          <w:sz w:val="24"/>
          <w:szCs w:val="32"/>
          <w:highlight w:val="none"/>
          <w:u w:val="single"/>
        </w:rPr>
        <w:t>资格后审</w:t>
      </w:r>
    </w:p>
    <w:p w14:paraId="44CEE1B0">
      <w:pPr>
        <w:ind w:firstLine="482"/>
        <w:rPr>
          <w:rFonts w:hint="eastAsia" w:eastAsia="宋体" w:cs="Times New Roman"/>
          <w:szCs w:val="32"/>
          <w:highlight w:val="none"/>
          <w:u w:val="single"/>
          <w:lang w:eastAsia="zh-CN"/>
        </w:rPr>
      </w:pPr>
      <w:r>
        <w:rPr>
          <w:rFonts w:hint="eastAsia"/>
          <w:b/>
          <w:bCs/>
          <w:highlight w:val="none"/>
        </w:rPr>
        <w:t>6</w:t>
      </w:r>
      <w:r>
        <w:rPr>
          <w:b/>
          <w:bCs/>
          <w:highlight w:val="none"/>
        </w:rPr>
        <w:t>.</w:t>
      </w:r>
      <w:r>
        <w:rPr>
          <w:rFonts w:hint="eastAsia"/>
          <w:b/>
          <w:bCs/>
          <w:highlight w:val="none"/>
        </w:rPr>
        <w:t>4评审方法：</w:t>
      </w:r>
      <w:r>
        <w:rPr>
          <w:rFonts w:hint="eastAsia" w:cs="Times New Roman"/>
          <w:color w:val="000000"/>
          <w:szCs w:val="32"/>
          <w:highlight w:val="none"/>
          <w:u w:val="single"/>
          <w:lang w:eastAsia="zh-CN"/>
        </w:rPr>
        <w:t>综合评分法</w:t>
      </w:r>
    </w:p>
    <w:p w14:paraId="79280764">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14:paraId="08720D84">
      <w:pPr>
        <w:pStyle w:val="2"/>
        <w:ind w:firstLine="482"/>
        <w:rPr>
          <w:highlight w:val="none"/>
        </w:rPr>
      </w:pPr>
      <w:r>
        <w:rPr>
          <w:rFonts w:hint="eastAsia"/>
          <w:highlight w:val="none"/>
        </w:rPr>
        <w:t>7 采购公告媒介</w:t>
      </w:r>
    </w:p>
    <w:p w14:paraId="2DA75FF2">
      <w:pPr>
        <w:ind w:firstLine="480"/>
        <w:rPr>
          <w:highlight w:val="none"/>
        </w:rPr>
      </w:pPr>
      <w:r>
        <w:rPr>
          <w:rFonts w:hint="eastAsia"/>
          <w:highlight w:val="none"/>
        </w:rPr>
        <w:t>本公告同时在以下媒体发布：</w:t>
      </w:r>
    </w:p>
    <w:p w14:paraId="48772C69">
      <w:pPr>
        <w:ind w:firstLine="480"/>
        <w:rPr>
          <w:highlight w:val="none"/>
          <w:u w:val="single"/>
        </w:rPr>
      </w:pPr>
      <w:r>
        <w:rPr>
          <w:rFonts w:hint="eastAsia"/>
          <w:highlight w:val="none"/>
          <w:u w:val="single"/>
        </w:rPr>
        <w:t>南通轨道交通官方网站（</w:t>
      </w:r>
      <w:r>
        <w:rPr>
          <w:rFonts w:hint="eastAsia"/>
          <w:highlight w:val="none"/>
        </w:rPr>
        <w:fldChar w:fldCharType="begin"/>
      </w:r>
      <w:r>
        <w:rPr>
          <w:highlight w:val="none"/>
        </w:rPr>
        <w:instrText xml:space="preserve"> HYPERLINK "https://www.ntrailway.com/）、" </w:instrText>
      </w:r>
      <w:r>
        <w:rPr>
          <w:rFonts w:hint="eastAsia"/>
          <w:highlight w:val="none"/>
        </w:rPr>
        <w:fldChar w:fldCharType="separate"/>
      </w:r>
      <w:r>
        <w:rPr>
          <w:rFonts w:hint="eastAsia"/>
          <w:highlight w:val="none"/>
          <w:u w:val="single"/>
        </w:rPr>
        <w:t>https://www.ntrailway.com/）</w:t>
      </w:r>
      <w:r>
        <w:rPr>
          <w:rFonts w:hint="eastAsia"/>
          <w:highlight w:val="none"/>
          <w:u w:val="single"/>
        </w:rPr>
        <w:fldChar w:fldCharType="end"/>
      </w:r>
    </w:p>
    <w:p w14:paraId="20554132">
      <w:pPr>
        <w:ind w:firstLine="480"/>
        <w:rPr>
          <w:highlight w:val="none"/>
          <w:u w:val="single"/>
        </w:rPr>
      </w:pPr>
      <w:r>
        <w:rPr>
          <w:rFonts w:hint="eastAsia"/>
          <w:highlight w:val="none"/>
          <w:u w:val="single"/>
        </w:rPr>
        <w:t>江苏招标采购服务平台（http://www.jszbcg.com/）</w:t>
      </w:r>
    </w:p>
    <w:p w14:paraId="24F21D41">
      <w:pPr>
        <w:pStyle w:val="2"/>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14:paraId="00EF8592">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14:paraId="766A06FA">
      <w:pPr>
        <w:pStyle w:val="2"/>
        <w:ind w:firstLine="482"/>
        <w:rPr>
          <w:highlight w:val="none"/>
        </w:rPr>
      </w:pPr>
      <w:r>
        <w:rPr>
          <w:rFonts w:hint="eastAsia" w:cs="Times New Roman"/>
          <w:highlight w:val="none"/>
        </w:rPr>
        <w:t>9</w:t>
      </w:r>
      <w:r>
        <w:rPr>
          <w:highlight w:val="none"/>
        </w:rPr>
        <w:t xml:space="preserve"> </w:t>
      </w:r>
      <w:r>
        <w:rPr>
          <w:rFonts w:hint="eastAsia"/>
          <w:highlight w:val="none"/>
        </w:rPr>
        <w:t>联系方式</w:t>
      </w:r>
    </w:p>
    <w:p w14:paraId="372779AF">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14:paraId="0A8A2F5F">
      <w:pPr>
        <w:ind w:firstLine="482"/>
        <w:rPr>
          <w:highlight w:val="none"/>
        </w:rPr>
      </w:pPr>
      <w:r>
        <w:rPr>
          <w:rFonts w:hint="eastAsia"/>
          <w:b/>
          <w:bCs/>
          <w:highlight w:val="none"/>
        </w:rPr>
        <w:t>联系人：</w:t>
      </w:r>
      <w:r>
        <w:rPr>
          <w:rFonts w:hint="eastAsia"/>
          <w:highlight w:val="none"/>
          <w:u w:val="single"/>
        </w:rPr>
        <w:t>张先生</w:t>
      </w:r>
    </w:p>
    <w:p w14:paraId="2E227E26">
      <w:pPr>
        <w:ind w:firstLine="482"/>
        <w:rPr>
          <w:highlight w:val="none"/>
          <w:u w:val="single"/>
        </w:rPr>
      </w:pPr>
      <w:r>
        <w:rPr>
          <w:rFonts w:hint="eastAsia"/>
          <w:b/>
          <w:bCs/>
          <w:highlight w:val="none"/>
        </w:rPr>
        <w:t>电话：</w:t>
      </w:r>
      <w:r>
        <w:rPr>
          <w:highlight w:val="none"/>
          <w:u w:val="single"/>
        </w:rPr>
        <w:t>0513-698886</w:t>
      </w:r>
      <w:r>
        <w:rPr>
          <w:rFonts w:hint="eastAsia"/>
          <w:highlight w:val="none"/>
          <w:u w:val="single"/>
        </w:rPr>
        <w:t>79</w:t>
      </w:r>
    </w:p>
    <w:p w14:paraId="20642810">
      <w:pPr>
        <w:pStyle w:val="7"/>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14:paraId="422FD557">
      <w:pPr>
        <w:ind w:firstLine="480"/>
        <w:rPr>
          <w:highlight w:val="none"/>
        </w:rPr>
      </w:pPr>
    </w:p>
    <w:p w14:paraId="3D769C67">
      <w:pPr>
        <w:ind w:firstLine="482"/>
        <w:rPr>
          <w:highlight w:val="none"/>
        </w:rPr>
      </w:pPr>
      <w:r>
        <w:rPr>
          <w:rFonts w:hint="eastAsia"/>
          <w:b/>
          <w:bCs/>
          <w:highlight w:val="none"/>
        </w:rPr>
        <w:t>代理机构：</w:t>
      </w:r>
      <w:r>
        <w:rPr>
          <w:rFonts w:hint="eastAsia"/>
          <w:highlight w:val="none"/>
          <w:u w:val="single"/>
        </w:rPr>
        <w:t>江苏建达全过程工程咨询有限公司</w:t>
      </w:r>
    </w:p>
    <w:p w14:paraId="1B0C89FF">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14:paraId="4B2EA495">
      <w:pPr>
        <w:ind w:firstLine="482"/>
        <w:rPr>
          <w:highlight w:val="none"/>
        </w:rPr>
      </w:pPr>
      <w:r>
        <w:rPr>
          <w:rFonts w:hint="eastAsia"/>
          <w:b/>
          <w:bCs/>
          <w:highlight w:val="none"/>
        </w:rPr>
        <w:t>电话：</w:t>
      </w:r>
      <w:r>
        <w:rPr>
          <w:highlight w:val="none"/>
          <w:u w:val="single"/>
        </w:rPr>
        <w:t xml:space="preserve">15301476960 </w:t>
      </w:r>
    </w:p>
    <w:p w14:paraId="784A8644">
      <w:pPr>
        <w:ind w:firstLine="482"/>
        <w:rPr>
          <w:highlight w:val="none"/>
          <w:u w:val="single"/>
        </w:rPr>
      </w:pPr>
      <w:r>
        <w:rPr>
          <w:rFonts w:hint="eastAsia"/>
          <w:b/>
          <w:bCs/>
          <w:highlight w:val="none"/>
        </w:rPr>
        <w:t>邮箱：</w:t>
      </w:r>
      <w:r>
        <w:rPr>
          <w:highlight w:val="none"/>
          <w:u w:val="single"/>
        </w:rPr>
        <w:t xml:space="preserve">1614454577@qq.com </w:t>
      </w:r>
    </w:p>
    <w:p w14:paraId="48F326C0">
      <w:pPr>
        <w:pStyle w:val="7"/>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14:paraId="321FE6C1">
      <w:pPr>
        <w:ind w:firstLine="480"/>
        <w:rPr>
          <w:highlight w:val="none"/>
        </w:rPr>
      </w:pPr>
    </w:p>
    <w:p w14:paraId="26BF4307">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14:paraId="3EDB5098">
      <w:pPr>
        <w:ind w:firstLine="482"/>
        <w:rPr>
          <w:highlight w:val="none"/>
          <w:u w:val="single"/>
        </w:rPr>
      </w:pPr>
      <w:r>
        <w:rPr>
          <w:rFonts w:hint="eastAsia"/>
          <w:b/>
          <w:bCs/>
          <w:highlight w:val="none"/>
        </w:rPr>
        <w:t>联系电话：</w:t>
      </w:r>
      <w:r>
        <w:rPr>
          <w:rFonts w:hint="eastAsia"/>
          <w:highlight w:val="none"/>
          <w:u w:val="single"/>
        </w:rPr>
        <w:t>0513-69888665</w:t>
      </w:r>
    </w:p>
    <w:p w14:paraId="5E81535A">
      <w:pPr>
        <w:pStyle w:val="7"/>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14:paraId="1E6D2C3C">
      <w:pPr>
        <w:ind w:firstLine="480"/>
        <w:rPr>
          <w:highlight w:val="none"/>
        </w:rPr>
      </w:pPr>
    </w:p>
    <w:p w14:paraId="152D2296">
      <w:pPr>
        <w:ind w:firstLine="480"/>
        <w:rPr>
          <w:highlight w:val="none"/>
        </w:rPr>
      </w:pPr>
    </w:p>
    <w:p w14:paraId="50C14E68">
      <w:pPr>
        <w:ind w:firstLine="480"/>
        <w:rPr>
          <w:highlight w:val="none"/>
        </w:rPr>
      </w:pPr>
    </w:p>
    <w:p w14:paraId="59E7882E">
      <w:pPr>
        <w:ind w:firstLine="480"/>
        <w:rPr>
          <w:highlight w:val="none"/>
        </w:rPr>
      </w:pPr>
    </w:p>
    <w:p w14:paraId="331CCAC6">
      <w:pPr>
        <w:ind w:firstLine="480"/>
        <w:rPr>
          <w:highlight w:val="none"/>
        </w:rPr>
      </w:pPr>
    </w:p>
    <w:p w14:paraId="0ED3A456">
      <w:pPr>
        <w:ind w:firstLine="480"/>
        <w:rPr>
          <w:highlight w:val="none"/>
          <w:u w:val="single"/>
        </w:rPr>
      </w:pPr>
    </w:p>
    <w:p w14:paraId="7C7E4C57">
      <w:pPr>
        <w:pStyle w:val="53"/>
        <w:rPr>
          <w:rFonts w:ascii="Times New Roman"/>
          <w:kern w:val="2"/>
          <w:sz w:val="24"/>
          <w:szCs w:val="22"/>
          <w:highlight w:val="none"/>
          <w:u w:val="single"/>
        </w:rPr>
      </w:pPr>
    </w:p>
    <w:p w14:paraId="225539EC">
      <w:pPr>
        <w:pStyle w:val="53"/>
        <w:rPr>
          <w:rFonts w:ascii="Times New Roman"/>
          <w:kern w:val="2"/>
          <w:sz w:val="24"/>
          <w:szCs w:val="22"/>
          <w:highlight w:val="none"/>
          <w:u w:val="single"/>
        </w:rPr>
      </w:pPr>
    </w:p>
    <w:p w14:paraId="77AFBC15">
      <w:pPr>
        <w:ind w:firstLine="480"/>
        <w:rPr>
          <w:highlight w:val="none"/>
        </w:rPr>
      </w:pPr>
      <w:r>
        <w:rPr>
          <w:rFonts w:hint="eastAsia"/>
          <w:highlight w:val="none"/>
        </w:rPr>
        <w:br w:type="page"/>
      </w:r>
    </w:p>
    <w:p w14:paraId="3A6E5A44">
      <w:pPr>
        <w:ind w:firstLine="480"/>
        <w:rPr>
          <w:highlight w:val="none"/>
        </w:rPr>
      </w:pPr>
    </w:p>
    <w:p w14:paraId="0ACD4C76">
      <w:pPr>
        <w:ind w:firstLine="480"/>
        <w:rPr>
          <w:highlight w:val="none"/>
        </w:rPr>
      </w:pPr>
    </w:p>
    <w:p w14:paraId="1507317C">
      <w:pPr>
        <w:ind w:firstLine="480"/>
        <w:rPr>
          <w:highlight w:val="none"/>
        </w:rPr>
      </w:pPr>
    </w:p>
    <w:p w14:paraId="056B1CCF">
      <w:pPr>
        <w:ind w:firstLine="480"/>
        <w:rPr>
          <w:highlight w:val="none"/>
        </w:rPr>
      </w:pPr>
    </w:p>
    <w:p w14:paraId="214257C8">
      <w:pPr>
        <w:ind w:firstLine="480"/>
        <w:rPr>
          <w:highlight w:val="none"/>
        </w:rPr>
      </w:pPr>
    </w:p>
    <w:p w14:paraId="4DCB0A3C">
      <w:pPr>
        <w:ind w:firstLine="480"/>
        <w:rPr>
          <w:highlight w:val="none"/>
        </w:rPr>
      </w:pPr>
    </w:p>
    <w:p w14:paraId="7714A666">
      <w:pPr>
        <w:ind w:firstLine="480"/>
        <w:rPr>
          <w:highlight w:val="none"/>
        </w:rPr>
      </w:pPr>
    </w:p>
    <w:p w14:paraId="538C6986">
      <w:pPr>
        <w:ind w:firstLine="480"/>
        <w:rPr>
          <w:highlight w:val="none"/>
        </w:rPr>
      </w:pPr>
    </w:p>
    <w:p w14:paraId="282F005D">
      <w:pPr>
        <w:ind w:firstLine="480"/>
        <w:rPr>
          <w:highlight w:val="none"/>
        </w:rPr>
      </w:pPr>
    </w:p>
    <w:p w14:paraId="5A39A06D">
      <w:pPr>
        <w:ind w:firstLine="480"/>
        <w:rPr>
          <w:highlight w:val="none"/>
        </w:rPr>
      </w:pPr>
    </w:p>
    <w:p w14:paraId="2C34200C">
      <w:pPr>
        <w:ind w:firstLine="480"/>
        <w:rPr>
          <w:highlight w:val="none"/>
        </w:rPr>
      </w:pPr>
    </w:p>
    <w:p w14:paraId="35A34D52">
      <w:pPr>
        <w:ind w:firstLine="480"/>
        <w:rPr>
          <w:highlight w:val="none"/>
        </w:rPr>
      </w:pPr>
    </w:p>
    <w:p w14:paraId="6EF73945">
      <w:pPr>
        <w:ind w:firstLine="480"/>
        <w:rPr>
          <w:highlight w:val="none"/>
        </w:rPr>
      </w:pPr>
    </w:p>
    <w:p w14:paraId="3105882C">
      <w:pPr>
        <w:ind w:firstLine="480"/>
        <w:rPr>
          <w:highlight w:val="none"/>
        </w:rPr>
      </w:pPr>
    </w:p>
    <w:p w14:paraId="34A38D72">
      <w:pPr>
        <w:pStyle w:val="3"/>
        <w:ind w:firstLine="140" w:firstLineChars="32"/>
        <w:rPr>
          <w:highlight w:val="none"/>
        </w:rPr>
      </w:pPr>
      <w:bookmarkStart w:id="6" w:name="_Toc18896"/>
      <w:r>
        <w:rPr>
          <w:rFonts w:hint="eastAsia"/>
          <w:highlight w:val="none"/>
        </w:rPr>
        <w:t>第二章 供应商须知</w:t>
      </w:r>
      <w:bookmarkEnd w:id="6"/>
    </w:p>
    <w:p w14:paraId="62BC6EAA">
      <w:pPr>
        <w:ind w:firstLine="640"/>
        <w:rPr>
          <w:sz w:val="32"/>
          <w:szCs w:val="40"/>
          <w:highlight w:val="none"/>
        </w:rPr>
      </w:pPr>
      <w:r>
        <w:rPr>
          <w:rFonts w:hint="eastAsia"/>
          <w:sz w:val="32"/>
          <w:szCs w:val="40"/>
          <w:highlight w:val="none"/>
        </w:rPr>
        <w:br w:type="page"/>
      </w:r>
    </w:p>
    <w:p w14:paraId="4C4A590E">
      <w:pPr>
        <w:pStyle w:val="2"/>
        <w:ind w:firstLine="0" w:firstLineChars="0"/>
        <w:jc w:val="center"/>
        <w:rPr>
          <w:sz w:val="32"/>
          <w:szCs w:val="40"/>
          <w:highlight w:val="none"/>
        </w:rPr>
      </w:pPr>
      <w:r>
        <w:rPr>
          <w:rFonts w:hint="eastAsia"/>
          <w:sz w:val="32"/>
          <w:szCs w:val="40"/>
          <w:highlight w:val="none"/>
        </w:rPr>
        <w:t>供应商须知前附表</w:t>
      </w:r>
    </w:p>
    <w:p w14:paraId="123F533F">
      <w:pPr>
        <w:ind w:firstLine="480"/>
        <w:rPr>
          <w:highlight w:val="none"/>
        </w:rPr>
      </w:pPr>
      <w:r>
        <w:rPr>
          <w:highlight w:val="none"/>
        </w:rPr>
        <w:t> </w:t>
      </w: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14:paraId="59C2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noWrap w:val="0"/>
            <w:vAlign w:val="center"/>
          </w:tcPr>
          <w:p w14:paraId="464744DC">
            <w:pPr>
              <w:spacing w:before="156" w:after="156" w:line="300" w:lineRule="auto"/>
              <w:ind w:firstLine="0" w:firstLineChars="0"/>
              <w:jc w:val="center"/>
              <w:rPr>
                <w:rFonts w:ascii="等线" w:hAnsi="等线" w:eastAsia="等线" w:cs="等线"/>
                <w:b/>
                <w:sz w:val="22"/>
                <w:highlight w:val="none"/>
              </w:rPr>
            </w:pPr>
            <w:r>
              <w:rPr>
                <w:rFonts w:hint="eastAsia" w:ascii="等线" w:hAnsi="等线" w:eastAsia="等线" w:cs="等线"/>
                <w:b/>
                <w:sz w:val="22"/>
                <w:highlight w:val="none"/>
              </w:rPr>
              <w:t>条款号</w:t>
            </w:r>
          </w:p>
        </w:tc>
        <w:tc>
          <w:tcPr>
            <w:tcW w:w="1112" w:type="pct"/>
            <w:noWrap w:val="0"/>
            <w:vAlign w:val="center"/>
          </w:tcPr>
          <w:p w14:paraId="54E85602">
            <w:pPr>
              <w:spacing w:before="156" w:after="156" w:line="300" w:lineRule="auto"/>
              <w:ind w:left="-106" w:leftChars="-44" w:firstLine="0" w:firstLineChars="0"/>
              <w:jc w:val="center"/>
              <w:rPr>
                <w:rFonts w:ascii="等线" w:hAnsi="等线" w:eastAsia="等线" w:cs="等线"/>
                <w:b/>
                <w:sz w:val="22"/>
                <w:highlight w:val="none"/>
              </w:rPr>
            </w:pPr>
            <w:r>
              <w:rPr>
                <w:rFonts w:hint="eastAsia" w:ascii="等线" w:hAnsi="等线" w:eastAsia="等线" w:cs="等线"/>
                <w:b/>
                <w:sz w:val="22"/>
                <w:highlight w:val="none"/>
              </w:rPr>
              <w:t>条 款 名 称</w:t>
            </w:r>
          </w:p>
        </w:tc>
        <w:tc>
          <w:tcPr>
            <w:tcW w:w="3334" w:type="pct"/>
            <w:noWrap w:val="0"/>
            <w:vAlign w:val="center"/>
          </w:tcPr>
          <w:p w14:paraId="6541796D">
            <w:pPr>
              <w:spacing w:before="156" w:after="156" w:line="300" w:lineRule="auto"/>
              <w:ind w:left="-9" w:leftChars="-42" w:hanging="92" w:hangingChars="42"/>
              <w:jc w:val="center"/>
              <w:rPr>
                <w:rFonts w:ascii="等线" w:hAnsi="等线" w:eastAsia="等线" w:cs="等线"/>
                <w:b/>
                <w:sz w:val="22"/>
                <w:highlight w:val="none"/>
              </w:rPr>
            </w:pPr>
            <w:r>
              <w:rPr>
                <w:rFonts w:hint="eastAsia" w:ascii="等线" w:hAnsi="等线" w:eastAsia="等线" w:cs="等线"/>
                <w:b/>
                <w:sz w:val="22"/>
                <w:highlight w:val="none"/>
              </w:rPr>
              <w:t>编 列 内 容</w:t>
            </w:r>
          </w:p>
        </w:tc>
      </w:tr>
      <w:tr w14:paraId="76AD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noWrap w:val="0"/>
            <w:vAlign w:val="center"/>
          </w:tcPr>
          <w:p w14:paraId="64468B68">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279E2634">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noWrap w:val="0"/>
            <w:vAlign w:val="center"/>
          </w:tcPr>
          <w:p w14:paraId="184BE1BF">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14:paraId="0628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noWrap w:val="0"/>
            <w:vAlign w:val="center"/>
          </w:tcPr>
          <w:p w14:paraId="7D7A229A">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5BC2D1DD">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noWrap w:val="0"/>
            <w:vAlign w:val="top"/>
          </w:tcPr>
          <w:p w14:paraId="0521A462">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14:paraId="08EA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noWrap w:val="0"/>
            <w:vAlign w:val="center"/>
          </w:tcPr>
          <w:p w14:paraId="3B3BAB6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4B7E9DF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noWrap w:val="0"/>
            <w:vAlign w:val="center"/>
          </w:tcPr>
          <w:p w14:paraId="5D541F08">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南通轨道交通集团有限公司运营分公司2026年度办公设备耗材采购项目</w:t>
            </w:r>
          </w:p>
        </w:tc>
      </w:tr>
      <w:tr w14:paraId="0086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noWrap w:val="0"/>
            <w:vAlign w:val="center"/>
          </w:tcPr>
          <w:p w14:paraId="6071E8C2">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615B9DC3">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noWrap w:val="0"/>
            <w:vAlign w:val="center"/>
          </w:tcPr>
          <w:p w14:paraId="251D9089">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NTGY-2026-FW-BX-004</w:t>
            </w:r>
          </w:p>
        </w:tc>
      </w:tr>
      <w:tr w14:paraId="0BC8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noWrap w:val="0"/>
            <w:vAlign w:val="center"/>
          </w:tcPr>
          <w:p w14:paraId="7AE0EB5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5F56A17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noWrap w:val="0"/>
            <w:vAlign w:val="center"/>
          </w:tcPr>
          <w:p w14:paraId="2FF5E43B">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14:paraId="1377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noWrap w:val="0"/>
            <w:vAlign w:val="center"/>
          </w:tcPr>
          <w:p w14:paraId="1C2B80F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48D792D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noWrap w:val="0"/>
            <w:vAlign w:val="center"/>
          </w:tcPr>
          <w:p w14:paraId="435D59A5">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14:paraId="7BF9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noWrap w:val="0"/>
            <w:vAlign w:val="center"/>
          </w:tcPr>
          <w:p w14:paraId="2D7ABEB3">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noWrap w:val="0"/>
            <w:vAlign w:val="center"/>
          </w:tcPr>
          <w:p w14:paraId="00899ED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noWrap w:val="0"/>
            <w:vAlign w:val="center"/>
          </w:tcPr>
          <w:p w14:paraId="1A90D4EA">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14:paraId="7DD6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noWrap w:val="0"/>
            <w:vAlign w:val="center"/>
          </w:tcPr>
          <w:p w14:paraId="4F8B3CE5">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noWrap w:val="0"/>
            <w:vAlign w:val="center"/>
          </w:tcPr>
          <w:p w14:paraId="29B5223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noWrap w:val="0"/>
            <w:vAlign w:val="center"/>
          </w:tcPr>
          <w:p w14:paraId="02FD8A20">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6D3A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noWrap w:val="0"/>
            <w:vAlign w:val="center"/>
          </w:tcPr>
          <w:p w14:paraId="7A71DAD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noWrap w:val="0"/>
            <w:vAlign w:val="center"/>
          </w:tcPr>
          <w:p w14:paraId="6868965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noWrap w:val="0"/>
            <w:vAlign w:val="center"/>
          </w:tcPr>
          <w:p w14:paraId="3818D923">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14:paraId="1BBD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noWrap w:val="0"/>
            <w:vAlign w:val="center"/>
          </w:tcPr>
          <w:p w14:paraId="7DD2AE8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noWrap w:val="0"/>
            <w:vAlign w:val="center"/>
          </w:tcPr>
          <w:p w14:paraId="5CEF1038">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noWrap w:val="0"/>
            <w:vAlign w:val="center"/>
          </w:tcPr>
          <w:p w14:paraId="7B9B45E5">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6AA6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noWrap w:val="0"/>
            <w:vAlign w:val="center"/>
          </w:tcPr>
          <w:p w14:paraId="1C356F78">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noWrap w:val="0"/>
            <w:vAlign w:val="center"/>
          </w:tcPr>
          <w:p w14:paraId="1F54817E">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noWrap w:val="0"/>
            <w:vAlign w:val="center"/>
          </w:tcPr>
          <w:p w14:paraId="4F028E2B">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6</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月</w:t>
            </w:r>
            <w:r>
              <w:rPr>
                <w:rFonts w:hint="eastAsia" w:ascii="宋体" w:hAnsi="宋体" w:cs="宋体"/>
                <w:sz w:val="21"/>
                <w:szCs w:val="21"/>
                <w:highlight w:val="none"/>
                <w:u w:val="single"/>
                <w:lang w:val="en-US" w:eastAsia="zh-CN"/>
              </w:rPr>
              <w:t>1</w:t>
            </w:r>
            <w:bookmarkStart w:id="28" w:name="_GoBack"/>
            <w:bookmarkEnd w:id="28"/>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14:paraId="7F385200">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14:paraId="72C1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53" w:type="pct"/>
            <w:noWrap w:val="0"/>
            <w:vAlign w:val="center"/>
          </w:tcPr>
          <w:p w14:paraId="2530F339">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noWrap w:val="0"/>
            <w:vAlign w:val="center"/>
          </w:tcPr>
          <w:p w14:paraId="47B10C4A">
            <w:pPr>
              <w:spacing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rPr>
              <w:t>最高限价</w:t>
            </w:r>
          </w:p>
        </w:tc>
        <w:tc>
          <w:tcPr>
            <w:tcW w:w="3334" w:type="pct"/>
            <w:noWrap w:val="0"/>
            <w:vAlign w:val="center"/>
          </w:tcPr>
          <w:p w14:paraId="2C11BFB5">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本项目</w:t>
            </w:r>
            <w:r>
              <w:rPr>
                <w:rFonts w:hint="eastAsia" w:ascii="宋体" w:hAnsi="宋体" w:cs="宋体"/>
                <w:sz w:val="21"/>
                <w:szCs w:val="21"/>
              </w:rPr>
              <w:t>最高限价</w:t>
            </w:r>
            <w:r>
              <w:rPr>
                <w:rFonts w:hint="eastAsia" w:ascii="宋体" w:hAnsi="宋体" w:cs="宋体"/>
                <w:sz w:val="21"/>
                <w:szCs w:val="21"/>
                <w:highlight w:val="none"/>
              </w:rPr>
              <w:t>：</w:t>
            </w:r>
            <w:r>
              <w:rPr>
                <w:rFonts w:hint="eastAsia" w:ascii="宋体" w:hAnsi="宋体" w:cs="宋体"/>
                <w:sz w:val="21"/>
                <w:szCs w:val="21"/>
                <w:highlight w:val="none"/>
                <w:u w:val="single"/>
                <w:lang w:val="en-US" w:eastAsia="zh-CN"/>
              </w:rPr>
              <w:t>59.3万元</w:t>
            </w:r>
            <w:r>
              <w:rPr>
                <w:rFonts w:hint="eastAsia" w:ascii="宋体" w:hAnsi="宋体" w:cs="宋体"/>
                <w:sz w:val="21"/>
                <w:szCs w:val="21"/>
                <w:highlight w:val="none"/>
                <w:u w:val="single"/>
              </w:rPr>
              <w:t>人民币（含税）</w:t>
            </w:r>
          </w:p>
          <w:p w14:paraId="5E0AFE38">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14:paraId="274A3CA6">
            <w:pPr>
              <w:spacing w:line="240" w:lineRule="auto"/>
              <w:ind w:firstLine="0" w:firstLineChars="0"/>
              <w:jc w:val="left"/>
              <w:rPr>
                <w:rFonts w:ascii="宋体" w:hAnsi="宋体" w:cs="宋体"/>
                <w:sz w:val="21"/>
                <w:szCs w:val="21"/>
                <w:highlight w:val="none"/>
              </w:rPr>
            </w:pPr>
          </w:p>
          <w:p w14:paraId="62093EFE">
            <w:pPr>
              <w:spacing w:before="156" w:after="156" w:line="300" w:lineRule="auto"/>
              <w:ind w:left="-31" w:leftChars="-13" w:firstLine="29" w:firstLineChars="14"/>
              <w:jc w:val="left"/>
              <w:rPr>
                <w:rFonts w:ascii="宋体" w:hAnsi="宋体" w:cs="宋体"/>
                <w:sz w:val="21"/>
                <w:szCs w:val="21"/>
                <w:highlight w:val="none"/>
              </w:rPr>
            </w:pPr>
          </w:p>
          <w:p w14:paraId="03E26664">
            <w:pPr>
              <w:spacing w:before="156" w:after="156" w:line="300" w:lineRule="auto"/>
              <w:ind w:left="-31" w:leftChars="-13" w:firstLine="29" w:firstLineChars="14"/>
              <w:jc w:val="left"/>
              <w:rPr>
                <w:rFonts w:ascii="宋体" w:hAnsi="宋体" w:cs="宋体"/>
                <w:sz w:val="21"/>
                <w:szCs w:val="21"/>
                <w:highlight w:val="none"/>
              </w:rPr>
            </w:pPr>
          </w:p>
          <w:p w14:paraId="53BAD264">
            <w:pPr>
              <w:spacing w:line="300" w:lineRule="auto"/>
              <w:ind w:left="-31" w:leftChars="-13" w:firstLine="30" w:firstLineChars="14"/>
              <w:jc w:val="left"/>
              <w:rPr>
                <w:rFonts w:ascii="宋体" w:hAnsi="宋体" w:cs="宋体"/>
                <w:b/>
                <w:bCs/>
                <w:kern w:val="0"/>
                <w:sz w:val="21"/>
                <w:szCs w:val="21"/>
                <w:highlight w:val="none"/>
              </w:rPr>
            </w:pPr>
          </w:p>
        </w:tc>
      </w:tr>
      <w:tr w14:paraId="709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noWrap w:val="0"/>
            <w:vAlign w:val="center"/>
          </w:tcPr>
          <w:p w14:paraId="3BF857ED">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noWrap w:val="0"/>
            <w:vAlign w:val="center"/>
          </w:tcPr>
          <w:p w14:paraId="60CE2D9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noWrap w:val="0"/>
            <w:vAlign w:val="center"/>
          </w:tcPr>
          <w:p w14:paraId="1B4B51BE">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14:paraId="474A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noWrap w:val="0"/>
            <w:vAlign w:val="center"/>
          </w:tcPr>
          <w:p w14:paraId="7171B8C0">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noWrap w:val="0"/>
            <w:vAlign w:val="center"/>
          </w:tcPr>
          <w:p w14:paraId="5B392B87">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noWrap w:val="0"/>
            <w:vAlign w:val="bottom"/>
          </w:tcPr>
          <w:p w14:paraId="123CB569">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3A0F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noWrap w:val="0"/>
            <w:vAlign w:val="center"/>
          </w:tcPr>
          <w:p w14:paraId="5B65FAC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noWrap w:val="0"/>
            <w:vAlign w:val="center"/>
          </w:tcPr>
          <w:p w14:paraId="3A164062">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noWrap w:val="0"/>
            <w:vAlign w:val="center"/>
          </w:tcPr>
          <w:p w14:paraId="162BE85F">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14:paraId="68F1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553" w:type="pct"/>
            <w:noWrap w:val="0"/>
            <w:vAlign w:val="center"/>
          </w:tcPr>
          <w:p w14:paraId="5D9FE561">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noWrap w:val="0"/>
            <w:vAlign w:val="center"/>
          </w:tcPr>
          <w:p w14:paraId="3E5B7B42">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noWrap w:val="0"/>
            <w:vAlign w:val="center"/>
          </w:tcPr>
          <w:p w14:paraId="3EF0C27B">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14:paraId="7315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553" w:type="pct"/>
            <w:noWrap w:val="0"/>
            <w:vAlign w:val="center"/>
          </w:tcPr>
          <w:p w14:paraId="396DE42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noWrap w:val="0"/>
            <w:vAlign w:val="center"/>
          </w:tcPr>
          <w:p w14:paraId="4FED300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noWrap w:val="0"/>
            <w:vAlign w:val="center"/>
          </w:tcPr>
          <w:p w14:paraId="2CD7D794">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14:paraId="4118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noWrap w:val="0"/>
            <w:vAlign w:val="center"/>
          </w:tcPr>
          <w:p w14:paraId="198AE788">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noWrap w:val="0"/>
            <w:vAlign w:val="center"/>
          </w:tcPr>
          <w:p w14:paraId="59D3CB75">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noWrap w:val="0"/>
            <w:vAlign w:val="center"/>
          </w:tcPr>
          <w:p w14:paraId="6D2B54AF">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14:paraId="0986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noWrap w:val="0"/>
            <w:vAlign w:val="center"/>
          </w:tcPr>
          <w:p w14:paraId="70AA170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noWrap w:val="0"/>
            <w:vAlign w:val="center"/>
          </w:tcPr>
          <w:p w14:paraId="65174260">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noWrap w:val="0"/>
            <w:vAlign w:val="center"/>
          </w:tcPr>
          <w:p w14:paraId="4A8E1B10">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14:paraId="78D9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noWrap w:val="0"/>
            <w:vAlign w:val="center"/>
          </w:tcPr>
          <w:p w14:paraId="174AFBF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noWrap w:val="0"/>
            <w:vAlign w:val="center"/>
          </w:tcPr>
          <w:p w14:paraId="4DF90B2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noWrap w:val="0"/>
            <w:vAlign w:val="center"/>
          </w:tcPr>
          <w:p w14:paraId="1225F31B">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14:paraId="4B84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noWrap w:val="0"/>
            <w:vAlign w:val="center"/>
          </w:tcPr>
          <w:p w14:paraId="216ABF2E">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noWrap w:val="0"/>
            <w:vAlign w:val="center"/>
          </w:tcPr>
          <w:p w14:paraId="60EF666E">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noWrap w:val="0"/>
            <w:vAlign w:val="center"/>
          </w:tcPr>
          <w:p w14:paraId="4AFB3D66">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14:paraId="534E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noWrap w:val="0"/>
            <w:vAlign w:val="center"/>
          </w:tcPr>
          <w:p w14:paraId="1484BE97">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noWrap w:val="0"/>
            <w:vAlign w:val="center"/>
          </w:tcPr>
          <w:p w14:paraId="08738BA1">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noWrap w:val="0"/>
            <w:vAlign w:val="center"/>
          </w:tcPr>
          <w:p w14:paraId="3257A8F3">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eastAsia="zh-CN"/>
              </w:rPr>
              <w:t>签到</w:t>
            </w:r>
            <w:r>
              <w:rPr>
                <w:rFonts w:ascii="宋体" w:hAnsi="宋体" w:cs="宋体"/>
                <w:sz w:val="21"/>
                <w:szCs w:val="21"/>
                <w:highlight w:val="none"/>
              </w:rPr>
              <w:t>的先后顺序</w:t>
            </w:r>
          </w:p>
        </w:tc>
      </w:tr>
      <w:tr w14:paraId="5FC2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noWrap w:val="0"/>
            <w:vAlign w:val="center"/>
          </w:tcPr>
          <w:p w14:paraId="0EF865DB">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noWrap w:val="0"/>
            <w:vAlign w:val="center"/>
          </w:tcPr>
          <w:p w14:paraId="1B53FF6A">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noWrap w:val="0"/>
            <w:vAlign w:val="center"/>
          </w:tcPr>
          <w:p w14:paraId="1EB7FF75">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14:paraId="3E95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553" w:type="pct"/>
            <w:noWrap w:val="0"/>
            <w:vAlign w:val="center"/>
          </w:tcPr>
          <w:p w14:paraId="2C829AC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noWrap w:val="0"/>
            <w:vAlign w:val="center"/>
          </w:tcPr>
          <w:p w14:paraId="60EF53AA">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noWrap w:val="0"/>
            <w:vAlign w:val="center"/>
          </w:tcPr>
          <w:p w14:paraId="4367A0B8">
            <w:pPr>
              <w:ind w:firstLine="0" w:firstLineChars="0"/>
              <w:jc w:val="left"/>
              <w:rPr>
                <w:rFonts w:ascii="宋体" w:hAnsi="宋体" w:cs="宋体"/>
                <w:sz w:val="21"/>
                <w:szCs w:val="21"/>
                <w:highlight w:val="none"/>
              </w:rPr>
            </w:pPr>
            <w:r>
              <w:rPr>
                <w:rFonts w:hint="eastAsia" w:ascii="宋体" w:hAnsi="宋体" w:cs="宋体"/>
                <w:sz w:val="21"/>
                <w:szCs w:val="21"/>
              </w:rPr>
              <w:t>按照最终得分由高到低的顺序推荐</w:t>
            </w:r>
            <w:r>
              <w:rPr>
                <w:rFonts w:hint="eastAsia" w:ascii="宋体" w:hAnsi="宋体" w:cs="宋体"/>
                <w:sz w:val="21"/>
                <w:szCs w:val="21"/>
                <w:u w:val="single"/>
              </w:rPr>
              <w:t>1</w:t>
            </w:r>
            <w:r>
              <w:rPr>
                <w:rFonts w:hint="eastAsia" w:ascii="宋体" w:hAnsi="宋体" w:cs="宋体"/>
                <w:sz w:val="21"/>
                <w:szCs w:val="21"/>
              </w:rPr>
              <w:t>名候选成交供应商</w:t>
            </w:r>
          </w:p>
        </w:tc>
      </w:tr>
      <w:tr w14:paraId="77C3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noWrap w:val="0"/>
            <w:vAlign w:val="center"/>
          </w:tcPr>
          <w:p w14:paraId="5E59570F">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noWrap w:val="0"/>
            <w:vAlign w:val="center"/>
          </w:tcPr>
          <w:p w14:paraId="3DE0976B">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noWrap w:val="0"/>
            <w:vAlign w:val="center"/>
          </w:tcPr>
          <w:p w14:paraId="43181966">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14:paraId="0D6C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noWrap w:val="0"/>
            <w:vAlign w:val="center"/>
          </w:tcPr>
          <w:p w14:paraId="6D73ED96">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noWrap w:val="0"/>
            <w:vAlign w:val="center"/>
          </w:tcPr>
          <w:p w14:paraId="470E31C4">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noWrap w:val="0"/>
            <w:vAlign w:val="center"/>
          </w:tcPr>
          <w:p w14:paraId="4E859230">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14:paraId="1EFCBCE5">
      <w:pPr>
        <w:ind w:firstLine="480"/>
        <w:rPr>
          <w:highlight w:val="none"/>
        </w:rPr>
      </w:pPr>
    </w:p>
    <w:p w14:paraId="0B929734">
      <w:pPr>
        <w:widowControl/>
        <w:spacing w:line="240" w:lineRule="auto"/>
        <w:ind w:firstLine="0" w:firstLineChars="0"/>
        <w:jc w:val="left"/>
        <w:rPr>
          <w:highlight w:val="none"/>
        </w:rPr>
      </w:pPr>
      <w:r>
        <w:rPr>
          <w:highlight w:val="none"/>
        </w:rPr>
        <w:br w:type="page"/>
      </w:r>
    </w:p>
    <w:p w14:paraId="70326004">
      <w:pPr>
        <w:pStyle w:val="2"/>
        <w:ind w:firstLine="482"/>
        <w:jc w:val="left"/>
        <w:rPr>
          <w:highlight w:val="none"/>
        </w:rPr>
      </w:pPr>
      <w:r>
        <w:rPr>
          <w:rFonts w:hint="eastAsia"/>
          <w:highlight w:val="none"/>
        </w:rPr>
        <w:t>1</w:t>
      </w:r>
      <w:r>
        <w:rPr>
          <w:highlight w:val="none"/>
        </w:rPr>
        <w:t xml:space="preserve"> </w:t>
      </w:r>
      <w:r>
        <w:rPr>
          <w:rFonts w:hint="eastAsia"/>
          <w:highlight w:val="none"/>
        </w:rPr>
        <w:t>总则</w:t>
      </w:r>
    </w:p>
    <w:p w14:paraId="3A2D4046">
      <w:pPr>
        <w:pStyle w:val="4"/>
        <w:ind w:firstLine="482"/>
        <w:rPr>
          <w:highlight w:val="none"/>
        </w:rPr>
      </w:pPr>
      <w:r>
        <w:rPr>
          <w:rFonts w:hint="eastAsia"/>
          <w:highlight w:val="none"/>
        </w:rPr>
        <w:t>1.1采购方式</w:t>
      </w:r>
    </w:p>
    <w:p w14:paraId="2FED3448">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14:paraId="2C8832BB">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14:paraId="44AD52E3">
      <w:pPr>
        <w:ind w:firstLine="480"/>
        <w:rPr>
          <w:highlight w:val="none"/>
        </w:rPr>
      </w:pPr>
      <w:r>
        <w:rPr>
          <w:rFonts w:hint="eastAsia"/>
          <w:highlight w:val="none"/>
        </w:rPr>
        <w:t>见第一章“采购公告”</w:t>
      </w:r>
    </w:p>
    <w:p w14:paraId="500C0543">
      <w:pPr>
        <w:pStyle w:val="4"/>
        <w:ind w:firstLine="482"/>
        <w:rPr>
          <w:highlight w:val="none"/>
        </w:rPr>
      </w:pPr>
      <w:r>
        <w:rPr>
          <w:rFonts w:hint="eastAsia"/>
          <w:highlight w:val="none"/>
        </w:rPr>
        <w:t>1.3供应商资格要求</w:t>
      </w:r>
    </w:p>
    <w:p w14:paraId="423C7B08">
      <w:pPr>
        <w:ind w:firstLine="480"/>
        <w:rPr>
          <w:highlight w:val="none"/>
        </w:rPr>
      </w:pPr>
      <w:r>
        <w:rPr>
          <w:rFonts w:hint="eastAsia"/>
          <w:highlight w:val="none"/>
        </w:rPr>
        <w:t>见第一章“采购公告”。</w:t>
      </w:r>
    </w:p>
    <w:p w14:paraId="5E8BBC5E">
      <w:pPr>
        <w:pStyle w:val="4"/>
        <w:ind w:firstLine="482"/>
        <w:rPr>
          <w:highlight w:val="none"/>
        </w:rPr>
      </w:pPr>
      <w:r>
        <w:rPr>
          <w:rFonts w:hint="eastAsia"/>
          <w:highlight w:val="none"/>
        </w:rPr>
        <w:t>1.4费用承担</w:t>
      </w:r>
    </w:p>
    <w:p w14:paraId="01B330A2">
      <w:pPr>
        <w:ind w:firstLine="480"/>
        <w:rPr>
          <w:highlight w:val="none"/>
        </w:rPr>
      </w:pPr>
      <w:r>
        <w:rPr>
          <w:rFonts w:hint="eastAsia"/>
          <w:highlight w:val="none"/>
        </w:rPr>
        <w:t>供应商准备和参加采购活动发生的费用自理。</w:t>
      </w:r>
    </w:p>
    <w:p w14:paraId="095CF722">
      <w:pPr>
        <w:pStyle w:val="4"/>
        <w:ind w:firstLine="482"/>
        <w:rPr>
          <w:highlight w:val="none"/>
        </w:rPr>
      </w:pPr>
      <w:r>
        <w:rPr>
          <w:rFonts w:hint="eastAsia"/>
          <w:highlight w:val="none"/>
        </w:rPr>
        <w:t>1.5 保密</w:t>
      </w:r>
    </w:p>
    <w:p w14:paraId="41F3588B">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14:paraId="702EC00B">
      <w:pPr>
        <w:pStyle w:val="4"/>
        <w:ind w:firstLine="482"/>
        <w:rPr>
          <w:highlight w:val="none"/>
        </w:rPr>
      </w:pPr>
      <w:r>
        <w:rPr>
          <w:rFonts w:hint="eastAsia"/>
          <w:highlight w:val="none"/>
        </w:rPr>
        <w:t>1.6 语言文字</w:t>
      </w:r>
    </w:p>
    <w:p w14:paraId="2430DA9A">
      <w:pPr>
        <w:ind w:firstLine="480"/>
        <w:rPr>
          <w:highlight w:val="none"/>
        </w:rPr>
      </w:pPr>
      <w:r>
        <w:rPr>
          <w:rFonts w:hint="eastAsia"/>
          <w:highlight w:val="none"/>
        </w:rPr>
        <w:t>除专用术语外，语言均使用中文（必要时专用术语应附有中文注释）。</w:t>
      </w:r>
    </w:p>
    <w:p w14:paraId="688A1D25">
      <w:pPr>
        <w:pStyle w:val="4"/>
        <w:ind w:firstLine="482"/>
        <w:rPr>
          <w:highlight w:val="none"/>
        </w:rPr>
      </w:pPr>
      <w:r>
        <w:rPr>
          <w:rFonts w:hint="eastAsia"/>
          <w:highlight w:val="none"/>
        </w:rPr>
        <w:t>1.7 计量单位</w:t>
      </w:r>
    </w:p>
    <w:p w14:paraId="5A5C7511">
      <w:pPr>
        <w:ind w:firstLine="480"/>
        <w:rPr>
          <w:highlight w:val="none"/>
        </w:rPr>
      </w:pPr>
      <w:r>
        <w:rPr>
          <w:rFonts w:hint="eastAsia"/>
          <w:highlight w:val="none"/>
        </w:rPr>
        <w:t>所有计量均采用中华人民共和国法定计量单位（采购文件另有要求的，按照采购文件要求执行）。</w:t>
      </w:r>
    </w:p>
    <w:p w14:paraId="6281F4E7">
      <w:pPr>
        <w:pStyle w:val="4"/>
        <w:ind w:firstLine="482"/>
        <w:rPr>
          <w:highlight w:val="none"/>
        </w:rPr>
      </w:pPr>
      <w:r>
        <w:rPr>
          <w:rFonts w:hint="eastAsia"/>
          <w:highlight w:val="none"/>
        </w:rPr>
        <w:t>1.8 踏勘现场</w:t>
      </w:r>
    </w:p>
    <w:p w14:paraId="52A1366A">
      <w:pPr>
        <w:ind w:firstLine="480"/>
        <w:rPr>
          <w:highlight w:val="none"/>
        </w:rPr>
      </w:pPr>
      <w:r>
        <w:rPr>
          <w:rFonts w:hint="eastAsia"/>
          <w:highlight w:val="none"/>
        </w:rPr>
        <w:t>1.8.1采购人不组织踏勘现场，供应商自行踏勘现场。</w:t>
      </w:r>
    </w:p>
    <w:p w14:paraId="77074301">
      <w:pPr>
        <w:ind w:firstLine="480"/>
        <w:rPr>
          <w:highlight w:val="none"/>
        </w:rPr>
      </w:pPr>
      <w:r>
        <w:rPr>
          <w:rFonts w:hint="eastAsia"/>
          <w:highlight w:val="none"/>
        </w:rPr>
        <w:t>1.8.2供应商踏勘现场发生的费用自理。</w:t>
      </w:r>
    </w:p>
    <w:p w14:paraId="37391FC3">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14:paraId="6708447E">
      <w:pPr>
        <w:pStyle w:val="4"/>
        <w:ind w:firstLine="482"/>
        <w:rPr>
          <w:highlight w:val="none"/>
        </w:rPr>
      </w:pPr>
      <w:r>
        <w:rPr>
          <w:rFonts w:hint="eastAsia"/>
          <w:highlight w:val="none"/>
        </w:rPr>
        <w:t>1.9 分包</w:t>
      </w:r>
    </w:p>
    <w:p w14:paraId="02DE321E">
      <w:pPr>
        <w:ind w:firstLine="480"/>
        <w:rPr>
          <w:highlight w:val="none"/>
        </w:rPr>
      </w:pPr>
      <w:r>
        <w:rPr>
          <w:rFonts w:hint="eastAsia"/>
          <w:highlight w:val="none"/>
        </w:rPr>
        <w:t>不允许供应商在成交后将本项目的任何部分工作进行分包。</w:t>
      </w:r>
    </w:p>
    <w:p w14:paraId="109ED49A">
      <w:pPr>
        <w:pStyle w:val="2"/>
        <w:ind w:firstLine="482"/>
        <w:jc w:val="left"/>
        <w:rPr>
          <w:highlight w:val="none"/>
        </w:rPr>
      </w:pPr>
      <w:r>
        <w:rPr>
          <w:rFonts w:hint="eastAsia"/>
          <w:highlight w:val="none"/>
        </w:rPr>
        <w:t>2</w:t>
      </w:r>
      <w:r>
        <w:rPr>
          <w:highlight w:val="none"/>
        </w:rPr>
        <w:t xml:space="preserve"> </w:t>
      </w:r>
      <w:r>
        <w:rPr>
          <w:rFonts w:hint="eastAsia"/>
          <w:highlight w:val="none"/>
        </w:rPr>
        <w:t>采购文件</w:t>
      </w:r>
    </w:p>
    <w:p w14:paraId="6A2265C3">
      <w:pPr>
        <w:pStyle w:val="4"/>
        <w:ind w:firstLine="482"/>
        <w:rPr>
          <w:highlight w:val="none"/>
        </w:rPr>
      </w:pPr>
      <w:r>
        <w:rPr>
          <w:rFonts w:hint="eastAsia"/>
          <w:highlight w:val="none"/>
        </w:rPr>
        <w:t>2.1采购文件组成</w:t>
      </w:r>
    </w:p>
    <w:p w14:paraId="39480BE0">
      <w:pPr>
        <w:ind w:firstLine="480"/>
        <w:rPr>
          <w:highlight w:val="none"/>
        </w:rPr>
      </w:pPr>
      <w:r>
        <w:rPr>
          <w:rFonts w:hint="eastAsia"/>
          <w:highlight w:val="none"/>
        </w:rPr>
        <w:t>本采购文件共六章，内容如下：</w:t>
      </w:r>
    </w:p>
    <w:p w14:paraId="4EF35049">
      <w:pPr>
        <w:ind w:firstLine="480"/>
        <w:rPr>
          <w:highlight w:val="none"/>
        </w:rPr>
      </w:pPr>
      <w:r>
        <w:rPr>
          <w:rFonts w:hint="eastAsia"/>
          <w:highlight w:val="none"/>
        </w:rPr>
        <w:t>第一章 采购公告</w:t>
      </w:r>
    </w:p>
    <w:p w14:paraId="59E0038F">
      <w:pPr>
        <w:ind w:firstLine="480"/>
        <w:rPr>
          <w:highlight w:val="none"/>
        </w:rPr>
      </w:pPr>
      <w:r>
        <w:rPr>
          <w:rFonts w:hint="eastAsia"/>
          <w:highlight w:val="none"/>
        </w:rPr>
        <w:t>第二章 供应商须知</w:t>
      </w:r>
    </w:p>
    <w:p w14:paraId="6A775CD3">
      <w:pPr>
        <w:ind w:firstLine="480"/>
        <w:rPr>
          <w:highlight w:val="none"/>
        </w:rPr>
      </w:pPr>
      <w:r>
        <w:rPr>
          <w:rFonts w:hint="eastAsia"/>
          <w:highlight w:val="none"/>
        </w:rPr>
        <w:t>第三章 评审方法</w:t>
      </w:r>
    </w:p>
    <w:p w14:paraId="2AF229EC">
      <w:pPr>
        <w:ind w:firstLine="480"/>
        <w:rPr>
          <w:highlight w:val="none"/>
        </w:rPr>
      </w:pPr>
      <w:r>
        <w:rPr>
          <w:rFonts w:hint="eastAsia"/>
          <w:highlight w:val="none"/>
        </w:rPr>
        <w:t>第四章 合同条款及格式</w:t>
      </w:r>
    </w:p>
    <w:p w14:paraId="79502240">
      <w:pPr>
        <w:ind w:firstLine="480"/>
        <w:rPr>
          <w:highlight w:val="none"/>
        </w:rPr>
      </w:pPr>
      <w:r>
        <w:rPr>
          <w:rFonts w:hint="eastAsia"/>
          <w:highlight w:val="none"/>
        </w:rPr>
        <w:t>第五章 采购需求</w:t>
      </w:r>
    </w:p>
    <w:p w14:paraId="69A9B773">
      <w:pPr>
        <w:ind w:firstLine="480"/>
        <w:rPr>
          <w:highlight w:val="none"/>
        </w:rPr>
      </w:pPr>
      <w:r>
        <w:rPr>
          <w:rFonts w:hint="eastAsia"/>
          <w:highlight w:val="none"/>
        </w:rPr>
        <w:t>第六章</w:t>
      </w:r>
      <w:r>
        <w:rPr>
          <w:highlight w:val="none"/>
        </w:rPr>
        <w:t xml:space="preserve"> </w:t>
      </w:r>
      <w:r>
        <w:rPr>
          <w:rFonts w:hint="eastAsia"/>
          <w:highlight w:val="none"/>
        </w:rPr>
        <w:t>响应文件格式</w:t>
      </w:r>
    </w:p>
    <w:p w14:paraId="5EE2B211">
      <w:pPr>
        <w:ind w:firstLine="480"/>
        <w:rPr>
          <w:highlight w:val="none"/>
        </w:rPr>
      </w:pPr>
      <w:r>
        <w:rPr>
          <w:rFonts w:hint="eastAsia"/>
          <w:highlight w:val="none"/>
        </w:rPr>
        <w:t>采购人根据本章规定对采购文件所作的澄清、修改，构成采购文件的组成部分。</w:t>
      </w:r>
    </w:p>
    <w:p w14:paraId="7EB2063A">
      <w:pPr>
        <w:pStyle w:val="4"/>
        <w:ind w:firstLine="482"/>
        <w:rPr>
          <w:highlight w:val="none"/>
        </w:rPr>
      </w:pPr>
      <w:r>
        <w:rPr>
          <w:rFonts w:hint="eastAsia"/>
          <w:highlight w:val="none"/>
        </w:rPr>
        <w:t>2.2 采购文件的澄清</w:t>
      </w:r>
    </w:p>
    <w:p w14:paraId="7A277C3A">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14:paraId="39CA96C6">
      <w:pPr>
        <w:ind w:firstLine="480"/>
        <w:rPr>
          <w:highlight w:val="none"/>
        </w:rPr>
      </w:pPr>
      <w:r>
        <w:rPr>
          <w:rFonts w:hint="eastAsia"/>
          <w:highlight w:val="none"/>
        </w:rPr>
        <w:t>2</w:t>
      </w:r>
      <w:r>
        <w:rPr>
          <w:highlight w:val="none"/>
        </w:rPr>
        <w:t>.2.2</w:t>
      </w:r>
      <w:r>
        <w:rPr>
          <w:rFonts w:hint="eastAsia"/>
          <w:highlight w:val="none"/>
        </w:rPr>
        <w:t>采购人可视具体情况在补充文件中通知供应商推迟递交响应文件的截止时间。</w:t>
      </w:r>
    </w:p>
    <w:p w14:paraId="0E3E44EB">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14:paraId="2EFF8F9A">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14:paraId="4A0D9EEF">
      <w:pPr>
        <w:pStyle w:val="2"/>
        <w:ind w:firstLine="482"/>
        <w:jc w:val="left"/>
        <w:rPr>
          <w:highlight w:val="none"/>
        </w:rPr>
      </w:pPr>
      <w:r>
        <w:rPr>
          <w:rFonts w:hint="eastAsia"/>
          <w:highlight w:val="none"/>
        </w:rPr>
        <w:t>3</w:t>
      </w:r>
      <w:r>
        <w:rPr>
          <w:highlight w:val="none"/>
        </w:rPr>
        <w:t xml:space="preserve"> </w:t>
      </w:r>
      <w:r>
        <w:rPr>
          <w:rFonts w:hint="eastAsia"/>
          <w:highlight w:val="none"/>
        </w:rPr>
        <w:t>响应文件</w:t>
      </w:r>
    </w:p>
    <w:p w14:paraId="73504DA4">
      <w:pPr>
        <w:pStyle w:val="4"/>
        <w:ind w:firstLine="482"/>
        <w:rPr>
          <w:highlight w:val="none"/>
        </w:rPr>
      </w:pPr>
      <w:r>
        <w:rPr>
          <w:rFonts w:hint="eastAsia"/>
          <w:highlight w:val="none"/>
        </w:rPr>
        <w:t>3.1 响应文件的组成</w:t>
      </w:r>
    </w:p>
    <w:p w14:paraId="4B2F5377">
      <w:pPr>
        <w:ind w:firstLine="480"/>
        <w:rPr>
          <w:highlight w:val="none"/>
        </w:rPr>
      </w:pPr>
      <w:r>
        <w:rPr>
          <w:rFonts w:hint="eastAsia"/>
          <w:highlight w:val="none"/>
        </w:rPr>
        <w:t>3</w:t>
      </w:r>
      <w:r>
        <w:rPr>
          <w:highlight w:val="none"/>
        </w:rPr>
        <w:t>.1.1</w:t>
      </w:r>
      <w:r>
        <w:rPr>
          <w:rFonts w:hint="eastAsia"/>
          <w:highlight w:val="none"/>
        </w:rPr>
        <w:t>响应文件应包含下列内容</w:t>
      </w:r>
    </w:p>
    <w:p w14:paraId="01A691D7">
      <w:pPr>
        <w:ind w:firstLine="480"/>
      </w:pPr>
      <w:r>
        <w:rPr>
          <w:rFonts w:hint="eastAsia"/>
        </w:rPr>
        <w:t>第一册 资格审查部分</w:t>
      </w:r>
    </w:p>
    <w:p w14:paraId="45B1736F">
      <w:pPr>
        <w:ind w:firstLine="480"/>
      </w:pPr>
      <w:r>
        <w:rPr>
          <w:rFonts w:hint="eastAsia"/>
        </w:rPr>
        <w:t>（1）承诺函</w:t>
      </w:r>
    </w:p>
    <w:p w14:paraId="0CAA2D5F">
      <w:pPr>
        <w:ind w:firstLine="480"/>
      </w:pPr>
      <w:r>
        <w:rPr>
          <w:rFonts w:hint="eastAsia"/>
        </w:rPr>
        <w:t>（2）企业营业执照或事业单位法人证书（提供复印件并加盖公章）</w:t>
      </w:r>
    </w:p>
    <w:p w14:paraId="0738D501">
      <w:pPr>
        <w:ind w:firstLine="480"/>
      </w:pPr>
      <w:r>
        <w:rPr>
          <w:rFonts w:hint="eastAsia"/>
        </w:rPr>
        <w:t>（3）法定代表人身份证明书（提供复印件并加盖公章）</w:t>
      </w:r>
    </w:p>
    <w:p w14:paraId="613850C0">
      <w:pPr>
        <w:ind w:firstLine="480"/>
      </w:pPr>
      <w:r>
        <w:rPr>
          <w:rFonts w:hint="eastAsia"/>
        </w:rPr>
        <w:t>（4）授权委托书原件，授权代理人本人身份证复印件（如有授权）</w:t>
      </w:r>
    </w:p>
    <w:p w14:paraId="75529FBE">
      <w:pPr>
        <w:ind w:firstLine="480"/>
        <w:rPr>
          <w:rFonts w:hint="eastAsia" w:ascii="Times New Roman" w:hAnsi="Times New Roman" w:eastAsia="宋体"/>
          <w:highlight w:val="none"/>
        </w:rPr>
      </w:pPr>
      <w:r>
        <w:rPr>
          <w:rFonts w:hint="eastAsia"/>
        </w:rPr>
        <w:t>（5）</w:t>
      </w:r>
      <w:r>
        <w:rPr>
          <w:rFonts w:hint="eastAsia" w:ascii="Times New Roman" w:hAnsi="Times New Roman" w:eastAsia="宋体"/>
          <w:highlight w:val="none"/>
        </w:rPr>
        <w:t>企业业绩(提供业绩合同复印件并加盖公章)</w:t>
      </w:r>
    </w:p>
    <w:p w14:paraId="2441B615">
      <w:pPr>
        <w:ind w:firstLine="480"/>
      </w:pPr>
      <w:r>
        <w:rPr>
          <w:rFonts w:hint="eastAsia"/>
        </w:rPr>
        <w:t>（</w:t>
      </w:r>
      <w:r>
        <w:rPr>
          <w:rFonts w:hint="eastAsia"/>
          <w:lang w:val="en-US" w:eastAsia="zh-CN"/>
        </w:rPr>
        <w:t>6</w:t>
      </w:r>
      <w:r>
        <w:rPr>
          <w:rFonts w:hint="eastAsia"/>
        </w:rPr>
        <w:t>）供应商认为需要提交的其他资料</w:t>
      </w:r>
    </w:p>
    <w:p w14:paraId="3E82B5DD">
      <w:pPr>
        <w:ind w:firstLine="480"/>
      </w:pPr>
      <w:r>
        <w:rPr>
          <w:rFonts w:hint="eastAsia"/>
        </w:rPr>
        <w:t>第二册 商务技术部分</w:t>
      </w:r>
    </w:p>
    <w:p w14:paraId="00938709">
      <w:pPr>
        <w:numPr>
          <w:ilvl w:val="0"/>
          <w:numId w:val="2"/>
        </w:numPr>
        <w:ind w:firstLine="480"/>
      </w:pPr>
      <w:r>
        <w:rPr>
          <w:rFonts w:hint="eastAsia"/>
        </w:rPr>
        <w:t>商务和技术偏离表</w:t>
      </w:r>
    </w:p>
    <w:p w14:paraId="544EA44B">
      <w:pPr>
        <w:ind w:left="480" w:firstLine="0" w:firstLineChars="0"/>
        <w:rPr>
          <w:color w:val="000000"/>
        </w:rPr>
      </w:pPr>
      <w:r>
        <w:rPr>
          <w:rFonts w:hint="eastAsia"/>
          <w:color w:val="000000"/>
        </w:rPr>
        <w:t>（2）物资参数表</w:t>
      </w:r>
    </w:p>
    <w:p w14:paraId="1058EC2C">
      <w:pPr>
        <w:ind w:firstLine="480"/>
      </w:pPr>
      <w:r>
        <w:rPr>
          <w:rFonts w:hint="eastAsia"/>
        </w:rPr>
        <w:t>（3）业绩材料</w:t>
      </w:r>
    </w:p>
    <w:p w14:paraId="5A478217">
      <w:pPr>
        <w:ind w:firstLine="480"/>
      </w:pPr>
      <w:r>
        <w:rPr>
          <w:rFonts w:hint="eastAsia"/>
        </w:rPr>
        <w:t>第三册 报价部分</w:t>
      </w:r>
    </w:p>
    <w:p w14:paraId="0C74B4C2">
      <w:pPr>
        <w:ind w:firstLine="480"/>
      </w:pPr>
      <w:r>
        <w:rPr>
          <w:rFonts w:hint="eastAsia"/>
        </w:rPr>
        <w:t>（1）响应函</w:t>
      </w:r>
    </w:p>
    <w:p w14:paraId="0465D5F2">
      <w:pPr>
        <w:ind w:firstLine="480"/>
      </w:pPr>
      <w:r>
        <w:rPr>
          <w:rFonts w:hint="eastAsia"/>
        </w:rPr>
        <w:t>（2）分项报价表</w:t>
      </w:r>
    </w:p>
    <w:p w14:paraId="1A0669B7">
      <w:pPr>
        <w:ind w:firstLine="480"/>
      </w:pPr>
      <w:r>
        <w:rPr>
          <w:rFonts w:hint="eastAsia"/>
        </w:rPr>
        <w:t>供应商在评审过程中做出的符合采购文件要求的澄清、说明、补正，构成响应文件的组成部分。</w:t>
      </w:r>
    </w:p>
    <w:p w14:paraId="6A071283">
      <w:pPr>
        <w:pStyle w:val="4"/>
        <w:ind w:firstLine="482"/>
        <w:rPr>
          <w:highlight w:val="none"/>
        </w:rPr>
      </w:pPr>
      <w:r>
        <w:rPr>
          <w:rFonts w:hint="eastAsia"/>
          <w:highlight w:val="none"/>
        </w:rPr>
        <w:t>3</w:t>
      </w:r>
      <w:r>
        <w:rPr>
          <w:highlight w:val="none"/>
        </w:rPr>
        <w:t xml:space="preserve">.2 </w:t>
      </w:r>
      <w:r>
        <w:rPr>
          <w:rFonts w:hint="eastAsia"/>
          <w:highlight w:val="none"/>
        </w:rPr>
        <w:t>报价</w:t>
      </w:r>
    </w:p>
    <w:p w14:paraId="578EAA90">
      <w:pPr>
        <w:ind w:firstLine="480"/>
        <w:rPr>
          <w:color w:val="000000"/>
          <w:highlight w:val="none"/>
        </w:rPr>
      </w:pPr>
      <w:r>
        <w:rPr>
          <w:rFonts w:hint="eastAsia"/>
          <w:color w:val="000000"/>
          <w:highlight w:val="none"/>
        </w:rPr>
        <w:t>3</w:t>
      </w:r>
      <w:r>
        <w:rPr>
          <w:color w:val="000000"/>
          <w:highlight w:val="none"/>
        </w:rPr>
        <w:t>.2.1</w:t>
      </w:r>
      <w:r>
        <w:rPr>
          <w:rFonts w:hint="eastAsia"/>
          <w:color w:val="000000"/>
          <w:highlight w:val="none"/>
        </w:rPr>
        <w:t>供应商应按采购文件提供的格式（见第六章“响应文件格式”）在响应函和分项报价表中进行报价。响应函和分项报价表中报价应为包含国家规定的增值税在内的含税价格，同时应列明增值税税率。</w:t>
      </w:r>
    </w:p>
    <w:p w14:paraId="4AEEB30E">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14:paraId="520ADF46">
      <w:pPr>
        <w:ind w:firstLine="480"/>
        <w:rPr>
          <w:highlight w:val="none"/>
        </w:rPr>
      </w:pPr>
      <w:r>
        <w:rPr>
          <w:rFonts w:hint="eastAsia"/>
          <w:highlight w:val="none"/>
        </w:rPr>
        <w:t>3.2.3采购人设有</w:t>
      </w:r>
      <w:r>
        <w:rPr>
          <w:rFonts w:hint="eastAsia"/>
          <w:highlight w:val="none"/>
          <w:lang w:val="en-US" w:eastAsia="zh-CN"/>
        </w:rPr>
        <w:t>最高</w:t>
      </w:r>
      <w:r>
        <w:rPr>
          <w:rFonts w:hint="eastAsia"/>
          <w:highlight w:val="none"/>
        </w:rPr>
        <w:t>限价的，</w:t>
      </w:r>
      <w:r>
        <w:rPr>
          <w:rFonts w:hint="eastAsia"/>
        </w:rPr>
        <w:t>供应商的报价不得超过最高限价</w:t>
      </w:r>
      <w:r>
        <w:rPr>
          <w:rFonts w:hint="eastAsia"/>
          <w:highlight w:val="none"/>
        </w:rPr>
        <w:t>。</w:t>
      </w:r>
    </w:p>
    <w:p w14:paraId="283BA88D">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14:paraId="45F0D9D5">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14:paraId="230C874B">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14:paraId="7BE45BFE">
      <w:pPr>
        <w:ind w:firstLine="480"/>
        <w:rPr>
          <w:highlight w:val="none"/>
        </w:rPr>
      </w:pPr>
      <w:r>
        <w:rPr>
          <w:rFonts w:hint="eastAsia"/>
          <w:highlight w:val="none"/>
        </w:rPr>
        <w:t>本项目免收保证金</w:t>
      </w:r>
    </w:p>
    <w:p w14:paraId="6019B4E0">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14:paraId="6B2372B6">
      <w:pPr>
        <w:ind w:firstLine="480"/>
        <w:rPr>
          <w:highlight w:val="none"/>
        </w:rPr>
      </w:pPr>
      <w:r>
        <w:rPr>
          <w:rFonts w:hint="eastAsia"/>
          <w:highlight w:val="none"/>
        </w:rPr>
        <w:t>供应商应提供第三章“评审方法”规定的资格审查资料。</w:t>
      </w:r>
    </w:p>
    <w:p w14:paraId="47FCB925">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14:paraId="0A028AC4">
      <w:pPr>
        <w:ind w:firstLine="480"/>
      </w:pPr>
      <w:r>
        <w:rPr>
          <w:rFonts w:hint="eastAsia"/>
        </w:rPr>
        <w:t>3.6.1 响应文件应当对采购文件中的实质性内容作出响应。采购需求中明确为关键条款的，供应商应提供有关证据或证明材料。</w:t>
      </w:r>
    </w:p>
    <w:p w14:paraId="4DC41FD0">
      <w:pPr>
        <w:ind w:firstLine="480"/>
      </w:pPr>
      <w:r>
        <w:rPr>
          <w:rFonts w:hint="eastAsia"/>
        </w:rPr>
        <w:t>3.6.2 供应商只能提出唯一的响应方案。供应商在响应文件中提出多个响应方案的其响应文件将被视为无效。</w:t>
      </w:r>
    </w:p>
    <w:p w14:paraId="0C105642">
      <w:pPr>
        <w:ind w:firstLine="480"/>
      </w:pPr>
      <w:r>
        <w:rPr>
          <w:rFonts w:hint="eastAsi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F7B0C0D">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14:paraId="7DC87900">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14:paraId="7059C41D">
      <w:pPr>
        <w:ind w:firstLine="480"/>
        <w:rPr>
          <w:highlight w:val="none"/>
        </w:rPr>
      </w:pPr>
      <w:r>
        <w:rPr>
          <w:rFonts w:hint="eastAsia"/>
          <w:highlight w:val="none"/>
        </w:rPr>
        <w:t>3.7.2 响应文件应用不褪色的材料书写或打印。</w:t>
      </w:r>
    </w:p>
    <w:p w14:paraId="40F7F23B">
      <w:pPr>
        <w:ind w:firstLine="480"/>
        <w:rPr>
          <w:highlight w:val="none"/>
        </w:rPr>
      </w:pPr>
      <w:r>
        <w:rPr>
          <w:rFonts w:hint="eastAsia"/>
          <w:highlight w:val="none"/>
        </w:rPr>
        <w:t>参选报价表应由供应商的法定代表人（单位负责人）或其授权代理人签字并加盖单位公章。</w:t>
      </w:r>
    </w:p>
    <w:p w14:paraId="48D2B2A9">
      <w:pPr>
        <w:ind w:firstLine="480"/>
        <w:rPr>
          <w:highlight w:val="none"/>
        </w:rPr>
      </w:pPr>
      <w:r>
        <w:rPr>
          <w:rFonts w:hint="eastAsia"/>
          <w:highlight w:val="none"/>
        </w:rPr>
        <w:t>参选报价表由代理人签字的，应在响应文件中附授权委托书，授权委托书应由供应商法定代表人（单位负责人）签字并加盖单位公章。</w:t>
      </w:r>
    </w:p>
    <w:p w14:paraId="26464571">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14:paraId="738B9821">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3.7.4响应文件应尽量避免涂改、行间插字或删除。如果出现上述情况，改动之处由供应商的法定代表人（单位负责人）或其授权的代理人签字或加盖单位章。</w:t>
      </w:r>
    </w:p>
    <w:p w14:paraId="037DCB9B">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14:paraId="774B982B">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14:paraId="4EF3759E">
      <w:pPr>
        <w:pStyle w:val="2"/>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14:paraId="200BA077">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14:paraId="325085C4">
      <w:pPr>
        <w:ind w:firstLine="480"/>
        <w:rPr>
          <w:highlight w:val="none"/>
        </w:rPr>
      </w:pPr>
      <w:r>
        <w:rPr>
          <w:rFonts w:hint="eastAsia"/>
          <w:highlight w:val="none"/>
        </w:rPr>
        <w:t>4.1.1 响应文件应密封包装，未密封的响应文件，采购人将拒绝接收；</w:t>
      </w:r>
    </w:p>
    <w:p w14:paraId="58C25B77">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14:paraId="688EC622">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14:paraId="7C1F8DC4">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14:paraId="25692519">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14:paraId="1056E66C">
      <w:pPr>
        <w:pStyle w:val="4"/>
        <w:ind w:firstLine="482"/>
        <w:rPr>
          <w:highlight w:val="none"/>
        </w:rPr>
      </w:pPr>
      <w:r>
        <w:rPr>
          <w:rFonts w:hint="eastAsia"/>
          <w:highlight w:val="none"/>
        </w:rPr>
        <w:t>4.3响应文件的修改与撤回</w:t>
      </w:r>
    </w:p>
    <w:p w14:paraId="30682FDB">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14:paraId="73ED3535">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36FB4BB4">
      <w:pPr>
        <w:pStyle w:val="2"/>
        <w:ind w:firstLine="482"/>
        <w:jc w:val="left"/>
        <w:rPr>
          <w:highlight w:val="none"/>
        </w:rPr>
      </w:pPr>
      <w:r>
        <w:rPr>
          <w:rFonts w:hint="eastAsia"/>
          <w:highlight w:val="none"/>
        </w:rPr>
        <w:t>5</w:t>
      </w:r>
      <w:r>
        <w:rPr>
          <w:highlight w:val="none"/>
        </w:rPr>
        <w:t xml:space="preserve"> </w:t>
      </w:r>
      <w:r>
        <w:rPr>
          <w:rFonts w:hint="eastAsia"/>
          <w:highlight w:val="none"/>
        </w:rPr>
        <w:t>开启响应文件</w:t>
      </w:r>
    </w:p>
    <w:p w14:paraId="43BA372F">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14:paraId="5CCDFBB0">
      <w:pPr>
        <w:ind w:firstLine="480"/>
        <w:rPr>
          <w:highlight w:val="none"/>
        </w:rPr>
      </w:pPr>
      <w:r>
        <w:rPr>
          <w:rFonts w:hint="eastAsia"/>
        </w:rPr>
        <w:t>采购人在供应商须知前附表规定的评审时间和地点公开开启响应文件，并邀请所有供应商的法定代表人（单位负责人）或其授权的代理人参加开启会议。</w:t>
      </w:r>
    </w:p>
    <w:p w14:paraId="13BFEEFD">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14:paraId="5B8E5A07">
      <w:pPr>
        <w:ind w:firstLine="480"/>
        <w:rPr>
          <w:highlight w:val="none"/>
        </w:rPr>
      </w:pPr>
      <w:r>
        <w:rPr>
          <w:rFonts w:hint="eastAsia"/>
          <w:highlight w:val="none"/>
        </w:rPr>
        <w:t>主持人按下列程序公开开启响应文件</w:t>
      </w:r>
    </w:p>
    <w:p w14:paraId="031FA9F6">
      <w:pPr>
        <w:ind w:firstLine="480"/>
        <w:rPr>
          <w:highlight w:val="none"/>
        </w:rPr>
      </w:pPr>
      <w:r>
        <w:rPr>
          <w:rFonts w:hint="eastAsia"/>
          <w:highlight w:val="none"/>
        </w:rPr>
        <w:t>（1）宣布开启会议纪律；</w:t>
      </w:r>
    </w:p>
    <w:p w14:paraId="01B9BC6C">
      <w:pPr>
        <w:ind w:firstLine="480"/>
        <w:rPr>
          <w:highlight w:val="none"/>
        </w:rPr>
      </w:pPr>
      <w:r>
        <w:rPr>
          <w:rFonts w:hint="eastAsia"/>
          <w:highlight w:val="none"/>
        </w:rPr>
        <w:t>（2）宣布参加开启会议的工作人员姓名；</w:t>
      </w:r>
    </w:p>
    <w:p w14:paraId="41A1A1BF">
      <w:pPr>
        <w:ind w:firstLine="480"/>
        <w:rPr>
          <w:highlight w:val="none"/>
        </w:rPr>
      </w:pPr>
      <w:r>
        <w:rPr>
          <w:rFonts w:hint="eastAsia"/>
          <w:highlight w:val="none"/>
        </w:rPr>
        <w:t>（3）纪检监督员检查确认响应文件的密封情况；</w:t>
      </w:r>
    </w:p>
    <w:p w14:paraId="776DC6C3">
      <w:pPr>
        <w:ind w:firstLine="480"/>
        <w:rPr>
          <w:highlight w:val="none"/>
        </w:rPr>
      </w:pPr>
      <w:r>
        <w:rPr>
          <w:rFonts w:hint="eastAsia"/>
          <w:highlight w:val="none"/>
        </w:rPr>
        <w:t>（4）按照供应商前附表规定的开启顺序开启响应文件，公布递交响应文件的供应商名称；</w:t>
      </w:r>
    </w:p>
    <w:p w14:paraId="19EEF600">
      <w:pPr>
        <w:ind w:firstLine="480"/>
        <w:rPr>
          <w:highlight w:val="none"/>
        </w:rPr>
      </w:pPr>
      <w:r>
        <w:rPr>
          <w:rFonts w:hint="eastAsia"/>
          <w:highlight w:val="none"/>
        </w:rPr>
        <w:t>（5）相关工作人员等在响应文件开启记录上签字确认；</w:t>
      </w:r>
    </w:p>
    <w:p w14:paraId="2B05E2B5">
      <w:pPr>
        <w:ind w:firstLine="480"/>
        <w:rPr>
          <w:highlight w:val="none"/>
        </w:rPr>
      </w:pPr>
      <w:r>
        <w:rPr>
          <w:rFonts w:hint="eastAsia"/>
          <w:highlight w:val="none"/>
        </w:rPr>
        <w:t>（6）宣布有关注意事项；</w:t>
      </w:r>
    </w:p>
    <w:p w14:paraId="282E1FC8">
      <w:pPr>
        <w:ind w:firstLine="480"/>
        <w:rPr>
          <w:highlight w:val="none"/>
        </w:rPr>
      </w:pPr>
      <w:r>
        <w:rPr>
          <w:rFonts w:hint="eastAsia"/>
          <w:highlight w:val="none"/>
        </w:rPr>
        <w:t>（7）开启会议结束。</w:t>
      </w:r>
    </w:p>
    <w:p w14:paraId="3488D5A9">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14:paraId="0DEDC372">
      <w:pPr>
        <w:ind w:firstLine="480"/>
        <w:rPr>
          <w:b w:val="0"/>
          <w:bCs w:val="0"/>
          <w:highlight w:val="none"/>
        </w:rPr>
      </w:pPr>
      <w:r>
        <w:rPr>
          <w:rFonts w:hint="eastAsia"/>
        </w:rPr>
        <w:t>递交响应文件的供应商数量不足三家的本项目中止。</w:t>
      </w:r>
    </w:p>
    <w:p w14:paraId="4F1D0E23">
      <w:pPr>
        <w:pStyle w:val="2"/>
        <w:ind w:firstLine="482"/>
        <w:jc w:val="left"/>
        <w:rPr>
          <w:highlight w:val="none"/>
        </w:rPr>
      </w:pPr>
      <w:r>
        <w:rPr>
          <w:rFonts w:hint="eastAsia"/>
          <w:highlight w:val="none"/>
        </w:rPr>
        <w:t>6</w:t>
      </w:r>
      <w:r>
        <w:rPr>
          <w:highlight w:val="none"/>
        </w:rPr>
        <w:t xml:space="preserve"> </w:t>
      </w:r>
      <w:r>
        <w:rPr>
          <w:rFonts w:hint="eastAsia"/>
          <w:highlight w:val="none"/>
        </w:rPr>
        <w:t>评审</w:t>
      </w:r>
    </w:p>
    <w:p w14:paraId="16EC7C39">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14:paraId="110C3B10">
      <w:pPr>
        <w:ind w:firstLine="480"/>
        <w:rPr>
          <w:highlight w:val="none"/>
        </w:rPr>
      </w:pPr>
      <w:r>
        <w:rPr>
          <w:rFonts w:hint="eastAsia"/>
          <w:highlight w:val="none"/>
        </w:rPr>
        <w:t>6.1.1评审由采购人组建的评审小组负责，评委的人数见供应商须知前附表。</w:t>
      </w:r>
    </w:p>
    <w:p w14:paraId="0EB75E91">
      <w:pPr>
        <w:ind w:firstLine="480"/>
        <w:rPr>
          <w:highlight w:val="none"/>
        </w:rPr>
      </w:pPr>
      <w:r>
        <w:rPr>
          <w:rFonts w:hint="eastAsia"/>
          <w:highlight w:val="none"/>
        </w:rPr>
        <w:t>6.1.2评审小组成员有下列情形之一的，应当回避：</w:t>
      </w:r>
    </w:p>
    <w:p w14:paraId="34013E04">
      <w:pPr>
        <w:ind w:firstLine="480"/>
        <w:rPr>
          <w:highlight w:val="none"/>
        </w:rPr>
      </w:pPr>
      <w:r>
        <w:rPr>
          <w:rFonts w:hint="eastAsia"/>
          <w:highlight w:val="none"/>
        </w:rPr>
        <w:t>（1）供应商主要负责人或供应商主要负责人的近亲属；</w:t>
      </w:r>
    </w:p>
    <w:p w14:paraId="109E2032">
      <w:pPr>
        <w:ind w:firstLine="480"/>
        <w:rPr>
          <w:highlight w:val="none"/>
        </w:rPr>
      </w:pPr>
      <w:r>
        <w:rPr>
          <w:rFonts w:hint="eastAsia"/>
          <w:highlight w:val="none"/>
        </w:rPr>
        <w:t>（2）与供应商有经济利益关系或其他利害关系，可能影响公正评审的。</w:t>
      </w:r>
    </w:p>
    <w:p w14:paraId="7A87ABA5">
      <w:pPr>
        <w:ind w:firstLine="480"/>
        <w:rPr>
          <w:highlight w:val="none"/>
        </w:rPr>
      </w:pPr>
      <w:r>
        <w:rPr>
          <w:rFonts w:hint="eastAsia"/>
          <w:highlight w:val="none"/>
        </w:rPr>
        <w:t>6.1.3 评审小组组建后，评审小组成员共同推选评审小组组长，评审小组组长负责组织评审工作。</w:t>
      </w:r>
    </w:p>
    <w:p w14:paraId="6A469352">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4687ED4E">
      <w:pPr>
        <w:pStyle w:val="4"/>
        <w:ind w:firstLine="482"/>
        <w:rPr>
          <w:highlight w:val="none"/>
        </w:rPr>
      </w:pPr>
      <w:r>
        <w:rPr>
          <w:rFonts w:hint="eastAsia"/>
          <w:highlight w:val="none"/>
        </w:rPr>
        <w:t>6.2</w:t>
      </w:r>
      <w:r>
        <w:rPr>
          <w:highlight w:val="none"/>
        </w:rPr>
        <w:t xml:space="preserve"> </w:t>
      </w:r>
      <w:r>
        <w:rPr>
          <w:rFonts w:hint="eastAsia"/>
          <w:highlight w:val="none"/>
        </w:rPr>
        <w:t>评审</w:t>
      </w:r>
    </w:p>
    <w:p w14:paraId="01B2B2F3">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14:paraId="42A3874B">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14:paraId="1B7F9FE2">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14:paraId="07AC2F2A">
      <w:pPr>
        <w:pStyle w:val="4"/>
        <w:ind w:firstLine="482"/>
        <w:rPr>
          <w:highlight w:val="none"/>
        </w:rPr>
      </w:pPr>
      <w:r>
        <w:rPr>
          <w:rFonts w:hint="eastAsia"/>
          <w:highlight w:val="none"/>
        </w:rPr>
        <w:t>6.3</w:t>
      </w:r>
      <w:r>
        <w:rPr>
          <w:highlight w:val="none"/>
        </w:rPr>
        <w:t xml:space="preserve"> </w:t>
      </w:r>
      <w:r>
        <w:rPr>
          <w:rFonts w:hint="eastAsia"/>
          <w:highlight w:val="none"/>
        </w:rPr>
        <w:t>定标</w:t>
      </w:r>
    </w:p>
    <w:p w14:paraId="502C37DD">
      <w:pPr>
        <w:ind w:firstLine="482"/>
        <w:rPr>
          <w:highlight w:val="none"/>
        </w:rPr>
      </w:pPr>
      <w:r>
        <w:rPr>
          <w:rFonts w:hint="eastAsia"/>
          <w:b/>
          <w:bCs/>
          <w:highlight w:val="none"/>
        </w:rPr>
        <w:t>按照须知前附表的规定，授权评审小组依法确定成交供应商。</w:t>
      </w:r>
    </w:p>
    <w:p w14:paraId="3C20890B">
      <w:pPr>
        <w:pStyle w:val="2"/>
        <w:ind w:firstLine="482"/>
        <w:jc w:val="left"/>
        <w:rPr>
          <w:highlight w:val="none"/>
        </w:rPr>
      </w:pPr>
      <w:r>
        <w:rPr>
          <w:rFonts w:hint="eastAsia"/>
          <w:highlight w:val="none"/>
        </w:rPr>
        <w:t>7</w:t>
      </w:r>
      <w:r>
        <w:rPr>
          <w:highlight w:val="none"/>
        </w:rPr>
        <w:t xml:space="preserve"> </w:t>
      </w:r>
      <w:r>
        <w:rPr>
          <w:rFonts w:hint="eastAsia"/>
          <w:highlight w:val="none"/>
        </w:rPr>
        <w:t>合同授予</w:t>
      </w:r>
    </w:p>
    <w:p w14:paraId="15F768C1">
      <w:pPr>
        <w:pStyle w:val="4"/>
        <w:ind w:firstLine="482"/>
        <w:rPr>
          <w:highlight w:val="none"/>
        </w:rPr>
      </w:pPr>
      <w:r>
        <w:rPr>
          <w:rFonts w:hint="eastAsia"/>
          <w:highlight w:val="none"/>
        </w:rPr>
        <w:t>7.</w:t>
      </w:r>
      <w:r>
        <w:rPr>
          <w:highlight w:val="none"/>
        </w:rPr>
        <w:t>1</w:t>
      </w:r>
      <w:r>
        <w:rPr>
          <w:rFonts w:hint="eastAsia"/>
          <w:highlight w:val="none"/>
        </w:rPr>
        <w:t>确定成交供应商</w:t>
      </w:r>
    </w:p>
    <w:p w14:paraId="421E4A89">
      <w:pPr>
        <w:ind w:firstLine="480"/>
        <w:rPr>
          <w:highlight w:val="none"/>
        </w:rPr>
      </w:pPr>
      <w:r>
        <w:rPr>
          <w:rFonts w:hint="eastAsia"/>
          <w:highlight w:val="none"/>
        </w:rPr>
        <w:t>采购人依据评审小组推荐的成交候选供应商根据相关规定确定成交供应商。</w:t>
      </w:r>
    </w:p>
    <w:p w14:paraId="164E7CB9">
      <w:pPr>
        <w:pStyle w:val="4"/>
        <w:ind w:firstLine="482"/>
        <w:rPr>
          <w:highlight w:val="none"/>
        </w:rPr>
      </w:pPr>
      <w:r>
        <w:rPr>
          <w:rFonts w:hint="eastAsia"/>
          <w:highlight w:val="none"/>
        </w:rPr>
        <w:t>7.</w:t>
      </w:r>
      <w:r>
        <w:rPr>
          <w:highlight w:val="none"/>
        </w:rPr>
        <w:t>2</w:t>
      </w:r>
      <w:r>
        <w:rPr>
          <w:rFonts w:hint="eastAsia"/>
          <w:highlight w:val="none"/>
        </w:rPr>
        <w:t>成交结果公示</w:t>
      </w:r>
    </w:p>
    <w:p w14:paraId="6C4CBEE0">
      <w:pPr>
        <w:ind w:firstLine="480"/>
        <w:rPr>
          <w:highlight w:val="none"/>
        </w:rPr>
      </w:pPr>
      <w:r>
        <w:rPr>
          <w:rFonts w:hint="eastAsia"/>
          <w:highlight w:val="none"/>
        </w:rPr>
        <w:t>成交供应商选定后，采购人将在“南通轨道交通官方网站（https://www.ntrailway.com/）”发布成交公示。</w:t>
      </w:r>
    </w:p>
    <w:p w14:paraId="293021C5">
      <w:pPr>
        <w:pStyle w:val="4"/>
        <w:ind w:firstLine="482"/>
        <w:rPr>
          <w:highlight w:val="none"/>
        </w:rPr>
      </w:pPr>
      <w:r>
        <w:rPr>
          <w:rFonts w:hint="eastAsia"/>
          <w:highlight w:val="none"/>
        </w:rPr>
        <w:t>7</w:t>
      </w:r>
      <w:r>
        <w:rPr>
          <w:highlight w:val="none"/>
        </w:rPr>
        <w:t>.3</w:t>
      </w:r>
      <w:r>
        <w:rPr>
          <w:rFonts w:hint="eastAsia"/>
          <w:highlight w:val="none"/>
        </w:rPr>
        <w:t>发出成交通知书</w:t>
      </w:r>
    </w:p>
    <w:p w14:paraId="3721101B">
      <w:pPr>
        <w:ind w:firstLine="480"/>
        <w:rPr>
          <w:highlight w:val="none"/>
        </w:rPr>
      </w:pPr>
      <w:r>
        <w:rPr>
          <w:rFonts w:hint="eastAsia"/>
          <w:highlight w:val="none"/>
        </w:rPr>
        <w:t>公示期结束后，采购人以书面形式向成交供应商发出成交通知书。</w:t>
      </w:r>
    </w:p>
    <w:p w14:paraId="443E2345">
      <w:pPr>
        <w:pStyle w:val="4"/>
        <w:ind w:firstLine="482"/>
        <w:rPr>
          <w:highlight w:val="none"/>
        </w:rPr>
      </w:pPr>
      <w:r>
        <w:rPr>
          <w:rFonts w:hint="eastAsia"/>
          <w:highlight w:val="none"/>
        </w:rPr>
        <w:t>7</w:t>
      </w:r>
      <w:r>
        <w:rPr>
          <w:highlight w:val="none"/>
        </w:rPr>
        <w:t>.4</w:t>
      </w:r>
      <w:r>
        <w:rPr>
          <w:rFonts w:hint="eastAsia"/>
          <w:highlight w:val="none"/>
        </w:rPr>
        <w:t>履约保证金（本项目无）</w:t>
      </w:r>
    </w:p>
    <w:p w14:paraId="55BF1DC7">
      <w:pPr>
        <w:pStyle w:val="4"/>
        <w:ind w:firstLine="482"/>
        <w:rPr>
          <w:highlight w:val="none"/>
        </w:rPr>
      </w:pPr>
      <w:r>
        <w:rPr>
          <w:rFonts w:hint="eastAsia"/>
          <w:highlight w:val="none"/>
        </w:rPr>
        <w:t>7.</w:t>
      </w:r>
      <w:r>
        <w:rPr>
          <w:highlight w:val="none"/>
        </w:rPr>
        <w:t>5</w:t>
      </w:r>
      <w:r>
        <w:rPr>
          <w:rFonts w:hint="eastAsia"/>
          <w:highlight w:val="none"/>
        </w:rPr>
        <w:t>签订合同</w:t>
      </w:r>
    </w:p>
    <w:p w14:paraId="4733F021">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14:paraId="7E5FBB13">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14:paraId="3CB2FDD0">
      <w:pPr>
        <w:pStyle w:val="2"/>
        <w:ind w:firstLine="482"/>
        <w:jc w:val="left"/>
        <w:rPr>
          <w:highlight w:val="none"/>
        </w:rPr>
      </w:pPr>
      <w:r>
        <w:rPr>
          <w:rFonts w:hint="eastAsia"/>
          <w:highlight w:val="none"/>
        </w:rPr>
        <w:t>8</w:t>
      </w:r>
      <w:r>
        <w:rPr>
          <w:highlight w:val="none"/>
        </w:rPr>
        <w:t xml:space="preserve"> </w:t>
      </w:r>
      <w:r>
        <w:rPr>
          <w:rFonts w:hint="eastAsia"/>
          <w:highlight w:val="none"/>
        </w:rPr>
        <w:t>监督与异议</w:t>
      </w:r>
    </w:p>
    <w:p w14:paraId="0AA971B4">
      <w:pPr>
        <w:ind w:firstLine="480"/>
        <w:rPr>
          <w:highlight w:val="none"/>
        </w:rPr>
      </w:pPr>
      <w:r>
        <w:rPr>
          <w:rFonts w:hint="eastAsia"/>
          <w:highlight w:val="none"/>
        </w:rPr>
        <w:t>8.1监督部门及联系方式见供应商须知前附表。</w:t>
      </w:r>
    </w:p>
    <w:p w14:paraId="4121E5FB">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14:paraId="06D8A9F4">
      <w:pPr>
        <w:ind w:firstLine="480"/>
        <w:rPr>
          <w:highlight w:val="none"/>
        </w:rPr>
      </w:pPr>
      <w:r>
        <w:rPr>
          <w:rFonts w:hint="eastAsia"/>
          <w:highlight w:val="none"/>
        </w:rPr>
        <w:t>（1）异议人名称、地址、邮政编码、联系人及联系电话：</w:t>
      </w:r>
    </w:p>
    <w:p w14:paraId="3370E59A">
      <w:pPr>
        <w:ind w:firstLine="480"/>
        <w:rPr>
          <w:highlight w:val="none"/>
        </w:rPr>
      </w:pPr>
      <w:r>
        <w:rPr>
          <w:rFonts w:hint="eastAsia"/>
          <w:highlight w:val="none"/>
        </w:rPr>
        <w:t>（2）具体、明确的异议事项、事实依据及与异议事项相关的请求。</w:t>
      </w:r>
    </w:p>
    <w:p w14:paraId="1EE17945">
      <w:pPr>
        <w:ind w:firstLine="480"/>
        <w:rPr>
          <w:highlight w:val="none"/>
        </w:rPr>
      </w:pPr>
      <w:r>
        <w:rPr>
          <w:rFonts w:hint="eastAsia"/>
          <w:highlight w:val="none"/>
        </w:rPr>
        <w:t>（3）异议函应由异议人的法定代表人（单位负责人）或其授权的代理人签字并加盖印章。</w:t>
      </w:r>
    </w:p>
    <w:p w14:paraId="3E9E8CAD">
      <w:pPr>
        <w:ind w:firstLine="480"/>
        <w:rPr>
          <w:highlight w:val="none"/>
        </w:rPr>
      </w:pPr>
      <w:r>
        <w:rPr>
          <w:rFonts w:hint="eastAsia"/>
          <w:highlight w:val="none"/>
        </w:rPr>
        <w:t>供应商或者其他利害关系人未按照本条要求提出的异议不予受理。</w:t>
      </w:r>
    </w:p>
    <w:p w14:paraId="00E07781">
      <w:pPr>
        <w:pStyle w:val="2"/>
        <w:ind w:firstLine="482"/>
        <w:jc w:val="left"/>
        <w:rPr>
          <w:highlight w:val="none"/>
        </w:rPr>
      </w:pPr>
      <w:r>
        <w:rPr>
          <w:rFonts w:hint="eastAsia"/>
          <w:highlight w:val="none"/>
        </w:rPr>
        <w:t>9</w:t>
      </w:r>
      <w:r>
        <w:rPr>
          <w:highlight w:val="none"/>
        </w:rPr>
        <w:t xml:space="preserve"> </w:t>
      </w:r>
      <w:r>
        <w:rPr>
          <w:rFonts w:hint="eastAsia"/>
          <w:highlight w:val="none"/>
        </w:rPr>
        <w:t>纪律要求</w:t>
      </w:r>
    </w:p>
    <w:p w14:paraId="7628F2C6">
      <w:pPr>
        <w:pStyle w:val="4"/>
        <w:ind w:firstLine="482"/>
        <w:rPr>
          <w:highlight w:val="none"/>
        </w:rPr>
      </w:pPr>
      <w:r>
        <w:rPr>
          <w:rFonts w:hint="eastAsia"/>
          <w:highlight w:val="none"/>
        </w:rPr>
        <w:t>9.1对采购人的纪律要求</w:t>
      </w:r>
    </w:p>
    <w:p w14:paraId="5D88BFE3">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14:paraId="6505A66F">
      <w:pPr>
        <w:pStyle w:val="4"/>
        <w:ind w:firstLine="482"/>
        <w:rPr>
          <w:highlight w:val="none"/>
        </w:rPr>
      </w:pPr>
      <w:r>
        <w:rPr>
          <w:rFonts w:hint="eastAsia"/>
          <w:highlight w:val="none"/>
        </w:rPr>
        <w:t>9.2对供应商的纪律要求</w:t>
      </w:r>
    </w:p>
    <w:p w14:paraId="753D11DB">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7FE46880">
      <w:pPr>
        <w:pStyle w:val="4"/>
        <w:ind w:firstLine="482"/>
        <w:rPr>
          <w:highlight w:val="none"/>
        </w:rPr>
      </w:pPr>
      <w:r>
        <w:rPr>
          <w:rFonts w:hint="eastAsia"/>
          <w:highlight w:val="none"/>
        </w:rPr>
        <w:t>9.3对评审小组成员的纪律要求</w:t>
      </w:r>
    </w:p>
    <w:p w14:paraId="1F5C60FF">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34B0951F">
      <w:pPr>
        <w:pStyle w:val="4"/>
        <w:ind w:firstLine="482"/>
        <w:rPr>
          <w:highlight w:val="none"/>
        </w:rPr>
      </w:pPr>
      <w:r>
        <w:rPr>
          <w:rFonts w:hint="eastAsia"/>
          <w:highlight w:val="none"/>
        </w:rPr>
        <w:t>9.4对与采购活动有关的工作人员的纪律要求</w:t>
      </w:r>
    </w:p>
    <w:p w14:paraId="276DC3E0">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0F0140A7">
      <w:pPr>
        <w:pStyle w:val="2"/>
        <w:ind w:firstLine="482"/>
        <w:jc w:val="left"/>
        <w:rPr>
          <w:highlight w:val="none"/>
        </w:rPr>
      </w:pPr>
      <w:r>
        <w:rPr>
          <w:rFonts w:hint="eastAsia"/>
          <w:highlight w:val="none"/>
        </w:rPr>
        <w:t>10 需要补充的内容</w:t>
      </w:r>
    </w:p>
    <w:p w14:paraId="01C9ACA7">
      <w:pPr>
        <w:ind w:firstLine="480"/>
        <w:rPr>
          <w:highlight w:val="none"/>
        </w:rPr>
      </w:pPr>
      <w:r>
        <w:rPr>
          <w:rFonts w:hint="eastAsia"/>
          <w:highlight w:val="none"/>
        </w:rPr>
        <w:t>见供应商须知前附表</w:t>
      </w:r>
    </w:p>
    <w:p w14:paraId="7E3B5368">
      <w:pPr>
        <w:ind w:firstLine="480"/>
        <w:rPr>
          <w:highlight w:val="none"/>
        </w:rPr>
      </w:pPr>
      <w:r>
        <w:rPr>
          <w:rFonts w:hint="eastAsia"/>
          <w:highlight w:val="none"/>
        </w:rPr>
        <w:br w:type="page"/>
      </w:r>
    </w:p>
    <w:p w14:paraId="2E7E4C4A">
      <w:pPr>
        <w:widowControl/>
        <w:spacing w:line="240" w:lineRule="auto"/>
        <w:ind w:firstLine="0" w:firstLineChars="0"/>
        <w:jc w:val="left"/>
        <w:rPr>
          <w:rFonts w:cs="Times New Roman"/>
          <w:b/>
          <w:bCs/>
          <w:szCs w:val="32"/>
          <w:highlight w:val="none"/>
        </w:rPr>
      </w:pPr>
    </w:p>
    <w:p w14:paraId="741FF6A1">
      <w:pPr>
        <w:ind w:firstLine="480"/>
        <w:rPr>
          <w:highlight w:val="none"/>
        </w:rPr>
      </w:pPr>
    </w:p>
    <w:p w14:paraId="0D497DFC">
      <w:pPr>
        <w:ind w:firstLine="480"/>
        <w:rPr>
          <w:highlight w:val="none"/>
        </w:rPr>
      </w:pPr>
    </w:p>
    <w:p w14:paraId="43559B94">
      <w:pPr>
        <w:ind w:firstLine="480"/>
        <w:rPr>
          <w:highlight w:val="none"/>
        </w:rPr>
      </w:pPr>
    </w:p>
    <w:p w14:paraId="625F8FDC">
      <w:pPr>
        <w:ind w:firstLine="480"/>
        <w:rPr>
          <w:highlight w:val="none"/>
        </w:rPr>
      </w:pPr>
    </w:p>
    <w:p w14:paraId="37D1D240">
      <w:pPr>
        <w:ind w:firstLine="480"/>
        <w:rPr>
          <w:highlight w:val="none"/>
        </w:rPr>
      </w:pPr>
    </w:p>
    <w:p w14:paraId="6764EFDA">
      <w:pPr>
        <w:ind w:firstLine="480"/>
        <w:rPr>
          <w:highlight w:val="none"/>
        </w:rPr>
      </w:pPr>
    </w:p>
    <w:p w14:paraId="4550BEAB">
      <w:pPr>
        <w:ind w:firstLine="480"/>
        <w:rPr>
          <w:highlight w:val="none"/>
        </w:rPr>
      </w:pPr>
    </w:p>
    <w:p w14:paraId="4F1F5248">
      <w:pPr>
        <w:ind w:firstLine="480"/>
        <w:rPr>
          <w:highlight w:val="none"/>
        </w:rPr>
      </w:pPr>
    </w:p>
    <w:p w14:paraId="2EC69765">
      <w:pPr>
        <w:ind w:firstLine="480"/>
        <w:rPr>
          <w:highlight w:val="none"/>
        </w:rPr>
      </w:pPr>
    </w:p>
    <w:p w14:paraId="359C22CF">
      <w:pPr>
        <w:ind w:firstLine="480"/>
        <w:rPr>
          <w:highlight w:val="none"/>
        </w:rPr>
      </w:pPr>
    </w:p>
    <w:p w14:paraId="45C4A7EC">
      <w:pPr>
        <w:ind w:firstLine="480"/>
        <w:rPr>
          <w:highlight w:val="none"/>
        </w:rPr>
      </w:pPr>
    </w:p>
    <w:p w14:paraId="21EB0ADA">
      <w:pPr>
        <w:keepNext/>
        <w:keepLines/>
        <w:ind w:firstLine="141" w:firstLineChars="32"/>
        <w:jc w:val="center"/>
        <w:outlineLvl w:val="0"/>
        <w:rPr>
          <w:rFonts w:eastAsia="黑体"/>
          <w:b/>
          <w:bCs/>
          <w:kern w:val="44"/>
          <w:sz w:val="44"/>
          <w:szCs w:val="44"/>
          <w:highlight w:val="none"/>
        </w:rPr>
      </w:pPr>
      <w:bookmarkStart w:id="7" w:name="_Toc30142"/>
      <w:r>
        <w:rPr>
          <w:rFonts w:hint="eastAsia" w:eastAsia="黑体"/>
          <w:b/>
          <w:bCs/>
          <w:kern w:val="44"/>
          <w:sz w:val="44"/>
          <w:szCs w:val="44"/>
          <w:highlight w:val="none"/>
        </w:rPr>
        <w:t>第三章 评审方法</w:t>
      </w:r>
      <w:bookmarkEnd w:id="7"/>
    </w:p>
    <w:p w14:paraId="4425A75B">
      <w:pPr>
        <w:widowControl/>
        <w:spacing w:line="240" w:lineRule="auto"/>
        <w:ind w:firstLine="0" w:firstLineChars="0"/>
        <w:jc w:val="left"/>
        <w:rPr>
          <w:rFonts w:eastAsia="黑体"/>
          <w:bCs/>
          <w:kern w:val="44"/>
          <w:sz w:val="44"/>
          <w:szCs w:val="44"/>
          <w:highlight w:val="none"/>
        </w:rPr>
      </w:pPr>
      <w:r>
        <w:rPr>
          <w:highlight w:val="none"/>
        </w:rPr>
        <w:br w:type="page"/>
      </w:r>
    </w:p>
    <w:p w14:paraId="52347EAE">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14:paraId="5D1E24A7">
      <w:pPr>
        <w:pStyle w:val="2"/>
        <w:ind w:firstLine="482"/>
        <w:jc w:val="left"/>
        <w:rPr>
          <w:highlight w:val="none"/>
        </w:rPr>
      </w:pPr>
      <w:r>
        <w:rPr>
          <w:rFonts w:hint="eastAsia"/>
          <w:highlight w:val="none"/>
        </w:rPr>
        <w:t>1</w:t>
      </w:r>
      <w:r>
        <w:rPr>
          <w:highlight w:val="none"/>
        </w:rPr>
        <w:t xml:space="preserve"> </w:t>
      </w:r>
      <w:r>
        <w:rPr>
          <w:rFonts w:hint="eastAsia"/>
          <w:highlight w:val="none"/>
        </w:rPr>
        <w:t>评审方法</w:t>
      </w:r>
    </w:p>
    <w:p w14:paraId="64592006">
      <w:pPr>
        <w:ind w:firstLine="480"/>
      </w:pPr>
      <w:r>
        <w:rPr>
          <w:rFonts w:hint="eastAsia"/>
          <w:highlight w:val="none"/>
        </w:rPr>
        <w:t>本项目采用</w:t>
      </w:r>
      <w:r>
        <w:rPr>
          <w:rFonts w:hint="eastAsia"/>
          <w:b/>
          <w:bCs/>
          <w:highlight w:val="none"/>
          <w:u w:val="single"/>
          <w:lang w:val="en-US" w:eastAsia="zh-CN"/>
        </w:rPr>
        <w:t>综合评分法</w:t>
      </w:r>
      <w:r>
        <w:rPr>
          <w:rFonts w:hint="eastAsia"/>
          <w:highlight w:val="none"/>
        </w:rPr>
        <w:t>，评审小组对满足采购文件实质性要求的响应文件按照本章规定的方法进行评审，</w:t>
      </w:r>
      <w:r>
        <w:rPr>
          <w:rFonts w:hint="eastAsia"/>
        </w:rPr>
        <w:t>并按照得分由高到低的顺序推荐1名候选成交供应商。</w:t>
      </w:r>
    </w:p>
    <w:p w14:paraId="61E2FD1C">
      <w:pPr>
        <w:pStyle w:val="2"/>
        <w:ind w:firstLine="482"/>
        <w:jc w:val="left"/>
        <w:rPr>
          <w:highlight w:val="none"/>
        </w:rPr>
      </w:pPr>
      <w:r>
        <w:rPr>
          <w:rFonts w:hint="eastAsia"/>
          <w:highlight w:val="none"/>
        </w:rPr>
        <w:t>2</w:t>
      </w:r>
      <w:r>
        <w:rPr>
          <w:highlight w:val="none"/>
        </w:rPr>
        <w:t xml:space="preserve"> </w:t>
      </w:r>
      <w:r>
        <w:rPr>
          <w:rFonts w:hint="eastAsia"/>
          <w:highlight w:val="none"/>
        </w:rPr>
        <w:t>评审程序</w:t>
      </w:r>
    </w:p>
    <w:p w14:paraId="6581D8ED">
      <w:pPr>
        <w:pStyle w:val="4"/>
        <w:ind w:firstLine="482"/>
        <w:rPr>
          <w:highlight w:val="none"/>
        </w:rPr>
      </w:pPr>
      <w:r>
        <w:rPr>
          <w:rFonts w:hint="eastAsia"/>
          <w:highlight w:val="none"/>
        </w:rPr>
        <w:t>2</w:t>
      </w:r>
      <w:r>
        <w:rPr>
          <w:highlight w:val="none"/>
        </w:rPr>
        <w:t>.1</w:t>
      </w:r>
      <w:r>
        <w:rPr>
          <w:rFonts w:hint="eastAsia"/>
          <w:highlight w:val="none"/>
        </w:rPr>
        <w:t>初步评审</w:t>
      </w:r>
    </w:p>
    <w:p w14:paraId="3EA48D1E">
      <w:pPr>
        <w:ind w:firstLine="480"/>
        <w:rPr>
          <w:highlight w:val="none"/>
        </w:rPr>
      </w:pPr>
      <w:r>
        <w:rPr>
          <w:highlight w:val="none"/>
        </w:rPr>
        <w:t>2.1.1</w:t>
      </w:r>
      <w:r>
        <w:rPr>
          <w:rFonts w:hint="eastAsia"/>
          <w:highlight w:val="none"/>
        </w:rPr>
        <w:t>资格审查</w:t>
      </w:r>
    </w:p>
    <w:p w14:paraId="4B9342CF">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“评审标准”中要求的提供证明材料的，其响应文件视为无效。</w:t>
      </w:r>
    </w:p>
    <w:p w14:paraId="795CC0B6">
      <w:pPr>
        <w:ind w:firstLine="480"/>
        <w:rPr>
          <w:highlight w:val="none"/>
        </w:rPr>
      </w:pPr>
      <w:r>
        <w:rPr>
          <w:rFonts w:hint="eastAsia"/>
          <w:highlight w:val="none"/>
        </w:rPr>
        <w:t>2</w:t>
      </w:r>
      <w:r>
        <w:rPr>
          <w:highlight w:val="none"/>
        </w:rPr>
        <w:t>.1.2</w:t>
      </w:r>
      <w:r>
        <w:rPr>
          <w:rFonts w:hint="eastAsia"/>
          <w:highlight w:val="none"/>
        </w:rPr>
        <w:t>符合性审查</w:t>
      </w:r>
    </w:p>
    <w:p w14:paraId="04438082">
      <w:pPr>
        <w:ind w:firstLine="480"/>
        <w:rPr>
          <w:highlight w:val="none"/>
        </w:rPr>
      </w:pPr>
      <w:r>
        <w:rPr>
          <w:rFonts w:hint="eastAsia"/>
          <w:highlight w:val="none"/>
        </w:rPr>
        <w:t>有下列情形之一的其响应文件将被视为无效：</w:t>
      </w:r>
    </w:p>
    <w:p w14:paraId="352F699E">
      <w:pPr>
        <w:ind w:firstLine="480"/>
        <w:rPr>
          <w:highlight w:val="none"/>
        </w:rPr>
      </w:pPr>
      <w:r>
        <w:rPr>
          <w:rFonts w:hint="eastAsia"/>
          <w:highlight w:val="none"/>
        </w:rPr>
        <w:t>（1）响应文件未密封或者未按规定密封，或有明显拆封现象的；</w:t>
      </w:r>
    </w:p>
    <w:p w14:paraId="10BC81D1">
      <w:pPr>
        <w:ind w:firstLine="480"/>
        <w:rPr>
          <w:highlight w:val="none"/>
        </w:rPr>
      </w:pPr>
      <w:r>
        <w:rPr>
          <w:rFonts w:hint="eastAsia"/>
          <w:highlight w:val="none"/>
        </w:rPr>
        <w:t>（2）不符合供应商须知前附表中规定的响应文件装订要求的；</w:t>
      </w:r>
    </w:p>
    <w:p w14:paraId="049F5808">
      <w:pPr>
        <w:ind w:firstLine="480"/>
        <w:rPr>
          <w:highlight w:val="none"/>
        </w:rPr>
      </w:pPr>
      <w:r>
        <w:rPr>
          <w:rFonts w:hint="eastAsia"/>
          <w:highlight w:val="none"/>
        </w:rPr>
        <w:t>（3）响应文件未加盖供应商公章，未经法定代表人或其授权代理人签署；</w:t>
      </w:r>
    </w:p>
    <w:p w14:paraId="2B1C662F">
      <w:pPr>
        <w:ind w:firstLine="480"/>
        <w:rPr>
          <w:highlight w:val="none"/>
        </w:rPr>
      </w:pPr>
      <w:r>
        <w:rPr>
          <w:rFonts w:hint="eastAsia"/>
          <w:highlight w:val="none"/>
        </w:rPr>
        <w:t>（4）如需要授权，未提供合法、有效的授权委托书原件；</w:t>
      </w:r>
    </w:p>
    <w:p w14:paraId="144E57CD">
      <w:pPr>
        <w:ind w:firstLine="480"/>
        <w:rPr>
          <w:highlight w:val="none"/>
        </w:rPr>
      </w:pPr>
      <w:r>
        <w:rPr>
          <w:rFonts w:hint="eastAsia"/>
          <w:highlight w:val="none"/>
        </w:rPr>
        <w:t>（5）未按采购文件规定的格式、内容和要求编制，关键内容字迹潦草、模糊，无法辨认的；</w:t>
      </w:r>
    </w:p>
    <w:p w14:paraId="23F20B11">
      <w:pPr>
        <w:ind w:firstLine="480"/>
        <w:rPr>
          <w:highlight w:val="none"/>
        </w:rPr>
      </w:pPr>
      <w:r>
        <w:rPr>
          <w:rFonts w:hint="eastAsia"/>
          <w:highlight w:val="none"/>
        </w:rPr>
        <w:t>（6）响应文件未对采购文件中的实质性内容作出响应的或未提供采购文件关键条款的相关证据或证明材料的；</w:t>
      </w:r>
    </w:p>
    <w:p w14:paraId="54F7DCE6">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14:paraId="0F79A612">
      <w:pPr>
        <w:pStyle w:val="2"/>
        <w:ind w:firstLine="480"/>
        <w:rPr>
          <w:rFonts w:cs="Times New Roman"/>
          <w:b w:val="0"/>
          <w:bCs w:val="0"/>
          <w:szCs w:val="22"/>
          <w:highlight w:val="none"/>
        </w:rPr>
      </w:pPr>
      <w:r>
        <w:rPr>
          <w:rFonts w:hint="eastAsia" w:cs="Times New Roman"/>
          <w:b/>
          <w:bCs/>
          <w:szCs w:val="22"/>
          <w:highlight w:val="none"/>
        </w:rPr>
        <w:t>2.1.3</w:t>
      </w:r>
      <w:r>
        <w:rPr>
          <w:rFonts w:hint="eastAsia"/>
          <w:b/>
          <w:bCs/>
        </w:rPr>
        <w:t>如通过初步评审供应商不足三家的，评审小组应当终止评审，后续评审不再进行。</w:t>
      </w:r>
    </w:p>
    <w:p w14:paraId="0DE75A6E">
      <w:pPr>
        <w:pStyle w:val="4"/>
        <w:ind w:firstLine="482"/>
        <w:rPr>
          <w:color w:val="000000"/>
        </w:rPr>
      </w:pPr>
      <w:r>
        <w:rPr>
          <w:color w:val="000000"/>
        </w:rPr>
        <w:t>2.2</w:t>
      </w:r>
      <w:r>
        <w:rPr>
          <w:rFonts w:hint="eastAsia"/>
          <w:color w:val="000000"/>
        </w:rPr>
        <w:t>商务技术评审</w:t>
      </w:r>
    </w:p>
    <w:p w14:paraId="78F3774D">
      <w:pPr>
        <w:ind w:firstLine="480"/>
        <w:rPr>
          <w:color w:val="000000"/>
        </w:rPr>
      </w:pPr>
      <w:r>
        <w:rPr>
          <w:rFonts w:hint="eastAsia"/>
          <w:color w:val="000000"/>
        </w:rPr>
        <w:t>通过“商务和技术偏离表”及“物资参数表”符合性审查的响应文件进行商务技术评分评审。未通过符合性审查的响应文件，将被判为不满足采购文件实质性要求。</w:t>
      </w:r>
    </w:p>
    <w:p w14:paraId="2F62EFE0">
      <w:pPr>
        <w:ind w:firstLine="482"/>
        <w:rPr>
          <w:rFonts w:hint="eastAsia"/>
          <w:color w:val="000000"/>
        </w:rPr>
      </w:pPr>
      <w:r>
        <w:rPr>
          <w:rFonts w:hint="eastAsia"/>
          <w:color w:val="000000"/>
        </w:rPr>
        <w:t>2</w:t>
      </w:r>
      <w:r>
        <w:rPr>
          <w:color w:val="000000"/>
        </w:rPr>
        <w:t>.2.1</w:t>
      </w:r>
      <w:r>
        <w:rPr>
          <w:rFonts w:hint="eastAsia"/>
          <w:color w:val="000000"/>
        </w:rPr>
        <w:t>商务技术评分标准见附件</w:t>
      </w:r>
      <w:r>
        <w:rPr>
          <w:rFonts w:hint="eastAsia"/>
          <w:color w:val="000000"/>
          <w:lang w:val="en-US" w:eastAsia="zh-CN"/>
        </w:rPr>
        <w:t>一</w:t>
      </w:r>
      <w:r>
        <w:rPr>
          <w:rFonts w:hint="eastAsia"/>
          <w:color w:val="000000"/>
        </w:rPr>
        <w:t>“评审标准”。</w:t>
      </w:r>
    </w:p>
    <w:p w14:paraId="797503F3">
      <w:pPr>
        <w:ind w:firstLine="482"/>
        <w:rPr>
          <w:highlight w:val="none"/>
        </w:rPr>
      </w:pPr>
      <w:r>
        <w:rPr>
          <w:rFonts w:hint="eastAsia"/>
          <w:b/>
          <w:bCs/>
          <w:highlight w:val="none"/>
        </w:rPr>
        <w:t>2.2.2本项目中的参考品牌，是所采购产品（设备）的档次。供应商可以选择参考品牌，也可以选择参考品牌以外的品牌，但所选品牌档次须等于或高于参考品牌档次。所选品牌档次低于参考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等材料），经评审小组三分之二以上人员论证，确认该品牌产品（设备）符合本项目要求的，论证没有通过的品牌不予接受，其相应的响应文件将视为未能对本采购文件作出实质性响应，将作无效响应处理。</w:t>
      </w:r>
    </w:p>
    <w:p w14:paraId="3F118EE2">
      <w:pPr>
        <w:pStyle w:val="4"/>
        <w:ind w:firstLine="482"/>
        <w:rPr>
          <w:highlight w:val="none"/>
        </w:rPr>
      </w:pPr>
      <w:r>
        <w:rPr>
          <w:rFonts w:hint="eastAsia"/>
          <w:highlight w:val="none"/>
        </w:rPr>
        <w:t>2</w:t>
      </w:r>
      <w:r>
        <w:rPr>
          <w:highlight w:val="none"/>
        </w:rPr>
        <w:t>.</w:t>
      </w:r>
      <w:r>
        <w:rPr>
          <w:rFonts w:hint="eastAsia"/>
          <w:highlight w:val="none"/>
          <w:lang w:val="en-US" w:eastAsia="zh-CN"/>
        </w:rPr>
        <w:t>3</w:t>
      </w:r>
      <w:r>
        <w:rPr>
          <w:rFonts w:hint="eastAsia"/>
          <w:highlight w:val="none"/>
        </w:rPr>
        <w:t>报价评审</w:t>
      </w:r>
    </w:p>
    <w:p w14:paraId="4942A931">
      <w:pPr>
        <w:ind w:firstLine="480"/>
        <w:rPr>
          <w:highlight w:val="none"/>
        </w:rPr>
      </w:pPr>
      <w:r>
        <w:rPr>
          <w:rFonts w:hint="eastAsia"/>
          <w:highlight w:val="none"/>
        </w:rPr>
        <w:t>2.</w:t>
      </w:r>
      <w:r>
        <w:rPr>
          <w:rFonts w:hint="eastAsia"/>
          <w:highlight w:val="none"/>
          <w:lang w:val="en-US" w:eastAsia="zh-CN"/>
        </w:rPr>
        <w:t>2</w:t>
      </w:r>
      <w:r>
        <w:rPr>
          <w:highlight w:val="none"/>
        </w:rPr>
        <w:t>.1</w:t>
      </w:r>
      <w:r>
        <w:rPr>
          <w:rFonts w:hint="eastAsia"/>
          <w:highlight w:val="none"/>
        </w:rPr>
        <w:t>评审价格为供应商在参选报价表中填写的大写含税价格。</w:t>
      </w:r>
    </w:p>
    <w:p w14:paraId="7C8E7809">
      <w:pPr>
        <w:ind w:firstLine="480"/>
        <w:rPr>
          <w:color w:val="000000"/>
          <w:highlight w:val="none"/>
        </w:rPr>
      </w:pPr>
      <w:r>
        <w:rPr>
          <w:color w:val="000000"/>
          <w:highlight w:val="none"/>
        </w:rPr>
        <w:t>2.</w:t>
      </w:r>
      <w:r>
        <w:rPr>
          <w:rFonts w:hint="eastAsia"/>
          <w:color w:val="000000"/>
          <w:highlight w:val="none"/>
          <w:lang w:val="en-US" w:eastAsia="zh-CN"/>
        </w:rPr>
        <w:t>2</w:t>
      </w:r>
      <w:r>
        <w:rPr>
          <w:color w:val="000000"/>
          <w:highlight w:val="none"/>
        </w:rPr>
        <w:t>.2</w:t>
      </w:r>
      <w:r>
        <w:rPr>
          <w:rFonts w:hint="eastAsia"/>
          <w:color w:val="000000"/>
          <w:highlight w:val="none"/>
        </w:rPr>
        <w:t>报价评分计算方法见附件</w:t>
      </w:r>
      <w:r>
        <w:rPr>
          <w:rFonts w:hint="eastAsia"/>
          <w:color w:val="000000"/>
          <w:highlight w:val="none"/>
          <w:lang w:val="en-US" w:eastAsia="zh-CN"/>
        </w:rPr>
        <w:t>一</w:t>
      </w:r>
      <w:r>
        <w:rPr>
          <w:rFonts w:hint="eastAsia"/>
          <w:color w:val="000000"/>
          <w:highlight w:val="none"/>
        </w:rPr>
        <w:t>“评审标准”。</w:t>
      </w:r>
    </w:p>
    <w:p w14:paraId="71C662F0">
      <w:pPr>
        <w:ind w:firstLine="480"/>
        <w:rPr>
          <w:highlight w:val="none"/>
        </w:rPr>
      </w:pPr>
      <w:r>
        <w:rPr>
          <w:rFonts w:hint="eastAsia"/>
          <w:highlight w:val="none"/>
        </w:rPr>
        <w:t>2</w:t>
      </w:r>
      <w:r>
        <w:rPr>
          <w:highlight w:val="none"/>
        </w:rPr>
        <w:t>.</w:t>
      </w:r>
      <w:r>
        <w:rPr>
          <w:rFonts w:hint="eastAsia"/>
          <w:highlight w:val="none"/>
          <w:lang w:val="en-US" w:eastAsia="zh-CN"/>
        </w:rPr>
        <w:t>2</w:t>
      </w:r>
      <w:r>
        <w:rPr>
          <w:highlight w:val="none"/>
        </w:rPr>
        <w:t>.2</w:t>
      </w:r>
      <w:r>
        <w:rPr>
          <w:rFonts w:hint="eastAsia"/>
          <w:highlight w:val="none"/>
        </w:rPr>
        <w:t>有下列情形之一的其响应文件将被视为无效：</w:t>
      </w:r>
    </w:p>
    <w:p w14:paraId="5ABEF8FE">
      <w:pPr>
        <w:ind w:firstLine="480"/>
      </w:pPr>
      <w:r>
        <w:rPr>
          <w:rFonts w:hint="eastAsia"/>
        </w:rPr>
        <w:t>（1）评审价格超过最高限价的；</w:t>
      </w:r>
    </w:p>
    <w:p w14:paraId="595CA08B">
      <w:pPr>
        <w:ind w:firstLine="480"/>
      </w:pPr>
      <w:r>
        <w:rPr>
          <w:rFonts w:hint="eastAsia"/>
        </w:rPr>
        <w:t>（2）响应文件有效期不满足采购文件要求的；</w:t>
      </w:r>
    </w:p>
    <w:p w14:paraId="3F034529">
      <w:pPr>
        <w:ind w:firstLine="480"/>
      </w:pPr>
      <w:r>
        <w:rPr>
          <w:rFonts w:hint="eastAsia"/>
        </w:rPr>
        <w:t>（3）响应文件未对采购的全部内容进行报价，只响应其中部分内容或出现选择性报价的。</w:t>
      </w:r>
    </w:p>
    <w:p w14:paraId="77540167">
      <w:pPr>
        <w:ind w:firstLine="480"/>
        <w:rPr>
          <w:highlight w:val="none"/>
        </w:rPr>
      </w:pPr>
      <w:r>
        <w:rPr>
          <w:rFonts w:hint="eastAsia"/>
        </w:rPr>
        <w:t>（4）按照本章要求对报价进行修正，供应商拒不澄清确认的。</w:t>
      </w:r>
    </w:p>
    <w:p w14:paraId="4EA3C68C">
      <w:pPr>
        <w:pStyle w:val="2"/>
        <w:ind w:firstLine="482"/>
        <w:rPr>
          <w:highlight w:val="none"/>
        </w:rPr>
      </w:pPr>
      <w:r>
        <w:rPr>
          <w:rFonts w:hint="eastAsia"/>
          <w:highlight w:val="none"/>
        </w:rPr>
        <w:t>3</w:t>
      </w:r>
      <w:r>
        <w:rPr>
          <w:highlight w:val="none"/>
        </w:rPr>
        <w:t xml:space="preserve"> </w:t>
      </w:r>
      <w:r>
        <w:rPr>
          <w:rFonts w:hint="eastAsia"/>
          <w:highlight w:val="none"/>
        </w:rPr>
        <w:t>响应文件的澄清和补正</w:t>
      </w:r>
    </w:p>
    <w:p w14:paraId="75C0FBBA">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14:paraId="66A75CBA">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14:paraId="62549FD8">
      <w:pPr>
        <w:ind w:firstLine="480"/>
        <w:rPr>
          <w:highlight w:val="none"/>
        </w:rPr>
      </w:pPr>
      <w:r>
        <w:rPr>
          <w:rFonts w:hint="eastAsia"/>
          <w:highlight w:val="none"/>
        </w:rPr>
        <w:t>（1）</w:t>
      </w:r>
      <w:r>
        <w:rPr>
          <w:rFonts w:hint="eastAsia"/>
        </w:rPr>
        <w:t>报价出现不一致的，以响应函中填写的大写含税价格为准</w:t>
      </w:r>
      <w:r>
        <w:rPr>
          <w:rFonts w:hint="eastAsia"/>
          <w:highlight w:val="none"/>
        </w:rPr>
        <w:t>；</w:t>
      </w:r>
    </w:p>
    <w:p w14:paraId="6CF92FC8">
      <w:pPr>
        <w:ind w:firstLine="480"/>
        <w:rPr>
          <w:highlight w:val="none"/>
        </w:rPr>
      </w:pPr>
      <w:r>
        <w:rPr>
          <w:rFonts w:hint="eastAsia"/>
          <w:highlight w:val="none"/>
        </w:rPr>
        <w:t>（2）大写金额与小写金额不一致的，以大写金额为准；</w:t>
      </w:r>
    </w:p>
    <w:p w14:paraId="7BA7AB45">
      <w:pPr>
        <w:ind w:firstLine="480"/>
        <w:rPr>
          <w:highlight w:val="none"/>
        </w:rPr>
      </w:pPr>
      <w:r>
        <w:rPr>
          <w:rFonts w:hint="eastAsia"/>
          <w:highlight w:val="none"/>
        </w:rPr>
        <w:t>（3）</w:t>
      </w:r>
      <w:r>
        <w:rPr>
          <w:highlight w:val="none"/>
        </w:rPr>
        <w:t>单价金额小数点或者百分比有明显错位的，以</w:t>
      </w:r>
      <w:r>
        <w:rPr>
          <w:rFonts w:hint="eastAsia"/>
          <w:highlight w:val="none"/>
        </w:rPr>
        <w:t>参选报价表填写的大写含税价格为准</w:t>
      </w:r>
      <w:r>
        <w:rPr>
          <w:highlight w:val="none"/>
        </w:rPr>
        <w:t>，并修改单价；</w:t>
      </w:r>
    </w:p>
    <w:p w14:paraId="137F5091">
      <w:pPr>
        <w:ind w:firstLine="480"/>
        <w:rPr>
          <w:highlight w:val="none"/>
        </w:rPr>
      </w:pPr>
      <w:r>
        <w:rPr>
          <w:rFonts w:hint="eastAsia"/>
          <w:highlight w:val="none"/>
        </w:rPr>
        <w:t>（4）总价金额与按单价汇总金额不一致的，以单价金额计算结果为准；</w:t>
      </w:r>
    </w:p>
    <w:p w14:paraId="41C760D6">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14:paraId="231F50C5">
      <w:pPr>
        <w:pStyle w:val="2"/>
        <w:ind w:firstLine="482"/>
        <w:rPr>
          <w:highlight w:val="none"/>
        </w:rPr>
      </w:pPr>
      <w:r>
        <w:rPr>
          <w:rFonts w:hint="eastAsia"/>
          <w:highlight w:val="none"/>
        </w:rPr>
        <w:t>4评分与汇总</w:t>
      </w:r>
    </w:p>
    <w:p w14:paraId="00C98752">
      <w:pPr>
        <w:ind w:firstLine="480"/>
        <w:rPr>
          <w:color w:val="000000"/>
          <w:highlight w:val="none"/>
        </w:rPr>
      </w:pPr>
      <w:bookmarkStart w:id="8" w:name="OLE_LINK30"/>
      <w:bookmarkStart w:id="9" w:name="OLE_LINK31"/>
      <w:r>
        <w:rPr>
          <w:rFonts w:hint="eastAsia"/>
          <w:color w:val="000000"/>
          <w:highlight w:val="none"/>
        </w:rPr>
        <w:t>评审小组成员按照评分标准独立对每个有效的投标文件进行评价、打分，然后汇总每个供应商各项评分因素的得分。各项得分汇总后为该供应商的评分总分。</w:t>
      </w:r>
    </w:p>
    <w:bookmarkEnd w:id="8"/>
    <w:bookmarkEnd w:id="9"/>
    <w:p w14:paraId="53A8E8F7">
      <w:pPr>
        <w:pStyle w:val="2"/>
        <w:ind w:firstLine="482"/>
        <w:rPr>
          <w:highlight w:val="none"/>
        </w:rPr>
      </w:pPr>
      <w:r>
        <w:rPr>
          <w:rFonts w:hint="eastAsia"/>
          <w:highlight w:val="none"/>
        </w:rPr>
        <w:t>5</w:t>
      </w:r>
      <w:r>
        <w:rPr>
          <w:highlight w:val="none"/>
        </w:rPr>
        <w:t xml:space="preserve"> </w:t>
      </w:r>
      <w:r>
        <w:rPr>
          <w:rFonts w:hint="eastAsia"/>
          <w:highlight w:val="none"/>
        </w:rPr>
        <w:t>评审结果</w:t>
      </w:r>
    </w:p>
    <w:p w14:paraId="1388C178">
      <w:pPr>
        <w:pStyle w:val="4"/>
        <w:ind w:firstLine="482"/>
        <w:rPr>
          <w:highlight w:val="none"/>
        </w:rPr>
      </w:pPr>
      <w:r>
        <w:rPr>
          <w:rFonts w:hint="eastAsia"/>
          <w:highlight w:val="none"/>
        </w:rPr>
        <w:t>5</w:t>
      </w:r>
      <w:r>
        <w:rPr>
          <w:highlight w:val="none"/>
        </w:rPr>
        <w:t>.</w:t>
      </w:r>
      <w:r>
        <w:rPr>
          <w:rFonts w:hint="eastAsia"/>
          <w:highlight w:val="none"/>
        </w:rPr>
        <w:t>1提交书面评审报告</w:t>
      </w:r>
    </w:p>
    <w:p w14:paraId="1942C1E1">
      <w:pPr>
        <w:ind w:firstLine="480"/>
        <w:rPr>
          <w:highlight w:val="none"/>
        </w:rPr>
      </w:pPr>
      <w:r>
        <w:rPr>
          <w:rFonts w:hint="eastAsia"/>
          <w:highlight w:val="none"/>
        </w:rPr>
        <w:t>评审小组完成评审后，向采购人提交书面评审报告。</w:t>
      </w:r>
    </w:p>
    <w:p w14:paraId="197D0CBD">
      <w:pPr>
        <w:pStyle w:val="4"/>
        <w:ind w:firstLine="482"/>
        <w:rPr>
          <w:highlight w:val="none"/>
        </w:rPr>
      </w:pPr>
      <w:r>
        <w:rPr>
          <w:highlight w:val="none"/>
        </w:rPr>
        <w:t>5</w:t>
      </w:r>
      <w:r>
        <w:rPr>
          <w:rFonts w:hint="eastAsia"/>
          <w:highlight w:val="none"/>
        </w:rPr>
        <w:t>.2推荐候选成交供应商</w:t>
      </w:r>
    </w:p>
    <w:p w14:paraId="07F3F70E">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14:paraId="1BD4684D">
      <w:pPr>
        <w:ind w:firstLine="480"/>
        <w:rPr>
          <w:highlight w:val="none"/>
        </w:rPr>
        <w:sectPr>
          <w:footerReference r:id="rId12" w:type="default"/>
          <w:pgSz w:w="11906" w:h="16838"/>
          <w:pgMar w:top="1418" w:right="1588" w:bottom="1418" w:left="1588" w:header="851" w:footer="992" w:gutter="0"/>
          <w:pgNumType w:fmt="decimal" w:start="1"/>
          <w:cols w:space="720"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商务技术得分高的优先，如商务技术得分也相同的，将通过抽签形式确定候选成交供应商。当中标候选人放弃中标、因不可抗力不能履行合同、不按照采购文件要求将中标金额汇至采购人单位账户，或者被查实存在影响中标结果的违法行为等情形，不符合中标条件的，采购人可以按照评标委员会提出的中标候选人名单排序依次确定其他中标候选人为中标人，也可以重新采购。</w:t>
      </w:r>
    </w:p>
    <w:p w14:paraId="4F044B9F">
      <w:pPr>
        <w:pStyle w:val="2"/>
        <w:ind w:firstLine="482"/>
        <w:rPr>
          <w:highlight w:val="none"/>
        </w:rPr>
      </w:pPr>
      <w:bookmarkStart w:id="10" w:name="_Toc5079"/>
      <w:r>
        <w:rPr>
          <w:rFonts w:hint="eastAsia"/>
          <w:highlight w:val="none"/>
        </w:rPr>
        <w:t>附件</w:t>
      </w:r>
      <w:r>
        <w:rPr>
          <w:rFonts w:hint="eastAsia"/>
          <w:highlight w:val="none"/>
          <w:lang w:val="en-US" w:eastAsia="zh-CN"/>
        </w:rPr>
        <w:t>一</w:t>
      </w:r>
      <w:r>
        <w:rPr>
          <w:rFonts w:hint="eastAsia"/>
          <w:highlight w:val="none"/>
        </w:rPr>
        <w:t xml:space="preserve"> </w:t>
      </w:r>
      <w:bookmarkEnd w:id="10"/>
      <w:r>
        <w:rPr>
          <w:rFonts w:hint="eastAsia"/>
          <w:highlight w:val="none"/>
        </w:rPr>
        <w:t>评审标准</w:t>
      </w:r>
    </w:p>
    <w:p w14:paraId="2E8B6EF6">
      <w:pPr>
        <w:ind w:firstLine="0" w:firstLineChars="0"/>
        <w:jc w:val="center"/>
        <w:rPr>
          <w:b/>
          <w:bCs/>
          <w:highlight w:val="none"/>
        </w:rPr>
      </w:pPr>
      <w:r>
        <w:rPr>
          <w:rFonts w:hint="eastAsia"/>
          <w:b/>
          <w:bCs/>
          <w:highlight w:val="none"/>
        </w:rPr>
        <w:t>资格审查表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36"/>
        <w:gridCol w:w="4634"/>
        <w:gridCol w:w="3465"/>
        <w:gridCol w:w="3671"/>
      </w:tblGrid>
      <w:tr w14:paraId="1362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42" w:type="pct"/>
            <w:noWrap w:val="0"/>
            <w:vAlign w:val="center"/>
          </w:tcPr>
          <w:p w14:paraId="6177FD2F">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2"/>
                <w:szCs w:val="21"/>
                <w:highlight w:val="none"/>
              </w:rPr>
            </w:pPr>
            <w:bookmarkStart w:id="11" w:name="_Hlk135650722"/>
            <w:r>
              <w:rPr>
                <w:rFonts w:hint="eastAsia"/>
                <w:b/>
                <w:bCs/>
                <w:sz w:val="22"/>
                <w:szCs w:val="21"/>
                <w:highlight w:val="none"/>
              </w:rPr>
              <w:t>序号</w:t>
            </w:r>
          </w:p>
        </w:tc>
        <w:tc>
          <w:tcPr>
            <w:tcW w:w="2186" w:type="pct"/>
            <w:gridSpan w:val="2"/>
            <w:noWrap w:val="0"/>
            <w:vAlign w:val="center"/>
          </w:tcPr>
          <w:p w14:paraId="721D9084">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2"/>
                <w:szCs w:val="21"/>
                <w:highlight w:val="none"/>
              </w:rPr>
            </w:pPr>
            <w:r>
              <w:rPr>
                <w:rFonts w:hint="eastAsia"/>
                <w:b/>
                <w:bCs/>
                <w:sz w:val="22"/>
                <w:szCs w:val="21"/>
                <w:highlight w:val="none"/>
              </w:rPr>
              <w:t>供应商资格要求</w:t>
            </w:r>
          </w:p>
        </w:tc>
        <w:tc>
          <w:tcPr>
            <w:tcW w:w="1248" w:type="pct"/>
            <w:noWrap w:val="0"/>
            <w:vAlign w:val="center"/>
          </w:tcPr>
          <w:p w14:paraId="09D42806">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2"/>
                <w:szCs w:val="21"/>
                <w:highlight w:val="none"/>
              </w:rPr>
            </w:pPr>
            <w:r>
              <w:rPr>
                <w:rFonts w:hint="eastAsia"/>
                <w:b/>
                <w:bCs/>
                <w:sz w:val="22"/>
                <w:szCs w:val="21"/>
                <w:highlight w:val="none"/>
              </w:rPr>
              <w:t>响应文件对应章节</w:t>
            </w:r>
          </w:p>
        </w:tc>
        <w:tc>
          <w:tcPr>
            <w:tcW w:w="1322" w:type="pct"/>
            <w:noWrap w:val="0"/>
            <w:vAlign w:val="top"/>
          </w:tcPr>
          <w:p w14:paraId="2DD6FDA0">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b/>
                <w:bCs/>
                <w:sz w:val="22"/>
                <w:szCs w:val="21"/>
                <w:highlight w:val="none"/>
              </w:rPr>
            </w:pPr>
            <w:r>
              <w:rPr>
                <w:rFonts w:hint="eastAsia"/>
                <w:b/>
                <w:bCs/>
                <w:sz w:val="22"/>
                <w:szCs w:val="21"/>
                <w:highlight w:val="none"/>
              </w:rPr>
              <w:t>证明材料</w:t>
            </w:r>
          </w:p>
        </w:tc>
      </w:tr>
      <w:tr w14:paraId="5849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2" w:type="pct"/>
            <w:noWrap w:val="0"/>
            <w:vAlign w:val="center"/>
          </w:tcPr>
          <w:p w14:paraId="7E9457F5">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17" w:type="pct"/>
            <w:noWrap w:val="0"/>
            <w:vAlign w:val="center"/>
          </w:tcPr>
          <w:p w14:paraId="1AC152E4">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1669" w:type="pct"/>
            <w:noWrap w:val="0"/>
            <w:vAlign w:val="center"/>
          </w:tcPr>
          <w:p w14:paraId="2635A7E0">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注册于中华人民共和国境内，具有独立法人资格。</w:t>
            </w:r>
          </w:p>
        </w:tc>
        <w:tc>
          <w:tcPr>
            <w:tcW w:w="1248" w:type="pct"/>
            <w:noWrap w:val="0"/>
            <w:vAlign w:val="center"/>
          </w:tcPr>
          <w:p w14:paraId="1B29D089">
            <w:pPr>
              <w:pStyle w:val="57"/>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第一册“资格审查部分企业营业执照或事业单位法人证书”</w:t>
            </w:r>
          </w:p>
        </w:tc>
        <w:tc>
          <w:tcPr>
            <w:tcW w:w="1322" w:type="pct"/>
            <w:noWrap w:val="0"/>
            <w:vAlign w:val="center"/>
          </w:tcPr>
          <w:p w14:paraId="4C3A0500">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提供符合第六章“响应文件格式”要求的企业营业执照或事业单位法人证书</w:t>
            </w:r>
          </w:p>
        </w:tc>
      </w:tr>
      <w:tr w14:paraId="6046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2" w:type="pct"/>
            <w:noWrap w:val="0"/>
            <w:vAlign w:val="center"/>
          </w:tcPr>
          <w:p w14:paraId="5FBB0EF3">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517" w:type="pct"/>
            <w:noWrap w:val="0"/>
            <w:vAlign w:val="center"/>
          </w:tcPr>
          <w:p w14:paraId="5B3B70DF">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c>
          <w:tcPr>
            <w:tcW w:w="1669" w:type="pct"/>
            <w:noWrap w:val="0"/>
            <w:vAlign w:val="center"/>
          </w:tcPr>
          <w:p w14:paraId="66ACDC2F">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参选人具有良好的信誉，未被“信用中国”、“中国执行信息公开网”及各级信用平台列入失信被执行人、重大税收违法案件当事人等名单；参加采购活动前三年内，在经营活动中无重大违法记录、无不良行为记录（不良行为记录包含参选人经营过程中存在与主营业务相关行政处罚、司法裁判与执行等记录）。</w:t>
            </w:r>
          </w:p>
          <w:p w14:paraId="129D6F5C">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②与比选人存在利害关系可能影响采购公正性的法人、其他组织或者个人，不得参加本项目；单位负责人为同一人或者存在控股、管理关系的不同单位，不得参加本项目</w:t>
            </w:r>
          </w:p>
        </w:tc>
        <w:tc>
          <w:tcPr>
            <w:tcW w:w="1248" w:type="pct"/>
            <w:noWrap w:val="0"/>
            <w:vAlign w:val="center"/>
          </w:tcPr>
          <w:p w14:paraId="53D5F65D">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第一册“资格审查部分 承诺函”</w:t>
            </w:r>
          </w:p>
        </w:tc>
        <w:tc>
          <w:tcPr>
            <w:tcW w:w="1322" w:type="pct"/>
            <w:noWrap w:val="0"/>
            <w:vAlign w:val="center"/>
          </w:tcPr>
          <w:p w14:paraId="241D0F26">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（1）提供符合第六章“响应文件格式”要求的承诺函</w:t>
            </w:r>
          </w:p>
          <w:p w14:paraId="5C14E89C">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val="en-US" w:eastAsia="zh-CN"/>
              </w:rPr>
              <w:t>网站信息</w:t>
            </w:r>
            <w:r>
              <w:rPr>
                <w:rFonts w:hint="eastAsia" w:ascii="宋体" w:hAnsi="宋体" w:eastAsia="宋体" w:cs="宋体"/>
                <w:b/>
                <w:bCs/>
                <w:sz w:val="21"/>
                <w:szCs w:val="21"/>
                <w:highlight w:val="none"/>
              </w:rPr>
              <w:t>以评审小组现场查询结果为准。</w:t>
            </w:r>
          </w:p>
        </w:tc>
      </w:tr>
      <w:tr w14:paraId="5452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42" w:type="pct"/>
            <w:noWrap w:val="0"/>
            <w:vAlign w:val="center"/>
          </w:tcPr>
          <w:p w14:paraId="51F9369D">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436" w:type="dxa"/>
            <w:noWrap w:val="0"/>
            <w:vAlign w:val="center"/>
          </w:tcPr>
          <w:p w14:paraId="5FEAE0EC">
            <w:pPr>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企业业绩</w:t>
            </w:r>
          </w:p>
          <w:p w14:paraId="4A067379">
            <w:pPr>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要求</w:t>
            </w:r>
          </w:p>
        </w:tc>
        <w:tc>
          <w:tcPr>
            <w:tcW w:w="4634" w:type="dxa"/>
            <w:noWrap w:val="0"/>
            <w:vAlign w:val="center"/>
          </w:tcPr>
          <w:p w14:paraId="66B41C4F">
            <w:pPr>
              <w:pStyle w:val="57"/>
              <w:rPr>
                <w:rFonts w:hint="eastAsia" w:ascii="宋体" w:hAnsi="宋体" w:eastAsia="宋体" w:cs="宋体"/>
                <w:sz w:val="21"/>
                <w:szCs w:val="21"/>
                <w:highlight w:val="none"/>
              </w:rPr>
            </w:pPr>
            <w:r>
              <w:rPr>
                <w:rFonts w:hint="eastAsia" w:ascii="宋体" w:hAnsi="宋体" w:cs="宋体"/>
                <w:sz w:val="21"/>
                <w:szCs w:val="21"/>
                <w:highlight w:val="none"/>
              </w:rPr>
              <w:t>参选人自2023年1月1日以来至本项目参选截止之日内，参选人完成过一项办公设备配套耗材项目。业绩时间以合同签订时间为准。</w:t>
            </w:r>
          </w:p>
        </w:tc>
        <w:tc>
          <w:tcPr>
            <w:tcW w:w="1248" w:type="pct"/>
            <w:noWrap w:val="0"/>
            <w:vAlign w:val="center"/>
          </w:tcPr>
          <w:p w14:paraId="4D12DE22">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cs="宋体"/>
                <w:sz w:val="21"/>
                <w:szCs w:val="21"/>
                <w:highlight w:val="none"/>
              </w:rPr>
              <w:t>第一册“资格审查部分 企业业绩”</w:t>
            </w:r>
          </w:p>
        </w:tc>
        <w:tc>
          <w:tcPr>
            <w:tcW w:w="1322" w:type="pct"/>
            <w:noWrap w:val="0"/>
            <w:vAlign w:val="center"/>
          </w:tcPr>
          <w:p w14:paraId="38AD1D5B">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1"/>
                <w:szCs w:val="21"/>
                <w:highlight w:val="none"/>
              </w:rPr>
            </w:pPr>
            <w:r>
              <w:rPr>
                <w:rFonts w:hint="eastAsia" w:ascii="宋体" w:hAnsi="宋体" w:cs="宋体"/>
                <w:sz w:val="21"/>
                <w:szCs w:val="21"/>
                <w:highlight w:val="none"/>
              </w:rPr>
              <w:t>提供合同复印件等证明材料并加盖公章；若合同无法体现工作内容、合同签订时间的，另须提供加盖业主单位公章的业主证明；证明材料须清晰，否则视为无效业绩。</w:t>
            </w:r>
          </w:p>
        </w:tc>
      </w:tr>
      <w:tr w14:paraId="44D0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42" w:type="pct"/>
            <w:noWrap w:val="0"/>
            <w:vAlign w:val="center"/>
          </w:tcPr>
          <w:p w14:paraId="688B334E">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517" w:type="pct"/>
            <w:noWrap w:val="0"/>
            <w:vAlign w:val="center"/>
          </w:tcPr>
          <w:p w14:paraId="029AC2B8">
            <w:pPr>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联合体要求</w:t>
            </w:r>
          </w:p>
        </w:tc>
        <w:tc>
          <w:tcPr>
            <w:tcW w:w="1669" w:type="pct"/>
            <w:noWrap w:val="0"/>
            <w:vAlign w:val="center"/>
          </w:tcPr>
          <w:p w14:paraId="78585DCC">
            <w:pPr>
              <w:pStyle w:val="57"/>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本项目不接受联合体参与</w:t>
            </w:r>
          </w:p>
        </w:tc>
        <w:tc>
          <w:tcPr>
            <w:tcW w:w="1248" w:type="pct"/>
            <w:noWrap w:val="0"/>
            <w:vAlign w:val="center"/>
          </w:tcPr>
          <w:p w14:paraId="410FC684">
            <w:pPr>
              <w:pStyle w:val="57"/>
              <w:keepNext w:val="0"/>
              <w:keepLines w:val="0"/>
              <w:pageBreakBefore w:val="0"/>
              <w:kinsoku/>
              <w:wordWrap/>
              <w:overflowPunct/>
              <w:topLinePunct w:val="0"/>
              <w:autoSpaceDE/>
              <w:autoSpaceDN/>
              <w:bidi w:val="0"/>
              <w:adjustRightInd/>
              <w:snapToGrid/>
              <w:spacing w:line="300" w:lineRule="exact"/>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322" w:type="pct"/>
            <w:noWrap w:val="0"/>
            <w:vAlign w:val="center"/>
          </w:tcPr>
          <w:p w14:paraId="69D5B262">
            <w:pPr>
              <w:pStyle w:val="57"/>
              <w:keepNext w:val="0"/>
              <w:keepLines w:val="0"/>
              <w:pageBreakBefore w:val="0"/>
              <w:kinsoku/>
              <w:wordWrap/>
              <w:overflowPunct/>
              <w:topLinePunct w:val="0"/>
              <w:autoSpaceDE/>
              <w:autoSpaceDN/>
              <w:bidi w:val="0"/>
              <w:adjustRightInd/>
              <w:snapToGrid/>
              <w:spacing w:line="300" w:lineRule="exact"/>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1696A85C">
      <w:pPr>
        <w:ind w:firstLine="482"/>
        <w:rPr>
          <w:b/>
          <w:bCs/>
          <w:highlight w:val="none"/>
        </w:rPr>
        <w:sectPr>
          <w:pgSz w:w="16838" w:h="11906" w:orient="landscape"/>
          <w:pgMar w:top="1418" w:right="1588" w:bottom="1418" w:left="1588" w:header="851" w:footer="992" w:gutter="0"/>
          <w:pgNumType w:fmt="decimal"/>
          <w:cols w:space="720" w:num="1"/>
          <w:docGrid w:linePitch="326" w:charSpace="0"/>
        </w:sectPr>
      </w:pPr>
    </w:p>
    <w:p w14:paraId="06A00E9E">
      <w:pPr>
        <w:ind w:firstLine="0" w:firstLineChars="0"/>
        <w:jc w:val="center"/>
        <w:rPr>
          <w:b/>
          <w:bCs/>
        </w:rPr>
      </w:pPr>
      <w:r>
        <w:rPr>
          <w:rFonts w:hint="eastAsia"/>
          <w:b/>
          <w:bCs/>
        </w:rPr>
        <w:t>商务技术部分评分表（5分）</w:t>
      </w:r>
    </w:p>
    <w:tbl>
      <w:tblPr>
        <w:tblStyle w:val="2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511"/>
        <w:gridCol w:w="5782"/>
        <w:gridCol w:w="1270"/>
      </w:tblGrid>
      <w:tr w14:paraId="5E4B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1" w:type="pct"/>
            <w:noWrap w:val="0"/>
            <w:vAlign w:val="top"/>
          </w:tcPr>
          <w:p w14:paraId="13B36668">
            <w:pPr>
              <w:ind w:firstLine="0" w:firstLineChars="0"/>
              <w:jc w:val="center"/>
              <w:rPr>
                <w:rFonts w:ascii="宋体" w:hAnsi="宋体" w:cs="宋体"/>
                <w:b/>
                <w:bCs/>
                <w:sz w:val="21"/>
                <w:szCs w:val="21"/>
              </w:rPr>
            </w:pPr>
            <w:r>
              <w:rPr>
                <w:rFonts w:hint="eastAsia" w:ascii="宋体" w:hAnsi="宋体" w:cs="宋体"/>
                <w:b/>
                <w:bCs/>
                <w:sz w:val="21"/>
                <w:szCs w:val="21"/>
              </w:rPr>
              <w:t>序号</w:t>
            </w:r>
          </w:p>
        </w:tc>
        <w:tc>
          <w:tcPr>
            <w:tcW w:w="790" w:type="pct"/>
            <w:noWrap w:val="0"/>
            <w:vAlign w:val="top"/>
          </w:tcPr>
          <w:p w14:paraId="162D7A94">
            <w:pPr>
              <w:ind w:firstLine="0" w:firstLineChars="0"/>
              <w:jc w:val="center"/>
              <w:rPr>
                <w:rFonts w:ascii="宋体" w:hAnsi="宋体" w:cs="宋体"/>
                <w:b/>
                <w:bCs/>
                <w:sz w:val="21"/>
                <w:szCs w:val="21"/>
              </w:rPr>
            </w:pPr>
            <w:r>
              <w:rPr>
                <w:rFonts w:hint="eastAsia" w:ascii="宋体" w:hAnsi="宋体" w:cs="宋体"/>
                <w:b/>
                <w:bCs/>
                <w:sz w:val="21"/>
                <w:szCs w:val="21"/>
              </w:rPr>
              <w:t>评审因素</w:t>
            </w:r>
          </w:p>
        </w:tc>
        <w:tc>
          <w:tcPr>
            <w:tcW w:w="3023" w:type="pct"/>
            <w:noWrap w:val="0"/>
            <w:vAlign w:val="top"/>
          </w:tcPr>
          <w:p w14:paraId="7A271480">
            <w:pPr>
              <w:ind w:firstLine="0" w:firstLineChars="0"/>
              <w:jc w:val="center"/>
              <w:rPr>
                <w:rFonts w:ascii="宋体" w:hAnsi="宋体" w:cs="宋体"/>
                <w:b/>
                <w:bCs/>
                <w:sz w:val="21"/>
                <w:szCs w:val="21"/>
              </w:rPr>
            </w:pPr>
            <w:r>
              <w:rPr>
                <w:rFonts w:hint="eastAsia" w:ascii="宋体" w:hAnsi="宋体" w:cs="宋体"/>
                <w:b/>
                <w:bCs/>
                <w:sz w:val="21"/>
                <w:szCs w:val="21"/>
              </w:rPr>
              <w:t>评分标准</w:t>
            </w:r>
          </w:p>
        </w:tc>
        <w:tc>
          <w:tcPr>
            <w:tcW w:w="664" w:type="pct"/>
            <w:noWrap w:val="0"/>
            <w:vAlign w:val="top"/>
          </w:tcPr>
          <w:p w14:paraId="2D8A5C46">
            <w:pPr>
              <w:ind w:firstLine="0" w:firstLineChars="0"/>
              <w:jc w:val="center"/>
              <w:rPr>
                <w:rFonts w:ascii="宋体" w:hAnsi="宋体" w:cs="宋体"/>
                <w:b/>
                <w:bCs/>
                <w:sz w:val="21"/>
                <w:szCs w:val="21"/>
              </w:rPr>
            </w:pPr>
            <w:r>
              <w:rPr>
                <w:rFonts w:hint="eastAsia" w:ascii="宋体" w:hAnsi="宋体" w:cs="宋体"/>
                <w:b/>
                <w:bCs/>
                <w:sz w:val="21"/>
                <w:szCs w:val="21"/>
              </w:rPr>
              <w:t>分值</w:t>
            </w:r>
          </w:p>
        </w:tc>
      </w:tr>
      <w:tr w14:paraId="30B9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noWrap w:val="0"/>
            <w:vAlign w:val="center"/>
          </w:tcPr>
          <w:p w14:paraId="06416CFF">
            <w:pPr>
              <w:ind w:firstLine="0" w:firstLineChars="0"/>
              <w:jc w:val="center"/>
              <w:rPr>
                <w:rFonts w:ascii="宋体" w:hAnsi="宋体" w:cs="宋体"/>
                <w:sz w:val="21"/>
                <w:szCs w:val="21"/>
              </w:rPr>
            </w:pPr>
            <w:r>
              <w:rPr>
                <w:rFonts w:hint="eastAsia" w:ascii="宋体" w:hAnsi="宋体" w:cs="宋体"/>
                <w:sz w:val="21"/>
                <w:szCs w:val="21"/>
              </w:rPr>
              <w:t>1</w:t>
            </w:r>
          </w:p>
        </w:tc>
        <w:tc>
          <w:tcPr>
            <w:tcW w:w="790" w:type="pct"/>
            <w:noWrap w:val="0"/>
            <w:vAlign w:val="center"/>
          </w:tcPr>
          <w:p w14:paraId="3BD40150">
            <w:pPr>
              <w:pStyle w:val="57"/>
              <w:rPr>
                <w:rFonts w:ascii="宋体" w:hAnsi="宋体" w:cs="宋体"/>
                <w:sz w:val="21"/>
                <w:szCs w:val="21"/>
              </w:rPr>
            </w:pPr>
            <w:r>
              <w:rPr>
                <w:rFonts w:hint="eastAsia" w:ascii="宋体" w:hAnsi="宋体" w:cs="宋体"/>
                <w:sz w:val="21"/>
                <w:szCs w:val="21"/>
              </w:rPr>
              <w:t>企业业绩</w:t>
            </w:r>
          </w:p>
        </w:tc>
        <w:tc>
          <w:tcPr>
            <w:tcW w:w="3023" w:type="pct"/>
            <w:noWrap w:val="0"/>
            <w:vAlign w:val="center"/>
          </w:tcPr>
          <w:p w14:paraId="4A53F33A">
            <w:pPr>
              <w:pStyle w:val="57"/>
              <w:rPr>
                <w:rFonts w:hint="eastAsia" w:ascii="宋体" w:hAnsi="宋体" w:cs="宋体"/>
                <w:sz w:val="21"/>
                <w:szCs w:val="21"/>
                <w:highlight w:val="none"/>
              </w:rPr>
            </w:pPr>
            <w:r>
              <w:rPr>
                <w:rFonts w:hint="eastAsia" w:ascii="宋体" w:hAnsi="宋体" w:cs="宋体"/>
                <w:sz w:val="21"/>
                <w:szCs w:val="21"/>
                <w:highlight w:val="none"/>
              </w:rPr>
              <w:t>参选人自2023年1月1日起（以合同签订日期为准）每具有一个单项合同金额在30万及以上办公设备配套耗材供货业绩得2.5分，满分5分。</w:t>
            </w:r>
          </w:p>
          <w:p w14:paraId="029CC18C">
            <w:pPr>
              <w:pStyle w:val="57"/>
              <w:rPr>
                <w:rFonts w:ascii="宋体" w:hAnsi="宋体" w:cs="宋体"/>
                <w:sz w:val="21"/>
                <w:szCs w:val="21"/>
              </w:rPr>
            </w:pPr>
            <w:r>
              <w:rPr>
                <w:rFonts w:hint="eastAsia" w:ascii="宋体" w:hAnsi="宋体" w:cs="宋体"/>
                <w:sz w:val="21"/>
                <w:szCs w:val="21"/>
                <w:highlight w:val="none"/>
              </w:rPr>
              <w:t>须同时提供：①业绩合同复印件或扫描件。业绩时间以合同签订时间为准；同一项目分年度签订合同的，视为一个业绩，业绩时间按照首年度合同签订时间为准。若合同无法体现合同金额、工作内容、合同签订时间，另须提供加盖业主单位公章的业主证明。②合同执行期任一发票（或银行回单）复印件或扫描件。发票（或银行回单）须能体现相应业绩合同的业主单位名称或项目名称；发票（或银行回单）须复印清楚，模糊不清的，不予认可。</w:t>
            </w:r>
          </w:p>
        </w:tc>
        <w:tc>
          <w:tcPr>
            <w:tcW w:w="664" w:type="pct"/>
            <w:noWrap w:val="0"/>
            <w:vAlign w:val="center"/>
          </w:tcPr>
          <w:p w14:paraId="2F8959F5">
            <w:pPr>
              <w:pStyle w:val="22"/>
              <w:widowControl/>
              <w:spacing w:beforeAutospacing="1" w:afterAutospacing="1"/>
              <w:ind w:firstLine="0" w:firstLineChars="0"/>
              <w:jc w:val="center"/>
              <w:rPr>
                <w:rFonts w:ascii="宋体" w:hAnsi="宋体" w:cs="宋体"/>
                <w:kern w:val="0"/>
                <w:sz w:val="21"/>
                <w:szCs w:val="21"/>
                <w:lang w:bidi="ar"/>
              </w:rPr>
            </w:pPr>
            <w:r>
              <w:rPr>
                <w:rFonts w:hint="eastAsia" w:ascii="宋体" w:hAnsi="宋体" w:cs="宋体"/>
                <w:kern w:val="0"/>
                <w:sz w:val="21"/>
                <w:szCs w:val="21"/>
                <w:lang w:bidi="ar"/>
              </w:rPr>
              <w:t>5分</w:t>
            </w:r>
          </w:p>
        </w:tc>
      </w:tr>
    </w:tbl>
    <w:p w14:paraId="3FB6B881">
      <w:pPr>
        <w:ind w:firstLine="0" w:firstLineChars="0"/>
        <w:rPr>
          <w:b/>
          <w:bCs/>
          <w:color w:val="000000"/>
        </w:rPr>
      </w:pPr>
      <w:r>
        <w:rPr>
          <w:rFonts w:hint="eastAsia"/>
          <w:b/>
          <w:bCs/>
          <w:color w:val="000000"/>
        </w:rPr>
        <w:t>注：通过“商务和技术偏离表”及“物资参数表”符合性审查的响应文件进行商务技术评分评审。未通过符合性审查的响应文件，将被判为不满足采购文件实质性要求。</w:t>
      </w:r>
    </w:p>
    <w:p w14:paraId="6EA9B396">
      <w:pPr>
        <w:ind w:firstLine="0" w:firstLineChars="0"/>
        <w:jc w:val="center"/>
        <w:rPr>
          <w:b/>
          <w:bCs/>
        </w:rPr>
      </w:pPr>
      <w:r>
        <w:rPr>
          <w:rFonts w:hint="eastAsia"/>
          <w:b/>
          <w:bCs/>
        </w:rPr>
        <w:br w:type="page"/>
      </w:r>
    </w:p>
    <w:p w14:paraId="60C3DC95">
      <w:pPr>
        <w:ind w:firstLine="0" w:firstLineChars="0"/>
        <w:jc w:val="center"/>
        <w:rPr>
          <w:rFonts w:cs="宋体"/>
          <w:b/>
          <w:bCs/>
          <w:kern w:val="0"/>
          <w:sz w:val="21"/>
          <w:szCs w:val="21"/>
        </w:rPr>
      </w:pPr>
      <w:r>
        <w:rPr>
          <w:rFonts w:hint="eastAsia"/>
          <w:b/>
          <w:bCs/>
        </w:rPr>
        <w:t>报价部分评分表（95分）</w:t>
      </w:r>
    </w:p>
    <w:tbl>
      <w:tblPr>
        <w:tblStyle w:val="2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8"/>
        <w:gridCol w:w="6570"/>
        <w:gridCol w:w="941"/>
      </w:tblGrid>
      <w:tr w14:paraId="6D5A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noWrap w:val="0"/>
            <w:vAlign w:val="top"/>
          </w:tcPr>
          <w:p w14:paraId="0244900A">
            <w:pPr>
              <w:spacing w:line="240" w:lineRule="atLeast"/>
              <w:ind w:firstLine="0" w:firstLineChars="0"/>
              <w:jc w:val="center"/>
              <w:rPr>
                <w:rFonts w:ascii="宋体" w:hAnsi="宋体" w:cs="宋体"/>
                <w:b/>
                <w:bCs/>
                <w:sz w:val="21"/>
                <w:szCs w:val="21"/>
              </w:rPr>
            </w:pPr>
            <w:r>
              <w:rPr>
                <w:rFonts w:hint="eastAsia" w:ascii="宋体" w:hAnsi="宋体" w:cs="宋体"/>
                <w:b/>
                <w:bCs/>
                <w:sz w:val="21"/>
                <w:szCs w:val="21"/>
              </w:rPr>
              <w:t>评审因素</w:t>
            </w:r>
          </w:p>
        </w:tc>
        <w:tc>
          <w:tcPr>
            <w:tcW w:w="3436" w:type="pct"/>
            <w:noWrap w:val="0"/>
            <w:vAlign w:val="top"/>
          </w:tcPr>
          <w:p w14:paraId="4DD9D64A">
            <w:pPr>
              <w:ind w:firstLine="0" w:firstLineChars="0"/>
              <w:jc w:val="center"/>
              <w:rPr>
                <w:rFonts w:ascii="宋体" w:hAnsi="宋体" w:cs="宋体"/>
                <w:b/>
                <w:bCs/>
                <w:sz w:val="21"/>
                <w:szCs w:val="21"/>
              </w:rPr>
            </w:pPr>
            <w:r>
              <w:rPr>
                <w:rFonts w:hint="eastAsia" w:ascii="宋体" w:hAnsi="宋体" w:cs="宋体"/>
                <w:b/>
                <w:bCs/>
                <w:sz w:val="21"/>
                <w:szCs w:val="21"/>
              </w:rPr>
              <w:t>评分标准</w:t>
            </w:r>
          </w:p>
        </w:tc>
        <w:tc>
          <w:tcPr>
            <w:tcW w:w="492" w:type="pct"/>
            <w:noWrap w:val="0"/>
            <w:vAlign w:val="top"/>
          </w:tcPr>
          <w:p w14:paraId="0BDC353E">
            <w:pPr>
              <w:ind w:firstLine="0" w:firstLineChars="0"/>
              <w:jc w:val="center"/>
              <w:rPr>
                <w:rFonts w:ascii="宋体" w:hAnsi="宋体" w:cs="宋体"/>
                <w:b/>
                <w:bCs/>
                <w:sz w:val="21"/>
                <w:szCs w:val="21"/>
              </w:rPr>
            </w:pPr>
            <w:r>
              <w:rPr>
                <w:rFonts w:hint="eastAsia" w:ascii="宋体" w:hAnsi="宋体" w:cs="宋体"/>
                <w:b/>
                <w:bCs/>
                <w:sz w:val="21"/>
                <w:szCs w:val="21"/>
              </w:rPr>
              <w:t>分值</w:t>
            </w:r>
          </w:p>
        </w:tc>
      </w:tr>
      <w:tr w14:paraId="241C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071" w:type="pct"/>
            <w:noWrap w:val="0"/>
            <w:vAlign w:val="center"/>
          </w:tcPr>
          <w:p w14:paraId="4A55E624">
            <w:pPr>
              <w:pStyle w:val="22"/>
              <w:widowControl/>
              <w:spacing w:line="240" w:lineRule="atLeast"/>
              <w:ind w:firstLine="0" w:firstLineChars="0"/>
              <w:jc w:val="center"/>
              <w:rPr>
                <w:rFonts w:ascii="宋体" w:hAnsi="宋体" w:cs="宋体"/>
                <w:sz w:val="21"/>
                <w:szCs w:val="21"/>
              </w:rPr>
            </w:pPr>
            <w:r>
              <w:rPr>
                <w:rFonts w:hint="eastAsia" w:ascii="宋体" w:hAnsi="宋体" w:cs="宋体"/>
                <w:sz w:val="21"/>
                <w:szCs w:val="21"/>
              </w:rPr>
              <w:t>评标基准价计算方法</w:t>
            </w:r>
          </w:p>
          <w:p w14:paraId="5A0E8CF3">
            <w:pPr>
              <w:pStyle w:val="22"/>
              <w:widowControl/>
              <w:spacing w:line="240" w:lineRule="atLeast"/>
              <w:ind w:firstLine="0" w:firstLineChars="0"/>
              <w:jc w:val="center"/>
              <w:rPr>
                <w:rFonts w:ascii="宋体" w:hAnsi="宋体" w:cs="宋体"/>
                <w:sz w:val="21"/>
                <w:szCs w:val="21"/>
              </w:rPr>
            </w:pPr>
          </w:p>
        </w:tc>
        <w:tc>
          <w:tcPr>
            <w:tcW w:w="3436" w:type="pct"/>
            <w:noWrap w:val="0"/>
            <w:vAlign w:val="center"/>
          </w:tcPr>
          <w:p w14:paraId="0FD5E4EA">
            <w:pPr>
              <w:pStyle w:val="22"/>
              <w:widowControl/>
              <w:snapToGrid w:val="0"/>
              <w:ind w:firstLine="0" w:firstLineChars="0"/>
              <w:rPr>
                <w:rFonts w:ascii="宋体" w:hAnsi="宋体" w:cs="宋体"/>
                <w:sz w:val="21"/>
                <w:szCs w:val="21"/>
              </w:rPr>
            </w:pPr>
            <w:r>
              <w:rPr>
                <w:rFonts w:hint="eastAsia" w:ascii="宋体" w:hAnsi="宋体" w:cs="宋体"/>
                <w:sz w:val="21"/>
                <w:szCs w:val="21"/>
                <w:highlight w:val="none"/>
              </w:rPr>
              <w:t>以有效投标文件的有效评标价算术平均值为A，评标基准价=A。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除确认存在计算错误外，评标基准价不因投标当事人质疑、投诉、复议以及其它任何情形而改变。</w:t>
            </w:r>
          </w:p>
        </w:tc>
        <w:tc>
          <w:tcPr>
            <w:tcW w:w="492" w:type="pct"/>
            <w:vMerge w:val="restart"/>
            <w:noWrap w:val="0"/>
            <w:vAlign w:val="center"/>
          </w:tcPr>
          <w:p w14:paraId="59763267">
            <w:pPr>
              <w:ind w:firstLine="0" w:firstLineChars="0"/>
              <w:jc w:val="center"/>
              <w:rPr>
                <w:rFonts w:ascii="宋体" w:hAnsi="宋体" w:cs="宋体"/>
                <w:sz w:val="21"/>
                <w:szCs w:val="21"/>
              </w:rPr>
            </w:pPr>
            <w:r>
              <w:rPr>
                <w:rFonts w:hint="eastAsia" w:ascii="宋体" w:hAnsi="宋体" w:cs="宋体"/>
                <w:sz w:val="21"/>
                <w:szCs w:val="21"/>
              </w:rPr>
              <w:t>95分</w:t>
            </w:r>
          </w:p>
        </w:tc>
      </w:tr>
      <w:tr w14:paraId="2D05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071" w:type="pct"/>
            <w:noWrap w:val="0"/>
            <w:vAlign w:val="center"/>
          </w:tcPr>
          <w:p w14:paraId="679D4296">
            <w:pPr>
              <w:pStyle w:val="22"/>
              <w:widowControl/>
              <w:spacing w:line="240" w:lineRule="atLeast"/>
              <w:ind w:firstLine="0" w:firstLineChars="0"/>
              <w:jc w:val="center"/>
              <w:rPr>
                <w:rFonts w:ascii="宋体" w:hAnsi="宋体" w:cs="宋体"/>
                <w:sz w:val="21"/>
                <w:szCs w:val="21"/>
              </w:rPr>
            </w:pPr>
            <w:r>
              <w:rPr>
                <w:rFonts w:hint="eastAsia" w:ascii="宋体" w:hAnsi="宋体" w:cs="宋体"/>
                <w:sz w:val="21"/>
                <w:szCs w:val="21"/>
              </w:rPr>
              <w:t>报价得分计算方法</w:t>
            </w:r>
          </w:p>
          <w:p w14:paraId="4C21244A">
            <w:pPr>
              <w:pStyle w:val="22"/>
              <w:widowControl/>
              <w:spacing w:line="240" w:lineRule="atLeast"/>
              <w:ind w:firstLine="0" w:firstLineChars="0"/>
              <w:jc w:val="center"/>
              <w:rPr>
                <w:rFonts w:ascii="宋体" w:hAnsi="宋体" w:cs="宋体"/>
                <w:sz w:val="21"/>
                <w:szCs w:val="21"/>
              </w:rPr>
            </w:pPr>
          </w:p>
        </w:tc>
        <w:tc>
          <w:tcPr>
            <w:tcW w:w="3436" w:type="pct"/>
            <w:noWrap w:val="0"/>
            <w:vAlign w:val="center"/>
          </w:tcPr>
          <w:p w14:paraId="64D297C5">
            <w:pPr>
              <w:pStyle w:val="22"/>
              <w:widowControl/>
              <w:snapToGrid w:val="0"/>
              <w:ind w:firstLine="0" w:firstLineChars="0"/>
              <w:rPr>
                <w:rFonts w:hint="eastAsia" w:ascii="宋体" w:hAnsi="宋体" w:cs="宋体"/>
                <w:sz w:val="21"/>
                <w:szCs w:val="21"/>
                <w:highlight w:val="none"/>
              </w:rPr>
            </w:pPr>
            <w:r>
              <w:rPr>
                <w:rFonts w:hint="eastAsia" w:ascii="宋体" w:hAnsi="宋体" w:cs="宋体"/>
                <w:sz w:val="21"/>
                <w:szCs w:val="21"/>
                <w:highlight w:val="none"/>
              </w:rPr>
              <w:t>偏差率=100%×（参选人报价－评标基准价）/评标基准价</w:t>
            </w:r>
          </w:p>
          <w:p w14:paraId="3904E4AD">
            <w:pPr>
              <w:pStyle w:val="22"/>
              <w:widowControl/>
              <w:snapToGrid w:val="0"/>
              <w:ind w:firstLine="0" w:firstLineChars="0"/>
              <w:rPr>
                <w:rFonts w:hint="eastAsia" w:ascii="宋体" w:hAnsi="宋体" w:cs="宋体"/>
                <w:sz w:val="21"/>
                <w:szCs w:val="21"/>
                <w:highlight w:val="none"/>
              </w:rPr>
            </w:pPr>
            <w:r>
              <w:rPr>
                <w:rFonts w:hint="eastAsia" w:ascii="宋体" w:hAnsi="宋体" w:cs="宋体"/>
                <w:sz w:val="21"/>
                <w:szCs w:val="21"/>
                <w:highlight w:val="none"/>
              </w:rPr>
              <w:t>报价得分计算公式示例：</w:t>
            </w:r>
          </w:p>
          <w:p w14:paraId="14D61E0A">
            <w:pPr>
              <w:pStyle w:val="22"/>
              <w:widowControl/>
              <w:snapToGrid w:val="0"/>
              <w:ind w:firstLine="0" w:firstLineChars="0"/>
              <w:rPr>
                <w:rFonts w:hint="eastAsia" w:ascii="宋体" w:hAnsi="宋体" w:cs="宋体"/>
                <w:sz w:val="21"/>
                <w:szCs w:val="21"/>
                <w:highlight w:val="none"/>
              </w:rPr>
            </w:pPr>
            <w:r>
              <w:rPr>
                <w:rFonts w:hint="eastAsia" w:ascii="宋体" w:hAnsi="宋体" w:cs="宋体"/>
                <w:sz w:val="21"/>
                <w:szCs w:val="21"/>
                <w:highlight w:val="none"/>
              </w:rPr>
              <w:t xml:space="preserve">（1）如果参选人的报价＞评标基准价，则报价得分=95-偏差率×100×E1；      </w:t>
            </w:r>
          </w:p>
          <w:p w14:paraId="3371B62E">
            <w:pPr>
              <w:pStyle w:val="22"/>
              <w:widowControl/>
              <w:snapToGrid w:val="0"/>
              <w:ind w:firstLine="0" w:firstLineChars="0"/>
              <w:rPr>
                <w:rFonts w:hint="eastAsia" w:ascii="宋体" w:hAnsi="宋体" w:cs="宋体"/>
                <w:sz w:val="21"/>
                <w:szCs w:val="21"/>
                <w:highlight w:val="none"/>
              </w:rPr>
            </w:pPr>
            <w:r>
              <w:rPr>
                <w:rFonts w:hint="eastAsia" w:ascii="宋体" w:hAnsi="宋体" w:cs="宋体"/>
                <w:sz w:val="21"/>
                <w:szCs w:val="21"/>
                <w:highlight w:val="none"/>
              </w:rPr>
              <w:t xml:space="preserve">（2）如果参选人的报价≤评标基准价，则报价得分=95+偏差率×100×E2；   </w:t>
            </w:r>
          </w:p>
          <w:p w14:paraId="2368BF25">
            <w:pPr>
              <w:pStyle w:val="22"/>
              <w:widowControl/>
              <w:snapToGrid w:val="0"/>
              <w:ind w:firstLine="0" w:firstLineChars="0"/>
              <w:rPr>
                <w:rFonts w:ascii="宋体" w:hAnsi="宋体" w:cs="宋体"/>
                <w:sz w:val="21"/>
                <w:szCs w:val="21"/>
              </w:rPr>
            </w:pPr>
            <w:r>
              <w:rPr>
                <w:rFonts w:hint="eastAsia" w:ascii="宋体" w:hAnsi="宋体" w:cs="宋体"/>
                <w:sz w:val="21"/>
                <w:szCs w:val="21"/>
                <w:highlight w:val="none"/>
              </w:rPr>
              <w:t>其中：E1是评标价每高于评标基准价一个百分点的扣分值；E2是评标价每低于评标基准价一个百分点的扣分值。E1=0.9，E2=0.6，扣完为止。报价得分四舍五入后保留两位小数。</w:t>
            </w:r>
          </w:p>
        </w:tc>
        <w:tc>
          <w:tcPr>
            <w:tcW w:w="492" w:type="pct"/>
            <w:vMerge w:val="continue"/>
            <w:noWrap w:val="0"/>
            <w:vAlign w:val="center"/>
          </w:tcPr>
          <w:p w14:paraId="7C89FC3C">
            <w:pPr>
              <w:ind w:firstLine="0" w:firstLineChars="0"/>
              <w:jc w:val="center"/>
              <w:rPr>
                <w:rFonts w:ascii="宋体" w:hAnsi="宋体" w:cs="宋体"/>
                <w:sz w:val="21"/>
                <w:szCs w:val="21"/>
              </w:rPr>
            </w:pPr>
          </w:p>
        </w:tc>
      </w:tr>
    </w:tbl>
    <w:p w14:paraId="275C4831">
      <w:pPr>
        <w:ind w:firstLine="480"/>
        <w:rPr>
          <w:highlight w:val="none"/>
        </w:rPr>
      </w:pPr>
      <w:r>
        <w:rPr>
          <w:highlight w:val="none"/>
        </w:rPr>
        <w:br w:type="page"/>
      </w:r>
    </w:p>
    <w:p w14:paraId="179C8A8B">
      <w:pPr>
        <w:ind w:firstLine="480"/>
        <w:rPr>
          <w:highlight w:val="none"/>
        </w:rPr>
      </w:pPr>
    </w:p>
    <w:p w14:paraId="6F679EE2">
      <w:pPr>
        <w:ind w:firstLine="480"/>
        <w:rPr>
          <w:highlight w:val="none"/>
        </w:rPr>
      </w:pPr>
    </w:p>
    <w:p w14:paraId="3C4C4C4F">
      <w:pPr>
        <w:ind w:firstLine="480"/>
        <w:rPr>
          <w:highlight w:val="none"/>
        </w:rPr>
      </w:pPr>
    </w:p>
    <w:p w14:paraId="50E91D82">
      <w:pPr>
        <w:ind w:firstLine="480"/>
        <w:rPr>
          <w:highlight w:val="none"/>
        </w:rPr>
      </w:pPr>
    </w:p>
    <w:p w14:paraId="2BB31BAF">
      <w:pPr>
        <w:ind w:firstLine="480"/>
        <w:rPr>
          <w:highlight w:val="none"/>
        </w:rPr>
      </w:pPr>
    </w:p>
    <w:p w14:paraId="694637C7">
      <w:pPr>
        <w:ind w:firstLine="480"/>
        <w:rPr>
          <w:highlight w:val="none"/>
        </w:rPr>
      </w:pPr>
    </w:p>
    <w:p w14:paraId="646433C2">
      <w:pPr>
        <w:ind w:firstLine="480"/>
        <w:rPr>
          <w:highlight w:val="none"/>
        </w:rPr>
      </w:pPr>
    </w:p>
    <w:p w14:paraId="00F19D7C">
      <w:pPr>
        <w:ind w:firstLine="480"/>
        <w:rPr>
          <w:highlight w:val="none"/>
        </w:rPr>
      </w:pPr>
    </w:p>
    <w:p w14:paraId="27C3F25B">
      <w:pPr>
        <w:ind w:firstLine="480"/>
        <w:rPr>
          <w:highlight w:val="none"/>
        </w:rPr>
      </w:pPr>
    </w:p>
    <w:p w14:paraId="68B38977">
      <w:pPr>
        <w:ind w:firstLine="480"/>
        <w:rPr>
          <w:highlight w:val="none"/>
        </w:rPr>
      </w:pPr>
    </w:p>
    <w:p w14:paraId="2E846A88">
      <w:pPr>
        <w:ind w:firstLine="480"/>
        <w:rPr>
          <w:highlight w:val="none"/>
        </w:rPr>
      </w:pPr>
    </w:p>
    <w:p w14:paraId="2BA65699">
      <w:pPr>
        <w:keepNext/>
        <w:keepLines/>
        <w:ind w:firstLine="140" w:firstLineChars="32"/>
        <w:jc w:val="center"/>
        <w:outlineLvl w:val="0"/>
        <w:rPr>
          <w:rFonts w:eastAsia="黑体"/>
          <w:bCs/>
          <w:kern w:val="44"/>
          <w:sz w:val="44"/>
          <w:szCs w:val="44"/>
          <w:highlight w:val="none"/>
        </w:rPr>
      </w:pPr>
      <w:bookmarkStart w:id="12" w:name="_Toc27013"/>
      <w:r>
        <w:rPr>
          <w:rFonts w:hint="eastAsia" w:eastAsia="黑体"/>
          <w:bCs/>
          <w:kern w:val="44"/>
          <w:sz w:val="44"/>
          <w:szCs w:val="44"/>
          <w:highlight w:val="none"/>
        </w:rPr>
        <w:t>第四章 合同主要条款及格式</w:t>
      </w:r>
      <w:bookmarkEnd w:id="11"/>
      <w:bookmarkEnd w:id="12"/>
    </w:p>
    <w:p w14:paraId="2B761726">
      <w:pPr>
        <w:ind w:firstLine="880"/>
        <w:rPr>
          <w:rFonts w:eastAsia="黑体"/>
          <w:bCs/>
          <w:kern w:val="44"/>
          <w:sz w:val="44"/>
          <w:szCs w:val="44"/>
          <w:highlight w:val="none"/>
        </w:rPr>
      </w:pPr>
      <w:r>
        <w:rPr>
          <w:rFonts w:hint="eastAsia" w:eastAsia="黑体"/>
          <w:bCs/>
          <w:kern w:val="44"/>
          <w:sz w:val="44"/>
          <w:szCs w:val="44"/>
          <w:highlight w:val="none"/>
        </w:rPr>
        <w:br w:type="page"/>
      </w:r>
    </w:p>
    <w:p w14:paraId="3C0D9C1A">
      <w:pPr>
        <w:ind w:firstLine="0" w:firstLineChars="0"/>
        <w:jc w:val="center"/>
        <w:rPr>
          <w:rFonts w:ascii="宋体" w:hAnsi="宋体"/>
          <w:szCs w:val="21"/>
          <w:highlight w:val="none"/>
        </w:rPr>
      </w:pPr>
      <w:bookmarkStart w:id="13" w:name="_Toc22432"/>
      <w:r>
        <w:rPr>
          <w:rStyle w:val="42"/>
          <w:rFonts w:hint="eastAsia" w:ascii="宋体" w:hAnsi="宋体" w:cs="宋体"/>
          <w:szCs w:val="44"/>
          <w:highlight w:val="none"/>
        </w:rPr>
        <w:t>合同条款</w:t>
      </w:r>
      <w:bookmarkEnd w:id="13"/>
    </w:p>
    <w:p w14:paraId="767B48E8">
      <w:pPr>
        <w:ind w:firstLine="0" w:firstLineChars="0"/>
        <w:jc w:val="left"/>
        <w:rPr>
          <w:rFonts w:ascii="宋体" w:hAnsi="宋体" w:cs="宋体"/>
          <w:szCs w:val="24"/>
          <w:highlight w:val="none"/>
        </w:rPr>
      </w:pPr>
      <w:r>
        <w:rPr>
          <w:rFonts w:hint="eastAsia" w:ascii="宋体" w:hAnsi="宋体" w:cs="宋体"/>
          <w:szCs w:val="24"/>
          <w:highlight w:val="none"/>
        </w:rPr>
        <w:t xml:space="preserve">甲方：           </w:t>
      </w:r>
    </w:p>
    <w:p w14:paraId="14236556">
      <w:pPr>
        <w:ind w:left="-204" w:leftChars="-85" w:firstLine="204" w:firstLineChars="85"/>
        <w:jc w:val="left"/>
        <w:rPr>
          <w:rFonts w:ascii="宋体" w:hAnsi="宋体" w:cs="宋体"/>
          <w:b/>
          <w:szCs w:val="24"/>
          <w:highlight w:val="none"/>
        </w:rPr>
        <w:sectPr>
          <w:headerReference r:id="rId13" w:type="default"/>
          <w:footerReference r:id="rId14" w:type="default"/>
          <w:footerReference r:id="rId15" w:type="even"/>
          <w:pgSz w:w="11906" w:h="16838"/>
          <w:pgMar w:top="1418" w:right="1134" w:bottom="1134" w:left="1418" w:header="777" w:footer="1134" w:gutter="0"/>
          <w:pgNumType w:fmt="decimal"/>
          <w:cols w:space="720" w:num="1"/>
        </w:sectPr>
      </w:pPr>
      <w:r>
        <w:rPr>
          <w:rFonts w:hint="eastAsia" w:ascii="宋体" w:hAnsi="宋体" w:cs="宋体"/>
          <w:szCs w:val="24"/>
          <w:highlight w:val="none"/>
        </w:rPr>
        <w:t xml:space="preserve">乙方：    </w:t>
      </w:r>
      <w:r>
        <w:rPr>
          <w:rFonts w:hint="eastAsia" w:ascii="宋体" w:hAnsi="宋体" w:cs="宋体"/>
          <w:b/>
          <w:szCs w:val="24"/>
          <w:highlight w:val="none"/>
        </w:rPr>
        <w:t xml:space="preserve">                                                                                                           </w:t>
      </w:r>
    </w:p>
    <w:p w14:paraId="1EECFB6D">
      <w:pPr>
        <w:ind w:firstLine="480"/>
        <w:rPr>
          <w:rFonts w:ascii="宋体" w:hAnsi="宋体" w:cs="宋体"/>
          <w:szCs w:val="24"/>
          <w:highlight w:val="none"/>
        </w:rPr>
      </w:pPr>
    </w:p>
    <w:p w14:paraId="0C92CE7A">
      <w:pPr>
        <w:ind w:firstLine="480"/>
        <w:rPr>
          <w:rFonts w:ascii="宋体" w:hAnsi="宋体" w:cs="宋体"/>
          <w:szCs w:val="24"/>
          <w:highlight w:val="none"/>
        </w:rPr>
      </w:pPr>
      <w:r>
        <w:rPr>
          <w:rFonts w:hint="eastAsia" w:ascii="宋体" w:hAnsi="宋体" w:cs="宋体"/>
          <w:szCs w:val="24"/>
          <w:highlight w:val="none"/>
        </w:rPr>
        <w:t>买卖双方遵循自愿、平等、公平、诚实信用的原则，经过协商按照下述条款，甲方同意购买、乙方同意出售本合同项下所有货物及伴随服务。</w:t>
      </w:r>
    </w:p>
    <w:p w14:paraId="7F5C156A">
      <w:pPr>
        <w:ind w:firstLine="480"/>
        <w:rPr>
          <w:rFonts w:ascii="宋体" w:hAnsi="宋体" w:cs="宋体"/>
          <w:szCs w:val="24"/>
          <w:highlight w:val="none"/>
        </w:rPr>
      </w:pPr>
    </w:p>
    <w:p w14:paraId="4226A030">
      <w:pPr>
        <w:numPr>
          <w:ilvl w:val="0"/>
          <w:numId w:val="3"/>
        </w:numPr>
        <w:ind w:firstLine="482"/>
        <w:rPr>
          <w:rFonts w:ascii="宋体" w:hAnsi="宋体" w:cs="宋体"/>
          <w:b/>
          <w:bCs/>
          <w:szCs w:val="24"/>
          <w:highlight w:val="none"/>
        </w:rPr>
      </w:pPr>
      <w:r>
        <w:rPr>
          <w:rFonts w:hint="eastAsia" w:ascii="宋体" w:hAnsi="宋体" w:cs="宋体"/>
          <w:b/>
          <w:bCs/>
          <w:szCs w:val="24"/>
          <w:highlight w:val="none"/>
        </w:rPr>
        <w:t xml:space="preserve">合同标的 </w:t>
      </w:r>
    </w:p>
    <w:p w14:paraId="744847DD">
      <w:pPr>
        <w:ind w:firstLine="480"/>
        <w:rPr>
          <w:rFonts w:ascii="宋体" w:hAnsi="宋体" w:cs="宋体"/>
          <w:szCs w:val="24"/>
          <w:highlight w:val="none"/>
        </w:rPr>
      </w:pPr>
      <w:r>
        <w:rPr>
          <w:rFonts w:hint="eastAsia" w:ascii="宋体" w:hAnsi="宋体" w:cs="宋体"/>
          <w:szCs w:val="24"/>
          <w:highlight w:val="none"/>
        </w:rPr>
        <w:t>货物的名称、规格、数量、单价、技术要求详见附件《货物清单》。</w:t>
      </w:r>
    </w:p>
    <w:p w14:paraId="5FAFA25A">
      <w:pPr>
        <w:numPr>
          <w:ilvl w:val="0"/>
          <w:numId w:val="3"/>
        </w:numPr>
        <w:ind w:firstLine="482"/>
        <w:rPr>
          <w:rFonts w:ascii="宋体" w:hAnsi="宋体" w:cs="宋体"/>
          <w:b/>
          <w:szCs w:val="24"/>
          <w:highlight w:val="none"/>
        </w:rPr>
      </w:pPr>
      <w:r>
        <w:rPr>
          <w:rFonts w:hint="eastAsia" w:ascii="宋体" w:hAnsi="宋体" w:cs="宋体"/>
          <w:b/>
          <w:szCs w:val="24"/>
          <w:highlight w:val="none"/>
        </w:rPr>
        <w:t>合同价款</w:t>
      </w:r>
    </w:p>
    <w:p w14:paraId="2319FCD8">
      <w:pPr>
        <w:numPr>
          <w:ilvl w:val="1"/>
          <w:numId w:val="3"/>
        </w:numPr>
        <w:ind w:firstLine="480"/>
        <w:jc w:val="left"/>
        <w:rPr>
          <w:rFonts w:ascii="宋体" w:hAnsi="宋体" w:cs="宋体"/>
          <w:kern w:val="28"/>
          <w:szCs w:val="24"/>
          <w:highlight w:val="none"/>
        </w:rPr>
      </w:pPr>
      <w:r>
        <w:rPr>
          <w:rFonts w:hint="eastAsia" w:ascii="宋体" w:hAnsi="宋体" w:cs="宋体"/>
          <w:kern w:val="28"/>
          <w:szCs w:val="24"/>
          <w:highlight w:val="none"/>
        </w:rPr>
        <w:t>本合同价款是指乙方在指定地点交货并履行完合同项下的其他义务所需的全部费用，包含货物设计、制造、包装、仓储、运输、装卸、安装、保险、培训、售后服务、第三方法定计量检定机构检测费用等所发生的一切含税费用。</w:t>
      </w:r>
    </w:p>
    <w:p w14:paraId="6371F65A">
      <w:pPr>
        <w:numPr>
          <w:ilvl w:val="1"/>
          <w:numId w:val="3"/>
        </w:numPr>
        <w:ind w:firstLine="480"/>
        <w:jc w:val="left"/>
        <w:rPr>
          <w:rFonts w:ascii="宋体" w:hAnsi="宋体" w:cs="宋体"/>
          <w:szCs w:val="24"/>
          <w:highlight w:val="none"/>
        </w:rPr>
      </w:pPr>
      <w:r>
        <w:rPr>
          <w:rFonts w:hint="eastAsia" w:ascii="宋体" w:hAnsi="宋体" w:cs="宋体"/>
          <w:szCs w:val="24"/>
          <w:highlight w:val="none"/>
        </w:rPr>
        <w:t>本合同暂定含税总价为人民币（大写）</w:t>
      </w:r>
      <w:r>
        <w:rPr>
          <w:rFonts w:hint="eastAsia" w:ascii="宋体" w:hAnsi="宋体" w:cs="宋体"/>
          <w:szCs w:val="24"/>
          <w:highlight w:val="none"/>
          <w:u w:val="single"/>
        </w:rPr>
        <w:t xml:space="preserve">        </w:t>
      </w:r>
      <w:r>
        <w:rPr>
          <w:rFonts w:hint="eastAsia" w:ascii="宋体" w:hAnsi="宋体" w:cs="宋体"/>
          <w:szCs w:val="24"/>
          <w:highlight w:val="none"/>
        </w:rPr>
        <w:t>元整，(小写）¥</w:t>
      </w:r>
      <w:r>
        <w:rPr>
          <w:rFonts w:hint="eastAsia" w:ascii="宋体" w:hAnsi="宋体" w:cs="宋体"/>
          <w:szCs w:val="24"/>
          <w:highlight w:val="none"/>
          <w:u w:val="single"/>
        </w:rPr>
        <w:t xml:space="preserve">       </w:t>
      </w:r>
      <w:r>
        <w:rPr>
          <w:rFonts w:hint="eastAsia" w:ascii="宋体" w:hAnsi="宋体" w:cs="宋体"/>
          <w:szCs w:val="24"/>
          <w:highlight w:val="none"/>
        </w:rPr>
        <w:t>元（不含税金额为¥</w:t>
      </w:r>
      <w:r>
        <w:rPr>
          <w:rFonts w:hint="eastAsia" w:ascii="宋体" w:hAnsi="宋体" w:cs="宋体"/>
          <w:szCs w:val="24"/>
          <w:highlight w:val="none"/>
          <w:u w:val="single"/>
        </w:rPr>
        <w:t xml:space="preserve">        </w:t>
      </w:r>
      <w:r>
        <w:rPr>
          <w:rFonts w:hint="eastAsia" w:ascii="宋体" w:hAnsi="宋体" w:cs="宋体"/>
          <w:szCs w:val="24"/>
          <w:highlight w:val="none"/>
        </w:rPr>
        <w:t>元，税额为¥</w:t>
      </w:r>
      <w:r>
        <w:rPr>
          <w:rFonts w:hint="eastAsia" w:ascii="宋体" w:hAnsi="宋体" w:cs="宋体"/>
          <w:szCs w:val="24"/>
          <w:highlight w:val="none"/>
          <w:u w:val="single"/>
        </w:rPr>
        <w:t xml:space="preserve">      </w:t>
      </w:r>
      <w:r>
        <w:rPr>
          <w:rFonts w:hint="eastAsia" w:ascii="宋体" w:hAnsi="宋体" w:cs="宋体"/>
          <w:szCs w:val="24"/>
          <w:highlight w:val="none"/>
        </w:rPr>
        <w:t>元，适用税率为</w:t>
      </w:r>
      <w:r>
        <w:rPr>
          <w:rFonts w:hint="eastAsia" w:ascii="宋体" w:hAnsi="宋体" w:cs="宋体"/>
          <w:szCs w:val="24"/>
          <w:highlight w:val="none"/>
          <w:u w:val="single"/>
        </w:rPr>
        <w:t xml:space="preserve">    </w:t>
      </w:r>
      <w:r>
        <w:rPr>
          <w:rFonts w:hint="eastAsia" w:ascii="宋体" w:hAnsi="宋体" w:cs="宋体"/>
          <w:szCs w:val="24"/>
          <w:highlight w:val="none"/>
        </w:rPr>
        <w:t>%）；</w:t>
      </w:r>
    </w:p>
    <w:p w14:paraId="1E913582">
      <w:pPr>
        <w:pStyle w:val="53"/>
        <w:numPr>
          <w:ilvl w:val="1"/>
          <w:numId w:val="3"/>
        </w:numPr>
        <w:tabs>
          <w:tab w:val="left" w:pos="560"/>
          <w:tab w:val="right" w:leader="middleDot" w:pos="84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甲方有权在本项目实施期间增减货物清单中任何一种货物的数量，以及在货物交付前要求乙方延迟交货。本合同为固定单价合同，据实结算。</w:t>
      </w:r>
    </w:p>
    <w:p w14:paraId="0E564DE6">
      <w:pPr>
        <w:pStyle w:val="53"/>
        <w:numPr>
          <w:ilvl w:val="1"/>
          <w:numId w:val="3"/>
        </w:numPr>
        <w:tabs>
          <w:tab w:val="left" w:pos="560"/>
          <w:tab w:val="right" w:leader="middleDot" w:pos="84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本合同约定的货物单价为固定价格，在合同执行期间不受政策、法规变化以及汇率浮动、物价指数浮动等影响。但条款2.5的情形除外。</w:t>
      </w:r>
    </w:p>
    <w:p w14:paraId="1BC1836B">
      <w:pPr>
        <w:pStyle w:val="53"/>
        <w:numPr>
          <w:ilvl w:val="1"/>
          <w:numId w:val="3"/>
        </w:numPr>
        <w:tabs>
          <w:tab w:val="left" w:pos="560"/>
          <w:tab w:val="right" w:leader="middleDot" w:pos="8400"/>
        </w:tabs>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lang w:bidi="ar"/>
        </w:rPr>
        <w:t>在合同执行期间，如国家对涉及税的相关税率进行调整的，则执行最新的规定，以原不含税合同价*（1+新税率），计算合同总价或未履行部分金额。其中原不含税合同价应以原合同价按旧税率换算得出（税率低于3%的合同不适用）。</w:t>
      </w:r>
    </w:p>
    <w:p w14:paraId="6F797A7E">
      <w:pPr>
        <w:numPr>
          <w:ilvl w:val="0"/>
          <w:numId w:val="3"/>
        </w:numPr>
        <w:ind w:firstLine="482"/>
        <w:rPr>
          <w:rFonts w:ascii="宋体" w:hAnsi="宋体" w:cs="宋体"/>
          <w:b/>
          <w:szCs w:val="24"/>
          <w:highlight w:val="none"/>
        </w:rPr>
      </w:pPr>
      <w:r>
        <w:rPr>
          <w:rFonts w:hint="eastAsia" w:ascii="宋体" w:hAnsi="宋体" w:cs="宋体"/>
          <w:b/>
          <w:szCs w:val="24"/>
          <w:highlight w:val="none"/>
        </w:rPr>
        <w:t>合同支付</w:t>
      </w:r>
    </w:p>
    <w:p w14:paraId="6ECA6F0B">
      <w:pPr>
        <w:numPr>
          <w:ilvl w:val="1"/>
          <w:numId w:val="3"/>
        </w:numPr>
        <w:ind w:firstLine="480"/>
        <w:jc w:val="left"/>
        <w:rPr>
          <w:rFonts w:ascii="宋体" w:hAnsi="宋体" w:cs="宋体"/>
          <w:szCs w:val="24"/>
          <w:highlight w:val="none"/>
        </w:rPr>
      </w:pPr>
      <w:r>
        <w:rPr>
          <w:rFonts w:hint="eastAsia" w:ascii="宋体" w:hAnsi="宋体" w:cs="宋体"/>
          <w:szCs w:val="24"/>
          <w:highlight w:val="none"/>
        </w:rPr>
        <w:t>本合同按照第①种方式付款。</w:t>
      </w:r>
    </w:p>
    <w:p w14:paraId="4932687D">
      <w:pPr>
        <w:ind w:firstLine="480"/>
        <w:jc w:val="left"/>
        <w:rPr>
          <w:rFonts w:ascii="宋体" w:hAnsi="宋体" w:cs="宋体"/>
          <w:szCs w:val="24"/>
          <w:highlight w:val="none"/>
        </w:rPr>
      </w:pPr>
      <w:r>
        <w:rPr>
          <w:rFonts w:hint="eastAsia" w:ascii="宋体" w:hAnsi="宋体" w:cs="宋体"/>
          <w:szCs w:val="24"/>
          <w:highlight w:val="none"/>
        </w:rPr>
        <w:t>①无质保金：当批合同货物到货并经甲方验收合格后，在甲方收到乙方提供的以下资料经审核无误后，60日内支付至当批货物结算价款的100%。</w:t>
      </w:r>
    </w:p>
    <w:p w14:paraId="0AF19DD5">
      <w:pPr>
        <w:ind w:firstLine="480"/>
        <w:jc w:val="left"/>
        <w:rPr>
          <w:rFonts w:ascii="宋体" w:hAnsi="宋体" w:cs="宋体"/>
          <w:szCs w:val="24"/>
          <w:highlight w:val="none"/>
        </w:rPr>
      </w:pPr>
      <w:r>
        <w:rPr>
          <w:rFonts w:hint="eastAsia" w:ascii="宋体" w:hAnsi="宋体" w:cs="宋体"/>
          <w:szCs w:val="24"/>
          <w:highlight w:val="none"/>
        </w:rPr>
        <w:t>②暂扣质保金：当批合同货物到货并经甲方验收合格后，在甲方收到乙方提供的以下资料经审核无误后，60日内支付至当批货物结算价款的95%，其余5%作为售后服务质保金并于全部货物质保期满且无质量异议后60日内予以支付。</w:t>
      </w:r>
    </w:p>
    <w:p w14:paraId="5D12D130">
      <w:pPr>
        <w:ind w:firstLine="480"/>
        <w:jc w:val="left"/>
        <w:rPr>
          <w:rFonts w:ascii="宋体" w:hAnsi="宋体" w:cs="宋体"/>
          <w:szCs w:val="24"/>
          <w:highlight w:val="none"/>
        </w:rPr>
      </w:pPr>
      <w:r>
        <w:rPr>
          <w:rFonts w:hint="eastAsia" w:ascii="宋体" w:hAnsi="宋体" w:cs="宋体"/>
          <w:szCs w:val="24"/>
          <w:highlight w:val="none"/>
        </w:rPr>
        <w:t>（1）乙方出具的本次支付申请；</w:t>
      </w:r>
    </w:p>
    <w:p w14:paraId="1AD3DBF5">
      <w:pPr>
        <w:ind w:firstLine="480"/>
        <w:jc w:val="left"/>
        <w:rPr>
          <w:rFonts w:ascii="宋体" w:hAnsi="宋体" w:cs="宋体"/>
          <w:szCs w:val="24"/>
          <w:highlight w:val="none"/>
        </w:rPr>
      </w:pPr>
      <w:r>
        <w:rPr>
          <w:rFonts w:hint="eastAsia" w:ascii="宋体" w:hAnsi="宋体" w:cs="宋体"/>
          <w:szCs w:val="24"/>
          <w:highlight w:val="none"/>
        </w:rPr>
        <w:t>（2）乙方出具的送货清单（签字、盖章）；</w:t>
      </w:r>
    </w:p>
    <w:p w14:paraId="09FB451C">
      <w:pPr>
        <w:ind w:firstLine="480"/>
        <w:jc w:val="left"/>
        <w:rPr>
          <w:rFonts w:ascii="宋体" w:hAnsi="宋体" w:cs="宋体"/>
          <w:szCs w:val="24"/>
          <w:highlight w:val="none"/>
        </w:rPr>
      </w:pPr>
      <w:r>
        <w:rPr>
          <w:rFonts w:hint="eastAsia" w:ascii="宋体" w:hAnsi="宋体" w:cs="宋体"/>
          <w:szCs w:val="24"/>
          <w:highlight w:val="none"/>
        </w:rPr>
        <w:t>（3）甲方验收合格入库单或验收合格证明；</w:t>
      </w:r>
    </w:p>
    <w:p w14:paraId="40D58316">
      <w:pPr>
        <w:ind w:firstLine="480"/>
        <w:jc w:val="left"/>
        <w:rPr>
          <w:rFonts w:ascii="宋体" w:hAnsi="宋体" w:cs="宋体"/>
          <w:szCs w:val="24"/>
          <w:highlight w:val="none"/>
        </w:rPr>
      </w:pPr>
      <w:r>
        <w:rPr>
          <w:rFonts w:hint="eastAsia" w:ascii="宋体" w:hAnsi="宋体" w:cs="宋体"/>
          <w:szCs w:val="24"/>
          <w:highlight w:val="none"/>
        </w:rPr>
        <w:t xml:space="preserve">（4）该批次货物100%金额的增值税专用发票 </w:t>
      </w:r>
    </w:p>
    <w:p w14:paraId="292A2D6D">
      <w:pPr>
        <w:pStyle w:val="53"/>
        <w:numPr>
          <w:ilvl w:val="1"/>
          <w:numId w:val="3"/>
        </w:numPr>
        <w:tabs>
          <w:tab w:val="left" w:pos="560"/>
          <w:tab w:val="right" w:leader="middleDot" w:pos="84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乙方开具的正式发票应标明品名、规格型号、单价、数量、金额等货物明细信息，若供货项目较多发票上无法全部列示可附带销售货物清单。</w:t>
      </w:r>
    </w:p>
    <w:p w14:paraId="7143BF43">
      <w:pPr>
        <w:pStyle w:val="53"/>
        <w:numPr>
          <w:ilvl w:val="1"/>
          <w:numId w:val="3"/>
        </w:numPr>
        <w:tabs>
          <w:tab w:val="left" w:pos="560"/>
          <w:tab w:val="right" w:leader="middleDot" w:pos="8400"/>
        </w:tabs>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乙方应开具与合同义务相符的合规增值税专用发票，若发票内容、税率有误，发票认证超期等原因甲方有权拒收。</w:t>
      </w:r>
    </w:p>
    <w:p w14:paraId="61551CCA">
      <w:pPr>
        <w:numPr>
          <w:ilvl w:val="0"/>
          <w:numId w:val="3"/>
        </w:numPr>
        <w:ind w:firstLine="482"/>
        <w:rPr>
          <w:rFonts w:ascii="宋体" w:hAnsi="宋体" w:cs="宋体"/>
          <w:b/>
          <w:bCs/>
          <w:szCs w:val="21"/>
          <w:highlight w:val="none"/>
        </w:rPr>
      </w:pPr>
      <w:r>
        <w:rPr>
          <w:rFonts w:hint="eastAsia" w:ascii="宋体" w:hAnsi="宋体" w:cs="宋体"/>
          <w:b/>
          <w:bCs/>
          <w:szCs w:val="21"/>
          <w:highlight w:val="none"/>
        </w:rPr>
        <w:t>履约担保（本项目无）</w:t>
      </w:r>
    </w:p>
    <w:p w14:paraId="0EA738A6">
      <w:pPr>
        <w:numPr>
          <w:ilvl w:val="0"/>
          <w:numId w:val="3"/>
        </w:numPr>
        <w:ind w:firstLine="482"/>
        <w:rPr>
          <w:rFonts w:ascii="宋体" w:hAnsi="宋体" w:cs="宋体"/>
          <w:szCs w:val="24"/>
          <w:highlight w:val="none"/>
        </w:rPr>
      </w:pPr>
      <w:r>
        <w:rPr>
          <w:rFonts w:hint="eastAsia" w:ascii="宋体" w:hAnsi="宋体" w:cs="宋体"/>
          <w:b/>
          <w:bCs/>
          <w:szCs w:val="24"/>
          <w:highlight w:val="none"/>
        </w:rPr>
        <w:t>预付款（本项目无）</w:t>
      </w:r>
    </w:p>
    <w:p w14:paraId="63595633">
      <w:pPr>
        <w:numPr>
          <w:ilvl w:val="0"/>
          <w:numId w:val="3"/>
        </w:numPr>
        <w:ind w:firstLine="482"/>
        <w:rPr>
          <w:rFonts w:ascii="宋体" w:hAnsi="宋体" w:cs="宋体"/>
          <w:color w:val="FF0000"/>
          <w:szCs w:val="24"/>
          <w:highlight w:val="none"/>
        </w:rPr>
      </w:pPr>
      <w:r>
        <w:rPr>
          <w:rFonts w:hint="eastAsia" w:ascii="宋体" w:hAnsi="宋体" w:cs="宋体"/>
          <w:b/>
          <w:szCs w:val="24"/>
          <w:highlight w:val="none"/>
        </w:rPr>
        <w:t>交货和验收</w:t>
      </w:r>
    </w:p>
    <w:p w14:paraId="1171E96D">
      <w:pPr>
        <w:numPr>
          <w:ilvl w:val="1"/>
          <w:numId w:val="3"/>
        </w:numPr>
        <w:ind w:firstLine="480"/>
        <w:jc w:val="left"/>
        <w:rPr>
          <w:rFonts w:ascii="宋体" w:hAnsi="宋体" w:cs="宋体"/>
          <w:szCs w:val="24"/>
          <w:highlight w:val="none"/>
        </w:rPr>
      </w:pPr>
      <w:r>
        <w:rPr>
          <w:rFonts w:hint="eastAsia" w:ascii="宋体" w:hAnsi="宋体" w:cs="宋体"/>
          <w:szCs w:val="24"/>
          <w:highlight w:val="none"/>
        </w:rPr>
        <w:t>交货地点：甲方指定地点</w:t>
      </w:r>
      <w:r>
        <w:rPr>
          <w:rFonts w:hint="eastAsia" w:ascii="宋体" w:hAnsi="宋体" w:cs="宋体"/>
          <w:szCs w:val="24"/>
          <w:highlight w:val="none"/>
          <w:u w:val="single"/>
        </w:rPr>
        <w:t xml:space="preserve">               </w:t>
      </w:r>
      <w:r>
        <w:rPr>
          <w:rFonts w:hint="eastAsia" w:ascii="宋体" w:hAnsi="宋体" w:cs="宋体"/>
          <w:szCs w:val="24"/>
          <w:highlight w:val="none"/>
        </w:rPr>
        <w:t>联系电话：</w:t>
      </w:r>
      <w:r>
        <w:rPr>
          <w:rFonts w:hint="eastAsia" w:ascii="宋体" w:hAnsi="宋体" w:cs="宋体"/>
          <w:szCs w:val="24"/>
          <w:highlight w:val="none"/>
          <w:u w:val="single"/>
        </w:rPr>
        <w:t xml:space="preserve">           （按实际）</w:t>
      </w:r>
    </w:p>
    <w:p w14:paraId="5A572958">
      <w:pPr>
        <w:ind w:firstLine="480"/>
        <w:jc w:val="left"/>
        <w:rPr>
          <w:rFonts w:ascii="宋体" w:hAnsi="宋体" w:cs="宋体"/>
          <w:szCs w:val="24"/>
          <w:highlight w:val="none"/>
        </w:rPr>
      </w:pPr>
      <w:r>
        <w:rPr>
          <w:rFonts w:hint="eastAsia" w:ascii="宋体" w:hAnsi="宋体" w:cs="宋体"/>
          <w:szCs w:val="24"/>
          <w:highlight w:val="none"/>
        </w:rPr>
        <w:t>交货方式：按甲方要求分批交货，落地交货。</w:t>
      </w:r>
    </w:p>
    <w:p w14:paraId="0C7D1AE0">
      <w:pPr>
        <w:numPr>
          <w:ilvl w:val="1"/>
          <w:numId w:val="3"/>
        </w:numPr>
        <w:ind w:firstLine="480"/>
        <w:jc w:val="left"/>
        <w:rPr>
          <w:rFonts w:ascii="宋体" w:hAnsi="宋体" w:cs="宋体"/>
          <w:szCs w:val="24"/>
          <w:highlight w:val="none"/>
        </w:rPr>
      </w:pPr>
      <w:r>
        <w:rPr>
          <w:rFonts w:hint="eastAsia" w:ascii="宋体" w:hAnsi="宋体" w:cs="宋体"/>
          <w:szCs w:val="24"/>
          <w:highlight w:val="none"/>
        </w:rPr>
        <w:t>交货时间：在合同有效期内乙方接到甲方订单后，1小时内响应</w:t>
      </w:r>
      <w:r>
        <w:rPr>
          <w:rFonts w:hint="eastAsia" w:ascii="宋体" w:hAnsi="宋体" w:cs="宋体"/>
          <w:szCs w:val="24"/>
          <w:highlight w:val="none"/>
          <w:lang w:eastAsia="zh-CN"/>
        </w:rPr>
        <w:t>，</w:t>
      </w:r>
      <w:r>
        <w:rPr>
          <w:rFonts w:hint="eastAsia" w:ascii="宋体" w:hAnsi="宋体" w:cs="宋体"/>
          <w:szCs w:val="24"/>
          <w:highlight w:val="none"/>
        </w:rPr>
        <w:t>并能正常让更换后设备投入使用。</w:t>
      </w:r>
    </w:p>
    <w:p w14:paraId="3288D160">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乙方应按照本合同规定的时间、地点和方式，向甲方交付货物。如未遵循送货规定，由此引起的遗失或损坏等一切问题，由乙方承担全部责任。</w:t>
      </w:r>
    </w:p>
    <w:p w14:paraId="7D8666B0">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送货时应附有加盖乙方单位公章的详细的《送货清单》，内容应包括本合同编号、货物名称、规格/型号、品牌/生产厂、数量等。乙方须按甲方要求在交货时同时提供生产许可证、质量合格证书或者出具出厂合格证明或第三方出具的检验合格报告等文件，相关技术性能参数符合国家标准或者国际标准。</w:t>
      </w:r>
    </w:p>
    <w:p w14:paraId="6AFEA991">
      <w:pPr>
        <w:numPr>
          <w:ilvl w:val="1"/>
          <w:numId w:val="3"/>
        </w:numPr>
        <w:ind w:firstLine="480"/>
        <w:jc w:val="left"/>
        <w:rPr>
          <w:rFonts w:ascii="宋体" w:hAnsi="宋体" w:cs="宋体"/>
          <w:szCs w:val="24"/>
          <w:highlight w:val="none"/>
        </w:rPr>
      </w:pPr>
      <w:r>
        <w:rPr>
          <w:rFonts w:hint="eastAsia" w:ascii="宋体" w:hAnsi="宋体" w:cs="宋体"/>
          <w:szCs w:val="24"/>
          <w:highlight w:val="none"/>
        </w:rPr>
        <w:t>当乙方选择第三方物流/快递公司承担运输交货工作时，除需遵照包装、包装标志及环境保护在包装箱的适当位置做出相关标记外，另需在包装箱内附上详细的送货清单，具体内容参照交货和验收相应条款执行。甲方在清点货物时发现的问题，将由乙方承担全部责任。</w:t>
      </w:r>
    </w:p>
    <w:p w14:paraId="432CB183">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乙方交付的货物，应当完全符合本合同所规定的货物名称、数量和规格型号等要求。否则，甲方有权拒收货物，由此引起的风险和损失，由乙方承担。</w:t>
      </w:r>
    </w:p>
    <w:p w14:paraId="24DF30C6">
      <w:pPr>
        <w:numPr>
          <w:ilvl w:val="1"/>
          <w:numId w:val="3"/>
        </w:numPr>
        <w:ind w:firstLine="480"/>
        <w:jc w:val="left"/>
        <w:rPr>
          <w:rFonts w:ascii="宋体" w:hAnsi="宋体" w:cs="宋体"/>
          <w:szCs w:val="24"/>
          <w:highlight w:val="none"/>
        </w:rPr>
      </w:pPr>
      <w:r>
        <w:rPr>
          <w:rFonts w:hint="eastAsia" w:ascii="宋体" w:hAnsi="宋体" w:cs="宋体"/>
          <w:szCs w:val="24"/>
          <w:highlight w:val="none"/>
        </w:rPr>
        <w:t>甲方应当在到货后对货物进行验收，验收包括：货物名称、规格型号、数量、外观质量及货物包装是否完好，安装调试是否合格，性能是否满足要求，所提供货物的装箱清单、用户手册、合格证、使用/安装说明、原厂保修卡、随机资料及配件、随机工具等是否齐全。</w:t>
      </w:r>
    </w:p>
    <w:p w14:paraId="7464755A">
      <w:pPr>
        <w:numPr>
          <w:ilvl w:val="1"/>
          <w:numId w:val="3"/>
        </w:numPr>
        <w:ind w:firstLine="480"/>
        <w:jc w:val="left"/>
        <w:rPr>
          <w:rFonts w:ascii="宋体" w:hAnsi="宋体" w:cs="宋体"/>
          <w:szCs w:val="24"/>
          <w:highlight w:val="none"/>
        </w:rPr>
      </w:pPr>
      <w:r>
        <w:rPr>
          <w:rFonts w:hint="eastAsia" w:ascii="宋体" w:hAnsi="宋体" w:cs="宋体"/>
          <w:szCs w:val="24"/>
          <w:highlight w:val="none"/>
        </w:rPr>
        <w:t>货物验收按甲方的规定进行（政府有强制验收要求的按政府规定办理），如验收不合格，甲方有权要求乙方在15个工作日内无条件进行更换直至甲方满意为止。乙方在甲方要求的期限内完成换货的，不视为乙方逾期交货。</w:t>
      </w:r>
    </w:p>
    <w:p w14:paraId="4860E2AB">
      <w:pPr>
        <w:numPr>
          <w:ilvl w:val="1"/>
          <w:numId w:val="3"/>
        </w:numPr>
        <w:ind w:firstLine="480"/>
        <w:jc w:val="left"/>
        <w:rPr>
          <w:rFonts w:ascii="宋体" w:hAnsi="宋体" w:cs="宋体"/>
          <w:szCs w:val="24"/>
          <w:highlight w:val="none"/>
        </w:rPr>
      </w:pPr>
      <w:r>
        <w:rPr>
          <w:rFonts w:hint="eastAsia" w:ascii="宋体" w:hAnsi="宋体" w:cs="宋体"/>
          <w:szCs w:val="24"/>
          <w:highlight w:val="none"/>
        </w:rPr>
        <w:t>验收标准及验收方式。验收标准：验收标准包括但不限于外观验收、开箱检验、质量验收、技术资料验证、数量核对、上线测试等方式。验收方式：到货后甲方组织需求专业相关人员进行验收。</w:t>
      </w:r>
    </w:p>
    <w:p w14:paraId="52883117">
      <w:pPr>
        <w:numPr>
          <w:ilvl w:val="1"/>
          <w:numId w:val="3"/>
        </w:numPr>
        <w:ind w:firstLine="480"/>
        <w:jc w:val="left"/>
        <w:rPr>
          <w:rFonts w:ascii="宋体" w:hAnsi="宋体" w:cs="宋体"/>
          <w:szCs w:val="24"/>
          <w:highlight w:val="none"/>
        </w:rPr>
      </w:pPr>
      <w:r>
        <w:rPr>
          <w:rFonts w:hint="eastAsia" w:ascii="宋体" w:hAnsi="宋体" w:cs="宋体"/>
          <w:szCs w:val="24"/>
          <w:highlight w:val="none"/>
        </w:rPr>
        <w:t>合同货物交货验收（合格）后，甲乙双方共同签署交货清单,货物发生灭失或损坏风险由乙方转移至甲方，但货物本身质量引起的除外。</w:t>
      </w:r>
    </w:p>
    <w:p w14:paraId="4C5CD385">
      <w:pPr>
        <w:numPr>
          <w:ilvl w:val="0"/>
          <w:numId w:val="3"/>
        </w:numPr>
        <w:ind w:firstLine="482"/>
        <w:rPr>
          <w:rFonts w:ascii="宋体" w:hAnsi="宋体" w:cs="宋体"/>
          <w:b/>
          <w:szCs w:val="24"/>
          <w:highlight w:val="none"/>
        </w:rPr>
      </w:pPr>
      <w:r>
        <w:rPr>
          <w:rFonts w:hint="eastAsia" w:ascii="宋体" w:hAnsi="宋体" w:cs="宋体"/>
          <w:b/>
          <w:szCs w:val="24"/>
          <w:highlight w:val="none"/>
        </w:rPr>
        <w:t>保密</w:t>
      </w:r>
    </w:p>
    <w:p w14:paraId="3D5668A2">
      <w:pPr>
        <w:ind w:firstLine="480"/>
        <w:jc w:val="left"/>
        <w:rPr>
          <w:rFonts w:ascii="宋体" w:hAnsi="宋体" w:cs="宋体"/>
          <w:szCs w:val="24"/>
          <w:highlight w:val="none"/>
        </w:rPr>
      </w:pPr>
      <w:r>
        <w:rPr>
          <w:rFonts w:hint="eastAsia" w:ascii="宋体" w:hAnsi="宋体" w:cs="宋体"/>
          <w:szCs w:val="24"/>
          <w:highlight w:val="none"/>
        </w:rPr>
        <w:t>乙方应对所有参与该项目的人员加强保密性教育，对在工作过程中接触到的甲方的任何资料，负有为甲方保密的责任，未经甲方书面同意不得外传甲方任何文件及规章制度。乙方必须严格保密甲方的生产信息，坚决杜绝无事生非，造谣生事现象的出现。由于乙方原因给甲方造成的损失由乙方赔偿，同时追究乙方相应责任。本保密义务在本协议期满、解除或终止后仍然有效。</w:t>
      </w:r>
    </w:p>
    <w:p w14:paraId="793CCAF2">
      <w:pPr>
        <w:numPr>
          <w:ilvl w:val="0"/>
          <w:numId w:val="3"/>
        </w:numPr>
        <w:ind w:firstLine="482"/>
        <w:rPr>
          <w:rFonts w:ascii="宋体" w:hAnsi="宋体" w:cs="宋体"/>
          <w:bCs/>
          <w:snapToGrid w:val="0"/>
          <w:szCs w:val="24"/>
          <w:highlight w:val="none"/>
        </w:rPr>
      </w:pPr>
      <w:r>
        <w:rPr>
          <w:rFonts w:hint="eastAsia" w:ascii="宋体" w:hAnsi="宋体" w:cs="宋体"/>
          <w:b/>
          <w:szCs w:val="24"/>
          <w:highlight w:val="none"/>
        </w:rPr>
        <w:t>知识产权</w:t>
      </w:r>
    </w:p>
    <w:p w14:paraId="1401EC17">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保证其所提供的货物包括但不限于涉及的元素、字体等，均系自主研发、设计或者经过第三方合法授权，没有违反国家的有关出版管理的法律和侵犯第三方的权利。如因本合同项下的货物与第三人包括有关国家管理部门发生任何争议，争议的解决以及由此产生的后果均由乙方负责和承担，乙方除应更换新的设计方案、货物外，还应赔偿甲方由此产生的所有损失（含直接损失和间接损失及律师费、诉讼费、赔偿款等）。</w:t>
      </w:r>
    </w:p>
    <w:p w14:paraId="3D257087">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应保证甲方在使用本合同货物或其任何一部分时免受第三方提出侵犯其知识产权的起诉。如本合同项下设计方案/货物或其任何部分被依法认定为侵犯第三人的合法权利，或任何依约定使用该货物或行使任何由乙方授予的权利被认定为侵权的，乙方应采取必要的措施为甲方免费更换所涉及的货物等，或取得相关授权，以使甲方能够继续享有本合同所规定的各项权利。</w:t>
      </w:r>
    </w:p>
    <w:p w14:paraId="434E3FF2">
      <w:pPr>
        <w:numPr>
          <w:ilvl w:val="0"/>
          <w:numId w:val="3"/>
        </w:numPr>
        <w:ind w:firstLine="482"/>
        <w:rPr>
          <w:rFonts w:ascii="宋体" w:hAnsi="宋体" w:cs="宋体"/>
          <w:b/>
          <w:szCs w:val="24"/>
          <w:highlight w:val="none"/>
        </w:rPr>
      </w:pPr>
      <w:r>
        <w:rPr>
          <w:rFonts w:hint="eastAsia" w:ascii="宋体" w:hAnsi="宋体" w:cs="宋体"/>
          <w:b/>
          <w:szCs w:val="24"/>
          <w:highlight w:val="none"/>
        </w:rPr>
        <w:t>包装、包装标志及环境保护</w:t>
      </w:r>
    </w:p>
    <w:p w14:paraId="793BB50D">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对所提供的货物应采用保护措施进行包装，乙方应对包装不妥造成的货物残损及其他损失承担责任。包装材料应采用可回收材料并确保不会造成环境污染。货物标识必须明确规范，标识种类包括但不限于特殊携带要求标识和危险品警示标识等。</w:t>
      </w:r>
    </w:p>
    <w:p w14:paraId="6B4A4AF2">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在交付货物时，需确定货物外包装上注明有：生产日期、质保期等信息。如果货物包装上没有该类信息，或信息会导致歧义，甲方有权要求乙方提供证明性文件加以说明。如果甲方有需要，还可要求乙方提供货物的货源证明。</w:t>
      </w:r>
    </w:p>
    <w:p w14:paraId="422917F8">
      <w:pPr>
        <w:numPr>
          <w:ilvl w:val="1"/>
          <w:numId w:val="3"/>
        </w:numPr>
        <w:ind w:firstLine="480"/>
        <w:jc w:val="left"/>
        <w:rPr>
          <w:rFonts w:ascii="宋体" w:hAnsi="宋体" w:cs="宋体"/>
          <w:szCs w:val="24"/>
          <w:highlight w:val="none"/>
        </w:rPr>
      </w:pPr>
      <w:r>
        <w:rPr>
          <w:rFonts w:hint="eastAsia" w:ascii="宋体" w:hAnsi="宋体" w:cs="宋体"/>
          <w:szCs w:val="24"/>
          <w:highlight w:val="none"/>
        </w:rPr>
        <w:t>如货物需要甲方协助装卸，装卸过程中所发生的损失由乙方承担。</w:t>
      </w:r>
    </w:p>
    <w:p w14:paraId="14996851">
      <w:pPr>
        <w:numPr>
          <w:ilvl w:val="0"/>
          <w:numId w:val="3"/>
        </w:numPr>
        <w:ind w:firstLine="482"/>
        <w:rPr>
          <w:rFonts w:ascii="宋体" w:hAnsi="宋体" w:cs="宋体"/>
          <w:b/>
          <w:szCs w:val="24"/>
          <w:highlight w:val="none"/>
        </w:rPr>
      </w:pPr>
      <w:r>
        <w:rPr>
          <w:rFonts w:hint="eastAsia" w:ascii="宋体" w:hAnsi="宋体" w:cs="宋体"/>
          <w:b/>
          <w:szCs w:val="24"/>
          <w:highlight w:val="none"/>
        </w:rPr>
        <w:t>质量保证与质保期</w:t>
      </w:r>
    </w:p>
    <w:p w14:paraId="0995106E">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应保证货物是全新、未使用过的原装合格正品，非长期积压(注：到货验收合格后产品剩余有效期不得小于产品标识有效期的70%)的库存商品，并完全符合生产企业或国家规定的质量、规格和性能的要求。如有假冒伪劣产品，除换货外，还应给予甲方该货物合同价2倍的赔偿。</w:t>
      </w:r>
    </w:p>
    <w:p w14:paraId="19A13801">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乙方所提供的货物若技术性能无特殊说明，则按生产企业或国家有关部门最新颁布的标准及规范为准。对于国家强制性产品认证（CCC认证）目录内的产品必须获得3C认证证书及标志，否则甲方将不接收相关货物。</w:t>
      </w:r>
    </w:p>
    <w:p w14:paraId="7DD050CB">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应保证其提供的货物在正确安装、正常使用和保养的条件下，在其使用寿命内具有良好的性能。货物验收后，乙方应对由于产品设计缺陷、质量缺陷、其它内在缺陷等原因造成的损失负责，所需费用由乙方承担。</w:t>
      </w:r>
    </w:p>
    <w:p w14:paraId="2C1577BE">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乙方出售的产品如因内在的缺陷，造成人身、他人财产损害的，乙方应当按照《中华人民共和国产品质量法》</w:t>
      </w:r>
      <w:bookmarkStart w:id="14" w:name="_Hlk18494033"/>
      <w:r>
        <w:rPr>
          <w:rFonts w:hint="eastAsia" w:ascii="宋体" w:hAnsi="宋体" w:cs="宋体"/>
          <w:szCs w:val="24"/>
          <w:highlight w:val="none"/>
        </w:rPr>
        <w:t>及相关法律法规的</w:t>
      </w:r>
      <w:bookmarkEnd w:id="14"/>
      <w:r>
        <w:rPr>
          <w:rFonts w:hint="eastAsia" w:ascii="宋体" w:hAnsi="宋体" w:cs="宋体"/>
          <w:szCs w:val="24"/>
          <w:highlight w:val="none"/>
        </w:rPr>
        <w:t>规定承担责任。</w:t>
      </w:r>
    </w:p>
    <w:p w14:paraId="41EBF605">
      <w:pPr>
        <w:numPr>
          <w:ilvl w:val="1"/>
          <w:numId w:val="3"/>
        </w:numPr>
        <w:ind w:firstLine="480"/>
        <w:jc w:val="left"/>
        <w:rPr>
          <w:rFonts w:ascii="宋体" w:hAnsi="宋体" w:cs="宋体"/>
          <w:szCs w:val="24"/>
          <w:highlight w:val="none"/>
        </w:rPr>
      </w:pPr>
      <w:r>
        <w:rPr>
          <w:rFonts w:hint="eastAsia" w:ascii="宋体" w:hAnsi="宋体" w:cs="宋体"/>
          <w:szCs w:val="24"/>
          <w:highlight w:val="none"/>
        </w:rPr>
        <w:t>质保期</w:t>
      </w:r>
    </w:p>
    <w:p w14:paraId="518E3DF0">
      <w:pPr>
        <w:ind w:firstLine="504"/>
        <w:jc w:val="left"/>
        <w:rPr>
          <w:rFonts w:ascii="宋体" w:hAnsi="宋体" w:cs="宋体"/>
          <w:spacing w:val="6"/>
          <w:szCs w:val="24"/>
          <w:highlight w:val="none"/>
        </w:rPr>
      </w:pPr>
      <w:r>
        <w:rPr>
          <w:rFonts w:hint="eastAsia" w:ascii="宋体" w:hAnsi="宋体" w:cs="宋体"/>
          <w:spacing w:val="6"/>
          <w:szCs w:val="24"/>
          <w:highlight w:val="none"/>
        </w:rPr>
        <w:t>10.5.1自货物验收合格之日起（从次日起算）12个月为质保期。（货物依法标注有效期或国家有期限规定的，其有效期大于质保期的，从其规定）</w:t>
      </w:r>
    </w:p>
    <w:p w14:paraId="01CFCDB5">
      <w:pPr>
        <w:ind w:firstLine="480"/>
        <w:jc w:val="left"/>
        <w:rPr>
          <w:rFonts w:ascii="宋体" w:hAnsi="宋体" w:cs="宋体"/>
          <w:spacing w:val="7"/>
          <w:szCs w:val="24"/>
          <w:highlight w:val="none"/>
        </w:rPr>
      </w:pPr>
      <w:r>
        <w:rPr>
          <w:rFonts w:hint="eastAsia" w:ascii="宋体" w:hAnsi="宋体" w:cs="宋体"/>
          <w:szCs w:val="24"/>
          <w:highlight w:val="none"/>
        </w:rPr>
        <w:t>10.5.2</w:t>
      </w:r>
      <w:r>
        <w:rPr>
          <w:rFonts w:hint="eastAsia" w:ascii="宋体" w:hAnsi="宋体" w:cs="宋体"/>
          <w:spacing w:val="6"/>
          <w:szCs w:val="24"/>
          <w:highlight w:val="none"/>
        </w:rPr>
        <w:t>在质保期内出现质量问题，乙方需在4小时</w:t>
      </w:r>
      <w:r>
        <w:rPr>
          <w:rFonts w:hint="eastAsia" w:hAnsi="宋体" w:cs="宋体"/>
          <w:spacing w:val="6"/>
          <w:szCs w:val="24"/>
          <w:highlight w:val="none"/>
        </w:rPr>
        <w:t>内</w:t>
      </w:r>
      <w:r>
        <w:rPr>
          <w:rFonts w:hint="eastAsia" w:ascii="宋体" w:hAnsi="宋体" w:cs="宋体"/>
          <w:spacing w:val="7"/>
          <w:szCs w:val="24"/>
          <w:highlight w:val="none"/>
        </w:rPr>
        <w:t>响应，24小时内提供解决方案,并在10天内完成修复或更换，无法修复或经过两次修</w:t>
      </w:r>
      <w:r>
        <w:rPr>
          <w:rFonts w:hint="eastAsia" w:ascii="宋体" w:hAnsi="宋体" w:cs="宋体"/>
          <w:spacing w:val="6"/>
          <w:szCs w:val="24"/>
          <w:highlight w:val="none"/>
        </w:rPr>
        <w:t>复仍出现</w:t>
      </w:r>
      <w:r>
        <w:rPr>
          <w:rFonts w:hint="eastAsia" w:ascii="宋体" w:hAnsi="宋体" w:cs="宋体"/>
          <w:spacing w:val="7"/>
          <w:szCs w:val="24"/>
          <w:highlight w:val="none"/>
        </w:rPr>
        <w:t>质量问题，予以换货，退换货的相关费用由乙方承担，造成甲方的损失，由乙方负责。</w:t>
      </w:r>
    </w:p>
    <w:p w14:paraId="7799F1A8">
      <w:pPr>
        <w:pStyle w:val="7"/>
        <w:ind w:firstLine="504"/>
        <w:rPr>
          <w:rFonts w:hAnsi="宋体" w:cs="宋体"/>
          <w:spacing w:val="6"/>
          <w:sz w:val="24"/>
          <w:szCs w:val="24"/>
          <w:highlight w:val="none"/>
        </w:rPr>
      </w:pPr>
      <w:r>
        <w:rPr>
          <w:rFonts w:hint="eastAsia" w:hAnsi="宋体" w:cs="宋体"/>
          <w:spacing w:val="6"/>
          <w:sz w:val="24"/>
          <w:szCs w:val="24"/>
          <w:highlight w:val="none"/>
        </w:rPr>
        <w:t>10.5.3若处于质保期的备件损坏需要更换时，质保期从更换之日起重新计算；质保到期时需要对备件功能进行测试，备件功能完好才能出质保。</w:t>
      </w:r>
    </w:p>
    <w:p w14:paraId="573B19FB">
      <w:pPr>
        <w:numPr>
          <w:ilvl w:val="0"/>
          <w:numId w:val="3"/>
        </w:numPr>
        <w:ind w:firstLine="482"/>
        <w:rPr>
          <w:rFonts w:ascii="宋体" w:hAnsi="宋体" w:cs="宋体"/>
          <w:szCs w:val="24"/>
          <w:highlight w:val="none"/>
        </w:rPr>
      </w:pPr>
      <w:r>
        <w:rPr>
          <w:rFonts w:hint="eastAsia" w:ascii="宋体" w:hAnsi="宋体" w:cs="宋体"/>
          <w:b/>
          <w:szCs w:val="24"/>
          <w:highlight w:val="none"/>
        </w:rPr>
        <w:t>伴随服务／售后服务</w:t>
      </w:r>
      <w:r>
        <w:rPr>
          <w:rFonts w:hint="eastAsia" w:ascii="宋体" w:hAnsi="宋体" w:cs="宋体"/>
          <w:b/>
          <w:bCs/>
          <w:szCs w:val="24"/>
          <w:highlight w:val="none"/>
        </w:rPr>
        <w:t>（如有请适用）</w:t>
      </w:r>
    </w:p>
    <w:p w14:paraId="12828FFD">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乙方应在货物到达甲方指定交货地点之日起（从次日起算）15日内完成货物的安装、调试工作及对甲方人员进行培训的服务（如有）。</w:t>
      </w:r>
    </w:p>
    <w:p w14:paraId="08CD86CD">
      <w:pPr>
        <w:numPr>
          <w:ilvl w:val="1"/>
          <w:numId w:val="3"/>
        </w:numPr>
        <w:ind w:firstLine="480"/>
        <w:jc w:val="left"/>
        <w:rPr>
          <w:rFonts w:ascii="宋体" w:hAnsi="宋体" w:cs="宋体"/>
          <w:szCs w:val="24"/>
          <w:highlight w:val="none"/>
        </w:rPr>
      </w:pPr>
      <w:r>
        <w:rPr>
          <w:rFonts w:hint="eastAsia" w:ascii="宋体" w:hAnsi="宋体" w:cs="宋体"/>
          <w:szCs w:val="24"/>
          <w:highlight w:val="none"/>
        </w:rPr>
        <w:t>在安装调试期间对因质量问题引发的甲方换货需求，乙方应予以满足。</w:t>
      </w:r>
    </w:p>
    <w:p w14:paraId="75C1481E">
      <w:pPr>
        <w:numPr>
          <w:ilvl w:val="1"/>
          <w:numId w:val="3"/>
        </w:numPr>
        <w:ind w:firstLine="480"/>
        <w:jc w:val="left"/>
        <w:rPr>
          <w:rFonts w:ascii="宋体" w:hAnsi="宋体" w:cs="宋体"/>
          <w:szCs w:val="24"/>
          <w:highlight w:val="none"/>
        </w:rPr>
      </w:pPr>
      <w:r>
        <w:rPr>
          <w:rFonts w:hint="eastAsia" w:ascii="宋体" w:hAnsi="宋体" w:cs="宋体"/>
          <w:szCs w:val="24"/>
          <w:highlight w:val="none"/>
        </w:rPr>
        <w:t>在安装调试期间，乙方应遵守甲方安全管理规定，做好自身工作人员安全管理；乙方工作人员自身的一切安全问题，由乙方承担全部责任。</w:t>
      </w:r>
    </w:p>
    <w:p w14:paraId="7A957791">
      <w:pPr>
        <w:numPr>
          <w:ilvl w:val="0"/>
          <w:numId w:val="3"/>
        </w:numPr>
        <w:ind w:firstLine="482"/>
        <w:rPr>
          <w:rFonts w:ascii="宋体" w:hAnsi="宋体" w:cs="宋体"/>
          <w:szCs w:val="24"/>
          <w:highlight w:val="none"/>
        </w:rPr>
      </w:pPr>
      <w:r>
        <w:rPr>
          <w:rFonts w:hint="eastAsia" w:ascii="宋体" w:hAnsi="宋体" w:cs="宋体"/>
          <w:b/>
          <w:szCs w:val="24"/>
          <w:highlight w:val="none"/>
        </w:rPr>
        <w:t>违约责任</w:t>
      </w:r>
    </w:p>
    <w:p w14:paraId="7AFB7FE3">
      <w:pPr>
        <w:numPr>
          <w:ilvl w:val="1"/>
          <w:numId w:val="3"/>
        </w:numPr>
        <w:ind w:firstLine="480"/>
        <w:jc w:val="left"/>
        <w:rPr>
          <w:rFonts w:ascii="宋体" w:hAnsi="宋体" w:cs="宋体"/>
          <w:szCs w:val="24"/>
          <w:highlight w:val="none"/>
        </w:rPr>
      </w:pPr>
      <w:r>
        <w:rPr>
          <w:rFonts w:hint="eastAsia" w:ascii="宋体" w:hAnsi="宋体" w:cs="宋体"/>
          <w:szCs w:val="24"/>
          <w:highlight w:val="none"/>
        </w:rPr>
        <w:t>除双方书面同意延迟到货的情况外，乙方逾期交货，每逾期一日,甲方可扣除未交付货物金额</w:t>
      </w:r>
      <w:r>
        <w:rPr>
          <w:rFonts w:hint="eastAsia" w:ascii="宋体" w:hAnsi="宋体" w:cs="宋体"/>
          <w:szCs w:val="24"/>
          <w:highlight w:val="none"/>
          <w:u w:val="single"/>
        </w:rPr>
        <w:t>5</w:t>
      </w:r>
      <w:r>
        <w:rPr>
          <w:rFonts w:hint="eastAsia" w:ascii="宋体" w:hAnsi="宋体" w:cs="宋体"/>
          <w:szCs w:val="24"/>
          <w:highlight w:val="none"/>
        </w:rPr>
        <w:t>‰作为违约金，但该违约金累计不超过签约合同价的10%；因不可抗力造成的延迟交付，到货时间可相应延长。逾期超过20日仍不能交货的或经甲方书面催告后，仍未在要求的时间内供货的，甲方有权单方解除合同。</w:t>
      </w:r>
    </w:p>
    <w:p w14:paraId="4C92CC7A">
      <w:pPr>
        <w:numPr>
          <w:ilvl w:val="1"/>
          <w:numId w:val="3"/>
        </w:numPr>
        <w:ind w:firstLine="480"/>
        <w:jc w:val="left"/>
        <w:rPr>
          <w:rFonts w:ascii="宋体" w:hAnsi="宋体" w:cs="宋体"/>
          <w:szCs w:val="24"/>
          <w:highlight w:val="none"/>
        </w:rPr>
      </w:pPr>
      <w:r>
        <w:rPr>
          <w:rFonts w:hint="eastAsia" w:ascii="宋体" w:hAnsi="宋体" w:cs="宋体"/>
          <w:szCs w:val="24"/>
          <w:highlight w:val="none"/>
        </w:rPr>
        <w:t>交货检验过程中，如不合格率低于2%，则更换不合格品，且处以不合格品价值10%的违约金；如不合格率高于2%，则甲方有权拒绝接收该批货物，乙方按该批货物价款的10%向甲方支付违约金。</w:t>
      </w:r>
    </w:p>
    <w:p w14:paraId="23B05D7B">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乙方所交付的货物品种、规格型号、技术参数等不符合合同的规定，甲方有权拒收。乙方应在甲方要求的合理时间内更换不符合品。</w:t>
      </w:r>
    </w:p>
    <w:p w14:paraId="6E654E57">
      <w:pPr>
        <w:numPr>
          <w:ilvl w:val="1"/>
          <w:numId w:val="3"/>
        </w:numPr>
        <w:ind w:firstLine="480"/>
        <w:jc w:val="left"/>
        <w:rPr>
          <w:rFonts w:ascii="宋体" w:hAnsi="宋体" w:cs="宋体"/>
          <w:szCs w:val="24"/>
          <w:highlight w:val="none"/>
        </w:rPr>
      </w:pPr>
      <w:r>
        <w:rPr>
          <w:rFonts w:hint="eastAsia" w:ascii="宋体" w:hAnsi="宋体" w:cs="宋体"/>
          <w:szCs w:val="24"/>
          <w:highlight w:val="none"/>
        </w:rPr>
        <w:t>如乙方无法按合同约定的货物的型号规格、性能、交货时间等要求供货，要求变更，除非原生产厂家出具了型号规格已停产或替代的证明文件，且停产、替代时间是在报价截止时间之后，并获得甲方书面同意，否则，乙方应向甲方支付该合同项下货物价格150%的违约金。</w:t>
      </w:r>
    </w:p>
    <w:p w14:paraId="35C62238">
      <w:pPr>
        <w:numPr>
          <w:ilvl w:val="1"/>
          <w:numId w:val="3"/>
        </w:numPr>
        <w:ind w:firstLine="480"/>
        <w:jc w:val="left"/>
        <w:rPr>
          <w:rFonts w:ascii="宋体" w:hAnsi="宋体" w:cs="宋体"/>
          <w:szCs w:val="24"/>
          <w:highlight w:val="none"/>
        </w:rPr>
      </w:pPr>
      <w:r>
        <w:rPr>
          <w:rFonts w:hint="eastAsia" w:ascii="宋体" w:hAnsi="宋体" w:cs="宋体"/>
          <w:szCs w:val="24"/>
          <w:highlight w:val="none"/>
        </w:rPr>
        <w:t>在乙方承诺的质保期内，如经乙方2次维修或更换，货物仍不能达到合同约定的质量标准，甲方有权退货，乙方应退还所退货物的全部货款，并向甲方支付所退货物货款总额5％的违约金。</w:t>
      </w:r>
    </w:p>
    <w:p w14:paraId="198BF286">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乙方在质保期内不履行保修义务或拖延履行保修义务的，甲方有权扣除质保金或要求承担5%违约金。（如有质保金，违约金比例与质保金一致）</w:t>
      </w:r>
    </w:p>
    <w:p w14:paraId="7757A7C9">
      <w:pPr>
        <w:numPr>
          <w:ilvl w:val="1"/>
          <w:numId w:val="3"/>
        </w:numPr>
        <w:ind w:firstLine="480"/>
        <w:jc w:val="left"/>
        <w:rPr>
          <w:rFonts w:ascii="宋体" w:hAnsi="宋体" w:cs="宋体"/>
          <w:szCs w:val="24"/>
          <w:highlight w:val="none"/>
        </w:rPr>
      </w:pPr>
      <w:r>
        <w:rPr>
          <w:rFonts w:hint="eastAsia" w:ascii="宋体" w:hAnsi="宋体" w:cs="宋体"/>
          <w:szCs w:val="24"/>
          <w:highlight w:val="none"/>
        </w:rPr>
        <w:t>因乙方原因导致合同不能履行，造成甲方损失的，甲方有权按实际损失情况要求乙方承担赔偿责任。</w:t>
      </w:r>
    </w:p>
    <w:p w14:paraId="4E59E6FD">
      <w:pPr>
        <w:numPr>
          <w:ilvl w:val="1"/>
          <w:numId w:val="3"/>
        </w:numPr>
        <w:ind w:firstLine="480"/>
        <w:jc w:val="left"/>
        <w:rPr>
          <w:rFonts w:ascii="宋体" w:hAnsi="宋体" w:cs="宋体"/>
          <w:szCs w:val="24"/>
          <w:highlight w:val="none"/>
        </w:rPr>
      </w:pPr>
      <w:r>
        <w:rPr>
          <w:rFonts w:hint="eastAsia" w:ascii="宋体" w:hAnsi="宋体" w:cs="宋体"/>
          <w:szCs w:val="24"/>
          <w:highlight w:val="none"/>
        </w:rPr>
        <w:t>乙方违反合同交货和验收条款的，甲方扣除签约合同价的20%作为违约金,如造成甲方损失超过违约金的，超出部分由乙方承担赔偿责任。</w:t>
      </w:r>
    </w:p>
    <w:p w14:paraId="0A6787DF">
      <w:pPr>
        <w:numPr>
          <w:ilvl w:val="1"/>
          <w:numId w:val="3"/>
        </w:numPr>
        <w:ind w:firstLine="480"/>
        <w:jc w:val="left"/>
        <w:rPr>
          <w:rFonts w:ascii="宋体" w:hAnsi="宋体" w:cs="宋体"/>
          <w:szCs w:val="24"/>
          <w:highlight w:val="none"/>
        </w:rPr>
      </w:pPr>
      <w:r>
        <w:rPr>
          <w:rFonts w:hint="eastAsia" w:ascii="宋体" w:hAnsi="宋体" w:cs="宋体"/>
          <w:szCs w:val="24"/>
          <w:highlight w:val="none"/>
        </w:rPr>
        <w:t>对于合同中所列的违约金和赔偿款，甲方有权从货款或质保金中扣除。所有违约金和赔偿款的支付，不免除乙方继续履行合同义务，也不减轻乙方合同项下的其他责任和义务。各个条款的违约金等违约责任，甲方有权并列适用。如违约金不能弥补乙方对甲方造成的损失，乙方还需另行承担相应的赔偿。</w:t>
      </w:r>
    </w:p>
    <w:p w14:paraId="28726812">
      <w:pPr>
        <w:numPr>
          <w:ilvl w:val="0"/>
          <w:numId w:val="3"/>
        </w:numPr>
        <w:ind w:firstLine="482"/>
        <w:rPr>
          <w:rFonts w:ascii="宋体" w:hAnsi="宋体" w:cs="宋体"/>
          <w:bCs/>
          <w:snapToGrid w:val="0"/>
          <w:szCs w:val="24"/>
          <w:highlight w:val="none"/>
        </w:rPr>
      </w:pPr>
      <w:r>
        <w:rPr>
          <w:rFonts w:hint="eastAsia" w:ascii="宋体" w:hAnsi="宋体" w:cs="宋体"/>
          <w:b/>
          <w:szCs w:val="24"/>
          <w:highlight w:val="none"/>
        </w:rPr>
        <w:t>不可抗力</w:t>
      </w:r>
    </w:p>
    <w:p w14:paraId="6B7041EA">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本合同中不可抗力是指不能预见、不能避免并不能克服的客观情况，包括但不限于自然灾害、战争、武装冲突、社会动乱、暴乱或按照本条的定义构成不可抗力的其他事件。</w:t>
      </w:r>
    </w:p>
    <w:p w14:paraId="4EAB88F6">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6A279DD4">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受到不可抗力影响的一方应在不可抗力事件发生后2周内，取得有关部门关于发生不可抗力事件的证明文件，并以传真等书面形式提交另一方确认。否则，无权以不可抗力为由要求减轻或免除合同责任。</w:t>
      </w:r>
    </w:p>
    <w:p w14:paraId="0D61B579">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如果不可抗力事件的影响已达30天或双方预计不可抗力事件的影响将延续30天以上时，任何一方有权终止本合同。由于合同终止所引起的后续问题由双方友好协商解决。</w:t>
      </w:r>
    </w:p>
    <w:p w14:paraId="3F55FD0C">
      <w:pPr>
        <w:numPr>
          <w:ilvl w:val="0"/>
          <w:numId w:val="3"/>
        </w:numPr>
        <w:ind w:firstLine="482"/>
        <w:rPr>
          <w:rFonts w:ascii="宋体" w:hAnsi="宋体" w:cs="宋体"/>
          <w:bCs/>
          <w:snapToGrid w:val="0"/>
          <w:szCs w:val="24"/>
          <w:highlight w:val="none"/>
        </w:rPr>
      </w:pPr>
      <w:r>
        <w:rPr>
          <w:rFonts w:hint="eastAsia" w:ascii="宋体" w:hAnsi="宋体" w:cs="宋体"/>
          <w:b/>
          <w:szCs w:val="24"/>
          <w:highlight w:val="none"/>
        </w:rPr>
        <w:t>合同的变更、终止</w:t>
      </w:r>
    </w:p>
    <w:p w14:paraId="2A8ACE59">
      <w:pPr>
        <w:numPr>
          <w:ilvl w:val="1"/>
          <w:numId w:val="3"/>
        </w:numPr>
        <w:ind w:firstLine="480"/>
        <w:jc w:val="left"/>
        <w:rPr>
          <w:rFonts w:ascii="宋体" w:hAnsi="宋体" w:cs="宋体"/>
          <w:szCs w:val="24"/>
          <w:highlight w:val="none"/>
        </w:rPr>
      </w:pPr>
      <w:r>
        <w:rPr>
          <w:rFonts w:hint="eastAsia" w:ascii="宋体" w:hAnsi="宋体" w:cs="宋体"/>
          <w:szCs w:val="24"/>
          <w:highlight w:val="none"/>
        </w:rPr>
        <w:t>除非甲乙双方签署书面变更协议，并成为本合同不可分割的一部分之情形外，本合同的条款不得有任何变化或修改。</w:t>
      </w:r>
    </w:p>
    <w:p w14:paraId="5C7BD940">
      <w:pPr>
        <w:numPr>
          <w:ilvl w:val="1"/>
          <w:numId w:val="3"/>
        </w:numPr>
        <w:ind w:firstLine="480"/>
        <w:jc w:val="left"/>
        <w:rPr>
          <w:rFonts w:ascii="宋体" w:hAnsi="宋体" w:cs="宋体"/>
          <w:szCs w:val="24"/>
          <w:highlight w:val="none"/>
        </w:rPr>
      </w:pPr>
      <w:r>
        <w:rPr>
          <w:rFonts w:hint="eastAsia" w:ascii="宋体" w:hAnsi="宋体" w:cs="宋体"/>
          <w:szCs w:val="24"/>
          <w:highlight w:val="none"/>
        </w:rPr>
        <w:t>本合同一经签订，甲乙双方不得擅自中止或终止合同。</w:t>
      </w:r>
    </w:p>
    <w:p w14:paraId="70281B3A">
      <w:pPr>
        <w:numPr>
          <w:ilvl w:val="1"/>
          <w:numId w:val="3"/>
        </w:numPr>
        <w:ind w:firstLine="480"/>
        <w:jc w:val="left"/>
        <w:rPr>
          <w:rFonts w:ascii="宋体" w:hAnsi="宋体" w:cs="宋体"/>
          <w:szCs w:val="24"/>
          <w:highlight w:val="none"/>
        </w:rPr>
      </w:pPr>
      <w:r>
        <w:rPr>
          <w:rFonts w:hint="eastAsia" w:ascii="宋体" w:hAnsi="宋体" w:cs="宋体"/>
          <w:szCs w:val="24"/>
          <w:highlight w:val="none"/>
        </w:rPr>
        <w:t>当乙方破产或无清偿、履约能力时，甲方可在任何时候以书面通知乙方解除（终止）合同，该解除（终止）合同以不损害或影响甲方已采取或将采取补救措施的任何权利为条件，亦不影响合同既有债权、债务的依法处理。</w:t>
      </w:r>
    </w:p>
    <w:p w14:paraId="757E6FC9">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乙方不得擅自部分或全部转让其应履行的合同义务，如甲方发现乙方有甲方不能接受的转让行为，甲方有权中止或解除合同，由此所造成的损失由乙方承担。</w:t>
      </w:r>
    </w:p>
    <w:p w14:paraId="620096F0">
      <w:pPr>
        <w:numPr>
          <w:ilvl w:val="1"/>
          <w:numId w:val="3"/>
        </w:numPr>
        <w:ind w:firstLine="480"/>
        <w:jc w:val="left"/>
        <w:rPr>
          <w:rFonts w:ascii="宋体" w:hAnsi="宋体" w:cs="宋体"/>
          <w:szCs w:val="24"/>
          <w:highlight w:val="none"/>
        </w:rPr>
      </w:pPr>
      <w:r>
        <w:rPr>
          <w:rFonts w:hint="eastAsia" w:ascii="宋体" w:hAnsi="宋体" w:cs="宋体"/>
          <w:szCs w:val="24"/>
          <w:highlight w:val="none"/>
        </w:rPr>
        <w:t>本合同出现以下任一情况的自动终止：</w:t>
      </w:r>
    </w:p>
    <w:p w14:paraId="68BCC928">
      <w:pPr>
        <w:ind w:firstLine="480"/>
        <w:rPr>
          <w:rFonts w:ascii="宋体" w:hAnsi="宋体" w:cs="宋体"/>
          <w:szCs w:val="24"/>
          <w:highlight w:val="none"/>
        </w:rPr>
      </w:pPr>
      <w:r>
        <w:rPr>
          <w:rFonts w:hint="eastAsia" w:ascii="宋体" w:hAnsi="宋体" w:cs="宋体"/>
          <w:szCs w:val="24"/>
          <w:highlight w:val="none"/>
        </w:rPr>
        <w:t>（1）法律规定的终止情形；</w:t>
      </w:r>
    </w:p>
    <w:p w14:paraId="296D483B">
      <w:pPr>
        <w:ind w:firstLine="480"/>
        <w:rPr>
          <w:rFonts w:ascii="宋体" w:hAnsi="宋体" w:cs="宋体"/>
          <w:szCs w:val="24"/>
          <w:highlight w:val="none"/>
        </w:rPr>
      </w:pPr>
      <w:r>
        <w:rPr>
          <w:rFonts w:hint="eastAsia" w:ascii="宋体" w:hAnsi="宋体" w:cs="宋体"/>
          <w:szCs w:val="24"/>
          <w:highlight w:val="none"/>
        </w:rPr>
        <w:t>（2）合同约定的期限届满；</w:t>
      </w:r>
    </w:p>
    <w:p w14:paraId="53AA0190">
      <w:pPr>
        <w:ind w:firstLine="480"/>
        <w:rPr>
          <w:rFonts w:ascii="宋体" w:hAnsi="宋体" w:cs="宋体"/>
          <w:szCs w:val="24"/>
          <w:highlight w:val="none"/>
        </w:rPr>
      </w:pPr>
      <w:r>
        <w:rPr>
          <w:rFonts w:hint="eastAsia" w:ascii="宋体" w:hAnsi="宋体" w:cs="宋体"/>
          <w:szCs w:val="24"/>
          <w:highlight w:val="none"/>
        </w:rPr>
        <w:t>（3）合同约定的总金额/权利义务履行完毕；</w:t>
      </w:r>
    </w:p>
    <w:p w14:paraId="65032E57">
      <w:pPr>
        <w:ind w:firstLine="480"/>
        <w:rPr>
          <w:rFonts w:ascii="宋体" w:hAnsi="宋体" w:cs="宋体"/>
          <w:szCs w:val="24"/>
          <w:highlight w:val="none"/>
        </w:rPr>
      </w:pPr>
      <w:r>
        <w:rPr>
          <w:rFonts w:hint="eastAsia" w:ascii="宋体" w:hAnsi="宋体" w:cs="宋体"/>
          <w:szCs w:val="24"/>
          <w:highlight w:val="none"/>
        </w:rPr>
        <w:t>（4）本合同中约定的其他终止情形出现。</w:t>
      </w:r>
    </w:p>
    <w:p w14:paraId="7EE950E2">
      <w:pPr>
        <w:numPr>
          <w:ilvl w:val="0"/>
          <w:numId w:val="3"/>
        </w:numPr>
        <w:ind w:firstLine="482"/>
        <w:rPr>
          <w:rFonts w:ascii="宋体" w:hAnsi="宋体" w:cs="宋体"/>
          <w:szCs w:val="24"/>
          <w:highlight w:val="none"/>
        </w:rPr>
      </w:pPr>
      <w:r>
        <w:rPr>
          <w:rFonts w:hint="eastAsia" w:ascii="宋体" w:hAnsi="宋体" w:cs="宋体"/>
          <w:b/>
          <w:szCs w:val="24"/>
          <w:highlight w:val="none"/>
        </w:rPr>
        <w:t>适用法律与争议解决</w:t>
      </w:r>
    </w:p>
    <w:p w14:paraId="421B9BFD">
      <w:pPr>
        <w:numPr>
          <w:ilvl w:val="1"/>
          <w:numId w:val="3"/>
        </w:numPr>
        <w:ind w:firstLine="480"/>
        <w:jc w:val="left"/>
        <w:rPr>
          <w:rFonts w:ascii="宋体" w:hAnsi="宋体" w:cs="宋体"/>
          <w:szCs w:val="24"/>
          <w:highlight w:val="none"/>
        </w:rPr>
      </w:pPr>
      <w:r>
        <w:rPr>
          <w:rFonts w:hint="eastAsia" w:ascii="宋体" w:hAnsi="宋体" w:cs="宋体"/>
          <w:szCs w:val="24"/>
          <w:highlight w:val="none"/>
        </w:rPr>
        <w:t>本合同的效力、履行及任何争议仅适用中华人民共和国法律。</w:t>
      </w:r>
    </w:p>
    <w:p w14:paraId="2D9F4053">
      <w:pPr>
        <w:numPr>
          <w:ilvl w:val="1"/>
          <w:numId w:val="3"/>
        </w:numPr>
        <w:ind w:firstLine="480"/>
        <w:jc w:val="left"/>
        <w:rPr>
          <w:rFonts w:ascii="宋体" w:hAnsi="宋体" w:cs="宋体"/>
          <w:szCs w:val="24"/>
          <w:highlight w:val="none"/>
        </w:rPr>
      </w:pPr>
      <w:r>
        <w:rPr>
          <w:rFonts w:hint="eastAsia" w:ascii="宋体" w:hAnsi="宋体" w:cs="宋体"/>
          <w:szCs w:val="24"/>
          <w:highlight w:val="none"/>
        </w:rPr>
        <w:t>因履行本合同引起的或与本合同有关的争议，买卖双方应通过协商或调解解决，如果协商不成，提交南通仲裁委员会仲裁。</w:t>
      </w:r>
    </w:p>
    <w:p w14:paraId="4025EE99">
      <w:pPr>
        <w:numPr>
          <w:ilvl w:val="0"/>
          <w:numId w:val="3"/>
        </w:numPr>
        <w:ind w:firstLine="482"/>
        <w:rPr>
          <w:rFonts w:ascii="宋体" w:hAnsi="宋体" w:cs="宋体"/>
          <w:b/>
          <w:bCs/>
          <w:szCs w:val="24"/>
          <w:highlight w:val="none"/>
        </w:rPr>
      </w:pPr>
      <w:r>
        <w:rPr>
          <w:rFonts w:hint="eastAsia" w:ascii="宋体" w:hAnsi="宋体" w:cs="宋体"/>
          <w:b/>
          <w:bCs/>
          <w:szCs w:val="24"/>
          <w:highlight w:val="none"/>
        </w:rPr>
        <w:t xml:space="preserve"> 合同生效条件及其他</w:t>
      </w:r>
    </w:p>
    <w:p w14:paraId="228729EB">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本合同自甲乙双方盖章之日起生效，合同有效期为1年或以货物清单中产品数量额度用完止，以先到者为准。 </w:t>
      </w:r>
    </w:p>
    <w:p w14:paraId="6ECEF5FF">
      <w:pPr>
        <w:numPr>
          <w:ilvl w:val="1"/>
          <w:numId w:val="3"/>
        </w:numPr>
        <w:ind w:firstLine="480"/>
        <w:jc w:val="left"/>
        <w:rPr>
          <w:rFonts w:ascii="宋体" w:hAnsi="宋体" w:cs="宋体"/>
          <w:szCs w:val="24"/>
          <w:highlight w:val="none"/>
        </w:rPr>
      </w:pPr>
      <w:r>
        <w:rPr>
          <w:rFonts w:hint="eastAsia" w:ascii="宋体" w:hAnsi="宋体" w:cs="宋体"/>
          <w:szCs w:val="24"/>
          <w:highlight w:val="none"/>
        </w:rPr>
        <w:t>下列文件是本合同不可分割的组成部分，本合同未尽事宜从其规定，相互解释，互为说明。除合同另有规定外，其优先顺序如下：</w:t>
      </w:r>
    </w:p>
    <w:p w14:paraId="402A1A8D">
      <w:pPr>
        <w:ind w:firstLine="480"/>
        <w:rPr>
          <w:rFonts w:ascii="宋体" w:hAnsi="宋体" w:cs="宋体"/>
          <w:szCs w:val="24"/>
          <w:highlight w:val="none"/>
        </w:rPr>
      </w:pPr>
      <w:r>
        <w:rPr>
          <w:rFonts w:hint="eastAsia" w:ascii="宋体" w:hAnsi="宋体" w:cs="宋体"/>
          <w:szCs w:val="24"/>
          <w:highlight w:val="none"/>
        </w:rPr>
        <w:t>1）合同谈判过程中的澄清文件、会议纪要、合同附件；</w:t>
      </w:r>
    </w:p>
    <w:p w14:paraId="50552CF9">
      <w:pPr>
        <w:ind w:firstLine="480"/>
        <w:rPr>
          <w:rFonts w:ascii="宋体" w:hAnsi="宋体" w:cs="宋体"/>
          <w:szCs w:val="24"/>
          <w:highlight w:val="none"/>
        </w:rPr>
      </w:pPr>
      <w:r>
        <w:rPr>
          <w:rFonts w:hint="eastAsia" w:ascii="宋体" w:hAnsi="宋体" w:cs="宋体"/>
          <w:szCs w:val="24"/>
          <w:highlight w:val="none"/>
        </w:rPr>
        <w:t>2）成交确认通知书；</w:t>
      </w:r>
    </w:p>
    <w:p w14:paraId="4D39F1E9">
      <w:pPr>
        <w:ind w:firstLine="480"/>
        <w:rPr>
          <w:rFonts w:ascii="宋体" w:hAnsi="宋体" w:cs="宋体"/>
          <w:szCs w:val="24"/>
          <w:highlight w:val="none"/>
        </w:rPr>
      </w:pPr>
      <w:r>
        <w:rPr>
          <w:rFonts w:hint="eastAsia" w:ascii="宋体" w:hAnsi="宋体" w:cs="宋体"/>
          <w:szCs w:val="24"/>
          <w:highlight w:val="none"/>
        </w:rPr>
        <w:t>3）采购文件；</w:t>
      </w:r>
    </w:p>
    <w:p w14:paraId="6F8C2C70">
      <w:pPr>
        <w:ind w:firstLine="480"/>
        <w:rPr>
          <w:rFonts w:ascii="宋体" w:hAnsi="宋体" w:cs="宋体"/>
          <w:szCs w:val="24"/>
          <w:highlight w:val="none"/>
        </w:rPr>
      </w:pPr>
      <w:r>
        <w:rPr>
          <w:rFonts w:hint="eastAsia" w:ascii="宋体" w:hAnsi="宋体" w:cs="宋体"/>
          <w:szCs w:val="24"/>
          <w:highlight w:val="none"/>
        </w:rPr>
        <w:t>4）响应文件；</w:t>
      </w:r>
    </w:p>
    <w:p w14:paraId="741562FA">
      <w:pPr>
        <w:ind w:firstLine="480"/>
        <w:rPr>
          <w:rFonts w:ascii="宋体" w:hAnsi="宋体" w:cs="宋体"/>
          <w:szCs w:val="24"/>
          <w:highlight w:val="none"/>
        </w:rPr>
      </w:pPr>
      <w:r>
        <w:rPr>
          <w:rFonts w:hint="eastAsia" w:ascii="宋体" w:hAnsi="宋体" w:cs="宋体"/>
          <w:szCs w:val="24"/>
          <w:highlight w:val="none"/>
        </w:rPr>
        <w:t>5）其他协议文件（包括但不限于甲方的相关管理办法和规定）。</w:t>
      </w:r>
    </w:p>
    <w:p w14:paraId="52045447">
      <w:pPr>
        <w:numPr>
          <w:ilvl w:val="1"/>
          <w:numId w:val="3"/>
        </w:numPr>
        <w:ind w:firstLine="480"/>
        <w:jc w:val="left"/>
        <w:rPr>
          <w:rFonts w:ascii="宋体" w:hAnsi="宋体" w:cs="宋体"/>
          <w:szCs w:val="24"/>
          <w:highlight w:val="none"/>
        </w:rPr>
      </w:pPr>
      <w:r>
        <w:rPr>
          <w:rFonts w:hint="eastAsia" w:ascii="宋体" w:hAnsi="宋体" w:cs="宋体"/>
          <w:szCs w:val="24"/>
          <w:highlight w:val="none"/>
        </w:rPr>
        <w:t xml:space="preserve"> 本合同（包括附件）一式拾份，正本贰份，买卖双方各执壹份；副本捌份，甲方执陆份，乙方执贰份，具有同等效力。</w:t>
      </w:r>
    </w:p>
    <w:p w14:paraId="7DC5ADAB">
      <w:pPr>
        <w:ind w:firstLine="720" w:firstLineChars="300"/>
        <w:rPr>
          <w:rFonts w:ascii="宋体" w:hAnsi="宋体" w:cs="宋体"/>
          <w:szCs w:val="24"/>
          <w:highlight w:val="none"/>
        </w:rPr>
      </w:pPr>
      <w:r>
        <w:rPr>
          <w:rFonts w:hint="eastAsia" w:ascii="宋体" w:hAnsi="宋体" w:cs="宋体"/>
          <w:szCs w:val="24"/>
          <w:highlight w:val="none"/>
        </w:rPr>
        <w:t>下列附件作为本合同的组成部分对双方具有约束力：</w:t>
      </w:r>
    </w:p>
    <w:p w14:paraId="32ED2046">
      <w:pPr>
        <w:ind w:left="720" w:leftChars="300" w:firstLine="480"/>
        <w:rPr>
          <w:rFonts w:ascii="宋体" w:hAnsi="宋体" w:cs="宋体"/>
          <w:szCs w:val="24"/>
          <w:highlight w:val="none"/>
        </w:rPr>
      </w:pPr>
      <w:r>
        <w:rPr>
          <w:rFonts w:hint="eastAsia" w:ascii="宋体" w:hAnsi="宋体" w:cs="宋体"/>
          <w:szCs w:val="24"/>
          <w:highlight w:val="none"/>
        </w:rPr>
        <w:t xml:space="preserve">附件1：货物清单  </w:t>
      </w:r>
    </w:p>
    <w:p w14:paraId="2FF3E9A2">
      <w:pPr>
        <w:ind w:firstLine="1200" w:firstLineChars="500"/>
        <w:rPr>
          <w:rFonts w:ascii="宋体" w:hAnsi="宋体" w:cs="宋体"/>
          <w:szCs w:val="24"/>
          <w:highlight w:val="none"/>
        </w:rPr>
      </w:pPr>
      <w:r>
        <w:rPr>
          <w:rFonts w:hint="eastAsia" w:ascii="宋体" w:hAnsi="宋体" w:cs="宋体"/>
          <w:szCs w:val="24"/>
          <w:highlight w:val="none"/>
        </w:rPr>
        <w:t xml:space="preserve">附件2：廉政合同  </w:t>
      </w:r>
    </w:p>
    <w:p w14:paraId="402D3028">
      <w:pPr>
        <w:spacing w:line="400" w:lineRule="exact"/>
        <w:ind w:firstLine="480"/>
        <w:rPr>
          <w:rFonts w:ascii="宋体" w:hAnsi="宋体" w:cs="宋体"/>
          <w:szCs w:val="24"/>
          <w:highlight w:val="none"/>
        </w:rPr>
      </w:pPr>
    </w:p>
    <w:p w14:paraId="7D24D31F">
      <w:pPr>
        <w:ind w:firstLine="720" w:firstLineChars="300"/>
        <w:rPr>
          <w:rFonts w:ascii="宋体" w:hAnsi="宋体" w:cs="宋体"/>
          <w:szCs w:val="24"/>
          <w:highlight w:val="none"/>
        </w:rPr>
      </w:pPr>
    </w:p>
    <w:p w14:paraId="3B350CE9">
      <w:pPr>
        <w:ind w:firstLine="480"/>
        <w:jc w:val="left"/>
        <w:rPr>
          <w:rFonts w:ascii="宋体" w:hAnsi="宋体" w:cs="宋体"/>
          <w:szCs w:val="24"/>
          <w:highlight w:val="none"/>
        </w:rPr>
      </w:pPr>
      <w:r>
        <w:rPr>
          <w:rFonts w:hint="eastAsia" w:ascii="宋体" w:hAnsi="宋体" w:cs="宋体"/>
          <w:szCs w:val="24"/>
          <w:highlight w:val="none"/>
        </w:rPr>
        <w:t>甲方（盖章）：</w:t>
      </w:r>
      <w:r>
        <w:rPr>
          <w:rFonts w:hint="eastAsia" w:ascii="宋体" w:hAnsi="宋体" w:cs="宋体"/>
          <w:szCs w:val="24"/>
          <w:highlight w:val="none"/>
          <w:u w:val="single"/>
        </w:rPr>
        <w:t>南通轨道交通集团有限公司</w:t>
      </w:r>
      <w:r>
        <w:rPr>
          <w:rFonts w:hint="eastAsia" w:ascii="宋体" w:hAnsi="宋体" w:cs="宋体"/>
          <w:szCs w:val="24"/>
          <w:highlight w:val="none"/>
        </w:rPr>
        <w:t xml:space="preserve">     乙方（盖章）：</w:t>
      </w:r>
      <w:r>
        <w:rPr>
          <w:rFonts w:hint="eastAsia" w:ascii="宋体" w:hAnsi="宋体" w:cs="宋体"/>
          <w:szCs w:val="24"/>
          <w:highlight w:val="none"/>
          <w:u w:val="single"/>
        </w:rPr>
        <w:t xml:space="preserve">                     </w:t>
      </w:r>
    </w:p>
    <w:p w14:paraId="24C2DF47">
      <w:pPr>
        <w:ind w:firstLine="1735" w:firstLineChars="723"/>
        <w:rPr>
          <w:rFonts w:ascii="宋体" w:hAnsi="宋体" w:cs="宋体"/>
          <w:szCs w:val="24"/>
          <w:highlight w:val="none"/>
          <w:u w:val="single"/>
        </w:rPr>
      </w:pPr>
      <w:r>
        <w:rPr>
          <w:rFonts w:hint="eastAsia" w:ascii="宋体" w:hAnsi="宋体" w:cs="宋体"/>
          <w:szCs w:val="24"/>
          <w:highlight w:val="none"/>
          <w:u w:val="single"/>
        </w:rPr>
        <w:t xml:space="preserve">运营分公司              </w:t>
      </w:r>
      <w:r>
        <w:rPr>
          <w:rFonts w:hint="eastAsia" w:ascii="宋体" w:hAnsi="宋体" w:cs="宋体"/>
          <w:szCs w:val="24"/>
          <w:highlight w:val="none"/>
        </w:rPr>
        <w:t xml:space="preserve">                   </w:t>
      </w:r>
      <w:r>
        <w:rPr>
          <w:rFonts w:hint="eastAsia" w:ascii="宋体" w:hAnsi="宋体" w:cs="宋体"/>
          <w:szCs w:val="24"/>
          <w:highlight w:val="none"/>
          <w:u w:val="single"/>
        </w:rPr>
        <w:t xml:space="preserve">                      </w:t>
      </w:r>
    </w:p>
    <w:p w14:paraId="26CBE04B">
      <w:pPr>
        <w:ind w:firstLine="480"/>
        <w:jc w:val="left"/>
        <w:rPr>
          <w:rFonts w:ascii="宋体" w:hAnsi="宋体" w:cs="宋体"/>
          <w:szCs w:val="24"/>
          <w:highlight w:val="none"/>
        </w:rPr>
      </w:pPr>
      <w:r>
        <w:rPr>
          <w:rFonts w:hint="eastAsia" w:ascii="宋体" w:hAnsi="宋体" w:cs="宋体"/>
          <w:szCs w:val="24"/>
          <w:highlight w:val="none"/>
        </w:rPr>
        <w:t>法定代表人或                               法定代表人或</w:t>
      </w:r>
    </w:p>
    <w:p w14:paraId="73EB4CB9">
      <w:pPr>
        <w:ind w:firstLine="480"/>
        <w:jc w:val="left"/>
        <w:rPr>
          <w:rFonts w:ascii="宋体" w:hAnsi="宋体" w:cs="宋体"/>
          <w:szCs w:val="24"/>
          <w:highlight w:val="none"/>
        </w:rPr>
      </w:pPr>
      <w:r>
        <w:rPr>
          <w:rFonts w:hint="eastAsia" w:ascii="宋体" w:hAnsi="宋体" w:cs="宋体"/>
          <w:szCs w:val="24"/>
          <w:highlight w:val="none"/>
        </w:rPr>
        <w:t>其授权委托人（签字或盖章）：</w:t>
      </w:r>
      <w:r>
        <w:rPr>
          <w:rFonts w:hint="eastAsia" w:ascii="宋体" w:hAnsi="宋体" w:cs="宋体"/>
          <w:szCs w:val="24"/>
          <w:highlight w:val="none"/>
          <w:u w:val="single"/>
        </w:rPr>
        <w:t xml:space="preserve">           </w:t>
      </w:r>
      <w:r>
        <w:rPr>
          <w:rFonts w:hint="eastAsia" w:ascii="宋体" w:hAnsi="宋体" w:cs="宋体"/>
          <w:szCs w:val="24"/>
          <w:highlight w:val="none"/>
        </w:rPr>
        <w:t xml:space="preserve">    其授权委托人（签字或盖章）：</w:t>
      </w:r>
      <w:r>
        <w:rPr>
          <w:rFonts w:hint="eastAsia" w:ascii="宋体" w:hAnsi="宋体" w:cs="宋体"/>
          <w:szCs w:val="24"/>
          <w:highlight w:val="none"/>
          <w:u w:val="single"/>
        </w:rPr>
        <w:t xml:space="preserve">        </w:t>
      </w:r>
    </w:p>
    <w:p w14:paraId="0DAEDCE2">
      <w:pPr>
        <w:ind w:firstLine="480"/>
        <w:jc w:val="left"/>
        <w:rPr>
          <w:rFonts w:ascii="宋体" w:hAnsi="宋体" w:cs="宋体"/>
          <w:szCs w:val="24"/>
          <w:highlight w:val="none"/>
        </w:rPr>
      </w:pPr>
      <w:r>
        <w:rPr>
          <w:rFonts w:hint="eastAsia" w:ascii="宋体" w:hAnsi="宋体" w:cs="宋体"/>
          <w:szCs w:val="24"/>
          <w:highlight w:val="none"/>
        </w:rPr>
        <w:t>日期：</w:t>
      </w:r>
      <w:r>
        <w:rPr>
          <w:rFonts w:hint="eastAsia" w:ascii="宋体" w:hAnsi="宋体" w:cs="宋体"/>
          <w:szCs w:val="24"/>
          <w:highlight w:val="none"/>
          <w:u w:val="single"/>
        </w:rPr>
        <w:t xml:space="preserve">                                 </w:t>
      </w:r>
      <w:r>
        <w:rPr>
          <w:rFonts w:hint="eastAsia" w:ascii="宋体" w:hAnsi="宋体" w:cs="宋体"/>
          <w:szCs w:val="24"/>
          <w:highlight w:val="none"/>
        </w:rPr>
        <w:t xml:space="preserve">    日期：</w:t>
      </w:r>
      <w:r>
        <w:rPr>
          <w:rFonts w:hint="eastAsia" w:ascii="宋体" w:hAnsi="宋体" w:cs="宋体"/>
          <w:szCs w:val="24"/>
          <w:highlight w:val="none"/>
          <w:u w:val="single"/>
        </w:rPr>
        <w:t xml:space="preserve">                              </w:t>
      </w:r>
    </w:p>
    <w:p w14:paraId="706FFB44">
      <w:pPr>
        <w:ind w:firstLine="480"/>
        <w:jc w:val="left"/>
        <w:rPr>
          <w:rFonts w:ascii="宋体" w:hAnsi="宋体" w:cs="宋体"/>
          <w:szCs w:val="24"/>
          <w:highlight w:val="none"/>
        </w:rPr>
      </w:pPr>
      <w:r>
        <w:rPr>
          <w:rFonts w:hint="eastAsia" w:ascii="宋体" w:hAnsi="宋体" w:cs="宋体"/>
          <w:szCs w:val="24"/>
          <w:highlight w:val="none"/>
        </w:rPr>
        <w:t>地址：</w:t>
      </w:r>
      <w:r>
        <w:rPr>
          <w:rFonts w:hint="eastAsia" w:ascii="宋体" w:hAnsi="宋体" w:cs="宋体"/>
          <w:szCs w:val="24"/>
          <w:highlight w:val="none"/>
          <w:u w:val="single"/>
        </w:rPr>
        <w:t xml:space="preserve">南通市通州区平潮镇               </w:t>
      </w:r>
      <w:r>
        <w:rPr>
          <w:rFonts w:hint="eastAsia" w:ascii="宋体" w:hAnsi="宋体" w:cs="宋体"/>
          <w:szCs w:val="24"/>
          <w:highlight w:val="none"/>
        </w:rPr>
        <w:t xml:space="preserve">    地址：</w:t>
      </w:r>
      <w:r>
        <w:rPr>
          <w:rFonts w:hint="eastAsia" w:ascii="宋体" w:hAnsi="宋体" w:cs="宋体"/>
          <w:szCs w:val="24"/>
          <w:highlight w:val="none"/>
          <w:u w:val="single"/>
        </w:rPr>
        <w:t xml:space="preserve">                              </w:t>
      </w:r>
    </w:p>
    <w:p w14:paraId="05D7763C">
      <w:pPr>
        <w:ind w:firstLine="720" w:firstLineChars="300"/>
        <w:jc w:val="left"/>
        <w:rPr>
          <w:rFonts w:ascii="宋体" w:hAnsi="宋体" w:cs="宋体"/>
          <w:szCs w:val="24"/>
          <w:highlight w:val="none"/>
        </w:rPr>
      </w:pPr>
      <w:r>
        <w:rPr>
          <w:rFonts w:hint="eastAsia" w:ascii="宋体" w:hAnsi="宋体" w:cs="宋体"/>
          <w:szCs w:val="24"/>
          <w:highlight w:val="none"/>
          <w:u w:val="single"/>
        </w:rPr>
        <w:t xml:space="preserve">南通轨道交通集团平东车辆段       </w:t>
      </w:r>
      <w:r>
        <w:rPr>
          <w:rFonts w:hint="eastAsia" w:ascii="宋体" w:hAnsi="宋体" w:cs="宋体"/>
          <w:szCs w:val="24"/>
          <w:highlight w:val="none"/>
        </w:rPr>
        <w:t xml:space="preserve">          </w:t>
      </w:r>
      <w:r>
        <w:rPr>
          <w:rFonts w:hint="eastAsia" w:ascii="宋体" w:hAnsi="宋体" w:cs="宋体"/>
          <w:szCs w:val="24"/>
          <w:highlight w:val="none"/>
          <w:u w:val="single"/>
        </w:rPr>
        <w:t xml:space="preserve">                              </w:t>
      </w:r>
    </w:p>
    <w:p w14:paraId="285812B4">
      <w:pPr>
        <w:ind w:firstLine="480"/>
        <w:jc w:val="left"/>
        <w:rPr>
          <w:rFonts w:ascii="宋体" w:hAnsi="宋体" w:cs="宋体"/>
          <w:szCs w:val="21"/>
          <w:highlight w:val="none"/>
        </w:rPr>
      </w:pPr>
      <w:r>
        <w:rPr>
          <w:rFonts w:hint="eastAsia" w:ascii="宋体" w:hAnsi="宋体" w:cs="宋体"/>
          <w:szCs w:val="24"/>
          <w:highlight w:val="none"/>
        </w:rPr>
        <w:t>电话：</w:t>
      </w:r>
      <w:r>
        <w:rPr>
          <w:rFonts w:hint="eastAsia" w:ascii="宋体" w:hAnsi="宋体" w:cs="宋体"/>
          <w:szCs w:val="24"/>
          <w:highlight w:val="none"/>
          <w:u w:val="single"/>
        </w:rPr>
        <w:t xml:space="preserve">                                 </w:t>
      </w:r>
      <w:r>
        <w:rPr>
          <w:rFonts w:hint="eastAsia" w:ascii="宋体" w:hAnsi="宋体" w:cs="宋体"/>
          <w:szCs w:val="24"/>
          <w:highlight w:val="none"/>
        </w:rPr>
        <w:t xml:space="preserve">    电话：</w:t>
      </w:r>
      <w:r>
        <w:rPr>
          <w:rFonts w:hint="eastAsia" w:ascii="宋体" w:hAnsi="宋体" w:cs="宋体"/>
          <w:szCs w:val="24"/>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F332084">
      <w:pPr>
        <w:snapToGrid w:val="0"/>
        <w:ind w:firstLine="480"/>
        <w:rPr>
          <w:rFonts w:ascii="宋体" w:hAnsi="宋体" w:cs="宋体"/>
          <w:szCs w:val="21"/>
          <w:highlight w:val="none"/>
        </w:rPr>
        <w:sectPr>
          <w:type w:val="continuous"/>
          <w:pgSz w:w="11906" w:h="16838"/>
          <w:pgMar w:top="1440" w:right="1440" w:bottom="1440" w:left="1587" w:header="850" w:footer="850" w:gutter="0"/>
          <w:pgNumType w:fmt="decimal"/>
          <w:cols w:space="720" w:num="1"/>
        </w:sectPr>
      </w:pPr>
    </w:p>
    <w:p w14:paraId="1B5D4D22">
      <w:pPr>
        <w:ind w:firstLine="482"/>
        <w:rPr>
          <w:rFonts w:ascii="宋体" w:hAnsi="宋体" w:cs="宋体"/>
          <w:b/>
          <w:bCs/>
          <w:szCs w:val="21"/>
          <w:highlight w:val="none"/>
        </w:rPr>
      </w:pPr>
      <w:r>
        <w:rPr>
          <w:rFonts w:hint="eastAsia" w:ascii="宋体" w:hAnsi="宋体" w:cs="宋体"/>
          <w:b/>
          <w:bCs/>
          <w:szCs w:val="21"/>
          <w:highlight w:val="none"/>
        </w:rPr>
        <w:t>附件1</w:t>
      </w:r>
    </w:p>
    <w:p w14:paraId="367A3B05">
      <w:pPr>
        <w:ind w:firstLine="157" w:firstLineChars="49"/>
        <w:jc w:val="center"/>
        <w:rPr>
          <w:rFonts w:ascii="宋体" w:hAnsi="宋体" w:cs="宋体"/>
          <w:b/>
          <w:sz w:val="32"/>
          <w:szCs w:val="36"/>
          <w:highlight w:val="none"/>
        </w:rPr>
      </w:pPr>
      <w:r>
        <w:rPr>
          <w:rFonts w:hint="eastAsia" w:ascii="宋体" w:hAnsi="宋体" w:cs="宋体"/>
          <w:b/>
          <w:sz w:val="32"/>
          <w:szCs w:val="36"/>
          <w:highlight w:val="none"/>
        </w:rPr>
        <w:t>货 物 清 单</w:t>
      </w:r>
    </w:p>
    <w:p w14:paraId="1D438CFD">
      <w:pPr>
        <w:ind w:firstLine="102" w:firstLineChars="49"/>
        <w:jc w:val="left"/>
        <w:rPr>
          <w:rFonts w:ascii="宋体" w:hAnsi="宋体" w:cs="宋体"/>
          <w:b/>
          <w:bCs/>
          <w:szCs w:val="21"/>
          <w:highlight w:val="none"/>
        </w:rPr>
      </w:pPr>
      <w:r>
        <w:rPr>
          <w:rFonts w:hint="eastAsia" w:ascii="宋体" w:hAnsi="宋体" w:cs="宋体"/>
          <w:kern w:val="0"/>
          <w:sz w:val="21"/>
          <w:szCs w:val="21"/>
          <w:highlight w:val="none"/>
        </w:rPr>
        <w:t>合同号：</w:t>
      </w:r>
      <w:r>
        <w:rPr>
          <w:rFonts w:hint="eastAsia" w:ascii="宋体" w:hAnsi="宋体" w:cs="宋体"/>
          <w:b/>
          <w:sz w:val="21"/>
          <w:szCs w:val="21"/>
          <w:highlight w:val="none"/>
        </w:rPr>
        <w:t xml:space="preserve">                                       </w:t>
      </w:r>
      <w:r>
        <w:rPr>
          <w:rFonts w:hint="eastAsia" w:ascii="宋体" w:hAnsi="宋体" w:cs="宋体"/>
          <w:kern w:val="0"/>
          <w:sz w:val="21"/>
          <w:szCs w:val="21"/>
          <w:highlight w:val="none"/>
        </w:rPr>
        <w:t xml:space="preserve">乙方： </w:t>
      </w:r>
    </w:p>
    <w:p w14:paraId="2CF75483">
      <w:pPr>
        <w:adjustRightInd w:val="0"/>
        <w:snapToGrid w:val="0"/>
        <w:ind w:firstLine="482"/>
        <w:rPr>
          <w:rFonts w:ascii="宋体" w:hAnsi="宋体" w:cs="宋体"/>
          <w:b/>
          <w:szCs w:val="21"/>
          <w:highlight w:val="none"/>
        </w:rPr>
      </w:pPr>
      <w:r>
        <w:rPr>
          <w:rFonts w:hint="eastAsia" w:ascii="宋体" w:hAnsi="宋体" w:cs="宋体"/>
          <w:b/>
          <w:szCs w:val="21"/>
          <w:highlight w:val="none"/>
        </w:rPr>
        <w:t>*特别提醒：</w:t>
      </w:r>
    </w:p>
    <w:p w14:paraId="60C07E19">
      <w:pPr>
        <w:adjustRightInd w:val="0"/>
        <w:snapToGrid w:val="0"/>
        <w:ind w:firstLine="482"/>
        <w:rPr>
          <w:rFonts w:ascii="宋体" w:hAnsi="宋体" w:cs="宋体"/>
          <w:b/>
          <w:szCs w:val="21"/>
          <w:highlight w:val="none"/>
        </w:rPr>
      </w:pPr>
      <w:r>
        <w:rPr>
          <w:rFonts w:hint="eastAsia" w:ascii="宋体" w:hAnsi="宋体" w:cs="宋体"/>
          <w:b/>
          <w:szCs w:val="21"/>
          <w:highlight w:val="none"/>
        </w:rPr>
        <w:t>乙方应保证供货物资与后续下达的订单一致，否则，甲方将拒收并可视为乙方不能按合同供货，甲方有权按合同追究乙方违约责任。</w:t>
      </w:r>
    </w:p>
    <w:tbl>
      <w:tblPr>
        <w:tblStyle w:val="25"/>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384"/>
        <w:gridCol w:w="2365"/>
        <w:gridCol w:w="807"/>
        <w:gridCol w:w="1143"/>
        <w:gridCol w:w="1290"/>
        <w:gridCol w:w="1234"/>
        <w:gridCol w:w="1634"/>
        <w:gridCol w:w="1415"/>
        <w:gridCol w:w="1415"/>
        <w:gridCol w:w="932"/>
      </w:tblGrid>
      <w:tr w14:paraId="62D6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0" w:type="pct"/>
            <w:shd w:val="clear" w:color="000000" w:fill="FFFFFF"/>
            <w:noWrap w:val="0"/>
            <w:vAlign w:val="center"/>
          </w:tcPr>
          <w:p w14:paraId="0141E1E8">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序号</w:t>
            </w:r>
          </w:p>
        </w:tc>
        <w:tc>
          <w:tcPr>
            <w:tcW w:w="472" w:type="pct"/>
            <w:shd w:val="clear" w:color="000000" w:fill="FFFFFF"/>
            <w:noWrap w:val="0"/>
            <w:vAlign w:val="center"/>
          </w:tcPr>
          <w:p w14:paraId="3EE6D984">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物资名称</w:t>
            </w:r>
          </w:p>
        </w:tc>
        <w:tc>
          <w:tcPr>
            <w:tcW w:w="806" w:type="pct"/>
            <w:shd w:val="clear" w:color="000000" w:fill="FFFFFF"/>
            <w:noWrap w:val="0"/>
            <w:vAlign w:val="center"/>
          </w:tcPr>
          <w:p w14:paraId="56017DA1">
            <w:pPr>
              <w:ind w:firstLine="420"/>
              <w:jc w:val="center"/>
              <w:rPr>
                <w:rFonts w:ascii="宋体" w:hAnsi="宋体" w:cs="宋体"/>
                <w:color w:val="000000"/>
                <w:sz w:val="21"/>
                <w:szCs w:val="21"/>
                <w:highlight w:val="none"/>
              </w:rPr>
            </w:pPr>
            <w:r>
              <w:rPr>
                <w:rFonts w:hint="eastAsia" w:ascii="宋体" w:hAnsi="宋体" w:cs="宋体"/>
                <w:color w:val="000000"/>
                <w:sz w:val="21"/>
                <w:szCs w:val="21"/>
                <w:highlight w:val="none"/>
              </w:rPr>
              <w:t>物资描述</w:t>
            </w:r>
          </w:p>
        </w:tc>
        <w:tc>
          <w:tcPr>
            <w:tcW w:w="275" w:type="pct"/>
            <w:shd w:val="clear" w:color="000000" w:fill="FFFFFF"/>
            <w:noWrap w:val="0"/>
            <w:vAlign w:val="center"/>
          </w:tcPr>
          <w:p w14:paraId="18ACD9D3">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单位</w:t>
            </w:r>
          </w:p>
        </w:tc>
        <w:tc>
          <w:tcPr>
            <w:tcW w:w="390" w:type="pct"/>
            <w:shd w:val="clear" w:color="000000" w:fill="FFFFFF"/>
            <w:noWrap w:val="0"/>
            <w:vAlign w:val="center"/>
          </w:tcPr>
          <w:p w14:paraId="43B24BF3">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数量</w:t>
            </w:r>
          </w:p>
        </w:tc>
        <w:tc>
          <w:tcPr>
            <w:tcW w:w="440" w:type="pct"/>
            <w:shd w:val="clear" w:color="000000" w:fill="FFFFFF"/>
            <w:noWrap w:val="0"/>
            <w:vAlign w:val="center"/>
          </w:tcPr>
          <w:p w14:paraId="558F3659">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含税</w:t>
            </w:r>
          </w:p>
          <w:p w14:paraId="632915F2">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单价（元）</w:t>
            </w:r>
          </w:p>
        </w:tc>
        <w:tc>
          <w:tcPr>
            <w:tcW w:w="421" w:type="pct"/>
            <w:shd w:val="clear" w:color="000000" w:fill="FFFFFF"/>
            <w:noWrap w:val="0"/>
            <w:vAlign w:val="center"/>
          </w:tcPr>
          <w:p w14:paraId="0C428266">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含税</w:t>
            </w:r>
          </w:p>
          <w:p w14:paraId="2C0B8229">
            <w:pPr>
              <w:ind w:firstLine="0" w:firstLineChars="0"/>
              <w:rPr>
                <w:rFonts w:ascii="宋体" w:hAnsi="宋体" w:cs="宋体"/>
                <w:color w:val="000000"/>
                <w:sz w:val="21"/>
                <w:szCs w:val="21"/>
                <w:highlight w:val="none"/>
              </w:rPr>
            </w:pPr>
            <w:r>
              <w:rPr>
                <w:rFonts w:hint="eastAsia" w:ascii="宋体" w:hAnsi="宋体" w:cs="宋体"/>
                <w:color w:val="000000"/>
                <w:sz w:val="21"/>
                <w:szCs w:val="21"/>
                <w:highlight w:val="none"/>
              </w:rPr>
              <w:t>合价(元)</w:t>
            </w:r>
          </w:p>
        </w:tc>
        <w:tc>
          <w:tcPr>
            <w:tcW w:w="557" w:type="pct"/>
            <w:shd w:val="clear" w:color="000000" w:fill="FFFFFF"/>
            <w:noWrap w:val="0"/>
            <w:vAlign w:val="center"/>
          </w:tcPr>
          <w:p w14:paraId="75E3B3CF">
            <w:pPr>
              <w:widowControl/>
              <w:ind w:firstLine="0" w:firstLineChars="0"/>
              <w:rPr>
                <w:rFonts w:ascii="宋体" w:hAnsi="宋体" w:cs="宋体"/>
                <w:bCs/>
                <w:kern w:val="0"/>
                <w:szCs w:val="21"/>
                <w:highlight w:val="none"/>
              </w:rPr>
            </w:pPr>
            <w:r>
              <w:rPr>
                <w:rFonts w:hint="eastAsia" w:ascii="宋体" w:hAnsi="宋体" w:cs="宋体"/>
                <w:bCs/>
                <w:kern w:val="0"/>
                <w:szCs w:val="21"/>
                <w:highlight w:val="none"/>
              </w:rPr>
              <w:t>制造商/品牌</w:t>
            </w:r>
          </w:p>
        </w:tc>
        <w:tc>
          <w:tcPr>
            <w:tcW w:w="483" w:type="pct"/>
            <w:shd w:val="clear" w:color="000000" w:fill="FFFFFF"/>
            <w:noWrap w:val="0"/>
            <w:vAlign w:val="center"/>
          </w:tcPr>
          <w:p w14:paraId="62345F19">
            <w:pPr>
              <w:widowControl/>
              <w:ind w:firstLine="0" w:firstLineChars="0"/>
              <w:rPr>
                <w:rFonts w:ascii="宋体" w:hAnsi="宋体" w:cs="宋体"/>
                <w:bCs/>
                <w:kern w:val="0"/>
                <w:szCs w:val="21"/>
                <w:highlight w:val="none"/>
              </w:rPr>
            </w:pPr>
            <w:r>
              <w:rPr>
                <w:rFonts w:hint="eastAsia" w:ascii="宋体" w:hAnsi="宋体" w:cs="宋体"/>
                <w:bCs/>
                <w:kern w:val="0"/>
                <w:szCs w:val="21"/>
                <w:highlight w:val="none"/>
              </w:rPr>
              <w:t>交货期</w:t>
            </w:r>
          </w:p>
        </w:tc>
        <w:tc>
          <w:tcPr>
            <w:tcW w:w="483" w:type="pct"/>
            <w:shd w:val="clear" w:color="000000" w:fill="FFFFFF"/>
            <w:noWrap w:val="0"/>
            <w:vAlign w:val="center"/>
          </w:tcPr>
          <w:p w14:paraId="372192BC">
            <w:pPr>
              <w:widowControl/>
              <w:ind w:firstLine="0" w:firstLineChars="0"/>
              <w:rPr>
                <w:rFonts w:ascii="宋体" w:hAnsi="宋体" w:cs="宋体"/>
                <w:bCs/>
                <w:kern w:val="0"/>
                <w:szCs w:val="21"/>
                <w:highlight w:val="none"/>
              </w:rPr>
            </w:pPr>
            <w:r>
              <w:rPr>
                <w:rFonts w:hint="eastAsia" w:ascii="宋体" w:hAnsi="宋体" w:cs="宋体"/>
                <w:bCs/>
                <w:kern w:val="0"/>
                <w:szCs w:val="21"/>
                <w:highlight w:val="none"/>
              </w:rPr>
              <w:t>质保期</w:t>
            </w:r>
          </w:p>
        </w:tc>
        <w:tc>
          <w:tcPr>
            <w:tcW w:w="318" w:type="pct"/>
            <w:shd w:val="clear" w:color="000000" w:fill="FFFFFF"/>
            <w:noWrap w:val="0"/>
            <w:vAlign w:val="center"/>
          </w:tcPr>
          <w:p w14:paraId="0C8D714F">
            <w:pPr>
              <w:widowControl/>
              <w:ind w:firstLine="0" w:firstLineChars="0"/>
              <w:rPr>
                <w:rFonts w:ascii="宋体" w:hAnsi="宋体" w:cs="宋体"/>
                <w:bCs/>
                <w:kern w:val="0"/>
                <w:szCs w:val="21"/>
                <w:highlight w:val="none"/>
              </w:rPr>
            </w:pPr>
            <w:r>
              <w:rPr>
                <w:rFonts w:hint="eastAsia" w:ascii="宋体" w:hAnsi="宋体" w:cs="宋体"/>
                <w:bCs/>
                <w:kern w:val="0"/>
                <w:szCs w:val="21"/>
                <w:highlight w:val="none"/>
              </w:rPr>
              <w:t>备注</w:t>
            </w:r>
          </w:p>
        </w:tc>
      </w:tr>
      <w:tr w14:paraId="5BCA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35DBC6B6">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w:t>
            </w:r>
          </w:p>
        </w:tc>
        <w:tc>
          <w:tcPr>
            <w:tcW w:w="472" w:type="pct"/>
            <w:shd w:val="clear" w:color="000000" w:fill="FFFFFF"/>
            <w:noWrap w:val="0"/>
            <w:vAlign w:val="center"/>
          </w:tcPr>
          <w:p w14:paraId="0DF88765">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332CF48F">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509B9B6C">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7B3456A1">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2F3CCE7A">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2C2EBF0F">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2D61B956">
            <w:pPr>
              <w:ind w:firstLine="420"/>
              <w:jc w:val="center"/>
              <w:rPr>
                <w:rFonts w:ascii="宋体" w:hAnsi="宋体" w:cs="宋体"/>
                <w:sz w:val="21"/>
                <w:szCs w:val="21"/>
                <w:highlight w:val="none"/>
              </w:rPr>
            </w:pPr>
          </w:p>
        </w:tc>
        <w:tc>
          <w:tcPr>
            <w:tcW w:w="483" w:type="pct"/>
            <w:shd w:val="clear" w:color="000000" w:fill="FFFFFF"/>
            <w:noWrap w:val="0"/>
            <w:vAlign w:val="center"/>
          </w:tcPr>
          <w:p w14:paraId="09CE1228">
            <w:pPr>
              <w:ind w:firstLine="420"/>
              <w:jc w:val="center"/>
              <w:rPr>
                <w:rFonts w:ascii="宋体" w:hAnsi="宋体" w:cs="宋体"/>
                <w:sz w:val="21"/>
                <w:szCs w:val="21"/>
                <w:highlight w:val="none"/>
              </w:rPr>
            </w:pPr>
          </w:p>
        </w:tc>
        <w:tc>
          <w:tcPr>
            <w:tcW w:w="483" w:type="pct"/>
            <w:shd w:val="clear" w:color="000000" w:fill="FFFFFF"/>
            <w:noWrap w:val="0"/>
            <w:vAlign w:val="center"/>
          </w:tcPr>
          <w:p w14:paraId="0538D768">
            <w:pPr>
              <w:ind w:firstLine="420"/>
              <w:jc w:val="center"/>
              <w:rPr>
                <w:rFonts w:ascii="宋体" w:hAnsi="宋体" w:cs="宋体"/>
                <w:sz w:val="21"/>
                <w:szCs w:val="21"/>
                <w:highlight w:val="none"/>
              </w:rPr>
            </w:pPr>
          </w:p>
        </w:tc>
        <w:tc>
          <w:tcPr>
            <w:tcW w:w="318" w:type="pct"/>
            <w:shd w:val="clear" w:color="000000" w:fill="FFFFFF"/>
            <w:noWrap w:val="0"/>
            <w:vAlign w:val="center"/>
          </w:tcPr>
          <w:p w14:paraId="01536E7D">
            <w:pPr>
              <w:ind w:firstLine="420"/>
              <w:jc w:val="center"/>
              <w:rPr>
                <w:rFonts w:ascii="宋体" w:hAnsi="宋体" w:cs="宋体"/>
                <w:sz w:val="21"/>
                <w:szCs w:val="21"/>
                <w:highlight w:val="none"/>
              </w:rPr>
            </w:pPr>
          </w:p>
        </w:tc>
      </w:tr>
      <w:tr w14:paraId="1EEB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65E9E37B">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2</w:t>
            </w:r>
          </w:p>
        </w:tc>
        <w:tc>
          <w:tcPr>
            <w:tcW w:w="472" w:type="pct"/>
            <w:shd w:val="clear" w:color="000000" w:fill="FFFFFF"/>
            <w:noWrap w:val="0"/>
            <w:vAlign w:val="center"/>
          </w:tcPr>
          <w:p w14:paraId="5C6292D8">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30E700F7">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41BFC022">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2E8C1489">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2B7346CC">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63F472AB">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46FA1A6F">
            <w:pPr>
              <w:ind w:firstLine="420"/>
              <w:jc w:val="center"/>
              <w:rPr>
                <w:rFonts w:ascii="宋体" w:hAnsi="宋体" w:cs="宋体"/>
                <w:sz w:val="21"/>
                <w:szCs w:val="21"/>
                <w:highlight w:val="none"/>
              </w:rPr>
            </w:pPr>
          </w:p>
        </w:tc>
        <w:tc>
          <w:tcPr>
            <w:tcW w:w="483" w:type="pct"/>
            <w:shd w:val="clear" w:color="000000" w:fill="FFFFFF"/>
            <w:noWrap w:val="0"/>
            <w:vAlign w:val="center"/>
          </w:tcPr>
          <w:p w14:paraId="467A159B">
            <w:pPr>
              <w:ind w:firstLine="420"/>
              <w:jc w:val="center"/>
              <w:rPr>
                <w:rFonts w:ascii="宋体" w:hAnsi="宋体" w:cs="宋体"/>
                <w:sz w:val="21"/>
                <w:szCs w:val="21"/>
                <w:highlight w:val="none"/>
              </w:rPr>
            </w:pPr>
          </w:p>
        </w:tc>
        <w:tc>
          <w:tcPr>
            <w:tcW w:w="483" w:type="pct"/>
            <w:shd w:val="clear" w:color="000000" w:fill="FFFFFF"/>
            <w:noWrap w:val="0"/>
            <w:vAlign w:val="center"/>
          </w:tcPr>
          <w:p w14:paraId="213FD101">
            <w:pPr>
              <w:ind w:firstLine="420"/>
              <w:jc w:val="center"/>
              <w:rPr>
                <w:rFonts w:ascii="宋体" w:hAnsi="宋体" w:cs="宋体"/>
                <w:sz w:val="21"/>
                <w:szCs w:val="21"/>
                <w:highlight w:val="none"/>
              </w:rPr>
            </w:pPr>
          </w:p>
        </w:tc>
        <w:tc>
          <w:tcPr>
            <w:tcW w:w="318" w:type="pct"/>
            <w:shd w:val="clear" w:color="000000" w:fill="FFFFFF"/>
            <w:noWrap w:val="0"/>
            <w:vAlign w:val="center"/>
          </w:tcPr>
          <w:p w14:paraId="34BAD0AD">
            <w:pPr>
              <w:ind w:firstLine="420"/>
              <w:jc w:val="center"/>
              <w:rPr>
                <w:rFonts w:ascii="宋体" w:hAnsi="宋体" w:cs="宋体"/>
                <w:sz w:val="21"/>
                <w:szCs w:val="21"/>
                <w:highlight w:val="none"/>
              </w:rPr>
            </w:pPr>
          </w:p>
        </w:tc>
      </w:tr>
      <w:tr w14:paraId="1CA4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4B2D46D5">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3</w:t>
            </w:r>
          </w:p>
        </w:tc>
        <w:tc>
          <w:tcPr>
            <w:tcW w:w="472" w:type="pct"/>
            <w:shd w:val="clear" w:color="000000" w:fill="FFFFFF"/>
            <w:noWrap w:val="0"/>
            <w:vAlign w:val="center"/>
          </w:tcPr>
          <w:p w14:paraId="60989D53">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565474E8">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254F66EB">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48790FA9">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7D9EC2A2">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014B3F5E">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4ECA9972">
            <w:pPr>
              <w:ind w:firstLine="420"/>
              <w:jc w:val="center"/>
              <w:rPr>
                <w:rFonts w:ascii="宋体" w:hAnsi="宋体" w:cs="宋体"/>
                <w:sz w:val="21"/>
                <w:szCs w:val="21"/>
                <w:highlight w:val="none"/>
              </w:rPr>
            </w:pPr>
          </w:p>
        </w:tc>
        <w:tc>
          <w:tcPr>
            <w:tcW w:w="483" w:type="pct"/>
            <w:shd w:val="clear" w:color="000000" w:fill="FFFFFF"/>
            <w:noWrap w:val="0"/>
            <w:vAlign w:val="center"/>
          </w:tcPr>
          <w:p w14:paraId="5D6962E6">
            <w:pPr>
              <w:ind w:firstLine="420"/>
              <w:jc w:val="center"/>
              <w:rPr>
                <w:rFonts w:ascii="宋体" w:hAnsi="宋体" w:cs="宋体"/>
                <w:sz w:val="21"/>
                <w:szCs w:val="21"/>
                <w:highlight w:val="none"/>
              </w:rPr>
            </w:pPr>
          </w:p>
        </w:tc>
        <w:tc>
          <w:tcPr>
            <w:tcW w:w="483" w:type="pct"/>
            <w:shd w:val="clear" w:color="000000" w:fill="FFFFFF"/>
            <w:noWrap w:val="0"/>
            <w:vAlign w:val="center"/>
          </w:tcPr>
          <w:p w14:paraId="1895C43F">
            <w:pPr>
              <w:ind w:firstLine="420"/>
              <w:jc w:val="center"/>
              <w:rPr>
                <w:rFonts w:ascii="宋体" w:hAnsi="宋体" w:cs="宋体"/>
                <w:sz w:val="21"/>
                <w:szCs w:val="21"/>
                <w:highlight w:val="none"/>
              </w:rPr>
            </w:pPr>
          </w:p>
        </w:tc>
        <w:tc>
          <w:tcPr>
            <w:tcW w:w="318" w:type="pct"/>
            <w:shd w:val="clear" w:color="000000" w:fill="FFFFFF"/>
            <w:noWrap w:val="0"/>
            <w:vAlign w:val="center"/>
          </w:tcPr>
          <w:p w14:paraId="285BE4B3">
            <w:pPr>
              <w:ind w:firstLine="420"/>
              <w:jc w:val="center"/>
              <w:rPr>
                <w:rFonts w:ascii="宋体" w:hAnsi="宋体" w:cs="宋体"/>
                <w:sz w:val="21"/>
                <w:szCs w:val="21"/>
                <w:highlight w:val="none"/>
              </w:rPr>
            </w:pPr>
          </w:p>
        </w:tc>
      </w:tr>
      <w:tr w14:paraId="108F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187E780F">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4</w:t>
            </w:r>
          </w:p>
        </w:tc>
        <w:tc>
          <w:tcPr>
            <w:tcW w:w="472" w:type="pct"/>
            <w:shd w:val="clear" w:color="000000" w:fill="FFFFFF"/>
            <w:noWrap w:val="0"/>
            <w:vAlign w:val="center"/>
          </w:tcPr>
          <w:p w14:paraId="7C920691">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0D88BFA6">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6A6FB732">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4D4D7A2F">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25B7FBF9">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6EA6864F">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5CC84BBE">
            <w:pPr>
              <w:ind w:firstLine="420"/>
              <w:jc w:val="center"/>
              <w:rPr>
                <w:rFonts w:ascii="宋体" w:hAnsi="宋体" w:cs="宋体"/>
                <w:sz w:val="21"/>
                <w:szCs w:val="21"/>
                <w:highlight w:val="none"/>
              </w:rPr>
            </w:pPr>
          </w:p>
        </w:tc>
        <w:tc>
          <w:tcPr>
            <w:tcW w:w="483" w:type="pct"/>
            <w:shd w:val="clear" w:color="000000" w:fill="FFFFFF"/>
            <w:noWrap w:val="0"/>
            <w:vAlign w:val="center"/>
          </w:tcPr>
          <w:p w14:paraId="7DF719CF">
            <w:pPr>
              <w:ind w:firstLine="420"/>
              <w:jc w:val="center"/>
              <w:rPr>
                <w:rFonts w:ascii="宋体" w:hAnsi="宋体" w:cs="宋体"/>
                <w:sz w:val="21"/>
                <w:szCs w:val="21"/>
                <w:highlight w:val="none"/>
              </w:rPr>
            </w:pPr>
          </w:p>
        </w:tc>
        <w:tc>
          <w:tcPr>
            <w:tcW w:w="483" w:type="pct"/>
            <w:shd w:val="clear" w:color="000000" w:fill="FFFFFF"/>
            <w:noWrap w:val="0"/>
            <w:vAlign w:val="center"/>
          </w:tcPr>
          <w:p w14:paraId="01DFA253">
            <w:pPr>
              <w:ind w:firstLine="420"/>
              <w:jc w:val="center"/>
              <w:rPr>
                <w:rFonts w:ascii="宋体" w:hAnsi="宋体" w:cs="宋体"/>
                <w:sz w:val="21"/>
                <w:szCs w:val="21"/>
                <w:highlight w:val="none"/>
              </w:rPr>
            </w:pPr>
          </w:p>
        </w:tc>
        <w:tc>
          <w:tcPr>
            <w:tcW w:w="318" w:type="pct"/>
            <w:shd w:val="clear" w:color="000000" w:fill="FFFFFF"/>
            <w:noWrap w:val="0"/>
            <w:vAlign w:val="center"/>
          </w:tcPr>
          <w:p w14:paraId="22DD347E">
            <w:pPr>
              <w:ind w:firstLine="420"/>
              <w:jc w:val="center"/>
              <w:rPr>
                <w:rFonts w:ascii="宋体" w:hAnsi="宋体" w:cs="宋体"/>
                <w:sz w:val="21"/>
                <w:szCs w:val="21"/>
                <w:highlight w:val="none"/>
              </w:rPr>
            </w:pPr>
          </w:p>
        </w:tc>
      </w:tr>
      <w:tr w14:paraId="4690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508612AA">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5</w:t>
            </w:r>
          </w:p>
        </w:tc>
        <w:tc>
          <w:tcPr>
            <w:tcW w:w="472" w:type="pct"/>
            <w:shd w:val="clear" w:color="000000" w:fill="FFFFFF"/>
            <w:noWrap w:val="0"/>
            <w:vAlign w:val="center"/>
          </w:tcPr>
          <w:p w14:paraId="5F9E643A">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6066F8EF">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5DAEBE4A">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54ADF474">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5B6AE820">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2669856F">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17A21603">
            <w:pPr>
              <w:ind w:firstLine="420"/>
              <w:jc w:val="center"/>
              <w:rPr>
                <w:rFonts w:ascii="宋体" w:hAnsi="宋体" w:cs="宋体"/>
                <w:sz w:val="21"/>
                <w:szCs w:val="21"/>
                <w:highlight w:val="none"/>
              </w:rPr>
            </w:pPr>
          </w:p>
        </w:tc>
        <w:tc>
          <w:tcPr>
            <w:tcW w:w="483" w:type="pct"/>
            <w:shd w:val="clear" w:color="000000" w:fill="FFFFFF"/>
            <w:noWrap w:val="0"/>
            <w:vAlign w:val="center"/>
          </w:tcPr>
          <w:p w14:paraId="0192DEFA">
            <w:pPr>
              <w:ind w:firstLine="420"/>
              <w:jc w:val="center"/>
              <w:rPr>
                <w:rFonts w:ascii="宋体" w:hAnsi="宋体" w:cs="宋体"/>
                <w:sz w:val="21"/>
                <w:szCs w:val="21"/>
                <w:highlight w:val="none"/>
              </w:rPr>
            </w:pPr>
          </w:p>
        </w:tc>
        <w:tc>
          <w:tcPr>
            <w:tcW w:w="483" w:type="pct"/>
            <w:shd w:val="clear" w:color="000000" w:fill="FFFFFF"/>
            <w:noWrap w:val="0"/>
            <w:vAlign w:val="center"/>
          </w:tcPr>
          <w:p w14:paraId="1D785341">
            <w:pPr>
              <w:ind w:firstLine="420"/>
              <w:jc w:val="center"/>
              <w:rPr>
                <w:rFonts w:ascii="宋体" w:hAnsi="宋体" w:cs="宋体"/>
                <w:sz w:val="21"/>
                <w:szCs w:val="21"/>
                <w:highlight w:val="none"/>
              </w:rPr>
            </w:pPr>
          </w:p>
        </w:tc>
        <w:tc>
          <w:tcPr>
            <w:tcW w:w="318" w:type="pct"/>
            <w:shd w:val="clear" w:color="000000" w:fill="FFFFFF"/>
            <w:noWrap w:val="0"/>
            <w:vAlign w:val="center"/>
          </w:tcPr>
          <w:p w14:paraId="43679C4D">
            <w:pPr>
              <w:ind w:firstLine="420"/>
              <w:jc w:val="center"/>
              <w:rPr>
                <w:rFonts w:ascii="宋体" w:hAnsi="宋体" w:cs="宋体"/>
                <w:sz w:val="21"/>
                <w:szCs w:val="21"/>
                <w:highlight w:val="none"/>
              </w:rPr>
            </w:pPr>
          </w:p>
        </w:tc>
      </w:tr>
      <w:tr w14:paraId="15FB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58D68258">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6</w:t>
            </w:r>
          </w:p>
        </w:tc>
        <w:tc>
          <w:tcPr>
            <w:tcW w:w="472" w:type="pct"/>
            <w:shd w:val="clear" w:color="000000" w:fill="FFFFFF"/>
            <w:noWrap w:val="0"/>
            <w:vAlign w:val="center"/>
          </w:tcPr>
          <w:p w14:paraId="48B64EF0">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50FB2DAB">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1ADDA43D">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0802EE79">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72FC1CD6">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04B0795A">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4688293F">
            <w:pPr>
              <w:ind w:firstLine="420"/>
              <w:jc w:val="center"/>
              <w:rPr>
                <w:rFonts w:ascii="宋体" w:hAnsi="宋体" w:cs="宋体"/>
                <w:sz w:val="21"/>
                <w:szCs w:val="21"/>
                <w:highlight w:val="none"/>
              </w:rPr>
            </w:pPr>
          </w:p>
        </w:tc>
        <w:tc>
          <w:tcPr>
            <w:tcW w:w="483" w:type="pct"/>
            <w:shd w:val="clear" w:color="000000" w:fill="FFFFFF"/>
            <w:noWrap w:val="0"/>
            <w:vAlign w:val="center"/>
          </w:tcPr>
          <w:p w14:paraId="7ED1703F">
            <w:pPr>
              <w:ind w:firstLine="420"/>
              <w:jc w:val="center"/>
              <w:rPr>
                <w:rFonts w:ascii="宋体" w:hAnsi="宋体" w:cs="宋体"/>
                <w:sz w:val="21"/>
                <w:szCs w:val="21"/>
                <w:highlight w:val="none"/>
              </w:rPr>
            </w:pPr>
          </w:p>
        </w:tc>
        <w:tc>
          <w:tcPr>
            <w:tcW w:w="483" w:type="pct"/>
            <w:shd w:val="clear" w:color="000000" w:fill="FFFFFF"/>
            <w:noWrap w:val="0"/>
            <w:vAlign w:val="center"/>
          </w:tcPr>
          <w:p w14:paraId="11A5539E">
            <w:pPr>
              <w:ind w:firstLine="420"/>
              <w:jc w:val="center"/>
              <w:rPr>
                <w:rFonts w:ascii="宋体" w:hAnsi="宋体" w:cs="宋体"/>
                <w:sz w:val="21"/>
                <w:szCs w:val="21"/>
                <w:highlight w:val="none"/>
              </w:rPr>
            </w:pPr>
          </w:p>
        </w:tc>
        <w:tc>
          <w:tcPr>
            <w:tcW w:w="318" w:type="pct"/>
            <w:shd w:val="clear" w:color="000000" w:fill="FFFFFF"/>
            <w:noWrap w:val="0"/>
            <w:vAlign w:val="center"/>
          </w:tcPr>
          <w:p w14:paraId="7BA22102">
            <w:pPr>
              <w:ind w:firstLine="420"/>
              <w:jc w:val="center"/>
              <w:rPr>
                <w:rFonts w:ascii="宋体" w:hAnsi="宋体" w:cs="宋体"/>
                <w:sz w:val="21"/>
                <w:szCs w:val="21"/>
                <w:highlight w:val="none"/>
              </w:rPr>
            </w:pPr>
          </w:p>
        </w:tc>
      </w:tr>
      <w:tr w14:paraId="617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64360DAF">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7</w:t>
            </w:r>
          </w:p>
        </w:tc>
        <w:tc>
          <w:tcPr>
            <w:tcW w:w="472" w:type="pct"/>
            <w:shd w:val="clear" w:color="000000" w:fill="FFFFFF"/>
            <w:noWrap w:val="0"/>
            <w:vAlign w:val="center"/>
          </w:tcPr>
          <w:p w14:paraId="40F3519E">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49626B55">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10BFD27D">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0185ABB4">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75E473BD">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2A5B96E6">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70D43151">
            <w:pPr>
              <w:ind w:firstLine="420"/>
              <w:jc w:val="center"/>
              <w:rPr>
                <w:rFonts w:ascii="宋体" w:hAnsi="宋体" w:cs="宋体"/>
                <w:sz w:val="21"/>
                <w:szCs w:val="21"/>
                <w:highlight w:val="none"/>
              </w:rPr>
            </w:pPr>
          </w:p>
        </w:tc>
        <w:tc>
          <w:tcPr>
            <w:tcW w:w="483" w:type="pct"/>
            <w:shd w:val="clear" w:color="000000" w:fill="FFFFFF"/>
            <w:noWrap w:val="0"/>
            <w:vAlign w:val="center"/>
          </w:tcPr>
          <w:p w14:paraId="7AB143A2">
            <w:pPr>
              <w:ind w:firstLine="420"/>
              <w:jc w:val="center"/>
              <w:rPr>
                <w:rFonts w:ascii="宋体" w:hAnsi="宋体" w:cs="宋体"/>
                <w:sz w:val="21"/>
                <w:szCs w:val="21"/>
                <w:highlight w:val="none"/>
              </w:rPr>
            </w:pPr>
          </w:p>
        </w:tc>
        <w:tc>
          <w:tcPr>
            <w:tcW w:w="483" w:type="pct"/>
            <w:shd w:val="clear" w:color="000000" w:fill="FFFFFF"/>
            <w:noWrap w:val="0"/>
            <w:vAlign w:val="center"/>
          </w:tcPr>
          <w:p w14:paraId="0D396CD8">
            <w:pPr>
              <w:ind w:firstLine="420"/>
              <w:jc w:val="center"/>
              <w:rPr>
                <w:rFonts w:ascii="宋体" w:hAnsi="宋体" w:cs="宋体"/>
                <w:sz w:val="21"/>
                <w:szCs w:val="21"/>
                <w:highlight w:val="none"/>
              </w:rPr>
            </w:pPr>
          </w:p>
        </w:tc>
        <w:tc>
          <w:tcPr>
            <w:tcW w:w="318" w:type="pct"/>
            <w:shd w:val="clear" w:color="000000" w:fill="FFFFFF"/>
            <w:noWrap w:val="0"/>
            <w:vAlign w:val="center"/>
          </w:tcPr>
          <w:p w14:paraId="02950F87">
            <w:pPr>
              <w:ind w:firstLine="420"/>
              <w:jc w:val="center"/>
              <w:rPr>
                <w:rFonts w:ascii="宋体" w:hAnsi="宋体" w:cs="宋体"/>
                <w:sz w:val="21"/>
                <w:szCs w:val="21"/>
                <w:highlight w:val="none"/>
              </w:rPr>
            </w:pPr>
          </w:p>
        </w:tc>
      </w:tr>
      <w:tr w14:paraId="0A62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50" w:type="pct"/>
            <w:shd w:val="clear" w:color="000000" w:fill="FFFFFF"/>
            <w:noWrap w:val="0"/>
            <w:vAlign w:val="center"/>
          </w:tcPr>
          <w:p w14:paraId="0D74C4B8">
            <w:pPr>
              <w:widowControl/>
              <w:ind w:firstLine="420"/>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8</w:t>
            </w:r>
          </w:p>
        </w:tc>
        <w:tc>
          <w:tcPr>
            <w:tcW w:w="472" w:type="pct"/>
            <w:shd w:val="clear" w:color="000000" w:fill="FFFFFF"/>
            <w:noWrap w:val="0"/>
            <w:vAlign w:val="center"/>
          </w:tcPr>
          <w:p w14:paraId="58934BFA">
            <w:pPr>
              <w:widowControl/>
              <w:ind w:firstLine="420"/>
              <w:jc w:val="center"/>
              <w:textAlignment w:val="center"/>
              <w:rPr>
                <w:rFonts w:ascii="宋体" w:hAnsi="宋体" w:cs="宋体"/>
                <w:color w:val="000000"/>
                <w:sz w:val="21"/>
                <w:szCs w:val="21"/>
                <w:highlight w:val="none"/>
              </w:rPr>
            </w:pPr>
          </w:p>
        </w:tc>
        <w:tc>
          <w:tcPr>
            <w:tcW w:w="806" w:type="pct"/>
            <w:shd w:val="clear" w:color="000000" w:fill="FFFFFF"/>
            <w:noWrap w:val="0"/>
            <w:vAlign w:val="center"/>
          </w:tcPr>
          <w:p w14:paraId="00B068AE">
            <w:pPr>
              <w:widowControl/>
              <w:ind w:firstLine="420"/>
              <w:jc w:val="center"/>
              <w:textAlignment w:val="center"/>
              <w:rPr>
                <w:rFonts w:ascii="宋体" w:hAnsi="宋体" w:cs="宋体"/>
                <w:color w:val="000000"/>
                <w:sz w:val="21"/>
                <w:szCs w:val="21"/>
                <w:highlight w:val="none"/>
              </w:rPr>
            </w:pPr>
          </w:p>
        </w:tc>
        <w:tc>
          <w:tcPr>
            <w:tcW w:w="275" w:type="pct"/>
            <w:shd w:val="clear" w:color="000000" w:fill="FFFFFF"/>
            <w:noWrap w:val="0"/>
            <w:vAlign w:val="center"/>
          </w:tcPr>
          <w:p w14:paraId="743FCD8F">
            <w:pPr>
              <w:widowControl/>
              <w:ind w:firstLine="420"/>
              <w:jc w:val="center"/>
              <w:textAlignment w:val="center"/>
              <w:rPr>
                <w:rFonts w:ascii="宋体" w:hAnsi="宋体" w:cs="宋体"/>
                <w:color w:val="000000"/>
                <w:sz w:val="21"/>
                <w:szCs w:val="21"/>
                <w:highlight w:val="none"/>
              </w:rPr>
            </w:pPr>
          </w:p>
        </w:tc>
        <w:tc>
          <w:tcPr>
            <w:tcW w:w="390" w:type="pct"/>
            <w:shd w:val="clear" w:color="000000" w:fill="FFFFFF"/>
            <w:noWrap w:val="0"/>
            <w:vAlign w:val="center"/>
          </w:tcPr>
          <w:p w14:paraId="72282753">
            <w:pPr>
              <w:widowControl/>
              <w:ind w:firstLine="420"/>
              <w:jc w:val="center"/>
              <w:textAlignment w:val="center"/>
              <w:rPr>
                <w:rFonts w:ascii="宋体" w:hAnsi="宋体" w:cs="宋体"/>
                <w:color w:val="000000"/>
                <w:sz w:val="21"/>
                <w:szCs w:val="21"/>
                <w:highlight w:val="none"/>
              </w:rPr>
            </w:pPr>
          </w:p>
        </w:tc>
        <w:tc>
          <w:tcPr>
            <w:tcW w:w="440" w:type="pct"/>
            <w:shd w:val="clear" w:color="000000" w:fill="FFFFFF"/>
            <w:noWrap w:val="0"/>
            <w:vAlign w:val="center"/>
          </w:tcPr>
          <w:p w14:paraId="29F91DA5">
            <w:pPr>
              <w:widowControl/>
              <w:ind w:firstLine="420"/>
              <w:jc w:val="center"/>
              <w:rPr>
                <w:rFonts w:ascii="宋体" w:hAnsi="宋体" w:cs="宋体"/>
                <w:color w:val="000000"/>
                <w:sz w:val="21"/>
                <w:szCs w:val="21"/>
                <w:highlight w:val="none"/>
              </w:rPr>
            </w:pPr>
          </w:p>
        </w:tc>
        <w:tc>
          <w:tcPr>
            <w:tcW w:w="421" w:type="pct"/>
            <w:shd w:val="clear" w:color="000000" w:fill="FFFFFF"/>
            <w:noWrap w:val="0"/>
            <w:vAlign w:val="center"/>
          </w:tcPr>
          <w:p w14:paraId="4171D2D1">
            <w:pPr>
              <w:widowControl/>
              <w:ind w:firstLine="420"/>
              <w:jc w:val="center"/>
              <w:rPr>
                <w:rFonts w:ascii="宋体" w:hAnsi="宋体" w:cs="宋体"/>
                <w:sz w:val="21"/>
                <w:szCs w:val="21"/>
                <w:highlight w:val="none"/>
              </w:rPr>
            </w:pPr>
          </w:p>
        </w:tc>
        <w:tc>
          <w:tcPr>
            <w:tcW w:w="557" w:type="pct"/>
            <w:shd w:val="clear" w:color="000000" w:fill="FFFFFF"/>
            <w:noWrap w:val="0"/>
            <w:vAlign w:val="center"/>
          </w:tcPr>
          <w:p w14:paraId="6B0D470D">
            <w:pPr>
              <w:ind w:firstLine="420"/>
              <w:jc w:val="center"/>
              <w:rPr>
                <w:rFonts w:ascii="宋体" w:hAnsi="宋体" w:cs="宋体"/>
                <w:sz w:val="21"/>
                <w:szCs w:val="21"/>
                <w:highlight w:val="none"/>
              </w:rPr>
            </w:pPr>
          </w:p>
        </w:tc>
        <w:tc>
          <w:tcPr>
            <w:tcW w:w="483" w:type="pct"/>
            <w:shd w:val="clear" w:color="000000" w:fill="FFFFFF"/>
            <w:noWrap w:val="0"/>
            <w:vAlign w:val="center"/>
          </w:tcPr>
          <w:p w14:paraId="7D331676">
            <w:pPr>
              <w:ind w:firstLine="420"/>
              <w:jc w:val="center"/>
              <w:rPr>
                <w:rFonts w:ascii="宋体" w:hAnsi="宋体" w:cs="宋体"/>
                <w:sz w:val="21"/>
                <w:szCs w:val="21"/>
                <w:highlight w:val="none"/>
              </w:rPr>
            </w:pPr>
          </w:p>
        </w:tc>
        <w:tc>
          <w:tcPr>
            <w:tcW w:w="483" w:type="pct"/>
            <w:shd w:val="clear" w:color="000000" w:fill="FFFFFF"/>
            <w:noWrap w:val="0"/>
            <w:vAlign w:val="center"/>
          </w:tcPr>
          <w:p w14:paraId="7840EB07">
            <w:pPr>
              <w:ind w:firstLine="420"/>
              <w:jc w:val="center"/>
              <w:rPr>
                <w:rFonts w:ascii="宋体" w:hAnsi="宋体" w:cs="宋体"/>
                <w:sz w:val="21"/>
                <w:szCs w:val="21"/>
                <w:highlight w:val="none"/>
              </w:rPr>
            </w:pPr>
          </w:p>
        </w:tc>
        <w:tc>
          <w:tcPr>
            <w:tcW w:w="318" w:type="pct"/>
            <w:shd w:val="clear" w:color="000000" w:fill="FFFFFF"/>
            <w:noWrap w:val="0"/>
            <w:vAlign w:val="center"/>
          </w:tcPr>
          <w:p w14:paraId="0A5B7795">
            <w:pPr>
              <w:ind w:firstLine="420"/>
              <w:jc w:val="center"/>
              <w:rPr>
                <w:rFonts w:ascii="宋体" w:hAnsi="宋体" w:cs="宋体"/>
                <w:sz w:val="21"/>
                <w:szCs w:val="21"/>
                <w:highlight w:val="none"/>
              </w:rPr>
            </w:pPr>
          </w:p>
        </w:tc>
      </w:tr>
    </w:tbl>
    <w:p w14:paraId="1DB0B93A">
      <w:pPr>
        <w:adjustRightInd w:val="0"/>
        <w:snapToGrid w:val="0"/>
        <w:ind w:firstLine="482"/>
        <w:rPr>
          <w:rFonts w:ascii="宋体" w:hAnsi="宋体" w:cs="宋体"/>
          <w:b/>
          <w:szCs w:val="21"/>
          <w:highlight w:val="none"/>
        </w:rPr>
      </w:pPr>
      <w:r>
        <w:rPr>
          <w:rFonts w:hint="eastAsia" w:ascii="宋体" w:hAnsi="宋体" w:cs="宋体"/>
          <w:b/>
          <w:szCs w:val="21"/>
          <w:highlight w:val="none"/>
        </w:rPr>
        <w:t>注：</w:t>
      </w:r>
      <w:r>
        <w:rPr>
          <w:rFonts w:hint="eastAsia" w:ascii="宋体" w:hAnsi="宋体" w:cs="宋体"/>
          <w:b/>
          <w:szCs w:val="21"/>
          <w:highlight w:val="none"/>
        </w:rPr>
        <w:fldChar w:fldCharType="begin"/>
      </w:r>
      <w:r>
        <w:rPr>
          <w:rFonts w:hint="eastAsia" w:ascii="宋体" w:hAnsi="宋体" w:cs="宋体"/>
          <w:b/>
          <w:szCs w:val="21"/>
          <w:highlight w:val="none"/>
        </w:rPr>
        <w:instrText xml:space="preserve"> = 1 \* GB2 </w:instrText>
      </w:r>
      <w:r>
        <w:rPr>
          <w:rFonts w:hint="eastAsia" w:ascii="宋体" w:hAnsi="宋体" w:cs="宋体"/>
          <w:b/>
          <w:szCs w:val="21"/>
          <w:highlight w:val="none"/>
        </w:rPr>
        <w:fldChar w:fldCharType="separate"/>
      </w:r>
      <w:r>
        <w:rPr>
          <w:rFonts w:hint="eastAsia" w:ascii="宋体" w:hAnsi="宋体" w:cs="宋体"/>
          <w:b/>
          <w:szCs w:val="21"/>
          <w:highlight w:val="none"/>
        </w:rPr>
        <w:t>⑴</w:t>
      </w:r>
      <w:r>
        <w:rPr>
          <w:rFonts w:hint="eastAsia" w:ascii="宋体" w:hAnsi="宋体" w:cs="宋体"/>
          <w:b/>
          <w:szCs w:val="21"/>
          <w:highlight w:val="none"/>
        </w:rPr>
        <w:fldChar w:fldCharType="end"/>
      </w:r>
      <w:r>
        <w:rPr>
          <w:rFonts w:hint="eastAsia" w:ascii="宋体" w:hAnsi="宋体" w:cs="宋体"/>
          <w:b/>
          <w:szCs w:val="21"/>
          <w:highlight w:val="none"/>
        </w:rPr>
        <w:t>“货物清单”所列的数量为预计数，具体需求数量以甲方当批交货通知的数量为准。甲方未发出交货通知，乙方进行备货/发货的，所产生的风险或损失由乙方自行承担。</w:t>
      </w:r>
    </w:p>
    <w:p w14:paraId="202F2351">
      <w:pPr>
        <w:adjustRightInd w:val="0"/>
        <w:snapToGrid w:val="0"/>
        <w:ind w:firstLine="482"/>
        <w:rPr>
          <w:rFonts w:ascii="宋体" w:hAnsi="宋体" w:cs="宋体"/>
          <w:b/>
          <w:szCs w:val="21"/>
          <w:highlight w:val="none"/>
        </w:rPr>
        <w:sectPr>
          <w:pgSz w:w="16838" w:h="11906" w:orient="landscape"/>
          <w:pgMar w:top="1418" w:right="1418" w:bottom="1134" w:left="1134" w:header="777" w:footer="1134" w:gutter="0"/>
          <w:pgNumType w:fmt="decimal"/>
          <w:cols w:space="720" w:num="1"/>
          <w:docGrid w:linePitch="286" w:charSpace="0"/>
        </w:sectPr>
      </w:pPr>
      <w:r>
        <w:rPr>
          <w:rFonts w:hint="eastAsia" w:ascii="宋体" w:hAnsi="宋体" w:cs="宋体"/>
          <w:b/>
          <w:szCs w:val="21"/>
          <w:highlight w:val="none"/>
        </w:rPr>
        <w:fldChar w:fldCharType="begin"/>
      </w:r>
      <w:r>
        <w:rPr>
          <w:rFonts w:hint="eastAsia" w:ascii="宋体" w:hAnsi="宋体" w:cs="宋体"/>
          <w:b/>
          <w:szCs w:val="21"/>
          <w:highlight w:val="none"/>
        </w:rPr>
        <w:instrText xml:space="preserve"> = 2 \* GB2 </w:instrText>
      </w:r>
      <w:r>
        <w:rPr>
          <w:rFonts w:hint="eastAsia" w:ascii="宋体" w:hAnsi="宋体" w:cs="宋体"/>
          <w:b/>
          <w:szCs w:val="21"/>
          <w:highlight w:val="none"/>
        </w:rPr>
        <w:fldChar w:fldCharType="separate"/>
      </w:r>
      <w:r>
        <w:rPr>
          <w:rFonts w:hint="eastAsia" w:ascii="宋体" w:hAnsi="宋体" w:cs="宋体"/>
          <w:b/>
          <w:szCs w:val="21"/>
          <w:highlight w:val="none"/>
        </w:rPr>
        <w:t>⑵</w:t>
      </w:r>
      <w:r>
        <w:rPr>
          <w:rFonts w:hint="eastAsia" w:ascii="宋体" w:hAnsi="宋体" w:cs="宋体"/>
          <w:b/>
          <w:szCs w:val="21"/>
          <w:highlight w:val="none"/>
        </w:rPr>
        <w:fldChar w:fldCharType="end"/>
      </w:r>
      <w:r>
        <w:rPr>
          <w:rFonts w:hint="eastAsia" w:ascii="宋体" w:hAnsi="宋体" w:cs="宋体"/>
          <w:b/>
          <w:szCs w:val="21"/>
          <w:highlight w:val="none"/>
        </w:rPr>
        <w:t xml:space="preserve">在合同执行期间，若国家税率调整则价格按不含税价与新税率进行重新核定（税率≤3%不适用）。 </w:t>
      </w:r>
    </w:p>
    <w:p w14:paraId="3175F5D1">
      <w:pPr>
        <w:ind w:firstLine="0" w:firstLineChars="0"/>
        <w:rPr>
          <w:rFonts w:ascii="宋体" w:hAnsi="宋体" w:cs="宋体"/>
          <w:b/>
          <w:highlight w:val="none"/>
        </w:rPr>
      </w:pPr>
      <w:r>
        <w:rPr>
          <w:rFonts w:hint="eastAsia" w:ascii="宋体" w:hAnsi="宋体" w:cs="宋体"/>
          <w:b/>
          <w:highlight w:val="none"/>
        </w:rPr>
        <w:t>附件2</w:t>
      </w:r>
    </w:p>
    <w:p w14:paraId="0BD45241">
      <w:pPr>
        <w:ind w:firstLine="643"/>
        <w:jc w:val="center"/>
        <w:rPr>
          <w:rFonts w:ascii="宋体" w:hAnsi="宋体" w:cs="宋体"/>
          <w:b/>
          <w:szCs w:val="21"/>
          <w:highlight w:val="none"/>
        </w:rPr>
      </w:pPr>
      <w:r>
        <w:rPr>
          <w:rFonts w:hint="eastAsia" w:ascii="宋体" w:hAnsi="宋体" w:cs="宋体"/>
          <w:b/>
          <w:sz w:val="32"/>
          <w:szCs w:val="36"/>
          <w:highlight w:val="none"/>
        </w:rPr>
        <w:t>廉政合同</w:t>
      </w:r>
    </w:p>
    <w:p w14:paraId="4207EFCB">
      <w:pPr>
        <w:ind w:firstLine="480"/>
        <w:rPr>
          <w:rFonts w:ascii="宋体" w:hAnsi="宋体" w:cs="宋体"/>
          <w:highlight w:val="none"/>
        </w:rPr>
      </w:pPr>
      <w:r>
        <w:rPr>
          <w:rFonts w:hint="eastAsia" w:ascii="宋体" w:hAnsi="宋体" w:cs="宋体"/>
          <w:highlight w:val="none"/>
        </w:rPr>
        <w:t>甲方：</w:t>
      </w:r>
      <w:r>
        <w:rPr>
          <w:rFonts w:hint="eastAsia" w:ascii="宋体" w:hAnsi="宋体" w:cs="宋体"/>
          <w:highlight w:val="none"/>
          <w:u w:val="single"/>
        </w:rPr>
        <w:t xml:space="preserve">南通轨道交通集团有限公司运营分公司  </w:t>
      </w:r>
    </w:p>
    <w:p w14:paraId="64561E77">
      <w:pPr>
        <w:ind w:firstLine="480"/>
        <w:rPr>
          <w:rFonts w:ascii="宋体" w:hAnsi="宋体" w:cs="宋体"/>
          <w:highlight w:val="none"/>
          <w:u w:val="single"/>
        </w:rPr>
      </w:pPr>
      <w:r>
        <w:rPr>
          <w:rFonts w:hint="eastAsia" w:ascii="宋体" w:hAnsi="宋体" w:cs="宋体"/>
          <w:highlight w:val="none"/>
        </w:rPr>
        <w:t>乙方：</w:t>
      </w:r>
      <w:r>
        <w:rPr>
          <w:rFonts w:hint="eastAsia" w:ascii="宋体" w:hAnsi="宋体" w:cs="宋体"/>
          <w:highlight w:val="none"/>
          <w:u w:val="single"/>
        </w:rPr>
        <w:t xml:space="preserve">                                    </w:t>
      </w:r>
    </w:p>
    <w:p w14:paraId="73DE7774">
      <w:pPr>
        <w:ind w:firstLine="480"/>
        <w:rPr>
          <w:rFonts w:ascii="宋体" w:hAnsi="宋体" w:cs="宋体"/>
          <w:highlight w:val="none"/>
        </w:rPr>
      </w:pPr>
      <w:r>
        <w:rPr>
          <w:rFonts w:hint="eastAsia" w:ascii="宋体" w:hAnsi="宋体" w:cs="宋体"/>
          <w:highlight w:val="none"/>
        </w:rPr>
        <w:t>为加强廉政建设，规范甲、乙双方的各项活动，防止发生各种谋取不正当利益的违法违纪行为，保护国家、集体和当事人的合法权益，根据国家有关廉政建设规定，特订立本廉政合同。</w:t>
      </w:r>
    </w:p>
    <w:p w14:paraId="4901703E">
      <w:pPr>
        <w:ind w:firstLine="480"/>
        <w:rPr>
          <w:rFonts w:ascii="宋体" w:hAnsi="宋体" w:cs="宋体"/>
          <w:highlight w:val="none"/>
        </w:rPr>
      </w:pPr>
      <w:r>
        <w:rPr>
          <w:rFonts w:hint="eastAsia" w:ascii="宋体" w:hAnsi="宋体" w:cs="宋体"/>
          <w:highlight w:val="none"/>
        </w:rPr>
        <w:t>第一条 双方的权利和义务</w:t>
      </w:r>
    </w:p>
    <w:p w14:paraId="19444A50">
      <w:pPr>
        <w:ind w:firstLine="480"/>
        <w:rPr>
          <w:rFonts w:ascii="宋体" w:hAnsi="宋体" w:cs="宋体"/>
          <w:highlight w:val="none"/>
        </w:rPr>
      </w:pPr>
      <w:r>
        <w:rPr>
          <w:rFonts w:hint="eastAsia" w:ascii="宋体" w:hAnsi="宋体" w:cs="宋体"/>
          <w:highlight w:val="none"/>
        </w:rPr>
        <w:t>(一) 应严格遵守国家关于市场准入、项目招标投标、采购工作、招标代理管理、市场活动的有关法律、法规，相关政策，以及廉政建设的各项规定。</w:t>
      </w:r>
    </w:p>
    <w:p w14:paraId="71D37181">
      <w:pPr>
        <w:ind w:firstLine="480"/>
        <w:rPr>
          <w:rFonts w:ascii="宋体" w:hAnsi="宋体" w:cs="宋体"/>
          <w:highlight w:val="none"/>
        </w:rPr>
      </w:pPr>
      <w:r>
        <w:rPr>
          <w:rFonts w:hint="eastAsia" w:ascii="宋体" w:hAnsi="宋体" w:cs="宋体"/>
          <w:highlight w:val="none"/>
        </w:rPr>
        <w:t>(二) 严格执行本项目甲、乙双方签订的合同（协议）文件，自觉按合同（协议）办事。</w:t>
      </w:r>
    </w:p>
    <w:p w14:paraId="49B522A9">
      <w:pPr>
        <w:ind w:firstLine="480"/>
        <w:rPr>
          <w:rFonts w:ascii="宋体" w:hAnsi="宋体" w:cs="宋体"/>
          <w:highlight w:val="none"/>
        </w:rPr>
      </w:pPr>
      <w:r>
        <w:rPr>
          <w:rFonts w:hint="eastAsia" w:ascii="宋体" w:hAnsi="宋体" w:cs="宋体"/>
          <w:highlight w:val="none"/>
        </w:rPr>
        <w:t>(三) 业务活动必须坚持公开、公平、公正、诚信、透明的原则（除法律法规和合同文件另有规定者外），双方人员不得获取不正当利益，不得损害国家和集体利益。</w:t>
      </w:r>
    </w:p>
    <w:p w14:paraId="116F9250">
      <w:pPr>
        <w:ind w:firstLine="480"/>
        <w:rPr>
          <w:rFonts w:ascii="宋体" w:hAnsi="宋体" w:cs="宋体"/>
          <w:highlight w:val="none"/>
        </w:rPr>
      </w:pPr>
      <w:r>
        <w:rPr>
          <w:rFonts w:hint="eastAsia" w:ascii="宋体" w:hAnsi="宋体" w:cs="宋体"/>
          <w:highlight w:val="none"/>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4454FFC7">
      <w:pPr>
        <w:ind w:firstLine="480"/>
        <w:rPr>
          <w:rFonts w:ascii="宋体" w:hAnsi="宋体" w:cs="宋体"/>
          <w:highlight w:val="none"/>
        </w:rPr>
      </w:pPr>
      <w:r>
        <w:rPr>
          <w:rFonts w:hint="eastAsia" w:ascii="宋体" w:hAnsi="宋体" w:cs="宋体"/>
          <w:highlight w:val="none"/>
        </w:rPr>
        <w:t>第二条  甲方的责任</w:t>
      </w:r>
    </w:p>
    <w:p w14:paraId="61AD9D1B">
      <w:pPr>
        <w:ind w:firstLine="480"/>
        <w:rPr>
          <w:rFonts w:ascii="宋体" w:hAnsi="宋体" w:cs="宋体"/>
          <w:highlight w:val="none"/>
        </w:rPr>
      </w:pPr>
      <w:r>
        <w:rPr>
          <w:rFonts w:hint="eastAsia" w:ascii="宋体" w:hAnsi="宋体" w:cs="宋体"/>
          <w:highlight w:val="none"/>
        </w:rPr>
        <w:t>甲方的领导和从事该项目的工作人员，在项目的事前、事中、事后应遵守以下规定：</w:t>
      </w:r>
    </w:p>
    <w:p w14:paraId="112F856A">
      <w:pPr>
        <w:ind w:firstLine="480"/>
        <w:rPr>
          <w:rFonts w:ascii="宋体" w:hAnsi="宋体" w:cs="宋体"/>
          <w:highlight w:val="none"/>
        </w:rPr>
      </w:pPr>
      <w:r>
        <w:rPr>
          <w:rFonts w:hint="eastAsia" w:ascii="宋体" w:hAnsi="宋体" w:cs="宋体"/>
          <w:highlight w:val="none"/>
        </w:rPr>
        <w:t>(一) 不准向乙方索要或接受回扣、礼金、有价证券、贵重物品和好处费、感谢费等；不准在乙方报销任何由甲方或个人支付的费用。</w:t>
      </w:r>
    </w:p>
    <w:p w14:paraId="20BCB2CD">
      <w:pPr>
        <w:ind w:firstLine="480"/>
        <w:rPr>
          <w:rFonts w:ascii="宋体" w:hAnsi="宋体" w:cs="宋体"/>
          <w:highlight w:val="none"/>
        </w:rPr>
      </w:pPr>
      <w:r>
        <w:rPr>
          <w:rFonts w:hint="eastAsia" w:ascii="宋体" w:hAnsi="宋体" w:cs="宋体"/>
          <w:highlight w:val="none"/>
        </w:rPr>
        <w:t>(二) 不准参加乙方安排的超标准宴请及健身、娱乐等活动；不得接受乙方提供的通讯工具、交通工具、高档办公用品等。</w:t>
      </w:r>
    </w:p>
    <w:p w14:paraId="74405289">
      <w:pPr>
        <w:ind w:firstLine="480"/>
        <w:rPr>
          <w:rFonts w:ascii="宋体" w:hAnsi="宋体" w:cs="宋体"/>
          <w:highlight w:val="none"/>
        </w:rPr>
      </w:pPr>
      <w:r>
        <w:rPr>
          <w:rFonts w:hint="eastAsia" w:ascii="宋体" w:hAnsi="宋体" w:cs="宋体"/>
          <w:highlight w:val="none"/>
        </w:rPr>
        <w:t>(三) 不准要求、暗示和接受乙方为个人装修住房、婚丧嫁娶、配偶子女工作安排以及出国（境）、旅游等提供方便。</w:t>
      </w:r>
    </w:p>
    <w:p w14:paraId="71D7386B">
      <w:pPr>
        <w:ind w:firstLine="480"/>
        <w:rPr>
          <w:rFonts w:ascii="宋体" w:hAnsi="宋体" w:cs="宋体"/>
          <w:highlight w:val="none"/>
        </w:rPr>
      </w:pPr>
      <w:r>
        <w:rPr>
          <w:rFonts w:hint="eastAsia" w:ascii="宋体" w:hAnsi="宋体" w:cs="宋体"/>
          <w:highlight w:val="none"/>
        </w:rPr>
        <w:t>(四) 配偶、子女不得从事与乙方承接本项目工作有关业务活动。</w:t>
      </w:r>
    </w:p>
    <w:p w14:paraId="2B2D74EB">
      <w:pPr>
        <w:ind w:firstLine="480"/>
        <w:rPr>
          <w:rFonts w:ascii="宋体" w:hAnsi="宋体" w:cs="宋体"/>
          <w:highlight w:val="none"/>
        </w:rPr>
      </w:pPr>
      <w:r>
        <w:rPr>
          <w:rFonts w:hint="eastAsia" w:ascii="宋体" w:hAnsi="宋体" w:cs="宋体"/>
          <w:highlight w:val="none"/>
        </w:rPr>
        <w:t>第三条  乙方责任</w:t>
      </w:r>
    </w:p>
    <w:p w14:paraId="7C510C9E">
      <w:pPr>
        <w:ind w:firstLine="480"/>
        <w:rPr>
          <w:rFonts w:ascii="宋体" w:hAnsi="宋体" w:cs="宋体"/>
          <w:highlight w:val="none"/>
        </w:rPr>
      </w:pPr>
      <w:r>
        <w:rPr>
          <w:rFonts w:hint="eastAsia" w:ascii="宋体" w:hAnsi="宋体" w:cs="宋体"/>
          <w:highlight w:val="none"/>
        </w:rPr>
        <w:t>乙方应与甲方保持正常的业务交往，按照有关法律法规和程序开展业务工作，并遵守以下规定：</w:t>
      </w:r>
    </w:p>
    <w:p w14:paraId="1C9318CD">
      <w:pPr>
        <w:ind w:firstLine="480"/>
        <w:rPr>
          <w:rFonts w:ascii="宋体" w:hAnsi="宋体" w:cs="宋体"/>
          <w:highlight w:val="none"/>
        </w:rPr>
      </w:pPr>
      <w:r>
        <w:rPr>
          <w:rFonts w:hint="eastAsia" w:ascii="宋体" w:hAnsi="宋体" w:cs="宋体"/>
          <w:highlight w:val="none"/>
        </w:rPr>
        <w:t>(一) 不准以任何理由向甲方及其工作人员行贿或赠送礼金、有价证券、贵重物品。</w:t>
      </w:r>
    </w:p>
    <w:p w14:paraId="11CE5738">
      <w:pPr>
        <w:ind w:firstLine="480"/>
        <w:rPr>
          <w:rFonts w:ascii="宋体" w:hAnsi="宋体" w:cs="宋体"/>
          <w:highlight w:val="none"/>
        </w:rPr>
      </w:pPr>
      <w:r>
        <w:rPr>
          <w:rFonts w:hint="eastAsia" w:ascii="宋体" w:hAnsi="宋体" w:cs="宋体"/>
          <w:highlight w:val="none"/>
        </w:rPr>
        <w:t>(二) 不准以任何名义为甲方及其工作人员报销应由对方或个人支付的费用。</w:t>
      </w:r>
    </w:p>
    <w:p w14:paraId="354F1479">
      <w:pPr>
        <w:ind w:firstLine="480"/>
        <w:rPr>
          <w:rFonts w:ascii="宋体" w:hAnsi="宋体" w:cs="宋体"/>
          <w:highlight w:val="none"/>
        </w:rPr>
      </w:pPr>
      <w:r>
        <w:rPr>
          <w:rFonts w:hint="eastAsia" w:ascii="宋体" w:hAnsi="宋体" w:cs="宋体"/>
          <w:highlight w:val="none"/>
        </w:rPr>
        <w:t>(三) 不准以任何理由安排甲方工作人员参加的超标准宴请及健身、娱乐和旅游等活动。</w:t>
      </w:r>
    </w:p>
    <w:p w14:paraId="734426F1">
      <w:pPr>
        <w:ind w:firstLine="480"/>
        <w:rPr>
          <w:rFonts w:ascii="宋体" w:hAnsi="宋体" w:cs="宋体"/>
          <w:highlight w:val="none"/>
        </w:rPr>
      </w:pPr>
      <w:r>
        <w:rPr>
          <w:rFonts w:hint="eastAsia" w:ascii="宋体" w:hAnsi="宋体" w:cs="宋体"/>
          <w:highlight w:val="none"/>
        </w:rPr>
        <w:t>(四) 不准为甲方单位和工作人员购置或提供通讯工具、交通工具、高档办公用品和装修住房等。</w:t>
      </w:r>
    </w:p>
    <w:p w14:paraId="208C0B3F">
      <w:pPr>
        <w:ind w:firstLine="480"/>
        <w:rPr>
          <w:rFonts w:ascii="宋体" w:hAnsi="宋体" w:cs="宋体"/>
          <w:highlight w:val="none"/>
        </w:rPr>
      </w:pPr>
      <w:r>
        <w:rPr>
          <w:rFonts w:hint="eastAsia" w:ascii="宋体" w:hAnsi="宋体" w:cs="宋体"/>
          <w:highlight w:val="none"/>
        </w:rPr>
        <w:t>第四条  违约责任</w:t>
      </w:r>
    </w:p>
    <w:p w14:paraId="459F4BEF">
      <w:pPr>
        <w:ind w:firstLine="480"/>
        <w:rPr>
          <w:rFonts w:ascii="宋体" w:hAnsi="宋体" w:cs="宋体"/>
          <w:highlight w:val="none"/>
        </w:rPr>
      </w:pPr>
      <w:r>
        <w:rPr>
          <w:rFonts w:hint="eastAsia" w:ascii="宋体" w:hAnsi="宋体" w:cs="宋体"/>
          <w:highlight w:val="none"/>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50F4ECAD">
      <w:pPr>
        <w:ind w:firstLine="480"/>
        <w:rPr>
          <w:rFonts w:ascii="宋体" w:hAnsi="宋体" w:cs="宋体"/>
          <w:highlight w:val="none"/>
        </w:rPr>
      </w:pPr>
      <w:r>
        <w:rPr>
          <w:rFonts w:hint="eastAsia" w:ascii="宋体" w:hAnsi="宋体" w:cs="宋体"/>
          <w:highlight w:val="none"/>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2AB05144">
      <w:pPr>
        <w:ind w:firstLine="480"/>
        <w:rPr>
          <w:rFonts w:ascii="宋体" w:hAnsi="宋体" w:cs="宋体"/>
          <w:highlight w:val="none"/>
        </w:rPr>
      </w:pPr>
      <w:r>
        <w:rPr>
          <w:rFonts w:hint="eastAsia" w:ascii="宋体" w:hAnsi="宋体" w:cs="宋体"/>
          <w:highlight w:val="none"/>
        </w:rPr>
        <w:t>第五条  双方约定：本合同由运营分公司纪检监督部负责监督，并对本合同履行情况进行检查。</w:t>
      </w:r>
    </w:p>
    <w:p w14:paraId="35545DC0">
      <w:pPr>
        <w:ind w:firstLine="480"/>
        <w:rPr>
          <w:rFonts w:ascii="宋体" w:hAnsi="宋体" w:cs="宋体"/>
          <w:sz w:val="22"/>
          <w:szCs w:val="20"/>
          <w:highlight w:val="none"/>
        </w:rPr>
      </w:pPr>
      <w:r>
        <w:rPr>
          <w:rFonts w:hint="eastAsia" w:ascii="宋体" w:hAnsi="宋体" w:cs="宋体"/>
          <w:highlight w:val="none"/>
        </w:rPr>
        <w:t>第六条  本合同作为合同的附件，与主合同具有同等法律效力。甲乙双方签署后立即生效。</w:t>
      </w:r>
    </w:p>
    <w:p w14:paraId="6B674C0C">
      <w:pPr>
        <w:ind w:firstLine="440"/>
        <w:jc w:val="left"/>
        <w:rPr>
          <w:rFonts w:ascii="宋体" w:hAnsi="宋体" w:cs="宋体"/>
          <w:sz w:val="22"/>
          <w:szCs w:val="20"/>
          <w:highlight w:val="none"/>
        </w:rPr>
      </w:pPr>
    </w:p>
    <w:p w14:paraId="3BD52384">
      <w:pPr>
        <w:ind w:firstLine="480"/>
        <w:rPr>
          <w:rFonts w:ascii="宋体" w:hAnsi="宋体" w:cs="宋体"/>
          <w:highlight w:val="none"/>
        </w:rPr>
      </w:pPr>
      <w:r>
        <w:rPr>
          <w:rFonts w:hint="eastAsia" w:ascii="宋体" w:hAnsi="宋体" w:cs="宋体"/>
          <w:highlight w:val="none"/>
        </w:rPr>
        <w:t>甲方（盖章）：</w:t>
      </w:r>
      <w:r>
        <w:rPr>
          <w:rFonts w:hint="eastAsia" w:ascii="宋体" w:hAnsi="宋体" w:cs="宋体"/>
          <w:highlight w:val="none"/>
          <w:u w:val="single"/>
        </w:rPr>
        <w:t>南通轨道交通集团有限公司</w:t>
      </w:r>
      <w:r>
        <w:rPr>
          <w:rFonts w:hint="eastAsia" w:ascii="宋体" w:hAnsi="宋体" w:cs="宋体"/>
          <w:highlight w:val="none"/>
        </w:rPr>
        <w:t xml:space="preserve">    乙方（盖章）：</w:t>
      </w:r>
      <w:r>
        <w:rPr>
          <w:rFonts w:hint="eastAsia" w:ascii="宋体" w:hAnsi="宋体" w:cs="宋体"/>
          <w:highlight w:val="none"/>
          <w:u w:val="single"/>
        </w:rPr>
        <w:t xml:space="preserve">                          </w:t>
      </w:r>
    </w:p>
    <w:p w14:paraId="62DFE037">
      <w:pPr>
        <w:ind w:firstLine="1680" w:firstLineChars="700"/>
        <w:rPr>
          <w:rFonts w:ascii="宋体" w:hAnsi="宋体" w:cs="宋体"/>
          <w:highlight w:val="none"/>
        </w:rPr>
      </w:pPr>
      <w:r>
        <w:rPr>
          <w:rFonts w:hint="eastAsia" w:ascii="宋体" w:hAnsi="宋体" w:cs="宋体"/>
          <w:highlight w:val="none"/>
          <w:u w:val="single"/>
        </w:rPr>
        <w:t xml:space="preserve">运营分公司 </w:t>
      </w:r>
    </w:p>
    <w:p w14:paraId="32B3FC51">
      <w:pPr>
        <w:pStyle w:val="8"/>
        <w:rPr>
          <w:highlight w:val="none"/>
        </w:rPr>
      </w:pPr>
    </w:p>
    <w:p w14:paraId="34F6359B">
      <w:pPr>
        <w:ind w:firstLine="480"/>
        <w:rPr>
          <w:highlight w:val="none"/>
        </w:rPr>
      </w:pPr>
      <w:r>
        <w:rPr>
          <w:rFonts w:hint="eastAsia"/>
          <w:highlight w:val="none"/>
        </w:rPr>
        <w:t xml:space="preserve"> </w:t>
      </w:r>
    </w:p>
    <w:p w14:paraId="0DD93AD7">
      <w:pPr>
        <w:ind w:firstLine="480"/>
        <w:rPr>
          <w:highlight w:val="none"/>
        </w:rPr>
      </w:pPr>
    </w:p>
    <w:p w14:paraId="1D238930">
      <w:pPr>
        <w:ind w:firstLine="422"/>
        <w:jc w:val="center"/>
        <w:rPr>
          <w:rFonts w:ascii="宋体" w:hAnsi="宋体" w:cs="宋体"/>
          <w:b/>
          <w:bCs/>
          <w:color w:val="000000"/>
          <w:sz w:val="21"/>
          <w:szCs w:val="21"/>
          <w:highlight w:val="none"/>
        </w:rPr>
      </w:pPr>
    </w:p>
    <w:p w14:paraId="2ECCC33C">
      <w:pPr>
        <w:ind w:firstLine="422"/>
        <w:jc w:val="center"/>
        <w:rPr>
          <w:rFonts w:ascii="宋体" w:hAnsi="宋体" w:cs="宋体"/>
          <w:b/>
          <w:bCs/>
          <w:color w:val="000000"/>
          <w:sz w:val="21"/>
          <w:szCs w:val="21"/>
          <w:highlight w:val="none"/>
        </w:rPr>
      </w:pPr>
    </w:p>
    <w:p w14:paraId="55F8CB81">
      <w:pPr>
        <w:ind w:firstLine="422"/>
        <w:jc w:val="center"/>
        <w:rPr>
          <w:rFonts w:ascii="宋体" w:hAnsi="宋体" w:cs="宋体"/>
          <w:b/>
          <w:bCs/>
          <w:color w:val="000000"/>
          <w:sz w:val="21"/>
          <w:szCs w:val="21"/>
          <w:highlight w:val="none"/>
        </w:rPr>
      </w:pPr>
    </w:p>
    <w:p w14:paraId="6FB5CD94">
      <w:pPr>
        <w:ind w:firstLine="422"/>
        <w:jc w:val="center"/>
        <w:rPr>
          <w:rFonts w:ascii="宋体" w:hAnsi="宋体" w:cs="宋体"/>
          <w:b/>
          <w:bCs/>
          <w:color w:val="000000"/>
          <w:sz w:val="21"/>
          <w:szCs w:val="21"/>
          <w:highlight w:val="none"/>
        </w:rPr>
      </w:pPr>
    </w:p>
    <w:p w14:paraId="3CFA5AFA">
      <w:pPr>
        <w:ind w:firstLine="422"/>
        <w:jc w:val="center"/>
        <w:rPr>
          <w:rFonts w:ascii="宋体" w:hAnsi="宋体" w:cs="宋体"/>
          <w:b/>
          <w:bCs/>
          <w:color w:val="000000"/>
          <w:sz w:val="21"/>
          <w:szCs w:val="21"/>
          <w:highlight w:val="none"/>
        </w:rPr>
      </w:pPr>
    </w:p>
    <w:p w14:paraId="25332463">
      <w:pPr>
        <w:ind w:firstLine="422"/>
        <w:jc w:val="center"/>
        <w:rPr>
          <w:rFonts w:ascii="宋体" w:hAnsi="宋体" w:cs="宋体"/>
          <w:b/>
          <w:bCs/>
          <w:color w:val="000000"/>
          <w:sz w:val="21"/>
          <w:szCs w:val="21"/>
          <w:highlight w:val="none"/>
        </w:rPr>
      </w:pPr>
    </w:p>
    <w:p w14:paraId="778E33C1">
      <w:pPr>
        <w:ind w:firstLine="422"/>
        <w:jc w:val="center"/>
        <w:rPr>
          <w:rFonts w:ascii="宋体" w:hAnsi="宋体" w:cs="宋体"/>
          <w:b/>
          <w:bCs/>
          <w:color w:val="000000"/>
          <w:sz w:val="21"/>
          <w:szCs w:val="21"/>
          <w:highlight w:val="none"/>
        </w:rPr>
      </w:pPr>
    </w:p>
    <w:p w14:paraId="4D52860A">
      <w:pPr>
        <w:ind w:firstLine="480"/>
        <w:rPr>
          <w:highlight w:val="none"/>
        </w:rPr>
      </w:pPr>
    </w:p>
    <w:p w14:paraId="0095492B">
      <w:pPr>
        <w:ind w:firstLine="480"/>
        <w:rPr>
          <w:highlight w:val="none"/>
        </w:rPr>
      </w:pPr>
    </w:p>
    <w:p w14:paraId="4E4A4E25">
      <w:pPr>
        <w:ind w:firstLine="480"/>
        <w:rPr>
          <w:highlight w:val="none"/>
        </w:rPr>
      </w:pPr>
    </w:p>
    <w:p w14:paraId="07C3C45A">
      <w:pPr>
        <w:ind w:firstLine="480"/>
        <w:rPr>
          <w:highlight w:val="none"/>
        </w:rPr>
      </w:pPr>
    </w:p>
    <w:p w14:paraId="0D3AC16E">
      <w:pPr>
        <w:ind w:firstLine="480"/>
        <w:rPr>
          <w:highlight w:val="none"/>
        </w:rPr>
      </w:pPr>
    </w:p>
    <w:p w14:paraId="2715C8B5">
      <w:pPr>
        <w:pStyle w:val="53"/>
        <w:rPr>
          <w:highlight w:val="none"/>
        </w:rPr>
      </w:pPr>
    </w:p>
    <w:p w14:paraId="6BBDE962">
      <w:pPr>
        <w:pStyle w:val="53"/>
        <w:rPr>
          <w:highlight w:val="none"/>
        </w:rPr>
      </w:pPr>
    </w:p>
    <w:p w14:paraId="5A63EB81">
      <w:pPr>
        <w:ind w:firstLine="480"/>
        <w:rPr>
          <w:highlight w:val="none"/>
        </w:rPr>
      </w:pPr>
    </w:p>
    <w:p w14:paraId="5785C92D">
      <w:pPr>
        <w:ind w:firstLine="480"/>
        <w:rPr>
          <w:highlight w:val="none"/>
        </w:rPr>
      </w:pPr>
    </w:p>
    <w:p w14:paraId="1BE6B393">
      <w:pPr>
        <w:keepNext/>
        <w:keepLines/>
        <w:ind w:firstLine="140" w:firstLineChars="32"/>
        <w:jc w:val="center"/>
        <w:outlineLvl w:val="0"/>
        <w:rPr>
          <w:rFonts w:eastAsia="黑体"/>
          <w:bCs/>
          <w:kern w:val="44"/>
          <w:sz w:val="44"/>
          <w:szCs w:val="44"/>
          <w:highlight w:val="none"/>
        </w:rPr>
      </w:pPr>
      <w:bookmarkStart w:id="15" w:name="_Toc31910"/>
      <w:r>
        <w:rPr>
          <w:rFonts w:hint="eastAsia" w:eastAsia="黑体"/>
          <w:bCs/>
          <w:kern w:val="44"/>
          <w:sz w:val="44"/>
          <w:szCs w:val="44"/>
          <w:highlight w:val="none"/>
        </w:rPr>
        <w:t>第五章 采购需求</w:t>
      </w:r>
      <w:bookmarkEnd w:id="15"/>
    </w:p>
    <w:p w14:paraId="3F1FDD33">
      <w:pPr>
        <w:ind w:firstLine="880"/>
        <w:rPr>
          <w:rFonts w:eastAsia="黑体"/>
          <w:bCs/>
          <w:kern w:val="44"/>
          <w:sz w:val="44"/>
          <w:szCs w:val="44"/>
          <w:highlight w:val="none"/>
        </w:rPr>
      </w:pPr>
      <w:r>
        <w:rPr>
          <w:rFonts w:hint="eastAsia" w:eastAsia="黑体"/>
          <w:bCs/>
          <w:kern w:val="44"/>
          <w:sz w:val="44"/>
          <w:szCs w:val="44"/>
          <w:highlight w:val="none"/>
        </w:rPr>
        <w:br w:type="page"/>
      </w:r>
    </w:p>
    <w:p w14:paraId="2201414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bookmarkStart w:id="16" w:name="_Toc366144084"/>
      <w:bookmarkStart w:id="17" w:name="_Toc425507783"/>
      <w:bookmarkStart w:id="18" w:name="_Toc484775058"/>
      <w:r>
        <w:rPr>
          <w:rFonts w:hint="eastAsia" w:ascii="宋体" w:hAnsi="宋体" w:eastAsia="宋体" w:cs="宋体"/>
          <w:b w:val="0"/>
          <w:bCs/>
          <w:sz w:val="24"/>
          <w:szCs w:val="24"/>
          <w:highlight w:val="none"/>
          <w:lang w:val="en-US" w:eastAsia="zh-CN"/>
        </w:rPr>
        <w:t>一、项目概述</w:t>
      </w:r>
    </w:p>
    <w:p w14:paraId="2C07A9E3">
      <w:pPr>
        <w:keepNext w:val="0"/>
        <w:keepLines w:val="0"/>
        <w:pageBreakBefore w:val="0"/>
        <w:kinsoku/>
        <w:wordWrap/>
        <w:overflowPunct/>
        <w:topLinePunct w:val="0"/>
        <w:autoSpaceDE/>
        <w:autoSpaceDN/>
        <w:bidi w:val="0"/>
        <w:adjustRightInd/>
        <w:snapToGrid/>
        <w:spacing w:line="360" w:lineRule="auto"/>
        <w:ind w:firstLine="704"/>
        <w:textAlignment w:val="auto"/>
        <w:rPr>
          <w:rFonts w:hint="eastAsia" w:ascii="宋体" w:hAnsi="宋体" w:eastAsia="宋体" w:cs="宋体"/>
          <w:color w:val="000000"/>
          <w:kern w:val="58"/>
          <w:sz w:val="24"/>
          <w:szCs w:val="24"/>
          <w:highlight w:val="none"/>
          <w:lang w:val="en-US" w:eastAsia="zh-CN"/>
        </w:rPr>
      </w:pPr>
      <w:r>
        <w:rPr>
          <w:rFonts w:hint="eastAsia" w:ascii="宋体" w:hAnsi="宋体" w:eastAsia="宋体" w:cs="宋体"/>
          <w:color w:val="000000"/>
          <w:kern w:val="58"/>
          <w:sz w:val="24"/>
          <w:szCs w:val="24"/>
          <w:highlight w:val="none"/>
          <w:lang w:val="en-US" w:eastAsia="zh-CN"/>
        </w:rPr>
        <w:t>本次采购运营分公司1，2号线场段及正线办公信息化设备配套耗材及配送安装服务，包括硒鼓、粉盒、打印纸等。</w:t>
      </w:r>
    </w:p>
    <w:p w14:paraId="6136270A">
      <w:pPr>
        <w:keepNext w:val="0"/>
        <w:keepLines w:val="0"/>
        <w:pageBreakBefore w:val="0"/>
        <w:kinsoku/>
        <w:wordWrap/>
        <w:overflowPunct/>
        <w:topLinePunct w:val="0"/>
        <w:autoSpaceDE/>
        <w:autoSpaceDN/>
        <w:bidi w:val="0"/>
        <w:adjustRightInd/>
        <w:snapToGrid/>
        <w:spacing w:line="360" w:lineRule="auto"/>
        <w:ind w:firstLine="704"/>
        <w:textAlignment w:val="auto"/>
        <w:rPr>
          <w:rFonts w:hint="eastAsia" w:ascii="宋体" w:hAnsi="宋体" w:eastAsia="宋体" w:cs="宋体"/>
          <w:color w:val="000000"/>
          <w:kern w:val="58"/>
          <w:sz w:val="24"/>
          <w:szCs w:val="24"/>
          <w:highlight w:val="none"/>
          <w:lang w:val="en-US" w:eastAsia="zh-CN"/>
        </w:rPr>
      </w:pPr>
      <w:r>
        <w:rPr>
          <w:rFonts w:hint="eastAsia" w:ascii="宋体" w:hAnsi="宋体" w:eastAsia="宋体" w:cs="宋体"/>
          <w:color w:val="000000"/>
          <w:kern w:val="58"/>
          <w:sz w:val="24"/>
          <w:szCs w:val="24"/>
          <w:highlight w:val="none"/>
          <w:lang w:val="en-US" w:eastAsia="zh-CN"/>
        </w:rPr>
        <w:t>供应商需要对我单位打印设备耗材实行服务期内包干制，包含耗材的送货上门安装、使用调试、售后维护等，且供应商需自备耗材库存，我单位不提供存放耗材备件地。本单位为多部门多地点科室协同工作，收到使用人通知后，需确保每次耗材更换在1小时内响应，并能正常让更换后设备投入使用，无法完成上述要求或超时服务的我单位有权解除合同。</w:t>
      </w:r>
    </w:p>
    <w:p w14:paraId="38446486">
      <w:pPr>
        <w:keepNext w:val="0"/>
        <w:keepLines w:val="0"/>
        <w:pageBreakBefore w:val="0"/>
        <w:kinsoku/>
        <w:wordWrap/>
        <w:overflowPunct/>
        <w:topLinePunct w:val="0"/>
        <w:autoSpaceDE/>
        <w:autoSpaceDN/>
        <w:bidi w:val="0"/>
        <w:adjustRightInd/>
        <w:snapToGrid/>
        <w:spacing w:line="360" w:lineRule="auto"/>
        <w:ind w:firstLine="704"/>
        <w:textAlignment w:val="auto"/>
        <w:rPr>
          <w:rFonts w:hint="eastAsia" w:ascii="宋体" w:hAnsi="宋体" w:eastAsia="宋体" w:cs="宋体"/>
          <w:color w:val="000000"/>
          <w:kern w:val="58"/>
          <w:sz w:val="24"/>
          <w:szCs w:val="24"/>
          <w:highlight w:val="none"/>
          <w:lang w:val="en-US" w:eastAsia="zh-CN"/>
        </w:rPr>
      </w:pPr>
      <w:r>
        <w:rPr>
          <w:rFonts w:hint="eastAsia" w:ascii="宋体" w:hAnsi="宋体" w:eastAsia="宋体" w:cs="宋体"/>
          <w:color w:val="000000"/>
          <w:kern w:val="58"/>
          <w:sz w:val="24"/>
          <w:szCs w:val="24"/>
          <w:highlight w:val="none"/>
          <w:lang w:val="en-US" w:eastAsia="zh-CN"/>
        </w:rPr>
        <w:t>根据使用单位需求至少配置1名上门服务人员，服务人员需具备相关计算机技能专业。</w:t>
      </w:r>
    </w:p>
    <w:p w14:paraId="24B160D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二、项目及服务周期</w:t>
      </w:r>
    </w:p>
    <w:p w14:paraId="2A7F8C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58"/>
          <w:sz w:val="24"/>
          <w:szCs w:val="24"/>
          <w:highlight w:val="none"/>
        </w:rPr>
      </w:pPr>
      <w:r>
        <w:rPr>
          <w:rFonts w:hint="eastAsia" w:ascii="宋体" w:hAnsi="宋体" w:eastAsia="宋体" w:cs="宋体"/>
          <w:color w:val="000000"/>
          <w:kern w:val="58"/>
          <w:sz w:val="24"/>
          <w:szCs w:val="24"/>
          <w:highlight w:val="none"/>
        </w:rPr>
        <w:t>项目周期：自合同签订之日起</w:t>
      </w:r>
      <w:r>
        <w:rPr>
          <w:rFonts w:hint="eastAsia" w:ascii="宋体" w:hAnsi="宋体" w:eastAsia="宋体" w:cs="宋体"/>
          <w:color w:val="000000"/>
          <w:kern w:val="58"/>
          <w:sz w:val="24"/>
          <w:szCs w:val="24"/>
          <w:highlight w:val="none"/>
          <w:lang w:val="en-US" w:eastAsia="zh-CN"/>
        </w:rPr>
        <w:t>一年</w:t>
      </w:r>
      <w:r>
        <w:rPr>
          <w:rFonts w:hint="eastAsia" w:ascii="宋体" w:hAnsi="宋体" w:eastAsia="宋体" w:cs="宋体"/>
          <w:color w:val="000000"/>
          <w:kern w:val="58"/>
          <w:sz w:val="24"/>
          <w:szCs w:val="24"/>
          <w:highlight w:val="none"/>
        </w:rPr>
        <w:t>。</w:t>
      </w:r>
    </w:p>
    <w:p w14:paraId="4913D1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58"/>
          <w:sz w:val="24"/>
          <w:szCs w:val="24"/>
          <w:highlight w:val="none"/>
        </w:rPr>
      </w:pPr>
      <w:r>
        <w:rPr>
          <w:rFonts w:hint="eastAsia" w:ascii="宋体" w:hAnsi="宋体" w:eastAsia="宋体" w:cs="宋体"/>
          <w:color w:val="000000"/>
          <w:kern w:val="58"/>
          <w:sz w:val="24"/>
          <w:szCs w:val="24"/>
          <w:highlight w:val="none"/>
        </w:rPr>
        <w:t>服务周期：完成本项目所有</w:t>
      </w:r>
      <w:r>
        <w:rPr>
          <w:rFonts w:hint="eastAsia" w:ascii="宋体" w:hAnsi="宋体" w:eastAsia="宋体" w:cs="宋体"/>
          <w:color w:val="000000"/>
          <w:kern w:val="58"/>
          <w:sz w:val="24"/>
          <w:szCs w:val="24"/>
          <w:highlight w:val="none"/>
          <w:lang w:val="en-US" w:eastAsia="zh-CN"/>
        </w:rPr>
        <w:t>订单</w:t>
      </w:r>
      <w:r>
        <w:rPr>
          <w:rFonts w:hint="eastAsia" w:ascii="宋体" w:hAnsi="宋体" w:eastAsia="宋体" w:cs="宋体"/>
          <w:color w:val="000000"/>
          <w:kern w:val="58"/>
          <w:sz w:val="24"/>
          <w:szCs w:val="24"/>
          <w:highlight w:val="none"/>
        </w:rPr>
        <w:t>供货，且达到质保期限</w:t>
      </w:r>
      <w:r>
        <w:rPr>
          <w:rFonts w:hint="eastAsia" w:ascii="宋体" w:hAnsi="宋体" w:eastAsia="宋体" w:cs="宋体"/>
          <w:color w:val="000000"/>
          <w:kern w:val="58"/>
          <w:sz w:val="24"/>
          <w:szCs w:val="24"/>
          <w:highlight w:val="none"/>
          <w:lang w:eastAsia="zh-CN"/>
        </w:rPr>
        <w:t>，</w:t>
      </w:r>
      <w:r>
        <w:rPr>
          <w:rFonts w:hint="eastAsia" w:ascii="宋体" w:hAnsi="宋体" w:eastAsia="宋体" w:cs="宋体"/>
          <w:color w:val="000000"/>
          <w:kern w:val="58"/>
          <w:sz w:val="24"/>
          <w:szCs w:val="24"/>
          <w:highlight w:val="none"/>
          <w:lang w:val="en-US" w:eastAsia="zh-CN"/>
        </w:rPr>
        <w:t>质保期不低于12个月</w:t>
      </w:r>
      <w:r>
        <w:rPr>
          <w:rFonts w:hint="eastAsia" w:ascii="宋体" w:hAnsi="宋体" w:eastAsia="宋体" w:cs="宋体"/>
          <w:color w:val="000000"/>
          <w:kern w:val="58"/>
          <w:sz w:val="24"/>
          <w:szCs w:val="24"/>
          <w:highlight w:val="none"/>
        </w:rPr>
        <w:t>。</w:t>
      </w:r>
    </w:p>
    <w:p w14:paraId="2E1A1CA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58"/>
          <w:sz w:val="24"/>
          <w:szCs w:val="24"/>
          <w:highlight w:val="none"/>
          <w:lang w:val="en-US" w:eastAsia="zh-CN"/>
        </w:rPr>
      </w:pPr>
      <w:r>
        <w:rPr>
          <w:rFonts w:hint="eastAsia" w:ascii="宋体" w:hAnsi="宋体" w:eastAsia="宋体" w:cs="宋体"/>
          <w:b w:val="0"/>
          <w:bCs/>
          <w:sz w:val="24"/>
          <w:szCs w:val="24"/>
          <w:highlight w:val="none"/>
          <w:lang w:val="en-US" w:eastAsia="zh-CN"/>
        </w:rPr>
        <w:t>三、货物交期及送货地点</w:t>
      </w:r>
    </w:p>
    <w:p w14:paraId="25379A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58"/>
          <w:sz w:val="24"/>
          <w:szCs w:val="24"/>
          <w:highlight w:val="none"/>
          <w:lang w:val="en-US" w:eastAsia="zh-CN"/>
        </w:rPr>
      </w:pPr>
      <w:r>
        <w:rPr>
          <w:rFonts w:hint="eastAsia" w:ascii="宋体" w:hAnsi="宋体" w:eastAsia="宋体" w:cs="宋体"/>
          <w:color w:val="000000"/>
          <w:kern w:val="58"/>
          <w:sz w:val="24"/>
          <w:szCs w:val="24"/>
          <w:highlight w:val="none"/>
          <w:lang w:val="en-US" w:eastAsia="zh-CN"/>
        </w:rPr>
        <w:t>1.地点：南通轨道交通1、2号线正线车站、平东车辆段、幸福车辆段、小海停车场、控制中心、主所。</w:t>
      </w:r>
    </w:p>
    <w:p w14:paraId="1C5637D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sz w:val="24"/>
          <w:szCs w:val="24"/>
          <w:highlight w:val="none"/>
          <w:lang w:val="en-US" w:eastAsia="zh-CN"/>
        </w:rPr>
      </w:pPr>
      <w:r>
        <w:rPr>
          <w:rFonts w:hint="eastAsia" w:ascii="宋体" w:hAnsi="宋体" w:eastAsia="宋体" w:cs="宋体"/>
          <w:color w:val="000000"/>
          <w:kern w:val="58"/>
          <w:sz w:val="24"/>
          <w:szCs w:val="24"/>
          <w:highlight w:val="none"/>
          <w:lang w:val="en-US" w:eastAsia="zh-CN"/>
        </w:rPr>
        <w:t>2.付款方式：本项目采用固定单价方式，根据本项目中实际供货的数量*投标报价进行季度结算。全部货物到货并验收使用合格后，开具增值税专用发票，经采购人审核无误后，按当批货物价款全额支付。</w:t>
      </w:r>
    </w:p>
    <w:p w14:paraId="744C4C7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四、需求清单</w:t>
      </w:r>
    </w:p>
    <w:tbl>
      <w:tblPr>
        <w:tblStyle w:val="25"/>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1572"/>
        <w:gridCol w:w="1352"/>
        <w:gridCol w:w="2627"/>
        <w:gridCol w:w="958"/>
        <w:gridCol w:w="959"/>
        <w:gridCol w:w="1195"/>
      </w:tblGrid>
      <w:tr w14:paraId="6AB0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0B1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72" w:type="dxa"/>
            <w:tcBorders>
              <w:top w:val="single" w:color="000000" w:sz="4" w:space="0"/>
              <w:left w:val="single" w:color="000000" w:sz="4" w:space="0"/>
              <w:bottom w:val="nil"/>
              <w:right w:val="single" w:color="000000" w:sz="4" w:space="0"/>
            </w:tcBorders>
            <w:shd w:val="clear" w:color="auto" w:fill="FFFFFF"/>
            <w:noWrap w:val="0"/>
            <w:vAlign w:val="center"/>
          </w:tcPr>
          <w:p w14:paraId="2456C43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打印机品牌</w:t>
            </w:r>
          </w:p>
          <w:p w14:paraId="6FEB78E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及型号</w:t>
            </w:r>
          </w:p>
        </w:tc>
        <w:tc>
          <w:tcPr>
            <w:tcW w:w="1352" w:type="dxa"/>
            <w:tcBorders>
              <w:top w:val="single" w:color="000000" w:sz="4" w:space="0"/>
              <w:left w:val="single" w:color="000000" w:sz="4" w:space="0"/>
              <w:bottom w:val="nil"/>
              <w:right w:val="single" w:color="000000" w:sz="4" w:space="0"/>
            </w:tcBorders>
            <w:shd w:val="clear" w:color="auto" w:fill="FFFFFF"/>
            <w:noWrap w:val="0"/>
            <w:vAlign w:val="center"/>
          </w:tcPr>
          <w:p w14:paraId="34C1727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配套耗材</w:t>
            </w:r>
          </w:p>
        </w:tc>
        <w:tc>
          <w:tcPr>
            <w:tcW w:w="2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B917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物资描述</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8194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CA3F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预估</w:t>
            </w:r>
          </w:p>
          <w:p w14:paraId="7E24CA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D412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参考品牌</w:t>
            </w:r>
          </w:p>
        </w:tc>
      </w:tr>
      <w:tr w14:paraId="3170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0DD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AC4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惠普打印机laserJetProM203dn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EF1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909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A4纸5%覆盖率，打印页数≥23000页，功能参考原装型号CF232A（32A）</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C42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11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001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懿智通，科思特，天威</w:t>
            </w:r>
          </w:p>
        </w:tc>
      </w:tr>
      <w:tr w14:paraId="1A85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CFF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83C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 Pro M203dn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491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BAE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A4纸5%覆盖率，打印页数≥3500页，功能参考原装型号CF230A（30A）</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997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5D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093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懿智通，莱盛，天威</w:t>
            </w:r>
          </w:p>
        </w:tc>
      </w:tr>
      <w:tr w14:paraId="39E7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D6D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466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C49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2F6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A4纸5%覆盖率，打印页数≥1000页，功能参考原装型号HP118A黑色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047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2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0D6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r>
      <w:tr w14:paraId="1DD8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E79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2FE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B4A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E145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65B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32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75E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r>
      <w:tr w14:paraId="6EA1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AC5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066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70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D9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B9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CD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AAD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r>
      <w:tr w14:paraId="7BC0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709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140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51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46A9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A4纸5%覆盖率，打印页数≥700页，功能参考原装型号HP118A红色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D1E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86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81A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r>
      <w:tr w14:paraId="2F8D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5AB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20C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B6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成像鼓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3F1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A4纸5%覆盖率，打印页数≥16000页，功能参考原装型号HP132A</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1DB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CD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7B4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r>
      <w:tr w14:paraId="4BF0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AF6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BBD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EC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8D93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A4纸5%覆盖率，打印页数≥7000页，功能参考原装型号307A黑色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BAB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0D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53D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7B33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925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F04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906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B01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1E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CC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0B5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r>
      <w:tr w14:paraId="4C8E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266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DC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E9B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D2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2CA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43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A74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r>
      <w:tr w14:paraId="2629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DE8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289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22A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8F1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A4纸5%覆盖率，打印页数≥7300页，功能参考原装型号307A红色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BE3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52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1E9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r>
      <w:tr w14:paraId="47E1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DDC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594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M1136 MFP</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B7304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noWrap w:val="0"/>
            <w:vAlign w:val="center"/>
          </w:tcPr>
          <w:p w14:paraId="2FD3973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A4纸5%覆盖率，打印页数≥1500页，功能参考原装型号HP CC388A（88A）</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96FAB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7D169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8EBA8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255F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112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A7E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laserJet Pro M706n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DDE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0A0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A4纸5%覆盖率，打印页数≥12000页，功能参考原装型号CZ192A（93A）</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951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4E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13C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1C5D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891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6A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惠普打印机laserJetMFP M528dn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13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25C1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A4纸5%覆盖率，打印页数≥10000页，功能参考原装型号CF289X（89X）</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860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D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70F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7B6B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8B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89E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722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7F5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A4纸5%覆盖率，打印页数≥3200页，功能参考原装型号CF500X黑色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E9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C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CDF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2DA4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78B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CAD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F4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B7F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A4纸5%覆盖率，打印页数≥2500页，功能参考原装型号CF501X青色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579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17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72C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66EA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550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F7F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E8C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246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A4纸5%覆盖率，打印页数≥2500页，功能参考原装型号CF502X黄色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63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DA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D3E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60F4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59E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99C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85B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C4D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A4纸5%覆盖率，打印页数≥2500页，功能参考原装型号CF503X红色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75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60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988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495B096C">
        <w:tblPrEx>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DE8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73F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兄弟打印机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DCP-B7530DN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B5B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1BD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覆盖率，打印页数≥12000页，功能参考原装型号DR-B020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2E9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39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218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477B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5E5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FF1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兄弟打印机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DCP-B7530DN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294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A2B5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覆盖率，打印页数≥2600页，功能参考原装型号TN-B020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2CD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F6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29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7F90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4C4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411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MFC-7380</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148FDC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2C5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覆盖率，打印页数≥12000页，功能参考原装型号DR-2350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36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F6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43A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4D46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A9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85A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MFC-7380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98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55A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覆盖率，打印页数≥2600页，功能参考原装型号TN-2325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1ED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8E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BB5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4D62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170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D53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7180dn</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36FF58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201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覆盖率，打印页数≥12000页，功能参考原装型号DR-2350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2CF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5D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891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353E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9F4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C23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7180dn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6BA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E99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覆盖率，打印页数≥2600页，功能参考原装型号TN-2325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477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A1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5B9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028C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9E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597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141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F789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原装型号墨水004黑色，70ML 5%覆盖率≥4500页</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C17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53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55C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390C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15F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5A6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4F2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4B9A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原装型号墨水004青色，70ML 5%覆盖率≥7500页</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245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4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AF6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3D2F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75B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87A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6EF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972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原装型号墨水004黄色，70ML 5%覆盖率≥7500页</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644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4F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DCC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631D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E3D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30E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DCB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F88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原装型号墨水004红色，70ML  5%覆盖率≥7500页</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54D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00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017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50AF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837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F93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DA8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8545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覆盖率，打印页数≥23000页，参考原装型号TN224K-H黑色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EA8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1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2E0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5D91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F6D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EC5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9E5A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E43F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覆盖率，打印页数≥20000页，功能参考原装型号TN224C-H青色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D9B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A7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CE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1AE4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ACF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33D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97F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FE22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覆盖率，打印页数≥20000页，功能参考原装型号TN224M-H品红</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C20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77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BCE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11C1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C1F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6CE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D2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7D4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覆盖率，打印页数≥20000页，功能参考原装型号TN224Y-H黄色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F70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2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613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20BB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0C0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235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5A99EA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感光鼓组件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（套鼓）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B6A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覆盖率，打印页数≥120000页，功能参考原装型号DR215K</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D6F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8D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DFC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3ADC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A68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B1C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7F500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09B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覆盖率，打印页数≥75000页，功能参考原装型号IU216C</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096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D8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BEC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704E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36B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E3C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1C69C6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45A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覆盖率，打印页数≥75000页，功能参考原装型号IU216M</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CFA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31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ECA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710A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934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53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7CC674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4FBB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覆盖率，打印页数≥75000页，功能参考原装型号IU216Y</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8F7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10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C86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r>
      <w:tr w14:paraId="5D92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EC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527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B4A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二次转印辊</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E3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功能参考原装型号A797R703FR</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03B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D4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76D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605C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2EF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750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75B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0470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0FA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60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F0B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r>
      <w:tr w14:paraId="5BAD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B21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E1C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D1D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搓纸轮</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49A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A4纸盒搓纸轮</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56B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2D3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2DB9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0A2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B43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8E7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A633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A3纸盒搓纸轮</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E5D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E7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5C1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r>
      <w:tr w14:paraId="6308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148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924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90901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noWrap w:val="0"/>
            <w:vAlign w:val="center"/>
          </w:tcPr>
          <w:p w14:paraId="37C7FB4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覆盖率，打印页数≥23000页，功能参考原装型号TN323H黑色</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B7339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2A9C0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8CB16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105C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664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AE2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3C6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3FA6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覆盖率，打印页数≥80000页，功能参考原装型号DR312K黑色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B93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57669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78C77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r>
      <w:tr w14:paraId="0C89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FE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11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945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5C2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FE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F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D7EB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r>
      <w:tr w14:paraId="331A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0E0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B9E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D79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A073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覆盖率，打印页数≥12000页，功能参考原装型号TN119H黑色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826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B9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05A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r>
      <w:tr w14:paraId="2EAF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5FD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B12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DE8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83E5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覆盖率，打印页数≥100000页，功能参考原装型号DR119</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33E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EE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12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r>
      <w:tr w14:paraId="4478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A86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DD6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549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3A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68F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2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64F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r>
      <w:tr w14:paraId="4A9E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7FF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FA8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1D0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60B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覆盖率，打印页数≥23000页，功能参考原装型号TN223HK黑色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E18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5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8F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29AF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A1A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9E8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28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B9D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覆盖率，打印页数≥20000页，功能参考原装型号TN223HC青色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BB6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09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29F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4FC9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B06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5A9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2B4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302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覆盖率，打印页数≥20000页，功能参考原装型号TN223HY黄色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F26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E4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CDF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60163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D27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FCF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4A6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A0E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覆盖率，打印页数≥20000页，功能参考原装型号TN223HM红色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286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F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3B9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1EB6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8C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315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0F7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E847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覆盖率，打印页数≥70000页，功能参考原装型号IU-215K黑</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EA8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92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1C2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0347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DD1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941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64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3572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覆盖率，打印页数≥70000页，功能参考原装型号IU-215C青</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838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53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C87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74F6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03C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EF6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524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D2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覆盖率，打印页数≥70000页，功能参考原装型号IU-215Y黄</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D98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88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F89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7EE2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2E8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6A7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95C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17F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覆盖率，打印页数≥70000页，功能参考原装型号IU-215M红</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7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3B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6EB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r>
      <w:tr w14:paraId="1619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547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22E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0B8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EE70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6E0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74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6D6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天威，格之格，绘威</w:t>
            </w:r>
          </w:p>
        </w:tc>
      </w:tr>
      <w:tr w14:paraId="1514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009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2CF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E56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79C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覆盖率，打印页数≥36000页，功能参考原装型号NPG-67 黑色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240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3B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DA9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r>
      <w:tr w14:paraId="29BF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7F9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5F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A2E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C0B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青色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6D8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65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6DC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r>
      <w:tr w14:paraId="559A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677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70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5BE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A14F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红色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EAA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09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448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r>
      <w:tr w14:paraId="4061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4B1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790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4A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CE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黄色</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770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19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7DF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r>
      <w:tr w14:paraId="4B1E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AC9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22E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30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感光鼓组件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130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覆盖率，打印页数≥50000页，功能参考原装型号NPG-67</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CF4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6F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7B3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r>
      <w:tr w14:paraId="72E1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8DB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945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CD0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4D6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功能参考原装型号NPG-67</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D73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D7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60C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r>
      <w:tr w14:paraId="4BCB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4DD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4F4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奔图 P2206W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90A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E53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覆盖率，打印页数≥1600页，功能参考原装型号PD-213</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328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0E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91C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格之格，彩格，莱盛</w:t>
            </w:r>
          </w:p>
        </w:tc>
      </w:tr>
      <w:tr w14:paraId="4E55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197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BD2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兄弟标签机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PT-P750W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663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标签色带</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38E3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功能参考原装型号TZe-751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（绿底黑字24mm）</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86D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09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7DF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天威，格之格，彩格</w:t>
            </w:r>
          </w:p>
        </w:tc>
      </w:tr>
      <w:tr w14:paraId="37E8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5B3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901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兄弟标签机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PT-P900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069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标签色带</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73E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功能参考原装型号TZe-261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（白底黑字36mm）</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461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8A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F2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天威，格之格，彩格</w:t>
            </w:r>
          </w:p>
        </w:tc>
      </w:tr>
      <w:tr w14:paraId="3924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304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6B8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330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80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70克，500张/包</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65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79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C63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r>
      <w:tr w14:paraId="575E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B92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7F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98F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A4打印纸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（红色）</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0EF6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80克，100张/包</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E4F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74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490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r>
      <w:tr w14:paraId="295B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0A8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C0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02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A3打印纸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38CE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70克，500张/包</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CD1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9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939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r>
      <w:tr w14:paraId="183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7F6E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E4E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517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四联打印纸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C71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二等分，1000页</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3E9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F7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6B36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r>
    </w:tbl>
    <w:p w14:paraId="4A93C46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kern w:val="58"/>
          <w:sz w:val="24"/>
          <w:szCs w:val="24"/>
          <w:highlight w:val="none"/>
          <w:lang w:val="en-US" w:eastAsia="zh-CN" w:bidi="ar-SA"/>
        </w:rPr>
      </w:pPr>
      <w:r>
        <w:rPr>
          <w:rFonts w:hint="eastAsia" w:ascii="宋体" w:hAnsi="宋体" w:eastAsia="宋体" w:cs="宋体"/>
          <w:b w:val="0"/>
          <w:bCs/>
          <w:kern w:val="58"/>
          <w:sz w:val="24"/>
          <w:szCs w:val="24"/>
          <w:highlight w:val="none"/>
          <w:lang w:val="en-US" w:eastAsia="zh-CN" w:bidi="ar-SA"/>
        </w:rPr>
        <w:t>说明：</w:t>
      </w:r>
    </w:p>
    <w:p w14:paraId="411ED206">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kern w:val="58"/>
          <w:sz w:val="24"/>
          <w:szCs w:val="24"/>
          <w:highlight w:val="none"/>
          <w:lang w:val="en-US" w:eastAsia="zh-CN" w:bidi="ar-SA"/>
        </w:rPr>
      </w:pPr>
      <w:r>
        <w:rPr>
          <w:rFonts w:hint="eastAsia" w:ascii="宋体" w:hAnsi="宋体" w:eastAsia="宋体" w:cs="宋体"/>
          <w:b w:val="0"/>
          <w:bCs/>
          <w:kern w:val="58"/>
          <w:sz w:val="24"/>
          <w:szCs w:val="24"/>
          <w:highlight w:val="none"/>
          <w:lang w:val="en-US" w:eastAsia="zh-CN" w:bidi="ar-SA"/>
        </w:rPr>
        <w:t>“需求清单”中品牌为推荐参考，报价申请单位可以选用其它品牌，但技术性能、质量等级不得低于推荐品牌。报价申请单位如果未选择推荐品牌及产品，所报产品的性能参数须等同或优于采购文件要求，而且必须在响应文件中说明偏离情况并提供有关技术参数对照资料，并经评审小组三分之二以上人员认定响应的品牌不低于采购文件参考品牌。</w:t>
      </w:r>
    </w:p>
    <w:p w14:paraId="6BED28C9">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kern w:val="58"/>
          <w:sz w:val="24"/>
          <w:szCs w:val="24"/>
          <w:highlight w:val="none"/>
          <w:lang w:val="en-US" w:eastAsia="zh-CN"/>
        </w:rPr>
      </w:pPr>
      <w:r>
        <w:rPr>
          <w:rFonts w:hint="eastAsia" w:ascii="宋体" w:hAnsi="宋体" w:eastAsia="宋体" w:cs="宋体"/>
          <w:b w:val="0"/>
          <w:bCs/>
          <w:kern w:val="58"/>
          <w:sz w:val="24"/>
          <w:szCs w:val="24"/>
          <w:highlight w:val="none"/>
          <w:lang w:val="en-US" w:eastAsia="zh-CN" w:bidi="ar-SA"/>
        </w:rPr>
        <w:t>“需求清单”所列的数量为预计数，具体供货数量以采购人的当批交货通知为准。采购人未发出交货通知，成交人进行备货/发货的，所产生的风险或损失由成交人自行承担。</w:t>
      </w:r>
    </w:p>
    <w:p w14:paraId="7EFED2B9">
      <w:pPr>
        <w:pStyle w:val="6"/>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kern w:val="58"/>
          <w:sz w:val="24"/>
          <w:szCs w:val="24"/>
          <w:highlight w:val="none"/>
          <w:lang w:val="en-US" w:eastAsia="zh-CN"/>
        </w:rPr>
      </w:pPr>
      <w:r>
        <w:rPr>
          <w:rFonts w:hint="eastAsia" w:ascii="宋体" w:hAnsi="宋体" w:eastAsia="宋体" w:cs="宋体"/>
          <w:b w:val="0"/>
          <w:bCs/>
          <w:kern w:val="58"/>
          <w:sz w:val="24"/>
          <w:szCs w:val="24"/>
          <w:highlight w:val="none"/>
        </w:rPr>
        <w:t>本项目采用固定单价方式，根据本项目中实际供货的数量进行结算。</w:t>
      </w:r>
      <w:r>
        <w:rPr>
          <w:rFonts w:hint="eastAsia" w:ascii="宋体" w:hAnsi="宋体" w:eastAsia="宋体" w:cs="宋体"/>
          <w:b w:val="0"/>
          <w:bCs/>
          <w:kern w:val="58"/>
          <w:sz w:val="24"/>
          <w:szCs w:val="24"/>
          <w:highlight w:val="none"/>
          <w:lang w:val="en-US" w:eastAsia="zh-CN"/>
        </w:rPr>
        <w:t>报价申请单位</w:t>
      </w:r>
      <w:r>
        <w:rPr>
          <w:rFonts w:hint="eastAsia" w:ascii="宋体" w:hAnsi="宋体" w:eastAsia="宋体" w:cs="宋体"/>
          <w:b w:val="0"/>
          <w:bCs/>
          <w:color w:val="000000"/>
          <w:kern w:val="58"/>
          <w:sz w:val="24"/>
          <w:szCs w:val="24"/>
          <w:highlight w:val="none"/>
        </w:rPr>
        <w:t>报价应包括但不限于：货物价格及出厂检验费、运输费、装卸费、各种税费、保险费、验收费、培训费、包装费、专利费、检验费、质保期所需相关的服务费用以及</w:t>
      </w:r>
      <w:r>
        <w:rPr>
          <w:rFonts w:hint="eastAsia" w:ascii="宋体" w:hAnsi="宋体" w:eastAsia="宋体" w:cs="宋体"/>
          <w:b w:val="0"/>
          <w:bCs/>
          <w:color w:val="000000"/>
          <w:kern w:val="58"/>
          <w:sz w:val="24"/>
          <w:szCs w:val="24"/>
          <w:highlight w:val="none"/>
          <w:lang w:val="en-US" w:eastAsia="zh-CN"/>
        </w:rPr>
        <w:t>报价申请单位</w:t>
      </w:r>
      <w:r>
        <w:rPr>
          <w:rFonts w:hint="eastAsia" w:ascii="宋体" w:hAnsi="宋体" w:eastAsia="宋体" w:cs="宋体"/>
          <w:b w:val="0"/>
          <w:bCs/>
          <w:color w:val="000000"/>
          <w:kern w:val="58"/>
          <w:sz w:val="24"/>
          <w:szCs w:val="24"/>
          <w:highlight w:val="none"/>
        </w:rPr>
        <w:t>企业利润、税金和政策性文件规定和合同包含的所有风险、责任等一切费用</w:t>
      </w:r>
      <w:r>
        <w:rPr>
          <w:rFonts w:hint="eastAsia" w:ascii="宋体" w:hAnsi="宋体" w:eastAsia="宋体" w:cs="宋体"/>
          <w:b w:val="0"/>
          <w:bCs/>
          <w:color w:val="000000"/>
          <w:kern w:val="58"/>
          <w:sz w:val="24"/>
          <w:szCs w:val="24"/>
          <w:highlight w:val="none"/>
          <w:lang w:eastAsia="zh-CN"/>
        </w:rPr>
        <w:t>。</w:t>
      </w:r>
    </w:p>
    <w:p w14:paraId="1B4AB3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五、质量要求</w:t>
      </w:r>
      <w:bookmarkStart w:id="19" w:name="_Toc11540"/>
    </w:p>
    <w:p w14:paraId="21855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货物的设计、制造、包装、检测等必须符合中华人民共和国国家标准和相关行业标准及规定。所使用的材料、部件或产品必须满足国家强制性执行的标准和强制性产品认证等。如出现各规范及标准要求不一致时，按最高标准执行。所有标准及规范应采用合同生效之日起的最新版本。</w:t>
      </w:r>
    </w:p>
    <w:p w14:paraId="3FAC1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2.成交供货商应保证货物是全新、未使用过的原装合格正品，并完全符合采购文件及本项目合同规定的质量、规格和性能的要求。</w:t>
      </w:r>
    </w:p>
    <w:p w14:paraId="0841AA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六、验收要求</w:t>
      </w:r>
    </w:p>
    <w:p w14:paraId="15F44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验收内容包括：货物名称、规格型号、数量、外观质量及货物包装是否完好，安装是否合格，性能是否满足要求，所提供货物的装箱清单、用户手册、合格证、配件等是否齐全。验收标准：采购文件、投标文件、合同文件及其附件。</w:t>
      </w:r>
    </w:p>
    <w:p w14:paraId="20CDC2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1.到货验收合格后产品剩余有效期不得小于产品标识有效期的70%。</w:t>
      </w:r>
    </w:p>
    <w:p w14:paraId="162F6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2.验收时采取目测、使用、随机抽检等方式进行检验，检验过程中如不合格，采购人有权拒绝接受该批次货物，检测不合格产品的检测费由供货商承担。</w:t>
      </w:r>
    </w:p>
    <w:p w14:paraId="36789F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七、运输和仓储</w:t>
      </w:r>
      <w:bookmarkEnd w:id="19"/>
    </w:p>
    <w:p w14:paraId="728A9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本项目</w:t>
      </w:r>
      <w:r>
        <w:rPr>
          <w:rFonts w:hint="eastAsia" w:ascii="宋体" w:hAnsi="宋体" w:eastAsia="宋体" w:cs="宋体"/>
          <w:b w:val="0"/>
          <w:bCs/>
          <w:sz w:val="24"/>
          <w:szCs w:val="24"/>
          <w:highlight w:val="none"/>
          <w:lang w:val="en-US" w:eastAsia="zh-CN"/>
        </w:rPr>
        <w:t>货物</w:t>
      </w:r>
      <w:r>
        <w:rPr>
          <w:rFonts w:hint="eastAsia" w:ascii="宋体" w:hAnsi="宋体" w:eastAsia="宋体" w:cs="宋体"/>
          <w:color w:val="000000"/>
          <w:kern w:val="0"/>
          <w:sz w:val="24"/>
          <w:szCs w:val="24"/>
          <w:highlight w:val="none"/>
          <w:lang w:val="en-US" w:eastAsia="zh-CN" w:bidi="ar"/>
        </w:rPr>
        <w:t>验收前</w:t>
      </w:r>
      <w:r>
        <w:rPr>
          <w:rFonts w:hint="eastAsia" w:ascii="宋体" w:hAnsi="宋体" w:eastAsia="宋体" w:cs="宋体"/>
          <w:color w:val="000000"/>
          <w:kern w:val="0"/>
          <w:sz w:val="24"/>
          <w:szCs w:val="24"/>
          <w:highlight w:val="none"/>
          <w:lang w:bidi="ar"/>
        </w:rPr>
        <w:t>的运输及仓储费用均由</w:t>
      </w:r>
      <w:r>
        <w:rPr>
          <w:rFonts w:hint="eastAsia" w:ascii="宋体" w:hAnsi="宋体" w:eastAsia="宋体" w:cs="宋体"/>
          <w:b w:val="0"/>
          <w:bCs/>
          <w:sz w:val="24"/>
          <w:szCs w:val="24"/>
          <w:highlight w:val="none"/>
          <w:lang w:val="en-US" w:eastAsia="zh-CN"/>
        </w:rPr>
        <w:t>成交供货商</w:t>
      </w:r>
      <w:r>
        <w:rPr>
          <w:rFonts w:hint="eastAsia" w:ascii="宋体" w:hAnsi="宋体" w:eastAsia="宋体" w:cs="宋体"/>
          <w:color w:val="000000"/>
          <w:kern w:val="0"/>
          <w:sz w:val="24"/>
          <w:szCs w:val="24"/>
          <w:highlight w:val="none"/>
          <w:lang w:bidi="ar"/>
        </w:rPr>
        <w:t>承担，</w:t>
      </w:r>
      <w:r>
        <w:rPr>
          <w:rFonts w:hint="eastAsia" w:ascii="宋体" w:hAnsi="宋体" w:eastAsia="宋体" w:cs="宋体"/>
          <w:b w:val="0"/>
          <w:bCs/>
          <w:sz w:val="24"/>
          <w:szCs w:val="24"/>
          <w:highlight w:val="none"/>
          <w:lang w:val="en-US" w:eastAsia="zh-CN"/>
        </w:rPr>
        <w:t>成交供货商</w:t>
      </w:r>
      <w:r>
        <w:rPr>
          <w:rFonts w:hint="eastAsia" w:ascii="宋体" w:hAnsi="宋体" w:eastAsia="宋体" w:cs="宋体"/>
          <w:color w:val="000000"/>
          <w:kern w:val="0"/>
          <w:sz w:val="24"/>
          <w:szCs w:val="24"/>
          <w:highlight w:val="none"/>
          <w:lang w:bidi="ar"/>
        </w:rPr>
        <w:t>应对运输过程中的所有风险承担全部责任，如在此过程中造成设备、材料损坏应由</w:t>
      </w:r>
      <w:r>
        <w:rPr>
          <w:rFonts w:hint="eastAsia" w:ascii="宋体" w:hAnsi="宋体" w:eastAsia="宋体" w:cs="宋体"/>
          <w:b w:val="0"/>
          <w:bCs/>
          <w:sz w:val="24"/>
          <w:szCs w:val="24"/>
          <w:highlight w:val="none"/>
          <w:lang w:val="en-US" w:eastAsia="zh-CN"/>
        </w:rPr>
        <w:t>成交供货商</w:t>
      </w:r>
      <w:r>
        <w:rPr>
          <w:rFonts w:hint="eastAsia" w:ascii="宋体" w:hAnsi="宋体" w:eastAsia="宋体" w:cs="宋体"/>
          <w:color w:val="000000"/>
          <w:kern w:val="0"/>
          <w:sz w:val="24"/>
          <w:szCs w:val="24"/>
          <w:highlight w:val="none"/>
          <w:lang w:bidi="ar"/>
        </w:rPr>
        <w:t>承担全部损失。</w:t>
      </w:r>
      <w:bookmarkEnd w:id="16"/>
      <w:bookmarkEnd w:id="17"/>
      <w:bookmarkEnd w:id="18"/>
    </w:p>
    <w:p w14:paraId="5FD99931">
      <w:pPr>
        <w:pStyle w:val="54"/>
        <w:tabs>
          <w:tab w:val="left" w:pos="2060"/>
          <w:tab w:val="left" w:pos="2061"/>
        </w:tabs>
        <w:jc w:val="left"/>
        <w:rPr>
          <w:rFonts w:ascii="宋体" w:hAnsi="宋体" w:cs="宋体"/>
          <w:highlight w:val="none"/>
        </w:rPr>
      </w:pPr>
    </w:p>
    <w:p w14:paraId="01DF8A2F">
      <w:pPr>
        <w:pStyle w:val="54"/>
        <w:tabs>
          <w:tab w:val="left" w:pos="2060"/>
          <w:tab w:val="left" w:pos="2061"/>
        </w:tabs>
        <w:ind w:firstLine="480"/>
        <w:jc w:val="left"/>
        <w:rPr>
          <w:rFonts w:ascii="宋体" w:hAnsi="宋体" w:cs="宋体"/>
          <w:highlight w:val="none"/>
        </w:rPr>
      </w:pPr>
    </w:p>
    <w:p w14:paraId="4AD203FA">
      <w:pPr>
        <w:pStyle w:val="54"/>
        <w:tabs>
          <w:tab w:val="left" w:pos="2060"/>
          <w:tab w:val="left" w:pos="2061"/>
        </w:tabs>
        <w:ind w:firstLine="480"/>
        <w:jc w:val="left"/>
        <w:rPr>
          <w:rFonts w:ascii="宋体" w:hAnsi="宋体" w:cs="宋体"/>
          <w:highlight w:val="none"/>
        </w:rPr>
      </w:pPr>
    </w:p>
    <w:p w14:paraId="0A744EDC">
      <w:pPr>
        <w:pStyle w:val="54"/>
        <w:tabs>
          <w:tab w:val="left" w:pos="2060"/>
          <w:tab w:val="left" w:pos="2061"/>
        </w:tabs>
        <w:ind w:firstLine="480"/>
        <w:jc w:val="left"/>
        <w:rPr>
          <w:rFonts w:ascii="宋体" w:hAnsi="宋体" w:cs="宋体"/>
          <w:highlight w:val="none"/>
        </w:rPr>
      </w:pPr>
    </w:p>
    <w:p w14:paraId="72B0EB8E">
      <w:pPr>
        <w:widowControl/>
        <w:spacing w:line="240" w:lineRule="auto"/>
        <w:ind w:firstLine="0" w:firstLineChars="0"/>
        <w:jc w:val="left"/>
        <w:rPr>
          <w:rFonts w:eastAsia="黑体"/>
          <w:bCs/>
          <w:kern w:val="44"/>
          <w:sz w:val="44"/>
          <w:szCs w:val="44"/>
          <w:highlight w:val="none"/>
        </w:rPr>
      </w:pPr>
      <w:bookmarkStart w:id="20" w:name="_Toc14421"/>
    </w:p>
    <w:p w14:paraId="3DD66624">
      <w:pPr>
        <w:pStyle w:val="66"/>
        <w:rPr>
          <w:highlight w:val="none"/>
        </w:rPr>
      </w:pPr>
    </w:p>
    <w:p w14:paraId="65ADAD25">
      <w:pPr>
        <w:pStyle w:val="66"/>
        <w:rPr>
          <w:highlight w:val="none"/>
        </w:rPr>
      </w:pPr>
    </w:p>
    <w:p w14:paraId="27AE2030">
      <w:pPr>
        <w:pStyle w:val="66"/>
        <w:rPr>
          <w:highlight w:val="none"/>
        </w:rPr>
      </w:pPr>
    </w:p>
    <w:p w14:paraId="019600E6">
      <w:pPr>
        <w:pStyle w:val="66"/>
        <w:rPr>
          <w:highlight w:val="none"/>
        </w:rPr>
      </w:pPr>
    </w:p>
    <w:p w14:paraId="5E468936">
      <w:pPr>
        <w:pStyle w:val="66"/>
        <w:rPr>
          <w:highlight w:val="none"/>
        </w:rPr>
      </w:pPr>
    </w:p>
    <w:p w14:paraId="742A02ED">
      <w:pPr>
        <w:pStyle w:val="66"/>
        <w:rPr>
          <w:highlight w:val="none"/>
        </w:rPr>
      </w:pPr>
    </w:p>
    <w:p w14:paraId="2D64F3DD">
      <w:pPr>
        <w:pStyle w:val="66"/>
        <w:rPr>
          <w:highlight w:val="none"/>
        </w:rPr>
      </w:pPr>
    </w:p>
    <w:p w14:paraId="1B46934C">
      <w:pPr>
        <w:pStyle w:val="66"/>
        <w:rPr>
          <w:highlight w:val="none"/>
        </w:rPr>
      </w:pPr>
    </w:p>
    <w:p w14:paraId="0DC264D1">
      <w:pPr>
        <w:pStyle w:val="66"/>
        <w:rPr>
          <w:highlight w:val="none"/>
        </w:rPr>
      </w:pPr>
    </w:p>
    <w:p w14:paraId="1461FD89">
      <w:pPr>
        <w:pStyle w:val="66"/>
        <w:rPr>
          <w:highlight w:val="none"/>
        </w:rPr>
      </w:pPr>
    </w:p>
    <w:p w14:paraId="04A12124">
      <w:pPr>
        <w:pStyle w:val="66"/>
        <w:rPr>
          <w:highlight w:val="none"/>
        </w:rPr>
      </w:pPr>
    </w:p>
    <w:p w14:paraId="4DAD8996">
      <w:pPr>
        <w:pStyle w:val="66"/>
        <w:rPr>
          <w:highlight w:val="none"/>
        </w:rPr>
      </w:pPr>
    </w:p>
    <w:p w14:paraId="30132B7F">
      <w:pPr>
        <w:pStyle w:val="66"/>
        <w:rPr>
          <w:highlight w:val="none"/>
        </w:rPr>
      </w:pPr>
    </w:p>
    <w:p w14:paraId="3B7651FA">
      <w:pPr>
        <w:pStyle w:val="66"/>
        <w:rPr>
          <w:highlight w:val="none"/>
        </w:rPr>
      </w:pPr>
    </w:p>
    <w:p w14:paraId="3FA9FD4F">
      <w:pPr>
        <w:pStyle w:val="66"/>
        <w:rPr>
          <w:highlight w:val="none"/>
        </w:rPr>
      </w:pPr>
    </w:p>
    <w:p w14:paraId="65A6B7C5">
      <w:pPr>
        <w:pStyle w:val="66"/>
        <w:rPr>
          <w:highlight w:val="none"/>
        </w:rPr>
      </w:pPr>
    </w:p>
    <w:p w14:paraId="3B493336">
      <w:pPr>
        <w:pStyle w:val="66"/>
        <w:rPr>
          <w:highlight w:val="none"/>
        </w:rPr>
      </w:pPr>
    </w:p>
    <w:p w14:paraId="19D6AC0C">
      <w:pPr>
        <w:pStyle w:val="66"/>
        <w:rPr>
          <w:highlight w:val="none"/>
        </w:rPr>
      </w:pPr>
    </w:p>
    <w:p w14:paraId="08AB33B8">
      <w:pPr>
        <w:pStyle w:val="66"/>
        <w:rPr>
          <w:highlight w:val="none"/>
        </w:rPr>
      </w:pPr>
    </w:p>
    <w:p w14:paraId="104A97AD">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20"/>
    </w:p>
    <w:p w14:paraId="3168B685">
      <w:pPr>
        <w:widowControl/>
        <w:spacing w:line="240" w:lineRule="auto"/>
        <w:ind w:firstLine="0" w:firstLineChars="0"/>
        <w:jc w:val="left"/>
        <w:rPr>
          <w:highlight w:val="none"/>
        </w:rPr>
      </w:pPr>
      <w:r>
        <w:rPr>
          <w:highlight w:val="none"/>
        </w:rPr>
        <w:br w:type="page"/>
      </w:r>
    </w:p>
    <w:p w14:paraId="069917BC">
      <w:pPr>
        <w:pStyle w:val="2"/>
        <w:ind w:firstLine="0" w:firstLineChars="0"/>
        <w:rPr>
          <w:highlight w:val="none"/>
        </w:rPr>
      </w:pPr>
      <w:r>
        <w:rPr>
          <w:rFonts w:hint="eastAsia"/>
          <w:highlight w:val="none"/>
        </w:rPr>
        <w:t>响应文件封面</w:t>
      </w:r>
    </w:p>
    <w:p w14:paraId="410237B2">
      <w:pPr>
        <w:ind w:firstLine="0" w:firstLineChars="0"/>
        <w:rPr>
          <w:highlight w:val="none"/>
        </w:rPr>
      </w:pPr>
      <w:r>
        <w:rPr>
          <w:rFonts w:hint="eastAsia"/>
          <w:highlight w:val="none"/>
        </w:rPr>
        <w:t>（粘贴于各封袋上）</w:t>
      </w:r>
    </w:p>
    <w:p w14:paraId="60F502B6">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14:paraId="04934F88">
      <w:pPr>
        <w:ind w:firstLine="0" w:firstLineChars="0"/>
        <w:jc w:val="center"/>
        <w:rPr>
          <w:rFonts w:ascii="宋体" w:hAnsi="宋体" w:cs="宋体"/>
          <w:b/>
          <w:sz w:val="40"/>
          <w:szCs w:val="40"/>
          <w:highlight w:val="none"/>
        </w:rPr>
      </w:pPr>
    </w:p>
    <w:p w14:paraId="37102C62">
      <w:pPr>
        <w:ind w:firstLine="0" w:firstLineChars="0"/>
        <w:jc w:val="center"/>
        <w:rPr>
          <w:rFonts w:hint="eastAsia" w:ascii="宋体" w:hAnsi="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南通轨道交通集团有限公司运营分公司2026年度办公设备耗材采购项目</w:t>
      </w:r>
    </w:p>
    <w:p w14:paraId="444937FD">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NTGY-2026-FW-BX-004</w:t>
      </w:r>
      <w:r>
        <w:rPr>
          <w:rFonts w:hint="eastAsia" w:ascii="宋体" w:hAnsi="宋体" w:cs="宋体"/>
          <w:b/>
          <w:sz w:val="40"/>
          <w:szCs w:val="40"/>
          <w:highlight w:val="none"/>
        </w:rPr>
        <w:t>）</w:t>
      </w:r>
    </w:p>
    <w:p w14:paraId="4933862B">
      <w:pPr>
        <w:ind w:firstLine="0" w:firstLineChars="0"/>
        <w:jc w:val="center"/>
        <w:rPr>
          <w:rFonts w:ascii="宋体" w:hAnsi="宋体" w:cs="宋体"/>
          <w:bCs/>
          <w:sz w:val="36"/>
          <w:szCs w:val="36"/>
          <w:highlight w:val="none"/>
        </w:rPr>
      </w:pPr>
    </w:p>
    <w:p w14:paraId="165D937A">
      <w:pPr>
        <w:ind w:firstLine="0" w:firstLineChars="0"/>
        <w:jc w:val="center"/>
        <w:rPr>
          <w:rFonts w:ascii="宋体" w:hAnsi="宋体" w:cs="宋体"/>
          <w:bCs/>
          <w:sz w:val="36"/>
          <w:szCs w:val="36"/>
          <w:highlight w:val="none"/>
        </w:rPr>
      </w:pPr>
    </w:p>
    <w:p w14:paraId="738B7935">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3D447B01">
      <w:pPr>
        <w:pStyle w:val="6"/>
        <w:ind w:firstLine="0" w:firstLineChars="0"/>
        <w:jc w:val="center"/>
        <w:rPr>
          <w:b/>
          <w:bCs/>
        </w:rPr>
      </w:pPr>
      <w:r>
        <w:rPr>
          <w:rFonts w:hint="eastAsia"/>
          <w:b/>
          <w:bCs/>
        </w:rPr>
        <w:t>资格审查部分/商务技术部分/报价部分/电子文本</w:t>
      </w:r>
    </w:p>
    <w:p w14:paraId="5E1BD62A">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14:paraId="5BED8230">
      <w:pPr>
        <w:ind w:firstLine="0" w:firstLineChars="0"/>
        <w:jc w:val="center"/>
        <w:rPr>
          <w:rFonts w:ascii="宋体" w:hAnsi="宋体" w:cs="宋体"/>
          <w:b/>
          <w:sz w:val="36"/>
          <w:szCs w:val="36"/>
          <w:highlight w:val="none"/>
        </w:rPr>
      </w:pPr>
    </w:p>
    <w:p w14:paraId="00AE7787">
      <w:pPr>
        <w:ind w:firstLine="0" w:firstLineChars="0"/>
        <w:jc w:val="center"/>
        <w:rPr>
          <w:rFonts w:ascii="宋体" w:hAnsi="宋体" w:cs="宋体"/>
          <w:b/>
          <w:sz w:val="36"/>
          <w:szCs w:val="36"/>
          <w:highlight w:val="none"/>
        </w:rPr>
      </w:pPr>
    </w:p>
    <w:p w14:paraId="4DA33A17">
      <w:pPr>
        <w:ind w:firstLine="0" w:firstLineChars="0"/>
        <w:jc w:val="center"/>
        <w:rPr>
          <w:rFonts w:ascii="宋体" w:hAnsi="宋体" w:cs="宋体"/>
          <w:b/>
          <w:sz w:val="36"/>
          <w:szCs w:val="36"/>
          <w:highlight w:val="none"/>
        </w:rPr>
      </w:pPr>
    </w:p>
    <w:p w14:paraId="2F081CB5">
      <w:pPr>
        <w:ind w:firstLine="0" w:firstLineChars="0"/>
        <w:jc w:val="center"/>
        <w:rPr>
          <w:rFonts w:ascii="宋体" w:hAnsi="宋体" w:cs="宋体"/>
          <w:b/>
          <w:sz w:val="36"/>
          <w:szCs w:val="36"/>
          <w:highlight w:val="none"/>
        </w:rPr>
      </w:pPr>
    </w:p>
    <w:p w14:paraId="4A46688F">
      <w:pPr>
        <w:ind w:firstLine="0" w:firstLineChars="0"/>
        <w:rPr>
          <w:rFonts w:ascii="宋体" w:hAnsi="宋体" w:cs="宋体"/>
          <w:b/>
          <w:sz w:val="36"/>
          <w:szCs w:val="36"/>
          <w:highlight w:val="none"/>
        </w:rPr>
      </w:pPr>
    </w:p>
    <w:p w14:paraId="0D54D9B2">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5395BE64">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0C571DC4">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72B3B15A">
      <w:pPr>
        <w:pStyle w:val="2"/>
        <w:ind w:firstLine="0" w:firstLineChars="0"/>
        <w:rPr>
          <w:highlight w:val="none"/>
        </w:rPr>
      </w:pPr>
      <w:r>
        <w:rPr>
          <w:rFonts w:hint="eastAsia"/>
          <w:highlight w:val="none"/>
        </w:rPr>
        <w:t>第一册 资格审查部分</w:t>
      </w:r>
    </w:p>
    <w:p w14:paraId="34A50F1A">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14:paraId="2D55A0BC">
      <w:pPr>
        <w:ind w:firstLine="0" w:firstLineChars="0"/>
        <w:jc w:val="center"/>
        <w:rPr>
          <w:rFonts w:ascii="宋体" w:hAnsi="宋体" w:cs="宋体"/>
          <w:b/>
          <w:sz w:val="40"/>
          <w:szCs w:val="40"/>
          <w:highlight w:val="none"/>
        </w:rPr>
      </w:pPr>
    </w:p>
    <w:p w14:paraId="0210175E">
      <w:pPr>
        <w:ind w:firstLine="0" w:firstLineChars="0"/>
        <w:jc w:val="center"/>
        <w:rPr>
          <w:rFonts w:ascii="宋体" w:hAnsi="宋体" w:cs="宋体"/>
          <w:bCs/>
          <w:sz w:val="36"/>
          <w:szCs w:val="36"/>
          <w:highlight w:val="none"/>
        </w:rPr>
      </w:pPr>
      <w:r>
        <w:rPr>
          <w:rFonts w:hint="eastAsia" w:ascii="宋体" w:hAnsi="宋体" w:cs="宋体"/>
          <w:b/>
          <w:sz w:val="40"/>
          <w:szCs w:val="40"/>
          <w:highlight w:val="none"/>
          <w:lang w:eastAsia="zh-CN"/>
        </w:rPr>
        <w:t>南通轨道交通集团有限公司运营分公司2026年度办公设备耗材采购项目</w:t>
      </w: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NTGY-2026-FW-BX-004</w:t>
      </w:r>
      <w:r>
        <w:rPr>
          <w:rFonts w:hint="eastAsia" w:ascii="宋体" w:hAnsi="宋体" w:cs="宋体"/>
          <w:b/>
          <w:sz w:val="40"/>
          <w:szCs w:val="40"/>
          <w:highlight w:val="none"/>
        </w:rPr>
        <w:t>）</w:t>
      </w:r>
    </w:p>
    <w:p w14:paraId="35473C46">
      <w:pPr>
        <w:ind w:firstLine="0" w:firstLineChars="0"/>
        <w:jc w:val="center"/>
        <w:rPr>
          <w:rFonts w:ascii="宋体" w:hAnsi="宋体" w:cs="宋体"/>
          <w:bCs/>
          <w:sz w:val="36"/>
          <w:szCs w:val="36"/>
          <w:highlight w:val="none"/>
        </w:rPr>
      </w:pPr>
    </w:p>
    <w:p w14:paraId="1A6E2BB3">
      <w:pPr>
        <w:ind w:firstLine="0" w:firstLineChars="0"/>
        <w:jc w:val="center"/>
        <w:rPr>
          <w:rFonts w:ascii="宋体" w:hAnsi="宋体" w:cs="宋体"/>
          <w:bCs/>
          <w:sz w:val="36"/>
          <w:szCs w:val="36"/>
          <w:highlight w:val="none"/>
        </w:rPr>
      </w:pPr>
    </w:p>
    <w:p w14:paraId="334C1CBD">
      <w:pPr>
        <w:ind w:firstLine="0" w:firstLineChars="0"/>
        <w:jc w:val="center"/>
        <w:rPr>
          <w:rFonts w:ascii="宋体" w:hAnsi="宋体" w:cs="宋体"/>
          <w:bCs/>
          <w:sz w:val="36"/>
          <w:szCs w:val="36"/>
          <w:highlight w:val="none"/>
        </w:rPr>
      </w:pPr>
    </w:p>
    <w:p w14:paraId="06F0B0B7">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14:paraId="3F4C6D41">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14:paraId="1791EAED">
      <w:pPr>
        <w:ind w:firstLine="0" w:firstLineChars="0"/>
        <w:jc w:val="center"/>
        <w:rPr>
          <w:rFonts w:ascii="宋体" w:hAnsi="宋体" w:cs="宋体"/>
          <w:b/>
          <w:sz w:val="36"/>
          <w:szCs w:val="36"/>
          <w:highlight w:val="none"/>
        </w:rPr>
      </w:pPr>
    </w:p>
    <w:p w14:paraId="6BDF58D0">
      <w:pPr>
        <w:ind w:firstLine="0" w:firstLineChars="0"/>
        <w:jc w:val="center"/>
        <w:rPr>
          <w:rFonts w:ascii="宋体" w:hAnsi="宋体" w:cs="宋体"/>
          <w:b/>
          <w:sz w:val="36"/>
          <w:szCs w:val="36"/>
          <w:highlight w:val="none"/>
        </w:rPr>
      </w:pPr>
    </w:p>
    <w:p w14:paraId="4B806D2E">
      <w:pPr>
        <w:ind w:firstLine="0" w:firstLineChars="0"/>
        <w:jc w:val="center"/>
        <w:rPr>
          <w:rFonts w:ascii="宋体" w:hAnsi="宋体" w:cs="宋体"/>
          <w:b/>
          <w:sz w:val="36"/>
          <w:szCs w:val="36"/>
          <w:highlight w:val="none"/>
        </w:rPr>
      </w:pPr>
    </w:p>
    <w:p w14:paraId="2E38DC69">
      <w:pPr>
        <w:ind w:firstLine="0" w:firstLineChars="0"/>
        <w:jc w:val="center"/>
        <w:rPr>
          <w:rFonts w:ascii="宋体" w:hAnsi="宋体" w:cs="宋体"/>
          <w:b/>
          <w:sz w:val="36"/>
          <w:szCs w:val="36"/>
          <w:highlight w:val="none"/>
        </w:rPr>
      </w:pPr>
    </w:p>
    <w:p w14:paraId="5CA511D7">
      <w:pPr>
        <w:ind w:firstLine="0" w:firstLineChars="0"/>
        <w:jc w:val="center"/>
        <w:rPr>
          <w:rFonts w:ascii="宋体" w:hAnsi="宋体" w:cs="宋体"/>
          <w:b/>
          <w:sz w:val="36"/>
          <w:szCs w:val="36"/>
          <w:highlight w:val="none"/>
        </w:rPr>
      </w:pPr>
    </w:p>
    <w:p w14:paraId="18326EC6">
      <w:pPr>
        <w:ind w:firstLine="0" w:firstLineChars="0"/>
        <w:jc w:val="center"/>
        <w:rPr>
          <w:rFonts w:ascii="宋体" w:hAnsi="宋体" w:cs="宋体"/>
          <w:b/>
          <w:sz w:val="36"/>
          <w:szCs w:val="36"/>
          <w:highlight w:val="none"/>
        </w:rPr>
      </w:pPr>
    </w:p>
    <w:p w14:paraId="5DF82A01">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14:paraId="68942FEE">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14:paraId="40B66F53">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58442FD2">
      <w:pPr>
        <w:pStyle w:val="4"/>
        <w:ind w:firstLine="482"/>
        <w:jc w:val="center"/>
        <w:rPr>
          <w:highlight w:val="none"/>
        </w:rPr>
      </w:pPr>
      <w:r>
        <w:rPr>
          <w:rFonts w:hint="eastAsia"/>
          <w:highlight w:val="none"/>
        </w:rPr>
        <w:t>目录</w:t>
      </w:r>
    </w:p>
    <w:p w14:paraId="6ADB93D6">
      <w:pPr>
        <w:ind w:firstLine="480"/>
        <w:rPr>
          <w:rFonts w:hint="eastAsia" w:cs="Times New Roman"/>
          <w:highlight w:val="none"/>
        </w:rPr>
      </w:pPr>
      <w:r>
        <w:rPr>
          <w:rFonts w:hint="eastAsia" w:cs="Times New Roman"/>
          <w:highlight w:val="none"/>
        </w:rPr>
        <w:t>1、承诺函</w:t>
      </w:r>
    </w:p>
    <w:p w14:paraId="3680C214">
      <w:pPr>
        <w:ind w:firstLine="480"/>
        <w:rPr>
          <w:rFonts w:hint="eastAsia" w:ascii="Times New Roman" w:hAnsi="Times New Roman" w:eastAsia="宋体"/>
          <w:highlight w:val="none"/>
        </w:rPr>
      </w:pPr>
      <w:r>
        <w:rPr>
          <w:rFonts w:hint="eastAsia" w:ascii="Times New Roman" w:hAnsi="Times New Roman" w:eastAsia="宋体"/>
          <w:highlight w:val="none"/>
        </w:rPr>
        <w:t>2、企业营业执照或事业单位法人证书（提供复印件并加盖公章）</w:t>
      </w:r>
    </w:p>
    <w:p w14:paraId="202E8B49">
      <w:pPr>
        <w:ind w:firstLine="480"/>
        <w:rPr>
          <w:rFonts w:hint="eastAsia" w:ascii="Times New Roman" w:hAnsi="Times New Roman" w:eastAsia="宋体"/>
          <w:highlight w:val="none"/>
        </w:rPr>
      </w:pPr>
      <w:r>
        <w:rPr>
          <w:rFonts w:hint="eastAsia" w:ascii="Times New Roman" w:hAnsi="Times New Roman" w:eastAsia="宋体"/>
          <w:highlight w:val="none"/>
        </w:rPr>
        <w:t>3、法定代表人身份证明书（提供复印件并加盖公章）</w:t>
      </w:r>
    </w:p>
    <w:p w14:paraId="2D33636D">
      <w:pPr>
        <w:ind w:firstLine="480"/>
        <w:rPr>
          <w:rFonts w:hint="eastAsia" w:ascii="Times New Roman" w:hAnsi="Times New Roman" w:eastAsia="宋体"/>
          <w:highlight w:val="none"/>
        </w:rPr>
      </w:pPr>
      <w:r>
        <w:rPr>
          <w:rFonts w:hint="eastAsia" w:ascii="Times New Roman" w:hAnsi="Times New Roman" w:eastAsia="宋体"/>
          <w:highlight w:val="none"/>
        </w:rPr>
        <w:t>4、授权委托书原件，授权代理人本人身份证复印件并加盖公章（如有授权）</w:t>
      </w:r>
    </w:p>
    <w:p w14:paraId="20DCD894">
      <w:pPr>
        <w:ind w:firstLine="480"/>
        <w:rPr>
          <w:rFonts w:hint="eastAsia"/>
          <w:highlight w:val="none"/>
        </w:rPr>
      </w:pPr>
      <w:r>
        <w:rPr>
          <w:rFonts w:hint="eastAsia"/>
          <w:highlight w:val="none"/>
          <w:lang w:val="en-US" w:eastAsia="zh-CN"/>
        </w:rPr>
        <w:t>5、</w:t>
      </w:r>
      <w:r>
        <w:rPr>
          <w:rFonts w:hint="eastAsia"/>
          <w:highlight w:val="none"/>
        </w:rPr>
        <w:t>企业业绩(提供业绩合同复印件并加盖公章)</w:t>
      </w:r>
    </w:p>
    <w:p w14:paraId="52093FCC">
      <w:pPr>
        <w:pStyle w:val="4"/>
        <w:ind w:firstLine="0" w:firstLineChars="0"/>
        <w:rPr>
          <w:rFonts w:hint="default" w:eastAsia="宋体"/>
          <w:highlight w:val="none"/>
          <w:lang w:val="en-US" w:eastAsia="zh-CN"/>
        </w:rPr>
      </w:pPr>
      <w:r>
        <w:rPr>
          <w:highlight w:val="none"/>
        </w:rPr>
        <w:br w:type="page"/>
      </w:r>
      <w:r>
        <w:rPr>
          <w:rFonts w:hint="eastAsia"/>
          <w:highlight w:val="none"/>
          <w:lang w:val="en-US" w:eastAsia="zh-CN"/>
        </w:rPr>
        <w:t>1承诺函</w:t>
      </w:r>
    </w:p>
    <w:p w14:paraId="53092D1B">
      <w:pPr>
        <w:ind w:firstLine="480"/>
        <w:rPr>
          <w:highlight w:val="none"/>
        </w:rPr>
      </w:pPr>
    </w:p>
    <w:p w14:paraId="506103B6">
      <w:pPr>
        <w:ind w:firstLine="482"/>
        <w:jc w:val="center"/>
        <w:rPr>
          <w:b/>
          <w:bCs/>
          <w:highlight w:val="none"/>
        </w:rPr>
      </w:pPr>
    </w:p>
    <w:p w14:paraId="0975C6BF">
      <w:pPr>
        <w:ind w:firstLine="482"/>
        <w:jc w:val="center"/>
        <w:rPr>
          <w:b/>
          <w:bCs/>
          <w:highlight w:val="none"/>
        </w:rPr>
      </w:pPr>
      <w:r>
        <w:rPr>
          <w:rFonts w:hint="eastAsia"/>
          <w:b/>
          <w:bCs/>
          <w:highlight w:val="none"/>
        </w:rPr>
        <w:t>承诺函</w:t>
      </w:r>
    </w:p>
    <w:p w14:paraId="6E00C89F">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14:paraId="05672128">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南通轨道交通集团有限公司运营分公司2026年度办公设备耗材采购项目</w:t>
      </w:r>
      <w:r>
        <w:rPr>
          <w:rFonts w:hint="eastAsia"/>
          <w:highlight w:val="none"/>
          <w:u w:val="single"/>
        </w:rPr>
        <w:t>（项目编号：</w:t>
      </w:r>
      <w:r>
        <w:rPr>
          <w:rFonts w:hint="eastAsia"/>
          <w:highlight w:val="none"/>
          <w:u w:val="single"/>
          <w:lang w:eastAsia="zh-CN"/>
        </w:rPr>
        <w:t>NTGY-2026-FW-BX-004</w:t>
      </w:r>
      <w:r>
        <w:rPr>
          <w:rFonts w:hint="eastAsia"/>
          <w:highlight w:val="none"/>
          <w:u w:val="single"/>
        </w:rPr>
        <w:t>）</w:t>
      </w:r>
      <w:r>
        <w:rPr>
          <w:rFonts w:hint="eastAsia"/>
          <w:highlight w:val="none"/>
        </w:rPr>
        <w:t>采购活动进行响应。承诺如下：</w:t>
      </w:r>
    </w:p>
    <w:p w14:paraId="50C0FC06">
      <w:pPr>
        <w:ind w:firstLine="480"/>
        <w:rPr>
          <w:highlight w:val="none"/>
        </w:rPr>
      </w:pPr>
      <w:r>
        <w:rPr>
          <w:rFonts w:hint="eastAsia"/>
          <w:highlight w:val="none"/>
        </w:rPr>
        <w:t>一、我司所提交的响应文件中所有的证明和陈述材料均是真实准确的，我司未提供虚假材料或存在其他弄虚作假行为；</w:t>
      </w:r>
    </w:p>
    <w:p w14:paraId="73AE4B59">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12B1777A">
      <w:pPr>
        <w:ind w:firstLine="480"/>
        <w:rPr>
          <w:highlight w:val="none"/>
        </w:rPr>
      </w:pPr>
      <w:r>
        <w:rPr>
          <w:rFonts w:hint="eastAsia"/>
          <w:highlight w:val="none"/>
        </w:rPr>
        <w:t>三、我司没有骗取中标和严重违约引起的合同中止、纠纷、争议、仲裁和诉讼记录等情况；</w:t>
      </w:r>
    </w:p>
    <w:p w14:paraId="420DA0F9">
      <w:pPr>
        <w:ind w:firstLine="480"/>
        <w:rPr>
          <w:highlight w:val="none"/>
        </w:rPr>
      </w:pPr>
      <w:r>
        <w:rPr>
          <w:rFonts w:hint="eastAsia"/>
          <w:highlight w:val="none"/>
        </w:rPr>
        <w:t>四、我司未与采购人存在利害关系；与参与本项目的其他供应商负责人不为同一人且不存在控股、管理关系；</w:t>
      </w:r>
    </w:p>
    <w:p w14:paraId="6AE09AF6">
      <w:pPr>
        <w:ind w:firstLine="480"/>
        <w:rPr>
          <w:highlight w:val="none"/>
        </w:rPr>
      </w:pPr>
      <w:r>
        <w:rPr>
          <w:rFonts w:hint="eastAsia"/>
          <w:highlight w:val="none"/>
        </w:rPr>
        <w:t>五、我司未以他人名义参与本项目；未与采购人及参与本项目的其他供应商串通；</w:t>
      </w:r>
    </w:p>
    <w:p w14:paraId="24B6D081">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14:paraId="6B74F336">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14:paraId="001A8DBE">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14:paraId="2834A871">
      <w:pPr>
        <w:ind w:firstLine="480"/>
        <w:rPr>
          <w:highlight w:val="none"/>
        </w:rPr>
      </w:pPr>
    </w:p>
    <w:p w14:paraId="7892A7B8">
      <w:pPr>
        <w:ind w:firstLine="480"/>
        <w:jc w:val="right"/>
        <w:rPr>
          <w:highlight w:val="none"/>
        </w:rPr>
      </w:pPr>
      <w:r>
        <w:rPr>
          <w:rFonts w:hint="eastAsia"/>
          <w:highlight w:val="none"/>
        </w:rPr>
        <w:t xml:space="preserve">法定代表人或授权代理人：（签字或盖章） </w:t>
      </w:r>
    </w:p>
    <w:p w14:paraId="09000299">
      <w:pPr>
        <w:ind w:firstLine="480"/>
        <w:jc w:val="right"/>
        <w:rPr>
          <w:highlight w:val="none"/>
        </w:rPr>
      </w:pPr>
      <w:r>
        <w:rPr>
          <w:rFonts w:hint="eastAsia"/>
          <w:highlight w:val="none"/>
        </w:rPr>
        <w:t>供应商：（加盖公章）</w:t>
      </w:r>
    </w:p>
    <w:p w14:paraId="3578B352">
      <w:pPr>
        <w:ind w:firstLine="480"/>
        <w:jc w:val="right"/>
        <w:rPr>
          <w:highlight w:val="none"/>
        </w:rPr>
      </w:pPr>
      <w:r>
        <w:rPr>
          <w:rFonts w:hint="eastAsia"/>
          <w:highlight w:val="none"/>
        </w:rPr>
        <w:t>年   月    日</w:t>
      </w:r>
    </w:p>
    <w:p w14:paraId="04ADBF77">
      <w:pPr>
        <w:ind w:firstLine="480"/>
        <w:rPr>
          <w:highlight w:val="none"/>
        </w:rPr>
      </w:pPr>
    </w:p>
    <w:p w14:paraId="325A2002">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14:paraId="059CF49F">
      <w:pPr>
        <w:ind w:firstLine="482"/>
        <w:jc w:val="center"/>
        <w:rPr>
          <w:rFonts w:cs="宋体"/>
          <w:b/>
          <w:bCs/>
          <w:highlight w:val="none"/>
        </w:rPr>
      </w:pPr>
      <w:r>
        <w:rPr>
          <w:rFonts w:hint="eastAsia" w:cs="宋体"/>
          <w:b/>
          <w:bCs/>
          <w:highlight w:val="none"/>
        </w:rPr>
        <w:t>供应商负面清单</w:t>
      </w:r>
    </w:p>
    <w:p w14:paraId="50D3F1D7">
      <w:pPr>
        <w:ind w:firstLine="480"/>
        <w:rPr>
          <w:rFonts w:cs="宋体"/>
          <w:highlight w:val="none"/>
        </w:rPr>
      </w:pPr>
      <w:r>
        <w:rPr>
          <w:rFonts w:hint="eastAsia" w:cs="宋体"/>
          <w:highlight w:val="none"/>
        </w:rPr>
        <w:t>一、与采购人、采购代理机构或者其他供应商恶意串通的，暂停12个月；</w:t>
      </w:r>
    </w:p>
    <w:p w14:paraId="7BD7928F">
      <w:pPr>
        <w:ind w:firstLine="480"/>
        <w:rPr>
          <w:rFonts w:cs="宋体"/>
          <w:highlight w:val="none"/>
        </w:rPr>
      </w:pPr>
      <w:r>
        <w:rPr>
          <w:rFonts w:hint="eastAsia" w:cs="宋体"/>
          <w:highlight w:val="none"/>
        </w:rPr>
        <w:t>二、向采购人、采购代理机构或评审小组成员行贿或者提供其他不正当利益，暂停12个月；</w:t>
      </w:r>
    </w:p>
    <w:p w14:paraId="78DD3291">
      <w:pPr>
        <w:ind w:firstLine="480"/>
        <w:rPr>
          <w:rFonts w:cs="宋体"/>
          <w:highlight w:val="none"/>
        </w:rPr>
      </w:pPr>
      <w:r>
        <w:rPr>
          <w:rFonts w:hint="eastAsia" w:cs="宋体"/>
          <w:highlight w:val="none"/>
        </w:rPr>
        <w:t>三、存在以下视为串通投标情形的，暂停12个月；</w:t>
      </w:r>
    </w:p>
    <w:p w14:paraId="325D94CD">
      <w:pPr>
        <w:ind w:firstLine="480"/>
        <w:rPr>
          <w:rFonts w:cs="宋体"/>
          <w:highlight w:val="none"/>
        </w:rPr>
      </w:pPr>
      <w:r>
        <w:rPr>
          <w:rFonts w:hint="eastAsia" w:cs="宋体"/>
          <w:highlight w:val="none"/>
        </w:rPr>
        <w:t>（一）不同投标人的投标文件由同一单位或者个人编制；</w:t>
      </w:r>
    </w:p>
    <w:p w14:paraId="3189EB8F">
      <w:pPr>
        <w:ind w:firstLine="480"/>
        <w:rPr>
          <w:rFonts w:cs="宋体"/>
          <w:highlight w:val="none"/>
        </w:rPr>
      </w:pPr>
      <w:r>
        <w:rPr>
          <w:rFonts w:hint="eastAsia" w:cs="宋体"/>
          <w:highlight w:val="none"/>
        </w:rPr>
        <w:t>（二）不同投标人委托同一单位或者个人办理投标事宜；</w:t>
      </w:r>
    </w:p>
    <w:p w14:paraId="162D8714">
      <w:pPr>
        <w:ind w:firstLine="480"/>
        <w:rPr>
          <w:rFonts w:cs="宋体"/>
          <w:highlight w:val="none"/>
        </w:rPr>
      </w:pPr>
      <w:r>
        <w:rPr>
          <w:rFonts w:hint="eastAsia" w:cs="宋体"/>
          <w:highlight w:val="none"/>
        </w:rPr>
        <w:t>（三）不同投标人的投标文件载明的项目管理成员为同一人；</w:t>
      </w:r>
    </w:p>
    <w:p w14:paraId="35D083C8">
      <w:pPr>
        <w:ind w:firstLine="480"/>
        <w:rPr>
          <w:rFonts w:cs="宋体"/>
          <w:highlight w:val="none"/>
        </w:rPr>
      </w:pPr>
      <w:r>
        <w:rPr>
          <w:rFonts w:hint="eastAsia" w:cs="宋体"/>
          <w:highlight w:val="none"/>
        </w:rPr>
        <w:t>（四）不同投标人的投标文件异常一致（包括但不限于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）或者投标报价呈规律性差异；</w:t>
      </w:r>
    </w:p>
    <w:p w14:paraId="72CA8B4E">
      <w:pPr>
        <w:ind w:firstLine="480"/>
        <w:rPr>
          <w:rFonts w:cs="宋体"/>
          <w:highlight w:val="none"/>
        </w:rPr>
      </w:pPr>
      <w:r>
        <w:rPr>
          <w:rFonts w:hint="eastAsia" w:cs="宋体"/>
          <w:highlight w:val="none"/>
        </w:rPr>
        <w:t>（五）不同投标人的投标文件相互混装；</w:t>
      </w:r>
    </w:p>
    <w:p w14:paraId="76D6044F">
      <w:pPr>
        <w:ind w:firstLine="480"/>
        <w:rPr>
          <w:rFonts w:cs="宋体"/>
          <w:highlight w:val="none"/>
        </w:rPr>
      </w:pPr>
      <w:r>
        <w:rPr>
          <w:rFonts w:hint="eastAsia" w:cs="宋体"/>
          <w:highlight w:val="none"/>
        </w:rPr>
        <w:t>（六）不同投标人的投标保证金从同一单位或者个人的账户转出；</w:t>
      </w:r>
    </w:p>
    <w:p w14:paraId="059C36A5">
      <w:pPr>
        <w:ind w:firstLine="480"/>
        <w:rPr>
          <w:rFonts w:cs="宋体"/>
          <w:highlight w:val="none"/>
        </w:rPr>
      </w:pPr>
      <w:r>
        <w:rPr>
          <w:rFonts w:hint="eastAsia" w:cs="宋体"/>
          <w:highlight w:val="none"/>
        </w:rPr>
        <w:t>四、递交时间截止后撤回投标（响应）文件或评审过程中出现因供应商自身原因弃标的，暂停12个月；</w:t>
      </w:r>
    </w:p>
    <w:p w14:paraId="20D6C9B4">
      <w:pPr>
        <w:ind w:firstLine="480"/>
        <w:rPr>
          <w:rFonts w:cs="宋体"/>
          <w:highlight w:val="none"/>
        </w:rPr>
      </w:pPr>
      <w:r>
        <w:rPr>
          <w:rFonts w:hint="eastAsia" w:cs="宋体"/>
          <w:highlight w:val="none"/>
        </w:rPr>
        <w:t>五、提供虚假材料或存在其他弄虚作假行为的，暂停12个月；</w:t>
      </w:r>
    </w:p>
    <w:p w14:paraId="0B81AF78">
      <w:pPr>
        <w:ind w:firstLine="480"/>
        <w:rPr>
          <w:rFonts w:cs="宋体"/>
          <w:highlight w:val="none"/>
        </w:rPr>
      </w:pPr>
      <w:r>
        <w:rPr>
          <w:rFonts w:hint="eastAsia" w:cs="宋体"/>
          <w:highlight w:val="none"/>
        </w:rPr>
        <w:t>六、中标或者成交后无正当理由拒不与采购人签订采购合同，暂停12个月；</w:t>
      </w:r>
    </w:p>
    <w:p w14:paraId="608DBAFA">
      <w:pPr>
        <w:ind w:firstLine="480"/>
        <w:rPr>
          <w:rFonts w:cs="宋体"/>
          <w:highlight w:val="none"/>
        </w:rPr>
      </w:pPr>
      <w:r>
        <w:rPr>
          <w:rFonts w:hint="eastAsia" w:cs="宋体"/>
          <w:highlight w:val="none"/>
        </w:rPr>
        <w:t>七、签订合同后无法履行合同的，暂停12个月；</w:t>
      </w:r>
    </w:p>
    <w:p w14:paraId="1ED9DCF9">
      <w:pPr>
        <w:ind w:firstLine="480"/>
        <w:rPr>
          <w:rFonts w:cs="宋体"/>
          <w:highlight w:val="none"/>
        </w:rPr>
      </w:pPr>
      <w:r>
        <w:rPr>
          <w:rFonts w:hint="eastAsia" w:cs="宋体"/>
          <w:highlight w:val="none"/>
        </w:rPr>
        <w:t>八、年度评价被列为不及格供应商的，暂停12个月；</w:t>
      </w:r>
    </w:p>
    <w:p w14:paraId="1BED817F">
      <w:pPr>
        <w:ind w:firstLine="480"/>
        <w:rPr>
          <w:rFonts w:cs="宋体"/>
          <w:highlight w:val="none"/>
        </w:rPr>
      </w:pPr>
      <w:r>
        <w:rPr>
          <w:rFonts w:hint="eastAsia" w:cs="宋体"/>
          <w:highlight w:val="none"/>
        </w:rPr>
        <w:t>九、被集团公司或所属分（子）公司暂停参与采购活动的，从其处罚；</w:t>
      </w:r>
    </w:p>
    <w:p w14:paraId="5F56E263">
      <w:pPr>
        <w:pStyle w:val="53"/>
        <w:rPr>
          <w:highlight w:val="none"/>
        </w:rPr>
      </w:pPr>
    </w:p>
    <w:p w14:paraId="104BE178">
      <w:pPr>
        <w:pStyle w:val="53"/>
        <w:rPr>
          <w:highlight w:val="none"/>
        </w:rPr>
      </w:pPr>
    </w:p>
    <w:p w14:paraId="46365444">
      <w:pPr>
        <w:ind w:firstLine="480"/>
        <w:jc w:val="right"/>
        <w:rPr>
          <w:highlight w:val="none"/>
        </w:rPr>
      </w:pPr>
      <w:r>
        <w:rPr>
          <w:rFonts w:hint="eastAsia"/>
          <w:highlight w:val="none"/>
        </w:rPr>
        <w:t xml:space="preserve">法定代表人或授权代理人：（签字或盖章） </w:t>
      </w:r>
    </w:p>
    <w:p w14:paraId="036E122B">
      <w:pPr>
        <w:ind w:firstLine="480"/>
        <w:jc w:val="right"/>
        <w:rPr>
          <w:highlight w:val="none"/>
        </w:rPr>
      </w:pPr>
      <w:r>
        <w:rPr>
          <w:rFonts w:hint="eastAsia"/>
          <w:highlight w:val="none"/>
        </w:rPr>
        <w:t>供应商：（加盖公章）</w:t>
      </w:r>
    </w:p>
    <w:p w14:paraId="0F70BFA9">
      <w:pPr>
        <w:ind w:firstLine="480"/>
        <w:jc w:val="right"/>
        <w:rPr>
          <w:highlight w:val="none"/>
        </w:rPr>
      </w:pPr>
      <w:r>
        <w:rPr>
          <w:rFonts w:hint="eastAsia"/>
          <w:highlight w:val="none"/>
        </w:rPr>
        <w:t>年   月    日</w:t>
      </w:r>
    </w:p>
    <w:p w14:paraId="45385971">
      <w:pPr>
        <w:pStyle w:val="53"/>
        <w:rPr>
          <w:highlight w:val="none"/>
        </w:rPr>
      </w:pPr>
    </w:p>
    <w:p w14:paraId="1C9FDEB4">
      <w:pPr>
        <w:pStyle w:val="53"/>
        <w:rPr>
          <w:highlight w:val="none"/>
        </w:rPr>
      </w:pPr>
    </w:p>
    <w:p w14:paraId="1A1B2C3C">
      <w:pPr>
        <w:pStyle w:val="53"/>
        <w:rPr>
          <w:highlight w:val="none"/>
        </w:rPr>
      </w:pPr>
    </w:p>
    <w:p w14:paraId="39064320">
      <w:pPr>
        <w:pStyle w:val="53"/>
        <w:rPr>
          <w:highlight w:val="none"/>
        </w:rPr>
      </w:pPr>
    </w:p>
    <w:p w14:paraId="30B131BC">
      <w:pPr>
        <w:pStyle w:val="53"/>
        <w:rPr>
          <w:highlight w:val="none"/>
        </w:rPr>
      </w:pPr>
    </w:p>
    <w:p w14:paraId="34C06F5F">
      <w:pPr>
        <w:pStyle w:val="53"/>
        <w:rPr>
          <w:highlight w:val="none"/>
        </w:rPr>
      </w:pPr>
    </w:p>
    <w:p w14:paraId="4758BF12">
      <w:pPr>
        <w:pStyle w:val="53"/>
        <w:rPr>
          <w:highlight w:val="none"/>
        </w:rPr>
      </w:pPr>
    </w:p>
    <w:p w14:paraId="0A2412A8">
      <w:pPr>
        <w:pStyle w:val="4"/>
        <w:ind w:firstLine="0" w:firstLineChars="0"/>
        <w:rPr>
          <w:highlight w:val="none"/>
        </w:rPr>
      </w:pPr>
      <w:r>
        <w:rPr>
          <w:highlight w:val="none"/>
        </w:rPr>
        <w:t>2</w:t>
      </w:r>
      <w:r>
        <w:rPr>
          <w:rFonts w:hint="eastAsia"/>
          <w:highlight w:val="none"/>
        </w:rPr>
        <w:t>企业营业执照或事业单位法人证书</w:t>
      </w:r>
    </w:p>
    <w:p w14:paraId="4B8EF41F">
      <w:pPr>
        <w:ind w:firstLine="0" w:firstLineChars="0"/>
        <w:rPr>
          <w:highlight w:val="none"/>
        </w:rPr>
      </w:pPr>
      <w:bookmarkStart w:id="21" w:name="OLE_LINK130"/>
      <w:bookmarkStart w:id="22" w:name="OLE_LINK131"/>
      <w:r>
        <w:rPr>
          <w:rFonts w:hint="eastAsia"/>
          <w:highlight w:val="none"/>
        </w:rPr>
        <w:t>提供复印件并加盖公章</w:t>
      </w:r>
      <w:bookmarkEnd w:id="21"/>
      <w:bookmarkEnd w:id="22"/>
    </w:p>
    <w:p w14:paraId="2DFCFC01">
      <w:pPr>
        <w:widowControl/>
        <w:spacing w:line="240" w:lineRule="auto"/>
        <w:ind w:firstLine="0" w:firstLineChars="0"/>
        <w:jc w:val="left"/>
        <w:rPr>
          <w:b/>
          <w:bCs/>
          <w:szCs w:val="32"/>
          <w:highlight w:val="none"/>
        </w:rPr>
      </w:pPr>
      <w:r>
        <w:rPr>
          <w:highlight w:val="none"/>
        </w:rPr>
        <w:br w:type="page"/>
      </w:r>
    </w:p>
    <w:p w14:paraId="4D80B298">
      <w:pPr>
        <w:pStyle w:val="4"/>
        <w:spacing w:line="240" w:lineRule="auto"/>
        <w:ind w:firstLine="0" w:firstLineChars="0"/>
        <w:rPr>
          <w:highlight w:val="none"/>
        </w:rPr>
      </w:pPr>
      <w:r>
        <w:rPr>
          <w:rFonts w:hint="eastAsia"/>
          <w:highlight w:val="none"/>
        </w:rPr>
        <w:t>3法定代表人身份证明书</w:t>
      </w:r>
    </w:p>
    <w:p w14:paraId="51ACF4E4">
      <w:pPr>
        <w:ind w:firstLine="482"/>
        <w:jc w:val="center"/>
        <w:rPr>
          <w:b/>
          <w:bCs/>
          <w:highlight w:val="none"/>
        </w:rPr>
      </w:pPr>
    </w:p>
    <w:p w14:paraId="4729626A">
      <w:pPr>
        <w:ind w:firstLine="0" w:firstLineChars="0"/>
        <w:jc w:val="center"/>
        <w:rPr>
          <w:b/>
          <w:bCs/>
          <w:highlight w:val="none"/>
        </w:rPr>
      </w:pPr>
      <w:r>
        <w:rPr>
          <w:rFonts w:hint="eastAsia"/>
          <w:b/>
          <w:bCs/>
          <w:highlight w:val="none"/>
        </w:rPr>
        <w:t>法定代表人身份证明书</w:t>
      </w:r>
    </w:p>
    <w:p w14:paraId="664A4AAA">
      <w:pPr>
        <w:ind w:firstLine="480"/>
        <w:rPr>
          <w:highlight w:val="none"/>
        </w:rPr>
      </w:pPr>
    </w:p>
    <w:p w14:paraId="5FA02412">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14:paraId="725D2D4D">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14:paraId="46312D87">
      <w:pPr>
        <w:ind w:firstLine="480"/>
        <w:rPr>
          <w:highlight w:val="none"/>
        </w:rPr>
      </w:pPr>
    </w:p>
    <w:p w14:paraId="552805DE">
      <w:pPr>
        <w:ind w:firstLine="482"/>
        <w:rPr>
          <w:b/>
          <w:highlight w:val="none"/>
        </w:rPr>
      </w:pPr>
      <w:r>
        <w:rPr>
          <w:rFonts w:hint="eastAsia"/>
          <w:b/>
          <w:highlight w:val="none"/>
        </w:rPr>
        <w:t>注：提供法定代表人身份证（正反面）复印件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2FF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noWrap w:val="0"/>
            <w:vAlign w:val="top"/>
          </w:tcPr>
          <w:p w14:paraId="32871570">
            <w:pPr>
              <w:ind w:firstLine="480"/>
              <w:jc w:val="left"/>
              <w:rPr>
                <w:highlight w:val="none"/>
              </w:rPr>
            </w:pPr>
          </w:p>
        </w:tc>
      </w:tr>
    </w:tbl>
    <w:p w14:paraId="349A9FFF">
      <w:pPr>
        <w:ind w:firstLine="480"/>
        <w:jc w:val="right"/>
        <w:rPr>
          <w:rFonts w:hint="eastAsia"/>
          <w:highlight w:val="none"/>
          <w:lang w:val="en-US" w:eastAsia="zh-CN"/>
        </w:rPr>
      </w:pPr>
      <w:r>
        <w:rPr>
          <w:rFonts w:hint="eastAsia"/>
          <w:highlight w:val="none"/>
          <w:lang w:val="en-US" w:eastAsia="zh-CN"/>
        </w:rPr>
        <w:t xml:space="preserve">  </w:t>
      </w:r>
    </w:p>
    <w:p w14:paraId="15769A02">
      <w:pPr>
        <w:ind w:firstLine="480"/>
        <w:jc w:val="right"/>
        <w:rPr>
          <w:highlight w:val="none"/>
        </w:rPr>
      </w:pPr>
      <w:r>
        <w:rPr>
          <w:rFonts w:hint="eastAsia"/>
          <w:highlight w:val="none"/>
        </w:rPr>
        <w:t>供应商：（加盖公章）</w:t>
      </w:r>
    </w:p>
    <w:p w14:paraId="0EBB1E7F">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 </w:t>
      </w:r>
      <w:r>
        <w:rPr>
          <w:rFonts w:hint="eastAsia"/>
          <w:highlight w:val="none"/>
        </w:rPr>
        <w:t xml:space="preserve">   </w:t>
      </w:r>
    </w:p>
    <w:p w14:paraId="14BD96C1">
      <w:pPr>
        <w:ind w:firstLine="480"/>
        <w:jc w:val="right"/>
        <w:rPr>
          <w:rFonts w:hint="eastAsia"/>
          <w:highlight w:val="none"/>
        </w:rPr>
      </w:pPr>
    </w:p>
    <w:p w14:paraId="19309BE5">
      <w:pPr>
        <w:ind w:firstLine="480"/>
        <w:jc w:val="right"/>
        <w:rPr>
          <w:rFonts w:hint="eastAsia"/>
          <w:highlight w:val="none"/>
        </w:rPr>
      </w:pPr>
    </w:p>
    <w:p w14:paraId="27B68BFB">
      <w:pPr>
        <w:ind w:firstLine="480"/>
        <w:jc w:val="right"/>
        <w:rPr>
          <w:rFonts w:hint="eastAsia"/>
          <w:highlight w:val="none"/>
        </w:rPr>
      </w:pPr>
    </w:p>
    <w:p w14:paraId="716CB3A1">
      <w:pPr>
        <w:ind w:firstLine="480"/>
        <w:jc w:val="right"/>
        <w:rPr>
          <w:rFonts w:hint="eastAsia"/>
          <w:highlight w:val="none"/>
        </w:rPr>
      </w:pPr>
    </w:p>
    <w:p w14:paraId="571837D5">
      <w:pPr>
        <w:ind w:firstLine="480"/>
        <w:jc w:val="right"/>
        <w:rPr>
          <w:rFonts w:hint="eastAsia"/>
          <w:highlight w:val="none"/>
        </w:rPr>
      </w:pPr>
    </w:p>
    <w:p w14:paraId="16E0B279">
      <w:pPr>
        <w:ind w:firstLine="480"/>
        <w:jc w:val="right"/>
        <w:rPr>
          <w:rFonts w:hint="eastAsia"/>
          <w:highlight w:val="none"/>
        </w:rPr>
      </w:pPr>
    </w:p>
    <w:p w14:paraId="243BB6AC">
      <w:pPr>
        <w:ind w:firstLine="480"/>
        <w:jc w:val="right"/>
        <w:rPr>
          <w:rFonts w:hint="eastAsia"/>
          <w:highlight w:val="none"/>
        </w:rPr>
      </w:pPr>
    </w:p>
    <w:p w14:paraId="517E8917">
      <w:pPr>
        <w:ind w:firstLine="480"/>
        <w:jc w:val="right"/>
        <w:rPr>
          <w:rFonts w:hint="eastAsia"/>
          <w:highlight w:val="none"/>
        </w:rPr>
      </w:pPr>
    </w:p>
    <w:p w14:paraId="6F686138">
      <w:pPr>
        <w:ind w:firstLine="480"/>
        <w:jc w:val="right"/>
        <w:rPr>
          <w:rFonts w:hint="eastAsia"/>
          <w:highlight w:val="none"/>
        </w:rPr>
      </w:pPr>
    </w:p>
    <w:p w14:paraId="5C91EBCF">
      <w:pPr>
        <w:ind w:firstLine="480"/>
        <w:jc w:val="right"/>
        <w:rPr>
          <w:highlight w:val="none"/>
        </w:rPr>
      </w:pPr>
    </w:p>
    <w:p w14:paraId="6646EB6D">
      <w:pPr>
        <w:widowControl/>
        <w:spacing w:line="240" w:lineRule="auto"/>
        <w:ind w:firstLine="0" w:firstLineChars="0"/>
        <w:jc w:val="left"/>
        <w:rPr>
          <w:highlight w:val="none"/>
        </w:rPr>
      </w:pPr>
    </w:p>
    <w:p w14:paraId="15D5E469">
      <w:pPr>
        <w:pStyle w:val="4"/>
        <w:ind w:firstLine="0" w:firstLineChars="0"/>
        <w:rPr>
          <w:highlight w:val="none"/>
        </w:rPr>
      </w:pPr>
      <w:r>
        <w:rPr>
          <w:rFonts w:hint="eastAsia"/>
          <w:highlight w:val="none"/>
        </w:rPr>
        <w:t>4授权委托书原件</w:t>
      </w:r>
    </w:p>
    <w:p w14:paraId="0218D935">
      <w:pPr>
        <w:ind w:firstLine="0" w:firstLineChars="0"/>
        <w:jc w:val="center"/>
        <w:rPr>
          <w:b/>
          <w:bCs/>
          <w:highlight w:val="none"/>
        </w:rPr>
      </w:pPr>
      <w:r>
        <w:rPr>
          <w:rFonts w:hint="eastAsia"/>
          <w:b/>
          <w:bCs/>
          <w:highlight w:val="none"/>
        </w:rPr>
        <w:t>授权委托书</w:t>
      </w:r>
    </w:p>
    <w:p w14:paraId="690DEEA6">
      <w:pPr>
        <w:spacing w:line="400" w:lineRule="exact"/>
        <w:ind w:firstLine="420"/>
        <w:jc w:val="center"/>
        <w:rPr>
          <w:rFonts w:ascii="等线" w:hAnsi="等线" w:eastAsia="等线" w:cs="等线"/>
          <w:b/>
          <w:sz w:val="21"/>
          <w:szCs w:val="21"/>
          <w:highlight w:val="none"/>
        </w:rPr>
      </w:pPr>
    </w:p>
    <w:p w14:paraId="4DA3A76D">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14:paraId="23F647A9">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南通轨道交通集团有限公司运营分公司2026年度办公设备耗材采购项目</w:t>
      </w:r>
      <w:r>
        <w:rPr>
          <w:rFonts w:hint="eastAsia"/>
          <w:highlight w:val="none"/>
          <w:u w:val="single"/>
        </w:rPr>
        <w:t>（项目编号：</w:t>
      </w:r>
      <w:r>
        <w:rPr>
          <w:rFonts w:hint="eastAsia"/>
          <w:highlight w:val="none"/>
          <w:u w:val="single"/>
          <w:lang w:eastAsia="zh-CN"/>
        </w:rPr>
        <w:t>NTGY-2026-FW-BX-004</w:t>
      </w:r>
      <w:r>
        <w:rPr>
          <w:rFonts w:hint="eastAsia"/>
          <w:highlight w:val="none"/>
          <w:u w:val="single"/>
        </w:rPr>
        <w:t>）</w:t>
      </w:r>
      <w:r>
        <w:rPr>
          <w:rFonts w:hint="eastAsia"/>
          <w:highlight w:val="none"/>
        </w:rPr>
        <w:t>的采购活动。</w:t>
      </w:r>
    </w:p>
    <w:p w14:paraId="753B7B0B">
      <w:pPr>
        <w:ind w:firstLine="480"/>
        <w:rPr>
          <w:highlight w:val="none"/>
        </w:rPr>
      </w:pPr>
      <w:r>
        <w:rPr>
          <w:rFonts w:hint="eastAsia"/>
          <w:highlight w:val="none"/>
        </w:rPr>
        <w:t>该代理人在以上项目的采购活动过程中所签署的一切文件和处理与这有关的一切事务，本人均予以承认。</w:t>
      </w:r>
    </w:p>
    <w:p w14:paraId="3A3C80E2">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14:paraId="0C73112B">
      <w:pPr>
        <w:ind w:firstLine="480"/>
        <w:rPr>
          <w:highlight w:val="none"/>
        </w:rPr>
      </w:pPr>
      <w:r>
        <w:rPr>
          <w:rFonts w:hint="eastAsia"/>
          <w:highlight w:val="none"/>
        </w:rPr>
        <w:t>代理人无转委托权。特此委托。</w:t>
      </w:r>
    </w:p>
    <w:p w14:paraId="171E7B84">
      <w:pPr>
        <w:ind w:firstLine="480"/>
        <w:rPr>
          <w:highlight w:val="none"/>
        </w:rPr>
      </w:pPr>
    </w:p>
    <w:p w14:paraId="42EA5B99">
      <w:pPr>
        <w:ind w:firstLine="482"/>
        <w:rPr>
          <w:b/>
          <w:highlight w:val="none"/>
        </w:rPr>
      </w:pPr>
      <w:r>
        <w:rPr>
          <w:rFonts w:hint="eastAsia"/>
          <w:b/>
          <w:highlight w:val="none"/>
        </w:rPr>
        <w:t>注：提供授权代理人的身份证（正反面）复印件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3EA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noWrap w:val="0"/>
            <w:vAlign w:val="top"/>
          </w:tcPr>
          <w:p w14:paraId="3CCDB159">
            <w:pPr>
              <w:ind w:firstLine="0" w:firstLineChars="0"/>
              <w:rPr>
                <w:highlight w:val="none"/>
              </w:rPr>
            </w:pPr>
          </w:p>
        </w:tc>
      </w:tr>
    </w:tbl>
    <w:p w14:paraId="07890201">
      <w:pPr>
        <w:ind w:firstLine="480"/>
        <w:jc w:val="right"/>
        <w:rPr>
          <w:highlight w:val="none"/>
        </w:rPr>
      </w:pPr>
      <w:r>
        <w:rPr>
          <w:rFonts w:hint="eastAsia"/>
          <w:highlight w:val="none"/>
        </w:rPr>
        <w:t>供应商：（加盖公章）</w:t>
      </w:r>
    </w:p>
    <w:p w14:paraId="6A020304">
      <w:pPr>
        <w:ind w:firstLine="480"/>
        <w:jc w:val="right"/>
        <w:rPr>
          <w:highlight w:val="none"/>
        </w:rPr>
      </w:pPr>
      <w:r>
        <w:rPr>
          <w:rFonts w:hint="eastAsia"/>
          <w:highlight w:val="none"/>
        </w:rPr>
        <w:t>法定代表人：（签字或盖章）</w:t>
      </w:r>
    </w:p>
    <w:p w14:paraId="2D02FC3D">
      <w:pPr>
        <w:ind w:firstLine="480"/>
        <w:jc w:val="right"/>
        <w:rPr>
          <w:highlight w:val="none"/>
        </w:rPr>
        <w:sectPr>
          <w:headerReference r:id="rId16" w:type="default"/>
          <w:footerReference r:id="rId17" w:type="default"/>
          <w:pgSz w:w="11906" w:h="16838"/>
          <w:pgMar w:top="1418" w:right="1588" w:bottom="1418" w:left="1588" w:header="851" w:footer="992" w:gutter="0"/>
          <w:pgNumType w:fmt="decimal"/>
          <w:cols w:space="720" w:num="1"/>
          <w:docGrid w:linePitch="326" w:charSpace="0"/>
        </w:sectPr>
      </w:pPr>
      <w:r>
        <w:rPr>
          <w:rFonts w:hint="eastAsia"/>
          <w:highlight w:val="none"/>
        </w:rPr>
        <w:t>　　　年　  月 　 日</w:t>
      </w:r>
    </w:p>
    <w:p w14:paraId="48B98246">
      <w:pPr>
        <w:pStyle w:val="4"/>
        <w:ind w:firstLine="0" w:firstLineChars="0"/>
        <w:rPr>
          <w:highlight w:val="none"/>
        </w:rPr>
      </w:pPr>
      <w:r>
        <w:rPr>
          <w:rFonts w:hint="eastAsia"/>
          <w:highlight w:val="none"/>
          <w:lang w:val="en-US" w:eastAsia="zh-CN"/>
        </w:rPr>
        <w:t>5</w:t>
      </w:r>
      <w:r>
        <w:rPr>
          <w:rFonts w:hint="eastAsia"/>
          <w:highlight w:val="none"/>
        </w:rPr>
        <w:t>企业业绩</w:t>
      </w:r>
    </w:p>
    <w:p w14:paraId="063740FF">
      <w:pPr>
        <w:ind w:firstLine="0" w:firstLineChars="0"/>
        <w:rPr>
          <w:highlight w:val="none"/>
        </w:rPr>
      </w:pPr>
      <w:r>
        <w:rPr>
          <w:rFonts w:hint="eastAsia"/>
          <w:highlight w:val="none"/>
        </w:rPr>
        <w:t>提供业绩合同复印件并加盖公章</w:t>
      </w:r>
    </w:p>
    <w:p w14:paraId="54348284">
      <w:pPr>
        <w:rPr>
          <w:rFonts w:hint="eastAsia"/>
          <w:highlight w:val="none"/>
          <w:lang w:val="en-US" w:eastAsia="zh-CN"/>
        </w:rPr>
      </w:pPr>
      <w:r>
        <w:rPr>
          <w:rFonts w:hint="eastAsia"/>
          <w:highlight w:val="none"/>
          <w:lang w:val="en-US" w:eastAsia="zh-CN"/>
        </w:rPr>
        <w:br w:type="page"/>
      </w:r>
    </w:p>
    <w:p w14:paraId="64963121">
      <w:pPr>
        <w:pStyle w:val="4"/>
        <w:ind w:firstLine="0" w:firstLineChars="0"/>
        <w:rPr>
          <w:highlight w:val="none"/>
        </w:rPr>
      </w:pPr>
      <w:r>
        <w:rPr>
          <w:rFonts w:hint="eastAsia"/>
          <w:highlight w:val="none"/>
          <w:lang w:val="en-US" w:eastAsia="zh-CN"/>
        </w:rPr>
        <w:t>6</w:t>
      </w:r>
      <w:r>
        <w:rPr>
          <w:rFonts w:hint="eastAsia"/>
          <w:highlight w:val="none"/>
        </w:rPr>
        <w:t>供应商认为需要提交的其他资料</w:t>
      </w:r>
    </w:p>
    <w:p w14:paraId="20F1C21E">
      <w:pPr>
        <w:ind w:firstLine="480"/>
        <w:rPr>
          <w:highlight w:val="none"/>
        </w:rPr>
      </w:pPr>
    </w:p>
    <w:p w14:paraId="163E0A29">
      <w:pPr>
        <w:ind w:firstLine="480"/>
        <w:rPr>
          <w:highlight w:val="none"/>
        </w:rPr>
      </w:pPr>
    </w:p>
    <w:p w14:paraId="7D1D8143">
      <w:pPr>
        <w:spacing w:line="240" w:lineRule="auto"/>
        <w:ind w:firstLine="0" w:firstLineChars="0"/>
        <w:rPr>
          <w:highlight w:val="none"/>
        </w:rPr>
      </w:pPr>
    </w:p>
    <w:p w14:paraId="2E6138D7">
      <w:pPr>
        <w:ind w:firstLine="480"/>
        <w:rPr>
          <w:highlight w:val="none"/>
        </w:rPr>
      </w:pPr>
    </w:p>
    <w:p w14:paraId="179216F6">
      <w:pPr>
        <w:ind w:firstLine="480"/>
        <w:rPr>
          <w:highlight w:val="none"/>
        </w:rPr>
      </w:pPr>
    </w:p>
    <w:p w14:paraId="18E768E1">
      <w:pPr>
        <w:ind w:firstLine="480"/>
        <w:rPr>
          <w:highlight w:val="none"/>
        </w:rPr>
      </w:pPr>
    </w:p>
    <w:p w14:paraId="23C2D043">
      <w:pPr>
        <w:ind w:firstLine="480"/>
        <w:rPr>
          <w:highlight w:val="none"/>
        </w:rPr>
      </w:pPr>
    </w:p>
    <w:p w14:paraId="26271B2D">
      <w:pPr>
        <w:ind w:firstLine="480"/>
        <w:rPr>
          <w:highlight w:val="none"/>
        </w:rPr>
      </w:pPr>
    </w:p>
    <w:p w14:paraId="5255F83E">
      <w:pPr>
        <w:ind w:firstLine="0" w:firstLineChars="0"/>
        <w:jc w:val="center"/>
        <w:rPr>
          <w:rFonts w:ascii="宋体" w:hAnsi="宋体" w:cs="宋体"/>
          <w:highlight w:val="none"/>
          <w:u w:val="single"/>
        </w:rPr>
      </w:pPr>
    </w:p>
    <w:p w14:paraId="26F7474F">
      <w:pPr>
        <w:ind w:firstLine="0" w:firstLineChars="0"/>
        <w:jc w:val="center"/>
        <w:rPr>
          <w:rFonts w:ascii="宋体" w:hAnsi="宋体" w:cs="宋体"/>
          <w:highlight w:val="none"/>
          <w:u w:val="single"/>
        </w:rPr>
      </w:pPr>
    </w:p>
    <w:p w14:paraId="2070D49C">
      <w:pPr>
        <w:ind w:firstLine="0" w:firstLineChars="0"/>
        <w:jc w:val="center"/>
        <w:rPr>
          <w:rFonts w:ascii="宋体" w:hAnsi="宋体" w:cs="宋体"/>
          <w:highlight w:val="none"/>
          <w:u w:val="single"/>
        </w:rPr>
      </w:pPr>
    </w:p>
    <w:p w14:paraId="075F9E4B">
      <w:pPr>
        <w:ind w:firstLine="0" w:firstLineChars="0"/>
        <w:jc w:val="center"/>
        <w:rPr>
          <w:rFonts w:ascii="宋体" w:hAnsi="宋体" w:cs="宋体"/>
          <w:highlight w:val="none"/>
          <w:u w:val="single"/>
        </w:rPr>
      </w:pPr>
    </w:p>
    <w:p w14:paraId="3FB0D52D">
      <w:pPr>
        <w:ind w:firstLine="0" w:firstLineChars="0"/>
        <w:jc w:val="center"/>
        <w:rPr>
          <w:rFonts w:ascii="宋体" w:hAnsi="宋体" w:cs="宋体"/>
          <w:highlight w:val="none"/>
          <w:u w:val="single"/>
        </w:rPr>
      </w:pPr>
    </w:p>
    <w:p w14:paraId="5CBDBDE0">
      <w:pPr>
        <w:ind w:firstLine="0" w:firstLineChars="0"/>
        <w:jc w:val="center"/>
        <w:rPr>
          <w:rFonts w:ascii="宋体" w:hAnsi="宋体" w:cs="宋体"/>
          <w:highlight w:val="none"/>
          <w:u w:val="single"/>
        </w:rPr>
      </w:pPr>
    </w:p>
    <w:p w14:paraId="6FA028B0">
      <w:pPr>
        <w:ind w:firstLine="0" w:firstLineChars="0"/>
        <w:jc w:val="center"/>
        <w:rPr>
          <w:rFonts w:ascii="宋体" w:hAnsi="宋体" w:cs="宋体"/>
          <w:highlight w:val="none"/>
          <w:u w:val="single"/>
        </w:rPr>
      </w:pPr>
    </w:p>
    <w:p w14:paraId="5C69E70C">
      <w:pPr>
        <w:ind w:firstLine="0" w:firstLineChars="0"/>
        <w:jc w:val="center"/>
        <w:rPr>
          <w:rFonts w:ascii="宋体" w:hAnsi="宋体" w:cs="宋体"/>
          <w:highlight w:val="none"/>
          <w:u w:val="single"/>
        </w:rPr>
      </w:pPr>
    </w:p>
    <w:p w14:paraId="5C8FE95A">
      <w:pPr>
        <w:ind w:firstLine="0" w:firstLineChars="0"/>
        <w:jc w:val="center"/>
        <w:rPr>
          <w:rFonts w:ascii="宋体" w:hAnsi="宋体" w:cs="宋体"/>
          <w:highlight w:val="none"/>
          <w:u w:val="single"/>
        </w:rPr>
      </w:pPr>
    </w:p>
    <w:p w14:paraId="0C22F452">
      <w:pPr>
        <w:ind w:firstLine="0" w:firstLineChars="0"/>
        <w:jc w:val="center"/>
        <w:rPr>
          <w:rFonts w:ascii="宋体" w:hAnsi="宋体" w:cs="宋体"/>
          <w:highlight w:val="none"/>
          <w:u w:val="single"/>
        </w:rPr>
      </w:pPr>
    </w:p>
    <w:p w14:paraId="737F28D1">
      <w:pPr>
        <w:ind w:firstLine="0" w:firstLineChars="0"/>
        <w:jc w:val="center"/>
        <w:rPr>
          <w:rFonts w:ascii="宋体" w:hAnsi="宋体" w:cs="宋体"/>
          <w:highlight w:val="none"/>
          <w:u w:val="single"/>
        </w:rPr>
      </w:pPr>
    </w:p>
    <w:p w14:paraId="4E25AA34">
      <w:pPr>
        <w:ind w:firstLine="0" w:firstLineChars="0"/>
        <w:jc w:val="center"/>
        <w:rPr>
          <w:rFonts w:ascii="宋体" w:hAnsi="宋体" w:cs="宋体"/>
          <w:highlight w:val="none"/>
          <w:u w:val="single"/>
        </w:rPr>
      </w:pPr>
    </w:p>
    <w:p w14:paraId="6665B456">
      <w:pPr>
        <w:ind w:firstLine="0" w:firstLineChars="0"/>
        <w:jc w:val="center"/>
        <w:rPr>
          <w:rFonts w:ascii="宋体" w:hAnsi="宋体" w:cs="宋体"/>
          <w:highlight w:val="none"/>
          <w:u w:val="single"/>
        </w:rPr>
      </w:pPr>
    </w:p>
    <w:p w14:paraId="5FB8AF95">
      <w:pPr>
        <w:ind w:firstLine="0" w:firstLineChars="0"/>
        <w:jc w:val="center"/>
        <w:rPr>
          <w:rFonts w:ascii="宋体" w:hAnsi="宋体" w:cs="宋体"/>
          <w:highlight w:val="none"/>
          <w:u w:val="single"/>
        </w:rPr>
      </w:pPr>
    </w:p>
    <w:p w14:paraId="5C89C51C">
      <w:pPr>
        <w:ind w:firstLine="0" w:firstLineChars="0"/>
        <w:jc w:val="center"/>
        <w:rPr>
          <w:rFonts w:ascii="宋体" w:hAnsi="宋体" w:cs="宋体"/>
          <w:highlight w:val="none"/>
          <w:u w:val="single"/>
        </w:rPr>
      </w:pPr>
    </w:p>
    <w:p w14:paraId="3B9502D6">
      <w:pPr>
        <w:ind w:firstLine="0" w:firstLineChars="0"/>
        <w:jc w:val="center"/>
        <w:rPr>
          <w:rFonts w:ascii="宋体" w:hAnsi="宋体" w:cs="宋体"/>
          <w:highlight w:val="none"/>
          <w:u w:val="single"/>
        </w:rPr>
      </w:pPr>
    </w:p>
    <w:p w14:paraId="4B3B3FB6">
      <w:pPr>
        <w:ind w:firstLine="0" w:firstLineChars="0"/>
        <w:jc w:val="center"/>
        <w:rPr>
          <w:rFonts w:ascii="宋体" w:hAnsi="宋体" w:cs="宋体"/>
          <w:highlight w:val="none"/>
          <w:u w:val="single"/>
        </w:rPr>
      </w:pPr>
    </w:p>
    <w:p w14:paraId="1C3C9CB9">
      <w:pPr>
        <w:ind w:firstLine="0" w:firstLineChars="0"/>
        <w:jc w:val="center"/>
        <w:rPr>
          <w:rFonts w:ascii="宋体" w:hAnsi="宋体" w:cs="宋体"/>
          <w:highlight w:val="none"/>
          <w:u w:val="single"/>
        </w:rPr>
      </w:pPr>
    </w:p>
    <w:p w14:paraId="00CEC32C">
      <w:pPr>
        <w:ind w:firstLine="0" w:firstLineChars="0"/>
        <w:jc w:val="center"/>
        <w:rPr>
          <w:rFonts w:ascii="宋体" w:hAnsi="宋体" w:cs="宋体"/>
          <w:highlight w:val="none"/>
          <w:u w:val="single"/>
        </w:rPr>
      </w:pPr>
    </w:p>
    <w:p w14:paraId="791CE672">
      <w:pPr>
        <w:pStyle w:val="2"/>
        <w:ind w:firstLine="0" w:firstLineChars="0"/>
      </w:pPr>
      <w:r>
        <w:rPr>
          <w:highlight w:val="none"/>
        </w:rPr>
        <w:t xml:space="preserve"> </w:t>
      </w:r>
      <w:r>
        <w:t>第</w:t>
      </w:r>
      <w:r>
        <w:rPr>
          <w:rFonts w:hint="eastAsia"/>
        </w:rPr>
        <w:t>二</w:t>
      </w:r>
      <w:r>
        <w:t>册</w:t>
      </w:r>
      <w:r>
        <w:rPr>
          <w:rFonts w:hint="eastAsia"/>
        </w:rPr>
        <w:t xml:space="preserve"> 商务技术部分</w:t>
      </w:r>
    </w:p>
    <w:p w14:paraId="7D22E301">
      <w:pPr>
        <w:ind w:firstLine="0" w:firstLineChars="0"/>
        <w:jc w:val="right"/>
        <w:rPr>
          <w:rFonts w:ascii="宋体" w:hAnsi="宋体" w:cs="宋体"/>
          <w:bCs/>
          <w:sz w:val="36"/>
          <w:szCs w:val="36"/>
        </w:rPr>
      </w:pPr>
      <w:r>
        <w:rPr>
          <w:rStyle w:val="41"/>
          <w:rFonts w:hint="eastAsia"/>
        </w:rPr>
        <w:t xml:space="preserve">  </w:t>
      </w:r>
      <w:r>
        <w:rPr>
          <w:rFonts w:hint="eastAsia"/>
        </w:rPr>
        <w:t xml:space="preserve">                                   </w:t>
      </w:r>
      <w:r>
        <w:rPr>
          <w:rFonts w:hint="eastAsia" w:ascii="宋体" w:hAnsi="宋体" w:cs="宋体"/>
        </w:rPr>
        <w:t>正本/副本</w:t>
      </w:r>
    </w:p>
    <w:p w14:paraId="14C13E10">
      <w:pPr>
        <w:ind w:firstLine="0" w:firstLineChars="0"/>
        <w:jc w:val="center"/>
        <w:rPr>
          <w:rFonts w:ascii="宋体" w:hAnsi="宋体" w:cs="宋体"/>
          <w:b/>
          <w:sz w:val="40"/>
          <w:szCs w:val="40"/>
        </w:rPr>
      </w:pPr>
    </w:p>
    <w:p w14:paraId="4671E8CB">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南通轨道交通集团有限公司运营分公司2026年度办公设备耗材采购项目</w:t>
      </w:r>
    </w:p>
    <w:p w14:paraId="60475485">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NTGY-2026-FW-BX-004</w:t>
      </w:r>
      <w:r>
        <w:rPr>
          <w:rFonts w:hint="eastAsia" w:ascii="宋体" w:hAnsi="宋体" w:cs="宋体"/>
          <w:b/>
          <w:sz w:val="40"/>
          <w:szCs w:val="40"/>
        </w:rPr>
        <w:t>）</w:t>
      </w:r>
    </w:p>
    <w:p w14:paraId="55017B8A">
      <w:pPr>
        <w:ind w:firstLine="0" w:firstLineChars="0"/>
        <w:jc w:val="center"/>
        <w:rPr>
          <w:rFonts w:ascii="宋体" w:hAnsi="宋体" w:cs="宋体"/>
          <w:bCs/>
          <w:sz w:val="36"/>
          <w:szCs w:val="36"/>
        </w:rPr>
      </w:pPr>
    </w:p>
    <w:p w14:paraId="1ADA2723">
      <w:pPr>
        <w:ind w:firstLine="0" w:firstLineChars="0"/>
        <w:jc w:val="center"/>
        <w:rPr>
          <w:rFonts w:ascii="宋体" w:hAnsi="宋体" w:cs="宋体"/>
          <w:bCs/>
          <w:sz w:val="52"/>
          <w:szCs w:val="52"/>
        </w:rPr>
      </w:pPr>
      <w:r>
        <w:rPr>
          <w:rFonts w:hint="eastAsia" w:ascii="宋体" w:hAnsi="宋体" w:cs="宋体"/>
          <w:bCs/>
          <w:sz w:val="52"/>
          <w:szCs w:val="52"/>
        </w:rPr>
        <w:t>响应文件</w:t>
      </w:r>
    </w:p>
    <w:p w14:paraId="72D9F083">
      <w:pPr>
        <w:ind w:firstLine="0" w:firstLineChars="0"/>
        <w:jc w:val="center"/>
        <w:rPr>
          <w:rFonts w:ascii="宋体" w:hAnsi="宋体" w:cs="宋体"/>
          <w:bCs/>
          <w:sz w:val="32"/>
          <w:szCs w:val="32"/>
        </w:rPr>
      </w:pPr>
      <w:r>
        <w:rPr>
          <w:rFonts w:hint="eastAsia" w:ascii="宋体" w:hAnsi="宋体" w:cs="宋体"/>
          <w:bCs/>
          <w:sz w:val="32"/>
          <w:szCs w:val="32"/>
        </w:rPr>
        <w:t>第二册 商务技术部分</w:t>
      </w:r>
    </w:p>
    <w:p w14:paraId="2FD87CDE">
      <w:pPr>
        <w:ind w:firstLine="0" w:firstLineChars="0"/>
        <w:jc w:val="center"/>
        <w:rPr>
          <w:rFonts w:ascii="宋体" w:hAnsi="宋体" w:cs="宋体"/>
          <w:b/>
          <w:sz w:val="36"/>
          <w:szCs w:val="36"/>
        </w:rPr>
      </w:pPr>
    </w:p>
    <w:p w14:paraId="231A18E8">
      <w:pPr>
        <w:ind w:firstLine="0" w:firstLineChars="0"/>
        <w:jc w:val="center"/>
        <w:rPr>
          <w:rFonts w:ascii="宋体" w:hAnsi="宋体" w:cs="宋体"/>
          <w:b/>
          <w:sz w:val="36"/>
          <w:szCs w:val="36"/>
        </w:rPr>
      </w:pPr>
    </w:p>
    <w:p w14:paraId="0D93568A">
      <w:pPr>
        <w:ind w:firstLine="0" w:firstLineChars="0"/>
        <w:jc w:val="center"/>
        <w:rPr>
          <w:rFonts w:ascii="宋体" w:hAnsi="宋体" w:cs="宋体"/>
          <w:b/>
          <w:sz w:val="36"/>
          <w:szCs w:val="36"/>
        </w:rPr>
      </w:pPr>
    </w:p>
    <w:p w14:paraId="0733077B">
      <w:pPr>
        <w:ind w:firstLine="0" w:firstLineChars="0"/>
        <w:jc w:val="center"/>
        <w:rPr>
          <w:rFonts w:ascii="宋体" w:hAnsi="宋体" w:cs="宋体"/>
          <w:b/>
          <w:sz w:val="36"/>
          <w:szCs w:val="36"/>
        </w:rPr>
      </w:pPr>
    </w:p>
    <w:p w14:paraId="1F6CF4B5">
      <w:pPr>
        <w:ind w:firstLine="0" w:firstLineChars="0"/>
        <w:jc w:val="center"/>
        <w:rPr>
          <w:rFonts w:ascii="宋体" w:hAnsi="宋体" w:cs="宋体"/>
          <w:b/>
          <w:sz w:val="36"/>
          <w:szCs w:val="36"/>
        </w:rPr>
      </w:pPr>
    </w:p>
    <w:p w14:paraId="34433458">
      <w:pPr>
        <w:ind w:firstLine="0" w:firstLineChars="0"/>
        <w:jc w:val="center"/>
        <w:rPr>
          <w:rFonts w:ascii="宋体" w:hAnsi="宋体" w:cs="宋体"/>
          <w:b/>
          <w:sz w:val="36"/>
          <w:szCs w:val="36"/>
        </w:rPr>
      </w:pPr>
    </w:p>
    <w:p w14:paraId="31F973A9">
      <w:pPr>
        <w:ind w:firstLine="0" w:firstLineChars="0"/>
        <w:jc w:val="center"/>
        <w:rPr>
          <w:rFonts w:ascii="宋体" w:hAnsi="宋体" w:cs="宋体"/>
          <w:b/>
          <w:sz w:val="36"/>
          <w:szCs w:val="36"/>
        </w:rPr>
      </w:pPr>
    </w:p>
    <w:p w14:paraId="3814BBB6">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1D037C23">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7AFE85A3">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8C14383">
      <w:pPr>
        <w:ind w:firstLine="480"/>
      </w:pPr>
      <w:r>
        <w:rPr>
          <w:rFonts w:hint="eastAsia"/>
        </w:rPr>
        <w:br w:type="page"/>
      </w:r>
    </w:p>
    <w:p w14:paraId="0F06CF52">
      <w:pPr>
        <w:pStyle w:val="4"/>
        <w:ind w:firstLine="482"/>
        <w:jc w:val="center"/>
      </w:pPr>
      <w:r>
        <w:rPr>
          <w:rFonts w:hint="eastAsia"/>
        </w:rPr>
        <w:t>目录</w:t>
      </w:r>
    </w:p>
    <w:p w14:paraId="122AF457">
      <w:pPr>
        <w:numPr>
          <w:ilvl w:val="0"/>
          <w:numId w:val="5"/>
        </w:numPr>
        <w:ind w:firstLineChars="0"/>
      </w:pPr>
      <w:r>
        <w:rPr>
          <w:rFonts w:hint="eastAsia"/>
        </w:rPr>
        <w:t>商务和技术偏离表</w:t>
      </w:r>
    </w:p>
    <w:p w14:paraId="278D38E1">
      <w:pPr>
        <w:ind w:left="720" w:firstLine="0" w:firstLineChars="0"/>
      </w:pPr>
      <w:r>
        <w:rPr>
          <w:rFonts w:hint="eastAsia"/>
        </w:rPr>
        <w:t>2、物资参数表</w:t>
      </w:r>
    </w:p>
    <w:p w14:paraId="496A371F">
      <w:pPr>
        <w:ind w:left="720" w:firstLine="0" w:firstLineChars="0"/>
      </w:pPr>
      <w:r>
        <w:rPr>
          <w:rFonts w:hint="eastAsia"/>
        </w:rPr>
        <w:t>3、业绩材料</w:t>
      </w:r>
    </w:p>
    <w:p w14:paraId="7B379E3C">
      <w:pPr>
        <w:ind w:firstLine="480"/>
        <w:jc w:val="right"/>
        <w:rPr>
          <w:rFonts w:ascii="宋体" w:hAnsi="宋体" w:cs="宋体"/>
        </w:rPr>
      </w:pPr>
    </w:p>
    <w:p w14:paraId="368760B0">
      <w:pPr>
        <w:pStyle w:val="6"/>
        <w:ind w:firstLine="560"/>
        <w:rPr>
          <w:rFonts w:ascii="宋体" w:hAnsi="宋体" w:cs="宋体"/>
        </w:rPr>
      </w:pPr>
    </w:p>
    <w:p w14:paraId="293427B7">
      <w:pPr>
        <w:pStyle w:val="6"/>
        <w:ind w:firstLine="560"/>
        <w:rPr>
          <w:rFonts w:ascii="宋体" w:hAnsi="宋体" w:cs="宋体"/>
        </w:rPr>
      </w:pPr>
    </w:p>
    <w:p w14:paraId="09374533">
      <w:pPr>
        <w:pStyle w:val="6"/>
        <w:ind w:firstLine="560"/>
        <w:rPr>
          <w:rFonts w:ascii="宋体" w:hAnsi="宋体" w:cs="宋体"/>
        </w:rPr>
      </w:pPr>
    </w:p>
    <w:p w14:paraId="289C3850">
      <w:pPr>
        <w:pStyle w:val="6"/>
        <w:ind w:firstLine="560"/>
        <w:rPr>
          <w:rFonts w:ascii="宋体" w:hAnsi="宋体" w:cs="宋体"/>
        </w:rPr>
      </w:pPr>
    </w:p>
    <w:p w14:paraId="3861BE9C">
      <w:pPr>
        <w:pStyle w:val="6"/>
        <w:ind w:firstLine="560"/>
        <w:rPr>
          <w:rFonts w:ascii="宋体" w:hAnsi="宋体" w:cs="宋体"/>
        </w:rPr>
      </w:pPr>
    </w:p>
    <w:p w14:paraId="30A67DCC">
      <w:pPr>
        <w:pStyle w:val="6"/>
        <w:ind w:firstLine="560"/>
        <w:rPr>
          <w:rFonts w:ascii="宋体" w:hAnsi="宋体" w:cs="宋体"/>
        </w:rPr>
      </w:pPr>
    </w:p>
    <w:p w14:paraId="6020BB1A">
      <w:pPr>
        <w:pStyle w:val="6"/>
        <w:ind w:firstLine="560"/>
        <w:rPr>
          <w:rFonts w:ascii="宋体" w:hAnsi="宋体" w:cs="宋体"/>
        </w:rPr>
      </w:pPr>
    </w:p>
    <w:p w14:paraId="76258126">
      <w:pPr>
        <w:pStyle w:val="6"/>
        <w:ind w:firstLine="560"/>
        <w:rPr>
          <w:rFonts w:ascii="宋体" w:hAnsi="宋体" w:cs="宋体"/>
        </w:rPr>
      </w:pPr>
    </w:p>
    <w:p w14:paraId="7051CFFC">
      <w:pPr>
        <w:pStyle w:val="6"/>
        <w:ind w:firstLine="560"/>
        <w:rPr>
          <w:rFonts w:ascii="宋体" w:hAnsi="宋体" w:cs="宋体"/>
        </w:rPr>
      </w:pPr>
    </w:p>
    <w:p w14:paraId="16E4D89F">
      <w:pPr>
        <w:pStyle w:val="6"/>
        <w:ind w:firstLine="560"/>
        <w:rPr>
          <w:rFonts w:ascii="宋体" w:hAnsi="宋体" w:cs="宋体"/>
        </w:rPr>
      </w:pPr>
    </w:p>
    <w:p w14:paraId="457009C2">
      <w:pPr>
        <w:pStyle w:val="6"/>
        <w:ind w:firstLine="560"/>
        <w:rPr>
          <w:rFonts w:ascii="宋体" w:hAnsi="宋体" w:cs="宋体"/>
        </w:rPr>
      </w:pPr>
    </w:p>
    <w:p w14:paraId="1DBA8E08">
      <w:pPr>
        <w:pStyle w:val="6"/>
        <w:ind w:firstLine="560"/>
        <w:rPr>
          <w:rFonts w:ascii="宋体" w:hAnsi="宋体" w:cs="宋体"/>
        </w:rPr>
      </w:pPr>
    </w:p>
    <w:p w14:paraId="7C402AA5">
      <w:pPr>
        <w:pStyle w:val="6"/>
        <w:ind w:firstLine="560"/>
        <w:rPr>
          <w:rFonts w:ascii="宋体" w:hAnsi="宋体" w:cs="宋体"/>
        </w:rPr>
      </w:pPr>
    </w:p>
    <w:p w14:paraId="6E2272DE">
      <w:pPr>
        <w:pStyle w:val="6"/>
        <w:ind w:firstLine="560"/>
        <w:rPr>
          <w:rFonts w:ascii="宋体" w:hAnsi="宋体" w:cs="宋体"/>
        </w:rPr>
      </w:pPr>
    </w:p>
    <w:p w14:paraId="1509BCB4">
      <w:pPr>
        <w:ind w:firstLine="480"/>
      </w:pPr>
      <w:r>
        <w:rPr>
          <w:rFonts w:hint="eastAsia"/>
        </w:rPr>
        <w:br w:type="page"/>
      </w:r>
    </w:p>
    <w:p w14:paraId="05D78221">
      <w:pPr>
        <w:pStyle w:val="4"/>
        <w:ind w:firstLine="0" w:firstLineChars="0"/>
      </w:pPr>
      <w:r>
        <w:rPr>
          <w:rFonts w:hint="eastAsia"/>
        </w:rPr>
        <w:t>1商务和技术偏离表</w:t>
      </w:r>
    </w:p>
    <w:p w14:paraId="12381616">
      <w:pPr>
        <w:widowControl/>
        <w:spacing w:line="240" w:lineRule="auto"/>
        <w:ind w:firstLine="0" w:firstLineChars="0"/>
        <w:jc w:val="center"/>
        <w:rPr>
          <w:rFonts w:cs="Times New Roman"/>
          <w:b/>
          <w:bCs/>
          <w:szCs w:val="32"/>
        </w:rPr>
      </w:pPr>
    </w:p>
    <w:p w14:paraId="51681A86">
      <w:pPr>
        <w:widowControl/>
        <w:spacing w:line="240" w:lineRule="auto"/>
        <w:ind w:firstLine="0" w:firstLineChars="0"/>
        <w:jc w:val="center"/>
        <w:rPr>
          <w:rFonts w:cs="Times New Roman"/>
          <w:b/>
          <w:bCs/>
          <w:szCs w:val="32"/>
        </w:rPr>
      </w:pPr>
      <w:r>
        <w:rPr>
          <w:rFonts w:hint="eastAsia" w:cs="Times New Roman"/>
          <w:b/>
          <w:bCs/>
          <w:szCs w:val="32"/>
        </w:rPr>
        <w:t>商务和技术偏离表</w:t>
      </w:r>
    </w:p>
    <w:p w14:paraId="13F149EF">
      <w:pPr>
        <w:ind w:firstLine="0" w:firstLineChars="0"/>
        <w:rPr>
          <w:rFonts w:cs="Times New Roman"/>
          <w:szCs w:val="32"/>
          <w:u w:val="single"/>
        </w:rPr>
      </w:pPr>
      <w:r>
        <w:rPr>
          <w:rFonts w:hint="eastAsia" w:cs="Times New Roman"/>
          <w:szCs w:val="32"/>
        </w:rPr>
        <w:t>项目名称：</w:t>
      </w:r>
      <w:r>
        <w:rPr>
          <w:rFonts w:hint="eastAsia" w:cs="Times New Roman"/>
          <w:szCs w:val="32"/>
          <w:u w:val="single"/>
          <w:lang w:eastAsia="zh-CN"/>
        </w:rPr>
        <w:t>南通轨道交通集团有限公司运营分公司2026年度办公设备耗材采购项目</w:t>
      </w:r>
      <w:r>
        <w:rPr>
          <w:rFonts w:hint="eastAsia" w:cs="Times New Roman"/>
          <w:szCs w:val="32"/>
          <w:u w:val="single"/>
        </w:rPr>
        <w:t>（项目编号：</w:t>
      </w:r>
      <w:r>
        <w:rPr>
          <w:rFonts w:hint="eastAsia" w:cs="Times New Roman"/>
          <w:szCs w:val="32"/>
          <w:u w:val="single"/>
          <w:lang w:eastAsia="zh-CN"/>
        </w:rPr>
        <w:t>NTGY-2026-FW-BX-004</w:t>
      </w:r>
      <w:r>
        <w:rPr>
          <w:rFonts w:hint="eastAsia" w:cs="Times New Roman"/>
          <w:szCs w:val="32"/>
          <w:u w:val="single"/>
        </w:rPr>
        <w:t>）</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2835"/>
        <w:gridCol w:w="1560"/>
      </w:tblGrid>
      <w:tr w14:paraId="6FB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14:paraId="191E1198">
            <w:pPr>
              <w:ind w:firstLine="0" w:firstLineChars="0"/>
              <w:jc w:val="center"/>
              <w:rPr>
                <w:rFonts w:ascii="宋体" w:hAnsi="宋体"/>
                <w:sz w:val="21"/>
                <w:szCs w:val="21"/>
              </w:rPr>
            </w:pPr>
            <w:r>
              <w:rPr>
                <w:rFonts w:hint="eastAsia" w:ascii="宋体" w:hAnsi="宋体"/>
                <w:sz w:val="21"/>
                <w:szCs w:val="21"/>
              </w:rPr>
              <w:t>序号</w:t>
            </w:r>
          </w:p>
        </w:tc>
        <w:tc>
          <w:tcPr>
            <w:tcW w:w="3118" w:type="dxa"/>
            <w:noWrap w:val="0"/>
            <w:vAlign w:val="center"/>
          </w:tcPr>
          <w:p w14:paraId="2803F686">
            <w:pPr>
              <w:ind w:firstLine="0" w:firstLineChars="0"/>
              <w:jc w:val="center"/>
              <w:rPr>
                <w:rFonts w:ascii="宋体" w:hAnsi="宋体"/>
                <w:sz w:val="21"/>
                <w:szCs w:val="21"/>
              </w:rPr>
            </w:pPr>
            <w:r>
              <w:rPr>
                <w:rFonts w:hint="eastAsia" w:ascii="宋体" w:hAnsi="宋体" w:cs="等线"/>
                <w:bCs/>
                <w:color w:val="000000"/>
                <w:kern w:val="0"/>
                <w:sz w:val="21"/>
                <w:szCs w:val="21"/>
              </w:rPr>
              <w:t>采购文件章节及条款号</w:t>
            </w:r>
          </w:p>
        </w:tc>
        <w:tc>
          <w:tcPr>
            <w:tcW w:w="2835" w:type="dxa"/>
            <w:noWrap w:val="0"/>
            <w:vAlign w:val="center"/>
          </w:tcPr>
          <w:p w14:paraId="7D9F9322">
            <w:pPr>
              <w:ind w:firstLine="0" w:firstLineChars="0"/>
              <w:jc w:val="center"/>
              <w:rPr>
                <w:rFonts w:ascii="宋体" w:hAnsi="宋体"/>
                <w:sz w:val="21"/>
                <w:szCs w:val="21"/>
              </w:rPr>
            </w:pPr>
            <w:r>
              <w:rPr>
                <w:rFonts w:hint="eastAsia" w:ascii="宋体" w:hAnsi="宋体" w:cs="等线"/>
                <w:bCs/>
                <w:color w:val="000000"/>
                <w:kern w:val="0"/>
                <w:sz w:val="21"/>
                <w:szCs w:val="21"/>
              </w:rPr>
              <w:t>响应文件章节及条款号</w:t>
            </w:r>
          </w:p>
        </w:tc>
        <w:tc>
          <w:tcPr>
            <w:tcW w:w="1560" w:type="dxa"/>
            <w:noWrap w:val="0"/>
            <w:vAlign w:val="center"/>
          </w:tcPr>
          <w:p w14:paraId="279D67F2">
            <w:pPr>
              <w:ind w:firstLine="0" w:firstLineChars="0"/>
              <w:jc w:val="center"/>
              <w:rPr>
                <w:rFonts w:ascii="宋体" w:hAnsi="宋体"/>
                <w:sz w:val="21"/>
                <w:szCs w:val="21"/>
              </w:rPr>
            </w:pPr>
            <w:r>
              <w:rPr>
                <w:rFonts w:hint="eastAsia" w:ascii="宋体" w:hAnsi="宋体" w:cs="等线"/>
                <w:bCs/>
                <w:color w:val="000000"/>
                <w:kern w:val="0"/>
                <w:sz w:val="21"/>
                <w:szCs w:val="21"/>
              </w:rPr>
              <w:t>偏差说明</w:t>
            </w:r>
          </w:p>
        </w:tc>
      </w:tr>
      <w:tr w14:paraId="2AA4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55E12400">
            <w:pPr>
              <w:ind w:firstLine="0" w:firstLineChars="0"/>
              <w:jc w:val="center"/>
              <w:rPr>
                <w:rFonts w:cs="Times New Roman"/>
                <w:szCs w:val="32"/>
              </w:rPr>
            </w:pPr>
            <w:r>
              <w:rPr>
                <w:rFonts w:hint="eastAsia" w:cs="Times New Roman"/>
                <w:szCs w:val="32"/>
              </w:rPr>
              <w:t>1</w:t>
            </w:r>
          </w:p>
        </w:tc>
        <w:tc>
          <w:tcPr>
            <w:tcW w:w="3118" w:type="dxa"/>
            <w:noWrap w:val="0"/>
            <w:vAlign w:val="top"/>
          </w:tcPr>
          <w:p w14:paraId="19BAD10B">
            <w:pPr>
              <w:ind w:firstLine="0" w:firstLineChars="0"/>
              <w:rPr>
                <w:rFonts w:cs="Times New Roman"/>
                <w:szCs w:val="32"/>
              </w:rPr>
            </w:pPr>
          </w:p>
        </w:tc>
        <w:tc>
          <w:tcPr>
            <w:tcW w:w="2835" w:type="dxa"/>
            <w:noWrap w:val="0"/>
            <w:vAlign w:val="top"/>
          </w:tcPr>
          <w:p w14:paraId="5185988A">
            <w:pPr>
              <w:ind w:firstLine="0" w:firstLineChars="0"/>
              <w:rPr>
                <w:rFonts w:cs="Times New Roman"/>
                <w:szCs w:val="32"/>
              </w:rPr>
            </w:pPr>
          </w:p>
        </w:tc>
        <w:tc>
          <w:tcPr>
            <w:tcW w:w="1560" w:type="dxa"/>
            <w:noWrap w:val="0"/>
            <w:vAlign w:val="top"/>
          </w:tcPr>
          <w:p w14:paraId="05797EA2">
            <w:pPr>
              <w:ind w:firstLine="0" w:firstLineChars="0"/>
              <w:rPr>
                <w:rFonts w:cs="Times New Roman"/>
                <w:szCs w:val="32"/>
              </w:rPr>
            </w:pPr>
          </w:p>
        </w:tc>
      </w:tr>
      <w:tr w14:paraId="599C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760F26A7">
            <w:pPr>
              <w:ind w:firstLine="0" w:firstLineChars="0"/>
              <w:jc w:val="center"/>
              <w:rPr>
                <w:rFonts w:cs="Times New Roman"/>
                <w:szCs w:val="32"/>
              </w:rPr>
            </w:pPr>
            <w:r>
              <w:rPr>
                <w:rFonts w:hint="eastAsia" w:cs="Times New Roman"/>
                <w:szCs w:val="32"/>
              </w:rPr>
              <w:t>2</w:t>
            </w:r>
          </w:p>
        </w:tc>
        <w:tc>
          <w:tcPr>
            <w:tcW w:w="3118" w:type="dxa"/>
            <w:noWrap w:val="0"/>
            <w:vAlign w:val="top"/>
          </w:tcPr>
          <w:p w14:paraId="628093EB">
            <w:pPr>
              <w:ind w:firstLine="0" w:firstLineChars="0"/>
              <w:rPr>
                <w:rFonts w:cs="Times New Roman"/>
                <w:szCs w:val="32"/>
              </w:rPr>
            </w:pPr>
          </w:p>
        </w:tc>
        <w:tc>
          <w:tcPr>
            <w:tcW w:w="2835" w:type="dxa"/>
            <w:noWrap w:val="0"/>
            <w:vAlign w:val="top"/>
          </w:tcPr>
          <w:p w14:paraId="4A643D01">
            <w:pPr>
              <w:ind w:firstLine="0" w:firstLineChars="0"/>
              <w:rPr>
                <w:rFonts w:cs="Times New Roman"/>
                <w:szCs w:val="32"/>
              </w:rPr>
            </w:pPr>
          </w:p>
        </w:tc>
        <w:tc>
          <w:tcPr>
            <w:tcW w:w="1560" w:type="dxa"/>
            <w:noWrap w:val="0"/>
            <w:vAlign w:val="top"/>
          </w:tcPr>
          <w:p w14:paraId="274DFCAC">
            <w:pPr>
              <w:ind w:firstLine="0" w:firstLineChars="0"/>
              <w:rPr>
                <w:rFonts w:cs="Times New Roman"/>
                <w:szCs w:val="32"/>
              </w:rPr>
            </w:pPr>
          </w:p>
        </w:tc>
      </w:tr>
      <w:tr w14:paraId="5DB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388E23D0">
            <w:pPr>
              <w:ind w:firstLine="0" w:firstLineChars="0"/>
              <w:jc w:val="center"/>
              <w:rPr>
                <w:rFonts w:cs="Times New Roman"/>
                <w:szCs w:val="32"/>
              </w:rPr>
            </w:pPr>
            <w:r>
              <w:rPr>
                <w:rFonts w:hint="eastAsia" w:cs="Times New Roman"/>
                <w:szCs w:val="32"/>
              </w:rPr>
              <w:t>3</w:t>
            </w:r>
          </w:p>
        </w:tc>
        <w:tc>
          <w:tcPr>
            <w:tcW w:w="3118" w:type="dxa"/>
            <w:noWrap w:val="0"/>
            <w:vAlign w:val="top"/>
          </w:tcPr>
          <w:p w14:paraId="655DEEC5">
            <w:pPr>
              <w:ind w:firstLine="0" w:firstLineChars="0"/>
              <w:rPr>
                <w:rFonts w:cs="Times New Roman"/>
                <w:szCs w:val="32"/>
              </w:rPr>
            </w:pPr>
          </w:p>
        </w:tc>
        <w:tc>
          <w:tcPr>
            <w:tcW w:w="2835" w:type="dxa"/>
            <w:noWrap w:val="0"/>
            <w:vAlign w:val="top"/>
          </w:tcPr>
          <w:p w14:paraId="4B175767">
            <w:pPr>
              <w:ind w:firstLine="0" w:firstLineChars="0"/>
              <w:rPr>
                <w:rFonts w:cs="Times New Roman"/>
                <w:szCs w:val="32"/>
              </w:rPr>
            </w:pPr>
          </w:p>
        </w:tc>
        <w:tc>
          <w:tcPr>
            <w:tcW w:w="1560" w:type="dxa"/>
            <w:noWrap w:val="0"/>
            <w:vAlign w:val="top"/>
          </w:tcPr>
          <w:p w14:paraId="357CE2A8">
            <w:pPr>
              <w:ind w:firstLine="0" w:firstLineChars="0"/>
              <w:rPr>
                <w:rFonts w:cs="Times New Roman"/>
                <w:szCs w:val="32"/>
              </w:rPr>
            </w:pPr>
          </w:p>
        </w:tc>
      </w:tr>
      <w:tr w14:paraId="611F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top"/>
          </w:tcPr>
          <w:p w14:paraId="35F56463">
            <w:pPr>
              <w:ind w:firstLine="0" w:firstLineChars="0"/>
              <w:jc w:val="center"/>
              <w:rPr>
                <w:rFonts w:cs="Times New Roman"/>
                <w:szCs w:val="32"/>
              </w:rPr>
            </w:pPr>
            <w:r>
              <w:rPr>
                <w:rFonts w:cs="Times New Roman"/>
                <w:szCs w:val="32"/>
              </w:rPr>
              <w:t>…</w:t>
            </w:r>
          </w:p>
        </w:tc>
        <w:tc>
          <w:tcPr>
            <w:tcW w:w="3118" w:type="dxa"/>
            <w:noWrap w:val="0"/>
            <w:vAlign w:val="top"/>
          </w:tcPr>
          <w:p w14:paraId="2FBF28C3">
            <w:pPr>
              <w:ind w:firstLine="0" w:firstLineChars="0"/>
              <w:rPr>
                <w:rFonts w:cs="Times New Roman"/>
                <w:szCs w:val="32"/>
              </w:rPr>
            </w:pPr>
          </w:p>
        </w:tc>
        <w:tc>
          <w:tcPr>
            <w:tcW w:w="2835" w:type="dxa"/>
            <w:noWrap w:val="0"/>
            <w:vAlign w:val="top"/>
          </w:tcPr>
          <w:p w14:paraId="2FF708F0">
            <w:pPr>
              <w:ind w:firstLine="0" w:firstLineChars="0"/>
              <w:rPr>
                <w:rFonts w:cs="Times New Roman"/>
                <w:szCs w:val="32"/>
              </w:rPr>
            </w:pPr>
          </w:p>
        </w:tc>
        <w:tc>
          <w:tcPr>
            <w:tcW w:w="1560" w:type="dxa"/>
            <w:noWrap w:val="0"/>
            <w:vAlign w:val="top"/>
          </w:tcPr>
          <w:p w14:paraId="5BD0E197">
            <w:pPr>
              <w:ind w:firstLine="0" w:firstLineChars="0"/>
              <w:rPr>
                <w:rFonts w:cs="Times New Roman"/>
                <w:szCs w:val="32"/>
              </w:rPr>
            </w:pPr>
          </w:p>
        </w:tc>
      </w:tr>
    </w:tbl>
    <w:p w14:paraId="3C6FBB20">
      <w:pPr>
        <w:ind w:firstLine="480"/>
        <w:rPr>
          <w:rFonts w:cs="Times New Roman"/>
          <w:szCs w:val="32"/>
        </w:rPr>
      </w:pPr>
      <w:r>
        <w:rPr>
          <w:rFonts w:hint="eastAsia" w:cs="Times New Roman"/>
          <w:szCs w:val="32"/>
        </w:rPr>
        <w:t>注：</w:t>
      </w:r>
    </w:p>
    <w:p w14:paraId="2FAD3DA8">
      <w:pPr>
        <w:ind w:firstLine="480"/>
        <w:rPr>
          <w:rFonts w:cs="Times New Roman"/>
          <w:szCs w:val="32"/>
        </w:rPr>
      </w:pPr>
      <w:r>
        <w:rPr>
          <w:rFonts w:hint="eastAsia" w:cs="Times New Roman"/>
          <w:szCs w:val="32"/>
        </w:rPr>
        <w:t>1</w:t>
      </w:r>
      <w:r>
        <w:rPr>
          <w:rFonts w:cs="Times New Roman"/>
          <w:szCs w:val="32"/>
        </w:rPr>
        <w:t>.</w:t>
      </w:r>
      <w:r>
        <w:rPr>
          <w:rFonts w:hint="eastAsia" w:cs="Times New Roman"/>
          <w:szCs w:val="32"/>
        </w:rPr>
        <w:t>本项目不允许负偏离，发生负偏离的</w:t>
      </w:r>
      <w:r>
        <w:rPr>
          <w:rFonts w:hint="eastAsia"/>
        </w:rPr>
        <w:t>其响应文件将被视为无效，没有偏离的则填“无”。</w:t>
      </w:r>
    </w:p>
    <w:p w14:paraId="7923E5F9">
      <w:pPr>
        <w:ind w:firstLine="480"/>
        <w:rPr>
          <w:rFonts w:cs="Times New Roman"/>
          <w:szCs w:val="32"/>
        </w:rPr>
      </w:pPr>
      <w:r>
        <w:rPr>
          <w:rFonts w:hint="eastAsia" w:cs="Times New Roman"/>
          <w:szCs w:val="32"/>
        </w:rPr>
        <w:t>2</w:t>
      </w:r>
      <w:r>
        <w:rPr>
          <w:rFonts w:cs="Times New Roman"/>
          <w:szCs w:val="32"/>
        </w:rPr>
        <w:t>.</w:t>
      </w:r>
      <w:r>
        <w:rPr>
          <w:rFonts w:hint="eastAsia" w:cs="Times New Roman"/>
          <w:szCs w:val="32"/>
        </w:rPr>
        <w:t>供应商承诺：除本表列出的偏差以外，供应商响应采购文件的全部内容。</w:t>
      </w:r>
    </w:p>
    <w:p w14:paraId="3496AFA9">
      <w:pPr>
        <w:ind w:firstLine="480"/>
        <w:jc w:val="right"/>
      </w:pPr>
    </w:p>
    <w:p w14:paraId="779519AB">
      <w:pPr>
        <w:ind w:firstLine="480"/>
        <w:jc w:val="right"/>
      </w:pPr>
    </w:p>
    <w:p w14:paraId="58FEF580">
      <w:pPr>
        <w:ind w:firstLine="480"/>
        <w:jc w:val="right"/>
      </w:pPr>
    </w:p>
    <w:p w14:paraId="24E72089">
      <w:pPr>
        <w:ind w:firstLine="480"/>
        <w:jc w:val="right"/>
      </w:pPr>
      <w:r>
        <w:rPr>
          <w:rFonts w:hint="eastAsia"/>
        </w:rPr>
        <w:t>供应商：（加盖公章）</w:t>
      </w:r>
    </w:p>
    <w:p w14:paraId="57D80095">
      <w:pPr>
        <w:ind w:firstLine="480"/>
        <w:jc w:val="right"/>
      </w:pPr>
      <w:r>
        <w:rPr>
          <w:rFonts w:hint="eastAsia"/>
        </w:rPr>
        <w:t>法定代表人或授权代理人：（签字或盖章）</w:t>
      </w:r>
    </w:p>
    <w:p w14:paraId="635320B5">
      <w:pPr>
        <w:ind w:firstLine="480"/>
        <w:jc w:val="right"/>
      </w:pPr>
      <w:r>
        <w:rPr>
          <w:rFonts w:hint="eastAsia"/>
        </w:rPr>
        <w:t>　　　年　  月 　 日</w:t>
      </w:r>
    </w:p>
    <w:p w14:paraId="72CBB47A">
      <w:pPr>
        <w:pStyle w:val="53"/>
        <w:tabs>
          <w:tab w:val="left" w:pos="560"/>
          <w:tab w:val="right" w:leader="middleDot" w:pos="8400"/>
        </w:tabs>
      </w:pPr>
    </w:p>
    <w:p w14:paraId="5B2FCA02">
      <w:pPr>
        <w:pStyle w:val="53"/>
        <w:tabs>
          <w:tab w:val="left" w:pos="560"/>
          <w:tab w:val="right" w:leader="middleDot" w:pos="8400"/>
        </w:tabs>
      </w:pPr>
    </w:p>
    <w:p w14:paraId="08B87E28">
      <w:pPr>
        <w:pStyle w:val="53"/>
        <w:tabs>
          <w:tab w:val="left" w:pos="560"/>
          <w:tab w:val="right" w:leader="middleDot" w:pos="8400"/>
        </w:tabs>
      </w:pPr>
    </w:p>
    <w:p w14:paraId="2D705F5B">
      <w:pPr>
        <w:pStyle w:val="53"/>
        <w:tabs>
          <w:tab w:val="left" w:pos="560"/>
          <w:tab w:val="right" w:leader="middleDot" w:pos="8400"/>
        </w:tabs>
      </w:pPr>
    </w:p>
    <w:p w14:paraId="4F454E70">
      <w:pPr>
        <w:pStyle w:val="53"/>
        <w:tabs>
          <w:tab w:val="left" w:pos="560"/>
          <w:tab w:val="right" w:leader="middleDot" w:pos="8400"/>
        </w:tabs>
      </w:pPr>
    </w:p>
    <w:p w14:paraId="0249F65F">
      <w:pPr>
        <w:pStyle w:val="53"/>
        <w:tabs>
          <w:tab w:val="left" w:pos="560"/>
          <w:tab w:val="right" w:leader="middleDot" w:pos="8400"/>
        </w:tabs>
      </w:pPr>
    </w:p>
    <w:p w14:paraId="775AB387">
      <w:pPr>
        <w:pStyle w:val="53"/>
        <w:tabs>
          <w:tab w:val="left" w:pos="560"/>
          <w:tab w:val="right" w:leader="middleDot" w:pos="8400"/>
        </w:tabs>
      </w:pPr>
    </w:p>
    <w:p w14:paraId="68BF6D97">
      <w:pPr>
        <w:pStyle w:val="53"/>
        <w:tabs>
          <w:tab w:val="left" w:pos="560"/>
          <w:tab w:val="right" w:leader="middleDot" w:pos="8400"/>
        </w:tabs>
      </w:pPr>
    </w:p>
    <w:p w14:paraId="4EFEA33F">
      <w:pPr>
        <w:pStyle w:val="53"/>
        <w:tabs>
          <w:tab w:val="left" w:pos="560"/>
          <w:tab w:val="right" w:leader="middleDot" w:pos="8400"/>
        </w:tabs>
      </w:pPr>
    </w:p>
    <w:p w14:paraId="7D9180DA">
      <w:pPr>
        <w:pStyle w:val="53"/>
        <w:tabs>
          <w:tab w:val="left" w:pos="560"/>
          <w:tab w:val="right" w:leader="middleDot" w:pos="8400"/>
        </w:tabs>
      </w:pPr>
    </w:p>
    <w:p w14:paraId="2B81F428">
      <w:pPr>
        <w:pStyle w:val="53"/>
        <w:tabs>
          <w:tab w:val="left" w:pos="560"/>
          <w:tab w:val="right" w:leader="middleDot" w:pos="8400"/>
        </w:tabs>
      </w:pPr>
    </w:p>
    <w:p w14:paraId="63C2A563">
      <w:pPr>
        <w:pStyle w:val="53"/>
        <w:tabs>
          <w:tab w:val="left" w:pos="560"/>
          <w:tab w:val="right" w:leader="middleDot" w:pos="8400"/>
        </w:tabs>
      </w:pPr>
    </w:p>
    <w:p w14:paraId="0026EFA8">
      <w:pPr>
        <w:pStyle w:val="53"/>
        <w:tabs>
          <w:tab w:val="left" w:pos="560"/>
          <w:tab w:val="right" w:leader="middleDot" w:pos="8400"/>
        </w:tabs>
      </w:pPr>
    </w:p>
    <w:p w14:paraId="312189BA">
      <w:pPr>
        <w:pStyle w:val="4"/>
        <w:ind w:firstLine="0" w:firstLineChars="0"/>
      </w:pPr>
      <w:r>
        <w:rPr>
          <w:rFonts w:hint="eastAsia"/>
        </w:rPr>
        <w:t>2物资参数表</w:t>
      </w:r>
    </w:p>
    <w:p w14:paraId="20FED89E">
      <w:pPr>
        <w:widowControl/>
        <w:spacing w:line="240" w:lineRule="auto"/>
        <w:ind w:firstLine="0" w:firstLineChars="0"/>
        <w:jc w:val="center"/>
        <w:rPr>
          <w:rFonts w:cs="Times New Roman"/>
          <w:b/>
          <w:bCs/>
          <w:szCs w:val="32"/>
        </w:rPr>
      </w:pPr>
    </w:p>
    <w:p w14:paraId="0E3B035E">
      <w:pPr>
        <w:widowControl/>
        <w:spacing w:line="240" w:lineRule="auto"/>
        <w:ind w:firstLine="0" w:firstLineChars="0"/>
        <w:jc w:val="center"/>
        <w:rPr>
          <w:b/>
          <w:bCs/>
          <w:szCs w:val="32"/>
        </w:rPr>
      </w:pPr>
      <w:r>
        <w:rPr>
          <w:rFonts w:hint="eastAsia"/>
          <w:b/>
          <w:bCs/>
          <w:szCs w:val="32"/>
        </w:rPr>
        <w:t>物资参数表（此表放入商务技术文件中）</w:t>
      </w:r>
    </w:p>
    <w:p w14:paraId="1873B2BB">
      <w:pPr>
        <w:pStyle w:val="53"/>
        <w:tabs>
          <w:tab w:val="left" w:pos="560"/>
          <w:tab w:val="right" w:leader="middleDot" w:pos="8400"/>
        </w:tabs>
        <w:rPr>
          <w:rFonts w:hint="eastAsia" w:ascii="Times New Roman" w:hAnsi="Times New Roman" w:cs="Times New Roman"/>
          <w:kern w:val="2"/>
          <w:sz w:val="24"/>
          <w:szCs w:val="32"/>
          <w:u w:val="single"/>
        </w:rPr>
      </w:pPr>
      <w:r>
        <w:rPr>
          <w:rFonts w:hint="eastAsia" w:ascii="Times New Roman" w:hAnsi="Times New Roman" w:cs="Times New Roman"/>
          <w:kern w:val="2"/>
          <w:sz w:val="24"/>
          <w:szCs w:val="32"/>
        </w:rPr>
        <w:t>项目名称：</w:t>
      </w:r>
      <w:r>
        <w:rPr>
          <w:rFonts w:hint="eastAsia" w:ascii="Times New Roman" w:hAnsi="Times New Roman" w:cs="Times New Roman"/>
          <w:kern w:val="2"/>
          <w:sz w:val="24"/>
          <w:szCs w:val="32"/>
          <w:u w:val="single"/>
          <w:lang w:eastAsia="zh-CN"/>
        </w:rPr>
        <w:t>南通轨道交通集团有限公司运营分公司2026年度办公设备耗材采购项目</w:t>
      </w:r>
      <w:r>
        <w:rPr>
          <w:rFonts w:hint="eastAsia" w:ascii="Times New Roman" w:hAnsi="Times New Roman" w:cs="Times New Roman"/>
          <w:kern w:val="2"/>
          <w:sz w:val="24"/>
          <w:szCs w:val="32"/>
          <w:u w:val="single"/>
        </w:rPr>
        <w:t>（项目编号：</w:t>
      </w:r>
      <w:r>
        <w:rPr>
          <w:rFonts w:hint="eastAsia" w:ascii="Times New Roman" w:hAnsi="Times New Roman" w:cs="Times New Roman"/>
          <w:kern w:val="2"/>
          <w:sz w:val="24"/>
          <w:szCs w:val="32"/>
          <w:u w:val="single"/>
          <w:lang w:eastAsia="zh-CN"/>
        </w:rPr>
        <w:t>NTGY-2026-FW-BX-004</w:t>
      </w:r>
      <w:r>
        <w:rPr>
          <w:rFonts w:hint="eastAsia" w:ascii="Times New Roman" w:hAnsi="Times New Roman" w:cs="Times New Roman"/>
          <w:kern w:val="2"/>
          <w:sz w:val="24"/>
          <w:szCs w:val="32"/>
          <w:u w:val="single"/>
        </w:rPr>
        <w:t>）</w:t>
      </w:r>
    </w:p>
    <w:tbl>
      <w:tblPr>
        <w:tblStyle w:val="25"/>
        <w:tblW w:w="9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572"/>
        <w:gridCol w:w="1352"/>
        <w:gridCol w:w="2627"/>
        <w:gridCol w:w="1195"/>
        <w:gridCol w:w="1195"/>
        <w:gridCol w:w="1195"/>
      </w:tblGrid>
      <w:tr w14:paraId="6D77B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8A7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572" w:type="dxa"/>
            <w:tcBorders>
              <w:top w:val="single" w:color="000000" w:sz="4" w:space="0"/>
              <w:left w:val="single" w:color="000000" w:sz="4" w:space="0"/>
              <w:bottom w:val="nil"/>
              <w:right w:val="single" w:color="000000" w:sz="4" w:space="0"/>
            </w:tcBorders>
            <w:shd w:val="clear" w:color="auto" w:fill="FFFFFF"/>
            <w:noWrap w:val="0"/>
            <w:vAlign w:val="center"/>
          </w:tcPr>
          <w:p w14:paraId="45FE42A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打印机品牌</w:t>
            </w:r>
          </w:p>
          <w:p w14:paraId="15AEEF3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及型号</w:t>
            </w:r>
          </w:p>
        </w:tc>
        <w:tc>
          <w:tcPr>
            <w:tcW w:w="1352" w:type="dxa"/>
            <w:tcBorders>
              <w:top w:val="single" w:color="000000" w:sz="4" w:space="0"/>
              <w:left w:val="single" w:color="000000" w:sz="4" w:space="0"/>
              <w:bottom w:val="nil"/>
              <w:right w:val="single" w:color="000000" w:sz="4" w:space="0"/>
            </w:tcBorders>
            <w:shd w:val="clear" w:color="auto" w:fill="FFFFFF"/>
            <w:noWrap w:val="0"/>
            <w:vAlign w:val="center"/>
          </w:tcPr>
          <w:p w14:paraId="4E532FC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配套耗材</w:t>
            </w:r>
          </w:p>
        </w:tc>
        <w:tc>
          <w:tcPr>
            <w:tcW w:w="2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F372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物资描述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1A9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参考品牌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70D72">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响应物资描述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8A1B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响应品牌</w:t>
            </w:r>
          </w:p>
        </w:tc>
      </w:tr>
      <w:tr w14:paraId="47B7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952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1D3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惠普打印机laserJetProM203dn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6D0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D47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A4纸5%覆盖率，打印页数≥23000页，功能参考原装型号CF232A（32A）</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A06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懿智通，科思特，天威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040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D29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B26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B87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ECA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 Pro M203dn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6E2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D4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A4纸5%覆盖率，打印页数≥3500页，功能参考原装型号CF230A（30A）</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AC2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懿智通，莱盛，天威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F1A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035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BA0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FEF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8E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582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80EF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A4纸5%覆盖率，打印页数≥1000页，功能参考原装型号HP118A黑色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650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3B9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B0C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3B4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943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055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607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B3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761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E41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380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B8A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FD38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E0F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27A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DEC6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9EA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149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C4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3E6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A6C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9D6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8641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EB1F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A4纸5%覆盖率，打印页数≥700页，功能参考原装型号HP118A红色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65C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6E3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870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59F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5F1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D80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惠普打印机178nw/150nw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668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成像鼓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0CF6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A4纸5%覆盖率，打印页数≥16000页，功能参考原装型号HP132A</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9CF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格之格，懿智通，天威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B90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D44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5A6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9F6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87B0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2F9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F56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A4纸5%覆盖率，打印页数≥7000页，功能参考原装型号307A黑色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B0B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F48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F10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61BE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1B8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057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200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E1DD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BDF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1EF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12C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EA6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98D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85F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A56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91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8F5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9C7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8F4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A45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8D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3D9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HP Color LaserJet CP5225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C15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880A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A4纸5%覆盖率，打印页数≥7300页，功能参考原装型号307A红色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F3F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懿智通，格之格，欣彩</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3D8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000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41F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C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42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M1136 MFP</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EE78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noWrap w:val="0"/>
            <w:vAlign w:val="center"/>
          </w:tcPr>
          <w:p w14:paraId="0EF5AD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A4纸5%覆盖率，打印页数≥1500页，功能参考原装型号HP CC388A（88A）</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817B9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577DA04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15DAA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A62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FEC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905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laserJet Pro M706n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3A7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70F8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A4纸5%覆盖率，打印页数≥12000页，功能参考原装型号CZ192A（93A）</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574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B87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3F7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AAA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5A2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F6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惠普打印机laserJetMFP M528dn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CBA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E3E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A4纸5%覆盖率，打印页数≥10000页，功能参考原装型号CF289X（89X）</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631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5C5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05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750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057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EA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172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1F2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A4纸5%覆盖率，打印页数≥3200页，功能参考原装型号CF500X黑色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6A8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F9E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52C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D0F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BD0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DD8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2C4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4D80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A4纸5%覆盖率，打印页数≥2500页，功能参考原装型号CF501X青色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6D9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CE4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85D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8B9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7E4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94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3F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ED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A4纸5%覆盖率，打印页数≥2500页，功能参考原装型号CF502X黄色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1A1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A5D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52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DBA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49F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DA0A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惠普打印机color Laserjet pro MFP M281fdw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1F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9AD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A4纸5%覆盖率，打印页数≥2500页，功能参考原装型号CF503X红色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A65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CCF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F59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7BE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F35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61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兄弟打印机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DCP-B7530DN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623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EB4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覆盖率，打印页数≥12000页，功能参考原装型号DR-B020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F0A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19A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874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120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9FA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7CF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兄弟打印机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DCP-B7530DN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EB0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370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覆盖率，打印页数≥2600页，功能参考原装型号TN-B020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2FE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84B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78E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08A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9E4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52F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MFC-7380</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37E3BC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3FC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覆盖率，打印页数≥12000页，功能参考原装型号DR-2350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933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952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36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434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2CEB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507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MFC-7380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4A4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D42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覆盖率，打印页数≥2600页，功能参考原装型号TN-2325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63B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24F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D67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1A8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E7C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F27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7180dn</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353FFA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7174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覆盖率，打印页数≥12000页，功能参考原装型号DR-2350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97C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680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B5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832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E19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5F5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7180dn</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382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040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覆盖率，打印页数≥2600页，功能参考原装型号TN-2325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925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787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1EA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28C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B7A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DEE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F14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F1D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原装型号墨水004黑色，70ML 5%覆盖率≥4500页</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F0F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C9D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4496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2D7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974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8C6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DDD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F87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原装型号墨水004青色，70ML 5%覆盖率≥7500页</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6A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2F0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25C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D04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D36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C2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3B7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7D2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原装型号墨水004黄色，70ML 5%覆盖率≥7500页</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C2E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C04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301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69E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D5C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BFA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爱普生打印机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L3258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272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墨水</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CFB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原装型号墨水004红色，70ML  5%覆盖率≥7500页</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E22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660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AA9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F55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E07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695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2FF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F0CB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覆盖率，打印页数≥23000页，参考原装型号TN224K-H黑色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0D9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39B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95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127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9D6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F22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37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F8F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覆盖率，打印页数≥20000页，功能参考原装型号TN224C-H青色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C2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196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81D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344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48A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4FA6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491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0CD7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覆盖率，打印页数≥20000页，功能参考原装型号TN224M-H品红</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0A0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BE2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5B2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DB1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D76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1C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76A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0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覆盖率，打印页数≥20000页，功能参考原装型号TN224Y-H黄色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9D6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BC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4B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4B4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52A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98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6CA99F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感光鼓组件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（套鼓）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661D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覆盖率，打印页数≥120000页，功能参考原装型号DR215K</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879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065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354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8C8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1CA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554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4D6DA96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ACA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覆盖率，打印页数≥75000页，功能参考原装型号IU216C</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081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31E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FE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EC1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43F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C6E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101EEE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8100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覆盖率，打印页数≥75000页，功能参考原装型号IU216M</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295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7CF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F8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9A7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A5D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79B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nil"/>
              <w:right w:val="single" w:color="000000" w:sz="4" w:space="0"/>
            </w:tcBorders>
            <w:shd w:val="clear" w:color="auto" w:fill="auto"/>
            <w:noWrap w:val="0"/>
            <w:vAlign w:val="center"/>
          </w:tcPr>
          <w:p w14:paraId="6898A2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成像单元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(硒鼓 + 载体 + 显影仓的集成组件)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61F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覆盖率，打印页数≥75000页，功能参考原装型号IU216Y</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607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懿智通，格之格，天威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2A4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8A8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79B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086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E5C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F70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二次转印辊</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349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功能参考原装型号A797R703FR</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C973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5B4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B1C3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0DB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C1A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EFD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C68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F782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05F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BDB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B6E9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787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05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641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7AF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搓纸轮</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98A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A4纸盒搓纸轮</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0C0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213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E5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C2F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889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1EA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 C7222</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06B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511C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A3纸盒搓纸轮</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559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原装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A36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994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35D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1B8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BCE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75C2C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noWrap w:val="0"/>
            <w:vAlign w:val="center"/>
          </w:tcPr>
          <w:p w14:paraId="50336F0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覆盖率，打印页数≥23000页，功能参考原装型号TN323H黑色</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0C07EF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6ECD2D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3920C3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8D4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DA6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4F6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A967E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noWrap w:val="0"/>
            <w:vAlign w:val="center"/>
          </w:tcPr>
          <w:p w14:paraId="07496C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覆盖率，打印页数≥80000页，功能参考原装型号DR312K黑色</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72DFE1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懿智通，天威，格之格</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8FC356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14:paraId="439771C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753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F32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A81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7528</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A03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363F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3F8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23F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3EB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592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BD8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0AFEE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622F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EB77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覆盖率，打印页数≥12000页，功能参考原装型号TN119H黑色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D6F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33E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225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C7A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5A7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C5C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8AF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96F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覆盖率，打印页数≥100000页，功能参考原装型号DR119</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A5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A45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4116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092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D72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015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225i</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4D2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A978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7C6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天威，格之格，福睿</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257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7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9A3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89B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16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E5CC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EE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覆盖率，打印页数≥23000页，功能参考原装型号TN223HK黑色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71C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8CE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ACC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6C1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2A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327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53DF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D9BE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覆盖率，打印页数≥20000页，功能参考原装型号TN223HC青色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B8B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69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F50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A9F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CD1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362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FB9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523B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覆盖率，打印页数≥20000页，功能参考原装型号TN223HY黄色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3C9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99AD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471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E9F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C09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2882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462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7E85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覆盖率，打印页数≥20000页，功能参考原装型号TN223HM红色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D9E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D93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1491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D71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F46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FA8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CC0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6BDA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覆盖率，打印页数≥70000页，功能参考原装型号IU-215K黑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290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A2E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CB9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F2A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F05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B86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93F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CC19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覆盖率，打印页数≥70000页，功能参考原装型号IU-215C青</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A62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FD57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3D14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856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1B5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FAF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75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9031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覆盖率，打印页数≥70000页，功能参考原装型号IU-215Y黄</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8EC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344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7B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186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F960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4F7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F2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749D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覆盖率，打印页数≥70000页，功能参考原装型号IU-215M红</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732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懿智通，欣彩，京呈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0A8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FD7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839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2A47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AA2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柯尼卡美能达打印机bizhub C226</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0F2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4B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功能参考原装型号WX-105</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6E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天威，格之格，绘威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67F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332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C1C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5B4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850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B4B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76E9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覆盖率，打印页数≥36000页，功能参考原装型号NPG-67 黑色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1A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8A1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649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03D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795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CC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41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EFF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青色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235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390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6E6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12B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DBC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087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30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02EC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红色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5499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D4F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C7F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09F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6B3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59</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51D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3F0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73A4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覆盖率，打印页数≥19000页，功能参考原装型号NPG-67 黄色</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0B6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2C4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722D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756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B25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91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48DD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感光鼓组件</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033C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覆盖率，打印页数≥50000页，功能参考原装型号NPG-67</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02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天威，格之格，得力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A6C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3BE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A12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788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61</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9C3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佳能打印机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C3222L</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8F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废粉盒</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E2E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功能参考原装型号NPG-67</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C3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天威，格之格，京呈</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4F5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53A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D33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ADB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62</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A8E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奔图 P2206W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23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硒鼓</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BC28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 纸 5% 覆盖率，打印页数≥1600页，功能参考原装型号PD-213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528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格之格，彩格，莱盛</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FC7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91A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4D6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678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63</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60F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兄弟标签机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PT-P750W</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C5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标签色带</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C0D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功能参考原装型号TZe-751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（绿底黑字24mm）</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C18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天威，格之格，彩格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579C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453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D31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569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817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兄弟标签机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PT-P900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87A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标签色带</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6B41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功能参考原装型号TZe-261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（白底黑字36mm）</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761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天威，格之格，彩格</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EA9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5FB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849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2A4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65</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99D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41F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671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70克，500张/包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ED8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A495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D10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3D4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11E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66</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419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DEC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A4打印纸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（红色）</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B2D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80克，100张/包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888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BDA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6DB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882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E85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1EC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B330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A3打印纸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5B3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70克，500张/包</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9E8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F68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A8F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6F2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97B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68</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0004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打印纸</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FB5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四联打印纸</w:t>
            </w:r>
          </w:p>
        </w:tc>
        <w:tc>
          <w:tcPr>
            <w:tcW w:w="26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3BE3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二等分，1000页</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8BA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得力，齐心，天章</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62F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E83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2C511E32">
      <w:pPr>
        <w:ind w:firstLine="480"/>
        <w:rPr>
          <w:rFonts w:hint="eastAsia" w:cs="Times New Roman"/>
          <w:b/>
          <w:bCs/>
          <w:szCs w:val="32"/>
        </w:rPr>
      </w:pPr>
      <w:r>
        <w:rPr>
          <w:rFonts w:hint="eastAsia" w:cs="Times New Roman"/>
          <w:b/>
          <w:bCs/>
          <w:szCs w:val="32"/>
        </w:rPr>
        <w:t>*注：</w:t>
      </w:r>
    </w:p>
    <w:p w14:paraId="032A8E48">
      <w:pPr>
        <w:ind w:firstLine="480"/>
        <w:rPr>
          <w:rFonts w:cs="Times New Roman"/>
          <w:b/>
          <w:szCs w:val="32"/>
        </w:rPr>
      </w:pPr>
      <w:r>
        <w:rPr>
          <w:rFonts w:hint="eastAsia" w:cs="Times New Roman"/>
          <w:szCs w:val="32"/>
        </w:rPr>
        <w:t>1.参选时必须同时明确注明提报物资的品牌，</w:t>
      </w:r>
      <w:r>
        <w:rPr>
          <w:rFonts w:hint="eastAsia" w:cs="Times New Roman"/>
          <w:b/>
          <w:szCs w:val="32"/>
        </w:rPr>
        <w:t>未按要求注明品牌或品牌为国产或国产优质</w:t>
      </w:r>
      <w:r>
        <w:rPr>
          <w:rFonts w:hint="eastAsia" w:cs="Times New Roman"/>
          <w:b/>
          <w:szCs w:val="32"/>
          <w:highlight w:val="none"/>
          <w:lang w:val="en-US" w:eastAsia="zh-CN"/>
        </w:rPr>
        <w:t>或定制</w:t>
      </w:r>
      <w:r>
        <w:rPr>
          <w:rFonts w:hint="eastAsia" w:cs="Times New Roman"/>
          <w:b/>
          <w:szCs w:val="32"/>
        </w:rPr>
        <w:t>等相应描述均视为无效响应。</w:t>
      </w:r>
    </w:p>
    <w:p w14:paraId="625FBBC4">
      <w:pPr>
        <w:ind w:firstLine="480"/>
      </w:pPr>
      <w:r>
        <w:rPr>
          <w:rFonts w:hint="eastAsia" w:cs="Times New Roman"/>
          <w:szCs w:val="32"/>
        </w:rPr>
        <w:t>2.序号须与第五章“采购需求”需求清单序号一致。</w:t>
      </w:r>
    </w:p>
    <w:p w14:paraId="1162B678">
      <w:pPr>
        <w:ind w:firstLine="482"/>
      </w:pPr>
      <w:r>
        <w:rPr>
          <w:rFonts w:hint="eastAsia" w:cs="Times New Roman"/>
          <w:szCs w:val="32"/>
        </w:rPr>
        <w:t>3.</w:t>
      </w:r>
      <w:r>
        <w:rPr>
          <w:rFonts w:hint="eastAsia" w:cs="Times New Roman"/>
          <w:b w:val="0"/>
          <w:bCs w:val="0"/>
          <w:szCs w:val="32"/>
        </w:rPr>
        <w:t>本项目中的参考品牌</w:t>
      </w:r>
      <w:r>
        <w:rPr>
          <w:rFonts w:hint="eastAsia" w:cs="Times New Roman"/>
          <w:b w:val="0"/>
          <w:bCs w:val="0"/>
          <w:szCs w:val="32"/>
          <w:lang w:eastAsia="zh-CN"/>
        </w:rPr>
        <w:t>（如有）</w:t>
      </w:r>
      <w:r>
        <w:rPr>
          <w:rFonts w:hint="eastAsia" w:cs="Times New Roman"/>
          <w:szCs w:val="32"/>
        </w:rPr>
        <w:t>，是所采购产品（设备）的档次。供应商可以选择参考品牌，也可以选择参考品牌以外的品牌，但所选品牌档次须等于或高于参考品牌档次。所选品牌档次低于参照品牌档次的，将作无效响应处理。供应商的自我阐述及宣传彩页等不作采信依据。供应商拟在参考品牌外自行选择品牌的，须同时提交该品牌（产品）设备在品牌、技术指标等方面不低于采购人参考品牌的相关证明材料（含技术白皮书、权威机构出具的品牌产品不低于参考品牌技术参数、档次的推荐报告、生产许可证等材料），经评审小组三分之二以上人员论证，确认该品牌产品（设备）符合本项目要求的，论证没有通过的品牌不予接受，其相应的响应文件将视为未能对本采购文件作出实质性响应，将作无效响应处理。</w:t>
      </w:r>
    </w:p>
    <w:p w14:paraId="6AA3AB9B">
      <w:pPr>
        <w:ind w:firstLine="480"/>
        <w:jc w:val="right"/>
        <w:rPr>
          <w:rFonts w:hint="eastAsia"/>
        </w:rPr>
      </w:pPr>
    </w:p>
    <w:p w14:paraId="351B3876">
      <w:pPr>
        <w:ind w:firstLine="480"/>
        <w:jc w:val="right"/>
      </w:pPr>
      <w:r>
        <w:rPr>
          <w:rFonts w:hint="eastAsia"/>
        </w:rPr>
        <w:t>供应商：（加盖公章）</w:t>
      </w:r>
    </w:p>
    <w:p w14:paraId="0B3015C7">
      <w:pPr>
        <w:ind w:firstLine="480"/>
        <w:jc w:val="right"/>
      </w:pPr>
      <w:bookmarkStart w:id="23" w:name="OLE_LINK3"/>
      <w:bookmarkStart w:id="24" w:name="OLE_LINK4"/>
      <w:r>
        <w:rPr>
          <w:rFonts w:hint="eastAsia"/>
        </w:rPr>
        <w:t>法定代表人或</w:t>
      </w:r>
      <w:bookmarkEnd w:id="23"/>
      <w:bookmarkEnd w:id="24"/>
      <w:r>
        <w:rPr>
          <w:rFonts w:hint="eastAsia"/>
        </w:rPr>
        <w:t>授权代理人：（签字或盖章）</w:t>
      </w:r>
    </w:p>
    <w:p w14:paraId="2CC7AEE6">
      <w:pPr>
        <w:ind w:firstLine="480"/>
        <w:jc w:val="right"/>
        <w:sectPr>
          <w:pgSz w:w="11906" w:h="16838"/>
          <w:pgMar w:top="1440" w:right="1800" w:bottom="1440" w:left="1800" w:header="851" w:footer="992" w:gutter="0"/>
          <w:pgNumType w:fmt="decimal"/>
          <w:cols w:space="720" w:num="1"/>
          <w:docGrid w:type="lines" w:linePitch="326" w:charSpace="0"/>
        </w:sectPr>
      </w:pPr>
      <w:r>
        <w:rPr>
          <w:rFonts w:hint="eastAsia"/>
        </w:rPr>
        <w:t xml:space="preserve">年 </w:t>
      </w:r>
      <w:r>
        <w:t xml:space="preserve"> </w:t>
      </w:r>
      <w:r>
        <w:rPr>
          <w:rFonts w:hint="eastAsia"/>
        </w:rPr>
        <w:t xml:space="preserve">月 </w:t>
      </w:r>
      <w:r>
        <w:t xml:space="preserve"> </w:t>
      </w:r>
      <w:r>
        <w:rPr>
          <w:rFonts w:hint="eastAsia"/>
        </w:rPr>
        <w:t xml:space="preserve">日 </w:t>
      </w:r>
    </w:p>
    <w:p w14:paraId="3E9AD3FC">
      <w:pPr>
        <w:pStyle w:val="4"/>
        <w:ind w:firstLine="0" w:firstLineChars="0"/>
      </w:pPr>
      <w:r>
        <w:rPr>
          <w:rFonts w:hint="eastAsia"/>
        </w:rPr>
        <w:t>3业绩材料</w:t>
      </w:r>
    </w:p>
    <w:p w14:paraId="27785669">
      <w:pPr>
        <w:ind w:firstLine="0" w:firstLineChars="0"/>
        <w:jc w:val="center"/>
        <w:rPr>
          <w:b/>
          <w:bCs/>
        </w:rPr>
      </w:pPr>
      <w:r>
        <w:rPr>
          <w:rFonts w:hint="eastAsia"/>
          <w:b/>
          <w:bCs/>
        </w:rPr>
        <w:t>企业业绩一览表</w:t>
      </w:r>
    </w:p>
    <w:tbl>
      <w:tblPr>
        <w:tblStyle w:val="26"/>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14:paraId="0254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8C88F55">
            <w:pPr>
              <w:ind w:firstLine="0" w:firstLineChars="0"/>
              <w:jc w:val="center"/>
              <w:rPr>
                <w:b/>
                <w:bCs/>
                <w:sz w:val="22"/>
                <w:szCs w:val="21"/>
              </w:rPr>
            </w:pPr>
            <w:r>
              <w:rPr>
                <w:rFonts w:hint="eastAsia"/>
                <w:b/>
                <w:bCs/>
                <w:sz w:val="22"/>
                <w:szCs w:val="21"/>
              </w:rPr>
              <w:t>序号</w:t>
            </w:r>
          </w:p>
        </w:tc>
        <w:tc>
          <w:tcPr>
            <w:tcW w:w="2886" w:type="dxa"/>
            <w:noWrap w:val="0"/>
            <w:vAlign w:val="center"/>
          </w:tcPr>
          <w:p w14:paraId="0F4C3BDE">
            <w:pPr>
              <w:ind w:firstLine="0" w:firstLineChars="0"/>
              <w:jc w:val="center"/>
              <w:rPr>
                <w:b/>
                <w:bCs/>
                <w:sz w:val="22"/>
                <w:szCs w:val="21"/>
              </w:rPr>
            </w:pPr>
            <w:r>
              <w:rPr>
                <w:rFonts w:hint="eastAsia"/>
                <w:b/>
                <w:bCs/>
                <w:sz w:val="22"/>
                <w:szCs w:val="21"/>
              </w:rPr>
              <w:t>项目名称</w:t>
            </w:r>
          </w:p>
        </w:tc>
        <w:tc>
          <w:tcPr>
            <w:tcW w:w="1880" w:type="dxa"/>
            <w:noWrap w:val="0"/>
            <w:vAlign w:val="top"/>
          </w:tcPr>
          <w:p w14:paraId="07B5A1D3">
            <w:pPr>
              <w:ind w:firstLine="0" w:firstLineChars="0"/>
              <w:jc w:val="center"/>
              <w:rPr>
                <w:b/>
                <w:bCs/>
                <w:sz w:val="22"/>
                <w:szCs w:val="21"/>
              </w:rPr>
            </w:pPr>
            <w:r>
              <w:rPr>
                <w:rFonts w:hint="eastAsia"/>
                <w:b/>
                <w:bCs/>
                <w:sz w:val="22"/>
                <w:szCs w:val="21"/>
              </w:rPr>
              <w:t>项目概况</w:t>
            </w:r>
          </w:p>
        </w:tc>
        <w:tc>
          <w:tcPr>
            <w:tcW w:w="2179" w:type="dxa"/>
            <w:noWrap w:val="0"/>
            <w:vAlign w:val="top"/>
          </w:tcPr>
          <w:p w14:paraId="67D09392">
            <w:pPr>
              <w:ind w:firstLine="0" w:firstLineChars="0"/>
              <w:jc w:val="center"/>
              <w:rPr>
                <w:b/>
                <w:bCs/>
                <w:sz w:val="22"/>
                <w:szCs w:val="21"/>
              </w:rPr>
            </w:pPr>
            <w:r>
              <w:rPr>
                <w:rFonts w:hint="eastAsia"/>
                <w:b/>
                <w:bCs/>
                <w:sz w:val="22"/>
                <w:szCs w:val="21"/>
              </w:rPr>
              <w:t>合同金额（万元）</w:t>
            </w:r>
          </w:p>
        </w:tc>
        <w:tc>
          <w:tcPr>
            <w:tcW w:w="2268" w:type="dxa"/>
            <w:noWrap w:val="0"/>
            <w:vAlign w:val="center"/>
          </w:tcPr>
          <w:p w14:paraId="6E2BB364">
            <w:pPr>
              <w:ind w:firstLine="0" w:firstLineChars="0"/>
              <w:jc w:val="center"/>
              <w:rPr>
                <w:b/>
                <w:bCs/>
                <w:sz w:val="22"/>
                <w:szCs w:val="21"/>
              </w:rPr>
            </w:pPr>
            <w:r>
              <w:rPr>
                <w:rFonts w:hint="eastAsia"/>
                <w:b/>
                <w:bCs/>
                <w:sz w:val="22"/>
                <w:szCs w:val="21"/>
              </w:rPr>
              <w:t>合同签订时间</w:t>
            </w:r>
          </w:p>
        </w:tc>
        <w:tc>
          <w:tcPr>
            <w:tcW w:w="2378" w:type="dxa"/>
            <w:noWrap w:val="0"/>
            <w:vAlign w:val="center"/>
          </w:tcPr>
          <w:p w14:paraId="53F0F885">
            <w:pPr>
              <w:ind w:firstLine="0" w:firstLineChars="0"/>
              <w:jc w:val="center"/>
              <w:rPr>
                <w:b/>
                <w:bCs/>
                <w:sz w:val="22"/>
                <w:szCs w:val="21"/>
              </w:rPr>
            </w:pPr>
            <w:r>
              <w:rPr>
                <w:rFonts w:hint="eastAsia"/>
                <w:b/>
                <w:bCs/>
                <w:sz w:val="22"/>
                <w:szCs w:val="21"/>
              </w:rPr>
              <w:t>业主名称及联系方式</w:t>
            </w:r>
          </w:p>
        </w:tc>
        <w:tc>
          <w:tcPr>
            <w:tcW w:w="1369" w:type="dxa"/>
            <w:noWrap w:val="0"/>
            <w:vAlign w:val="top"/>
          </w:tcPr>
          <w:p w14:paraId="50C4C032">
            <w:pPr>
              <w:ind w:firstLine="0" w:firstLineChars="0"/>
              <w:jc w:val="center"/>
              <w:rPr>
                <w:b/>
                <w:bCs/>
                <w:sz w:val="22"/>
                <w:szCs w:val="21"/>
              </w:rPr>
            </w:pPr>
            <w:r>
              <w:rPr>
                <w:rFonts w:hint="eastAsia"/>
                <w:b/>
                <w:bCs/>
                <w:sz w:val="22"/>
                <w:szCs w:val="21"/>
              </w:rPr>
              <w:t>备注</w:t>
            </w:r>
          </w:p>
        </w:tc>
      </w:tr>
      <w:tr w14:paraId="7D65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6173B8F0">
            <w:pPr>
              <w:ind w:firstLine="0" w:firstLineChars="0"/>
              <w:jc w:val="center"/>
            </w:pPr>
            <w:r>
              <w:rPr>
                <w:rFonts w:hint="eastAsia"/>
              </w:rPr>
              <w:t>1</w:t>
            </w:r>
          </w:p>
        </w:tc>
        <w:tc>
          <w:tcPr>
            <w:tcW w:w="2886" w:type="dxa"/>
            <w:noWrap w:val="0"/>
            <w:vAlign w:val="top"/>
          </w:tcPr>
          <w:p w14:paraId="6227AC28">
            <w:pPr>
              <w:ind w:firstLine="0" w:firstLineChars="0"/>
            </w:pPr>
          </w:p>
        </w:tc>
        <w:tc>
          <w:tcPr>
            <w:tcW w:w="1880" w:type="dxa"/>
            <w:noWrap w:val="0"/>
            <w:vAlign w:val="top"/>
          </w:tcPr>
          <w:p w14:paraId="7C2B5B07">
            <w:pPr>
              <w:ind w:firstLine="0" w:firstLineChars="0"/>
            </w:pPr>
          </w:p>
        </w:tc>
        <w:tc>
          <w:tcPr>
            <w:tcW w:w="2179" w:type="dxa"/>
            <w:noWrap w:val="0"/>
            <w:vAlign w:val="top"/>
          </w:tcPr>
          <w:p w14:paraId="77F2DF9B">
            <w:pPr>
              <w:ind w:firstLine="0" w:firstLineChars="0"/>
            </w:pPr>
          </w:p>
        </w:tc>
        <w:tc>
          <w:tcPr>
            <w:tcW w:w="2268" w:type="dxa"/>
            <w:noWrap w:val="0"/>
            <w:vAlign w:val="top"/>
          </w:tcPr>
          <w:p w14:paraId="7F1A931F">
            <w:pPr>
              <w:ind w:firstLine="0" w:firstLineChars="0"/>
            </w:pPr>
          </w:p>
        </w:tc>
        <w:tc>
          <w:tcPr>
            <w:tcW w:w="2378" w:type="dxa"/>
            <w:noWrap w:val="0"/>
            <w:vAlign w:val="top"/>
          </w:tcPr>
          <w:p w14:paraId="05B7150A">
            <w:pPr>
              <w:ind w:firstLine="0" w:firstLineChars="0"/>
            </w:pPr>
          </w:p>
        </w:tc>
        <w:tc>
          <w:tcPr>
            <w:tcW w:w="1369" w:type="dxa"/>
            <w:noWrap w:val="0"/>
            <w:vAlign w:val="top"/>
          </w:tcPr>
          <w:p w14:paraId="55BFF27D">
            <w:pPr>
              <w:ind w:firstLine="0" w:firstLineChars="0"/>
            </w:pPr>
          </w:p>
        </w:tc>
      </w:tr>
      <w:tr w14:paraId="742C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2F65E04B">
            <w:pPr>
              <w:ind w:firstLine="0" w:firstLineChars="0"/>
              <w:jc w:val="center"/>
            </w:pPr>
            <w:r>
              <w:rPr>
                <w:rFonts w:hint="eastAsia"/>
              </w:rPr>
              <w:t>2</w:t>
            </w:r>
          </w:p>
        </w:tc>
        <w:tc>
          <w:tcPr>
            <w:tcW w:w="2886" w:type="dxa"/>
            <w:noWrap w:val="0"/>
            <w:vAlign w:val="top"/>
          </w:tcPr>
          <w:p w14:paraId="15F5E344">
            <w:pPr>
              <w:ind w:firstLine="0" w:firstLineChars="0"/>
            </w:pPr>
          </w:p>
        </w:tc>
        <w:tc>
          <w:tcPr>
            <w:tcW w:w="1880" w:type="dxa"/>
            <w:noWrap w:val="0"/>
            <w:vAlign w:val="top"/>
          </w:tcPr>
          <w:p w14:paraId="381FC436">
            <w:pPr>
              <w:ind w:firstLine="0" w:firstLineChars="0"/>
            </w:pPr>
          </w:p>
        </w:tc>
        <w:tc>
          <w:tcPr>
            <w:tcW w:w="2179" w:type="dxa"/>
            <w:noWrap w:val="0"/>
            <w:vAlign w:val="top"/>
          </w:tcPr>
          <w:p w14:paraId="2821DC37">
            <w:pPr>
              <w:ind w:firstLine="0" w:firstLineChars="0"/>
            </w:pPr>
          </w:p>
        </w:tc>
        <w:tc>
          <w:tcPr>
            <w:tcW w:w="2268" w:type="dxa"/>
            <w:noWrap w:val="0"/>
            <w:vAlign w:val="top"/>
          </w:tcPr>
          <w:p w14:paraId="5D0743E7">
            <w:pPr>
              <w:ind w:firstLine="0" w:firstLineChars="0"/>
            </w:pPr>
          </w:p>
        </w:tc>
        <w:tc>
          <w:tcPr>
            <w:tcW w:w="2378" w:type="dxa"/>
            <w:noWrap w:val="0"/>
            <w:vAlign w:val="top"/>
          </w:tcPr>
          <w:p w14:paraId="345AD72B">
            <w:pPr>
              <w:ind w:firstLine="0" w:firstLineChars="0"/>
            </w:pPr>
          </w:p>
        </w:tc>
        <w:tc>
          <w:tcPr>
            <w:tcW w:w="1369" w:type="dxa"/>
            <w:noWrap w:val="0"/>
            <w:vAlign w:val="top"/>
          </w:tcPr>
          <w:p w14:paraId="46A58BAA">
            <w:pPr>
              <w:ind w:firstLine="0" w:firstLineChars="0"/>
            </w:pPr>
          </w:p>
        </w:tc>
      </w:tr>
      <w:tr w14:paraId="51B1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1DD2A428">
            <w:pPr>
              <w:ind w:firstLine="0" w:firstLineChars="0"/>
              <w:jc w:val="center"/>
            </w:pPr>
            <w:r>
              <w:rPr>
                <w:rFonts w:hint="eastAsia"/>
              </w:rPr>
              <w:t>3</w:t>
            </w:r>
          </w:p>
        </w:tc>
        <w:tc>
          <w:tcPr>
            <w:tcW w:w="2886" w:type="dxa"/>
            <w:noWrap w:val="0"/>
            <w:vAlign w:val="top"/>
          </w:tcPr>
          <w:p w14:paraId="1C579370">
            <w:pPr>
              <w:ind w:firstLine="0" w:firstLineChars="0"/>
            </w:pPr>
          </w:p>
        </w:tc>
        <w:tc>
          <w:tcPr>
            <w:tcW w:w="1880" w:type="dxa"/>
            <w:noWrap w:val="0"/>
            <w:vAlign w:val="top"/>
          </w:tcPr>
          <w:p w14:paraId="19E2BE58">
            <w:pPr>
              <w:ind w:firstLine="0" w:firstLineChars="0"/>
            </w:pPr>
          </w:p>
        </w:tc>
        <w:tc>
          <w:tcPr>
            <w:tcW w:w="2179" w:type="dxa"/>
            <w:noWrap w:val="0"/>
            <w:vAlign w:val="top"/>
          </w:tcPr>
          <w:p w14:paraId="415128BC">
            <w:pPr>
              <w:ind w:firstLine="0" w:firstLineChars="0"/>
            </w:pPr>
          </w:p>
        </w:tc>
        <w:tc>
          <w:tcPr>
            <w:tcW w:w="2268" w:type="dxa"/>
            <w:noWrap w:val="0"/>
            <w:vAlign w:val="top"/>
          </w:tcPr>
          <w:p w14:paraId="31EA8135">
            <w:pPr>
              <w:ind w:firstLine="0" w:firstLineChars="0"/>
            </w:pPr>
          </w:p>
        </w:tc>
        <w:tc>
          <w:tcPr>
            <w:tcW w:w="2378" w:type="dxa"/>
            <w:noWrap w:val="0"/>
            <w:vAlign w:val="top"/>
          </w:tcPr>
          <w:p w14:paraId="35D2E49E">
            <w:pPr>
              <w:ind w:firstLine="0" w:firstLineChars="0"/>
            </w:pPr>
          </w:p>
        </w:tc>
        <w:tc>
          <w:tcPr>
            <w:tcW w:w="1369" w:type="dxa"/>
            <w:noWrap w:val="0"/>
            <w:vAlign w:val="top"/>
          </w:tcPr>
          <w:p w14:paraId="03F05587">
            <w:pPr>
              <w:ind w:firstLine="0" w:firstLineChars="0"/>
            </w:pPr>
          </w:p>
        </w:tc>
      </w:tr>
      <w:tr w14:paraId="50D3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noWrap w:val="0"/>
            <w:vAlign w:val="center"/>
          </w:tcPr>
          <w:p w14:paraId="5DEFC687">
            <w:pPr>
              <w:ind w:firstLine="0" w:firstLineChars="0"/>
              <w:jc w:val="center"/>
            </w:pPr>
            <w:r>
              <w:t>…</w:t>
            </w:r>
          </w:p>
        </w:tc>
        <w:tc>
          <w:tcPr>
            <w:tcW w:w="2886" w:type="dxa"/>
            <w:noWrap w:val="0"/>
            <w:vAlign w:val="top"/>
          </w:tcPr>
          <w:p w14:paraId="417BD426">
            <w:pPr>
              <w:ind w:firstLine="0" w:firstLineChars="0"/>
            </w:pPr>
          </w:p>
        </w:tc>
        <w:tc>
          <w:tcPr>
            <w:tcW w:w="1880" w:type="dxa"/>
            <w:noWrap w:val="0"/>
            <w:vAlign w:val="top"/>
          </w:tcPr>
          <w:p w14:paraId="7F4D8E03">
            <w:pPr>
              <w:ind w:firstLine="0" w:firstLineChars="0"/>
            </w:pPr>
          </w:p>
        </w:tc>
        <w:tc>
          <w:tcPr>
            <w:tcW w:w="2179" w:type="dxa"/>
            <w:noWrap w:val="0"/>
            <w:vAlign w:val="top"/>
          </w:tcPr>
          <w:p w14:paraId="0A5C6E98">
            <w:pPr>
              <w:ind w:firstLine="0" w:firstLineChars="0"/>
            </w:pPr>
          </w:p>
        </w:tc>
        <w:tc>
          <w:tcPr>
            <w:tcW w:w="2268" w:type="dxa"/>
            <w:noWrap w:val="0"/>
            <w:vAlign w:val="top"/>
          </w:tcPr>
          <w:p w14:paraId="2F6E0E9A">
            <w:pPr>
              <w:ind w:firstLine="0" w:firstLineChars="0"/>
            </w:pPr>
          </w:p>
        </w:tc>
        <w:tc>
          <w:tcPr>
            <w:tcW w:w="2378" w:type="dxa"/>
            <w:noWrap w:val="0"/>
            <w:vAlign w:val="top"/>
          </w:tcPr>
          <w:p w14:paraId="039F6062">
            <w:pPr>
              <w:ind w:firstLine="0" w:firstLineChars="0"/>
            </w:pPr>
          </w:p>
        </w:tc>
        <w:tc>
          <w:tcPr>
            <w:tcW w:w="1369" w:type="dxa"/>
            <w:noWrap w:val="0"/>
            <w:vAlign w:val="top"/>
          </w:tcPr>
          <w:p w14:paraId="6CFB8C45">
            <w:pPr>
              <w:ind w:firstLine="0" w:firstLineChars="0"/>
            </w:pPr>
          </w:p>
        </w:tc>
      </w:tr>
    </w:tbl>
    <w:p w14:paraId="7F690A55">
      <w:pPr>
        <w:ind w:firstLine="482"/>
        <w:rPr>
          <w:rFonts w:cs="Arial"/>
          <w:b/>
          <w:bCs/>
          <w:kern w:val="0"/>
          <w:szCs w:val="21"/>
        </w:rPr>
      </w:pPr>
      <w:r>
        <w:rPr>
          <w:rFonts w:hint="eastAsia" w:cs="Arial"/>
          <w:b/>
          <w:bCs/>
          <w:kern w:val="0"/>
          <w:szCs w:val="21"/>
        </w:rPr>
        <w:t>注：供应商须提供以上业绩的合同复印件并加盖公章，可附页。</w:t>
      </w:r>
    </w:p>
    <w:p w14:paraId="7DC0BC80">
      <w:pPr>
        <w:ind w:firstLine="480"/>
      </w:pPr>
    </w:p>
    <w:p w14:paraId="52AD06EE">
      <w:pPr>
        <w:ind w:firstLine="480"/>
        <w:jc w:val="right"/>
        <w:sectPr>
          <w:pgSz w:w="16838" w:h="11906" w:orient="landscape"/>
          <w:pgMar w:top="1800" w:right="1440" w:bottom="1800" w:left="1440" w:header="851" w:footer="992" w:gutter="0"/>
          <w:pgNumType w:fmt="decimal"/>
          <w:cols w:space="720" w:num="1"/>
          <w:docGrid w:type="lines" w:linePitch="326" w:charSpace="0"/>
        </w:sectPr>
      </w:pPr>
      <w:r>
        <w:rPr>
          <w:rFonts w:hint="eastAsia"/>
        </w:rPr>
        <w:t xml:space="preserve"> </w:t>
      </w:r>
    </w:p>
    <w:p w14:paraId="3950ED6F">
      <w:pPr>
        <w:pStyle w:val="2"/>
        <w:ind w:firstLine="0" w:firstLineChars="0"/>
      </w:pPr>
      <w:bookmarkStart w:id="25" w:name="OLE_LINK2"/>
      <w:bookmarkStart w:id="26" w:name="OLE_LINK1"/>
      <w:r>
        <w:t>第</w:t>
      </w:r>
      <w:r>
        <w:rPr>
          <w:rFonts w:hint="eastAsia"/>
        </w:rPr>
        <w:t>三</w:t>
      </w:r>
      <w:r>
        <w:t>册</w:t>
      </w:r>
      <w:r>
        <w:rPr>
          <w:rFonts w:hint="eastAsia"/>
        </w:rPr>
        <w:t xml:space="preserve"> 报价部分</w:t>
      </w:r>
    </w:p>
    <w:bookmarkEnd w:id="25"/>
    <w:bookmarkEnd w:id="26"/>
    <w:p w14:paraId="412D3FC0">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14:paraId="7BF4980A">
      <w:pPr>
        <w:ind w:firstLine="0" w:firstLineChars="0"/>
        <w:jc w:val="center"/>
        <w:rPr>
          <w:rFonts w:ascii="宋体" w:hAnsi="宋体" w:cs="宋体"/>
          <w:b/>
          <w:sz w:val="40"/>
          <w:szCs w:val="40"/>
        </w:rPr>
      </w:pPr>
    </w:p>
    <w:p w14:paraId="26EE0AE0">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南通轨道交通集团有限公司运营分公司2026年度办公设备耗材采购项目</w:t>
      </w:r>
    </w:p>
    <w:p w14:paraId="1262055B">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NTGY-2026-FW-BX-004</w:t>
      </w:r>
      <w:r>
        <w:rPr>
          <w:rFonts w:hint="eastAsia" w:ascii="宋体" w:hAnsi="宋体" w:cs="宋体"/>
          <w:b/>
          <w:sz w:val="40"/>
          <w:szCs w:val="40"/>
        </w:rPr>
        <w:t>）</w:t>
      </w:r>
    </w:p>
    <w:p w14:paraId="211535CE">
      <w:pPr>
        <w:ind w:firstLine="0" w:firstLineChars="0"/>
        <w:jc w:val="center"/>
        <w:rPr>
          <w:rFonts w:ascii="宋体" w:hAnsi="宋体" w:cs="宋体"/>
          <w:bCs/>
          <w:sz w:val="36"/>
          <w:szCs w:val="36"/>
        </w:rPr>
      </w:pPr>
    </w:p>
    <w:p w14:paraId="1FF7B557">
      <w:pPr>
        <w:ind w:firstLine="0" w:firstLineChars="0"/>
        <w:jc w:val="center"/>
        <w:rPr>
          <w:rFonts w:ascii="宋体" w:hAnsi="宋体" w:cs="宋体"/>
          <w:bCs/>
          <w:sz w:val="36"/>
          <w:szCs w:val="36"/>
        </w:rPr>
      </w:pPr>
    </w:p>
    <w:p w14:paraId="17C5BF89">
      <w:pPr>
        <w:ind w:firstLine="0" w:firstLineChars="0"/>
        <w:jc w:val="center"/>
        <w:rPr>
          <w:rFonts w:ascii="宋体" w:hAnsi="宋体" w:cs="宋体"/>
          <w:bCs/>
          <w:sz w:val="52"/>
          <w:szCs w:val="52"/>
        </w:rPr>
      </w:pPr>
      <w:r>
        <w:rPr>
          <w:rFonts w:hint="eastAsia" w:ascii="宋体" w:hAnsi="宋体" w:cs="宋体"/>
          <w:bCs/>
          <w:sz w:val="52"/>
          <w:szCs w:val="52"/>
        </w:rPr>
        <w:t>响应文件</w:t>
      </w:r>
    </w:p>
    <w:p w14:paraId="765FCB19">
      <w:pPr>
        <w:ind w:firstLine="0" w:firstLineChars="0"/>
        <w:jc w:val="center"/>
        <w:rPr>
          <w:rFonts w:ascii="宋体" w:hAnsi="宋体" w:cs="宋体"/>
          <w:bCs/>
          <w:sz w:val="32"/>
          <w:szCs w:val="32"/>
        </w:rPr>
      </w:pPr>
      <w:r>
        <w:rPr>
          <w:rFonts w:hint="eastAsia" w:ascii="宋体" w:hAnsi="宋体" w:cs="宋体"/>
          <w:bCs/>
          <w:sz w:val="32"/>
          <w:szCs w:val="32"/>
        </w:rPr>
        <w:t>第三册 报价部分</w:t>
      </w:r>
    </w:p>
    <w:p w14:paraId="7487F584">
      <w:pPr>
        <w:ind w:firstLine="0" w:firstLineChars="0"/>
        <w:jc w:val="center"/>
        <w:rPr>
          <w:rFonts w:ascii="宋体" w:hAnsi="宋体" w:cs="宋体"/>
          <w:b/>
          <w:sz w:val="36"/>
          <w:szCs w:val="36"/>
        </w:rPr>
      </w:pPr>
    </w:p>
    <w:p w14:paraId="2F313C24">
      <w:pPr>
        <w:ind w:firstLine="0" w:firstLineChars="0"/>
        <w:jc w:val="center"/>
        <w:rPr>
          <w:rFonts w:ascii="宋体" w:hAnsi="宋体" w:cs="宋体"/>
          <w:b/>
          <w:sz w:val="36"/>
          <w:szCs w:val="36"/>
        </w:rPr>
      </w:pPr>
    </w:p>
    <w:p w14:paraId="563A26FA">
      <w:pPr>
        <w:ind w:firstLine="0" w:firstLineChars="0"/>
        <w:jc w:val="center"/>
        <w:rPr>
          <w:rFonts w:ascii="宋体" w:hAnsi="宋体" w:cs="宋体"/>
          <w:b/>
          <w:sz w:val="36"/>
          <w:szCs w:val="36"/>
        </w:rPr>
      </w:pPr>
    </w:p>
    <w:p w14:paraId="55AB37FC">
      <w:pPr>
        <w:ind w:firstLine="0" w:firstLineChars="0"/>
        <w:jc w:val="center"/>
        <w:rPr>
          <w:rFonts w:ascii="宋体" w:hAnsi="宋体" w:cs="宋体"/>
          <w:b/>
          <w:sz w:val="36"/>
          <w:szCs w:val="36"/>
        </w:rPr>
      </w:pPr>
    </w:p>
    <w:p w14:paraId="45EB518E">
      <w:pPr>
        <w:ind w:firstLine="0" w:firstLineChars="0"/>
        <w:jc w:val="center"/>
        <w:rPr>
          <w:rFonts w:ascii="宋体" w:hAnsi="宋体" w:cs="宋体"/>
          <w:b/>
          <w:sz w:val="36"/>
          <w:szCs w:val="36"/>
        </w:rPr>
      </w:pPr>
    </w:p>
    <w:p w14:paraId="33A399D6">
      <w:pPr>
        <w:ind w:firstLine="0" w:firstLineChars="0"/>
        <w:jc w:val="center"/>
        <w:rPr>
          <w:rFonts w:ascii="宋体" w:hAnsi="宋体" w:cs="宋体"/>
          <w:b/>
          <w:sz w:val="36"/>
          <w:szCs w:val="36"/>
        </w:rPr>
      </w:pPr>
    </w:p>
    <w:p w14:paraId="00D234C3">
      <w:pPr>
        <w:ind w:firstLine="0" w:firstLineChars="0"/>
        <w:jc w:val="center"/>
        <w:rPr>
          <w:rFonts w:ascii="宋体" w:hAnsi="宋体" w:cs="宋体"/>
          <w:b/>
          <w:sz w:val="36"/>
          <w:szCs w:val="36"/>
        </w:rPr>
      </w:pPr>
    </w:p>
    <w:p w14:paraId="2C7E3532">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7A606EAC">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3A494791">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8BD1807">
      <w:pPr>
        <w:ind w:firstLine="480"/>
      </w:pPr>
      <w:r>
        <w:rPr>
          <w:rFonts w:hint="eastAsia"/>
        </w:rPr>
        <w:br w:type="page"/>
      </w:r>
    </w:p>
    <w:p w14:paraId="03A5CAA6">
      <w:pPr>
        <w:pStyle w:val="4"/>
        <w:ind w:firstLine="0" w:firstLineChars="0"/>
        <w:jc w:val="center"/>
      </w:pPr>
      <w:r>
        <w:rPr>
          <w:rFonts w:hint="eastAsia"/>
        </w:rPr>
        <w:t>目录</w:t>
      </w:r>
    </w:p>
    <w:p w14:paraId="5BC08D7D">
      <w:pPr>
        <w:ind w:firstLine="480"/>
      </w:pPr>
      <w:r>
        <w:rPr>
          <w:rFonts w:hint="eastAsia"/>
        </w:rPr>
        <w:t>1</w:t>
      </w:r>
      <w:r>
        <w:t xml:space="preserve"> </w:t>
      </w:r>
      <w:r>
        <w:rPr>
          <w:rFonts w:hint="eastAsia"/>
        </w:rPr>
        <w:t>响应函</w:t>
      </w:r>
    </w:p>
    <w:p w14:paraId="012BBEA1">
      <w:pPr>
        <w:ind w:firstLine="480"/>
      </w:pPr>
      <w:r>
        <w:rPr>
          <w:rFonts w:hint="eastAsia"/>
        </w:rPr>
        <w:t>2</w:t>
      </w:r>
      <w:r>
        <w:t xml:space="preserve"> </w:t>
      </w:r>
      <w:r>
        <w:rPr>
          <w:rFonts w:hint="eastAsia"/>
        </w:rPr>
        <w:t>分项报价表</w:t>
      </w:r>
    </w:p>
    <w:p w14:paraId="600292A6">
      <w:pPr>
        <w:widowControl/>
        <w:spacing w:line="240" w:lineRule="auto"/>
        <w:ind w:firstLine="0" w:firstLineChars="0"/>
        <w:jc w:val="left"/>
      </w:pPr>
      <w:r>
        <w:br w:type="page"/>
      </w:r>
    </w:p>
    <w:p w14:paraId="13059FEB">
      <w:pPr>
        <w:pStyle w:val="4"/>
        <w:ind w:firstLine="0" w:firstLineChars="0"/>
      </w:pPr>
      <w:r>
        <w:t>1响应函</w:t>
      </w:r>
    </w:p>
    <w:p w14:paraId="1898091F">
      <w:pPr>
        <w:spacing w:line="400" w:lineRule="exact"/>
        <w:ind w:firstLine="560"/>
        <w:jc w:val="center"/>
        <w:rPr>
          <w:rFonts w:ascii="等线" w:hAnsi="等线" w:eastAsia="等线" w:cs="等线"/>
          <w:b/>
          <w:sz w:val="28"/>
          <w:szCs w:val="28"/>
        </w:rPr>
      </w:pPr>
      <w:r>
        <w:rPr>
          <w:rFonts w:hint="eastAsia" w:ascii="等线" w:hAnsi="等线" w:eastAsia="等线" w:cs="等线"/>
          <w:b/>
          <w:sz w:val="28"/>
          <w:szCs w:val="28"/>
        </w:rPr>
        <w:t>响应函</w:t>
      </w:r>
    </w:p>
    <w:p w14:paraId="7ED0FCDC">
      <w:pPr>
        <w:ind w:firstLine="0" w:firstLineChars="0"/>
      </w:pPr>
      <w:r>
        <w:rPr>
          <w:rFonts w:hint="eastAsia"/>
          <w:u w:val="single"/>
        </w:rPr>
        <w:t xml:space="preserve"> 南通轨道交通集团有限公司运营分公司</w:t>
      </w:r>
      <w:r>
        <w:rPr>
          <w:rFonts w:hint="eastAsia"/>
        </w:rPr>
        <w:t>：</w:t>
      </w:r>
    </w:p>
    <w:p w14:paraId="2183C608">
      <w:pPr>
        <w:ind w:firstLine="480"/>
      </w:pPr>
      <w:r>
        <w:rPr>
          <w:rFonts w:hint="eastAsia"/>
        </w:rPr>
        <w:t>我司已仔细阅读研究了</w:t>
      </w:r>
      <w:r>
        <w:rPr>
          <w:rFonts w:hint="eastAsia"/>
          <w:u w:val="single"/>
          <w:lang w:eastAsia="zh-CN"/>
        </w:rPr>
        <w:t>南通轨道交通集团有限公司运营分公司2026年度办公设备耗材采购项目</w:t>
      </w:r>
      <w:r>
        <w:rPr>
          <w:rFonts w:hint="eastAsia"/>
          <w:u w:val="single"/>
        </w:rPr>
        <w:t>（项目编号：</w:t>
      </w:r>
      <w:r>
        <w:rPr>
          <w:rFonts w:hint="eastAsia"/>
          <w:u w:val="single"/>
          <w:lang w:eastAsia="zh-CN"/>
        </w:rPr>
        <w:t>NTGY-2026-FW-BX-004</w:t>
      </w:r>
      <w:r>
        <w:rPr>
          <w:rFonts w:hint="eastAsia"/>
          <w:u w:val="single"/>
        </w:rPr>
        <w:t>）</w:t>
      </w:r>
      <w:r>
        <w:rPr>
          <w:rFonts w:hint="eastAsia"/>
        </w:rPr>
        <w:t>采购文件的全部内容，愿以含税价人民币（大写）</w:t>
      </w:r>
      <w:r>
        <w:rPr>
          <w:rFonts w:hint="eastAsia"/>
          <w:u w:val="single"/>
        </w:rPr>
        <w:t xml:space="preserve"> </w:t>
      </w:r>
      <w:r>
        <w:rPr>
          <w:u w:val="single"/>
        </w:rPr>
        <w:t xml:space="preserve">         </w:t>
      </w:r>
      <w:r>
        <w:rPr>
          <w:rFonts w:hint="eastAsia"/>
        </w:rPr>
        <w:t>（¥</w:t>
      </w:r>
      <w:r>
        <w:rPr>
          <w:u w:val="single"/>
        </w:rPr>
        <w:t xml:space="preserve">         </w:t>
      </w:r>
      <w:r>
        <w:rPr>
          <w:rFonts w:hint="eastAsia"/>
        </w:rPr>
        <w:t>元）的总报价（其中，增值税税率</w:t>
      </w:r>
      <w:r>
        <w:rPr>
          <w:rFonts w:hint="eastAsia"/>
          <w:u w:val="single"/>
        </w:rPr>
        <w:t xml:space="preserve"> </w:t>
      </w:r>
      <w:r>
        <w:rPr>
          <w:u w:val="single"/>
        </w:rPr>
        <w:t xml:space="preserve"> </w:t>
      </w:r>
      <w:r>
        <w:t>%</w:t>
      </w:r>
      <w:r>
        <w:rPr>
          <w:rFonts w:hint="eastAsia"/>
        </w:rPr>
        <w:t>），提供本项目采购文件要求的所有内容，并按合同约定履行义务。</w:t>
      </w:r>
    </w:p>
    <w:p w14:paraId="08643AD3">
      <w:pPr>
        <w:ind w:firstLine="480"/>
      </w:pPr>
      <w:r>
        <w:rPr>
          <w:rFonts w:hint="eastAsia"/>
        </w:rPr>
        <w:t>一、本响应文件自递交响应文件的截止时间起</w:t>
      </w:r>
      <w:r>
        <w:rPr>
          <w:rFonts w:hint="eastAsia"/>
          <w:u w:val="single"/>
        </w:rPr>
        <w:t>90</w:t>
      </w:r>
      <w:r>
        <w:rPr>
          <w:rFonts w:hint="eastAsia"/>
        </w:rPr>
        <w:t>日内有效。</w:t>
      </w:r>
    </w:p>
    <w:p w14:paraId="13AECF22">
      <w:pPr>
        <w:ind w:firstLine="480"/>
      </w:pPr>
      <w:r>
        <w:rPr>
          <w:rFonts w:hint="eastAsia"/>
        </w:rPr>
        <w:t>二、我司认为贵司有权决定成交供应商，还认为贵司有权接受或拒绝所有的响应供应商。</w:t>
      </w:r>
    </w:p>
    <w:p w14:paraId="2138C327">
      <w:pPr>
        <w:ind w:firstLine="480"/>
      </w:pPr>
      <w:r>
        <w:rPr>
          <w:rFonts w:hint="eastAsia"/>
        </w:rPr>
        <w:t>三、我司愿提供采购文件中要求的全部资料，并配合采购人对资料的真实性进行验证。</w:t>
      </w:r>
    </w:p>
    <w:p w14:paraId="36A2C277">
      <w:pPr>
        <w:ind w:firstLine="480"/>
      </w:pPr>
      <w:r>
        <w:rPr>
          <w:rFonts w:hint="eastAsia"/>
        </w:rPr>
        <w:t>四、</w:t>
      </w:r>
      <w:r>
        <w:t>如我</w:t>
      </w:r>
      <w:r>
        <w:rPr>
          <w:rFonts w:hint="eastAsia"/>
        </w:rPr>
        <w:t>司成为成交供应商</w:t>
      </w:r>
      <w:r>
        <w:t>，我方承诺：</w:t>
      </w:r>
    </w:p>
    <w:p w14:paraId="5BB4A901">
      <w:pPr>
        <w:ind w:firstLine="480"/>
      </w:pPr>
      <w:r>
        <w:rPr>
          <w:rFonts w:hint="eastAsia"/>
        </w:rPr>
        <w:t>（1）</w:t>
      </w:r>
      <w:r>
        <w:t>在收到</w:t>
      </w:r>
      <w:r>
        <w:rPr>
          <w:rFonts w:hint="eastAsia"/>
        </w:rPr>
        <w:t>成交</w:t>
      </w:r>
      <w:r>
        <w:t>通知书后，在</w:t>
      </w:r>
      <w:r>
        <w:rPr>
          <w:rFonts w:hint="eastAsia"/>
        </w:rPr>
        <w:t>成交</w:t>
      </w:r>
      <w:r>
        <w:t>通知书规定的期限内与</w:t>
      </w:r>
      <w:r>
        <w:rPr>
          <w:rFonts w:hint="eastAsia"/>
        </w:rPr>
        <w:t>贵司</w:t>
      </w:r>
      <w:r>
        <w:t>签订合同；</w:t>
      </w:r>
    </w:p>
    <w:p w14:paraId="2445B131">
      <w:pPr>
        <w:ind w:firstLine="480"/>
      </w:pPr>
      <w:r>
        <w:t>（2）在签订合同时不向</w:t>
      </w:r>
      <w:r>
        <w:rPr>
          <w:rFonts w:hint="eastAsia"/>
        </w:rPr>
        <w:t>贵司</w:t>
      </w:r>
      <w:r>
        <w:t>提出附加条件；</w:t>
      </w:r>
    </w:p>
    <w:p w14:paraId="6EF7623B">
      <w:pPr>
        <w:ind w:firstLine="480"/>
      </w:pPr>
      <w:r>
        <w:t>（3）按照</w:t>
      </w:r>
      <w:r>
        <w:rPr>
          <w:rFonts w:hint="eastAsia"/>
        </w:rPr>
        <w:t>采购</w:t>
      </w:r>
      <w:r>
        <w:t>文件要求提交履约保证金；</w:t>
      </w:r>
    </w:p>
    <w:p w14:paraId="34D7F8D9">
      <w:pPr>
        <w:ind w:firstLine="480"/>
      </w:pPr>
      <w:r>
        <w:t>（4）在合同约定的期限内完成合同规定的全部义务。</w:t>
      </w:r>
    </w:p>
    <w:p w14:paraId="0CC0FDA2">
      <w:pPr>
        <w:ind w:firstLine="480"/>
      </w:pPr>
      <w:r>
        <w:rPr>
          <w:rFonts w:hint="eastAsia"/>
        </w:rPr>
        <w:t>所有有关报价响应文件、供货、合同履行、售后服务的函电，请按下列联系：</w:t>
      </w:r>
    </w:p>
    <w:p w14:paraId="2FAB63DC">
      <w:pPr>
        <w:ind w:firstLine="480"/>
      </w:pPr>
    </w:p>
    <w:p w14:paraId="55C65ECD">
      <w:pPr>
        <w:ind w:firstLine="480"/>
        <w:jc w:val="right"/>
      </w:pPr>
      <w:r>
        <w:rPr>
          <w:rFonts w:hint="eastAsia"/>
        </w:rPr>
        <w:t>供应商： （加盖公章）</w:t>
      </w:r>
    </w:p>
    <w:p w14:paraId="298CDA56">
      <w:pPr>
        <w:ind w:firstLine="480"/>
        <w:jc w:val="right"/>
      </w:pPr>
      <w:r>
        <w:rPr>
          <w:rFonts w:hint="eastAsia"/>
        </w:rPr>
        <w:t>法定代表人或授权代理人：（签字或盖章）</w:t>
      </w:r>
    </w:p>
    <w:p w14:paraId="648770A0">
      <w:pPr>
        <w:wordWrap w:val="0"/>
        <w:ind w:firstLine="480"/>
        <w:jc w:val="right"/>
      </w:pPr>
      <w:r>
        <w:rPr>
          <w:rFonts w:hint="eastAsia"/>
        </w:rPr>
        <w:t xml:space="preserve">地址： </w:t>
      </w:r>
      <w:r>
        <w:t xml:space="preserve"> </w:t>
      </w:r>
      <w:r>
        <w:rPr>
          <w:rFonts w:hint="eastAsia"/>
        </w:rPr>
        <w:t xml:space="preserve"> </w:t>
      </w:r>
      <w:r>
        <w:t xml:space="preserve">          </w:t>
      </w:r>
    </w:p>
    <w:p w14:paraId="3AB09E5B">
      <w:pPr>
        <w:wordWrap w:val="0"/>
        <w:ind w:firstLine="480"/>
        <w:jc w:val="right"/>
      </w:pPr>
      <w:r>
        <w:rPr>
          <w:rFonts w:hint="eastAsia"/>
        </w:rPr>
        <w:t xml:space="preserve">电话： </w:t>
      </w:r>
      <w:r>
        <w:t xml:space="preserve"> </w:t>
      </w:r>
      <w:r>
        <w:rPr>
          <w:rFonts w:hint="eastAsia"/>
        </w:rPr>
        <w:t xml:space="preserve"> </w:t>
      </w:r>
      <w:r>
        <w:t xml:space="preserve">          </w:t>
      </w:r>
    </w:p>
    <w:p w14:paraId="2BE745A8">
      <w:pPr>
        <w:wordWrap w:val="0"/>
        <w:ind w:firstLine="480"/>
        <w:jc w:val="right"/>
      </w:pPr>
      <w:r>
        <w:rPr>
          <w:rFonts w:hint="eastAsia"/>
        </w:rPr>
        <w:t xml:space="preserve">公司邮箱： </w:t>
      </w:r>
      <w:r>
        <w:t xml:space="preserve">            </w:t>
      </w:r>
    </w:p>
    <w:p w14:paraId="366FA844">
      <w:pPr>
        <w:ind w:firstLine="480"/>
        <w:jc w:val="right"/>
      </w:pPr>
      <w:r>
        <w:rPr>
          <w:rFonts w:hint="eastAsia"/>
        </w:rPr>
        <w:t xml:space="preserve">    年  　月　  日</w:t>
      </w:r>
    </w:p>
    <w:p w14:paraId="6D4DD178">
      <w:pPr>
        <w:widowControl/>
        <w:spacing w:line="240" w:lineRule="auto"/>
        <w:ind w:firstLine="0" w:firstLineChars="0"/>
        <w:jc w:val="left"/>
      </w:pPr>
      <w:r>
        <w:br w:type="page"/>
      </w:r>
      <w:r>
        <w:t>2</w:t>
      </w:r>
      <w:r>
        <w:rPr>
          <w:rFonts w:hint="eastAsia"/>
        </w:rPr>
        <w:t>分项报价表</w:t>
      </w:r>
    </w:p>
    <w:p w14:paraId="24EA553A">
      <w:pPr>
        <w:ind w:firstLine="562"/>
        <w:jc w:val="center"/>
        <w:rPr>
          <w:b/>
          <w:bCs/>
          <w:sz w:val="28"/>
          <w:szCs w:val="24"/>
        </w:rPr>
      </w:pPr>
      <w:bookmarkStart w:id="27" w:name="_Toc28144"/>
      <w:r>
        <w:rPr>
          <w:rFonts w:hint="eastAsia"/>
          <w:b/>
          <w:bCs/>
          <w:sz w:val="28"/>
          <w:szCs w:val="24"/>
        </w:rPr>
        <w:t>分项报价表</w:t>
      </w:r>
      <w:bookmarkEnd w:id="27"/>
    </w:p>
    <w:p w14:paraId="01C7EC88">
      <w:pPr>
        <w:ind w:firstLine="0" w:firstLineChars="0"/>
        <w:rPr>
          <w:sz w:val="21"/>
          <w:szCs w:val="21"/>
          <w:u w:val="single"/>
        </w:rPr>
      </w:pPr>
      <w:r>
        <w:rPr>
          <w:rFonts w:hint="eastAsia"/>
          <w:sz w:val="21"/>
          <w:szCs w:val="21"/>
        </w:rPr>
        <w:t>项目名称：</w:t>
      </w:r>
      <w:r>
        <w:rPr>
          <w:rFonts w:hint="eastAsia"/>
          <w:sz w:val="21"/>
          <w:szCs w:val="21"/>
          <w:u w:val="single"/>
          <w:lang w:eastAsia="zh-CN"/>
        </w:rPr>
        <w:t>南通轨道交通集团有限公司运营分公司2026年度办公设备耗材采购项目</w:t>
      </w:r>
      <w:r>
        <w:rPr>
          <w:rFonts w:hint="eastAsia"/>
          <w:sz w:val="21"/>
          <w:szCs w:val="21"/>
          <w:u w:val="single"/>
        </w:rPr>
        <w:t>（项目编号：</w:t>
      </w:r>
      <w:r>
        <w:rPr>
          <w:rFonts w:hint="eastAsia"/>
          <w:sz w:val="21"/>
          <w:szCs w:val="21"/>
          <w:u w:val="single"/>
          <w:lang w:eastAsia="zh-CN"/>
        </w:rPr>
        <w:t>NTGY-2026-FW-BX-004</w:t>
      </w:r>
      <w:r>
        <w:rPr>
          <w:rFonts w:hint="eastAsia"/>
          <w:sz w:val="21"/>
          <w:szCs w:val="21"/>
          <w:u w:val="single"/>
        </w:rPr>
        <w:t>）</w:t>
      </w:r>
    </w:p>
    <w:tbl>
      <w:tblPr>
        <w:tblStyle w:val="25"/>
        <w:tblW w:w="5000" w:type="pct"/>
        <w:tblInd w:w="0" w:type="dxa"/>
        <w:tblLayout w:type="fixed"/>
        <w:tblCellMar>
          <w:top w:w="0" w:type="dxa"/>
          <w:left w:w="108" w:type="dxa"/>
          <w:bottom w:w="0" w:type="dxa"/>
          <w:right w:w="108" w:type="dxa"/>
        </w:tblCellMar>
      </w:tblPr>
      <w:tblGrid>
        <w:gridCol w:w="430"/>
        <w:gridCol w:w="678"/>
        <w:gridCol w:w="684"/>
        <w:gridCol w:w="676"/>
        <w:gridCol w:w="730"/>
        <w:gridCol w:w="2238"/>
        <w:gridCol w:w="1097"/>
        <w:gridCol w:w="846"/>
        <w:gridCol w:w="741"/>
        <w:gridCol w:w="827"/>
      </w:tblGrid>
      <w:tr w14:paraId="4649C9F8">
        <w:tblPrEx>
          <w:tblCellMar>
            <w:top w:w="0" w:type="dxa"/>
            <w:left w:w="108" w:type="dxa"/>
            <w:bottom w:w="0" w:type="dxa"/>
            <w:right w:w="108" w:type="dxa"/>
          </w:tblCellMar>
        </w:tblPrEx>
        <w:trPr>
          <w:trHeight w:val="300" w:hRule="atLeast"/>
        </w:trPr>
        <w:tc>
          <w:tcPr>
            <w:tcW w:w="1787" w:type="pct"/>
            <w:gridSpan w:val="5"/>
            <w:tcBorders>
              <w:top w:val="single" w:color="000000" w:sz="4" w:space="0"/>
              <w:left w:val="single" w:color="000000" w:sz="4" w:space="0"/>
              <w:bottom w:val="single" w:color="000000" w:sz="4" w:space="0"/>
              <w:right w:val="single" w:color="000000" w:sz="4" w:space="0"/>
            </w:tcBorders>
            <w:noWrap w:val="0"/>
            <w:vAlign w:val="center"/>
          </w:tcPr>
          <w:p w14:paraId="3F53124C">
            <w:pPr>
              <w:widowControl/>
              <w:ind w:firstLine="422"/>
              <w:jc w:val="center"/>
              <w:textAlignment w:val="center"/>
              <w:rPr>
                <w:rFonts w:ascii="宋体" w:hAnsi="宋体" w:cs="宋体"/>
                <w:b/>
                <w:bCs/>
                <w:color w:val="000000"/>
                <w:sz w:val="21"/>
                <w:szCs w:val="21"/>
              </w:rPr>
            </w:pPr>
            <w:r>
              <w:rPr>
                <w:rStyle w:val="59"/>
                <w:rFonts w:hint="default"/>
                <w:lang w:bidi="ar"/>
              </w:rPr>
              <w:t>采购物资描述</w:t>
            </w:r>
          </w:p>
        </w:tc>
        <w:tc>
          <w:tcPr>
            <w:tcW w:w="3212" w:type="pct"/>
            <w:gridSpan w:val="5"/>
            <w:tcBorders>
              <w:top w:val="single" w:color="000000" w:sz="4" w:space="0"/>
              <w:left w:val="single" w:color="000000" w:sz="4" w:space="0"/>
              <w:bottom w:val="single" w:color="000000" w:sz="4" w:space="0"/>
              <w:right w:val="single" w:color="000000" w:sz="4" w:space="0"/>
            </w:tcBorders>
            <w:noWrap w:val="0"/>
            <w:vAlign w:val="center"/>
          </w:tcPr>
          <w:p w14:paraId="0AA85162">
            <w:pPr>
              <w:widowControl/>
              <w:ind w:firstLine="422"/>
              <w:jc w:val="center"/>
              <w:textAlignment w:val="center"/>
              <w:rPr>
                <w:rFonts w:ascii="宋体" w:hAnsi="宋体" w:cs="宋体"/>
                <w:b/>
                <w:bCs/>
                <w:color w:val="000000"/>
                <w:sz w:val="21"/>
                <w:szCs w:val="21"/>
              </w:rPr>
            </w:pPr>
            <w:r>
              <w:rPr>
                <w:rStyle w:val="59"/>
                <w:rFonts w:hint="default"/>
                <w:lang w:bidi="ar"/>
              </w:rPr>
              <w:t>响应物资描述</w:t>
            </w:r>
          </w:p>
        </w:tc>
      </w:tr>
      <w:tr w14:paraId="0A61E653">
        <w:tblPrEx>
          <w:tblCellMar>
            <w:top w:w="0" w:type="dxa"/>
            <w:left w:w="108" w:type="dxa"/>
            <w:bottom w:w="0" w:type="dxa"/>
            <w:right w:w="108" w:type="dxa"/>
          </w:tblCellMar>
        </w:tblPrEx>
        <w:trPr>
          <w:trHeight w:val="495"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14:paraId="6A0C300E">
            <w:pPr>
              <w:widowControl/>
              <w:ind w:firstLine="0" w:firstLineChars="0"/>
              <w:jc w:val="center"/>
              <w:textAlignment w:val="center"/>
              <w:rPr>
                <w:rFonts w:ascii="宋体" w:hAnsi="宋体" w:cs="宋体"/>
                <w:color w:val="000000"/>
                <w:sz w:val="21"/>
                <w:szCs w:val="21"/>
              </w:rPr>
            </w:pPr>
            <w:r>
              <w:rPr>
                <w:rStyle w:val="60"/>
                <w:rFonts w:hint="default"/>
                <w:lang w:bidi="ar"/>
              </w:rPr>
              <w:t>序号</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534118A">
            <w:pPr>
              <w:widowControl/>
              <w:ind w:firstLine="0" w:firstLineChars="0"/>
              <w:jc w:val="center"/>
              <w:textAlignment w:val="center"/>
              <w:rPr>
                <w:rFonts w:ascii="宋体" w:hAnsi="宋体" w:cs="宋体"/>
                <w:color w:val="000000"/>
                <w:sz w:val="21"/>
                <w:szCs w:val="21"/>
              </w:rPr>
            </w:pPr>
            <w:r>
              <w:rPr>
                <w:rStyle w:val="60"/>
                <w:rFonts w:hint="default"/>
                <w:lang w:bidi="ar"/>
              </w:rPr>
              <w:t>物资名称</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747239F">
            <w:pPr>
              <w:widowControl/>
              <w:ind w:firstLine="0" w:firstLineChars="0"/>
              <w:jc w:val="center"/>
              <w:textAlignment w:val="center"/>
              <w:rPr>
                <w:rFonts w:ascii="宋体" w:hAnsi="宋体" w:cs="宋体"/>
                <w:color w:val="000000"/>
                <w:sz w:val="21"/>
                <w:szCs w:val="21"/>
              </w:rPr>
            </w:pPr>
            <w:r>
              <w:rPr>
                <w:rStyle w:val="60"/>
                <w:rFonts w:hint="default"/>
                <w:lang w:bidi="ar"/>
              </w:rPr>
              <w:t>物资描述</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1FF3F2A0">
            <w:pPr>
              <w:widowControl/>
              <w:ind w:firstLine="0" w:firstLineChars="0"/>
              <w:jc w:val="center"/>
              <w:textAlignment w:val="center"/>
              <w:rPr>
                <w:rFonts w:ascii="宋体" w:hAnsi="宋体" w:cs="宋体"/>
                <w:color w:val="000000"/>
                <w:sz w:val="21"/>
                <w:szCs w:val="21"/>
              </w:rPr>
            </w:pPr>
            <w:r>
              <w:rPr>
                <w:rStyle w:val="60"/>
                <w:rFonts w:hint="default"/>
                <w:lang w:bidi="ar"/>
              </w:rPr>
              <w:t>单位</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06CB1C2">
            <w:pPr>
              <w:widowControl/>
              <w:ind w:firstLine="0" w:firstLineChars="0"/>
              <w:jc w:val="center"/>
              <w:textAlignment w:val="center"/>
              <w:rPr>
                <w:rFonts w:ascii="宋体" w:hAnsi="宋体" w:cs="宋体"/>
                <w:color w:val="000000"/>
                <w:sz w:val="21"/>
                <w:szCs w:val="21"/>
              </w:rPr>
            </w:pPr>
            <w:r>
              <w:rPr>
                <w:rStyle w:val="60"/>
                <w:rFonts w:hint="default"/>
                <w:lang w:bidi="ar"/>
              </w:rPr>
              <w:t>数量</w:t>
            </w:r>
          </w:p>
        </w:tc>
        <w:tc>
          <w:tcPr>
            <w:tcW w:w="1251" w:type="pct"/>
            <w:tcBorders>
              <w:top w:val="single" w:color="000000" w:sz="4" w:space="0"/>
              <w:left w:val="single" w:color="000000" w:sz="4" w:space="0"/>
              <w:bottom w:val="single" w:color="000000" w:sz="4" w:space="0"/>
              <w:right w:val="single" w:color="000000" w:sz="4" w:space="0"/>
            </w:tcBorders>
            <w:noWrap w:val="0"/>
            <w:vAlign w:val="center"/>
          </w:tcPr>
          <w:p w14:paraId="516D540A">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sz w:val="21"/>
                <w:szCs w:val="21"/>
              </w:rPr>
              <w:t>响应物资描述是否与“物资参数表”内一致</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50624C11">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单价（含税）</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5B10CF1E">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合价（含税）</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D9E80F6">
            <w:pPr>
              <w:widowControl/>
              <w:ind w:firstLine="0" w:firstLineChars="0"/>
              <w:jc w:val="center"/>
              <w:textAlignment w:val="center"/>
              <w:rPr>
                <w:rFonts w:ascii="宋体" w:hAnsi="宋体" w:cs="宋体"/>
                <w:color w:val="000000"/>
                <w:sz w:val="21"/>
                <w:szCs w:val="21"/>
              </w:rPr>
            </w:pPr>
            <w:r>
              <w:rPr>
                <w:rStyle w:val="60"/>
                <w:rFonts w:hint="default"/>
                <w:lang w:bidi="ar"/>
              </w:rPr>
              <w:t>质保期（月）</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4E11D50C">
            <w:pPr>
              <w:widowControl/>
              <w:ind w:firstLine="0" w:firstLineChars="0"/>
              <w:jc w:val="center"/>
              <w:textAlignment w:val="center"/>
              <w:rPr>
                <w:rFonts w:ascii="宋体" w:hAnsi="宋体" w:cs="宋体"/>
                <w:color w:val="000000"/>
                <w:sz w:val="21"/>
                <w:szCs w:val="21"/>
              </w:rPr>
            </w:pPr>
            <w:r>
              <w:rPr>
                <w:rStyle w:val="60"/>
                <w:rFonts w:hint="default"/>
                <w:lang w:bidi="ar"/>
              </w:rPr>
              <w:t>备注</w:t>
            </w:r>
          </w:p>
        </w:tc>
      </w:tr>
      <w:tr w14:paraId="26428886">
        <w:tblPrEx>
          <w:tblCellMar>
            <w:top w:w="0" w:type="dxa"/>
            <w:left w:w="108" w:type="dxa"/>
            <w:bottom w:w="0" w:type="dxa"/>
            <w:right w:w="108" w:type="dxa"/>
          </w:tblCellMar>
        </w:tblPrEx>
        <w:trPr>
          <w:trHeight w:val="283" w:hRule="atLeast"/>
        </w:trPr>
        <w:tc>
          <w:tcPr>
            <w:tcW w:w="240" w:type="pct"/>
            <w:tcBorders>
              <w:top w:val="single" w:color="000000" w:sz="4" w:space="0"/>
              <w:left w:val="single" w:color="000000" w:sz="4" w:space="0"/>
              <w:bottom w:val="single" w:color="000000" w:sz="4" w:space="0"/>
              <w:right w:val="single" w:color="000000" w:sz="4" w:space="0"/>
            </w:tcBorders>
            <w:noWrap w:val="0"/>
            <w:vAlign w:val="center"/>
          </w:tcPr>
          <w:p w14:paraId="4A88EF4F">
            <w:pPr>
              <w:widowControl/>
              <w:ind w:firstLine="0" w:firstLineChars="0"/>
              <w:jc w:val="center"/>
              <w:textAlignment w:val="center"/>
              <w:rPr>
                <w:rFonts w:ascii="宋体" w:hAnsi="宋体" w:cs="宋体"/>
                <w:color w:val="000000"/>
                <w:sz w:val="21"/>
                <w:szCs w:val="21"/>
              </w:rPr>
            </w:pPr>
            <w:r>
              <w:rPr>
                <w:rFonts w:hint="eastAsia" w:ascii="宋体" w:hAnsi="宋体" w:cs="宋体"/>
                <w:color w:val="000000"/>
                <w:kern w:val="0"/>
                <w:sz w:val="21"/>
                <w:szCs w:val="21"/>
                <w:lang w:bidi="ar"/>
              </w:rPr>
              <w:t>1</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39B54CE">
            <w:pPr>
              <w:ind w:firstLine="400"/>
              <w:jc w:val="center"/>
              <w:rPr>
                <w:rFonts w:cs="Times New Roman"/>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4AE2D01C">
            <w:pPr>
              <w:ind w:firstLine="400"/>
              <w:jc w:val="center"/>
              <w:rPr>
                <w:rFonts w:cs="Times New Roman"/>
                <w:color w:val="000000"/>
                <w:sz w:val="20"/>
                <w:szCs w:val="20"/>
              </w:rPr>
            </w:pP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3D746FF2">
            <w:pPr>
              <w:ind w:firstLine="400"/>
              <w:jc w:val="center"/>
              <w:rPr>
                <w:rFonts w:cs="Times New Roman"/>
                <w:color w:val="000000"/>
                <w:sz w:val="20"/>
                <w:szCs w:val="20"/>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6D3F435">
            <w:pPr>
              <w:ind w:firstLine="400"/>
              <w:jc w:val="center"/>
              <w:rPr>
                <w:rFonts w:cs="Times New Roman"/>
                <w:color w:val="000000"/>
                <w:sz w:val="20"/>
                <w:szCs w:val="20"/>
              </w:rPr>
            </w:pPr>
          </w:p>
        </w:tc>
        <w:tc>
          <w:tcPr>
            <w:tcW w:w="1251" w:type="pct"/>
            <w:tcBorders>
              <w:top w:val="single" w:color="000000" w:sz="4" w:space="0"/>
              <w:left w:val="single" w:color="000000" w:sz="4" w:space="0"/>
              <w:bottom w:val="single" w:color="000000" w:sz="4" w:space="0"/>
              <w:right w:val="single" w:color="000000" w:sz="4" w:space="0"/>
            </w:tcBorders>
            <w:noWrap w:val="0"/>
            <w:vAlign w:val="center"/>
          </w:tcPr>
          <w:p w14:paraId="6607F582">
            <w:pPr>
              <w:ind w:firstLine="400"/>
              <w:jc w:val="center"/>
              <w:rPr>
                <w:rFonts w:cs="Times New Roman"/>
                <w:color w:val="000000"/>
                <w:sz w:val="20"/>
                <w:szCs w:val="20"/>
              </w:rPr>
            </w:pPr>
            <w:r>
              <w:rPr>
                <w:rFonts w:hint="eastAsia" w:cs="Times New Roman"/>
                <w:color w:val="000000"/>
                <w:sz w:val="20"/>
                <w:szCs w:val="20"/>
              </w:rPr>
              <w:t>是/否</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3F88108F">
            <w:pPr>
              <w:ind w:firstLine="400"/>
              <w:jc w:val="center"/>
              <w:rPr>
                <w:rFonts w:cs="Times New Roman"/>
                <w:color w:val="000000"/>
                <w:sz w:val="20"/>
                <w:szCs w:val="20"/>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0882BCE0">
            <w:pPr>
              <w:ind w:firstLine="400"/>
              <w:jc w:val="center"/>
              <w:rPr>
                <w:rFonts w:cs="Times New Roman"/>
                <w:color w:val="000000"/>
                <w:sz w:val="20"/>
                <w:szCs w:val="20"/>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B045E4E">
            <w:pPr>
              <w:ind w:firstLine="400"/>
              <w:jc w:val="center"/>
              <w:rPr>
                <w:rFonts w:cs="Times New Roman"/>
                <w:color w:val="000000"/>
                <w:sz w:val="20"/>
                <w:szCs w:val="20"/>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14:paraId="2DE29AB7">
            <w:pPr>
              <w:ind w:firstLine="400"/>
              <w:jc w:val="center"/>
              <w:rPr>
                <w:rFonts w:cs="Times New Roman"/>
                <w:color w:val="000000"/>
                <w:sz w:val="20"/>
                <w:szCs w:val="20"/>
              </w:rPr>
            </w:pPr>
          </w:p>
        </w:tc>
      </w:tr>
      <w:tr w14:paraId="2AB5BAAA">
        <w:tblPrEx>
          <w:tblCellMar>
            <w:top w:w="0" w:type="dxa"/>
            <w:left w:w="108" w:type="dxa"/>
            <w:bottom w:w="0" w:type="dxa"/>
            <w:right w:w="108" w:type="dxa"/>
          </w:tblCellMar>
        </w:tblPrEx>
        <w:trPr>
          <w:trHeight w:val="431" w:hRule="atLeast"/>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23E509D6">
            <w:pPr>
              <w:widowControl/>
              <w:ind w:firstLine="440"/>
              <w:jc w:val="left"/>
              <w:textAlignment w:val="center"/>
              <w:rPr>
                <w:rFonts w:ascii="宋体" w:hAnsi="宋体" w:cs="宋体"/>
                <w:color w:val="000000"/>
                <w:sz w:val="20"/>
                <w:szCs w:val="20"/>
              </w:rPr>
            </w:pPr>
            <w:r>
              <w:rPr>
                <w:rStyle w:val="61"/>
                <w:rFonts w:hint="default"/>
                <w:lang w:bidi="ar"/>
              </w:rPr>
              <w:t>综合价含税人民币（大写）</w:t>
            </w:r>
            <w:r>
              <w:rPr>
                <w:rStyle w:val="62"/>
                <w:lang w:bidi="ar"/>
              </w:rPr>
              <w:t xml:space="preserve">            </w:t>
            </w:r>
            <w:r>
              <w:rPr>
                <w:rStyle w:val="61"/>
                <w:rFonts w:hint="default"/>
                <w:lang w:bidi="ar"/>
              </w:rPr>
              <w:t>（</w:t>
            </w:r>
            <w:r>
              <w:rPr>
                <w:rStyle w:val="63"/>
                <w:rFonts w:hint="default"/>
                <w:lang w:bidi="ar"/>
              </w:rPr>
              <w:t xml:space="preserve">¥ </w:t>
            </w:r>
            <w:r>
              <w:rPr>
                <w:rStyle w:val="62"/>
                <w:lang w:bidi="ar"/>
              </w:rPr>
              <w:t xml:space="preserve">           </w:t>
            </w:r>
            <w:r>
              <w:rPr>
                <w:rStyle w:val="61"/>
                <w:rFonts w:hint="default"/>
                <w:lang w:bidi="ar"/>
              </w:rPr>
              <w:t>元）</w:t>
            </w:r>
            <w:r>
              <w:rPr>
                <w:rStyle w:val="63"/>
                <w:rFonts w:hint="default"/>
                <w:lang w:bidi="ar"/>
              </w:rPr>
              <w:t xml:space="preserve"> </w:t>
            </w:r>
            <w:r>
              <w:rPr>
                <w:rStyle w:val="61"/>
                <w:rFonts w:hint="default"/>
                <w:lang w:bidi="ar"/>
              </w:rPr>
              <w:t>增值税税率</w:t>
            </w:r>
            <w:r>
              <w:rPr>
                <w:rStyle w:val="62"/>
                <w:lang w:bidi="ar"/>
              </w:rPr>
              <w:t xml:space="preserve">     </w:t>
            </w:r>
            <w:r>
              <w:rPr>
                <w:rStyle w:val="63"/>
                <w:rFonts w:hint="default"/>
                <w:lang w:bidi="ar"/>
              </w:rPr>
              <w:t>%</w:t>
            </w:r>
          </w:p>
        </w:tc>
      </w:tr>
    </w:tbl>
    <w:p w14:paraId="3736FC60">
      <w:pPr>
        <w:ind w:firstLine="480"/>
        <w:rPr>
          <w:rFonts w:cs="Times New Roman"/>
          <w:szCs w:val="32"/>
        </w:rPr>
      </w:pPr>
      <w:r>
        <w:rPr>
          <w:rFonts w:hint="eastAsia" w:cs="Times New Roman"/>
          <w:szCs w:val="32"/>
        </w:rPr>
        <w:t>注：</w:t>
      </w:r>
    </w:p>
    <w:p w14:paraId="2B11952A">
      <w:pPr>
        <w:ind w:firstLine="480"/>
        <w:rPr>
          <w:rFonts w:cs="Times New Roman"/>
          <w:szCs w:val="32"/>
        </w:rPr>
      </w:pPr>
      <w:r>
        <w:rPr>
          <w:rFonts w:hint="eastAsia" w:cs="Times New Roman"/>
          <w:szCs w:val="32"/>
        </w:rPr>
        <w:t>1、序号须与第五章“采购需求”需求清单序号一致；</w:t>
      </w:r>
    </w:p>
    <w:p w14:paraId="5657B951">
      <w:pPr>
        <w:ind w:firstLine="480"/>
        <w:rPr>
          <w:rFonts w:cs="Times New Roman"/>
          <w:szCs w:val="32"/>
        </w:rPr>
      </w:pPr>
      <w:r>
        <w:rPr>
          <w:rFonts w:hint="eastAsia" w:cs="Times New Roman"/>
          <w:szCs w:val="32"/>
        </w:rPr>
        <w:t>2、本项目计价方式固定单价，采购人有权对采购标的的数量进行增加或减少；</w:t>
      </w:r>
    </w:p>
    <w:p w14:paraId="1F6EEC53">
      <w:pPr>
        <w:ind w:firstLine="480"/>
        <w:rPr>
          <w:rFonts w:cs="Times New Roman"/>
          <w:szCs w:val="32"/>
        </w:rPr>
      </w:pPr>
      <w:r>
        <w:rPr>
          <w:rFonts w:hint="eastAsia" w:cs="Times New Roman"/>
          <w:szCs w:val="32"/>
        </w:rPr>
        <w:t>3、本项目不接受负偏离。</w:t>
      </w:r>
    </w:p>
    <w:p w14:paraId="7D062D7D">
      <w:pPr>
        <w:widowControl/>
        <w:spacing w:line="240" w:lineRule="auto"/>
        <w:ind w:firstLine="0" w:firstLineChars="0"/>
        <w:jc w:val="left"/>
        <w:rPr>
          <w:rFonts w:ascii="宋体" w:hAnsi="宋体" w:cs="宋体"/>
          <w:bCs/>
          <w:szCs w:val="24"/>
          <w:highlight w:val="none"/>
        </w:rPr>
      </w:pPr>
    </w:p>
    <w:sectPr>
      <w:pgSz w:w="11906" w:h="16838"/>
      <w:pgMar w:top="1418" w:right="1588" w:bottom="1418" w:left="1588"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CE1EA4-CF77-4650-9AB2-065629E08D9E}"/>
  </w:font>
  <w:font w:name="黑体">
    <w:panose1 w:val="02010609060101010101"/>
    <w:charset w:val="86"/>
    <w:family w:val="auto"/>
    <w:pitch w:val="default"/>
    <w:sig w:usb0="800002BF" w:usb1="38CF7CFA" w:usb2="00000016" w:usb3="00000000" w:csb0="00040001" w:csb1="00000000"/>
    <w:embedRegular r:id="rId2" w:fontKey="{6E617B3A-C215-420D-AD3B-05E18C48F0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6052784D-611C-44A3-994E-308E4660C99D}"/>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ÀŒÃÂ">
    <w:altName w:val="Segoe Print"/>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embedRegular r:id="rId4" w:fontKey="{1BB4599E-67A4-484A-86C3-2A6FC3427D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7280">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07F5">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0CFAB">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9191">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8442">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990F2">
                          <w:pPr>
                            <w:pStyle w:val="18"/>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98990F2">
                    <w:pPr>
                      <w:pStyle w:val="18"/>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4039">
    <w:pPr>
      <w:pStyle w:val="18"/>
      <w:ind w:firstLine="360"/>
      <w:rPr>
        <w:rStyle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961220">
                          <w:pPr>
                            <w:pStyle w:val="18"/>
                            <w:ind w:firstLine="360"/>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4961220">
                    <w:pPr>
                      <w:pStyle w:val="18"/>
                      <w:ind w:firstLine="360"/>
                    </w:pPr>
                    <w:r>
                      <w:fldChar w:fldCharType="begin"/>
                    </w:r>
                    <w:r>
                      <w:instrText xml:space="preserve"> PAGE  \* MERGEFORMAT </w:instrText>
                    </w:r>
                    <w:r>
                      <w:fldChar w:fldCharType="separate"/>
                    </w:r>
                    <w:r>
                      <w:t>- 24 -</w:t>
                    </w:r>
                    <w:r>
                      <w:fldChar w:fldCharType="end"/>
                    </w:r>
                  </w:p>
                </w:txbxContent>
              </v:textbox>
            </v:shape>
          </w:pict>
        </mc:Fallback>
      </mc:AlternateContent>
    </w:r>
  </w:p>
  <w:p w14:paraId="337912ED">
    <w:pPr>
      <w:rPr>
        <w:sz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63FB9">
    <w:pPr>
      <w:pStyle w:val="18"/>
      <w:framePr w:wrap="around" w:vAnchor="text" w:hAnchor="margin" w:xAlign="center" w:y="1"/>
      <w:ind w:firstLine="360"/>
      <w:rPr>
        <w:rStyle w:val="28"/>
      </w:rPr>
    </w:pPr>
    <w:r>
      <w:fldChar w:fldCharType="begin"/>
    </w:r>
    <w:r>
      <w:rPr>
        <w:rStyle w:val="28"/>
      </w:rPr>
      <w:instrText xml:space="preserve">PAGE  </w:instrText>
    </w:r>
    <w:r>
      <w:fldChar w:fldCharType="end"/>
    </w:r>
  </w:p>
  <w:p w14:paraId="5C13B8AD">
    <w:pPr>
      <w:pStyle w:val="18"/>
      <w:ind w:right="360" w:firstLine="360"/>
    </w:pPr>
  </w:p>
  <w:p w14:paraId="2A3B1C95">
    <w:pPr>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18AC">
    <w:pPr>
      <w:pStyle w:val="18"/>
      <w:ind w:firstLine="360"/>
      <w:rPr>
        <w:rStyle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E89503">
                          <w:pPr>
                            <w:pStyle w:val="18"/>
                            <w:ind w:firstLine="360"/>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78E89503">
                    <w:pPr>
                      <w:pStyle w:val="18"/>
                      <w:ind w:firstLine="360"/>
                    </w:pPr>
                    <w:r>
                      <w:fldChar w:fldCharType="begin"/>
                    </w:r>
                    <w:r>
                      <w:instrText xml:space="preserve"> PAGE  \* MERGEFORMAT </w:instrText>
                    </w:r>
                    <w:r>
                      <w:fldChar w:fldCharType="separate"/>
                    </w:r>
                    <w:r>
                      <w:t>- 24 -</w:t>
                    </w:r>
                    <w:r>
                      <w:fldChar w:fldCharType="end"/>
                    </w:r>
                  </w:p>
                </w:txbxContent>
              </v:textbox>
            </v:shape>
          </w:pict>
        </mc:Fallback>
      </mc:AlternateContent>
    </w:r>
  </w:p>
  <w:p w14:paraId="020ACB2C">
    <w:pP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203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D939">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6F949">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012E">
    <w:pPr>
      <w:ind w:firstLine="482"/>
      <w:rPr>
        <w:b/>
        <w:szCs w:val="4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6D76">
    <w:pPr>
      <w:ind w:firstLine="482"/>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9198F"/>
    <w:multiLevelType w:val="singleLevel"/>
    <w:tmpl w:val="B709198F"/>
    <w:lvl w:ilvl="0" w:tentative="0">
      <w:start w:val="1"/>
      <w:numFmt w:val="decimal"/>
      <w:suff w:val="nothing"/>
      <w:lvlText w:val="（%1）"/>
      <w:lvlJc w:val="left"/>
    </w:lvl>
  </w:abstractNum>
  <w:abstractNum w:abstractNumId="1">
    <w:nsid w:val="F91258F6"/>
    <w:multiLevelType w:val="singleLevel"/>
    <w:tmpl w:val="F91258F6"/>
    <w:lvl w:ilvl="0" w:tentative="0">
      <w:start w:val="1"/>
      <w:numFmt w:val="decimal"/>
      <w:suff w:val="nothing"/>
      <w:lvlText w:val="%1、"/>
      <w:lvlJc w:val="left"/>
      <w:pPr>
        <w:ind w:left="520"/>
      </w:pPr>
    </w:lvl>
  </w:abstractNum>
  <w:abstractNum w:abstractNumId="2">
    <w:nsid w:val="14881E99"/>
    <w:multiLevelType w:val="singleLevel"/>
    <w:tmpl w:val="14881E99"/>
    <w:lvl w:ilvl="0" w:tentative="0">
      <w:start w:val="1"/>
      <w:numFmt w:val="decimal"/>
      <w:suff w:val="nothing"/>
      <w:lvlText w:val="（%1）"/>
      <w:lvlJc w:val="left"/>
    </w:lvl>
  </w:abstractNum>
  <w:abstractNum w:abstractNumId="3">
    <w:nsid w:val="57B3EB9C"/>
    <w:multiLevelType w:val="multilevel"/>
    <w:tmpl w:val="57B3EB9C"/>
    <w:lvl w:ilvl="0" w:tentative="0">
      <w:start w:val="1"/>
      <w:numFmt w:val="decimal"/>
      <w:suff w:val="space"/>
      <w:lvlText w:val="%1."/>
      <w:lvlJc w:val="left"/>
      <w:rPr>
        <w:rFonts w:hint="default"/>
        <w:b/>
        <w:bCs/>
        <w:color w:val="auto"/>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657D3FBC"/>
    <w:multiLevelType w:val="multilevel"/>
    <w:tmpl w:val="657D3FBC"/>
    <w:lvl w:ilvl="0" w:tentative="0">
      <w:start w:val="1"/>
      <w:numFmt w:val="upperLetter"/>
      <w:pStyle w:val="7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ZiZmU4NjU1ZTk3Mjg5YWRkYTllZTUyNGQ2NWEifQ=="/>
    <w:docVar w:name="KSO_WPS_MARK_KEY" w:val="f8c41460-45f3-4e97-a46d-60fb1505db61"/>
  </w:docVars>
  <w:rsids>
    <w:rsidRoot w:val="007A01CF"/>
    <w:rsid w:val="00011FFA"/>
    <w:rsid w:val="00012837"/>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65B"/>
    <w:rsid w:val="00F838F1"/>
    <w:rsid w:val="00F95CC9"/>
    <w:rsid w:val="00FA3095"/>
    <w:rsid w:val="00FA35F2"/>
    <w:rsid w:val="00FE2D33"/>
    <w:rsid w:val="00FE5124"/>
    <w:rsid w:val="00FE7608"/>
    <w:rsid w:val="01457570"/>
    <w:rsid w:val="016D6AC7"/>
    <w:rsid w:val="01B81F4E"/>
    <w:rsid w:val="01E60F36"/>
    <w:rsid w:val="01EA04ED"/>
    <w:rsid w:val="020B07BA"/>
    <w:rsid w:val="02112AE3"/>
    <w:rsid w:val="022A4E77"/>
    <w:rsid w:val="022E44A8"/>
    <w:rsid w:val="02346EF6"/>
    <w:rsid w:val="02691984"/>
    <w:rsid w:val="026A2E36"/>
    <w:rsid w:val="026D4B89"/>
    <w:rsid w:val="028265A2"/>
    <w:rsid w:val="02852841"/>
    <w:rsid w:val="02902A6D"/>
    <w:rsid w:val="02913441"/>
    <w:rsid w:val="02A62291"/>
    <w:rsid w:val="02B64A8D"/>
    <w:rsid w:val="02BE1282"/>
    <w:rsid w:val="02EC1CA9"/>
    <w:rsid w:val="03065425"/>
    <w:rsid w:val="03314FB5"/>
    <w:rsid w:val="034B4414"/>
    <w:rsid w:val="03563241"/>
    <w:rsid w:val="038B3DDC"/>
    <w:rsid w:val="038F71C9"/>
    <w:rsid w:val="03990047"/>
    <w:rsid w:val="03AF3136"/>
    <w:rsid w:val="03B44E81"/>
    <w:rsid w:val="03DB6D68"/>
    <w:rsid w:val="040354C1"/>
    <w:rsid w:val="043A5387"/>
    <w:rsid w:val="047A3C82"/>
    <w:rsid w:val="04862B86"/>
    <w:rsid w:val="04B32967"/>
    <w:rsid w:val="04C46EBC"/>
    <w:rsid w:val="04D26084"/>
    <w:rsid w:val="052120A3"/>
    <w:rsid w:val="055E6E53"/>
    <w:rsid w:val="056A57F8"/>
    <w:rsid w:val="056D227B"/>
    <w:rsid w:val="057228FE"/>
    <w:rsid w:val="05AC22B4"/>
    <w:rsid w:val="05C54482"/>
    <w:rsid w:val="05E0020A"/>
    <w:rsid w:val="05ED6D83"/>
    <w:rsid w:val="062647CB"/>
    <w:rsid w:val="064D7481"/>
    <w:rsid w:val="065048F3"/>
    <w:rsid w:val="06540256"/>
    <w:rsid w:val="06691F53"/>
    <w:rsid w:val="069074E0"/>
    <w:rsid w:val="06BB2083"/>
    <w:rsid w:val="06BB3B5B"/>
    <w:rsid w:val="06BE1C50"/>
    <w:rsid w:val="06C6731D"/>
    <w:rsid w:val="06CC1AEC"/>
    <w:rsid w:val="06DD36FA"/>
    <w:rsid w:val="06F305C5"/>
    <w:rsid w:val="07034156"/>
    <w:rsid w:val="070B6B66"/>
    <w:rsid w:val="0712477A"/>
    <w:rsid w:val="07165CD4"/>
    <w:rsid w:val="071D7F32"/>
    <w:rsid w:val="07247C28"/>
    <w:rsid w:val="074A2E82"/>
    <w:rsid w:val="077706A0"/>
    <w:rsid w:val="07D4164E"/>
    <w:rsid w:val="08070D6B"/>
    <w:rsid w:val="082779D0"/>
    <w:rsid w:val="082A5712"/>
    <w:rsid w:val="082C148A"/>
    <w:rsid w:val="083D5469"/>
    <w:rsid w:val="08407581"/>
    <w:rsid w:val="08547ECE"/>
    <w:rsid w:val="08836BD0"/>
    <w:rsid w:val="088A443D"/>
    <w:rsid w:val="089A512A"/>
    <w:rsid w:val="08A2799E"/>
    <w:rsid w:val="08AC4379"/>
    <w:rsid w:val="08FD1DEA"/>
    <w:rsid w:val="08FD26D2"/>
    <w:rsid w:val="093B0A01"/>
    <w:rsid w:val="097A6637"/>
    <w:rsid w:val="09826A8C"/>
    <w:rsid w:val="09A13015"/>
    <w:rsid w:val="09B41A12"/>
    <w:rsid w:val="09DC2A3C"/>
    <w:rsid w:val="09E0077E"/>
    <w:rsid w:val="0A104E7E"/>
    <w:rsid w:val="0A122961"/>
    <w:rsid w:val="0A30240D"/>
    <w:rsid w:val="0ABA12FC"/>
    <w:rsid w:val="0AC7549A"/>
    <w:rsid w:val="0AF53DB5"/>
    <w:rsid w:val="0B073AE9"/>
    <w:rsid w:val="0B3548DA"/>
    <w:rsid w:val="0B3568A8"/>
    <w:rsid w:val="0B6910EB"/>
    <w:rsid w:val="0B896BF3"/>
    <w:rsid w:val="0BE45BD8"/>
    <w:rsid w:val="0C05627A"/>
    <w:rsid w:val="0C0A1AE2"/>
    <w:rsid w:val="0C1D53A7"/>
    <w:rsid w:val="0C2506CA"/>
    <w:rsid w:val="0C2C216E"/>
    <w:rsid w:val="0C830617"/>
    <w:rsid w:val="0C842CBC"/>
    <w:rsid w:val="0CA57A5D"/>
    <w:rsid w:val="0CE52B68"/>
    <w:rsid w:val="0CF02FE7"/>
    <w:rsid w:val="0D224C0A"/>
    <w:rsid w:val="0D3F3A0E"/>
    <w:rsid w:val="0D68799F"/>
    <w:rsid w:val="0D713D7D"/>
    <w:rsid w:val="0D881D7B"/>
    <w:rsid w:val="0D9E3A74"/>
    <w:rsid w:val="0DB96B40"/>
    <w:rsid w:val="0DCC19EB"/>
    <w:rsid w:val="0DE93979"/>
    <w:rsid w:val="0DFC5A51"/>
    <w:rsid w:val="0E146B29"/>
    <w:rsid w:val="0E4E725B"/>
    <w:rsid w:val="0E6B25E0"/>
    <w:rsid w:val="0ED55A54"/>
    <w:rsid w:val="0EF3685E"/>
    <w:rsid w:val="0EF521B0"/>
    <w:rsid w:val="0EFB2FA6"/>
    <w:rsid w:val="0F181A89"/>
    <w:rsid w:val="0F457653"/>
    <w:rsid w:val="0F590470"/>
    <w:rsid w:val="0F5F0397"/>
    <w:rsid w:val="0F8D136E"/>
    <w:rsid w:val="0FB87AA7"/>
    <w:rsid w:val="0FBD1570"/>
    <w:rsid w:val="0FBD50BE"/>
    <w:rsid w:val="0FDC19E8"/>
    <w:rsid w:val="104B4477"/>
    <w:rsid w:val="105C17DB"/>
    <w:rsid w:val="10635C65"/>
    <w:rsid w:val="10F7015B"/>
    <w:rsid w:val="11180717"/>
    <w:rsid w:val="1161340A"/>
    <w:rsid w:val="117164A2"/>
    <w:rsid w:val="11830360"/>
    <w:rsid w:val="11B22527"/>
    <w:rsid w:val="11E93F48"/>
    <w:rsid w:val="12061235"/>
    <w:rsid w:val="120E3500"/>
    <w:rsid w:val="123A7522"/>
    <w:rsid w:val="125E4936"/>
    <w:rsid w:val="125F42F7"/>
    <w:rsid w:val="129F4319"/>
    <w:rsid w:val="12C30C3D"/>
    <w:rsid w:val="12D40754"/>
    <w:rsid w:val="12E82277"/>
    <w:rsid w:val="12EB7599"/>
    <w:rsid w:val="130A123F"/>
    <w:rsid w:val="13177301"/>
    <w:rsid w:val="134A761C"/>
    <w:rsid w:val="135A334F"/>
    <w:rsid w:val="136A730B"/>
    <w:rsid w:val="13702B73"/>
    <w:rsid w:val="13A10F7E"/>
    <w:rsid w:val="13A97E33"/>
    <w:rsid w:val="13AF4D1D"/>
    <w:rsid w:val="13B14F39"/>
    <w:rsid w:val="13BD568C"/>
    <w:rsid w:val="13D749A0"/>
    <w:rsid w:val="13F60B9E"/>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F31839"/>
    <w:rsid w:val="161206F8"/>
    <w:rsid w:val="16183265"/>
    <w:rsid w:val="16253883"/>
    <w:rsid w:val="16315EBE"/>
    <w:rsid w:val="16333219"/>
    <w:rsid w:val="1649227B"/>
    <w:rsid w:val="16564FD6"/>
    <w:rsid w:val="165C511D"/>
    <w:rsid w:val="16646293"/>
    <w:rsid w:val="166718DF"/>
    <w:rsid w:val="166F4D71"/>
    <w:rsid w:val="16DB6809"/>
    <w:rsid w:val="16F70EB5"/>
    <w:rsid w:val="172872C1"/>
    <w:rsid w:val="17461B3F"/>
    <w:rsid w:val="17E05CE9"/>
    <w:rsid w:val="17FB49D5"/>
    <w:rsid w:val="180E64B6"/>
    <w:rsid w:val="183121A5"/>
    <w:rsid w:val="18377797"/>
    <w:rsid w:val="186662F2"/>
    <w:rsid w:val="18716A45"/>
    <w:rsid w:val="187A579A"/>
    <w:rsid w:val="187C567E"/>
    <w:rsid w:val="18A46E1B"/>
    <w:rsid w:val="19076BA9"/>
    <w:rsid w:val="19250D1B"/>
    <w:rsid w:val="19400014"/>
    <w:rsid w:val="19567D24"/>
    <w:rsid w:val="19706CFD"/>
    <w:rsid w:val="19B149ED"/>
    <w:rsid w:val="19B94B48"/>
    <w:rsid w:val="19C55CC1"/>
    <w:rsid w:val="19ED457C"/>
    <w:rsid w:val="1A3B730B"/>
    <w:rsid w:val="1A4408B5"/>
    <w:rsid w:val="1A6C5508"/>
    <w:rsid w:val="1A97225A"/>
    <w:rsid w:val="1AD80C7F"/>
    <w:rsid w:val="1AE179D4"/>
    <w:rsid w:val="1AE8166C"/>
    <w:rsid w:val="1AF71484"/>
    <w:rsid w:val="1B073F4E"/>
    <w:rsid w:val="1B107830"/>
    <w:rsid w:val="1B4E306E"/>
    <w:rsid w:val="1B520DB0"/>
    <w:rsid w:val="1B522B5E"/>
    <w:rsid w:val="1B572DE3"/>
    <w:rsid w:val="1B651382"/>
    <w:rsid w:val="1B696ADA"/>
    <w:rsid w:val="1B9A62B3"/>
    <w:rsid w:val="1BB750B7"/>
    <w:rsid w:val="1BC32914"/>
    <w:rsid w:val="1C0C71B1"/>
    <w:rsid w:val="1C102A29"/>
    <w:rsid w:val="1C3B01F8"/>
    <w:rsid w:val="1C4F709D"/>
    <w:rsid w:val="1C720D20"/>
    <w:rsid w:val="1C8E38A1"/>
    <w:rsid w:val="1CA3405A"/>
    <w:rsid w:val="1CC47A8B"/>
    <w:rsid w:val="1CC82D53"/>
    <w:rsid w:val="1CC86D62"/>
    <w:rsid w:val="1CE27FBF"/>
    <w:rsid w:val="1D3A4095"/>
    <w:rsid w:val="1D646B79"/>
    <w:rsid w:val="1D74158B"/>
    <w:rsid w:val="1D74500E"/>
    <w:rsid w:val="1DE86601"/>
    <w:rsid w:val="1DF77143"/>
    <w:rsid w:val="1E08043A"/>
    <w:rsid w:val="1E0D3B7E"/>
    <w:rsid w:val="1E290A8B"/>
    <w:rsid w:val="1E302622"/>
    <w:rsid w:val="1E312EFF"/>
    <w:rsid w:val="1E396257"/>
    <w:rsid w:val="1E6C03DB"/>
    <w:rsid w:val="1E8B6273"/>
    <w:rsid w:val="1EBC71A8"/>
    <w:rsid w:val="1EF87ECE"/>
    <w:rsid w:val="1F2251FA"/>
    <w:rsid w:val="1F29007A"/>
    <w:rsid w:val="1F8F0BF8"/>
    <w:rsid w:val="1FEB3581"/>
    <w:rsid w:val="1FF9343C"/>
    <w:rsid w:val="20112FE8"/>
    <w:rsid w:val="20157DAF"/>
    <w:rsid w:val="20250841"/>
    <w:rsid w:val="202924C7"/>
    <w:rsid w:val="20541126"/>
    <w:rsid w:val="20670E5A"/>
    <w:rsid w:val="208E16CF"/>
    <w:rsid w:val="20E1361B"/>
    <w:rsid w:val="210B3ED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95AD0"/>
    <w:rsid w:val="22342FBD"/>
    <w:rsid w:val="223623F3"/>
    <w:rsid w:val="22393D7A"/>
    <w:rsid w:val="226671AC"/>
    <w:rsid w:val="229A1646"/>
    <w:rsid w:val="22AD78FE"/>
    <w:rsid w:val="22B15C30"/>
    <w:rsid w:val="23192527"/>
    <w:rsid w:val="231A6657"/>
    <w:rsid w:val="2332573A"/>
    <w:rsid w:val="233A0D5E"/>
    <w:rsid w:val="23411E26"/>
    <w:rsid w:val="238E494F"/>
    <w:rsid w:val="23BF0FAD"/>
    <w:rsid w:val="241F1A7A"/>
    <w:rsid w:val="24443260"/>
    <w:rsid w:val="24466FD8"/>
    <w:rsid w:val="244D480A"/>
    <w:rsid w:val="247578BD"/>
    <w:rsid w:val="247C21FC"/>
    <w:rsid w:val="2480698E"/>
    <w:rsid w:val="24AF2DCF"/>
    <w:rsid w:val="24BF6C72"/>
    <w:rsid w:val="24C3687B"/>
    <w:rsid w:val="24C543A1"/>
    <w:rsid w:val="24CE5D85"/>
    <w:rsid w:val="24DD5B8E"/>
    <w:rsid w:val="25162E4E"/>
    <w:rsid w:val="253232E9"/>
    <w:rsid w:val="253634F0"/>
    <w:rsid w:val="253B4663"/>
    <w:rsid w:val="255E5143"/>
    <w:rsid w:val="25652D29"/>
    <w:rsid w:val="2592509A"/>
    <w:rsid w:val="25AF0E14"/>
    <w:rsid w:val="25C96113"/>
    <w:rsid w:val="25C97EC1"/>
    <w:rsid w:val="260A58E2"/>
    <w:rsid w:val="260C2ECE"/>
    <w:rsid w:val="261A6112"/>
    <w:rsid w:val="269009DE"/>
    <w:rsid w:val="26924756"/>
    <w:rsid w:val="26CC76FD"/>
    <w:rsid w:val="26D22DA5"/>
    <w:rsid w:val="26D848D9"/>
    <w:rsid w:val="26EE17FA"/>
    <w:rsid w:val="26FC6074"/>
    <w:rsid w:val="27010CE7"/>
    <w:rsid w:val="27513C7C"/>
    <w:rsid w:val="275D6B12"/>
    <w:rsid w:val="276576A9"/>
    <w:rsid w:val="276907BC"/>
    <w:rsid w:val="27826579"/>
    <w:rsid w:val="27A26C1B"/>
    <w:rsid w:val="27C3100E"/>
    <w:rsid w:val="27C46B92"/>
    <w:rsid w:val="27CC1959"/>
    <w:rsid w:val="27D112AE"/>
    <w:rsid w:val="27ED433A"/>
    <w:rsid w:val="27ED501A"/>
    <w:rsid w:val="27F31225"/>
    <w:rsid w:val="280E605F"/>
    <w:rsid w:val="28177609"/>
    <w:rsid w:val="281C69CE"/>
    <w:rsid w:val="285F2D5E"/>
    <w:rsid w:val="2861066E"/>
    <w:rsid w:val="28706D19"/>
    <w:rsid w:val="28847761"/>
    <w:rsid w:val="28C464D2"/>
    <w:rsid w:val="28D472A8"/>
    <w:rsid w:val="29096BD2"/>
    <w:rsid w:val="291C6636"/>
    <w:rsid w:val="292673D8"/>
    <w:rsid w:val="292D69B8"/>
    <w:rsid w:val="29B00C1F"/>
    <w:rsid w:val="29B019A3"/>
    <w:rsid w:val="29DE3D0C"/>
    <w:rsid w:val="2A224043"/>
    <w:rsid w:val="2A363B85"/>
    <w:rsid w:val="2A385615"/>
    <w:rsid w:val="2A4E4353"/>
    <w:rsid w:val="2A4E6BE6"/>
    <w:rsid w:val="2A5A37DD"/>
    <w:rsid w:val="2A92596F"/>
    <w:rsid w:val="2AE0123A"/>
    <w:rsid w:val="2AEC3E4F"/>
    <w:rsid w:val="2AFE685E"/>
    <w:rsid w:val="2B0379D1"/>
    <w:rsid w:val="2B1206D3"/>
    <w:rsid w:val="2B157E8C"/>
    <w:rsid w:val="2B373B1E"/>
    <w:rsid w:val="2B6F32B8"/>
    <w:rsid w:val="2B797C93"/>
    <w:rsid w:val="2B7C47AF"/>
    <w:rsid w:val="2B88437A"/>
    <w:rsid w:val="2BB807BB"/>
    <w:rsid w:val="2C075B8A"/>
    <w:rsid w:val="2C3C6C8B"/>
    <w:rsid w:val="2C48086A"/>
    <w:rsid w:val="2C5E3228"/>
    <w:rsid w:val="2C954FA0"/>
    <w:rsid w:val="2C9A01CA"/>
    <w:rsid w:val="2CC43190"/>
    <w:rsid w:val="2CFE66A2"/>
    <w:rsid w:val="2D0C305E"/>
    <w:rsid w:val="2D23435A"/>
    <w:rsid w:val="2D2929C9"/>
    <w:rsid w:val="2D5B7F98"/>
    <w:rsid w:val="2D6A3D37"/>
    <w:rsid w:val="2D6F57F1"/>
    <w:rsid w:val="2D744BB6"/>
    <w:rsid w:val="2D997782"/>
    <w:rsid w:val="2D9D410D"/>
    <w:rsid w:val="2DC21DC5"/>
    <w:rsid w:val="2DD35D80"/>
    <w:rsid w:val="2DE74D54"/>
    <w:rsid w:val="2E007756"/>
    <w:rsid w:val="2E0E6DB8"/>
    <w:rsid w:val="2E2B5035"/>
    <w:rsid w:val="2E810820"/>
    <w:rsid w:val="2EAB67C6"/>
    <w:rsid w:val="2EC568C9"/>
    <w:rsid w:val="2ED718A0"/>
    <w:rsid w:val="2EFE507F"/>
    <w:rsid w:val="2F265028"/>
    <w:rsid w:val="2F414F6C"/>
    <w:rsid w:val="2F4B69DB"/>
    <w:rsid w:val="2F7865AA"/>
    <w:rsid w:val="2FA01C92"/>
    <w:rsid w:val="2FCF5B24"/>
    <w:rsid w:val="2FDD2EE6"/>
    <w:rsid w:val="30360848"/>
    <w:rsid w:val="303E6475"/>
    <w:rsid w:val="303F3984"/>
    <w:rsid w:val="30656A38"/>
    <w:rsid w:val="308B35EB"/>
    <w:rsid w:val="3095556F"/>
    <w:rsid w:val="309D2676"/>
    <w:rsid w:val="30D140CD"/>
    <w:rsid w:val="30D2231F"/>
    <w:rsid w:val="30DF2C8E"/>
    <w:rsid w:val="30FD4EC2"/>
    <w:rsid w:val="31101099"/>
    <w:rsid w:val="3145759A"/>
    <w:rsid w:val="314774D9"/>
    <w:rsid w:val="315D7542"/>
    <w:rsid w:val="316C2F99"/>
    <w:rsid w:val="319F1A18"/>
    <w:rsid w:val="31A041CB"/>
    <w:rsid w:val="31A67308"/>
    <w:rsid w:val="31FB4569"/>
    <w:rsid w:val="32134B55"/>
    <w:rsid w:val="32786EF6"/>
    <w:rsid w:val="32894C60"/>
    <w:rsid w:val="32CF6B69"/>
    <w:rsid w:val="330C763F"/>
    <w:rsid w:val="33107C6F"/>
    <w:rsid w:val="336631F3"/>
    <w:rsid w:val="33891C83"/>
    <w:rsid w:val="33CC3D84"/>
    <w:rsid w:val="33CF2B46"/>
    <w:rsid w:val="33E505BB"/>
    <w:rsid w:val="340016D5"/>
    <w:rsid w:val="340E5CED"/>
    <w:rsid w:val="34651A9C"/>
    <w:rsid w:val="35103416"/>
    <w:rsid w:val="352C623B"/>
    <w:rsid w:val="352E1AEE"/>
    <w:rsid w:val="35610116"/>
    <w:rsid w:val="35887450"/>
    <w:rsid w:val="358E6A31"/>
    <w:rsid w:val="359330B7"/>
    <w:rsid w:val="35BA3D90"/>
    <w:rsid w:val="35C41F4D"/>
    <w:rsid w:val="36023AC3"/>
    <w:rsid w:val="363D46DF"/>
    <w:rsid w:val="36486BE0"/>
    <w:rsid w:val="367C581D"/>
    <w:rsid w:val="368340BC"/>
    <w:rsid w:val="36BB20DA"/>
    <w:rsid w:val="36C02C1A"/>
    <w:rsid w:val="36ED5ED1"/>
    <w:rsid w:val="371371EE"/>
    <w:rsid w:val="371F65FA"/>
    <w:rsid w:val="37213AEB"/>
    <w:rsid w:val="37335AE2"/>
    <w:rsid w:val="373F28BE"/>
    <w:rsid w:val="37485855"/>
    <w:rsid w:val="377A465F"/>
    <w:rsid w:val="37E478DF"/>
    <w:rsid w:val="38065507"/>
    <w:rsid w:val="380977E7"/>
    <w:rsid w:val="384265B4"/>
    <w:rsid w:val="38591578"/>
    <w:rsid w:val="38650AC7"/>
    <w:rsid w:val="38681CB4"/>
    <w:rsid w:val="38877E93"/>
    <w:rsid w:val="38991D99"/>
    <w:rsid w:val="38B904D9"/>
    <w:rsid w:val="38C42E95"/>
    <w:rsid w:val="38C44974"/>
    <w:rsid w:val="38D303E0"/>
    <w:rsid w:val="38EE1CC0"/>
    <w:rsid w:val="3929068B"/>
    <w:rsid w:val="39295581"/>
    <w:rsid w:val="39565A32"/>
    <w:rsid w:val="397F6DBC"/>
    <w:rsid w:val="39AB5E03"/>
    <w:rsid w:val="39B340A5"/>
    <w:rsid w:val="39D12EC0"/>
    <w:rsid w:val="39FE4185"/>
    <w:rsid w:val="3A1439A9"/>
    <w:rsid w:val="3A1D4906"/>
    <w:rsid w:val="3A345DF9"/>
    <w:rsid w:val="3A354D8F"/>
    <w:rsid w:val="3A5D4247"/>
    <w:rsid w:val="3A7461F5"/>
    <w:rsid w:val="3A8F0F13"/>
    <w:rsid w:val="3A944F9A"/>
    <w:rsid w:val="3AC4610C"/>
    <w:rsid w:val="3AC70A1B"/>
    <w:rsid w:val="3AEF3ACE"/>
    <w:rsid w:val="3AFC27B3"/>
    <w:rsid w:val="3B023801"/>
    <w:rsid w:val="3B051543"/>
    <w:rsid w:val="3B0976FC"/>
    <w:rsid w:val="3B3A4D42"/>
    <w:rsid w:val="3B605751"/>
    <w:rsid w:val="3BA26D92"/>
    <w:rsid w:val="3BB80364"/>
    <w:rsid w:val="3BC9067B"/>
    <w:rsid w:val="3BE81FCD"/>
    <w:rsid w:val="3BE94483"/>
    <w:rsid w:val="3C034322"/>
    <w:rsid w:val="3C1557B6"/>
    <w:rsid w:val="3C212ADA"/>
    <w:rsid w:val="3C261771"/>
    <w:rsid w:val="3CED2271"/>
    <w:rsid w:val="3CF36ED7"/>
    <w:rsid w:val="3D0A1454"/>
    <w:rsid w:val="3D0C6BB9"/>
    <w:rsid w:val="3D497A6B"/>
    <w:rsid w:val="3D4C16AB"/>
    <w:rsid w:val="3D5B299C"/>
    <w:rsid w:val="3D714C6E"/>
    <w:rsid w:val="3D9F17DB"/>
    <w:rsid w:val="3DC740F2"/>
    <w:rsid w:val="3DEC4490"/>
    <w:rsid w:val="3E2834A0"/>
    <w:rsid w:val="3E2D4B10"/>
    <w:rsid w:val="3E377C66"/>
    <w:rsid w:val="3E7739EC"/>
    <w:rsid w:val="3E946E66"/>
    <w:rsid w:val="3EDE2E0A"/>
    <w:rsid w:val="3EE17838"/>
    <w:rsid w:val="3EED0B86"/>
    <w:rsid w:val="3F0F0BE2"/>
    <w:rsid w:val="3F3E3276"/>
    <w:rsid w:val="3F4C08E9"/>
    <w:rsid w:val="3F980BD8"/>
    <w:rsid w:val="3FB455DD"/>
    <w:rsid w:val="3FC75019"/>
    <w:rsid w:val="3FC9719A"/>
    <w:rsid w:val="3FD6525C"/>
    <w:rsid w:val="401069C0"/>
    <w:rsid w:val="40400BE3"/>
    <w:rsid w:val="408D5C92"/>
    <w:rsid w:val="4099576A"/>
    <w:rsid w:val="40A77E98"/>
    <w:rsid w:val="40DE086C"/>
    <w:rsid w:val="40E51BFB"/>
    <w:rsid w:val="410209B9"/>
    <w:rsid w:val="412D566A"/>
    <w:rsid w:val="415A52BC"/>
    <w:rsid w:val="415F7893"/>
    <w:rsid w:val="416F3BBA"/>
    <w:rsid w:val="41831D17"/>
    <w:rsid w:val="41B31CF9"/>
    <w:rsid w:val="41DF2AEE"/>
    <w:rsid w:val="41F1637D"/>
    <w:rsid w:val="41F65DB5"/>
    <w:rsid w:val="42303B15"/>
    <w:rsid w:val="42497F67"/>
    <w:rsid w:val="42597579"/>
    <w:rsid w:val="42947A49"/>
    <w:rsid w:val="429D02B3"/>
    <w:rsid w:val="42A41642"/>
    <w:rsid w:val="42CA569E"/>
    <w:rsid w:val="42D731AB"/>
    <w:rsid w:val="42E63A08"/>
    <w:rsid w:val="42F20DCB"/>
    <w:rsid w:val="42F80C34"/>
    <w:rsid w:val="430E60F0"/>
    <w:rsid w:val="4310512D"/>
    <w:rsid w:val="43413334"/>
    <w:rsid w:val="434B21EB"/>
    <w:rsid w:val="434C41B3"/>
    <w:rsid w:val="43792674"/>
    <w:rsid w:val="43792ACE"/>
    <w:rsid w:val="43F42155"/>
    <w:rsid w:val="43FF5FEF"/>
    <w:rsid w:val="445D381F"/>
    <w:rsid w:val="447D039C"/>
    <w:rsid w:val="448B2AB9"/>
    <w:rsid w:val="44903204"/>
    <w:rsid w:val="44BF6C07"/>
    <w:rsid w:val="44C47D79"/>
    <w:rsid w:val="44F65374"/>
    <w:rsid w:val="4513234C"/>
    <w:rsid w:val="45140D01"/>
    <w:rsid w:val="452D1DC2"/>
    <w:rsid w:val="452E38E1"/>
    <w:rsid w:val="4557299B"/>
    <w:rsid w:val="45584D31"/>
    <w:rsid w:val="456F23DB"/>
    <w:rsid w:val="45A04342"/>
    <w:rsid w:val="45EF0E26"/>
    <w:rsid w:val="461A5822"/>
    <w:rsid w:val="463B22BD"/>
    <w:rsid w:val="4648606A"/>
    <w:rsid w:val="464A1597"/>
    <w:rsid w:val="464A34CB"/>
    <w:rsid w:val="465B470D"/>
    <w:rsid w:val="465F4FD9"/>
    <w:rsid w:val="469E0D49"/>
    <w:rsid w:val="46C358EC"/>
    <w:rsid w:val="46FB6188"/>
    <w:rsid w:val="47014A93"/>
    <w:rsid w:val="470E5B90"/>
    <w:rsid w:val="47213177"/>
    <w:rsid w:val="47276C17"/>
    <w:rsid w:val="474927B8"/>
    <w:rsid w:val="47623CC2"/>
    <w:rsid w:val="481F16DB"/>
    <w:rsid w:val="483B65A4"/>
    <w:rsid w:val="483F7EA7"/>
    <w:rsid w:val="48495F2C"/>
    <w:rsid w:val="48734682"/>
    <w:rsid w:val="488D157A"/>
    <w:rsid w:val="489C3D6B"/>
    <w:rsid w:val="48A57EC2"/>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15BDD"/>
    <w:rsid w:val="49E31F95"/>
    <w:rsid w:val="4A015DB3"/>
    <w:rsid w:val="4A174DEF"/>
    <w:rsid w:val="4A1E18DE"/>
    <w:rsid w:val="4A1E1CDA"/>
    <w:rsid w:val="4A2861F7"/>
    <w:rsid w:val="4A315EB1"/>
    <w:rsid w:val="4A3277B2"/>
    <w:rsid w:val="4A8A55C1"/>
    <w:rsid w:val="4AAE5591"/>
    <w:rsid w:val="4AD827D0"/>
    <w:rsid w:val="4B137364"/>
    <w:rsid w:val="4B1D6435"/>
    <w:rsid w:val="4B321580"/>
    <w:rsid w:val="4B3F1E2E"/>
    <w:rsid w:val="4B4B688B"/>
    <w:rsid w:val="4B554CA4"/>
    <w:rsid w:val="4B814C16"/>
    <w:rsid w:val="4B88653D"/>
    <w:rsid w:val="4BF34828"/>
    <w:rsid w:val="4C01710C"/>
    <w:rsid w:val="4C0C20D5"/>
    <w:rsid w:val="4C6C31D0"/>
    <w:rsid w:val="4C8D1398"/>
    <w:rsid w:val="4CBA03DF"/>
    <w:rsid w:val="4CFA4C80"/>
    <w:rsid w:val="4D084097"/>
    <w:rsid w:val="4D096C06"/>
    <w:rsid w:val="4D0D77FD"/>
    <w:rsid w:val="4D7A32EE"/>
    <w:rsid w:val="4D892E0C"/>
    <w:rsid w:val="4D8C0C39"/>
    <w:rsid w:val="4D976936"/>
    <w:rsid w:val="4D9F1065"/>
    <w:rsid w:val="4DD10DCA"/>
    <w:rsid w:val="4DE506A3"/>
    <w:rsid w:val="4E40026B"/>
    <w:rsid w:val="4E4116FB"/>
    <w:rsid w:val="4E453CD9"/>
    <w:rsid w:val="4E5553A1"/>
    <w:rsid w:val="4E7A6D0A"/>
    <w:rsid w:val="4E813796"/>
    <w:rsid w:val="4EBA27E0"/>
    <w:rsid w:val="4ED268AA"/>
    <w:rsid w:val="4ED33793"/>
    <w:rsid w:val="4F350835"/>
    <w:rsid w:val="4F512B51"/>
    <w:rsid w:val="4F585C8E"/>
    <w:rsid w:val="4FBF3D7B"/>
    <w:rsid w:val="4FC27B2B"/>
    <w:rsid w:val="50067238"/>
    <w:rsid w:val="502B33A2"/>
    <w:rsid w:val="50354221"/>
    <w:rsid w:val="50494728"/>
    <w:rsid w:val="50497A9C"/>
    <w:rsid w:val="506C6001"/>
    <w:rsid w:val="50741988"/>
    <w:rsid w:val="507C775A"/>
    <w:rsid w:val="507D1ED1"/>
    <w:rsid w:val="50830AE8"/>
    <w:rsid w:val="50D97448"/>
    <w:rsid w:val="50F746EC"/>
    <w:rsid w:val="51371565"/>
    <w:rsid w:val="513D4FEA"/>
    <w:rsid w:val="513E4126"/>
    <w:rsid w:val="51583D23"/>
    <w:rsid w:val="515D758B"/>
    <w:rsid w:val="51694182"/>
    <w:rsid w:val="517D1AED"/>
    <w:rsid w:val="518E326A"/>
    <w:rsid w:val="519901E5"/>
    <w:rsid w:val="51B51175"/>
    <w:rsid w:val="51B60F04"/>
    <w:rsid w:val="51F5526C"/>
    <w:rsid w:val="51FF0643"/>
    <w:rsid w:val="52045C59"/>
    <w:rsid w:val="52262073"/>
    <w:rsid w:val="52393DED"/>
    <w:rsid w:val="52432C25"/>
    <w:rsid w:val="525A3ACB"/>
    <w:rsid w:val="52691FE2"/>
    <w:rsid w:val="52767C9D"/>
    <w:rsid w:val="52880638"/>
    <w:rsid w:val="52AE5E37"/>
    <w:rsid w:val="52C13B4A"/>
    <w:rsid w:val="52CB27AB"/>
    <w:rsid w:val="52E8599A"/>
    <w:rsid w:val="53213917"/>
    <w:rsid w:val="532962B2"/>
    <w:rsid w:val="532A16EF"/>
    <w:rsid w:val="536A41E2"/>
    <w:rsid w:val="538E1C7E"/>
    <w:rsid w:val="53BC47FF"/>
    <w:rsid w:val="53D321D7"/>
    <w:rsid w:val="53FC2BBB"/>
    <w:rsid w:val="541A5C08"/>
    <w:rsid w:val="544F1F63"/>
    <w:rsid w:val="54501629"/>
    <w:rsid w:val="54705828"/>
    <w:rsid w:val="547E6196"/>
    <w:rsid w:val="547E7F44"/>
    <w:rsid w:val="548A223D"/>
    <w:rsid w:val="548B4A51"/>
    <w:rsid w:val="548D3DC7"/>
    <w:rsid w:val="54AA0D3A"/>
    <w:rsid w:val="54BC2FD3"/>
    <w:rsid w:val="54C07FFD"/>
    <w:rsid w:val="54CE5430"/>
    <w:rsid w:val="54EA03CE"/>
    <w:rsid w:val="54EA55DA"/>
    <w:rsid w:val="552F2962"/>
    <w:rsid w:val="55436A98"/>
    <w:rsid w:val="554D7917"/>
    <w:rsid w:val="55827B4A"/>
    <w:rsid w:val="55886BA1"/>
    <w:rsid w:val="55904B7D"/>
    <w:rsid w:val="55BC3192"/>
    <w:rsid w:val="55CC6E85"/>
    <w:rsid w:val="55DB4492"/>
    <w:rsid w:val="55F12998"/>
    <w:rsid w:val="55F66200"/>
    <w:rsid w:val="55F75C7E"/>
    <w:rsid w:val="560501F2"/>
    <w:rsid w:val="566D62CB"/>
    <w:rsid w:val="56707D61"/>
    <w:rsid w:val="56951575"/>
    <w:rsid w:val="56C02A96"/>
    <w:rsid w:val="56CF617B"/>
    <w:rsid w:val="56D96861"/>
    <w:rsid w:val="56FA51C6"/>
    <w:rsid w:val="57376AD1"/>
    <w:rsid w:val="576176AA"/>
    <w:rsid w:val="578C4726"/>
    <w:rsid w:val="578D6ABD"/>
    <w:rsid w:val="57931F59"/>
    <w:rsid w:val="57C42A69"/>
    <w:rsid w:val="57F31103"/>
    <w:rsid w:val="580F5357"/>
    <w:rsid w:val="584B2834"/>
    <w:rsid w:val="585711A2"/>
    <w:rsid w:val="585830BE"/>
    <w:rsid w:val="58613B20"/>
    <w:rsid w:val="58690F0C"/>
    <w:rsid w:val="586B07E0"/>
    <w:rsid w:val="58843914"/>
    <w:rsid w:val="58B37943"/>
    <w:rsid w:val="58C83E84"/>
    <w:rsid w:val="58DC7930"/>
    <w:rsid w:val="58F5454D"/>
    <w:rsid w:val="58FE2AB3"/>
    <w:rsid w:val="59352B9C"/>
    <w:rsid w:val="594B649D"/>
    <w:rsid w:val="59747B68"/>
    <w:rsid w:val="5987789B"/>
    <w:rsid w:val="59A4512F"/>
    <w:rsid w:val="59AF294E"/>
    <w:rsid w:val="59BF726D"/>
    <w:rsid w:val="5A186745"/>
    <w:rsid w:val="5A1F6067"/>
    <w:rsid w:val="5A2901BD"/>
    <w:rsid w:val="5A3F0176"/>
    <w:rsid w:val="5A4117CD"/>
    <w:rsid w:val="5A545950"/>
    <w:rsid w:val="5A647495"/>
    <w:rsid w:val="5A915D0C"/>
    <w:rsid w:val="5A961277"/>
    <w:rsid w:val="5A9F29C3"/>
    <w:rsid w:val="5AB26B9A"/>
    <w:rsid w:val="5AD07919"/>
    <w:rsid w:val="5AF26F96"/>
    <w:rsid w:val="5B01367D"/>
    <w:rsid w:val="5B046CCA"/>
    <w:rsid w:val="5B4350BA"/>
    <w:rsid w:val="5B4A6DD2"/>
    <w:rsid w:val="5B6A7475"/>
    <w:rsid w:val="5BAB2BF3"/>
    <w:rsid w:val="5BB90179"/>
    <w:rsid w:val="5BD42B40"/>
    <w:rsid w:val="5BE00878"/>
    <w:rsid w:val="5BEC6AB5"/>
    <w:rsid w:val="5BED16CF"/>
    <w:rsid w:val="5C02667C"/>
    <w:rsid w:val="5C1002AC"/>
    <w:rsid w:val="5C1473E0"/>
    <w:rsid w:val="5C2C0EA1"/>
    <w:rsid w:val="5C2F459A"/>
    <w:rsid w:val="5C4001D5"/>
    <w:rsid w:val="5C676E2A"/>
    <w:rsid w:val="5C78171D"/>
    <w:rsid w:val="5C97631A"/>
    <w:rsid w:val="5CA97B29"/>
    <w:rsid w:val="5CD5091E"/>
    <w:rsid w:val="5CD54DC2"/>
    <w:rsid w:val="5CDD3B9D"/>
    <w:rsid w:val="5CEF67E0"/>
    <w:rsid w:val="5D335644"/>
    <w:rsid w:val="5D534E5C"/>
    <w:rsid w:val="5DB11DC8"/>
    <w:rsid w:val="5DE3706A"/>
    <w:rsid w:val="5DF46F7B"/>
    <w:rsid w:val="5E1B2CA8"/>
    <w:rsid w:val="5E1E63BE"/>
    <w:rsid w:val="5E264A7C"/>
    <w:rsid w:val="5E2A2EEB"/>
    <w:rsid w:val="5E7762D2"/>
    <w:rsid w:val="5E8D4131"/>
    <w:rsid w:val="5E9F11E3"/>
    <w:rsid w:val="5EAD75B7"/>
    <w:rsid w:val="5EB6652D"/>
    <w:rsid w:val="5ECE1AC8"/>
    <w:rsid w:val="5EDD61AF"/>
    <w:rsid w:val="5EDF0FC2"/>
    <w:rsid w:val="5EE237C6"/>
    <w:rsid w:val="5EE8367E"/>
    <w:rsid w:val="5F1F40D2"/>
    <w:rsid w:val="5F322057"/>
    <w:rsid w:val="5F381638"/>
    <w:rsid w:val="5F3D2516"/>
    <w:rsid w:val="5F504F85"/>
    <w:rsid w:val="5F5767D6"/>
    <w:rsid w:val="5F5A3543"/>
    <w:rsid w:val="5F906D7E"/>
    <w:rsid w:val="601B6F8F"/>
    <w:rsid w:val="606D695B"/>
    <w:rsid w:val="60B62814"/>
    <w:rsid w:val="60C37856"/>
    <w:rsid w:val="61006C51"/>
    <w:rsid w:val="61377DF9"/>
    <w:rsid w:val="61475B62"/>
    <w:rsid w:val="615616CB"/>
    <w:rsid w:val="61834D22"/>
    <w:rsid w:val="61A2220E"/>
    <w:rsid w:val="61A84853"/>
    <w:rsid w:val="61AD31F8"/>
    <w:rsid w:val="61AF1C88"/>
    <w:rsid w:val="61B8587A"/>
    <w:rsid w:val="622857DE"/>
    <w:rsid w:val="624A2082"/>
    <w:rsid w:val="62620EA5"/>
    <w:rsid w:val="628506F0"/>
    <w:rsid w:val="62AA7F74"/>
    <w:rsid w:val="62AF58EE"/>
    <w:rsid w:val="62FF4946"/>
    <w:rsid w:val="632151B1"/>
    <w:rsid w:val="63424833"/>
    <w:rsid w:val="634E4F86"/>
    <w:rsid w:val="635F53E5"/>
    <w:rsid w:val="636702EF"/>
    <w:rsid w:val="637D20EC"/>
    <w:rsid w:val="63B71DA8"/>
    <w:rsid w:val="63C96D02"/>
    <w:rsid w:val="63D17BBF"/>
    <w:rsid w:val="64290EAE"/>
    <w:rsid w:val="6452020A"/>
    <w:rsid w:val="64854875"/>
    <w:rsid w:val="64CC6856"/>
    <w:rsid w:val="64D771FD"/>
    <w:rsid w:val="64F22E9E"/>
    <w:rsid w:val="651144BD"/>
    <w:rsid w:val="6533366C"/>
    <w:rsid w:val="653E102A"/>
    <w:rsid w:val="654E2431"/>
    <w:rsid w:val="655B7E2E"/>
    <w:rsid w:val="6576312A"/>
    <w:rsid w:val="658B79BE"/>
    <w:rsid w:val="659D126D"/>
    <w:rsid w:val="659D21F5"/>
    <w:rsid w:val="65A63874"/>
    <w:rsid w:val="65AB66C0"/>
    <w:rsid w:val="65B732B6"/>
    <w:rsid w:val="65C857E6"/>
    <w:rsid w:val="6668520D"/>
    <w:rsid w:val="667B0114"/>
    <w:rsid w:val="66940880"/>
    <w:rsid w:val="66D35001"/>
    <w:rsid w:val="66F347C2"/>
    <w:rsid w:val="67086F0E"/>
    <w:rsid w:val="67087745"/>
    <w:rsid w:val="6716400D"/>
    <w:rsid w:val="67192A32"/>
    <w:rsid w:val="6722646D"/>
    <w:rsid w:val="677329AB"/>
    <w:rsid w:val="67880AE7"/>
    <w:rsid w:val="67A3240E"/>
    <w:rsid w:val="67D43B66"/>
    <w:rsid w:val="6800399D"/>
    <w:rsid w:val="682D5AB2"/>
    <w:rsid w:val="682E5386"/>
    <w:rsid w:val="6833646B"/>
    <w:rsid w:val="685017A0"/>
    <w:rsid w:val="68730EC9"/>
    <w:rsid w:val="68972E14"/>
    <w:rsid w:val="68A67612"/>
    <w:rsid w:val="68B25FB7"/>
    <w:rsid w:val="68D0468F"/>
    <w:rsid w:val="693379DF"/>
    <w:rsid w:val="69541292"/>
    <w:rsid w:val="69662BDD"/>
    <w:rsid w:val="69A01EFB"/>
    <w:rsid w:val="69A27E33"/>
    <w:rsid w:val="69AD3570"/>
    <w:rsid w:val="69E77EE2"/>
    <w:rsid w:val="6A0049A7"/>
    <w:rsid w:val="6A0635E2"/>
    <w:rsid w:val="6A0E36C1"/>
    <w:rsid w:val="6A2B4273"/>
    <w:rsid w:val="6A34487E"/>
    <w:rsid w:val="6A3C2755"/>
    <w:rsid w:val="6A64096B"/>
    <w:rsid w:val="6A6D03E7"/>
    <w:rsid w:val="6A94265F"/>
    <w:rsid w:val="6AB204F0"/>
    <w:rsid w:val="6ABE6E95"/>
    <w:rsid w:val="6AC87D14"/>
    <w:rsid w:val="6AD14111"/>
    <w:rsid w:val="6AD25ED5"/>
    <w:rsid w:val="6AF44665"/>
    <w:rsid w:val="6B006CAE"/>
    <w:rsid w:val="6B160215"/>
    <w:rsid w:val="6B2B4177"/>
    <w:rsid w:val="6B4C5683"/>
    <w:rsid w:val="6B4D72A6"/>
    <w:rsid w:val="6B7E06E8"/>
    <w:rsid w:val="6B855C05"/>
    <w:rsid w:val="6B9A4681"/>
    <w:rsid w:val="6BE93C8F"/>
    <w:rsid w:val="6BFB5EC7"/>
    <w:rsid w:val="6C094CBD"/>
    <w:rsid w:val="6C474C68"/>
    <w:rsid w:val="6C812851"/>
    <w:rsid w:val="6C937EAD"/>
    <w:rsid w:val="6CC4450B"/>
    <w:rsid w:val="6D150CF3"/>
    <w:rsid w:val="6D154034"/>
    <w:rsid w:val="6D1D180E"/>
    <w:rsid w:val="6D4318D3"/>
    <w:rsid w:val="6D7E660E"/>
    <w:rsid w:val="6DAD4F9F"/>
    <w:rsid w:val="6DC01176"/>
    <w:rsid w:val="6DC951C3"/>
    <w:rsid w:val="6DE36F16"/>
    <w:rsid w:val="6E10039F"/>
    <w:rsid w:val="6E201D51"/>
    <w:rsid w:val="6E4C0C5C"/>
    <w:rsid w:val="6E4C2A0A"/>
    <w:rsid w:val="6E5D3388"/>
    <w:rsid w:val="6E807CF7"/>
    <w:rsid w:val="6EBD7464"/>
    <w:rsid w:val="6EBE2716"/>
    <w:rsid w:val="6ED21161"/>
    <w:rsid w:val="6F215C44"/>
    <w:rsid w:val="6F6C3363"/>
    <w:rsid w:val="6F814935"/>
    <w:rsid w:val="6F857F81"/>
    <w:rsid w:val="6FE37E94"/>
    <w:rsid w:val="6FEC1DAE"/>
    <w:rsid w:val="6FF24F26"/>
    <w:rsid w:val="70110CA4"/>
    <w:rsid w:val="70287453"/>
    <w:rsid w:val="702B57F4"/>
    <w:rsid w:val="703B4AE4"/>
    <w:rsid w:val="703F7638"/>
    <w:rsid w:val="70480FAF"/>
    <w:rsid w:val="7073599E"/>
    <w:rsid w:val="70A21873"/>
    <w:rsid w:val="70B07280"/>
    <w:rsid w:val="70D82F0C"/>
    <w:rsid w:val="71017ADB"/>
    <w:rsid w:val="710B2708"/>
    <w:rsid w:val="71430294"/>
    <w:rsid w:val="716D4322"/>
    <w:rsid w:val="717E2EDA"/>
    <w:rsid w:val="71D053AE"/>
    <w:rsid w:val="71F4319C"/>
    <w:rsid w:val="71F47640"/>
    <w:rsid w:val="72154882"/>
    <w:rsid w:val="72236D4F"/>
    <w:rsid w:val="72604CD6"/>
    <w:rsid w:val="734041AE"/>
    <w:rsid w:val="734B7734"/>
    <w:rsid w:val="73546AD5"/>
    <w:rsid w:val="73614861"/>
    <w:rsid w:val="73634A7D"/>
    <w:rsid w:val="739369E5"/>
    <w:rsid w:val="73AD5CF9"/>
    <w:rsid w:val="73B04C2D"/>
    <w:rsid w:val="73CD618F"/>
    <w:rsid w:val="73DF0768"/>
    <w:rsid w:val="742E35AD"/>
    <w:rsid w:val="743E1047"/>
    <w:rsid w:val="74443A53"/>
    <w:rsid w:val="745443C6"/>
    <w:rsid w:val="7472484C"/>
    <w:rsid w:val="748E5B2A"/>
    <w:rsid w:val="74A72014"/>
    <w:rsid w:val="74AC160D"/>
    <w:rsid w:val="74C90910"/>
    <w:rsid w:val="74EB3774"/>
    <w:rsid w:val="750E27C7"/>
    <w:rsid w:val="75571951"/>
    <w:rsid w:val="758D193E"/>
    <w:rsid w:val="758D7B90"/>
    <w:rsid w:val="758E5275"/>
    <w:rsid w:val="75B82733"/>
    <w:rsid w:val="75C36B9F"/>
    <w:rsid w:val="75D62A0B"/>
    <w:rsid w:val="75DC4673"/>
    <w:rsid w:val="75FB71EF"/>
    <w:rsid w:val="760F67F7"/>
    <w:rsid w:val="762E22DC"/>
    <w:rsid w:val="763444AF"/>
    <w:rsid w:val="766C1E9B"/>
    <w:rsid w:val="76A07D97"/>
    <w:rsid w:val="76DB25E6"/>
    <w:rsid w:val="76E41A31"/>
    <w:rsid w:val="76EC4D8A"/>
    <w:rsid w:val="76EE554B"/>
    <w:rsid w:val="76F13C5F"/>
    <w:rsid w:val="77141F5A"/>
    <w:rsid w:val="776F4B46"/>
    <w:rsid w:val="77884AB3"/>
    <w:rsid w:val="778E5CF8"/>
    <w:rsid w:val="77ED3E16"/>
    <w:rsid w:val="77ED7EF6"/>
    <w:rsid w:val="78073367"/>
    <w:rsid w:val="781B6EE3"/>
    <w:rsid w:val="78283BA0"/>
    <w:rsid w:val="786B0E55"/>
    <w:rsid w:val="78A0407E"/>
    <w:rsid w:val="78A376CA"/>
    <w:rsid w:val="78AF70A8"/>
    <w:rsid w:val="78CC4217"/>
    <w:rsid w:val="790C34C1"/>
    <w:rsid w:val="79844EF9"/>
    <w:rsid w:val="79B002F1"/>
    <w:rsid w:val="79C57453"/>
    <w:rsid w:val="79D35D8D"/>
    <w:rsid w:val="79F93A46"/>
    <w:rsid w:val="7A0432DF"/>
    <w:rsid w:val="7A3041DB"/>
    <w:rsid w:val="7A6F776C"/>
    <w:rsid w:val="7A70182E"/>
    <w:rsid w:val="7A862E00"/>
    <w:rsid w:val="7A874E13"/>
    <w:rsid w:val="7AB23BF5"/>
    <w:rsid w:val="7AD46261"/>
    <w:rsid w:val="7B4A0FA0"/>
    <w:rsid w:val="7B516AFB"/>
    <w:rsid w:val="7B6F1AE6"/>
    <w:rsid w:val="7B810197"/>
    <w:rsid w:val="7BC160B7"/>
    <w:rsid w:val="7BCE2CB0"/>
    <w:rsid w:val="7BD427EF"/>
    <w:rsid w:val="7BE95D3C"/>
    <w:rsid w:val="7BEC339E"/>
    <w:rsid w:val="7BF070CA"/>
    <w:rsid w:val="7BF2699E"/>
    <w:rsid w:val="7C136915"/>
    <w:rsid w:val="7C35285F"/>
    <w:rsid w:val="7C3662C4"/>
    <w:rsid w:val="7C6E11D8"/>
    <w:rsid w:val="7CA468AE"/>
    <w:rsid w:val="7CB24380"/>
    <w:rsid w:val="7CE87DA1"/>
    <w:rsid w:val="7D2544C4"/>
    <w:rsid w:val="7D2F777E"/>
    <w:rsid w:val="7D4C0002"/>
    <w:rsid w:val="7D565D1B"/>
    <w:rsid w:val="7D6E64F9"/>
    <w:rsid w:val="7DAA5057"/>
    <w:rsid w:val="7DB15743"/>
    <w:rsid w:val="7DD17ECA"/>
    <w:rsid w:val="7DD54E05"/>
    <w:rsid w:val="7DE467BB"/>
    <w:rsid w:val="7DEC3371"/>
    <w:rsid w:val="7E033940"/>
    <w:rsid w:val="7E5A0FB5"/>
    <w:rsid w:val="7E81225C"/>
    <w:rsid w:val="7EAC5562"/>
    <w:rsid w:val="7EFB4F6E"/>
    <w:rsid w:val="7F080287"/>
    <w:rsid w:val="7F377BAD"/>
    <w:rsid w:val="7F421D45"/>
    <w:rsid w:val="7F440142"/>
    <w:rsid w:val="7F8E14D9"/>
    <w:rsid w:val="7FA7793D"/>
    <w:rsid w:val="7FAB29F1"/>
    <w:rsid w:val="7FB24AC2"/>
    <w:rsid w:val="7FDD1714"/>
    <w:rsid w:val="BFFFB51D"/>
    <w:rsid w:val="EEBF9442"/>
    <w:rsid w:val="FBFFD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51"/>
    <w:qFormat/>
    <w:uiPriority w:val="9"/>
    <w:pPr>
      <w:keepNext/>
      <w:keepLines/>
      <w:jc w:val="center"/>
      <w:outlineLvl w:val="0"/>
    </w:pPr>
    <w:rPr>
      <w:rFonts w:eastAsia="黑体"/>
      <w:bCs/>
      <w:kern w:val="44"/>
      <w:sz w:val="44"/>
      <w:szCs w:val="44"/>
    </w:rPr>
  </w:style>
  <w:style w:type="paragraph" w:styleId="2">
    <w:name w:val="heading 2"/>
    <w:basedOn w:val="1"/>
    <w:next w:val="1"/>
    <w:link w:val="39"/>
    <w:unhideWhenUsed/>
    <w:qFormat/>
    <w:uiPriority w:val="9"/>
    <w:pPr>
      <w:keepNext/>
      <w:keepLines/>
      <w:outlineLvl w:val="1"/>
    </w:pPr>
    <w:rPr>
      <w:rFonts w:cs="Times New Roman"/>
      <w:b/>
      <w:bCs/>
      <w:szCs w:val="32"/>
    </w:rPr>
  </w:style>
  <w:style w:type="paragraph" w:styleId="4">
    <w:name w:val="heading 3"/>
    <w:basedOn w:val="1"/>
    <w:next w:val="1"/>
    <w:link w:val="43"/>
    <w:unhideWhenUsed/>
    <w:qFormat/>
    <w:uiPriority w:val="9"/>
    <w:pPr>
      <w:keepNext/>
      <w:keepLines/>
      <w:outlineLvl w:val="2"/>
    </w:pPr>
    <w:rPr>
      <w:b/>
      <w:bCs/>
      <w:szCs w:val="32"/>
    </w:rPr>
  </w:style>
  <w:style w:type="paragraph" w:styleId="5">
    <w:name w:val="heading 4"/>
    <w:basedOn w:val="1"/>
    <w:next w:val="1"/>
    <w:link w:val="44"/>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spacing w:line="480" w:lineRule="atLeast"/>
      <w:ind w:firstLine="547"/>
    </w:pPr>
    <w:rPr>
      <w:sz w:val="28"/>
      <w:szCs w:val="24"/>
    </w:rPr>
  </w:style>
  <w:style w:type="paragraph" w:styleId="7">
    <w:name w:val="Body Text"/>
    <w:basedOn w:val="1"/>
    <w:next w:val="1"/>
    <w:qFormat/>
    <w:uiPriority w:val="99"/>
    <w:rPr>
      <w:rFonts w:ascii="宋体"/>
      <w:kern w:val="0"/>
      <w:sz w:val="28"/>
      <w:szCs w:val="20"/>
    </w:rPr>
  </w:style>
  <w:style w:type="paragraph" w:styleId="8">
    <w:name w:val="toa heading"/>
    <w:basedOn w:val="1"/>
    <w:next w:val="1"/>
    <w:qFormat/>
    <w:uiPriority w:val="0"/>
    <w:pPr>
      <w:spacing w:before="120"/>
      <w:ind w:firstLine="0" w:firstLineChars="0"/>
    </w:pPr>
    <w:rPr>
      <w:rFonts w:ascii="Arial" w:hAnsi="Arial" w:cs="Arial"/>
      <w:szCs w:val="24"/>
    </w:rPr>
  </w:style>
  <w:style w:type="paragraph" w:styleId="9">
    <w:name w:val="annotation text"/>
    <w:basedOn w:val="1"/>
    <w:qFormat/>
    <w:uiPriority w:val="99"/>
    <w:pPr>
      <w:spacing w:line="240" w:lineRule="auto"/>
      <w:jc w:val="left"/>
    </w:pPr>
    <w:rPr>
      <w:sz w:val="21"/>
      <w:szCs w:val="20"/>
    </w:rPr>
  </w:style>
  <w:style w:type="paragraph" w:styleId="10">
    <w:name w:val="Body Text 3"/>
    <w:basedOn w:val="1"/>
    <w:link w:val="45"/>
    <w:unhideWhenUsed/>
    <w:qFormat/>
    <w:uiPriority w:val="99"/>
    <w:pPr>
      <w:spacing w:after="120"/>
    </w:pPr>
    <w:rPr>
      <w:rFonts w:cs="Times New Roman"/>
      <w:sz w:val="16"/>
      <w:szCs w:val="16"/>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ascii="等线" w:hAnsi="等线" w:eastAsia="等线" w:cs="Times New Roman"/>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6"/>
    <w:unhideWhenUsed/>
    <w:qFormat/>
    <w:uiPriority w:val="99"/>
    <w:pPr>
      <w:ind w:left="100" w:leftChars="2500"/>
    </w:pPr>
  </w:style>
  <w:style w:type="paragraph" w:styleId="16">
    <w:name w:val="Body Text Indent 2"/>
    <w:basedOn w:val="1"/>
    <w:link w:val="47"/>
    <w:unhideWhenUsed/>
    <w:qFormat/>
    <w:uiPriority w:val="99"/>
    <w:pPr>
      <w:spacing w:after="120" w:line="480" w:lineRule="auto"/>
      <w:ind w:left="420" w:leftChars="200"/>
    </w:pPr>
  </w:style>
  <w:style w:type="paragraph" w:styleId="17">
    <w:name w:val="Balloon Text"/>
    <w:basedOn w:val="1"/>
    <w:link w:val="48"/>
    <w:unhideWhenUsed/>
    <w:qFormat/>
    <w:uiPriority w:val="99"/>
    <w:pPr>
      <w:spacing w:line="240" w:lineRule="auto"/>
    </w:pPr>
    <w:rPr>
      <w:sz w:val="18"/>
      <w:szCs w:val="18"/>
    </w:rPr>
  </w:style>
  <w:style w:type="paragraph" w:styleId="18">
    <w:name w:val="footer"/>
    <w:basedOn w:val="1"/>
    <w:link w:val="49"/>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ind w:firstLine="0" w:firstLineChars="0"/>
      <w:jc w:val="left"/>
    </w:pPr>
    <w:rPr>
      <w:rFonts w:ascii="等线" w:hAnsi="等线" w:eastAsia="等线" w:cs="Times New Roman"/>
      <w:kern w:val="0"/>
      <w:sz w:val="22"/>
    </w:rPr>
  </w:style>
  <w:style w:type="paragraph" w:styleId="21">
    <w:name w:val="toc 2"/>
    <w:basedOn w:val="1"/>
    <w:next w:val="1"/>
    <w:unhideWhenUsed/>
    <w:qFormat/>
    <w:uiPriority w:val="39"/>
    <w:pPr>
      <w:widowControl/>
      <w:spacing w:after="100" w:line="259" w:lineRule="auto"/>
      <w:ind w:left="220" w:firstLine="0" w:firstLineChars="0"/>
      <w:jc w:val="left"/>
    </w:pPr>
    <w:rPr>
      <w:rFonts w:ascii="等线" w:hAnsi="等线" w:eastAsia="等线" w:cs="Times New Roman"/>
      <w:kern w:val="0"/>
      <w:sz w:val="22"/>
    </w:rPr>
  </w:style>
  <w:style w:type="paragraph" w:styleId="22">
    <w:name w:val="Normal (Web)"/>
    <w:basedOn w:val="1"/>
    <w:unhideWhenUsed/>
    <w:qFormat/>
    <w:uiPriority w:val="99"/>
  </w:style>
  <w:style w:type="paragraph" w:styleId="23">
    <w:name w:val="Title"/>
    <w:basedOn w:val="1"/>
    <w:qFormat/>
    <w:uiPriority w:val="0"/>
    <w:pPr>
      <w:jc w:val="left"/>
      <w:outlineLvl w:val="2"/>
    </w:pPr>
    <w:rPr>
      <w:rFonts w:ascii="宋体" w:hAnsi="宋体"/>
      <w:b/>
      <w:bCs/>
      <w:kern w:val="0"/>
      <w:sz w:val="28"/>
      <w:szCs w:val="32"/>
    </w:rPr>
  </w:style>
  <w:style w:type="paragraph" w:styleId="24">
    <w:name w:val="Body Text First Indent 2"/>
    <w:basedOn w:val="11"/>
    <w:qFormat/>
    <w:uiPriority w:val="0"/>
    <w:pPr>
      <w:spacing w:after="120"/>
      <w:ind w:left="420" w:leftChars="200" w:firstLine="420"/>
    </w:pPr>
    <w:rPr>
      <w:rFonts w:cs="宋体"/>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cs="Times New Roman"/>
    </w:rPr>
  </w:style>
  <w:style w:type="character" w:styleId="29">
    <w:name w:val="FollowedHyperlink"/>
    <w:basedOn w:val="27"/>
    <w:unhideWhenUsed/>
    <w:qFormat/>
    <w:uiPriority w:val="99"/>
    <w:rPr>
      <w:color w:val="800080"/>
      <w:u w:val="none"/>
    </w:rPr>
  </w:style>
  <w:style w:type="character" w:styleId="30">
    <w:name w:val="HTML Definition"/>
    <w:basedOn w:val="27"/>
    <w:unhideWhenUsed/>
    <w:qFormat/>
    <w:uiPriority w:val="99"/>
  </w:style>
  <w:style w:type="character" w:styleId="31">
    <w:name w:val="HTML Typewriter"/>
    <w:basedOn w:val="27"/>
    <w:unhideWhenUsed/>
    <w:qFormat/>
    <w:uiPriority w:val="99"/>
    <w:rPr>
      <w:rFonts w:hint="default" w:ascii="monospace" w:hAnsi="monospace" w:eastAsia="monospace" w:cs="monospace"/>
      <w:sz w:val="20"/>
    </w:rPr>
  </w:style>
  <w:style w:type="character" w:styleId="32">
    <w:name w:val="HTML Acronym"/>
    <w:basedOn w:val="27"/>
    <w:unhideWhenUsed/>
    <w:qFormat/>
    <w:uiPriority w:val="99"/>
  </w:style>
  <w:style w:type="character" w:styleId="33">
    <w:name w:val="HTML Variable"/>
    <w:basedOn w:val="27"/>
    <w:unhideWhenUsed/>
    <w:qFormat/>
    <w:uiPriority w:val="99"/>
  </w:style>
  <w:style w:type="character" w:styleId="34">
    <w:name w:val="Hyperlink"/>
    <w:qFormat/>
    <w:uiPriority w:val="99"/>
    <w:rPr>
      <w:color w:val="0000FF"/>
      <w:u w:val="single"/>
    </w:rPr>
  </w:style>
  <w:style w:type="character" w:styleId="35">
    <w:name w:val="HTML Code"/>
    <w:basedOn w:val="27"/>
    <w:unhideWhenUsed/>
    <w:qFormat/>
    <w:uiPriority w:val="99"/>
    <w:rPr>
      <w:rFonts w:hint="default" w:ascii="monospace" w:hAnsi="monospace" w:eastAsia="monospace" w:cs="monospace"/>
      <w:sz w:val="20"/>
    </w:rPr>
  </w:style>
  <w:style w:type="character" w:styleId="36">
    <w:name w:val="HTML Cite"/>
    <w:basedOn w:val="27"/>
    <w:unhideWhenUsed/>
    <w:qFormat/>
    <w:uiPriority w:val="99"/>
  </w:style>
  <w:style w:type="character" w:styleId="37">
    <w:name w:val="HTML Keyboard"/>
    <w:basedOn w:val="27"/>
    <w:unhideWhenUsed/>
    <w:qFormat/>
    <w:uiPriority w:val="99"/>
    <w:rPr>
      <w:rFonts w:hint="default" w:ascii="monospace" w:hAnsi="monospace" w:eastAsia="monospace" w:cs="monospace"/>
      <w:sz w:val="20"/>
    </w:rPr>
  </w:style>
  <w:style w:type="character" w:styleId="38">
    <w:name w:val="HTML Sample"/>
    <w:basedOn w:val="27"/>
    <w:unhideWhenUsed/>
    <w:qFormat/>
    <w:uiPriority w:val="99"/>
    <w:rPr>
      <w:rFonts w:ascii="monospace" w:hAnsi="monospace" w:eastAsia="monospace" w:cs="monospace"/>
    </w:rPr>
  </w:style>
  <w:style w:type="character" w:customStyle="1" w:styleId="39">
    <w:name w:val="标题 2 Char"/>
    <w:basedOn w:val="27"/>
    <w:link w:val="2"/>
    <w:qFormat/>
    <w:uiPriority w:val="9"/>
    <w:rPr>
      <w:rFonts w:ascii="Times New Roman" w:hAnsi="Times New Roman" w:eastAsia="宋体" w:cs="Times New Roman"/>
      <w:b/>
      <w:bCs/>
      <w:sz w:val="24"/>
      <w:szCs w:val="32"/>
    </w:rPr>
  </w:style>
  <w:style w:type="character" w:customStyle="1" w:styleId="40">
    <w:name w:val="标题 3 字符"/>
    <w:basedOn w:val="27"/>
    <w:qFormat/>
    <w:uiPriority w:val="9"/>
    <w:rPr>
      <w:rFonts w:ascii="Times New Roman" w:hAnsi="Times New Roman" w:eastAsia="宋体"/>
      <w:b/>
      <w:bCs/>
      <w:sz w:val="24"/>
      <w:szCs w:val="32"/>
    </w:rPr>
  </w:style>
  <w:style w:type="character" w:customStyle="1" w:styleId="41">
    <w:name w:val="标题 2 字符"/>
    <w:basedOn w:val="27"/>
    <w:link w:val="2"/>
    <w:qFormat/>
    <w:uiPriority w:val="9"/>
    <w:rPr>
      <w:rFonts w:ascii="Times New Roman" w:hAnsi="Times New Roman" w:eastAsia="宋体" w:cs="Times New Roman"/>
      <w:b/>
      <w:bCs/>
      <w:sz w:val="24"/>
      <w:szCs w:val="32"/>
    </w:rPr>
  </w:style>
  <w:style w:type="character" w:customStyle="1" w:styleId="42">
    <w:name w:val="标题 1 字符1"/>
    <w:link w:val="3"/>
    <w:qFormat/>
    <w:uiPriority w:val="0"/>
    <w:rPr>
      <w:b/>
      <w:kern w:val="44"/>
      <w:sz w:val="44"/>
    </w:rPr>
  </w:style>
  <w:style w:type="character" w:customStyle="1" w:styleId="43">
    <w:name w:val="标题 3 Char"/>
    <w:link w:val="4"/>
    <w:qFormat/>
    <w:uiPriority w:val="0"/>
    <w:rPr>
      <w:b/>
      <w:bCs/>
      <w:kern w:val="2"/>
      <w:sz w:val="32"/>
      <w:szCs w:val="32"/>
    </w:rPr>
  </w:style>
  <w:style w:type="character" w:customStyle="1" w:styleId="44">
    <w:name w:val="标题 4 Char"/>
    <w:basedOn w:val="27"/>
    <w:link w:val="5"/>
    <w:qFormat/>
    <w:uiPriority w:val="9"/>
    <w:rPr>
      <w:rFonts w:ascii="等线 Light" w:hAnsi="等线 Light" w:eastAsia="等线 Light" w:cs="Times New Roman"/>
      <w:b/>
      <w:bCs/>
      <w:sz w:val="28"/>
      <w:szCs w:val="28"/>
    </w:rPr>
  </w:style>
  <w:style w:type="character" w:customStyle="1" w:styleId="45">
    <w:name w:val="正文文本 3 Char"/>
    <w:basedOn w:val="27"/>
    <w:link w:val="10"/>
    <w:qFormat/>
    <w:uiPriority w:val="99"/>
    <w:rPr>
      <w:rFonts w:ascii="Times New Roman" w:hAnsi="Times New Roman" w:eastAsia="宋体" w:cs="Times New Roman"/>
      <w:sz w:val="16"/>
      <w:szCs w:val="16"/>
    </w:rPr>
  </w:style>
  <w:style w:type="character" w:customStyle="1" w:styleId="46">
    <w:name w:val="日期 Char"/>
    <w:basedOn w:val="27"/>
    <w:link w:val="15"/>
    <w:semiHidden/>
    <w:qFormat/>
    <w:uiPriority w:val="99"/>
    <w:rPr>
      <w:rFonts w:ascii="Times New Roman" w:hAnsi="Times New Roman" w:eastAsia="宋体"/>
      <w:sz w:val="24"/>
    </w:rPr>
  </w:style>
  <w:style w:type="character" w:customStyle="1" w:styleId="47">
    <w:name w:val="正文文本缩进 2 Char"/>
    <w:basedOn w:val="27"/>
    <w:link w:val="16"/>
    <w:semiHidden/>
    <w:qFormat/>
    <w:uiPriority w:val="99"/>
    <w:rPr>
      <w:rFonts w:ascii="Times New Roman" w:hAnsi="Times New Roman" w:eastAsia="宋体"/>
      <w:sz w:val="24"/>
    </w:rPr>
  </w:style>
  <w:style w:type="character" w:customStyle="1" w:styleId="48">
    <w:name w:val="批注框文本 Char"/>
    <w:basedOn w:val="27"/>
    <w:link w:val="17"/>
    <w:semiHidden/>
    <w:qFormat/>
    <w:uiPriority w:val="99"/>
    <w:rPr>
      <w:rFonts w:cs="Times New Roman"/>
      <w:kern w:val="2"/>
      <w:sz w:val="18"/>
      <w:szCs w:val="18"/>
    </w:rPr>
  </w:style>
  <w:style w:type="character" w:customStyle="1" w:styleId="49">
    <w:name w:val="页脚 Char"/>
    <w:basedOn w:val="27"/>
    <w:link w:val="18"/>
    <w:qFormat/>
    <w:uiPriority w:val="99"/>
    <w:rPr>
      <w:sz w:val="18"/>
      <w:szCs w:val="18"/>
    </w:rPr>
  </w:style>
  <w:style w:type="character" w:customStyle="1" w:styleId="50">
    <w:name w:val="页眉 Char"/>
    <w:basedOn w:val="27"/>
    <w:link w:val="19"/>
    <w:qFormat/>
    <w:uiPriority w:val="99"/>
    <w:rPr>
      <w:sz w:val="18"/>
      <w:szCs w:val="18"/>
    </w:rPr>
  </w:style>
  <w:style w:type="character" w:customStyle="1" w:styleId="51">
    <w:name w:val="标题 1 Char"/>
    <w:basedOn w:val="27"/>
    <w:link w:val="3"/>
    <w:qFormat/>
    <w:uiPriority w:val="9"/>
    <w:rPr>
      <w:rFonts w:eastAsia="黑体"/>
      <w:bCs/>
      <w:kern w:val="44"/>
      <w:sz w:val="44"/>
      <w:szCs w:val="44"/>
    </w:rPr>
  </w:style>
  <w:style w:type="paragraph" w:customStyle="1" w:styleId="52">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53">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paragraph" w:styleId="54">
    <w:name w:val="List Paragraph"/>
    <w:basedOn w:val="1"/>
    <w:qFormat/>
    <w:uiPriority w:val="99"/>
    <w:pPr>
      <w:ind w:firstLine="420"/>
    </w:pPr>
    <w:rPr>
      <w:rFonts w:cs="Times New Roman"/>
      <w:szCs w:val="24"/>
    </w:rPr>
  </w:style>
  <w:style w:type="character" w:customStyle="1" w:styleId="55">
    <w:name w:val="未处理的提及1"/>
    <w:basedOn w:val="27"/>
    <w:unhideWhenUsed/>
    <w:qFormat/>
    <w:uiPriority w:val="99"/>
    <w:rPr>
      <w:color w:val="605E5C"/>
      <w:shd w:val="clear" w:color="auto" w:fill="E1DFDD"/>
    </w:rPr>
  </w:style>
  <w:style w:type="paragraph" w:customStyle="1" w:styleId="56">
    <w:name w:val="TOC 标题1"/>
    <w:basedOn w:val="3"/>
    <w:next w:val="1"/>
    <w:unhideWhenUsed/>
    <w:qFormat/>
    <w:uiPriority w:val="39"/>
    <w:pPr>
      <w:widowControl/>
      <w:spacing w:before="240" w:line="259" w:lineRule="auto"/>
      <w:ind w:firstLine="0" w:firstLineChars="0"/>
      <w:jc w:val="left"/>
      <w:outlineLvl w:val="9"/>
    </w:pPr>
    <w:rPr>
      <w:rFonts w:ascii="等线 Light" w:hAnsi="等线 Light" w:eastAsia="等线 Light" w:cs="Times New Roman"/>
      <w:bCs w:val="0"/>
      <w:color w:val="2F5496"/>
      <w:kern w:val="0"/>
      <w:sz w:val="32"/>
      <w:szCs w:val="32"/>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段"/>
    <w:basedOn w:val="1"/>
    <w:qFormat/>
    <w:uiPriority w:val="0"/>
    <w:pPr>
      <w:widowControl/>
      <w:spacing w:line="240" w:lineRule="auto"/>
    </w:pPr>
    <w:rPr>
      <w:rFonts w:ascii="宋体" w:hAnsi="宋体" w:eastAsia="Times New Roman" w:cs="宋体"/>
      <w:kern w:val="0"/>
      <w:sz w:val="21"/>
      <w:szCs w:val="21"/>
    </w:rPr>
  </w:style>
  <w:style w:type="character" w:customStyle="1" w:styleId="59">
    <w:name w:val="font31"/>
    <w:basedOn w:val="27"/>
    <w:qFormat/>
    <w:uiPriority w:val="0"/>
    <w:rPr>
      <w:rFonts w:hint="eastAsia" w:ascii="宋体" w:hAnsi="宋体" w:eastAsia="宋体" w:cs="宋体"/>
      <w:b/>
      <w:bCs/>
      <w:color w:val="000000"/>
      <w:sz w:val="21"/>
      <w:szCs w:val="21"/>
      <w:u w:val="none"/>
    </w:rPr>
  </w:style>
  <w:style w:type="character" w:customStyle="1" w:styleId="60">
    <w:name w:val="font41"/>
    <w:basedOn w:val="27"/>
    <w:qFormat/>
    <w:uiPriority w:val="0"/>
    <w:rPr>
      <w:rFonts w:hint="eastAsia" w:ascii="宋体" w:hAnsi="宋体" w:eastAsia="宋体" w:cs="宋体"/>
      <w:color w:val="000000"/>
      <w:sz w:val="21"/>
      <w:szCs w:val="21"/>
      <w:u w:val="none"/>
    </w:rPr>
  </w:style>
  <w:style w:type="character" w:customStyle="1" w:styleId="61">
    <w:name w:val="font21"/>
    <w:basedOn w:val="27"/>
    <w:qFormat/>
    <w:uiPriority w:val="0"/>
    <w:rPr>
      <w:rFonts w:hint="eastAsia" w:ascii="宋体" w:hAnsi="宋体" w:eastAsia="宋体" w:cs="宋体"/>
      <w:color w:val="000000"/>
      <w:sz w:val="22"/>
      <w:szCs w:val="22"/>
      <w:u w:val="none"/>
    </w:rPr>
  </w:style>
  <w:style w:type="character" w:customStyle="1" w:styleId="62">
    <w:name w:val="font51"/>
    <w:basedOn w:val="27"/>
    <w:qFormat/>
    <w:uiPriority w:val="0"/>
    <w:rPr>
      <w:rFonts w:hint="default" w:ascii="Times New Roman" w:hAnsi="Times New Roman" w:cs="Times New Roman"/>
      <w:color w:val="000000"/>
      <w:sz w:val="20"/>
      <w:szCs w:val="20"/>
      <w:u w:val="single"/>
    </w:rPr>
  </w:style>
  <w:style w:type="character" w:customStyle="1" w:styleId="63">
    <w:name w:val="font01"/>
    <w:basedOn w:val="27"/>
    <w:qFormat/>
    <w:uiPriority w:val="0"/>
    <w:rPr>
      <w:rFonts w:hint="eastAsia" w:ascii="宋体" w:hAnsi="宋体" w:eastAsia="宋体" w:cs="宋体"/>
      <w:color w:val="000000"/>
      <w:sz w:val="24"/>
      <w:szCs w:val="24"/>
      <w:u w:val="none"/>
    </w:rPr>
  </w:style>
  <w:style w:type="paragraph" w:customStyle="1" w:styleId="64">
    <w:name w:val="样式 标题 2标题 1.1编号标题2Reset numberingh2MVA2ERMH2 + 宋体 四号 行距:..."/>
    <w:basedOn w:val="2"/>
    <w:qFormat/>
    <w:uiPriority w:val="0"/>
    <w:pPr>
      <w:spacing w:line="320" w:lineRule="exact"/>
      <w:ind w:firstLine="1281"/>
    </w:pPr>
    <w:rPr>
      <w:rFonts w:ascii="宋体" w:hAnsi="宋体" w:cs="宋体"/>
      <w:sz w:val="28"/>
    </w:rPr>
  </w:style>
  <w:style w:type="paragraph" w:customStyle="1" w:styleId="65">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66">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67">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9">
    <w:name w:val=" Char Char Char Char"/>
    <w:basedOn w:val="1"/>
    <w:qFormat/>
    <w:uiPriority w:val="0"/>
    <w:rPr>
      <w:sz w:val="28"/>
    </w:rPr>
  </w:style>
  <w:style w:type="character" w:customStyle="1" w:styleId="70">
    <w:name w:val=" Char Char Char"/>
    <w:qFormat/>
    <w:uiPriority w:val="0"/>
    <w:rPr>
      <w:rFonts w:eastAsia="宋体"/>
      <w:sz w:val="24"/>
      <w:szCs w:val="24"/>
      <w:lang w:val="en-US" w:eastAsia="zh-CN" w:bidi="ar-SA"/>
    </w:rPr>
  </w:style>
  <w:style w:type="character" w:customStyle="1" w:styleId="71">
    <w:name w:val="Char Char Char"/>
    <w:qFormat/>
    <w:uiPriority w:val="0"/>
    <w:rPr>
      <w:rFonts w:hint="eastAsia" w:ascii="宋体" w:hAnsi="宋体" w:eastAsia="宋体"/>
      <w:sz w:val="24"/>
      <w:szCs w:val="24"/>
      <w:lang w:val="en-US" w:eastAsia="zh-CN" w:bidi="ar-SA"/>
    </w:rPr>
  </w:style>
  <w:style w:type="paragraph" w:customStyle="1" w:styleId="72">
    <w:name w:val="附录标识"/>
    <w:basedOn w:val="1"/>
    <w:next w:val="58"/>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3">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4">
    <w:name w:val="hover"/>
    <w:basedOn w:val="27"/>
    <w:qFormat/>
    <w:uiPriority w:val="0"/>
    <w:rPr>
      <w:color w:val="5FB878"/>
    </w:rPr>
  </w:style>
  <w:style w:type="character" w:customStyle="1" w:styleId="75">
    <w:name w:val="hover1"/>
    <w:basedOn w:val="27"/>
    <w:qFormat/>
    <w:uiPriority w:val="0"/>
    <w:rPr>
      <w:color w:val="5FB878"/>
    </w:rPr>
  </w:style>
  <w:style w:type="character" w:customStyle="1" w:styleId="76">
    <w:name w:val="hover2"/>
    <w:basedOn w:val="27"/>
    <w:qFormat/>
    <w:uiPriority w:val="0"/>
    <w:rPr>
      <w:color w:val="FFFFFF"/>
    </w:rPr>
  </w:style>
  <w:style w:type="character" w:customStyle="1" w:styleId="77">
    <w:name w:val="first-child"/>
    <w:basedOn w:val="27"/>
    <w:qFormat/>
    <w:uiPriority w:val="0"/>
  </w:style>
  <w:style w:type="character" w:customStyle="1" w:styleId="78">
    <w:name w:val="layui-this2"/>
    <w:basedOn w:val="27"/>
    <w:qFormat/>
    <w:uiPriority w:val="0"/>
    <w:rPr>
      <w:bdr w:val="single" w:color="EEEEEE" w:sz="6" w:space="0"/>
      <w:shd w:val="clear" w:color="auto" w:fill="FFFFFF"/>
    </w:rPr>
  </w:style>
  <w:style w:type="character" w:customStyle="1" w:styleId="79">
    <w:name w:val="font91"/>
    <w:basedOn w:val="27"/>
    <w:qFormat/>
    <w:uiPriority w:val="0"/>
    <w:rPr>
      <w:rFonts w:hint="eastAsia" w:ascii="方正仿宋_GBK" w:hAnsi="方正仿宋_GBK" w:eastAsia="方正仿宋_GBK" w:cs="方正仿宋_GBK"/>
      <w:color w:val="000000"/>
      <w:sz w:val="22"/>
      <w:szCs w:val="22"/>
      <w:u w:val="none"/>
    </w:rPr>
  </w:style>
  <w:style w:type="character" w:customStyle="1" w:styleId="80">
    <w:name w:val="font101"/>
    <w:basedOn w:val="27"/>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150</Words>
  <Characters>178</Characters>
  <Lines>178</Lines>
  <Paragraphs>50</Paragraphs>
  <TotalTime>22</TotalTime>
  <ScaleCrop>false</ScaleCrop>
  <LinksUpToDate>false</LinksUpToDate>
  <CharactersWithSpaces>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2023-11-28T02:17:00Z</dcterms:created>
  <dc:creator>赵 伟</dc:creator>
  <cp:lastModifiedBy>我本善良</cp:lastModifiedBy>
  <cp:lastPrinted>2026-03-23T06:51:00Z</cp:lastPrinted>
  <dcterms:modified xsi:type="dcterms:W3CDTF">2026-03-26T01:55:10Z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635E36A45C07451F96A6A57F3ABC4B62_13</vt:lpwstr>
  </property>
  <property fmtid="{D5CDD505-2E9C-101B-9397-08002B2CF9AE}" pid="4" name="KSOTemplateDocerSaveRecord">
    <vt:lpwstr>eyJoZGlkIjoiMjk5MzZhYzg3ZTNjNTMyYTcwMmUxYjdhZWIyMGJhY2IiLCJ1c2VySWQiOiI2Mjg1MDIwMjMifQ==</vt:lpwstr>
  </property>
</Properties>
</file>