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highlight w:val="none"/>
          <w:u w:val="single"/>
        </w:rPr>
      </w:pPr>
    </w:p>
    <w:p>
      <w:pPr>
        <w:ind w:firstLine="0" w:firstLineChars="0"/>
        <w:jc w:val="center"/>
        <w:rPr>
          <w:rFonts w:hint="eastAsia" w:ascii="宋体" w:hAnsi="宋体" w:eastAsia="宋体" w:cs="宋体"/>
          <w:b/>
          <w:bCs/>
          <w:sz w:val="40"/>
          <w:szCs w:val="40"/>
          <w:highlight w:val="none"/>
          <w:u w:val="none"/>
          <w:lang w:eastAsia="zh-CN"/>
        </w:rPr>
      </w:pPr>
      <w:bookmarkStart w:id="0" w:name="_Toc6457"/>
      <w:r>
        <w:rPr>
          <w:rFonts w:hint="eastAsia" w:ascii="宋体" w:hAnsi="宋体" w:cs="宋体"/>
          <w:b/>
          <w:bCs/>
          <w:sz w:val="40"/>
          <w:szCs w:val="40"/>
          <w:highlight w:val="none"/>
          <w:u w:val="none"/>
          <w:lang w:eastAsia="zh-CN"/>
        </w:rPr>
        <w:t>南通轨道交通集团有限公司运营分公司2025-2027年未成年人个人信息保护合规审计服务项目</w:t>
      </w:r>
    </w:p>
    <w:p>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color w:val="000000" w:themeColor="text1"/>
          <w:sz w:val="40"/>
          <w:szCs w:val="40"/>
          <w:highlight w:val="none"/>
          <w:u w:val="single"/>
          <w:lang w:eastAsia="zh-CN"/>
          <w14:textFill>
            <w14:solidFill>
              <w14:schemeClr w14:val="tx1"/>
            </w14:solidFill>
          </w14:textFill>
        </w:rPr>
        <w:t>NTGY-2026-FW-BX-006</w:t>
      </w:r>
      <w:r>
        <w:rPr>
          <w:rFonts w:hint="eastAsia" w:ascii="宋体" w:hAnsi="宋体" w:cs="宋体"/>
          <w:b/>
          <w:bCs/>
          <w:sz w:val="40"/>
          <w:szCs w:val="40"/>
          <w:highlight w:val="none"/>
        </w:rPr>
        <w:t>）</w:t>
      </w:r>
      <w:bookmarkEnd w:id="0"/>
    </w:p>
    <w:p>
      <w:pPr>
        <w:ind w:firstLine="480"/>
        <w:rPr>
          <w:rFonts w:ascii="宋体" w:hAnsi="宋体" w:cs="宋体"/>
          <w:b/>
          <w:bCs/>
          <w:sz w:val="44"/>
          <w:szCs w:val="44"/>
          <w:highlight w:val="none"/>
        </w:rPr>
      </w:pPr>
      <w:r>
        <w:rPr>
          <w:highlight w:val="none"/>
        </w:rPr>
        <w:t xml:space="preserve"> </w:t>
      </w:r>
      <w:bookmarkStart w:id="1" w:name="_Toc11519"/>
    </w:p>
    <w:p>
      <w:pPr>
        <w:ind w:firstLine="0" w:firstLineChars="0"/>
        <w:jc w:val="center"/>
        <w:rPr>
          <w:rFonts w:ascii="宋体" w:hAnsi="宋体" w:cs="宋体"/>
          <w:b/>
          <w:bCs/>
          <w:sz w:val="44"/>
          <w:szCs w:val="44"/>
          <w:highlight w:val="none"/>
        </w:rPr>
      </w:pPr>
    </w:p>
    <w:p>
      <w:pPr>
        <w:ind w:firstLine="0" w:firstLineChars="0"/>
        <w:jc w:val="center"/>
        <w:rPr>
          <w:rFonts w:ascii="宋体" w:hAnsi="宋体" w:cs="宋体"/>
          <w:b/>
          <w:bCs/>
          <w:sz w:val="72"/>
          <w:szCs w:val="72"/>
          <w:highlight w:val="none"/>
        </w:rPr>
      </w:pPr>
    </w:p>
    <w:p>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pPr>
        <w:ind w:firstLine="0" w:firstLineChars="0"/>
        <w:jc w:val="center"/>
        <w:rPr>
          <w:rFonts w:hint="eastAsia" w:ascii="宋体" w:hAnsi="宋体" w:eastAsia="宋体"/>
          <w:szCs w:val="24"/>
          <w:highlight w:val="none"/>
          <w:u w:val="single"/>
          <w:lang w:eastAsia="zh-CN"/>
        </w:rPr>
      </w:pPr>
      <w:r>
        <w:rPr>
          <w:rFonts w:hint="eastAsia" w:ascii="宋体" w:hAnsi="宋体"/>
          <w:szCs w:val="24"/>
          <w:highlight w:val="none"/>
        </w:rPr>
        <w:t>编制时间：</w:t>
      </w:r>
      <w:r>
        <w:rPr>
          <w:rFonts w:hint="eastAsia" w:ascii="宋体" w:hAnsi="宋体"/>
          <w:szCs w:val="24"/>
          <w:highlight w:val="none"/>
          <w:u w:val="single"/>
          <w:lang w:eastAsia="zh-CN"/>
        </w:rPr>
        <w:t>2026年4月</w:t>
      </w:r>
    </w:p>
    <w:p>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linePitch="312" w:charSpace="0"/>
        </w:sectPr>
      </w:pPr>
    </w:p>
    <w:sdt>
      <w:sdtPr>
        <w:rPr>
          <w:rFonts w:eastAsia="宋体"/>
          <w:bCs w:val="0"/>
          <w:kern w:val="2"/>
          <w:sz w:val="24"/>
          <w:szCs w:val="22"/>
          <w:highlight w:val="none"/>
        </w:rPr>
        <w:id w:val="147453442"/>
        <w:docPartObj>
          <w:docPartGallery w:val="Table of Contents"/>
          <w:docPartUnique/>
        </w:docPartObj>
      </w:sdtPr>
      <w:sdtEndPr>
        <w:rPr>
          <w:rFonts w:eastAsia="宋体"/>
          <w:bCs w:val="0"/>
          <w:kern w:val="2"/>
          <w:sz w:val="24"/>
          <w:szCs w:val="22"/>
          <w:highlight w:val="none"/>
        </w:rPr>
      </w:sdtEndPr>
      <w:sdtContent>
        <w:p>
          <w:pPr>
            <w:pStyle w:val="4"/>
            <w:ind w:firstLine="0" w:firstLineChars="0"/>
            <w:rPr>
              <w:highlight w:val="none"/>
            </w:rPr>
          </w:pPr>
          <w:bookmarkStart w:id="2" w:name="_Toc76"/>
          <w:r>
            <w:rPr>
              <w:rFonts w:hint="eastAsia"/>
              <w:sz w:val="40"/>
              <w:szCs w:val="40"/>
              <w:highlight w:val="none"/>
            </w:rPr>
            <w:t>目录</w:t>
          </w:r>
          <w:bookmarkEnd w:id="2"/>
        </w:p>
        <w:p>
          <w:pPr>
            <w:pStyle w:val="21"/>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highlight w:val="none"/>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_Toc14421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ind w:firstLine="480"/>
            <w:rPr>
              <w:highlight w:val="none"/>
            </w:rPr>
          </w:pPr>
          <w:r>
            <w:rPr>
              <w:rFonts w:hint="eastAsia" w:ascii="宋体" w:hAnsi="宋体" w:cs="宋体"/>
              <w:szCs w:val="28"/>
              <w:highlight w:val="none"/>
            </w:rPr>
            <w:fldChar w:fldCharType="end"/>
          </w:r>
        </w:p>
      </w:sdtContent>
    </w:sdt>
    <w:p>
      <w:pPr>
        <w:ind w:firstLine="480"/>
        <w:rPr>
          <w:highlight w:val="none"/>
        </w:rPr>
      </w:pPr>
    </w:p>
    <w:p>
      <w:pPr>
        <w:ind w:firstLine="480"/>
        <w:rPr>
          <w:highlight w:val="none"/>
        </w:rPr>
      </w:pPr>
    </w:p>
    <w:p>
      <w:pPr>
        <w:ind w:firstLine="480"/>
        <w:rPr>
          <w:highlight w:val="none"/>
        </w:rPr>
        <w:sectPr>
          <w:footerReference r:id="rId11" w:type="default"/>
          <w:pgSz w:w="11906" w:h="16838"/>
          <w:pgMar w:top="1418" w:right="1588" w:bottom="1418" w:left="1588" w:header="851" w:footer="992" w:gutter="0"/>
          <w:pgNumType w:start="1"/>
          <w:cols w:space="425" w:num="1"/>
          <w:docGrid w:linePitch="312" w:charSpace="0"/>
        </w:sectPr>
      </w:pPr>
    </w:p>
    <w:p>
      <w:pPr>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4"/>
        <w:ind w:firstLine="0" w:firstLineChars="0"/>
        <w:rPr>
          <w:highlight w:val="none"/>
        </w:rPr>
      </w:pPr>
      <w:bookmarkStart w:id="3" w:name="_Toc15324"/>
      <w:r>
        <w:rPr>
          <w:rFonts w:hint="eastAsia"/>
          <w:highlight w:val="none"/>
        </w:rPr>
        <w:t>第一章 采购公告</w:t>
      </w:r>
      <w:bookmarkEnd w:id="3"/>
    </w:p>
    <w:p>
      <w:pPr>
        <w:widowControl/>
        <w:spacing w:line="240" w:lineRule="auto"/>
        <w:ind w:firstLine="0" w:firstLineChars="0"/>
        <w:jc w:val="left"/>
        <w:rPr>
          <w:rFonts w:eastAsia="黑体"/>
          <w:bCs/>
          <w:kern w:val="44"/>
          <w:sz w:val="44"/>
          <w:szCs w:val="44"/>
          <w:highlight w:val="none"/>
        </w:rPr>
      </w:pPr>
      <w:r>
        <w:rPr>
          <w:highlight w:val="none"/>
        </w:rPr>
        <w:br w:type="page"/>
      </w:r>
    </w:p>
    <w:p>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pPr>
        <w:ind w:firstLine="480"/>
        <w:rPr>
          <w:highlight w:val="none"/>
        </w:rPr>
      </w:pPr>
      <w:r>
        <w:rPr>
          <w:rFonts w:hint="eastAsia"/>
          <w:highlight w:val="none"/>
          <w:u w:val="single"/>
          <w:lang w:eastAsia="zh-CN"/>
        </w:rPr>
        <w:t>南通轨道交通集团有限公司运营分公司2025-2027年未成年人个人信息保护合规审计服务项目</w:t>
      </w:r>
      <w:r>
        <w:rPr>
          <w:rFonts w:hint="eastAsia"/>
          <w:highlight w:val="none"/>
        </w:rPr>
        <w:t>已具备采购条件，现采用</w:t>
      </w:r>
      <w:r>
        <w:rPr>
          <w:rFonts w:hint="eastAsia"/>
          <w:highlight w:val="none"/>
          <w:lang w:eastAsia="zh-CN"/>
        </w:rPr>
        <w:t>公开比选</w:t>
      </w:r>
      <w:r>
        <w:rPr>
          <w:rFonts w:hint="eastAsia"/>
          <w:highlight w:val="none"/>
        </w:rPr>
        <w:t>方式进行</w:t>
      </w:r>
      <w:r>
        <w:rPr>
          <w:highlight w:val="none"/>
        </w:rPr>
        <w:t>采购。</w:t>
      </w:r>
    </w:p>
    <w:p>
      <w:pPr>
        <w:pStyle w:val="5"/>
        <w:ind w:firstLine="482"/>
        <w:rPr>
          <w:highlight w:val="none"/>
        </w:rPr>
      </w:pPr>
      <w:r>
        <w:rPr>
          <w:rFonts w:cs="Times New Roman"/>
          <w:highlight w:val="none"/>
        </w:rPr>
        <w:t>1</w:t>
      </w:r>
      <w:r>
        <w:rPr>
          <w:highlight w:val="none"/>
        </w:rPr>
        <w:t xml:space="preserve"> </w:t>
      </w:r>
      <w:r>
        <w:rPr>
          <w:rFonts w:hint="eastAsia"/>
          <w:highlight w:val="none"/>
        </w:rPr>
        <w:t>项目概况</w:t>
      </w:r>
    </w:p>
    <w:p>
      <w:pPr>
        <w:ind w:firstLine="482"/>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南通轨道交通集团有限公司运营分公司2025-2027年未成年人个人信息保护合规审计服务项目</w:t>
      </w:r>
    </w:p>
    <w:p>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NTGY-2026-FW-BX-006</w:t>
      </w:r>
    </w:p>
    <w:p>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pPr>
        <w:ind w:firstLine="482"/>
        <w:rPr>
          <w:rFonts w:hint="default" w:eastAsia="宋体"/>
          <w:highlight w:val="yellow"/>
          <w:u w:val="single"/>
          <w:lang w:val="en-US" w:eastAsia="zh-CN"/>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14.8万元</w:t>
      </w:r>
      <w:r>
        <w:rPr>
          <w:rFonts w:hint="eastAsia"/>
          <w:highlight w:val="none"/>
          <w:u w:val="single"/>
        </w:rPr>
        <w:t xml:space="preserve"> 人民币（含税）</w:t>
      </w:r>
    </w:p>
    <w:p>
      <w:pPr>
        <w:pStyle w:val="5"/>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w:t>
      </w:r>
      <w:r>
        <w:rPr>
          <w:rFonts w:hint="eastAsia"/>
          <w:b/>
          <w:bCs/>
          <w:highlight w:val="none"/>
          <w:lang w:val="en-US" w:eastAsia="zh-CN"/>
        </w:rPr>
        <w:t>服务</w:t>
      </w:r>
      <w:r>
        <w:rPr>
          <w:rFonts w:hint="eastAsia"/>
          <w:b/>
          <w:bCs/>
          <w:highlight w:val="none"/>
        </w:rPr>
        <w:t>期：</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pPr>
        <w:pStyle w:val="5"/>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pPr>
        <w:ind w:firstLine="480"/>
        <w:rPr>
          <w:rFonts w:hint="eastAsia" w:ascii="Times New Roman" w:hAnsi="Times New Roman" w:eastAsia="宋体"/>
          <w:highlight w:val="none"/>
          <w:u w:val="single"/>
          <w:lang w:eastAsia="zh-CN"/>
        </w:rPr>
      </w:pPr>
      <w:r>
        <w:rPr>
          <w:rFonts w:hint="eastAsia"/>
          <w:b/>
          <w:bCs/>
          <w:highlight w:val="none"/>
        </w:rPr>
        <w:t>3</w:t>
      </w:r>
      <w:r>
        <w:rPr>
          <w:b/>
          <w:bCs/>
          <w:highlight w:val="none"/>
        </w:rPr>
        <w:t>.1</w:t>
      </w:r>
      <w:r>
        <w:rPr>
          <w:rFonts w:hint="eastAsia"/>
          <w:b/>
          <w:bCs/>
          <w:highlight w:val="none"/>
        </w:rPr>
        <w:t>资格要求：</w:t>
      </w:r>
      <w:r>
        <w:rPr>
          <w:rFonts w:hint="eastAsia"/>
          <w:b w:val="0"/>
          <w:bCs w:val="0"/>
          <w:highlight w:val="none"/>
          <w:u w:val="single"/>
          <w:lang w:eastAsia="zh-CN"/>
        </w:rPr>
        <w:t>注册于中华人民共和国境内，具有独立法人资格的企事业单位，或依法设立的律师事务所。</w:t>
      </w:r>
    </w:p>
    <w:p>
      <w:pPr>
        <w:ind w:firstLine="482"/>
        <w:rPr>
          <w:rFonts w:hint="eastAsia" w:eastAsia="宋体"/>
          <w:highlight w:val="none"/>
          <w:lang w:eastAsia="zh-CN"/>
        </w:rPr>
      </w:pPr>
      <w:r>
        <w:rPr>
          <w:rFonts w:hint="eastAsia"/>
          <w:b/>
          <w:bCs/>
          <w:highlight w:val="none"/>
        </w:rPr>
        <w:t>3</w:t>
      </w:r>
      <w:r>
        <w:rPr>
          <w:b/>
          <w:bCs/>
          <w:highlight w:val="none"/>
        </w:rPr>
        <w:t>.2</w:t>
      </w:r>
      <w:r>
        <w:rPr>
          <w:rFonts w:hint="eastAsia"/>
          <w:b/>
          <w:bCs/>
          <w:highlight w:val="none"/>
        </w:rPr>
        <w:t>资质要求：</w:t>
      </w:r>
      <w:r>
        <w:rPr>
          <w:rFonts w:hint="eastAsia"/>
          <w:b w:val="0"/>
          <w:bCs w:val="0"/>
          <w:highlight w:val="none"/>
          <w:u w:val="single"/>
          <w:lang w:val="en-US" w:eastAsia="zh-CN"/>
        </w:rPr>
        <w:t>/</w:t>
      </w:r>
    </w:p>
    <w:p>
      <w:pPr>
        <w:ind w:firstLine="482"/>
        <w:rPr>
          <w:highlight w:val="none"/>
          <w:u w:val="single"/>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lang w:val="en-US" w:eastAsia="zh-CN"/>
        </w:rPr>
        <w:t>/</w:t>
      </w:r>
    </w:p>
    <w:p>
      <w:pPr>
        <w:wordWrap w:val="0"/>
        <w:ind w:left="0" w:leftChars="0" w:firstLine="482" w:firstLineChars="200"/>
        <w:jc w:val="left"/>
        <w:rPr>
          <w:rFonts w:hint="eastAsia"/>
          <w:highlight w:val="none"/>
          <w:u w:val="none"/>
          <w:lang w:val="en-US" w:eastAsia="zh-CN"/>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lang w:eastAsia="zh-CN"/>
        </w:rPr>
        <w:t>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若为依法设立的律师事务所，在全国律师执业诚信信息公示平台无惩戒记录。</w:t>
      </w:r>
      <w:r>
        <w:rPr>
          <w:rFonts w:hint="eastAsia"/>
          <w:highlight w:val="none"/>
          <w:u w:val="none"/>
          <w:lang w:val="en-US" w:eastAsia="zh-CN"/>
        </w:rPr>
        <w:t xml:space="preserve">    </w:t>
      </w:r>
    </w:p>
    <w:p>
      <w:pPr>
        <w:wordWrap w:val="0"/>
        <w:ind w:left="0" w:leftChars="0" w:firstLine="482" w:firstLineChars="200"/>
        <w:jc w:val="left"/>
        <w:rPr>
          <w:rFonts w:hint="default" w:eastAsia="宋体"/>
          <w:highlight w:val="none"/>
          <w:u w:val="single"/>
          <w:lang w:val="en-US" w:eastAsia="zh-CN"/>
        </w:rPr>
      </w:pPr>
      <w:r>
        <w:rPr>
          <w:rFonts w:hint="eastAsia"/>
          <w:b/>
          <w:bCs/>
          <w:highlight w:val="none"/>
        </w:rPr>
        <w:t>3</w:t>
      </w:r>
      <w:r>
        <w:rPr>
          <w:b/>
          <w:bCs/>
          <w:highlight w:val="none"/>
        </w:rPr>
        <w:t>.5</w:t>
      </w:r>
      <w:r>
        <w:rPr>
          <w:rFonts w:hint="eastAsia"/>
          <w:b/>
          <w:bCs/>
          <w:highlight w:val="none"/>
        </w:rPr>
        <w:t>人员要求：</w:t>
      </w:r>
      <w:r>
        <w:rPr>
          <w:rFonts w:hint="eastAsia"/>
          <w:highlight w:val="none"/>
          <w:u w:val="single"/>
        </w:rPr>
        <w:t>见第五章《采购需求》</w:t>
      </w:r>
    </w:p>
    <w:p>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pPr>
        <w:wordWrap w:val="0"/>
        <w:ind w:left="420" w:firstLine="60" w:firstLineChars="25"/>
        <w:jc w:val="left"/>
        <w:rPr>
          <w:b/>
          <w:bCs/>
          <w:highlight w:val="none"/>
        </w:rPr>
      </w:pPr>
      <w:r>
        <w:rPr>
          <w:rFonts w:hint="eastAsia"/>
          <w:b/>
          <w:bCs/>
          <w:highlight w:val="none"/>
        </w:rPr>
        <w:t>3.7禁止情形：</w:t>
      </w:r>
    </w:p>
    <w:p>
      <w:pPr>
        <w:wordWrap w:val="0"/>
        <w:ind w:firstLine="480" w:firstLineChars="200"/>
        <w:jc w:val="left"/>
        <w:rPr>
          <w:highlight w:val="none"/>
        </w:rPr>
      </w:pPr>
      <w:r>
        <w:rPr>
          <w:rFonts w:hint="eastAsia"/>
          <w:highlight w:val="none"/>
        </w:rPr>
        <w:t>3.7.1单位负责人为同一人或者存在控股、管理关系的不同单位，不得参加本项目；</w:t>
      </w:r>
    </w:p>
    <w:p>
      <w:pPr>
        <w:wordWrap w:val="0"/>
        <w:ind w:left="420" w:firstLine="60" w:firstLineChars="25"/>
        <w:jc w:val="left"/>
        <w:rPr>
          <w:rFonts w:hint="eastAsia"/>
          <w:highlight w:val="none"/>
        </w:rPr>
      </w:pPr>
      <w:r>
        <w:rPr>
          <w:rFonts w:hint="eastAsia"/>
          <w:highlight w:val="none"/>
        </w:rPr>
        <w:t>3.7.2与</w:t>
      </w:r>
      <w:r>
        <w:rPr>
          <w:rFonts w:hint="eastAsia"/>
          <w:highlight w:val="none"/>
          <w:lang w:eastAsia="zh-CN"/>
        </w:rPr>
        <w:t>采购人</w:t>
      </w:r>
      <w:r>
        <w:rPr>
          <w:rFonts w:hint="eastAsia"/>
          <w:highlight w:val="none"/>
        </w:rPr>
        <w:t>存在利害关系可能影响采购公正性的法人、其他组织或者个人，</w:t>
      </w:r>
    </w:p>
    <w:p>
      <w:pPr>
        <w:wordWrap w:val="0"/>
        <w:ind w:firstLine="0" w:firstLineChars="0"/>
        <w:jc w:val="left"/>
        <w:rPr>
          <w:highlight w:val="none"/>
        </w:rPr>
      </w:pPr>
      <w:r>
        <w:rPr>
          <w:rFonts w:hint="eastAsia"/>
          <w:highlight w:val="none"/>
        </w:rPr>
        <w:t>不得参加本项目。</w:t>
      </w:r>
    </w:p>
    <w:p>
      <w:pPr>
        <w:wordWrap w:val="0"/>
        <w:ind w:left="0" w:leftChars="0" w:firstLine="0" w:firstLineChars="0"/>
        <w:jc w:val="left"/>
        <w:rPr>
          <w:highlight w:val="none"/>
        </w:rPr>
      </w:pPr>
      <w:r>
        <w:rPr>
          <w:rFonts w:hint="eastAsia"/>
          <w:b/>
          <w:highlight w:val="none"/>
        </w:rPr>
        <w:t>3.8其他要求：</w:t>
      </w:r>
      <w:r>
        <w:rPr>
          <w:rFonts w:hint="eastAsia" w:ascii="宋体" w:hAnsi="宋体" w:cs="宋体"/>
          <w:szCs w:val="24"/>
          <w:highlight w:val="none"/>
          <w:u w:val="single"/>
          <w:lang w:val="en-US" w:eastAsia="zh-CN"/>
        </w:rPr>
        <w:t>/</w:t>
      </w:r>
      <w:r>
        <w:rPr>
          <w:rFonts w:hint="eastAsia"/>
          <w:highlight w:val="none"/>
        </w:rPr>
        <w:t xml:space="preserve"> </w:t>
      </w:r>
    </w:p>
    <w:p>
      <w:pPr>
        <w:pStyle w:val="5"/>
        <w:ind w:firstLine="482"/>
        <w:rPr>
          <w:highlight w:val="none"/>
        </w:rPr>
      </w:pPr>
      <w:r>
        <w:rPr>
          <w:rFonts w:hint="eastAsia" w:cs="Times New Roman"/>
          <w:highlight w:val="none"/>
        </w:rPr>
        <w:t>4</w:t>
      </w:r>
      <w:r>
        <w:rPr>
          <w:highlight w:val="none"/>
        </w:rPr>
        <w:t xml:space="preserve"> </w:t>
      </w:r>
      <w:r>
        <w:rPr>
          <w:rFonts w:hint="eastAsia"/>
          <w:highlight w:val="none"/>
        </w:rPr>
        <w:t>采购文件的获取</w:t>
      </w:r>
      <w:r>
        <w:rPr>
          <w:rFonts w:hint="eastAsia"/>
          <w:highlight w:val="none"/>
          <w:lang w:eastAsia="zh-CN"/>
        </w:rPr>
        <w:t>：</w:t>
      </w:r>
      <w:r>
        <w:rPr>
          <w:rFonts w:hint="eastAsia"/>
          <w:highlight w:val="none"/>
          <w:u w:val="single"/>
        </w:rPr>
        <w:t>采购文件在本网页内下载</w:t>
      </w:r>
    </w:p>
    <w:p>
      <w:pPr>
        <w:pStyle w:val="5"/>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4月30日</w:t>
      </w:r>
      <w:r>
        <w:rPr>
          <w:rFonts w:hint="eastAsia"/>
          <w:highlight w:val="none"/>
          <w:u w:val="single"/>
        </w:rPr>
        <w:t>14:</w:t>
      </w:r>
      <w:r>
        <w:rPr>
          <w:rFonts w:hint="eastAsia"/>
          <w:highlight w:val="none"/>
          <w:u w:val="single"/>
          <w:lang w:val="en-US" w:eastAsia="zh-CN"/>
        </w:rPr>
        <w:t>3</w:t>
      </w:r>
      <w:r>
        <w:rPr>
          <w:highlight w:val="none"/>
          <w:u w:val="single"/>
        </w:rPr>
        <w:t>0</w:t>
      </w:r>
    </w:p>
    <w:p>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pPr>
        <w:ind w:firstLine="0" w:firstLineChars="0"/>
        <w:rPr>
          <w:highlight w:val="none"/>
          <w:u w:val="single"/>
        </w:rPr>
      </w:pPr>
      <w:r>
        <w:rPr>
          <w:rFonts w:ascii="宋体" w:hAnsi="宋体" w:cs="宋体"/>
          <w:szCs w:val="24"/>
          <w:highlight w:val="none"/>
          <w:u w:val="single"/>
        </w:rPr>
        <w:t>标室</w:t>
      </w:r>
    </w:p>
    <w:p>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pPr>
        <w:ind w:firstLine="0" w:firstLineChars="0"/>
        <w:rPr>
          <w:highlight w:val="none"/>
        </w:rPr>
      </w:pPr>
      <w:r>
        <w:rPr>
          <w:rFonts w:hint="eastAsia"/>
          <w:highlight w:val="none"/>
          <w:u w:val="single"/>
        </w:rPr>
        <w:t>不接受邮寄等其他方式。</w:t>
      </w:r>
    </w:p>
    <w:p>
      <w:pPr>
        <w:ind w:firstLine="480"/>
        <w:rPr>
          <w:highlight w:val="none"/>
        </w:rPr>
      </w:pPr>
      <w:r>
        <w:rPr>
          <w:rFonts w:hint="eastAsia"/>
          <w:highlight w:val="none"/>
        </w:rPr>
        <w:t>5</w:t>
      </w:r>
      <w:r>
        <w:rPr>
          <w:highlight w:val="none"/>
        </w:rPr>
        <w:t>.</w:t>
      </w:r>
      <w:r>
        <w:rPr>
          <w:rFonts w:hint="eastAsia"/>
          <w:highlight w:val="none"/>
        </w:rPr>
        <w:t>4逾期送达、未送达指定地点或未密封的响应文件，采购人将拒绝接收。</w:t>
      </w:r>
    </w:p>
    <w:p>
      <w:pPr>
        <w:pStyle w:val="5"/>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pPr>
        <w:pStyle w:val="3"/>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pPr>
        <w:pStyle w:val="5"/>
        <w:ind w:firstLine="482"/>
        <w:rPr>
          <w:highlight w:val="none"/>
        </w:rPr>
      </w:pPr>
      <w:r>
        <w:rPr>
          <w:rFonts w:hint="eastAsia"/>
          <w:highlight w:val="none"/>
        </w:rPr>
        <w:t>7 采购公告媒介</w:t>
      </w:r>
    </w:p>
    <w:p>
      <w:pPr>
        <w:ind w:firstLine="480"/>
        <w:rPr>
          <w:highlight w:val="none"/>
        </w:rPr>
      </w:pPr>
      <w:r>
        <w:rPr>
          <w:rFonts w:hint="eastAsia"/>
          <w:highlight w:val="none"/>
        </w:rPr>
        <w:t>本公告同时在以下媒体发布：</w:t>
      </w:r>
    </w:p>
    <w:p>
      <w:pPr>
        <w:ind w:firstLine="480"/>
        <w:rPr>
          <w:color w:val="auto"/>
          <w:highlight w:val="none"/>
          <w:u w:val="single"/>
        </w:rPr>
      </w:pPr>
      <w:r>
        <w:rPr>
          <w:rFonts w:hint="eastAsia"/>
          <w:color w:val="auto"/>
          <w:highlight w:val="none"/>
          <w:u w:val="single"/>
        </w:rPr>
        <w:t>南通轨道交通官方网站（</w:t>
      </w:r>
      <w:r>
        <w:rPr>
          <w:rFonts w:hint="eastAsia"/>
          <w:color w:val="auto"/>
          <w:highlight w:val="none"/>
        </w:rPr>
        <w:fldChar w:fldCharType="begin"/>
      </w:r>
      <w:r>
        <w:rPr>
          <w:color w:val="auto"/>
          <w:highlight w:val="none"/>
        </w:rPr>
        <w:instrText xml:space="preserve"> HYPERLINK "https://www.ntrailway.com/）、" </w:instrText>
      </w:r>
      <w:r>
        <w:rPr>
          <w:rFonts w:hint="eastAsia"/>
          <w:color w:val="auto"/>
          <w:highlight w:val="none"/>
        </w:rPr>
        <w:fldChar w:fldCharType="separate"/>
      </w:r>
      <w:r>
        <w:rPr>
          <w:rFonts w:hint="eastAsia"/>
          <w:color w:val="auto"/>
          <w:highlight w:val="none"/>
          <w:u w:val="single"/>
        </w:rPr>
        <w:t>https://www.ntrailway.com/）</w:t>
      </w:r>
      <w:r>
        <w:rPr>
          <w:rFonts w:hint="eastAsia"/>
          <w:color w:val="auto"/>
          <w:highlight w:val="none"/>
          <w:u w:val="single"/>
        </w:rPr>
        <w:fldChar w:fldCharType="end"/>
      </w:r>
    </w:p>
    <w:p>
      <w:pPr>
        <w:ind w:firstLine="480"/>
        <w:rPr>
          <w:color w:val="auto"/>
          <w:highlight w:val="none"/>
          <w:u w:val="single"/>
        </w:rPr>
      </w:pPr>
      <w:r>
        <w:rPr>
          <w:rFonts w:hint="eastAsia"/>
          <w:color w:val="auto"/>
          <w:highlight w:val="none"/>
          <w:u w:val="single"/>
        </w:rPr>
        <w:t>江苏招标采购服务平台（http://www.jszbcg.com/）</w:t>
      </w:r>
    </w:p>
    <w:p>
      <w:pPr>
        <w:pStyle w:val="5"/>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pPr>
        <w:pStyle w:val="5"/>
        <w:ind w:firstLine="482"/>
        <w:rPr>
          <w:highlight w:val="none"/>
        </w:rPr>
      </w:pPr>
      <w:r>
        <w:rPr>
          <w:rFonts w:hint="eastAsia" w:cs="Times New Roman"/>
          <w:highlight w:val="none"/>
        </w:rPr>
        <w:t>9</w:t>
      </w:r>
      <w:r>
        <w:rPr>
          <w:highlight w:val="none"/>
        </w:rPr>
        <w:t xml:space="preserve"> </w:t>
      </w:r>
      <w:r>
        <w:rPr>
          <w:rFonts w:hint="eastAsia"/>
          <w:highlight w:val="none"/>
        </w:rPr>
        <w:t>联系方式</w:t>
      </w:r>
    </w:p>
    <w:p>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pPr>
        <w:ind w:firstLine="482"/>
        <w:rPr>
          <w:rFonts w:hint="eastAsia" w:eastAsia="宋体"/>
          <w:highlight w:val="none"/>
          <w:lang w:val="en-US" w:eastAsia="zh-CN"/>
        </w:rPr>
      </w:pPr>
      <w:r>
        <w:rPr>
          <w:rFonts w:hint="eastAsia"/>
          <w:b/>
          <w:bCs/>
          <w:highlight w:val="none"/>
        </w:rPr>
        <w:t>联系人：</w:t>
      </w:r>
      <w:r>
        <w:rPr>
          <w:rFonts w:hint="eastAsia"/>
          <w:highlight w:val="none"/>
          <w:u w:val="single"/>
          <w:lang w:eastAsia="zh-CN"/>
        </w:rPr>
        <w:t>宗先生</w:t>
      </w:r>
    </w:p>
    <w:p>
      <w:pPr>
        <w:ind w:firstLine="482"/>
        <w:rPr>
          <w:b w:val="0"/>
          <w:bCs w:val="0"/>
          <w:highlight w:val="green"/>
          <w:u w:val="single"/>
        </w:rPr>
      </w:pPr>
      <w:r>
        <w:rPr>
          <w:rFonts w:hint="eastAsia"/>
          <w:b/>
          <w:bCs/>
          <w:highlight w:val="none"/>
        </w:rPr>
        <w:t>电话：</w:t>
      </w:r>
      <w:r>
        <w:rPr>
          <w:rFonts w:hint="eastAsia"/>
          <w:b w:val="0"/>
          <w:bCs w:val="0"/>
          <w:highlight w:val="none"/>
          <w:u w:val="single"/>
        </w:rPr>
        <w:t>0513-69888680</w:t>
      </w:r>
    </w:p>
    <w:p>
      <w:pPr>
        <w:pStyle w:val="3"/>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pPr>
        <w:ind w:firstLine="480"/>
        <w:rPr>
          <w:highlight w:val="none"/>
        </w:rPr>
      </w:pPr>
    </w:p>
    <w:p>
      <w:pPr>
        <w:ind w:firstLine="482"/>
        <w:rPr>
          <w:highlight w:val="none"/>
        </w:rPr>
      </w:pPr>
      <w:r>
        <w:rPr>
          <w:rFonts w:hint="eastAsia"/>
          <w:b/>
          <w:bCs/>
          <w:highlight w:val="none"/>
        </w:rPr>
        <w:t>代理机构：</w:t>
      </w:r>
      <w:r>
        <w:rPr>
          <w:rFonts w:hint="eastAsia"/>
          <w:highlight w:val="none"/>
          <w:u w:val="single"/>
        </w:rPr>
        <w:t>江苏建达全过程工程咨询有限公司</w:t>
      </w:r>
    </w:p>
    <w:p>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pPr>
        <w:ind w:firstLine="482"/>
        <w:rPr>
          <w:highlight w:val="none"/>
        </w:rPr>
      </w:pPr>
      <w:r>
        <w:rPr>
          <w:rFonts w:hint="eastAsia"/>
          <w:b/>
          <w:bCs/>
          <w:highlight w:val="none"/>
        </w:rPr>
        <w:t>电话：</w:t>
      </w:r>
      <w:r>
        <w:rPr>
          <w:highlight w:val="none"/>
          <w:u w:val="single"/>
        </w:rPr>
        <w:t xml:space="preserve">15301476960 </w:t>
      </w:r>
    </w:p>
    <w:p>
      <w:pPr>
        <w:ind w:firstLine="482"/>
        <w:rPr>
          <w:highlight w:val="none"/>
          <w:u w:val="single"/>
        </w:rPr>
      </w:pPr>
      <w:r>
        <w:rPr>
          <w:rFonts w:hint="eastAsia"/>
          <w:b/>
          <w:bCs/>
          <w:highlight w:val="none"/>
        </w:rPr>
        <w:t>邮箱：</w:t>
      </w:r>
      <w:r>
        <w:rPr>
          <w:highlight w:val="none"/>
          <w:u w:val="single"/>
        </w:rPr>
        <w:t xml:space="preserve">1614454577@qq.com </w:t>
      </w:r>
    </w:p>
    <w:p>
      <w:pPr>
        <w:pStyle w:val="3"/>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pPr>
        <w:ind w:firstLine="480"/>
        <w:rPr>
          <w:highlight w:val="none"/>
        </w:rPr>
      </w:pPr>
    </w:p>
    <w:p>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pPr>
        <w:ind w:firstLine="482"/>
        <w:rPr>
          <w:highlight w:val="none"/>
          <w:u w:val="single"/>
        </w:rPr>
      </w:pPr>
      <w:r>
        <w:rPr>
          <w:rFonts w:hint="eastAsia"/>
          <w:b/>
          <w:bCs/>
          <w:highlight w:val="none"/>
        </w:rPr>
        <w:t>联系电话：</w:t>
      </w:r>
      <w:r>
        <w:rPr>
          <w:rFonts w:hint="eastAsia"/>
          <w:highlight w:val="none"/>
          <w:u w:val="single"/>
        </w:rPr>
        <w:t>0513-69888665</w:t>
      </w:r>
    </w:p>
    <w:p>
      <w:pPr>
        <w:pStyle w:val="3"/>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u w:val="single"/>
        </w:rPr>
      </w:pPr>
    </w:p>
    <w:p>
      <w:pPr>
        <w:pStyle w:val="35"/>
        <w:rPr>
          <w:rFonts w:ascii="Times New Roman"/>
          <w:kern w:val="2"/>
          <w:sz w:val="24"/>
          <w:szCs w:val="22"/>
          <w:highlight w:val="none"/>
          <w:u w:val="single"/>
        </w:rPr>
      </w:pPr>
    </w:p>
    <w:p>
      <w:pPr>
        <w:pStyle w:val="35"/>
        <w:rPr>
          <w:rFonts w:ascii="Times New Roman"/>
          <w:kern w:val="2"/>
          <w:sz w:val="24"/>
          <w:szCs w:val="22"/>
          <w:highlight w:val="none"/>
          <w:u w:val="single"/>
        </w:rPr>
      </w:pPr>
    </w:p>
    <w:p>
      <w:pPr>
        <w:ind w:firstLine="480"/>
        <w:rPr>
          <w:highlight w:val="none"/>
        </w:rPr>
      </w:pPr>
      <w:r>
        <w:rPr>
          <w:rFonts w:hint="eastAsia"/>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4"/>
        <w:ind w:firstLine="140" w:firstLineChars="32"/>
        <w:rPr>
          <w:highlight w:val="none"/>
        </w:rPr>
      </w:pPr>
      <w:bookmarkStart w:id="6" w:name="_Toc18896"/>
      <w:r>
        <w:rPr>
          <w:rFonts w:hint="eastAsia"/>
          <w:highlight w:val="none"/>
        </w:rPr>
        <w:t>第二章 供应商须知</w:t>
      </w:r>
      <w:bookmarkEnd w:id="6"/>
    </w:p>
    <w:p>
      <w:pPr>
        <w:ind w:firstLine="640"/>
        <w:rPr>
          <w:sz w:val="32"/>
          <w:szCs w:val="40"/>
          <w:highlight w:val="none"/>
        </w:rPr>
      </w:pPr>
      <w:r>
        <w:rPr>
          <w:rFonts w:hint="eastAsia"/>
          <w:sz w:val="32"/>
          <w:szCs w:val="40"/>
          <w:highlight w:val="none"/>
        </w:rPr>
        <w:br w:type="page"/>
      </w:r>
    </w:p>
    <w:p>
      <w:pPr>
        <w:pStyle w:val="5"/>
        <w:ind w:firstLine="0" w:firstLineChars="0"/>
        <w:jc w:val="center"/>
        <w:rPr>
          <w:sz w:val="32"/>
          <w:szCs w:val="40"/>
          <w:highlight w:val="none"/>
        </w:rPr>
      </w:pPr>
      <w:r>
        <w:rPr>
          <w:rFonts w:hint="eastAsia"/>
          <w:sz w:val="32"/>
          <w:szCs w:val="40"/>
          <w:highlight w:val="none"/>
        </w:rPr>
        <w:t>供应商须知前附表</w:t>
      </w:r>
    </w:p>
    <w:p>
      <w:pPr>
        <w:ind w:firstLine="480"/>
        <w:rPr>
          <w:highlight w:val="none"/>
        </w:rPr>
      </w:pPr>
      <w:r>
        <w:rPr>
          <w:highlight w:val="none"/>
        </w:rPr>
        <w:t> </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61"/>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南通轨道交通集团有限公司运营分公司2025-2027年未成年人个人信息保护合规审计服务项目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NTGY-2026-FW-BX-006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lang w:eastAsia="zh-CN"/>
              </w:rPr>
              <w:t>2026年4月</w:t>
            </w:r>
            <w:r>
              <w:rPr>
                <w:rFonts w:hint="eastAsia" w:ascii="宋体" w:hAnsi="宋体" w:cs="宋体"/>
                <w:sz w:val="21"/>
                <w:szCs w:val="21"/>
                <w:highlight w:val="none"/>
                <w:u w:val="single"/>
                <w:lang w:val="en-US" w:eastAsia="zh-CN"/>
              </w:rPr>
              <w:t>25</w:t>
            </w:r>
            <w:r>
              <w:rPr>
                <w:rFonts w:hint="eastAsia" w:ascii="宋体" w:hAnsi="宋体" w:cs="宋体"/>
                <w:sz w:val="21"/>
                <w:szCs w:val="21"/>
                <w:highlight w:val="none"/>
                <w:u w:val="single"/>
              </w:rPr>
              <w:t>日17:00</w:t>
            </w:r>
            <w:r>
              <w:rPr>
                <w:rFonts w:hint="eastAsia" w:ascii="宋体" w:hAnsi="宋体" w:cs="宋体"/>
                <w:sz w:val="21"/>
                <w:szCs w:val="21"/>
                <w:highlight w:val="none"/>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pPr>
              <w:spacing w:line="300" w:lineRule="auto"/>
              <w:ind w:left="-106" w:leftChars="-44" w:firstLine="0" w:firstLineChars="0"/>
              <w:jc w:val="center"/>
              <w:rPr>
                <w:rFonts w:ascii="宋体" w:hAnsi="宋体" w:cs="宋体"/>
                <w:sz w:val="21"/>
                <w:szCs w:val="21"/>
                <w:highlight w:val="none"/>
              </w:rPr>
            </w:pPr>
            <w:bookmarkStart w:id="7" w:name="OLE_LINK21"/>
            <w:bookmarkStart w:id="8" w:name="OLE_LINK20"/>
            <w:r>
              <w:rPr>
                <w:rFonts w:hint="eastAsia" w:ascii="宋体" w:hAnsi="宋体" w:cs="宋体"/>
                <w:sz w:val="21"/>
                <w:szCs w:val="21"/>
                <w:highlight w:val="none"/>
              </w:rPr>
              <w:t>最高限价</w:t>
            </w:r>
            <w:bookmarkEnd w:id="7"/>
            <w:bookmarkEnd w:id="8"/>
          </w:p>
        </w:tc>
        <w:tc>
          <w:tcPr>
            <w:tcW w:w="3334" w:type="pct"/>
            <w:vAlign w:val="center"/>
          </w:tcPr>
          <w:p>
            <w:pPr>
              <w:spacing w:before="156" w:after="156" w:line="300" w:lineRule="auto"/>
              <w:ind w:left="-31" w:leftChars="-13" w:firstLine="29" w:firstLineChars="14"/>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本项目限价为：</w:t>
            </w:r>
            <w:r>
              <w:rPr>
                <w:rFonts w:hint="eastAsia" w:ascii="宋体" w:hAnsi="宋体" w:cs="宋体"/>
                <w:b/>
                <w:bCs/>
                <w:sz w:val="21"/>
                <w:szCs w:val="21"/>
                <w:highlight w:val="none"/>
                <w:u w:val="single"/>
                <w:lang w:val="en-US" w:eastAsia="zh-CN"/>
              </w:rPr>
              <w:t>14.8万元</w:t>
            </w:r>
          </w:p>
          <w:p>
            <w:pPr>
              <w:spacing w:before="156" w:after="156" w:line="300" w:lineRule="auto"/>
              <w:ind w:left="-31" w:leftChars="-13" w:firstLine="29" w:firstLineChars="14"/>
              <w:jc w:val="both"/>
              <w:rPr>
                <w:rFonts w:ascii="宋体" w:hAnsi="宋体" w:cs="宋体"/>
                <w:sz w:val="21"/>
                <w:szCs w:val="21"/>
                <w:highlight w:val="none"/>
              </w:rPr>
            </w:pPr>
            <w:r>
              <w:rPr>
                <w:rFonts w:hint="eastAsia" w:ascii="宋体" w:hAnsi="宋体" w:cs="宋体"/>
                <w:sz w:val="21"/>
                <w:szCs w:val="21"/>
                <w:highlight w:val="none"/>
              </w:rPr>
              <w:t>供应商的报价超过</w:t>
            </w:r>
            <w:r>
              <w:rPr>
                <w:rFonts w:hint="eastAsia" w:ascii="宋体" w:hAnsi="宋体" w:cs="宋体"/>
                <w:sz w:val="21"/>
                <w:szCs w:val="21"/>
                <w:highlight w:val="none"/>
                <w:lang w:val="en-US" w:eastAsia="zh-CN"/>
              </w:rPr>
              <w:t>项目限价</w:t>
            </w:r>
            <w:r>
              <w:rPr>
                <w:rFonts w:hint="eastAsia" w:ascii="宋体" w:hAnsi="宋体" w:cs="宋体"/>
                <w:sz w:val="21"/>
                <w:szCs w:val="21"/>
                <w:highlight w:val="none"/>
              </w:rPr>
              <w:t>的，其响应文件将被视为无效。</w:t>
            </w:r>
          </w:p>
          <w:p>
            <w:pPr>
              <w:spacing w:before="156" w:after="156" w:line="300" w:lineRule="auto"/>
              <w:ind w:left="-31" w:leftChars="-13" w:firstLine="29" w:firstLineChars="14"/>
              <w:jc w:val="center"/>
              <w:rPr>
                <w:rFonts w:ascii="宋体" w:hAnsi="宋体" w:cs="宋体"/>
                <w:sz w:val="21"/>
                <w:szCs w:val="21"/>
                <w:highlight w:val="none"/>
              </w:rPr>
            </w:pPr>
          </w:p>
          <w:p>
            <w:pPr>
              <w:spacing w:before="156" w:after="156" w:line="300" w:lineRule="auto"/>
              <w:ind w:left="-31" w:leftChars="-13" w:firstLine="29" w:firstLineChars="14"/>
              <w:jc w:val="center"/>
              <w:rPr>
                <w:rFonts w:ascii="宋体" w:hAnsi="宋体" w:cs="宋体"/>
                <w:sz w:val="21"/>
                <w:szCs w:val="21"/>
                <w:highlight w:val="none"/>
              </w:rPr>
            </w:pPr>
          </w:p>
          <w:p>
            <w:pPr>
              <w:spacing w:line="300" w:lineRule="auto"/>
              <w:ind w:left="-31" w:leftChars="-13" w:firstLine="30" w:firstLineChars="14"/>
              <w:jc w:val="center"/>
              <w:rPr>
                <w:rFonts w:ascii="宋体" w:hAnsi="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pPr>
              <w:pStyle w:val="23"/>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签到</w:t>
            </w:r>
            <w:r>
              <w:rPr>
                <w:rFonts w:ascii="宋体" w:hAnsi="宋体" w:cs="宋体"/>
                <w:sz w:val="21"/>
                <w:szCs w:val="21"/>
                <w:highlight w:val="none"/>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pPr>
        <w:ind w:firstLine="480"/>
        <w:rPr>
          <w:highlight w:val="none"/>
        </w:rPr>
      </w:pPr>
    </w:p>
    <w:p>
      <w:pPr>
        <w:widowControl/>
        <w:spacing w:line="240" w:lineRule="auto"/>
        <w:ind w:firstLine="0" w:firstLineChars="0"/>
        <w:jc w:val="left"/>
        <w:rPr>
          <w:highlight w:val="none"/>
        </w:rPr>
      </w:pPr>
      <w:r>
        <w:rPr>
          <w:highlight w:val="none"/>
        </w:rPr>
        <w:br w:type="page"/>
      </w:r>
    </w:p>
    <w:p>
      <w:pPr>
        <w:pStyle w:val="5"/>
        <w:ind w:firstLine="482"/>
        <w:jc w:val="left"/>
        <w:rPr>
          <w:highlight w:val="none"/>
        </w:rPr>
      </w:pPr>
      <w:r>
        <w:rPr>
          <w:rFonts w:hint="eastAsia"/>
          <w:highlight w:val="none"/>
        </w:rPr>
        <w:t>1</w:t>
      </w:r>
      <w:r>
        <w:rPr>
          <w:highlight w:val="none"/>
        </w:rPr>
        <w:t xml:space="preserve"> </w:t>
      </w:r>
      <w:r>
        <w:rPr>
          <w:rFonts w:hint="eastAsia"/>
          <w:highlight w:val="none"/>
        </w:rPr>
        <w:t>总则</w:t>
      </w:r>
    </w:p>
    <w:p>
      <w:pPr>
        <w:pStyle w:val="6"/>
        <w:ind w:firstLine="482"/>
        <w:rPr>
          <w:highlight w:val="none"/>
        </w:rPr>
      </w:pPr>
      <w:r>
        <w:rPr>
          <w:rFonts w:hint="eastAsia"/>
          <w:highlight w:val="none"/>
        </w:rPr>
        <w:t>1.1采购方式</w:t>
      </w:r>
    </w:p>
    <w:p>
      <w:pPr>
        <w:ind w:firstLine="480"/>
        <w:rPr>
          <w:highlight w:val="none"/>
        </w:rPr>
      </w:pPr>
      <w:r>
        <w:rPr>
          <w:rFonts w:hint="eastAsia"/>
          <w:highlight w:val="none"/>
        </w:rPr>
        <w:t>本项目已具备条件，现对本项目采用</w:t>
      </w:r>
      <w:r>
        <w:rPr>
          <w:rFonts w:hint="eastAsia"/>
          <w:highlight w:val="none"/>
          <w:lang w:eastAsia="zh-CN"/>
        </w:rPr>
        <w:t>公开比选</w:t>
      </w:r>
      <w:r>
        <w:rPr>
          <w:rFonts w:hint="eastAsia"/>
          <w:highlight w:val="none"/>
        </w:rPr>
        <w:t>方式进行采购。</w:t>
      </w:r>
    </w:p>
    <w:p>
      <w:pPr>
        <w:pStyle w:val="6"/>
        <w:ind w:firstLine="482"/>
        <w:rPr>
          <w:highlight w:val="none"/>
        </w:rPr>
      </w:pPr>
      <w:r>
        <w:rPr>
          <w:rFonts w:hint="eastAsia"/>
          <w:highlight w:val="none"/>
        </w:rPr>
        <w:t>1.</w:t>
      </w:r>
      <w:r>
        <w:rPr>
          <w:highlight w:val="none"/>
        </w:rPr>
        <w:t>2</w:t>
      </w:r>
      <w:r>
        <w:rPr>
          <w:rFonts w:hint="eastAsia"/>
          <w:highlight w:val="none"/>
        </w:rPr>
        <w:t>项目概况采购范围及相关要求</w:t>
      </w:r>
    </w:p>
    <w:p>
      <w:pPr>
        <w:ind w:firstLine="480"/>
        <w:rPr>
          <w:highlight w:val="none"/>
        </w:rPr>
      </w:pPr>
      <w:r>
        <w:rPr>
          <w:rFonts w:hint="eastAsia"/>
          <w:highlight w:val="none"/>
        </w:rPr>
        <w:t>见第一章“采购公告”</w:t>
      </w:r>
    </w:p>
    <w:p>
      <w:pPr>
        <w:pStyle w:val="6"/>
        <w:ind w:firstLine="482"/>
        <w:rPr>
          <w:highlight w:val="none"/>
        </w:rPr>
      </w:pPr>
      <w:r>
        <w:rPr>
          <w:rFonts w:hint="eastAsia"/>
          <w:highlight w:val="none"/>
        </w:rPr>
        <w:t>1.3供应商资格要求</w:t>
      </w:r>
    </w:p>
    <w:p>
      <w:pPr>
        <w:ind w:firstLine="480"/>
        <w:rPr>
          <w:highlight w:val="none"/>
        </w:rPr>
      </w:pPr>
      <w:r>
        <w:rPr>
          <w:rFonts w:hint="eastAsia"/>
          <w:highlight w:val="none"/>
        </w:rPr>
        <w:t>见第一章“采购公告”。</w:t>
      </w:r>
    </w:p>
    <w:p>
      <w:pPr>
        <w:pStyle w:val="6"/>
        <w:ind w:firstLine="482"/>
        <w:rPr>
          <w:highlight w:val="none"/>
        </w:rPr>
      </w:pPr>
      <w:r>
        <w:rPr>
          <w:rFonts w:hint="eastAsia"/>
          <w:highlight w:val="none"/>
        </w:rPr>
        <w:t>1.4费用承担</w:t>
      </w:r>
    </w:p>
    <w:p>
      <w:pPr>
        <w:ind w:firstLine="480"/>
        <w:rPr>
          <w:highlight w:val="none"/>
        </w:rPr>
      </w:pPr>
      <w:r>
        <w:rPr>
          <w:rFonts w:hint="eastAsia"/>
          <w:highlight w:val="none"/>
        </w:rPr>
        <w:t>供应商准备和参加采购活动发生的费用自理。</w:t>
      </w:r>
    </w:p>
    <w:p>
      <w:pPr>
        <w:pStyle w:val="6"/>
        <w:ind w:firstLine="482"/>
        <w:rPr>
          <w:highlight w:val="none"/>
        </w:rPr>
      </w:pPr>
      <w:r>
        <w:rPr>
          <w:rFonts w:hint="eastAsia"/>
          <w:highlight w:val="none"/>
        </w:rPr>
        <w:t>1.5 保密</w:t>
      </w:r>
    </w:p>
    <w:p>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pPr>
        <w:pStyle w:val="6"/>
        <w:ind w:firstLine="482"/>
        <w:rPr>
          <w:highlight w:val="none"/>
        </w:rPr>
      </w:pPr>
      <w:r>
        <w:rPr>
          <w:rFonts w:hint="eastAsia"/>
          <w:highlight w:val="none"/>
        </w:rPr>
        <w:t>1.6 语言文字</w:t>
      </w:r>
    </w:p>
    <w:p>
      <w:pPr>
        <w:ind w:firstLine="480"/>
        <w:rPr>
          <w:highlight w:val="none"/>
        </w:rPr>
      </w:pPr>
      <w:r>
        <w:rPr>
          <w:rFonts w:hint="eastAsia"/>
          <w:highlight w:val="none"/>
        </w:rPr>
        <w:t>除专用术语外，语言均使用中文（必要时专用术语应附有中文注释）。</w:t>
      </w:r>
    </w:p>
    <w:p>
      <w:pPr>
        <w:pStyle w:val="6"/>
        <w:ind w:firstLine="482"/>
        <w:rPr>
          <w:highlight w:val="none"/>
        </w:rPr>
      </w:pPr>
      <w:r>
        <w:rPr>
          <w:rFonts w:hint="eastAsia"/>
          <w:highlight w:val="none"/>
        </w:rPr>
        <w:t>1.7 计量单位</w:t>
      </w:r>
    </w:p>
    <w:p>
      <w:pPr>
        <w:ind w:firstLine="480"/>
        <w:rPr>
          <w:highlight w:val="none"/>
        </w:rPr>
      </w:pPr>
      <w:r>
        <w:rPr>
          <w:rFonts w:hint="eastAsia"/>
          <w:highlight w:val="none"/>
        </w:rPr>
        <w:t>所有计量均采用中华人民共和国法定计量单位（采购文件另有要求的，按照采购文件要求执行）。</w:t>
      </w:r>
    </w:p>
    <w:p>
      <w:pPr>
        <w:pStyle w:val="6"/>
        <w:ind w:firstLine="482"/>
        <w:rPr>
          <w:highlight w:val="none"/>
        </w:rPr>
      </w:pPr>
      <w:r>
        <w:rPr>
          <w:rFonts w:hint="eastAsia"/>
          <w:highlight w:val="none"/>
        </w:rPr>
        <w:t>1.8 踏勘现场</w:t>
      </w:r>
    </w:p>
    <w:p>
      <w:pPr>
        <w:ind w:firstLine="480"/>
        <w:rPr>
          <w:highlight w:val="none"/>
        </w:rPr>
      </w:pPr>
      <w:r>
        <w:rPr>
          <w:rFonts w:hint="eastAsia"/>
          <w:highlight w:val="none"/>
        </w:rPr>
        <w:t>1.8.1采购人不组织踏勘现场，供应商自行踏勘现场。</w:t>
      </w:r>
    </w:p>
    <w:p>
      <w:pPr>
        <w:ind w:firstLine="480"/>
        <w:rPr>
          <w:highlight w:val="none"/>
        </w:rPr>
      </w:pPr>
      <w:r>
        <w:rPr>
          <w:rFonts w:hint="eastAsia"/>
          <w:highlight w:val="none"/>
        </w:rPr>
        <w:t>1.8.2供应商踏勘现场发生的费用自理。</w:t>
      </w:r>
    </w:p>
    <w:p>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pPr>
        <w:pStyle w:val="6"/>
        <w:ind w:firstLine="482"/>
        <w:rPr>
          <w:highlight w:val="none"/>
        </w:rPr>
      </w:pPr>
      <w:r>
        <w:rPr>
          <w:rFonts w:hint="eastAsia"/>
          <w:highlight w:val="none"/>
        </w:rPr>
        <w:t>1.9 分包</w:t>
      </w:r>
    </w:p>
    <w:p>
      <w:pPr>
        <w:ind w:firstLine="480"/>
        <w:rPr>
          <w:highlight w:val="none"/>
        </w:rPr>
      </w:pPr>
      <w:r>
        <w:rPr>
          <w:rFonts w:hint="eastAsia"/>
          <w:highlight w:val="none"/>
        </w:rPr>
        <w:t>不允许供应商在成交后将本项目的任何部分工作进行分包。</w:t>
      </w:r>
    </w:p>
    <w:p>
      <w:pPr>
        <w:pStyle w:val="5"/>
        <w:ind w:firstLine="482"/>
        <w:jc w:val="left"/>
        <w:rPr>
          <w:highlight w:val="none"/>
        </w:rPr>
      </w:pPr>
      <w:r>
        <w:rPr>
          <w:rFonts w:hint="eastAsia"/>
          <w:highlight w:val="none"/>
        </w:rPr>
        <w:t>2</w:t>
      </w:r>
      <w:r>
        <w:rPr>
          <w:highlight w:val="none"/>
        </w:rPr>
        <w:t xml:space="preserve"> </w:t>
      </w:r>
      <w:r>
        <w:rPr>
          <w:rFonts w:hint="eastAsia"/>
          <w:highlight w:val="none"/>
        </w:rPr>
        <w:t>采购文件</w:t>
      </w:r>
    </w:p>
    <w:p>
      <w:pPr>
        <w:pStyle w:val="6"/>
        <w:ind w:firstLine="482"/>
        <w:rPr>
          <w:highlight w:val="none"/>
        </w:rPr>
      </w:pPr>
      <w:r>
        <w:rPr>
          <w:rFonts w:hint="eastAsia"/>
          <w:highlight w:val="none"/>
        </w:rPr>
        <w:t>2.1采购文件组成</w:t>
      </w:r>
    </w:p>
    <w:p>
      <w:pPr>
        <w:ind w:firstLine="480"/>
        <w:rPr>
          <w:highlight w:val="none"/>
        </w:rPr>
      </w:pPr>
      <w:r>
        <w:rPr>
          <w:rFonts w:hint="eastAsia"/>
          <w:highlight w:val="none"/>
        </w:rPr>
        <w:t>本采购文件共六章，内容如下：</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w:t>
      </w:r>
    </w:p>
    <w:p>
      <w:pPr>
        <w:ind w:firstLine="480"/>
        <w:rPr>
          <w:highlight w:val="none"/>
        </w:rPr>
      </w:pPr>
      <w:r>
        <w:rPr>
          <w:rFonts w:hint="eastAsia"/>
          <w:highlight w:val="none"/>
        </w:rPr>
        <w:t>第三章 评审方法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w:t>
      </w:r>
      <w:r>
        <w:rPr>
          <w:highlight w:val="none"/>
        </w:rPr>
        <w:t xml:space="preserve"> </w:t>
      </w:r>
      <w:r>
        <w:rPr>
          <w:rFonts w:hint="eastAsia"/>
          <w:highlight w:val="none"/>
        </w:rPr>
        <w:t>响应文件格式</w:t>
      </w:r>
    </w:p>
    <w:p>
      <w:pPr>
        <w:ind w:firstLine="480"/>
        <w:rPr>
          <w:highlight w:val="none"/>
        </w:rPr>
      </w:pPr>
      <w:r>
        <w:rPr>
          <w:rFonts w:hint="eastAsia"/>
          <w:highlight w:val="none"/>
        </w:rPr>
        <w:t>采购人根据本章规定对采购文件所作的澄清、修改，构成采购文件的组成部分。</w:t>
      </w:r>
    </w:p>
    <w:p>
      <w:pPr>
        <w:pStyle w:val="6"/>
        <w:ind w:firstLine="482"/>
        <w:rPr>
          <w:highlight w:val="none"/>
        </w:rPr>
      </w:pPr>
      <w:r>
        <w:rPr>
          <w:rFonts w:hint="eastAsia"/>
          <w:highlight w:val="none"/>
        </w:rPr>
        <w:t>2.2 采购文件的澄清</w:t>
      </w:r>
    </w:p>
    <w:p>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采购人可根据供应商的要求或主动对采购文件进行澄清或修改。采购人可视具体情况在补充文件中通知供应商推迟递交响应文件的截止时间。</w:t>
      </w:r>
    </w:p>
    <w:p>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pPr>
        <w:pStyle w:val="5"/>
        <w:ind w:firstLine="482"/>
        <w:jc w:val="left"/>
        <w:rPr>
          <w:highlight w:val="none"/>
        </w:rPr>
      </w:pPr>
      <w:r>
        <w:rPr>
          <w:rFonts w:hint="eastAsia"/>
          <w:highlight w:val="none"/>
        </w:rPr>
        <w:t>3</w:t>
      </w:r>
      <w:r>
        <w:rPr>
          <w:highlight w:val="none"/>
        </w:rPr>
        <w:t xml:space="preserve"> </w:t>
      </w:r>
      <w:r>
        <w:rPr>
          <w:rFonts w:hint="eastAsia"/>
          <w:highlight w:val="none"/>
        </w:rPr>
        <w:t>响应文件</w:t>
      </w:r>
    </w:p>
    <w:p>
      <w:pPr>
        <w:pStyle w:val="6"/>
        <w:ind w:firstLine="482"/>
        <w:rPr>
          <w:highlight w:val="none"/>
        </w:rPr>
      </w:pPr>
      <w:r>
        <w:rPr>
          <w:rFonts w:hint="eastAsia"/>
          <w:highlight w:val="none"/>
        </w:rPr>
        <w:t>3.1 响应文件的组成</w:t>
      </w:r>
    </w:p>
    <w:p>
      <w:pPr>
        <w:ind w:firstLine="480"/>
        <w:rPr>
          <w:highlight w:val="none"/>
        </w:rPr>
      </w:pPr>
      <w:r>
        <w:rPr>
          <w:rFonts w:hint="eastAsia"/>
          <w:highlight w:val="none"/>
        </w:rPr>
        <w:t>3</w:t>
      </w:r>
      <w:r>
        <w:rPr>
          <w:highlight w:val="none"/>
        </w:rPr>
        <w:t>.1.1</w:t>
      </w:r>
      <w:r>
        <w:rPr>
          <w:rFonts w:hint="eastAsia"/>
          <w:highlight w:val="none"/>
        </w:rPr>
        <w:t>响应文件应包含下列内容</w:t>
      </w:r>
    </w:p>
    <w:p>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pPr>
        <w:ind w:firstLine="480"/>
        <w:rPr>
          <w:highlight w:val="none"/>
        </w:rPr>
      </w:pPr>
      <w:r>
        <w:rPr>
          <w:rFonts w:hint="eastAsia"/>
          <w:highlight w:val="none"/>
        </w:rPr>
        <w:t>（1）承诺函</w:t>
      </w:r>
    </w:p>
    <w:p>
      <w:pPr>
        <w:ind w:firstLine="480"/>
        <w:rPr>
          <w:highlight w:val="none"/>
        </w:rPr>
      </w:pPr>
      <w:r>
        <w:rPr>
          <w:rFonts w:hint="eastAsia"/>
          <w:highlight w:val="none"/>
        </w:rPr>
        <w:t>（2）企业营业执照或事业单位法人证书（提供复印件并加盖公章）</w:t>
      </w:r>
    </w:p>
    <w:p>
      <w:pPr>
        <w:ind w:firstLine="480"/>
        <w:rPr>
          <w:highlight w:val="none"/>
        </w:rPr>
      </w:pPr>
      <w:r>
        <w:rPr>
          <w:rFonts w:hint="eastAsia"/>
          <w:highlight w:val="none"/>
        </w:rPr>
        <w:t>（3）法定代表人身份证明书（提供复印件并加盖公章）</w:t>
      </w:r>
    </w:p>
    <w:p>
      <w:pPr>
        <w:ind w:firstLine="480"/>
        <w:rPr>
          <w:highlight w:val="none"/>
        </w:rPr>
      </w:pPr>
      <w:r>
        <w:rPr>
          <w:rFonts w:hint="eastAsia"/>
          <w:highlight w:val="none"/>
        </w:rPr>
        <w:t>（4）授权委托书原件，授权代理人本人身份证复印件（如有授权）</w:t>
      </w:r>
    </w:p>
    <w:p>
      <w:pPr>
        <w:ind w:firstLine="480"/>
      </w:pPr>
      <w:r>
        <w:rPr>
          <w:rFonts w:hint="eastAsia"/>
          <w:highlight w:val="none"/>
        </w:rPr>
        <w:t>（</w:t>
      </w:r>
      <w:r>
        <w:rPr>
          <w:rFonts w:hint="eastAsia"/>
          <w:highlight w:val="none"/>
          <w:lang w:val="en-US" w:eastAsia="zh-CN"/>
        </w:rPr>
        <w:t>5</w:t>
      </w:r>
      <w:r>
        <w:rPr>
          <w:rFonts w:hint="eastAsia"/>
          <w:highlight w:val="none"/>
        </w:rPr>
        <w:t>）供应商认为需要提交的其他资料</w:t>
      </w:r>
    </w:p>
    <w:p>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pPr>
        <w:numPr>
          <w:ilvl w:val="0"/>
          <w:numId w:val="2"/>
        </w:numPr>
        <w:ind w:firstLine="480"/>
        <w:rPr>
          <w:highlight w:val="none"/>
        </w:rPr>
      </w:pPr>
      <w:r>
        <w:rPr>
          <w:rFonts w:hint="eastAsia"/>
          <w:highlight w:val="none"/>
        </w:rPr>
        <w:t>商务和技术偏离表</w:t>
      </w:r>
    </w:p>
    <w:p>
      <w:pPr>
        <w:ind w:firstLine="480"/>
        <w:rPr>
          <w:rFonts w:hint="default" w:eastAsia="宋体"/>
          <w:highlight w:val="none"/>
          <w:lang w:val="en-US" w:eastAsia="zh-CN"/>
        </w:rPr>
      </w:pPr>
      <w:r>
        <w:rPr>
          <w:rFonts w:hint="eastAsia"/>
          <w:highlight w:val="none"/>
        </w:rPr>
        <w:t>（</w:t>
      </w:r>
      <w:r>
        <w:rPr>
          <w:highlight w:val="none"/>
        </w:rPr>
        <w:t>2</w:t>
      </w:r>
      <w:r>
        <w:rPr>
          <w:rFonts w:hint="eastAsia"/>
          <w:highlight w:val="none"/>
        </w:rPr>
        <w:t>）</w:t>
      </w:r>
      <w:r>
        <w:rPr>
          <w:rFonts w:hint="eastAsia"/>
          <w:highlight w:val="none"/>
          <w:lang w:val="en-US" w:eastAsia="zh-CN"/>
        </w:rPr>
        <w:t>商务部分</w:t>
      </w:r>
    </w:p>
    <w:p>
      <w:pPr>
        <w:ind w:firstLine="480"/>
        <w:rPr>
          <w:rFonts w:hint="default" w:eastAsia="宋体"/>
          <w:color w:val="000000" w:themeColor="text1"/>
          <w:highlight w:val="none"/>
          <w:lang w:val="en-US" w:eastAsia="zh-CN"/>
          <w14:textFill>
            <w14:solidFill>
              <w14:schemeClr w14:val="tx1"/>
            </w14:solidFill>
          </w14:textFill>
        </w:rPr>
      </w:pPr>
      <w:r>
        <w:rPr>
          <w:rFonts w:hint="eastAsia"/>
          <w:highlight w:val="none"/>
        </w:rPr>
        <w:t>（3）</w:t>
      </w:r>
      <w:r>
        <w:rPr>
          <w:rFonts w:hint="eastAsia"/>
          <w:color w:val="000000" w:themeColor="text1"/>
          <w:highlight w:val="none"/>
          <w:lang w:val="en-US" w:eastAsia="zh-CN"/>
          <w14:textFill>
            <w14:solidFill>
              <w14:schemeClr w14:val="tx1"/>
            </w14:solidFill>
          </w14:textFill>
        </w:rPr>
        <w:t>技术部分</w:t>
      </w:r>
    </w:p>
    <w:p>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pPr>
        <w:ind w:firstLine="480"/>
        <w:rPr>
          <w:rFonts w:hint="eastAsia" w:eastAsia="宋体"/>
          <w:highlight w:val="none"/>
          <w:lang w:eastAsia="zh-CN"/>
        </w:rPr>
      </w:pPr>
      <w:r>
        <w:rPr>
          <w:rFonts w:hint="eastAsia"/>
          <w:highlight w:val="none"/>
        </w:rPr>
        <w:t>（1）</w:t>
      </w:r>
      <w:r>
        <w:rPr>
          <w:rFonts w:hint="eastAsia"/>
          <w:highlight w:val="none"/>
          <w:lang w:val="en-US" w:eastAsia="zh-CN"/>
        </w:rPr>
        <w:t>响应函</w:t>
      </w:r>
    </w:p>
    <w:p>
      <w:pPr>
        <w:ind w:firstLine="480"/>
        <w:rPr>
          <w:rFonts w:hint="default" w:eastAsia="宋体"/>
          <w:highlight w:val="none"/>
          <w:lang w:val="en-US"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参选报价汇总表</w:t>
      </w:r>
    </w:p>
    <w:p>
      <w:pPr>
        <w:ind w:firstLine="480"/>
        <w:rPr>
          <w:highlight w:val="none"/>
        </w:rPr>
      </w:pPr>
      <w:r>
        <w:rPr>
          <w:rFonts w:hint="eastAsia"/>
          <w:highlight w:val="none"/>
        </w:rPr>
        <w:t>供应商在评审过程中做出的符合采购文件要求的澄清、说明、补正，构成响应文件的组成部分。</w:t>
      </w:r>
    </w:p>
    <w:p>
      <w:pPr>
        <w:pStyle w:val="6"/>
        <w:ind w:firstLine="482"/>
        <w:rPr>
          <w:highlight w:val="none"/>
        </w:rPr>
      </w:pPr>
      <w:r>
        <w:rPr>
          <w:rFonts w:hint="eastAsia"/>
          <w:highlight w:val="none"/>
        </w:rPr>
        <w:t>3</w:t>
      </w:r>
      <w:r>
        <w:rPr>
          <w:highlight w:val="none"/>
        </w:rPr>
        <w:t xml:space="preserve">.2 </w:t>
      </w:r>
      <w:r>
        <w:rPr>
          <w:rFonts w:hint="eastAsia"/>
          <w:highlight w:val="none"/>
        </w:rPr>
        <w:t>报价</w:t>
      </w:r>
    </w:p>
    <w:p>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w:t>
      </w:r>
      <w:r>
        <w:rPr>
          <w:rFonts w:hint="eastAsia"/>
          <w:highlight w:val="none"/>
          <w:lang w:val="en-US" w:eastAsia="zh-CN"/>
        </w:rPr>
        <w:t>响应函</w:t>
      </w:r>
      <w:r>
        <w:rPr>
          <w:rFonts w:hint="eastAsia"/>
          <w:highlight w:val="none"/>
        </w:rPr>
        <w:t>进行报价。</w:t>
      </w:r>
      <w:r>
        <w:rPr>
          <w:rFonts w:hint="eastAsia"/>
          <w:highlight w:val="none"/>
          <w:lang w:val="en-US" w:eastAsia="zh-CN"/>
        </w:rPr>
        <w:t>响应函</w:t>
      </w:r>
      <w:r>
        <w:rPr>
          <w:rFonts w:hint="eastAsia"/>
          <w:highlight w:val="none"/>
        </w:rPr>
        <w:t>中报价应为包含国家规定的增值税在内的含税价格，同时应列明增值税税率。</w:t>
      </w:r>
    </w:p>
    <w:p>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pPr>
        <w:ind w:firstLine="480"/>
        <w:rPr>
          <w:highlight w:val="none"/>
        </w:rPr>
      </w:pPr>
      <w:r>
        <w:rPr>
          <w:rFonts w:hint="eastAsia"/>
          <w:highlight w:val="none"/>
        </w:rPr>
        <w:t>3.2.3采购人设有最高限价的，供应商的报价不得超过最高限价。</w:t>
      </w:r>
    </w:p>
    <w:p>
      <w:pPr>
        <w:pStyle w:val="6"/>
        <w:ind w:firstLine="482"/>
        <w:rPr>
          <w:highlight w:val="none"/>
        </w:rPr>
      </w:pPr>
      <w:r>
        <w:rPr>
          <w:rFonts w:hint="eastAsia"/>
          <w:highlight w:val="none"/>
        </w:rPr>
        <w:t>3.3</w:t>
      </w:r>
      <w:r>
        <w:rPr>
          <w:highlight w:val="none"/>
        </w:rPr>
        <w:t xml:space="preserve"> </w:t>
      </w:r>
      <w:r>
        <w:rPr>
          <w:rFonts w:hint="eastAsia"/>
          <w:highlight w:val="none"/>
        </w:rPr>
        <w:t>响应文件有效期</w:t>
      </w:r>
    </w:p>
    <w:p>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pPr>
        <w:pStyle w:val="6"/>
        <w:ind w:firstLine="482"/>
        <w:rPr>
          <w:highlight w:val="none"/>
        </w:rPr>
      </w:pPr>
      <w:r>
        <w:rPr>
          <w:rFonts w:hint="eastAsia"/>
          <w:highlight w:val="none"/>
        </w:rPr>
        <w:t>3.4</w:t>
      </w:r>
      <w:r>
        <w:rPr>
          <w:highlight w:val="none"/>
        </w:rPr>
        <w:t xml:space="preserve"> </w:t>
      </w:r>
      <w:r>
        <w:rPr>
          <w:rFonts w:hint="eastAsia"/>
          <w:highlight w:val="none"/>
        </w:rPr>
        <w:t>响应保证金</w:t>
      </w:r>
    </w:p>
    <w:p>
      <w:pPr>
        <w:ind w:firstLine="480"/>
        <w:rPr>
          <w:highlight w:val="none"/>
        </w:rPr>
      </w:pPr>
      <w:r>
        <w:rPr>
          <w:rFonts w:hint="eastAsia"/>
          <w:highlight w:val="none"/>
        </w:rPr>
        <w:t>本项目免收保证金</w:t>
      </w:r>
    </w:p>
    <w:p>
      <w:pPr>
        <w:pStyle w:val="6"/>
        <w:ind w:firstLine="482"/>
        <w:rPr>
          <w:highlight w:val="none"/>
        </w:rPr>
      </w:pPr>
      <w:r>
        <w:rPr>
          <w:rFonts w:hint="eastAsia"/>
          <w:highlight w:val="none"/>
        </w:rPr>
        <w:t>3.5</w:t>
      </w:r>
      <w:r>
        <w:rPr>
          <w:highlight w:val="none"/>
        </w:rPr>
        <w:t xml:space="preserve"> </w:t>
      </w:r>
      <w:r>
        <w:rPr>
          <w:rFonts w:hint="eastAsia"/>
          <w:highlight w:val="none"/>
        </w:rPr>
        <w:t>资格审查</w:t>
      </w:r>
    </w:p>
    <w:p>
      <w:pPr>
        <w:ind w:firstLine="480"/>
        <w:rPr>
          <w:highlight w:val="none"/>
        </w:rPr>
      </w:pPr>
      <w:r>
        <w:rPr>
          <w:rFonts w:hint="eastAsia"/>
          <w:highlight w:val="none"/>
        </w:rPr>
        <w:t>供应商应提供第三章“评审方法”规定的资格审查资料。</w:t>
      </w:r>
    </w:p>
    <w:p>
      <w:pPr>
        <w:pStyle w:val="6"/>
        <w:ind w:firstLine="482"/>
        <w:rPr>
          <w:highlight w:val="none"/>
        </w:rPr>
      </w:pPr>
      <w:r>
        <w:rPr>
          <w:rFonts w:hint="eastAsia"/>
          <w:highlight w:val="none"/>
        </w:rPr>
        <w:t>3</w:t>
      </w:r>
      <w:r>
        <w:rPr>
          <w:highlight w:val="none"/>
        </w:rPr>
        <w:t xml:space="preserve">.6 </w:t>
      </w:r>
      <w:r>
        <w:rPr>
          <w:rFonts w:hint="eastAsia"/>
          <w:highlight w:val="none"/>
        </w:rPr>
        <w:t>响应方案</w:t>
      </w:r>
    </w:p>
    <w:p>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pPr>
        <w:ind w:firstLine="480"/>
        <w:rPr>
          <w:highlight w:val="none"/>
        </w:rPr>
      </w:pPr>
      <w:r>
        <w:rPr>
          <w:rFonts w:hint="eastAsia"/>
          <w:highlight w:val="none"/>
        </w:rPr>
        <w:t>3.6.2 供应商只能提出唯一的响应方案。供应商在响应文件中提出多个响应方案的其响应文件将被视为无效。</w:t>
      </w:r>
    </w:p>
    <w:p>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6"/>
        <w:ind w:firstLine="482"/>
        <w:rPr>
          <w:highlight w:val="none"/>
        </w:rPr>
      </w:pPr>
      <w:r>
        <w:rPr>
          <w:rFonts w:hint="eastAsia"/>
          <w:highlight w:val="none"/>
        </w:rPr>
        <w:t>3</w:t>
      </w:r>
      <w:r>
        <w:rPr>
          <w:highlight w:val="none"/>
        </w:rPr>
        <w:t xml:space="preserve">.7 </w:t>
      </w:r>
      <w:r>
        <w:rPr>
          <w:rFonts w:hint="eastAsia"/>
          <w:highlight w:val="none"/>
        </w:rPr>
        <w:t>响应文件的编制</w:t>
      </w:r>
    </w:p>
    <w:p>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pPr>
        <w:ind w:firstLine="480"/>
        <w:rPr>
          <w:highlight w:val="none"/>
        </w:rPr>
      </w:pPr>
      <w:r>
        <w:rPr>
          <w:rFonts w:hint="eastAsia"/>
          <w:highlight w:val="none"/>
        </w:rPr>
        <w:t>3.7.2 响应文件应用不褪色的材料书写或打印。</w:t>
      </w:r>
    </w:p>
    <w:p>
      <w:pPr>
        <w:ind w:firstLine="480"/>
        <w:rPr>
          <w:highlight w:val="none"/>
        </w:rPr>
      </w:pPr>
      <w:r>
        <w:rPr>
          <w:rFonts w:hint="eastAsia"/>
          <w:highlight w:val="none"/>
          <w:lang w:eastAsia="zh-CN"/>
        </w:rPr>
        <w:t>报价表</w:t>
      </w:r>
      <w:r>
        <w:rPr>
          <w:rFonts w:hint="eastAsia"/>
          <w:highlight w:val="none"/>
        </w:rPr>
        <w:t>应由供应商的法定代表人（单位负责人）或其授权代理人签字并加盖单位公章。</w:t>
      </w:r>
    </w:p>
    <w:p>
      <w:pPr>
        <w:ind w:firstLine="480"/>
        <w:rPr>
          <w:highlight w:val="none"/>
        </w:rPr>
      </w:pPr>
      <w:r>
        <w:rPr>
          <w:rFonts w:hint="eastAsia"/>
          <w:highlight w:val="none"/>
          <w:lang w:eastAsia="zh-CN"/>
        </w:rPr>
        <w:t>报价表</w:t>
      </w:r>
      <w:r>
        <w:rPr>
          <w:rFonts w:hint="eastAsia"/>
          <w:highlight w:val="none"/>
        </w:rPr>
        <w:t>由代理人签字的，应在响应文件中附授权委托书，授权委托书应由供应商法定代表人（单位负责人）签字并加盖单位公章。</w:t>
      </w:r>
    </w:p>
    <w:p>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w:t>
      </w:r>
      <w:r>
        <w:rPr>
          <w:rFonts w:hint="eastAsia"/>
          <w:highlight w:val="none"/>
          <w:lang w:eastAsia="zh-CN"/>
        </w:rPr>
        <w:t>位公</w:t>
      </w:r>
      <w:r>
        <w:rPr>
          <w:rFonts w:hint="eastAsia"/>
          <w:highlight w:val="none"/>
        </w:rPr>
        <w:t>章。</w:t>
      </w:r>
    </w:p>
    <w:p>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pPr>
        <w:pStyle w:val="5"/>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pPr>
        <w:pStyle w:val="6"/>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pPr>
        <w:ind w:firstLine="480"/>
        <w:rPr>
          <w:highlight w:val="none"/>
        </w:rPr>
      </w:pPr>
      <w:r>
        <w:rPr>
          <w:rFonts w:hint="eastAsia"/>
          <w:highlight w:val="none"/>
        </w:rPr>
        <w:t>4.1.1 响应文件应密封包装，未密封的响应文件，采购人将拒绝接收；</w:t>
      </w:r>
    </w:p>
    <w:p>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pPr>
        <w:pStyle w:val="6"/>
        <w:ind w:firstLine="482"/>
        <w:rPr>
          <w:highlight w:val="none"/>
        </w:rPr>
      </w:pPr>
      <w:r>
        <w:rPr>
          <w:rFonts w:hint="eastAsia"/>
          <w:highlight w:val="none"/>
        </w:rPr>
        <w:t>4.2</w:t>
      </w:r>
      <w:r>
        <w:rPr>
          <w:highlight w:val="none"/>
        </w:rPr>
        <w:t xml:space="preserve"> </w:t>
      </w:r>
      <w:r>
        <w:rPr>
          <w:rFonts w:hint="eastAsia"/>
          <w:highlight w:val="none"/>
        </w:rPr>
        <w:t>响应文件的递交</w:t>
      </w:r>
    </w:p>
    <w:p>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pPr>
        <w:pStyle w:val="6"/>
        <w:ind w:firstLine="482"/>
        <w:rPr>
          <w:highlight w:val="none"/>
        </w:rPr>
      </w:pPr>
      <w:r>
        <w:rPr>
          <w:rFonts w:hint="eastAsia"/>
          <w:highlight w:val="none"/>
        </w:rPr>
        <w:t>4.3响应文件的修改与撤回</w:t>
      </w:r>
    </w:p>
    <w:p>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w:t>
      </w:r>
      <w:r>
        <w:rPr>
          <w:rFonts w:hint="eastAsia"/>
          <w:highlight w:val="none"/>
          <w:lang w:eastAsia="zh-CN"/>
        </w:rPr>
        <w:t>条和</w:t>
      </w:r>
      <w:r>
        <w:rPr>
          <w:rFonts w:hint="eastAsia"/>
          <w:highlight w:val="none"/>
        </w:rPr>
        <w:t>第4条的规定进行编制、包装、标记和递交，并标明“修改”字样。</w:t>
      </w:r>
    </w:p>
    <w:p>
      <w:pPr>
        <w:pStyle w:val="5"/>
        <w:ind w:firstLine="482"/>
        <w:jc w:val="left"/>
        <w:rPr>
          <w:highlight w:val="none"/>
        </w:rPr>
      </w:pPr>
      <w:r>
        <w:rPr>
          <w:rFonts w:hint="eastAsia"/>
          <w:highlight w:val="none"/>
        </w:rPr>
        <w:t>5</w:t>
      </w:r>
      <w:r>
        <w:rPr>
          <w:highlight w:val="none"/>
        </w:rPr>
        <w:t xml:space="preserve"> </w:t>
      </w:r>
      <w:r>
        <w:rPr>
          <w:rFonts w:hint="eastAsia"/>
          <w:highlight w:val="none"/>
        </w:rPr>
        <w:t>开启响应文件</w:t>
      </w:r>
    </w:p>
    <w:p>
      <w:pPr>
        <w:pStyle w:val="6"/>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pPr>
        <w:ind w:firstLine="480"/>
        <w:rPr>
          <w:highlight w:val="none"/>
        </w:rPr>
      </w:pPr>
      <w:r>
        <w:rPr>
          <w:rFonts w:hint="eastAsia"/>
          <w:highlight w:val="none"/>
        </w:rPr>
        <w:t>本项目邀请所有供应商的法定代表人或其授权代理人参加现场评审会议。</w:t>
      </w:r>
    </w:p>
    <w:p>
      <w:pPr>
        <w:pStyle w:val="6"/>
        <w:ind w:firstLine="482"/>
        <w:rPr>
          <w:highlight w:val="none"/>
        </w:rPr>
      </w:pPr>
      <w:r>
        <w:rPr>
          <w:rFonts w:hint="eastAsia"/>
          <w:highlight w:val="none"/>
        </w:rPr>
        <w:t>5</w:t>
      </w:r>
      <w:r>
        <w:rPr>
          <w:highlight w:val="none"/>
        </w:rPr>
        <w:t xml:space="preserve">.2 </w:t>
      </w:r>
      <w:r>
        <w:rPr>
          <w:rFonts w:hint="eastAsia"/>
          <w:highlight w:val="none"/>
        </w:rPr>
        <w:t>开启程序</w:t>
      </w:r>
    </w:p>
    <w:p>
      <w:pPr>
        <w:ind w:firstLine="480"/>
        <w:rPr>
          <w:highlight w:val="none"/>
        </w:rPr>
      </w:pPr>
      <w:r>
        <w:rPr>
          <w:rFonts w:hint="eastAsia"/>
          <w:highlight w:val="none"/>
        </w:rPr>
        <w:t>主持人按下列程序公开开启响应文件</w:t>
      </w:r>
    </w:p>
    <w:p>
      <w:pPr>
        <w:ind w:firstLine="480"/>
        <w:rPr>
          <w:highlight w:val="none"/>
        </w:rPr>
      </w:pPr>
      <w:r>
        <w:rPr>
          <w:rFonts w:hint="eastAsia"/>
          <w:highlight w:val="none"/>
        </w:rPr>
        <w:t>（1）宣布开启会议纪律；</w:t>
      </w:r>
    </w:p>
    <w:p>
      <w:pPr>
        <w:ind w:firstLine="480"/>
        <w:rPr>
          <w:highlight w:val="none"/>
        </w:rPr>
      </w:pPr>
      <w:r>
        <w:rPr>
          <w:rFonts w:hint="eastAsia"/>
          <w:highlight w:val="none"/>
        </w:rPr>
        <w:t>（2）宣布参加开启会议的工作人员姓名；</w:t>
      </w:r>
    </w:p>
    <w:p>
      <w:pPr>
        <w:ind w:firstLine="480"/>
        <w:rPr>
          <w:highlight w:val="none"/>
        </w:rPr>
      </w:pPr>
      <w:r>
        <w:rPr>
          <w:rFonts w:hint="eastAsia"/>
          <w:highlight w:val="none"/>
        </w:rPr>
        <w:t>（3）纪检监督员检查确认响应文件的密封情况；</w:t>
      </w:r>
    </w:p>
    <w:p>
      <w:pPr>
        <w:ind w:firstLine="480"/>
        <w:rPr>
          <w:highlight w:val="none"/>
        </w:rPr>
      </w:pPr>
      <w:r>
        <w:rPr>
          <w:rFonts w:hint="eastAsia"/>
          <w:highlight w:val="none"/>
        </w:rPr>
        <w:t>（4）按照供应商前附表规定的开启顺序开启响应文件，公布递交响应文件的供应商名称；</w:t>
      </w:r>
    </w:p>
    <w:p>
      <w:pPr>
        <w:ind w:firstLine="480"/>
        <w:rPr>
          <w:highlight w:val="none"/>
        </w:rPr>
      </w:pPr>
      <w:r>
        <w:rPr>
          <w:rFonts w:hint="eastAsia"/>
          <w:highlight w:val="none"/>
        </w:rPr>
        <w:t>（5）相关工作人员等在响应文件开启记录上签字确认；</w:t>
      </w:r>
    </w:p>
    <w:p>
      <w:pPr>
        <w:ind w:firstLine="480"/>
        <w:rPr>
          <w:highlight w:val="none"/>
        </w:rPr>
      </w:pPr>
      <w:r>
        <w:rPr>
          <w:rFonts w:hint="eastAsia"/>
          <w:highlight w:val="none"/>
        </w:rPr>
        <w:t>（6）宣布有关注意事项；</w:t>
      </w:r>
    </w:p>
    <w:p>
      <w:pPr>
        <w:ind w:firstLine="480"/>
        <w:rPr>
          <w:highlight w:val="none"/>
        </w:rPr>
      </w:pPr>
      <w:r>
        <w:rPr>
          <w:rFonts w:hint="eastAsia"/>
          <w:highlight w:val="none"/>
        </w:rPr>
        <w:t>（7）开启会议结束。</w:t>
      </w:r>
    </w:p>
    <w:p>
      <w:pPr>
        <w:pStyle w:val="6"/>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pPr>
        <w:pStyle w:val="5"/>
        <w:ind w:firstLine="480"/>
        <w:jc w:val="left"/>
        <w:rPr>
          <w:b w:val="0"/>
          <w:bCs w:val="0"/>
          <w:highlight w:val="none"/>
        </w:rPr>
      </w:pPr>
      <w:r>
        <w:rPr>
          <w:rFonts w:hint="eastAsia"/>
          <w:b w:val="0"/>
          <w:bCs w:val="0"/>
          <w:highlight w:val="none"/>
        </w:rPr>
        <w:t>递交响应文件的供应商数量不足三家的本项目中止。</w:t>
      </w:r>
    </w:p>
    <w:p>
      <w:pPr>
        <w:pStyle w:val="5"/>
        <w:ind w:firstLine="482"/>
        <w:jc w:val="left"/>
        <w:rPr>
          <w:highlight w:val="none"/>
        </w:rPr>
      </w:pPr>
      <w:r>
        <w:rPr>
          <w:rFonts w:hint="eastAsia"/>
          <w:highlight w:val="none"/>
        </w:rPr>
        <w:t>6</w:t>
      </w:r>
      <w:r>
        <w:rPr>
          <w:highlight w:val="none"/>
        </w:rPr>
        <w:t xml:space="preserve"> </w:t>
      </w:r>
      <w:r>
        <w:rPr>
          <w:rFonts w:hint="eastAsia"/>
          <w:highlight w:val="none"/>
        </w:rPr>
        <w:t>评审</w:t>
      </w:r>
    </w:p>
    <w:p>
      <w:pPr>
        <w:pStyle w:val="6"/>
        <w:ind w:firstLine="482"/>
        <w:rPr>
          <w:highlight w:val="none"/>
        </w:rPr>
      </w:pPr>
      <w:r>
        <w:rPr>
          <w:rFonts w:hint="eastAsia"/>
          <w:highlight w:val="none"/>
        </w:rPr>
        <w:t>6.1</w:t>
      </w:r>
      <w:r>
        <w:rPr>
          <w:highlight w:val="none"/>
        </w:rPr>
        <w:t xml:space="preserve"> </w:t>
      </w:r>
      <w:r>
        <w:rPr>
          <w:rFonts w:hint="eastAsia"/>
          <w:highlight w:val="none"/>
        </w:rPr>
        <w:t>评审小组</w:t>
      </w:r>
    </w:p>
    <w:p>
      <w:pPr>
        <w:ind w:firstLine="480"/>
        <w:rPr>
          <w:highlight w:val="none"/>
        </w:rPr>
      </w:pPr>
      <w:r>
        <w:rPr>
          <w:rFonts w:hint="eastAsia"/>
          <w:highlight w:val="none"/>
        </w:rPr>
        <w:t>6.1.1评审由采购人组建的评审小组负责，评委的人数见供应商须知前附表。</w:t>
      </w:r>
    </w:p>
    <w:p>
      <w:pPr>
        <w:ind w:firstLine="480"/>
        <w:rPr>
          <w:highlight w:val="none"/>
        </w:rPr>
      </w:pPr>
      <w:r>
        <w:rPr>
          <w:rFonts w:hint="eastAsia"/>
          <w:highlight w:val="none"/>
        </w:rPr>
        <w:t>6.1.2评审小组成员有下列情形之一的，应当回避：</w:t>
      </w:r>
    </w:p>
    <w:p>
      <w:pPr>
        <w:ind w:firstLine="480"/>
        <w:rPr>
          <w:highlight w:val="none"/>
        </w:rPr>
      </w:pPr>
      <w:r>
        <w:rPr>
          <w:rFonts w:hint="eastAsia"/>
          <w:highlight w:val="none"/>
        </w:rPr>
        <w:t>（1）供应商主要负责人或供应商主要负责人的近亲属；</w:t>
      </w:r>
    </w:p>
    <w:p>
      <w:pPr>
        <w:ind w:firstLine="480"/>
        <w:rPr>
          <w:highlight w:val="none"/>
        </w:rPr>
      </w:pPr>
      <w:r>
        <w:rPr>
          <w:rFonts w:hint="eastAsia"/>
          <w:highlight w:val="none"/>
        </w:rPr>
        <w:t>（2）与供应商有经济利益关系或其他利害关系，可能影响公正评审的。</w:t>
      </w:r>
    </w:p>
    <w:p>
      <w:pPr>
        <w:ind w:firstLine="480"/>
        <w:rPr>
          <w:highlight w:val="none"/>
        </w:rPr>
      </w:pPr>
      <w:r>
        <w:rPr>
          <w:rFonts w:hint="eastAsia"/>
          <w:highlight w:val="none"/>
        </w:rPr>
        <w:t>6.1.3 评审小组组建后，评审小组成员共同推选评审小组组长，评审小组组长负责组织评审工作。</w:t>
      </w:r>
    </w:p>
    <w:p>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pStyle w:val="6"/>
        <w:ind w:firstLine="482"/>
        <w:rPr>
          <w:highlight w:val="none"/>
        </w:rPr>
      </w:pPr>
      <w:r>
        <w:rPr>
          <w:rFonts w:hint="eastAsia"/>
          <w:highlight w:val="none"/>
        </w:rPr>
        <w:t>6.2</w:t>
      </w:r>
      <w:r>
        <w:rPr>
          <w:highlight w:val="none"/>
        </w:rPr>
        <w:t xml:space="preserve"> </w:t>
      </w:r>
      <w:r>
        <w:rPr>
          <w:rFonts w:hint="eastAsia"/>
          <w:highlight w:val="none"/>
        </w:rPr>
        <w:t>评审</w:t>
      </w:r>
    </w:p>
    <w:p>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pPr>
        <w:pStyle w:val="6"/>
        <w:ind w:firstLine="482"/>
        <w:rPr>
          <w:highlight w:val="none"/>
        </w:rPr>
      </w:pPr>
      <w:r>
        <w:rPr>
          <w:rFonts w:hint="eastAsia"/>
          <w:highlight w:val="none"/>
        </w:rPr>
        <w:t>6.3</w:t>
      </w:r>
      <w:r>
        <w:rPr>
          <w:highlight w:val="none"/>
        </w:rPr>
        <w:t xml:space="preserve"> </w:t>
      </w:r>
      <w:r>
        <w:rPr>
          <w:rFonts w:hint="eastAsia"/>
          <w:highlight w:val="none"/>
        </w:rPr>
        <w:t>定标</w:t>
      </w:r>
    </w:p>
    <w:p>
      <w:pPr>
        <w:ind w:firstLine="482"/>
        <w:rPr>
          <w:highlight w:val="none"/>
        </w:rPr>
      </w:pPr>
      <w:r>
        <w:rPr>
          <w:rFonts w:hint="eastAsia"/>
          <w:b/>
          <w:bCs/>
          <w:highlight w:val="none"/>
        </w:rPr>
        <w:t>按照须知前附表的规定，授权评审小组依法确定成交供应商。</w:t>
      </w:r>
    </w:p>
    <w:p>
      <w:pPr>
        <w:pStyle w:val="5"/>
        <w:ind w:firstLine="482"/>
        <w:jc w:val="left"/>
        <w:rPr>
          <w:highlight w:val="none"/>
        </w:rPr>
      </w:pPr>
      <w:r>
        <w:rPr>
          <w:rFonts w:hint="eastAsia"/>
          <w:highlight w:val="none"/>
        </w:rPr>
        <w:t>7</w:t>
      </w:r>
      <w:r>
        <w:rPr>
          <w:highlight w:val="none"/>
        </w:rPr>
        <w:t xml:space="preserve"> </w:t>
      </w:r>
      <w:r>
        <w:rPr>
          <w:rFonts w:hint="eastAsia"/>
          <w:highlight w:val="none"/>
        </w:rPr>
        <w:t>合同授予</w:t>
      </w:r>
    </w:p>
    <w:p>
      <w:pPr>
        <w:pStyle w:val="6"/>
        <w:ind w:firstLine="482"/>
        <w:rPr>
          <w:highlight w:val="none"/>
        </w:rPr>
      </w:pPr>
      <w:r>
        <w:rPr>
          <w:rFonts w:hint="eastAsia"/>
          <w:highlight w:val="none"/>
        </w:rPr>
        <w:t>7.</w:t>
      </w:r>
      <w:r>
        <w:rPr>
          <w:highlight w:val="none"/>
        </w:rPr>
        <w:t>1</w:t>
      </w:r>
      <w:r>
        <w:rPr>
          <w:rFonts w:hint="eastAsia"/>
          <w:highlight w:val="none"/>
        </w:rPr>
        <w:t>确定成交供应商</w:t>
      </w:r>
    </w:p>
    <w:p>
      <w:pPr>
        <w:ind w:firstLine="480"/>
        <w:rPr>
          <w:highlight w:val="none"/>
        </w:rPr>
      </w:pPr>
      <w:r>
        <w:rPr>
          <w:rFonts w:hint="eastAsia"/>
          <w:highlight w:val="none"/>
        </w:rPr>
        <w:t>采购人依据评审小组推荐的成交候选供应商根据相关规定确定成交供应商。</w:t>
      </w:r>
    </w:p>
    <w:p>
      <w:pPr>
        <w:pStyle w:val="6"/>
        <w:ind w:firstLine="482"/>
        <w:rPr>
          <w:highlight w:val="none"/>
        </w:rPr>
      </w:pPr>
      <w:r>
        <w:rPr>
          <w:rFonts w:hint="eastAsia"/>
          <w:highlight w:val="none"/>
        </w:rPr>
        <w:t>7.</w:t>
      </w:r>
      <w:r>
        <w:rPr>
          <w:highlight w:val="none"/>
        </w:rPr>
        <w:t>2</w:t>
      </w:r>
      <w:r>
        <w:rPr>
          <w:rFonts w:hint="eastAsia"/>
          <w:highlight w:val="none"/>
        </w:rPr>
        <w:t>成交结果公示</w:t>
      </w:r>
    </w:p>
    <w:p>
      <w:pPr>
        <w:ind w:firstLine="480"/>
        <w:rPr>
          <w:highlight w:val="none"/>
        </w:rPr>
      </w:pPr>
      <w:r>
        <w:rPr>
          <w:rFonts w:hint="eastAsia"/>
          <w:highlight w:val="none"/>
        </w:rPr>
        <w:t>成交供应商选定后，采购人将在“南通轨道交通官方网站（https://www.ntrailway.com/）”发布成交公示。</w:t>
      </w:r>
    </w:p>
    <w:p>
      <w:pPr>
        <w:pStyle w:val="6"/>
        <w:ind w:firstLine="482"/>
        <w:rPr>
          <w:highlight w:val="none"/>
        </w:rPr>
      </w:pPr>
      <w:r>
        <w:rPr>
          <w:rFonts w:hint="eastAsia"/>
          <w:highlight w:val="none"/>
        </w:rPr>
        <w:t>7</w:t>
      </w:r>
      <w:r>
        <w:rPr>
          <w:highlight w:val="none"/>
        </w:rPr>
        <w:t>.3</w:t>
      </w:r>
      <w:r>
        <w:rPr>
          <w:rFonts w:hint="eastAsia"/>
          <w:highlight w:val="none"/>
        </w:rPr>
        <w:t>发出成交通知书</w:t>
      </w:r>
    </w:p>
    <w:p>
      <w:pPr>
        <w:ind w:firstLine="480"/>
        <w:rPr>
          <w:highlight w:val="none"/>
        </w:rPr>
      </w:pPr>
      <w:r>
        <w:rPr>
          <w:rFonts w:hint="eastAsia"/>
          <w:highlight w:val="none"/>
        </w:rPr>
        <w:t>公示期结束后，采购人以书面形式向成交供应商发出成交通知书。</w:t>
      </w:r>
    </w:p>
    <w:p>
      <w:pPr>
        <w:pStyle w:val="6"/>
        <w:ind w:firstLine="482"/>
        <w:rPr>
          <w:highlight w:val="none"/>
        </w:rPr>
      </w:pPr>
      <w:r>
        <w:rPr>
          <w:rFonts w:hint="eastAsia"/>
          <w:highlight w:val="none"/>
        </w:rPr>
        <w:t>7</w:t>
      </w:r>
      <w:r>
        <w:rPr>
          <w:highlight w:val="none"/>
        </w:rPr>
        <w:t>.4</w:t>
      </w:r>
      <w:r>
        <w:rPr>
          <w:rFonts w:hint="eastAsia"/>
          <w:highlight w:val="none"/>
        </w:rPr>
        <w:t>履约保证金（本项目无）</w:t>
      </w:r>
    </w:p>
    <w:p>
      <w:pPr>
        <w:ind w:firstLine="480"/>
        <w:rPr>
          <w:highlight w:val="none"/>
        </w:rPr>
      </w:pPr>
      <w:r>
        <w:rPr>
          <w:rFonts w:hint="eastAsia"/>
          <w:highlight w:val="none"/>
        </w:rPr>
        <w:t>成交供应商应按供应商须知前附表规定的形式、有效期限和递交时间向采购人递交履约保证金。</w:t>
      </w:r>
    </w:p>
    <w:p>
      <w:pPr>
        <w:pStyle w:val="6"/>
        <w:ind w:firstLine="482"/>
        <w:rPr>
          <w:highlight w:val="none"/>
        </w:rPr>
      </w:pPr>
      <w:r>
        <w:rPr>
          <w:rFonts w:hint="eastAsia"/>
          <w:highlight w:val="none"/>
        </w:rPr>
        <w:t>7.</w:t>
      </w:r>
      <w:r>
        <w:rPr>
          <w:highlight w:val="none"/>
        </w:rPr>
        <w:t>5</w:t>
      </w:r>
      <w:r>
        <w:rPr>
          <w:rFonts w:hint="eastAsia"/>
          <w:highlight w:val="none"/>
        </w:rPr>
        <w:t>签订合同</w:t>
      </w:r>
    </w:p>
    <w:p>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5"/>
        <w:ind w:firstLine="482"/>
        <w:jc w:val="left"/>
        <w:rPr>
          <w:highlight w:val="none"/>
        </w:rPr>
      </w:pPr>
      <w:r>
        <w:rPr>
          <w:rFonts w:hint="eastAsia"/>
          <w:highlight w:val="none"/>
        </w:rPr>
        <w:t>8</w:t>
      </w:r>
      <w:r>
        <w:rPr>
          <w:highlight w:val="none"/>
        </w:rPr>
        <w:t xml:space="preserve"> </w:t>
      </w:r>
      <w:r>
        <w:rPr>
          <w:rFonts w:hint="eastAsia"/>
          <w:highlight w:val="none"/>
        </w:rPr>
        <w:t>监督与异议</w:t>
      </w:r>
    </w:p>
    <w:p>
      <w:pPr>
        <w:ind w:firstLine="480"/>
        <w:rPr>
          <w:highlight w:val="none"/>
        </w:rPr>
      </w:pPr>
      <w:r>
        <w:rPr>
          <w:rFonts w:hint="eastAsia"/>
          <w:highlight w:val="none"/>
        </w:rPr>
        <w:t>8.1监督部门及联系方式见供应商须知前附表。</w:t>
      </w:r>
    </w:p>
    <w:p>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pPr>
        <w:ind w:firstLine="480"/>
        <w:rPr>
          <w:highlight w:val="none"/>
        </w:rPr>
      </w:pPr>
      <w:r>
        <w:rPr>
          <w:rFonts w:hint="eastAsia"/>
          <w:highlight w:val="none"/>
        </w:rPr>
        <w:t>（1）异议人名称、地址、邮政编码、联系人及联系电话：</w:t>
      </w:r>
    </w:p>
    <w:p>
      <w:pPr>
        <w:ind w:firstLine="480"/>
        <w:rPr>
          <w:highlight w:val="none"/>
        </w:rPr>
      </w:pPr>
      <w:r>
        <w:rPr>
          <w:rFonts w:hint="eastAsia"/>
          <w:highlight w:val="none"/>
        </w:rPr>
        <w:t>（2）具体、明确的异议事项、事实依据及与异议事项相关的请求。</w:t>
      </w:r>
    </w:p>
    <w:p>
      <w:pPr>
        <w:ind w:firstLine="480"/>
        <w:rPr>
          <w:highlight w:val="none"/>
        </w:rPr>
      </w:pPr>
      <w:r>
        <w:rPr>
          <w:rFonts w:hint="eastAsia"/>
          <w:highlight w:val="none"/>
        </w:rPr>
        <w:t>（3）异议函应由异议人的法定代表人（单位负责人）或其授权的代理人签字并加盖印章。</w:t>
      </w:r>
    </w:p>
    <w:p>
      <w:pPr>
        <w:ind w:firstLine="480"/>
        <w:rPr>
          <w:highlight w:val="none"/>
        </w:rPr>
      </w:pPr>
      <w:r>
        <w:rPr>
          <w:rFonts w:hint="eastAsia"/>
          <w:highlight w:val="none"/>
        </w:rPr>
        <w:t>供应商或者其他利害关系人未按照本条要求提出的异议不予受理。</w:t>
      </w:r>
    </w:p>
    <w:p>
      <w:pPr>
        <w:pStyle w:val="5"/>
        <w:ind w:firstLine="482"/>
        <w:jc w:val="left"/>
        <w:rPr>
          <w:highlight w:val="none"/>
        </w:rPr>
      </w:pPr>
      <w:r>
        <w:rPr>
          <w:rFonts w:hint="eastAsia"/>
          <w:highlight w:val="none"/>
        </w:rPr>
        <w:t>9</w:t>
      </w:r>
      <w:r>
        <w:rPr>
          <w:highlight w:val="none"/>
        </w:rPr>
        <w:t xml:space="preserve"> </w:t>
      </w:r>
      <w:r>
        <w:rPr>
          <w:rFonts w:hint="eastAsia"/>
          <w:highlight w:val="none"/>
        </w:rPr>
        <w:t>纪律要求</w:t>
      </w:r>
    </w:p>
    <w:p>
      <w:pPr>
        <w:pStyle w:val="6"/>
        <w:ind w:firstLine="482"/>
        <w:rPr>
          <w:highlight w:val="none"/>
        </w:rPr>
      </w:pPr>
      <w:r>
        <w:rPr>
          <w:rFonts w:hint="eastAsia"/>
          <w:highlight w:val="none"/>
        </w:rPr>
        <w:t>9.1对采购人的纪律要求</w:t>
      </w:r>
    </w:p>
    <w:p>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pPr>
        <w:pStyle w:val="6"/>
        <w:ind w:firstLine="482"/>
        <w:rPr>
          <w:highlight w:val="none"/>
        </w:rPr>
      </w:pPr>
      <w:r>
        <w:rPr>
          <w:rFonts w:hint="eastAsia"/>
          <w:highlight w:val="none"/>
        </w:rPr>
        <w:t>9.2对供应商的纪律要求</w:t>
      </w:r>
    </w:p>
    <w:p>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6"/>
        <w:ind w:firstLine="482"/>
        <w:rPr>
          <w:highlight w:val="none"/>
        </w:rPr>
      </w:pPr>
      <w:r>
        <w:rPr>
          <w:rFonts w:hint="eastAsia"/>
          <w:highlight w:val="none"/>
        </w:rPr>
        <w:t>9.3对评审小组成员的纪律要求</w:t>
      </w:r>
    </w:p>
    <w:p>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6"/>
        <w:ind w:firstLine="482"/>
        <w:rPr>
          <w:highlight w:val="none"/>
        </w:rPr>
      </w:pPr>
      <w:r>
        <w:rPr>
          <w:rFonts w:hint="eastAsia"/>
          <w:highlight w:val="none"/>
        </w:rPr>
        <w:t>9.4对与采购活动有关的工作人员的纪律要求</w:t>
      </w:r>
    </w:p>
    <w:p>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5"/>
        <w:ind w:firstLine="482"/>
        <w:jc w:val="left"/>
        <w:rPr>
          <w:highlight w:val="none"/>
        </w:rPr>
      </w:pPr>
      <w:r>
        <w:rPr>
          <w:rFonts w:hint="eastAsia"/>
          <w:highlight w:val="none"/>
        </w:rPr>
        <w:t>10 需要补充的内容</w:t>
      </w:r>
    </w:p>
    <w:p>
      <w:pPr>
        <w:ind w:firstLine="480"/>
        <w:rPr>
          <w:highlight w:val="none"/>
        </w:rPr>
      </w:pPr>
      <w:r>
        <w:rPr>
          <w:rFonts w:hint="eastAsia"/>
          <w:highlight w:val="none"/>
        </w:rPr>
        <w:t>见供应商须知前附表</w:t>
      </w:r>
    </w:p>
    <w:p>
      <w:pPr>
        <w:ind w:firstLine="480"/>
        <w:rPr>
          <w:highlight w:val="none"/>
        </w:rPr>
      </w:pPr>
      <w:r>
        <w:rPr>
          <w:rFonts w:hint="eastAsia"/>
          <w:highlight w:val="none"/>
        </w:rPr>
        <w:br w:type="page"/>
      </w:r>
    </w:p>
    <w:p>
      <w:pPr>
        <w:widowControl/>
        <w:spacing w:line="240" w:lineRule="auto"/>
        <w:ind w:firstLine="0" w:firstLineChars="0"/>
        <w:jc w:val="left"/>
        <w:rPr>
          <w:rFonts w:cstheme="majorBidi"/>
          <w:b/>
          <w:bCs/>
          <w:szCs w:val="32"/>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1" w:firstLineChars="32"/>
        <w:jc w:val="center"/>
        <w:outlineLvl w:val="0"/>
        <w:rPr>
          <w:rFonts w:eastAsia="黑体"/>
          <w:b/>
          <w:bCs/>
          <w:kern w:val="44"/>
          <w:sz w:val="44"/>
          <w:szCs w:val="44"/>
          <w:highlight w:val="none"/>
        </w:rPr>
      </w:pPr>
      <w:bookmarkStart w:id="9" w:name="_Toc30142"/>
      <w:r>
        <w:rPr>
          <w:rFonts w:hint="eastAsia" w:eastAsia="黑体"/>
          <w:b/>
          <w:bCs/>
          <w:kern w:val="44"/>
          <w:sz w:val="44"/>
          <w:szCs w:val="44"/>
          <w:highlight w:val="none"/>
        </w:rPr>
        <w:t>第三章 评审方法</w:t>
      </w:r>
      <w:bookmarkEnd w:id="9"/>
    </w:p>
    <w:p>
      <w:pPr>
        <w:widowControl/>
        <w:spacing w:line="240" w:lineRule="auto"/>
        <w:ind w:firstLine="0" w:firstLineChars="0"/>
        <w:jc w:val="left"/>
        <w:rPr>
          <w:rFonts w:eastAsia="黑体"/>
          <w:bCs/>
          <w:kern w:val="44"/>
          <w:sz w:val="44"/>
          <w:szCs w:val="44"/>
          <w:highlight w:val="none"/>
        </w:rPr>
      </w:pPr>
      <w:r>
        <w:rPr>
          <w:highlight w:val="none"/>
        </w:rPr>
        <w:br w:type="page"/>
      </w:r>
    </w:p>
    <w:p>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pPr>
        <w:pStyle w:val="5"/>
        <w:ind w:firstLine="482"/>
        <w:jc w:val="left"/>
        <w:rPr>
          <w:highlight w:val="none"/>
        </w:rPr>
      </w:pPr>
      <w:r>
        <w:rPr>
          <w:rFonts w:hint="eastAsia"/>
          <w:highlight w:val="none"/>
        </w:rPr>
        <w:t>1</w:t>
      </w:r>
      <w:r>
        <w:rPr>
          <w:highlight w:val="none"/>
        </w:rPr>
        <w:t xml:space="preserve"> </w:t>
      </w:r>
      <w:r>
        <w:rPr>
          <w:rFonts w:hint="eastAsia"/>
          <w:highlight w:val="none"/>
        </w:rPr>
        <w:t>评审方法</w:t>
      </w:r>
    </w:p>
    <w:p>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，评审小组对满足采购文件实质性要求的响应文件按照本章规定的方法进行评审，并按照得分由高到低的顺序推荐1名候选成交供应商。</w:t>
      </w:r>
    </w:p>
    <w:p>
      <w:pPr>
        <w:pStyle w:val="5"/>
        <w:ind w:firstLine="482"/>
        <w:jc w:val="left"/>
        <w:rPr>
          <w:highlight w:val="none"/>
        </w:rPr>
      </w:pPr>
      <w:r>
        <w:rPr>
          <w:rFonts w:hint="eastAsia"/>
          <w:highlight w:val="none"/>
        </w:rPr>
        <w:t>2</w:t>
      </w:r>
      <w:r>
        <w:rPr>
          <w:highlight w:val="none"/>
        </w:rPr>
        <w:t xml:space="preserve"> </w:t>
      </w:r>
      <w:r>
        <w:rPr>
          <w:rFonts w:hint="eastAsia"/>
          <w:highlight w:val="none"/>
        </w:rPr>
        <w:t>评审程序</w:t>
      </w:r>
    </w:p>
    <w:p>
      <w:pPr>
        <w:pStyle w:val="6"/>
        <w:ind w:firstLine="482"/>
        <w:rPr>
          <w:highlight w:val="none"/>
        </w:rPr>
      </w:pPr>
      <w:r>
        <w:rPr>
          <w:rFonts w:hint="eastAsia"/>
          <w:highlight w:val="none"/>
        </w:rPr>
        <w:t>2</w:t>
      </w:r>
      <w:r>
        <w:rPr>
          <w:highlight w:val="none"/>
        </w:rPr>
        <w:t>.1</w:t>
      </w:r>
      <w:r>
        <w:rPr>
          <w:rFonts w:hint="eastAsia"/>
          <w:highlight w:val="none"/>
        </w:rPr>
        <w:t>初步评审</w:t>
      </w:r>
    </w:p>
    <w:p>
      <w:pPr>
        <w:ind w:firstLine="480"/>
        <w:rPr>
          <w:highlight w:val="none"/>
        </w:rPr>
      </w:pPr>
      <w:r>
        <w:rPr>
          <w:highlight w:val="none"/>
        </w:rPr>
        <w:t>2.1.1</w:t>
      </w:r>
      <w:r>
        <w:rPr>
          <w:rFonts w:hint="eastAsia"/>
          <w:highlight w:val="none"/>
        </w:rPr>
        <w:t>资格审查</w:t>
      </w:r>
    </w:p>
    <w:p>
      <w:pPr>
        <w:ind w:firstLine="480"/>
        <w:rPr>
          <w:highlight w:val="none"/>
        </w:rPr>
      </w:pPr>
      <w:r>
        <w:rPr>
          <w:rFonts w:hint="eastAsia"/>
          <w:highlight w:val="none"/>
        </w:rPr>
        <w:t>供应商未按照附件</w:t>
      </w:r>
      <w:r>
        <w:rPr>
          <w:rFonts w:hint="eastAsia"/>
          <w:highlight w:val="none"/>
          <w:lang w:val="en-US" w:eastAsia="zh-CN"/>
        </w:rPr>
        <w:t>一</w:t>
      </w:r>
      <w:r>
        <w:rPr>
          <w:rFonts w:hint="eastAsia"/>
          <w:highlight w:val="none"/>
        </w:rPr>
        <w:t>“评审标准”中</w:t>
      </w:r>
      <w:r>
        <w:rPr>
          <w:rFonts w:hint="eastAsia"/>
          <w:highlight w:val="none"/>
          <w:lang w:eastAsia="zh-CN"/>
        </w:rPr>
        <w:t>要求</w:t>
      </w:r>
      <w:r>
        <w:rPr>
          <w:rFonts w:hint="eastAsia"/>
          <w:highlight w:val="none"/>
        </w:rPr>
        <w:t>提供证明材料的，其响应文件视为无效。</w:t>
      </w:r>
    </w:p>
    <w:p>
      <w:pPr>
        <w:ind w:firstLine="480"/>
        <w:rPr>
          <w:highlight w:val="none"/>
        </w:rPr>
      </w:pPr>
      <w:r>
        <w:rPr>
          <w:rFonts w:hint="eastAsia"/>
          <w:highlight w:val="none"/>
        </w:rPr>
        <w:t>2</w:t>
      </w:r>
      <w:r>
        <w:rPr>
          <w:highlight w:val="none"/>
        </w:rPr>
        <w:t>.1.2</w:t>
      </w:r>
      <w:r>
        <w:rPr>
          <w:rFonts w:hint="eastAsia"/>
          <w:highlight w:val="none"/>
        </w:rPr>
        <w:t>符合性审查</w:t>
      </w:r>
    </w:p>
    <w:p>
      <w:pPr>
        <w:ind w:firstLine="480"/>
        <w:rPr>
          <w:highlight w:val="none"/>
        </w:rPr>
      </w:pPr>
      <w:r>
        <w:rPr>
          <w:rFonts w:hint="eastAsia"/>
          <w:highlight w:val="none"/>
        </w:rPr>
        <w:t>有下列情形之一的其响应文件将被视为无效：</w:t>
      </w:r>
    </w:p>
    <w:p>
      <w:pPr>
        <w:ind w:firstLine="480"/>
        <w:rPr>
          <w:highlight w:val="none"/>
        </w:rPr>
      </w:pPr>
      <w:r>
        <w:rPr>
          <w:rFonts w:hint="eastAsia"/>
          <w:highlight w:val="none"/>
        </w:rPr>
        <w:t>（1）响应文件未密封或者未按规定密封，或有明显拆封现象的；</w:t>
      </w:r>
    </w:p>
    <w:p>
      <w:pPr>
        <w:ind w:firstLine="480"/>
        <w:rPr>
          <w:highlight w:val="none"/>
        </w:rPr>
      </w:pPr>
      <w:r>
        <w:rPr>
          <w:rFonts w:hint="eastAsia"/>
          <w:highlight w:val="none"/>
        </w:rPr>
        <w:t>（2）不符合供应商须知前附表中规定的响应文件装订要求的；</w:t>
      </w:r>
    </w:p>
    <w:p>
      <w:pPr>
        <w:ind w:firstLine="480"/>
        <w:rPr>
          <w:highlight w:val="none"/>
        </w:rPr>
      </w:pPr>
      <w:r>
        <w:rPr>
          <w:rFonts w:hint="eastAsia"/>
          <w:highlight w:val="none"/>
        </w:rPr>
        <w:t>（3）响应文件未加盖供应商公章，未经法定代表人或其授权代理人签署；</w:t>
      </w:r>
    </w:p>
    <w:p>
      <w:pPr>
        <w:ind w:firstLine="480"/>
        <w:rPr>
          <w:highlight w:val="none"/>
        </w:rPr>
      </w:pPr>
      <w:r>
        <w:rPr>
          <w:rFonts w:hint="eastAsia"/>
          <w:highlight w:val="none"/>
        </w:rPr>
        <w:t>（4）如需要授权，未提供合法、有效的授权委托书原件；</w:t>
      </w:r>
    </w:p>
    <w:p>
      <w:pPr>
        <w:ind w:firstLine="480"/>
        <w:rPr>
          <w:highlight w:val="none"/>
        </w:rPr>
      </w:pPr>
      <w:r>
        <w:rPr>
          <w:rFonts w:hint="eastAsia"/>
          <w:highlight w:val="none"/>
        </w:rPr>
        <w:t>（5）未按采购文件规定的格式、内容和要求编制，关键内容字迹潦草、模糊，无法辨认的；</w:t>
      </w:r>
    </w:p>
    <w:p>
      <w:pPr>
        <w:ind w:firstLine="480"/>
        <w:rPr>
          <w:highlight w:val="none"/>
        </w:rPr>
      </w:pPr>
      <w:r>
        <w:rPr>
          <w:rFonts w:hint="eastAsia"/>
          <w:highlight w:val="none"/>
        </w:rPr>
        <w:t>（6）响应文件未对采购文件中的实质性内容作出响应的或未提供采购文件关键条款的相关证据或证明材料的；</w:t>
      </w:r>
    </w:p>
    <w:p>
      <w:pPr>
        <w:ind w:firstLine="480"/>
        <w:rPr>
          <w:highlight w:val="none"/>
        </w:rPr>
      </w:pPr>
      <w:r>
        <w:rPr>
          <w:rFonts w:hint="eastAsia"/>
          <w:highlight w:val="none"/>
        </w:rPr>
        <w:t>（</w:t>
      </w:r>
      <w:r>
        <w:rPr>
          <w:rFonts w:hint="eastAsia"/>
          <w:highlight w:val="none"/>
          <w:lang w:val="en-US" w:eastAsia="zh-CN"/>
        </w:rPr>
        <w:t>7</w:t>
      </w:r>
      <w:r>
        <w:rPr>
          <w:rFonts w:hint="eastAsia"/>
          <w:highlight w:val="none"/>
        </w:rPr>
        <w:t>）存在负偏离的。</w:t>
      </w:r>
    </w:p>
    <w:p>
      <w:pPr>
        <w:pStyle w:val="5"/>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pPr>
        <w:pStyle w:val="6"/>
        <w:ind w:firstLine="482"/>
        <w:rPr>
          <w:highlight w:val="none"/>
        </w:rPr>
      </w:pPr>
      <w:r>
        <w:rPr>
          <w:highlight w:val="none"/>
        </w:rPr>
        <w:t>2.2</w:t>
      </w:r>
      <w:r>
        <w:rPr>
          <w:rFonts w:hint="eastAsia"/>
          <w:highlight w:val="none"/>
        </w:rPr>
        <w:t>商务技术评审</w:t>
      </w:r>
    </w:p>
    <w:p>
      <w:pPr>
        <w:ind w:firstLine="480"/>
        <w:rPr>
          <w:highlight w:val="none"/>
        </w:rPr>
      </w:pPr>
      <w:r>
        <w:rPr>
          <w:rFonts w:hint="eastAsia"/>
          <w:highlight w:val="none"/>
        </w:rPr>
        <w:t>通过“商务和技术偏离表”符合性审查的响应文件进行商务技术评分评审。未通过符合性审查的响应文件，将被</w:t>
      </w:r>
      <w:r>
        <w:rPr>
          <w:rFonts w:hint="eastAsia"/>
          <w:highlight w:val="none"/>
          <w:lang w:eastAsia="zh-CN"/>
        </w:rPr>
        <w:t>判定</w:t>
      </w:r>
      <w:r>
        <w:rPr>
          <w:rFonts w:hint="eastAsia"/>
          <w:highlight w:val="none"/>
        </w:rPr>
        <w:t>为不满足采购文件实质性要求。</w:t>
      </w:r>
    </w:p>
    <w:p>
      <w:pPr>
        <w:ind w:firstLine="480"/>
        <w:rPr>
          <w:highlight w:val="none"/>
        </w:rPr>
      </w:pPr>
      <w:r>
        <w:rPr>
          <w:rFonts w:hint="eastAsia"/>
          <w:highlight w:val="none"/>
        </w:rPr>
        <w:t>2</w:t>
      </w:r>
      <w:r>
        <w:rPr>
          <w:highlight w:val="none"/>
        </w:rPr>
        <w:t>.2.1</w:t>
      </w:r>
      <w:r>
        <w:rPr>
          <w:rFonts w:hint="eastAsia"/>
          <w:highlight w:val="none"/>
        </w:rPr>
        <w:t>商务评分标准见附件</w:t>
      </w:r>
      <w:r>
        <w:rPr>
          <w:rFonts w:hint="eastAsia"/>
          <w:highlight w:val="none"/>
          <w:lang w:val="en-US" w:eastAsia="zh-CN"/>
        </w:rPr>
        <w:t>一</w:t>
      </w:r>
      <w:r>
        <w:rPr>
          <w:rFonts w:hint="eastAsia"/>
          <w:highlight w:val="none"/>
        </w:rPr>
        <w:t xml:space="preserve">“评审标准”。 </w:t>
      </w:r>
    </w:p>
    <w:p>
      <w:pPr>
        <w:ind w:firstLine="480"/>
        <w:rPr>
          <w:highlight w:val="none"/>
        </w:rPr>
      </w:pPr>
      <w:r>
        <w:rPr>
          <w:rFonts w:hint="eastAsia"/>
          <w:highlight w:val="none"/>
        </w:rPr>
        <w:t>2.2.2技术评分标准见附件</w:t>
      </w:r>
      <w:r>
        <w:rPr>
          <w:rFonts w:hint="eastAsia"/>
          <w:highlight w:val="none"/>
          <w:lang w:val="en-US" w:eastAsia="zh-CN"/>
        </w:rPr>
        <w:t>一</w:t>
      </w:r>
      <w:r>
        <w:rPr>
          <w:rFonts w:hint="eastAsia"/>
          <w:highlight w:val="none"/>
        </w:rPr>
        <w:t>“评审标准”。</w:t>
      </w:r>
    </w:p>
    <w:p>
      <w:pPr>
        <w:pStyle w:val="6"/>
        <w:ind w:firstLine="482"/>
        <w:rPr>
          <w:highlight w:val="none"/>
        </w:rPr>
      </w:pPr>
      <w:r>
        <w:rPr>
          <w:rFonts w:hint="eastAsia"/>
          <w:highlight w:val="none"/>
        </w:rPr>
        <w:t>2</w:t>
      </w:r>
      <w:r>
        <w:rPr>
          <w:highlight w:val="none"/>
        </w:rPr>
        <w:t>.3</w:t>
      </w:r>
      <w:r>
        <w:rPr>
          <w:rFonts w:hint="eastAsia"/>
          <w:highlight w:val="none"/>
        </w:rPr>
        <w:t>报价评审</w:t>
      </w:r>
    </w:p>
    <w:p>
      <w:pPr>
        <w:ind w:firstLine="480"/>
        <w:rPr>
          <w:highlight w:val="none"/>
        </w:rPr>
      </w:pPr>
      <w:r>
        <w:rPr>
          <w:rFonts w:hint="eastAsia"/>
          <w:highlight w:val="none"/>
        </w:rPr>
        <w:t>2.</w:t>
      </w:r>
      <w:r>
        <w:rPr>
          <w:highlight w:val="none"/>
        </w:rPr>
        <w:t>3.1</w:t>
      </w:r>
      <w:r>
        <w:rPr>
          <w:rFonts w:hint="eastAsia"/>
          <w:highlight w:val="none"/>
        </w:rPr>
        <w:t>评审价格为供应商在</w:t>
      </w:r>
      <w:r>
        <w:rPr>
          <w:rFonts w:hint="eastAsia"/>
          <w:highlight w:val="none"/>
          <w:lang w:val="en-US" w:eastAsia="zh-CN"/>
        </w:rPr>
        <w:t>响应函</w:t>
      </w:r>
      <w:r>
        <w:rPr>
          <w:rFonts w:hint="eastAsia"/>
          <w:highlight w:val="none"/>
        </w:rPr>
        <w:t>中填写的大写含税价格。</w:t>
      </w:r>
    </w:p>
    <w:p>
      <w:pPr>
        <w:ind w:firstLine="480"/>
        <w:rPr>
          <w:highlight w:val="none"/>
        </w:rPr>
      </w:pPr>
      <w:r>
        <w:rPr>
          <w:highlight w:val="none"/>
        </w:rPr>
        <w:t>2.3.2</w:t>
      </w:r>
      <w:r>
        <w:rPr>
          <w:rFonts w:hint="eastAsia"/>
          <w:highlight w:val="none"/>
        </w:rPr>
        <w:t>报价评分计算方法见附件</w:t>
      </w:r>
      <w:r>
        <w:rPr>
          <w:rFonts w:hint="eastAsia"/>
          <w:highlight w:val="none"/>
          <w:lang w:val="en-US" w:eastAsia="zh-CN"/>
        </w:rPr>
        <w:t>一</w:t>
      </w:r>
      <w:r>
        <w:rPr>
          <w:rFonts w:hint="eastAsia"/>
          <w:highlight w:val="none"/>
        </w:rPr>
        <w:t>“评审标准”。</w:t>
      </w:r>
    </w:p>
    <w:p>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pPr>
        <w:ind w:firstLine="480"/>
        <w:rPr>
          <w:highlight w:val="none"/>
        </w:rPr>
      </w:pPr>
      <w:r>
        <w:rPr>
          <w:rFonts w:hint="eastAsia"/>
          <w:highlight w:val="none"/>
        </w:rPr>
        <w:t>（1）评审价格超过最高限价</w:t>
      </w:r>
      <w:r>
        <w:rPr>
          <w:rFonts w:hint="eastAsia"/>
          <w:highlight w:val="none"/>
          <w:lang w:val="en-US" w:eastAsia="zh-CN"/>
        </w:rPr>
        <w:t>和单项限价</w:t>
      </w:r>
      <w:r>
        <w:rPr>
          <w:rFonts w:hint="eastAsia"/>
          <w:highlight w:val="none"/>
        </w:rPr>
        <w:t>的；</w:t>
      </w:r>
    </w:p>
    <w:p>
      <w:pPr>
        <w:ind w:firstLine="480"/>
        <w:rPr>
          <w:highlight w:val="none"/>
        </w:rPr>
      </w:pPr>
      <w:r>
        <w:rPr>
          <w:rFonts w:hint="eastAsia"/>
          <w:highlight w:val="none"/>
        </w:rPr>
        <w:t>（2）响应文件有效期不满足采购文件要求的；</w:t>
      </w:r>
    </w:p>
    <w:p>
      <w:pPr>
        <w:ind w:firstLine="480"/>
        <w:rPr>
          <w:highlight w:val="none"/>
        </w:rPr>
      </w:pPr>
      <w:r>
        <w:rPr>
          <w:rFonts w:hint="eastAsia"/>
          <w:highlight w:val="none"/>
        </w:rPr>
        <w:t>（3）响应文件未对采购的全部内容进行报价，只响应其中部分内容或出现选择性报价的。</w:t>
      </w:r>
    </w:p>
    <w:p>
      <w:pPr>
        <w:ind w:firstLine="480"/>
        <w:rPr>
          <w:highlight w:val="none"/>
        </w:rPr>
      </w:pPr>
      <w:r>
        <w:rPr>
          <w:rFonts w:hint="eastAsia"/>
          <w:highlight w:val="none"/>
        </w:rPr>
        <w:t>（4）按照本章要求对报价进行修正，供应商拒不澄清确认的。</w:t>
      </w:r>
    </w:p>
    <w:p>
      <w:pPr>
        <w:pStyle w:val="5"/>
        <w:ind w:firstLine="482"/>
        <w:rPr>
          <w:highlight w:val="none"/>
        </w:rPr>
      </w:pPr>
      <w:r>
        <w:rPr>
          <w:rFonts w:hint="eastAsia"/>
          <w:highlight w:val="none"/>
        </w:rPr>
        <w:t>3</w:t>
      </w:r>
      <w:r>
        <w:rPr>
          <w:highlight w:val="none"/>
        </w:rPr>
        <w:t xml:space="preserve"> </w:t>
      </w:r>
      <w:r>
        <w:rPr>
          <w:rFonts w:hint="eastAsia"/>
          <w:highlight w:val="none"/>
        </w:rPr>
        <w:t>响应文件的澄清和补正</w:t>
      </w:r>
    </w:p>
    <w:p>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pPr>
        <w:ind w:firstLine="480"/>
        <w:rPr>
          <w:highlight w:val="none"/>
        </w:rPr>
      </w:pPr>
      <w:r>
        <w:rPr>
          <w:rFonts w:hint="eastAsia"/>
          <w:highlight w:val="none"/>
        </w:rPr>
        <w:t>（1）报价出现不一致的，以</w:t>
      </w:r>
      <w:r>
        <w:rPr>
          <w:rFonts w:hint="eastAsia"/>
          <w:highlight w:val="none"/>
          <w:lang w:val="en-US" w:eastAsia="zh-CN"/>
        </w:rPr>
        <w:t>响应函</w:t>
      </w:r>
      <w:r>
        <w:rPr>
          <w:rFonts w:hint="eastAsia"/>
          <w:highlight w:val="none"/>
        </w:rPr>
        <w:t>中填写的大写含税价格为准；</w:t>
      </w:r>
    </w:p>
    <w:p>
      <w:pPr>
        <w:ind w:firstLine="480"/>
        <w:rPr>
          <w:highlight w:val="none"/>
        </w:rPr>
      </w:pPr>
      <w:r>
        <w:rPr>
          <w:rFonts w:hint="eastAsia"/>
          <w:highlight w:val="none"/>
        </w:rPr>
        <w:t>（2）大写金额与小写金额不一致的，以大写金额为准；</w:t>
      </w:r>
    </w:p>
    <w:p>
      <w:pPr>
        <w:ind w:firstLine="480"/>
        <w:rPr>
          <w:highlight w:val="none"/>
        </w:rPr>
      </w:pPr>
      <w:r>
        <w:rPr>
          <w:rFonts w:hint="eastAsia"/>
          <w:highlight w:val="none"/>
        </w:rPr>
        <w:t>（3）</w:t>
      </w:r>
      <w:r>
        <w:rPr>
          <w:highlight w:val="none"/>
        </w:rPr>
        <w:t>单价金额小数点或者百分比有明显错位的，以</w:t>
      </w:r>
      <w:r>
        <w:rPr>
          <w:rFonts w:hint="eastAsia"/>
          <w:highlight w:val="none"/>
          <w:lang w:val="en-US" w:eastAsia="zh-CN"/>
        </w:rPr>
        <w:t>响应函</w:t>
      </w:r>
      <w:r>
        <w:rPr>
          <w:rFonts w:hint="eastAsia"/>
          <w:highlight w:val="none"/>
        </w:rPr>
        <w:t>填写的大写含税价格为准</w:t>
      </w:r>
      <w:r>
        <w:rPr>
          <w:highlight w:val="none"/>
        </w:rPr>
        <w:t>，并修改单价；</w:t>
      </w:r>
    </w:p>
    <w:p>
      <w:pPr>
        <w:ind w:firstLine="480"/>
        <w:rPr>
          <w:highlight w:val="none"/>
        </w:rPr>
      </w:pPr>
      <w:r>
        <w:rPr>
          <w:rFonts w:hint="eastAsia"/>
          <w:highlight w:val="none"/>
        </w:rPr>
        <w:t>（4）总价金额与按单价汇总金额不一致的，以单价金额计算结果为准；</w:t>
      </w:r>
    </w:p>
    <w:p>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pPr>
        <w:pStyle w:val="5"/>
        <w:ind w:firstLine="482"/>
        <w:rPr>
          <w:highlight w:val="none"/>
        </w:rPr>
      </w:pPr>
      <w:r>
        <w:rPr>
          <w:rFonts w:hint="eastAsia"/>
          <w:highlight w:val="none"/>
        </w:rPr>
        <w:t>4评分与汇总</w:t>
      </w:r>
    </w:p>
    <w:p>
      <w:pPr>
        <w:ind w:firstLine="480"/>
        <w:rPr>
          <w:color w:val="000000" w:themeColor="text1"/>
          <w:highlight w:val="none"/>
          <w14:textFill>
            <w14:solidFill>
              <w14:schemeClr w14:val="tx1"/>
            </w14:solidFill>
          </w14:textFill>
        </w:rPr>
      </w:pPr>
      <w:bookmarkStart w:id="10" w:name="OLE_LINK31"/>
      <w:bookmarkStart w:id="11" w:name="OLE_LINK30"/>
      <w:r>
        <w:rPr>
          <w:rFonts w:hint="eastAsia"/>
          <w:color w:val="000000" w:themeColor="text1"/>
          <w:highlight w:val="none"/>
          <w14:textFill>
            <w14:solidFill>
              <w14:schemeClr w14:val="tx1"/>
            </w14:solidFill>
          </w14:textFill>
        </w:rPr>
        <w:t>评审小组成员按照评分标准独立对每个有效的</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文件进行评价、打分，然后汇总每个供应商各项评分因素的得分。各项得分汇总后为该供应商的评分总分。</w:t>
      </w:r>
    </w:p>
    <w:bookmarkEnd w:id="10"/>
    <w:bookmarkEnd w:id="11"/>
    <w:p>
      <w:pPr>
        <w:pStyle w:val="5"/>
        <w:ind w:firstLine="482"/>
        <w:rPr>
          <w:highlight w:val="none"/>
        </w:rPr>
      </w:pPr>
      <w:r>
        <w:rPr>
          <w:rFonts w:hint="eastAsia"/>
          <w:highlight w:val="none"/>
        </w:rPr>
        <w:t>5</w:t>
      </w:r>
      <w:r>
        <w:rPr>
          <w:highlight w:val="none"/>
        </w:rPr>
        <w:t xml:space="preserve"> </w:t>
      </w:r>
      <w:r>
        <w:rPr>
          <w:rFonts w:hint="eastAsia"/>
          <w:highlight w:val="none"/>
        </w:rPr>
        <w:t>评审结果</w:t>
      </w:r>
    </w:p>
    <w:p>
      <w:pPr>
        <w:pStyle w:val="6"/>
        <w:ind w:firstLine="482"/>
        <w:rPr>
          <w:highlight w:val="none"/>
        </w:rPr>
      </w:pPr>
      <w:r>
        <w:rPr>
          <w:rFonts w:hint="eastAsia"/>
          <w:highlight w:val="none"/>
        </w:rPr>
        <w:t>5</w:t>
      </w:r>
      <w:r>
        <w:rPr>
          <w:highlight w:val="none"/>
        </w:rPr>
        <w:t>.</w:t>
      </w:r>
      <w:r>
        <w:rPr>
          <w:rFonts w:hint="eastAsia"/>
          <w:highlight w:val="none"/>
        </w:rPr>
        <w:t>1提交书面评审报告</w:t>
      </w:r>
    </w:p>
    <w:p>
      <w:pPr>
        <w:ind w:firstLine="480"/>
        <w:rPr>
          <w:highlight w:val="none"/>
        </w:rPr>
      </w:pPr>
      <w:r>
        <w:rPr>
          <w:rFonts w:hint="eastAsia"/>
          <w:highlight w:val="none"/>
        </w:rPr>
        <w:t>评审小组完成评审后，向采购人提交书面评审报告。</w:t>
      </w:r>
    </w:p>
    <w:p>
      <w:pPr>
        <w:pStyle w:val="6"/>
        <w:ind w:firstLine="482"/>
        <w:rPr>
          <w:highlight w:val="none"/>
        </w:rPr>
      </w:pPr>
      <w:r>
        <w:rPr>
          <w:highlight w:val="none"/>
        </w:rPr>
        <w:t>5</w:t>
      </w:r>
      <w:r>
        <w:rPr>
          <w:rFonts w:hint="eastAsia"/>
          <w:highlight w:val="none"/>
        </w:rPr>
        <w:t>.2推荐候选成交供应商</w:t>
      </w:r>
    </w:p>
    <w:p>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pPr>
        <w:ind w:firstLine="480"/>
        <w:rPr>
          <w:highlight w:val="none"/>
        </w:rPr>
        <w:sectPr>
          <w:footerReference r:id="rId12" w:type="default"/>
          <w:pgSz w:w="11906" w:h="16838"/>
          <w:pgMar w:top="1418" w:right="1588" w:bottom="1418" w:left="1588" w:header="851" w:footer="992" w:gutter="0"/>
          <w:pgNumType w:start="1"/>
          <w:cols w:space="425"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pPr>
        <w:pStyle w:val="5"/>
        <w:ind w:firstLine="482"/>
        <w:rPr>
          <w:highlight w:val="none"/>
        </w:rPr>
      </w:pPr>
      <w:bookmarkStart w:id="12" w:name="_Toc5079"/>
      <w:r>
        <w:rPr>
          <w:rFonts w:hint="eastAsia"/>
          <w:highlight w:val="none"/>
        </w:rPr>
        <w:t>附件</w:t>
      </w:r>
      <w:r>
        <w:rPr>
          <w:rFonts w:hint="eastAsia"/>
          <w:highlight w:val="none"/>
          <w:lang w:val="en-US" w:eastAsia="zh-CN"/>
        </w:rPr>
        <w:t>一</w:t>
      </w:r>
      <w:r>
        <w:rPr>
          <w:rFonts w:hint="eastAsia"/>
          <w:highlight w:val="none"/>
        </w:rPr>
        <w:t xml:space="preserve"> </w:t>
      </w:r>
      <w:bookmarkEnd w:id="12"/>
      <w:r>
        <w:rPr>
          <w:rFonts w:hint="eastAsia"/>
          <w:highlight w:val="none"/>
        </w:rPr>
        <w:t>评审标准</w:t>
      </w:r>
    </w:p>
    <w:p>
      <w:pPr>
        <w:ind w:firstLine="0" w:firstLineChars="0"/>
        <w:jc w:val="center"/>
        <w:rPr>
          <w:b/>
          <w:bCs/>
          <w:highlight w:val="none"/>
        </w:rPr>
      </w:pPr>
      <w:r>
        <w:rPr>
          <w:rFonts w:hint="eastAsia"/>
          <w:b/>
          <w:bCs/>
          <w:highlight w:val="none"/>
        </w:rPr>
        <w:t>资格审查表</w:t>
      </w:r>
    </w:p>
    <w:tbl>
      <w:tblPr>
        <w:tblStyle w:val="26"/>
        <w:tblW w:w="51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339"/>
        <w:gridCol w:w="5098"/>
        <w:gridCol w:w="2936"/>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372" w:type="pct"/>
            <w:vAlign w:val="center"/>
          </w:tcPr>
          <w:p>
            <w:pPr>
              <w:ind w:firstLine="0" w:firstLineChars="0"/>
              <w:jc w:val="center"/>
              <w:rPr>
                <w:b/>
                <w:bCs/>
                <w:sz w:val="24"/>
                <w:szCs w:val="24"/>
                <w:highlight w:val="none"/>
              </w:rPr>
            </w:pPr>
            <w:bookmarkStart w:id="13" w:name="_Hlk135650722"/>
            <w:r>
              <w:rPr>
                <w:rFonts w:hint="eastAsia"/>
                <w:b/>
                <w:bCs/>
                <w:sz w:val="24"/>
                <w:szCs w:val="24"/>
                <w:highlight w:val="none"/>
              </w:rPr>
              <w:t>序号</w:t>
            </w:r>
          </w:p>
        </w:tc>
        <w:tc>
          <w:tcPr>
            <w:tcW w:w="2269" w:type="pct"/>
            <w:gridSpan w:val="2"/>
            <w:vAlign w:val="center"/>
          </w:tcPr>
          <w:p>
            <w:pPr>
              <w:ind w:firstLine="0" w:firstLineChars="0"/>
              <w:jc w:val="center"/>
              <w:rPr>
                <w:b/>
                <w:bCs/>
                <w:sz w:val="24"/>
                <w:szCs w:val="24"/>
                <w:highlight w:val="none"/>
              </w:rPr>
            </w:pPr>
            <w:r>
              <w:rPr>
                <w:rFonts w:hint="eastAsia"/>
                <w:b/>
                <w:bCs/>
                <w:sz w:val="24"/>
                <w:szCs w:val="24"/>
                <w:highlight w:val="none"/>
              </w:rPr>
              <w:t>供应商资格要求</w:t>
            </w:r>
          </w:p>
        </w:tc>
        <w:tc>
          <w:tcPr>
            <w:tcW w:w="1035" w:type="pct"/>
            <w:vAlign w:val="center"/>
          </w:tcPr>
          <w:p>
            <w:pPr>
              <w:ind w:firstLine="0" w:firstLineChars="0"/>
              <w:jc w:val="center"/>
              <w:rPr>
                <w:b/>
                <w:bCs/>
                <w:sz w:val="24"/>
                <w:szCs w:val="24"/>
                <w:highlight w:val="none"/>
              </w:rPr>
            </w:pPr>
            <w:r>
              <w:rPr>
                <w:rFonts w:hint="eastAsia"/>
                <w:b/>
                <w:bCs/>
                <w:sz w:val="24"/>
                <w:szCs w:val="24"/>
                <w:highlight w:val="none"/>
              </w:rPr>
              <w:t>响应文件对应章节</w:t>
            </w:r>
          </w:p>
        </w:tc>
        <w:tc>
          <w:tcPr>
            <w:tcW w:w="1322" w:type="pct"/>
            <w:vAlign w:val="center"/>
          </w:tcPr>
          <w:p>
            <w:pPr>
              <w:ind w:firstLine="0" w:firstLineChars="0"/>
              <w:jc w:val="center"/>
              <w:rPr>
                <w:b/>
                <w:bCs/>
                <w:sz w:val="24"/>
                <w:szCs w:val="24"/>
                <w:highlight w:val="none"/>
              </w:rPr>
            </w:pPr>
            <w:r>
              <w:rPr>
                <w:rFonts w:hint="eastAsia"/>
                <w:b/>
                <w:bCs/>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372"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1</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资格要求</w:t>
            </w:r>
          </w:p>
        </w:tc>
        <w:tc>
          <w:tcPr>
            <w:tcW w:w="1796"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eastAsia="宋体"/>
                <w:sz w:val="24"/>
                <w:szCs w:val="24"/>
                <w:highlight w:val="none"/>
                <w:lang w:val="en-US" w:eastAsia="zh-CN"/>
              </w:rPr>
            </w:pPr>
            <w:r>
              <w:rPr>
                <w:rFonts w:hint="eastAsia"/>
                <w:sz w:val="24"/>
                <w:szCs w:val="24"/>
                <w:highlight w:val="none"/>
                <w:lang w:eastAsia="zh-CN"/>
              </w:rPr>
              <w:t>注册于中华人民共和国境内，具有独立法人资格的企事业单位，或依法设立的律师事务所。</w:t>
            </w:r>
          </w:p>
        </w:tc>
        <w:tc>
          <w:tcPr>
            <w:tcW w:w="1035"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第一册“资格审查部分企业营业执照或事业单位法人证书”</w:t>
            </w:r>
          </w:p>
        </w:tc>
        <w:tc>
          <w:tcPr>
            <w:tcW w:w="1322"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有效的《营业执照》或《事业单位法人证书》或《律师事务所执业许可证》复印件加盖公章。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3" w:hRule="atLeast"/>
          <w:jc w:val="center"/>
        </w:trPr>
        <w:tc>
          <w:tcPr>
            <w:tcW w:w="372"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2</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信誉要求</w:t>
            </w:r>
          </w:p>
        </w:tc>
        <w:tc>
          <w:tcPr>
            <w:tcW w:w="1796"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①</w:t>
            </w:r>
            <w:r>
              <w:rPr>
                <w:rFonts w:hint="eastAsia" w:cs="Times New Roman"/>
                <w:sz w:val="24"/>
                <w:szCs w:val="24"/>
                <w:highlight w:val="none"/>
                <w:lang w:eastAsia="zh-CN"/>
              </w:rPr>
              <w:t>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的行政处罚、司法裁判与执行等记录）。若为依法设立的律师事务所，在全国律师执业诚信信息公示平台无惩戒记录。</w:t>
            </w:r>
          </w:p>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b/>
                <w:bCs/>
                <w:sz w:val="24"/>
                <w:szCs w:val="24"/>
                <w:highlight w:val="none"/>
                <w:lang w:eastAsia="zh-CN"/>
              </w:rPr>
            </w:pPr>
            <w:r>
              <w:rPr>
                <w:rFonts w:hint="eastAsia" w:ascii="Times New Roman" w:hAnsi="Times New Roman" w:eastAsia="宋体" w:cs="Times New Roman"/>
                <w:sz w:val="24"/>
                <w:szCs w:val="24"/>
                <w:highlight w:val="none"/>
              </w:rPr>
              <w:t>②与</w:t>
            </w:r>
            <w:r>
              <w:rPr>
                <w:rFonts w:hint="eastAsia" w:cs="Times New Roman"/>
                <w:sz w:val="24"/>
                <w:szCs w:val="24"/>
                <w:highlight w:val="none"/>
                <w:lang w:eastAsia="zh-CN"/>
              </w:rPr>
              <w:t>采购人</w:t>
            </w:r>
            <w:r>
              <w:rPr>
                <w:rFonts w:hint="eastAsia" w:ascii="Times New Roman" w:hAnsi="Times New Roman" w:eastAsia="宋体" w:cs="Times New Roman"/>
                <w:sz w:val="24"/>
                <w:szCs w:val="24"/>
                <w:highlight w:val="none"/>
              </w:rPr>
              <w:t>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24"/>
                <w:szCs w:val="24"/>
                <w:highlight w:val="none"/>
                <w:lang w:eastAsia="zh-CN"/>
              </w:rPr>
              <w:t>。</w:t>
            </w:r>
          </w:p>
        </w:tc>
        <w:tc>
          <w:tcPr>
            <w:tcW w:w="1035"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第一册“资格审查部分 承诺函”</w:t>
            </w:r>
          </w:p>
        </w:tc>
        <w:tc>
          <w:tcPr>
            <w:tcW w:w="1322" w:type="pct"/>
            <w:vAlign w:val="center"/>
          </w:tcPr>
          <w:p>
            <w:pPr>
              <w:pStyle w:val="45"/>
              <w:keepNext w:val="0"/>
              <w:keepLines w:val="0"/>
              <w:pageBreakBefore w:val="0"/>
              <w:widowControl/>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提供承诺函，网站信息以评审小组现场查询结果为准。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372"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联合体要求</w:t>
            </w:r>
          </w:p>
        </w:tc>
        <w:tc>
          <w:tcPr>
            <w:tcW w:w="1796" w:type="pct"/>
            <w:vAlign w:val="center"/>
          </w:tcPr>
          <w:p>
            <w:pPr>
              <w:pStyle w:val="45"/>
              <w:keepNext w:val="0"/>
              <w:keepLines w:val="0"/>
              <w:pageBreakBefore w:val="0"/>
              <w:kinsoku/>
              <w:wordWrap/>
              <w:overflowPunct/>
              <w:topLinePunct w:val="0"/>
              <w:autoSpaceDE/>
              <w:autoSpaceDN/>
              <w:bidi w:val="0"/>
              <w:adjustRightInd/>
              <w:snapToGrid/>
              <w:spacing w:line="240" w:lineRule="auto"/>
              <w:jc w:val="left"/>
              <w:textAlignment w:val="auto"/>
              <w:rPr>
                <w:sz w:val="24"/>
                <w:szCs w:val="24"/>
                <w:highlight w:val="none"/>
              </w:rPr>
            </w:pPr>
            <w:r>
              <w:rPr>
                <w:rFonts w:hint="eastAsia"/>
                <w:sz w:val="24"/>
                <w:szCs w:val="24"/>
                <w:highlight w:val="none"/>
              </w:rPr>
              <w:t>本项目不接受联合体参与</w:t>
            </w:r>
          </w:p>
        </w:tc>
        <w:tc>
          <w:tcPr>
            <w:tcW w:w="1035" w:type="pct"/>
            <w:vAlign w:val="center"/>
          </w:tcPr>
          <w:p>
            <w:pPr>
              <w:pStyle w:val="45"/>
              <w:keepNext w:val="0"/>
              <w:keepLines w:val="0"/>
              <w:pageBreakBefore w:val="0"/>
              <w:kinsoku/>
              <w:wordWrap/>
              <w:overflowPunct/>
              <w:topLinePunct w:val="0"/>
              <w:autoSpaceDE/>
              <w:autoSpaceDN/>
              <w:bidi w:val="0"/>
              <w:adjustRightInd/>
              <w:snapToGrid/>
              <w:spacing w:line="240" w:lineRule="auto"/>
              <w:ind w:firstLine="420"/>
              <w:jc w:val="left"/>
              <w:textAlignment w:val="auto"/>
              <w:rPr>
                <w:rFonts w:ascii="宋体" w:hAnsi="宋体" w:cs="宋体"/>
                <w:sz w:val="24"/>
                <w:szCs w:val="24"/>
                <w:highlight w:val="none"/>
              </w:rPr>
            </w:pPr>
            <w:r>
              <w:rPr>
                <w:rFonts w:hint="eastAsia" w:ascii="宋体" w:hAnsi="宋体" w:cs="宋体"/>
                <w:sz w:val="24"/>
                <w:szCs w:val="24"/>
                <w:highlight w:val="none"/>
              </w:rPr>
              <w:t>/</w:t>
            </w:r>
          </w:p>
        </w:tc>
        <w:tc>
          <w:tcPr>
            <w:tcW w:w="1322" w:type="pct"/>
            <w:vAlign w:val="center"/>
          </w:tcPr>
          <w:p>
            <w:pPr>
              <w:pStyle w:val="45"/>
              <w:keepNext w:val="0"/>
              <w:keepLines w:val="0"/>
              <w:pageBreakBefore w:val="0"/>
              <w:kinsoku/>
              <w:wordWrap/>
              <w:overflowPunct/>
              <w:topLinePunct w:val="0"/>
              <w:autoSpaceDE/>
              <w:autoSpaceDN/>
              <w:bidi w:val="0"/>
              <w:adjustRightInd/>
              <w:snapToGrid/>
              <w:spacing w:line="240" w:lineRule="auto"/>
              <w:ind w:firstLine="420"/>
              <w:jc w:val="left"/>
              <w:textAlignment w:val="auto"/>
              <w:rPr>
                <w:rFonts w:ascii="宋体" w:hAnsi="宋体" w:cs="宋体"/>
                <w:sz w:val="24"/>
                <w:szCs w:val="24"/>
                <w:highlight w:val="none"/>
              </w:rPr>
            </w:pPr>
            <w:r>
              <w:rPr>
                <w:rFonts w:hint="eastAsia" w:ascii="宋体" w:hAnsi="宋体" w:cs="宋体"/>
                <w:sz w:val="24"/>
                <w:szCs w:val="24"/>
                <w:highlight w:val="none"/>
              </w:rPr>
              <w:t>/</w:t>
            </w:r>
          </w:p>
        </w:tc>
      </w:tr>
    </w:tbl>
    <w:p>
      <w:pPr>
        <w:ind w:firstLine="482"/>
        <w:rPr>
          <w:b/>
          <w:bCs/>
          <w:highlight w:val="none"/>
        </w:rPr>
        <w:sectPr>
          <w:pgSz w:w="16838" w:h="11906" w:orient="landscape"/>
          <w:pgMar w:top="1418" w:right="1588" w:bottom="1418" w:left="1588" w:header="851" w:footer="992" w:gutter="0"/>
          <w:cols w:space="425" w:num="1"/>
          <w:docGrid w:linePitch="326" w:charSpace="0"/>
        </w:sectPr>
      </w:pPr>
    </w:p>
    <w:p>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10</w:t>
      </w:r>
      <w:r>
        <w:rPr>
          <w:rFonts w:hint="eastAsia"/>
          <w:b/>
          <w:bCs/>
          <w:highlight w:val="none"/>
        </w:rPr>
        <w:t>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438"/>
        <w:gridCol w:w="542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Align w:val="center"/>
          </w:tcPr>
          <w:p>
            <w:pPr>
              <w:ind w:firstLine="0" w:firstLineChars="0"/>
              <w:jc w:val="center"/>
              <w:rPr>
                <w:b/>
                <w:bCs/>
                <w:szCs w:val="24"/>
                <w:highlight w:val="none"/>
              </w:rPr>
            </w:pPr>
            <w:r>
              <w:rPr>
                <w:rFonts w:hint="eastAsia"/>
                <w:b/>
                <w:bCs/>
                <w:szCs w:val="24"/>
                <w:highlight w:val="none"/>
              </w:rPr>
              <w:t>序号</w:t>
            </w:r>
          </w:p>
        </w:tc>
        <w:tc>
          <w:tcPr>
            <w:tcW w:w="804" w:type="pct"/>
            <w:vAlign w:val="center"/>
          </w:tcPr>
          <w:p>
            <w:pPr>
              <w:ind w:firstLine="0" w:firstLineChars="0"/>
              <w:jc w:val="center"/>
              <w:rPr>
                <w:b/>
                <w:bCs/>
                <w:szCs w:val="24"/>
                <w:highlight w:val="none"/>
              </w:rPr>
            </w:pPr>
            <w:r>
              <w:rPr>
                <w:rFonts w:hint="eastAsia"/>
                <w:b/>
                <w:bCs/>
                <w:szCs w:val="24"/>
                <w:highlight w:val="none"/>
              </w:rPr>
              <w:t>评审因素</w:t>
            </w:r>
          </w:p>
        </w:tc>
        <w:tc>
          <w:tcPr>
            <w:tcW w:w="3034" w:type="pct"/>
            <w:vAlign w:val="center"/>
          </w:tcPr>
          <w:p>
            <w:pPr>
              <w:ind w:firstLine="0" w:firstLineChars="0"/>
              <w:jc w:val="center"/>
              <w:rPr>
                <w:b/>
                <w:bCs/>
                <w:szCs w:val="24"/>
                <w:highlight w:val="none"/>
              </w:rPr>
            </w:pPr>
            <w:r>
              <w:rPr>
                <w:rFonts w:hint="eastAsia"/>
                <w:b/>
                <w:bCs/>
                <w:szCs w:val="24"/>
                <w:highlight w:val="none"/>
              </w:rPr>
              <w:t>评分标准</w:t>
            </w:r>
          </w:p>
        </w:tc>
        <w:tc>
          <w:tcPr>
            <w:tcW w:w="489" w:type="pct"/>
            <w:vAlign w:val="center"/>
          </w:tcPr>
          <w:p>
            <w:pPr>
              <w:ind w:firstLine="0" w:firstLineChars="0"/>
              <w:jc w:val="center"/>
              <w:rPr>
                <w:b/>
                <w:bCs/>
                <w:szCs w:val="24"/>
                <w:highlight w:val="none"/>
              </w:rPr>
            </w:pPr>
            <w:r>
              <w:rPr>
                <w:rFonts w:hint="eastAsia"/>
                <w:b/>
                <w:bCs/>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2" w:type="pct"/>
            <w:vAlign w:val="center"/>
          </w:tcPr>
          <w:p>
            <w:pPr>
              <w:pStyle w:val="45"/>
              <w:jc w:val="center"/>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w:t>
            </w:r>
          </w:p>
        </w:tc>
        <w:tc>
          <w:tcPr>
            <w:tcW w:w="14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企业业绩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2023年1月1日以来至本项目参选截止之日内，参选人每有一项个人信息保护合规审计项目得5分，满分10分。须提供合同复印件。业绩时间以合同签订时间为准；同一项目分年度签订合同的，视为一个业绩，业绩时间按照首年度合同签订时间为准。若合同无法体现工作内容、合同签订时间的，另须提供加盖业主单位公章的业主证明。</w:t>
            </w:r>
          </w:p>
        </w:tc>
        <w:tc>
          <w:tcPr>
            <w:tcW w:w="8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bl>
    <w:p>
      <w:pPr>
        <w:ind w:firstLine="480"/>
        <w:rPr>
          <w:highlight w:val="none"/>
        </w:rPr>
      </w:pPr>
    </w:p>
    <w:p>
      <w:pPr>
        <w:ind w:firstLine="0" w:firstLineChars="0"/>
        <w:jc w:val="center"/>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rPr>
          <w:rFonts w:hint="eastAsia"/>
          <w:b/>
          <w:bCs/>
          <w:highlight w:val="none"/>
        </w:rPr>
      </w:pPr>
      <w:r>
        <w:rPr>
          <w:rFonts w:hint="eastAsia"/>
          <w:b/>
          <w:bCs/>
          <w:highlight w:val="none"/>
        </w:rPr>
        <w:br w:type="page"/>
      </w:r>
    </w:p>
    <w:p>
      <w:pPr>
        <w:ind w:firstLine="0" w:firstLineChars="0"/>
        <w:jc w:val="center"/>
        <w:rPr>
          <w:b/>
          <w:bCs/>
          <w:highlight w:val="none"/>
        </w:rPr>
      </w:pPr>
      <w:r>
        <w:rPr>
          <w:rFonts w:hint="eastAsia"/>
          <w:b/>
          <w:bCs/>
          <w:highlight w:val="none"/>
        </w:rPr>
        <w:t>技术部分评分表（</w:t>
      </w:r>
      <w:r>
        <w:rPr>
          <w:rFonts w:hint="eastAsia"/>
          <w:b/>
          <w:bCs/>
          <w:highlight w:val="none"/>
          <w:lang w:val="en-US" w:eastAsia="zh-CN"/>
        </w:rPr>
        <w:t>50</w:t>
      </w:r>
      <w:r>
        <w:rPr>
          <w:rFonts w:hint="eastAsia"/>
          <w:b/>
          <w:bCs/>
          <w:highlight w:val="none"/>
        </w:rPr>
        <w:t>分）</w:t>
      </w:r>
    </w:p>
    <w:tbl>
      <w:tblPr>
        <w:tblStyle w:val="26"/>
        <w:tblW w:w="5089" w:type="pct"/>
        <w:jc w:val="center"/>
        <w:tblLayout w:type="autofit"/>
        <w:tblCellMar>
          <w:top w:w="0" w:type="dxa"/>
          <w:left w:w="0" w:type="dxa"/>
          <w:bottom w:w="0" w:type="dxa"/>
          <w:right w:w="0" w:type="dxa"/>
        </w:tblCellMar>
      </w:tblPr>
      <w:tblGrid>
        <w:gridCol w:w="719"/>
        <w:gridCol w:w="1345"/>
        <w:gridCol w:w="6176"/>
        <w:gridCol w:w="686"/>
      </w:tblGrid>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序号</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评分因素</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评分标准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分值</w:t>
            </w:r>
          </w:p>
        </w:tc>
      </w:tr>
      <w:tr>
        <w:tblPrEx>
          <w:tblCellMar>
            <w:top w:w="0" w:type="dxa"/>
            <w:left w:w="0" w:type="dxa"/>
            <w:bottom w:w="0" w:type="dxa"/>
            <w:right w:w="0" w:type="dxa"/>
          </w:tblCellMar>
        </w:tblPrEx>
        <w:trPr>
          <w:trHeight w:val="1902"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1</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对本项目的理解</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针对本项目涉及的特定法律法规、标准及规范性文件（特别是《未成年人网络保护条例》、TC260-PG-20255A及南通市委网信办相关通知要求），参选人需结合本次项目审计情况，提交一份对上述要求的理解与实施要点简要说明。若评审材料能充分体现对要求的理解深度和针对性，评标委员会在[7，10]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2</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审计实施方案</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评审参选人针对本项目“好通行”APP（含IOS、Android、鸿蒙平台）及所列第三方SDK（支付宝、微信、友盟、极光、一键登录、通付盾等）制定的审计实施方案，重点评估审计范围、对象、内容的覆盖完整性。评标委员会在[10.5，15]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w:t>
            </w:r>
          </w:p>
        </w:tc>
      </w:tr>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3</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项目管理与沟通保障方案</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评审项目进度计划、节点设置（如14个工作日内完成审计的保障措施）、内部质量控制流程、与采购人的沟通协作机制、文档管理及保密方案的周密性。尤其关注参选人对“审计情况报送”工作的支持配合方案。评标委员会在[10.5，15]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15</w:t>
            </w:r>
          </w:p>
        </w:tc>
      </w:tr>
      <w:tr>
        <w:tblPrEx>
          <w:tblCellMar>
            <w:top w:w="0" w:type="dxa"/>
            <w:left w:w="0" w:type="dxa"/>
            <w:bottom w:w="0" w:type="dxa"/>
            <w:right w:w="0" w:type="dxa"/>
          </w:tblCellMar>
        </w:tblPrEx>
        <w:trPr>
          <w:trHeight w:val="23" w:hRule="atLeast"/>
          <w:jc w:val="center"/>
        </w:trPr>
        <w:tc>
          <w:tcPr>
            <w:tcW w:w="403"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Times New Roman" w:hAnsi="Times New Roman" w:eastAsia="宋体" w:cs="Times New Roman"/>
                <w:color w:val="000000"/>
                <w:sz w:val="24"/>
                <w:szCs w:val="24"/>
                <w:highlight w:val="none"/>
                <w:lang w:val="en-US" w:eastAsia="zh-CN"/>
              </w:rPr>
            </w:pPr>
            <w:r>
              <w:rPr>
                <w:rFonts w:hint="eastAsia" w:ascii="仿宋" w:hAnsi="仿宋" w:eastAsia="仿宋" w:cs="仿宋"/>
                <w:sz w:val="24"/>
                <w:szCs w:val="24"/>
                <w:lang w:val="en-US" w:eastAsia="zh-CN"/>
              </w:rPr>
              <w:t>4</w:t>
            </w:r>
          </w:p>
        </w:tc>
        <w:tc>
          <w:tcPr>
            <w:tcW w:w="753"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售后服务</w:t>
            </w:r>
          </w:p>
        </w:tc>
        <w:tc>
          <w:tcPr>
            <w:tcW w:w="3459"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参选人提供的</w:t>
            </w:r>
            <w:r>
              <w:rPr>
                <w:rFonts w:hint="eastAsia" w:ascii="Times New Roman" w:hAnsi="Times New Roman" w:eastAsia="宋体" w:cs="Times New Roman"/>
                <w:color w:val="000000"/>
                <w:kern w:val="0"/>
                <w:sz w:val="24"/>
                <w:szCs w:val="24"/>
                <w:highlight w:val="none"/>
                <w:lang w:val="en-US" w:eastAsia="zh-CN" w:bidi="ar-SA"/>
              </w:rPr>
              <w:t>售后</w:t>
            </w:r>
            <w:r>
              <w:rPr>
                <w:rFonts w:hint="default" w:ascii="Times New Roman" w:hAnsi="Times New Roman" w:eastAsia="宋体" w:cs="Times New Roman"/>
                <w:color w:val="000000"/>
                <w:kern w:val="0"/>
                <w:sz w:val="24"/>
                <w:szCs w:val="24"/>
                <w:highlight w:val="none"/>
                <w:lang w:val="en-US" w:eastAsia="zh-CN" w:bidi="ar-SA"/>
              </w:rPr>
              <w:t>服务包括</w:t>
            </w:r>
            <w:r>
              <w:rPr>
                <w:rFonts w:hint="eastAsia" w:ascii="Times New Roman" w:hAnsi="Times New Roman" w:eastAsia="宋体" w:cs="Times New Roman"/>
                <w:color w:val="000000"/>
                <w:kern w:val="0"/>
                <w:sz w:val="24"/>
                <w:szCs w:val="24"/>
                <w:highlight w:val="none"/>
                <w:lang w:val="en-US" w:eastAsia="zh-CN" w:bidi="ar-SA"/>
              </w:rPr>
              <w:t>但不限于审计报告交付后的咨询服务、审计发现问题的整改指导等</w:t>
            </w:r>
            <w:r>
              <w:rPr>
                <w:rFonts w:hint="default" w:ascii="Times New Roman" w:hAnsi="Times New Roman" w:eastAsia="宋体" w:cs="Times New Roman"/>
                <w:color w:val="000000"/>
                <w:kern w:val="0"/>
                <w:sz w:val="24"/>
                <w:szCs w:val="24"/>
                <w:highlight w:val="none"/>
                <w:lang w:val="en-US" w:eastAsia="zh-CN" w:bidi="ar-SA"/>
              </w:rPr>
              <w:t>。</w:t>
            </w:r>
            <w:r>
              <w:rPr>
                <w:rFonts w:hint="eastAsia" w:ascii="Times New Roman" w:hAnsi="Times New Roman" w:eastAsia="宋体" w:cs="Times New Roman"/>
                <w:color w:val="000000"/>
                <w:kern w:val="0"/>
                <w:sz w:val="24"/>
                <w:szCs w:val="24"/>
                <w:highlight w:val="none"/>
                <w:lang w:val="en-US" w:eastAsia="zh-CN" w:bidi="ar-SA"/>
              </w:rPr>
              <w:t>评标委员会</w:t>
            </w:r>
            <w:r>
              <w:rPr>
                <w:rFonts w:hint="default" w:ascii="Times New Roman" w:hAnsi="Times New Roman" w:eastAsia="宋体" w:cs="Times New Roman"/>
                <w:color w:val="000000"/>
                <w:kern w:val="0"/>
                <w:sz w:val="24"/>
                <w:szCs w:val="24"/>
                <w:highlight w:val="none"/>
                <w:lang w:val="en-US" w:eastAsia="zh-CN" w:bidi="ar-SA"/>
              </w:rPr>
              <w:t>在</w:t>
            </w:r>
            <w:r>
              <w:rPr>
                <w:rFonts w:hint="eastAsia" w:ascii="Times New Roman" w:hAnsi="Times New Roman" w:eastAsia="宋体" w:cs="Times New Roman"/>
                <w:color w:val="000000"/>
                <w:kern w:val="0"/>
                <w:sz w:val="24"/>
                <w:szCs w:val="24"/>
                <w:highlight w:val="none"/>
                <w:lang w:val="en-US" w:eastAsia="zh-CN" w:bidi="ar-SA"/>
              </w:rPr>
              <w:t>[7，10]</w:t>
            </w:r>
            <w:r>
              <w:rPr>
                <w:rFonts w:hint="default" w:ascii="Times New Roman" w:hAnsi="Times New Roman" w:eastAsia="宋体" w:cs="Times New Roman"/>
                <w:color w:val="000000"/>
                <w:kern w:val="0"/>
                <w:sz w:val="24"/>
                <w:szCs w:val="24"/>
                <w:highlight w:val="none"/>
                <w:lang w:val="en-US" w:eastAsia="zh-CN" w:bidi="ar-SA"/>
              </w:rPr>
              <w:t>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10</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pPr>
        <w:ind w:firstLine="0" w:firstLineChars="0"/>
        <w:jc w:val="center"/>
        <w:rPr>
          <w:rFonts w:cs="宋体"/>
          <w:kern w:val="0"/>
          <w:sz w:val="21"/>
          <w:szCs w:val="21"/>
          <w:highlight w:val="none"/>
        </w:rPr>
      </w:pPr>
      <w:r>
        <w:rPr>
          <w:highlight w:val="none"/>
        </w:rPr>
        <w:br w:type="page"/>
      </w:r>
      <w:r>
        <w:rPr>
          <w:rFonts w:hint="eastAsia" w:ascii="Times New Roman" w:hAnsi="Times New Roman" w:eastAsia="宋体"/>
          <w:b/>
          <w:bCs/>
          <w:highlight w:val="none"/>
        </w:rPr>
        <w:t>报价部分评分表（</w:t>
      </w:r>
      <w:r>
        <w:rPr>
          <w:rFonts w:hint="eastAsia"/>
          <w:b/>
          <w:bCs/>
          <w:highlight w:val="none"/>
          <w:lang w:val="en-US" w:eastAsia="zh-CN"/>
        </w:rPr>
        <w:t>40</w:t>
      </w:r>
      <w:r>
        <w:rPr>
          <w:rFonts w:hint="eastAsia" w:ascii="Times New Roman" w:hAnsi="Times New Roman" w:eastAsia="宋体"/>
          <w:b/>
          <w:bCs/>
          <w:highlight w:val="none"/>
        </w:rPr>
        <w:t>分）</w:t>
      </w:r>
    </w:p>
    <w:tbl>
      <w:tblPr>
        <w:tblStyle w:val="26"/>
        <w:tblW w:w="4999" w:type="pct"/>
        <w:tblInd w:w="0" w:type="dxa"/>
        <w:tblLayout w:type="autofit"/>
        <w:tblCellMar>
          <w:top w:w="0" w:type="dxa"/>
          <w:left w:w="0" w:type="dxa"/>
          <w:bottom w:w="0" w:type="dxa"/>
          <w:right w:w="0" w:type="dxa"/>
        </w:tblCellMar>
      </w:tblPr>
      <w:tblGrid>
        <w:gridCol w:w="1281"/>
        <w:gridCol w:w="1184"/>
        <w:gridCol w:w="6479"/>
      </w:tblGrid>
      <w:tr>
        <w:tblPrEx>
          <w:tblCellMar>
            <w:top w:w="0" w:type="dxa"/>
            <w:left w:w="0" w:type="dxa"/>
            <w:bottom w:w="0" w:type="dxa"/>
            <w:right w:w="0" w:type="dxa"/>
          </w:tblCellMar>
        </w:tblPrEx>
        <w:trPr>
          <w:trHeight w:val="805" w:hRule="atLeast"/>
        </w:trPr>
        <w:tc>
          <w:tcPr>
            <w:tcW w:w="1378"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left"/>
              <w:rPr>
                <w:rFonts w:ascii="宋体" w:hAnsi="宋体" w:cs="宋体"/>
                <w:szCs w:val="24"/>
                <w:highlight w:val="none"/>
              </w:rPr>
            </w:pPr>
            <w:r>
              <w:rPr>
                <w:rFonts w:hint="eastAsia" w:ascii="宋体" w:hAnsi="宋体" w:cs="宋体"/>
                <w:b/>
                <w:bCs/>
                <w:szCs w:val="24"/>
                <w:highlight w:val="none"/>
              </w:rPr>
              <w:t>项目</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center"/>
              <w:rPr>
                <w:rFonts w:ascii="宋体" w:hAnsi="宋体" w:cs="宋体"/>
                <w:szCs w:val="24"/>
                <w:highlight w:val="none"/>
              </w:rPr>
            </w:pPr>
            <w:r>
              <w:rPr>
                <w:rFonts w:hint="eastAsia" w:ascii="宋体" w:hAnsi="宋体" w:cs="宋体"/>
                <w:b/>
                <w:bCs/>
                <w:szCs w:val="24"/>
                <w:highlight w:val="none"/>
              </w:rPr>
              <w:t>评审方法</w:t>
            </w:r>
          </w:p>
        </w:tc>
      </w:tr>
      <w:tr>
        <w:tblPrEx>
          <w:tblCellMar>
            <w:top w:w="0" w:type="dxa"/>
            <w:left w:w="0" w:type="dxa"/>
            <w:bottom w:w="0" w:type="dxa"/>
            <w:right w:w="0" w:type="dxa"/>
          </w:tblCellMar>
        </w:tblPrEx>
        <w:trPr>
          <w:trHeight w:val="1950" w:hRule="atLeast"/>
        </w:trPr>
        <w:tc>
          <w:tcPr>
            <w:tcW w:w="71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报价（40分）</w:t>
            </w: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评标基准价计算方法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以有效响应文件的有效评标价算术平均值为A，评标基准价=A。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除确认存在计算错误外，评标基准价不因比选参选当事人质疑、投诉、复议以及其它任何情形而改变。</w:t>
            </w:r>
          </w:p>
        </w:tc>
      </w:tr>
      <w:tr>
        <w:tblPrEx>
          <w:tblCellMar>
            <w:top w:w="0" w:type="dxa"/>
            <w:left w:w="0" w:type="dxa"/>
            <w:bottom w:w="0" w:type="dxa"/>
            <w:right w:w="0" w:type="dxa"/>
          </w:tblCellMar>
        </w:tblPrEx>
        <w:trPr>
          <w:trHeight w:val="391" w:hRule="atLeast"/>
        </w:trPr>
        <w:tc>
          <w:tcPr>
            <w:tcW w:w="716" w:type="pct"/>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报价得分计算方法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偏差率=100%×（参选人报价－评标基准价）/评标基准价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报价得分计算公式示例：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（1）如果参选人的报价＞评标基准价，则报价得分=40-偏差率×100×E1；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 xml:space="preserve">（2）如果参选人的报价≤评标基准价，则报价得分=40+偏差率×100×E2；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bidi="ar-SA"/>
              </w:rPr>
              <w:t>其中：E1是评标价每高于评标基准价一个百分点的扣分值；E2是评标价每低于评标基准价一个百分点的扣分值。E1=0.9，E2=0.6，扣完为止。报价得分四舍五入后保留两位小数。</w:t>
            </w:r>
          </w:p>
        </w:tc>
      </w:tr>
    </w:tbl>
    <w:p>
      <w:pPr>
        <w:ind w:firstLine="480"/>
        <w:rPr>
          <w:highlight w:val="none"/>
        </w:rPr>
      </w:pPr>
    </w:p>
    <w:p>
      <w:pPr>
        <w:ind w:firstLine="480"/>
        <w:rPr>
          <w:highlight w:val="none"/>
        </w:rPr>
      </w:pPr>
      <w:r>
        <w:rPr>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hint="eastAsia" w:eastAsia="黑体"/>
          <w:bCs/>
          <w:kern w:val="44"/>
          <w:sz w:val="44"/>
          <w:szCs w:val="44"/>
          <w:highlight w:val="none"/>
        </w:rPr>
      </w:pPr>
      <w:bookmarkStart w:id="14" w:name="_Toc27013"/>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第四章 合同主要条款及格式</w:t>
      </w:r>
      <w:bookmarkEnd w:id="13"/>
      <w:bookmarkEnd w:id="14"/>
    </w:p>
    <w:p>
      <w:pPr>
        <w:ind w:firstLine="880"/>
        <w:rPr>
          <w:rFonts w:eastAsia="黑体"/>
          <w:bCs/>
          <w:kern w:val="44"/>
          <w:sz w:val="44"/>
          <w:szCs w:val="44"/>
          <w:highlight w:val="none"/>
        </w:rPr>
      </w:pPr>
      <w:r>
        <w:rPr>
          <w:rFonts w:hint="eastAsia" w:eastAsia="黑体"/>
          <w:bCs/>
          <w:kern w:val="44"/>
          <w:sz w:val="44"/>
          <w:szCs w:val="44"/>
          <w:highlight w:val="none"/>
        </w:rPr>
        <w:br w:type="page"/>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南通轨道交通集团有限公司运营分公司2025-2027年未成年人个人信息保护合规审计服务项目</w:t>
      </w:r>
      <w:r>
        <w:rPr>
          <w:rFonts w:hint="eastAsia" w:ascii="黑体" w:hAnsi="黑体" w:eastAsia="黑体" w:cs="黑体"/>
          <w:color w:val="auto"/>
          <w:sz w:val="44"/>
          <w:szCs w:val="44"/>
          <w:highlight w:val="none"/>
        </w:rPr>
        <w:t>合同</w:t>
      </w: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bidi w:val="0"/>
        <w:spacing w:line="360" w:lineRule="auto"/>
        <w:ind w:right="-1075" w:rightChars="-448" w:firstLine="3360" w:firstLineChars="1600"/>
        <w:jc w:val="both"/>
        <w:rPr>
          <w:rFonts w:hint="eastAsia" w:ascii="宋体" w:hAnsi="宋体" w:eastAsia="宋体" w:cs="宋体"/>
          <w:sz w:val="21"/>
          <w:szCs w:val="21"/>
        </w:rPr>
      </w:pPr>
      <w:r>
        <w:rPr>
          <w:rFonts w:hint="eastAsia" w:ascii="宋体" w:hAnsi="宋体" w:eastAsia="宋体" w:cs="宋体"/>
          <w:sz w:val="21"/>
          <w:szCs w:val="21"/>
        </w:rPr>
        <w:t>合同编号：</w:t>
      </w: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36" w:lineRule="exact"/>
        <w:ind w:right="-1075" w:rightChars="-448"/>
        <w:rPr>
          <w:rFonts w:ascii="宋体" w:hAnsi="宋体" w:eastAsia="宋体" w:cs="宋体"/>
          <w:kern w:val="0"/>
          <w:sz w:val="24"/>
          <w:szCs w:val="24"/>
        </w:rPr>
      </w:pPr>
    </w:p>
    <w:p>
      <w:pPr>
        <w:bidi w:val="0"/>
        <w:ind w:left="0" w:leftChars="0" w:right="-1075" w:rightChars="-448" w:firstLine="1263" w:firstLineChars="393"/>
        <w:rPr>
          <w:rFonts w:ascii="宋体" w:hAnsi="宋体" w:eastAsia="宋体" w:cs="宋体"/>
          <w:kern w:val="0"/>
          <w:sz w:val="24"/>
          <w:szCs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lang w:eastAsia="zh-CN"/>
        </w:rPr>
        <w:t>南通轨道交通集团有限公司运营分公司</w:t>
      </w:r>
      <w:r>
        <w:rPr>
          <w:rFonts w:hint="eastAsia" w:ascii="宋体" w:hAnsi="宋体" w:eastAsia="宋体" w:cs="宋体"/>
          <w:b/>
          <w:bCs/>
          <w:kern w:val="0"/>
          <w:sz w:val="32"/>
          <w:szCs w:val="32"/>
          <w:u w:val="single" w:color="000000"/>
        </w:rPr>
        <w:t xml:space="preserve">  </w:t>
      </w:r>
    </w:p>
    <w:p>
      <w:pPr>
        <w:bidi w:val="0"/>
        <w:ind w:left="0" w:leftChars="0" w:right="-1075" w:rightChars="-448" w:firstLine="1263" w:firstLineChars="393"/>
        <w:rPr>
          <w:rFonts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 xml:space="preserve"> </w:t>
      </w:r>
    </w:p>
    <w:p>
      <w:pPr>
        <w:autoSpaceDE w:val="0"/>
        <w:autoSpaceDN w:val="0"/>
        <w:adjustRightInd w:val="0"/>
        <w:spacing w:line="283" w:lineRule="exact"/>
        <w:ind w:right="-1075" w:rightChars="-448"/>
        <w:rPr>
          <w:rFonts w:ascii="宋体" w:hAnsi="宋体" w:eastAsia="宋体" w:cs="宋体"/>
          <w:kern w:val="0"/>
          <w:sz w:val="24"/>
          <w:szCs w:val="24"/>
        </w:rPr>
      </w:pPr>
    </w:p>
    <w:p>
      <w:pPr>
        <w:spacing w:line="360" w:lineRule="auto"/>
        <w:ind w:right="-1075" w:rightChars="-448" w:firstLine="622" w:firstLineChars="200"/>
        <w:jc w:val="center"/>
        <w:rPr>
          <w:rFonts w:ascii="宋体" w:hAnsi="宋体" w:eastAsia="宋体" w:cs="宋体"/>
          <w:b/>
          <w:bCs/>
          <w:kern w:val="0"/>
          <w:sz w:val="31"/>
          <w:szCs w:val="31"/>
        </w:rPr>
      </w:pPr>
    </w:p>
    <w:p>
      <w:pPr>
        <w:bidi w:val="0"/>
        <w:ind w:left="0" w:leftChars="0" w:right="-1075" w:rightChars="-448" w:firstLine="3640" w:firstLineChars="1300"/>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二〇二</w:t>
      </w:r>
      <w:r>
        <w:rPr>
          <w:rFonts w:hint="eastAsia" w:cs="Times New Roman"/>
          <w:sz w:val="28"/>
          <w:szCs w:val="28"/>
          <w:lang w:val="en-US" w:eastAsia="zh-CN"/>
        </w:rPr>
        <w:t>六</w:t>
      </w:r>
      <w:r>
        <w:rPr>
          <w:rFonts w:hint="eastAsia" w:ascii="Times New Roman" w:hAnsi="Times New Roman" w:eastAsia="宋体" w:cs="Times New Roman"/>
          <w:sz w:val="28"/>
          <w:szCs w:val="28"/>
        </w:rPr>
        <w:t>年  月</w:t>
      </w:r>
    </w:p>
    <w:p>
      <w:pPr>
        <w:spacing w:line="360" w:lineRule="auto"/>
        <w:ind w:left="0" w:leftChars="0" w:firstLine="0" w:firstLineChars="0"/>
        <w:jc w:val="center"/>
        <w:rPr>
          <w:rFonts w:hint="eastAsia" w:ascii="宋体" w:hAnsi="宋体" w:eastAsia="宋体"/>
          <w:sz w:val="28"/>
          <w:szCs w:val="28"/>
          <w:highlight w:val="yellow"/>
          <w:lang w:val="en-US" w:eastAsia="zh-CN"/>
        </w:rPr>
      </w:pPr>
      <w:r>
        <w:rPr>
          <w:rFonts w:hint="eastAsia" w:ascii="宋体" w:hAnsi="宋体" w:eastAsia="宋体" w:cs="宋体"/>
          <w:sz w:val="31"/>
          <w:szCs w:val="31"/>
        </w:rPr>
        <w:br w:type="page"/>
      </w:r>
      <w:bookmarkStart w:id="15" w:name="_Toc317255463"/>
      <w:r>
        <w:rPr>
          <w:rFonts w:hint="eastAsia" w:ascii="宋体" w:hAnsi="宋体" w:eastAsia="宋体" w:cs="宋体"/>
          <w:sz w:val="31"/>
          <w:szCs w:val="31"/>
          <w:lang w:val="en-US" w:eastAsia="zh-CN"/>
        </w:rPr>
        <w:t xml:space="preserve">   </w:t>
      </w:r>
      <w:bookmarkEnd w:id="15"/>
      <w:r>
        <w:rPr>
          <w:rStyle w:val="33"/>
          <w:rFonts w:hint="eastAsia" w:ascii="宋体" w:hAnsi="宋体" w:eastAsia="宋体" w:cs="宋体"/>
          <w:sz w:val="32"/>
          <w:szCs w:val="32"/>
        </w:rPr>
        <w:t>合同</w:t>
      </w:r>
      <w:r>
        <w:rPr>
          <w:rStyle w:val="33"/>
          <w:rFonts w:hint="eastAsia" w:ascii="宋体" w:hAnsi="宋体" w:eastAsia="宋体" w:cs="宋体"/>
          <w:sz w:val="32"/>
          <w:szCs w:val="32"/>
          <w:lang w:val="en-US" w:eastAsia="zh-CN"/>
        </w:rPr>
        <w:t>条款</w:t>
      </w:r>
    </w:p>
    <w:p>
      <w:pPr>
        <w:spacing w:line="440" w:lineRule="exact"/>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rPr>
        <w:t>甲</w:t>
      </w:r>
      <w:r>
        <w:rPr>
          <w:rFonts w:hint="eastAsia" w:ascii="宋体" w:hAnsi="宋体" w:eastAsia="宋体" w:cs="宋体"/>
          <w:sz w:val="24"/>
          <w:szCs w:val="24"/>
          <w:highlight w:val="none"/>
        </w:rPr>
        <w:t>方：</w:t>
      </w:r>
      <w:r>
        <w:rPr>
          <w:rFonts w:hint="eastAsia" w:ascii="宋体" w:hAnsi="宋体" w:eastAsia="宋体" w:cs="宋体"/>
          <w:sz w:val="24"/>
          <w:szCs w:val="24"/>
          <w:highlight w:val="none"/>
          <w:u w:val="single"/>
        </w:rPr>
        <w:t>南通轨道交通集团有限公司运营分公司</w:t>
      </w:r>
    </w:p>
    <w:p>
      <w:pPr>
        <w:pStyle w:val="17"/>
        <w:spacing w:after="156" w:afterLines="50"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sz w:val="24"/>
          <w:szCs w:val="24"/>
          <w:highlight w:val="none"/>
        </w:rPr>
        <w:t xml:space="preserve">               </w:t>
      </w:r>
    </w:p>
    <w:p>
      <w:pPr>
        <w:pStyle w:val="17"/>
        <w:spacing w:after="156" w:afterLines="5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甲乙双方经友好协商，就乙方为甲方提供</w:t>
      </w:r>
      <w:r>
        <w:rPr>
          <w:rFonts w:hint="eastAsia" w:ascii="宋体" w:hAnsi="宋体" w:cs="宋体"/>
          <w:sz w:val="24"/>
          <w:szCs w:val="24"/>
          <w:highlight w:val="none"/>
          <w:u w:val="single"/>
          <w:lang w:eastAsia="zh-CN"/>
        </w:rPr>
        <w:t>2025-2027年未成年人个人信息保护合规审计</w:t>
      </w:r>
      <w:r>
        <w:rPr>
          <w:rFonts w:hint="eastAsia" w:ascii="宋体" w:hAnsi="宋体" w:eastAsia="宋体" w:cs="宋体"/>
          <w:sz w:val="24"/>
          <w:szCs w:val="24"/>
          <w:highlight w:val="none"/>
        </w:rPr>
        <w:t>服务的相关事宜，订立本合同，并承诺共同遵守。</w:t>
      </w:r>
    </w:p>
    <w:p>
      <w:pPr>
        <w:pStyle w:val="17"/>
        <w:numPr>
          <w:ilvl w:val="0"/>
          <w:numId w:val="0"/>
        </w:numPr>
        <w:spacing w:line="360" w:lineRule="auto"/>
        <w:rPr>
          <w:rFonts w:hint="eastAsia" w:ascii="宋体" w:hAnsi="宋体" w:eastAsia="宋体" w:cs="宋体"/>
          <w:b/>
          <w:sz w:val="24"/>
          <w:szCs w:val="24"/>
          <w:highlight w:val="none"/>
          <w:lang w:eastAsia="zh-TW"/>
        </w:rPr>
      </w:pPr>
      <w:r>
        <w:rPr>
          <w:rFonts w:hint="eastAsia" w:ascii="宋体" w:hAnsi="宋体" w:eastAsia="宋体" w:cs="宋体"/>
          <w:b/>
          <w:bCs/>
          <w:kern w:val="2"/>
          <w:sz w:val="24"/>
          <w:szCs w:val="24"/>
          <w:highlight w:val="none"/>
          <w:lang w:val="en-US" w:eastAsia="zh-TW" w:bidi="ar-SA"/>
        </w:rPr>
        <w:t>1.</w:t>
      </w:r>
      <w:r>
        <w:rPr>
          <w:rFonts w:hint="eastAsia" w:ascii="宋体" w:hAnsi="宋体" w:eastAsia="宋体" w:cs="宋体"/>
          <w:b/>
          <w:bCs/>
          <w:sz w:val="24"/>
          <w:szCs w:val="24"/>
          <w:highlight w:val="none"/>
        </w:rPr>
        <w:t>项目</w:t>
      </w:r>
      <w:r>
        <w:rPr>
          <w:rFonts w:hint="eastAsia" w:ascii="宋体" w:hAnsi="宋体" w:eastAsia="宋体" w:cs="宋体"/>
          <w:b/>
          <w:color w:val="000000"/>
          <w:sz w:val="24"/>
          <w:szCs w:val="24"/>
          <w:highlight w:val="none"/>
        </w:rPr>
        <w:t>概况</w:t>
      </w:r>
    </w:p>
    <w:p>
      <w:pPr>
        <w:pStyle w:val="12"/>
        <w:numPr>
          <w:ilvl w:val="1"/>
          <w:numId w:val="0"/>
        </w:numPr>
        <w:adjustRightInd/>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 xml:space="preserve">1.1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南通轨道交通集团有限公司</w:t>
      </w:r>
      <w:r>
        <w:rPr>
          <w:rFonts w:hint="eastAsia" w:ascii="宋体" w:hAnsi="宋体" w:cs="宋体"/>
          <w:sz w:val="24"/>
          <w:szCs w:val="24"/>
          <w:highlight w:val="none"/>
          <w:u w:val="single"/>
          <w:lang w:eastAsia="zh-CN"/>
        </w:rPr>
        <w:t>运营分公司2025-2027年未成年人个人信息保护合规审计服务项目</w:t>
      </w:r>
      <w:r>
        <w:rPr>
          <w:rFonts w:hint="eastAsia" w:ascii="宋体" w:hAnsi="宋体" w:eastAsia="宋体" w:cs="宋体"/>
          <w:sz w:val="24"/>
          <w:szCs w:val="24"/>
          <w:highlight w:val="none"/>
        </w:rPr>
        <w:t xml:space="preserve"> </w:t>
      </w:r>
    </w:p>
    <w:p>
      <w:pPr>
        <w:pStyle w:val="12"/>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lang w:val="en-US" w:eastAsia="zh-CN" w:bidi="ar-SA"/>
        </w:rPr>
        <w:t xml:space="preserve">1.2 </w:t>
      </w:r>
      <w:r>
        <w:rPr>
          <w:rFonts w:hint="eastAsia" w:ascii="宋体" w:hAnsi="宋体" w:eastAsia="宋体" w:cs="宋体"/>
          <w:sz w:val="24"/>
          <w:szCs w:val="24"/>
          <w:highlight w:val="none"/>
          <w:lang w:val="en-US" w:eastAsia="zh-CN"/>
        </w:rPr>
        <w:t>项目内容：</w:t>
      </w:r>
      <w:r>
        <w:rPr>
          <w:rFonts w:hint="eastAsia" w:ascii="宋体" w:hAnsi="宋体" w:eastAsia="宋体" w:cs="宋体"/>
          <w:sz w:val="24"/>
          <w:szCs w:val="24"/>
          <w:highlight w:val="none"/>
          <w:u w:val="single"/>
          <w:lang w:val="en-US" w:eastAsia="zh-CN"/>
        </w:rPr>
        <w:t>本次审计旨在全面排查我单位在未成年人个人信息处理活动中的合规风险，识别存在的问题与不足，获取专业整改建议，确保相关处理活动严格符合TC260-PG-20255A《网络安全实践指南——个人信息保护合规审计要求》及其他相关规定，保障未成年人合法权益，并顺利通过“个人信息保护业务系统”（https://grxxbh.cacdtsc.cn）完成审计情况报送工作。</w:t>
      </w:r>
    </w:p>
    <w:p>
      <w:pPr>
        <w:pStyle w:val="12"/>
        <w:numPr>
          <w:ilvl w:val="1"/>
          <w:numId w:val="0"/>
        </w:numPr>
        <w:adjustRightInd/>
        <w:ind w:left="0" w:leftChars="0" w:firstLine="480" w:firstLineChars="200"/>
        <w:jc w:val="both"/>
        <w:textAlignment w:val="auto"/>
        <w:rPr>
          <w:rFonts w:hint="eastAsia" w:ascii="宋体" w:hAnsi="宋体" w:eastAsia="宋体" w:cs="宋体"/>
          <w:bCs/>
          <w:color w:val="000000"/>
          <w:sz w:val="24"/>
          <w:szCs w:val="24"/>
          <w:highlight w:val="none"/>
          <w:u w:val="none"/>
        </w:rPr>
      </w:pPr>
      <w:r>
        <w:rPr>
          <w:rFonts w:hint="eastAsia" w:ascii="宋体" w:hAnsi="宋体" w:eastAsia="宋体" w:cs="宋体"/>
          <w:bCs/>
          <w:color w:val="000000"/>
          <w:kern w:val="2"/>
          <w:sz w:val="24"/>
          <w:szCs w:val="24"/>
          <w:highlight w:val="none"/>
          <w:lang w:val="en-US" w:eastAsia="zh-CN" w:bidi="ar-SA"/>
        </w:rPr>
        <w:t xml:space="preserve">1.3 </w:t>
      </w:r>
      <w:r>
        <w:rPr>
          <w:rFonts w:hint="eastAsia" w:ascii="宋体" w:hAnsi="宋体" w:eastAsia="宋体" w:cs="宋体"/>
          <w:sz w:val="24"/>
          <w:szCs w:val="24"/>
          <w:highlight w:val="none"/>
          <w:lang w:val="en-US" w:eastAsia="zh-CN"/>
        </w:rPr>
        <w:t>项目实施要求</w:t>
      </w:r>
      <w:r>
        <w:rPr>
          <w:rFonts w:hint="eastAsia" w:ascii="宋体" w:hAnsi="宋体" w:eastAsia="宋体" w:cs="宋体"/>
          <w:sz w:val="24"/>
          <w:szCs w:val="24"/>
          <w:highlight w:val="none"/>
        </w:rPr>
        <w:t>：</w:t>
      </w:r>
    </w:p>
    <w:p>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进度要求：自双方签订合同且每年审计机构收到我单位提供的完整资料之日起，14个工作日内完成全部审计工作并提交正式审计报告。如遇被审计方资料提供严重延迟或需进行复杂技术检测等特殊情况，经采购人书面同意，可适当延长审计周期；</w:t>
      </w:r>
    </w:p>
    <w:p>
      <w:pPr>
        <w:pStyle w:val="12"/>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（二）</w:t>
      </w:r>
      <w:r>
        <w:rPr>
          <w:rFonts w:hint="eastAsia" w:ascii="宋体" w:hAnsi="宋体" w:eastAsia="宋体" w:cs="宋体"/>
          <w:sz w:val="24"/>
          <w:szCs w:val="24"/>
          <w:highlight w:val="none"/>
          <w:lang w:val="en-US" w:eastAsia="zh-CN"/>
        </w:rPr>
        <w:t>人员要求：</w:t>
      </w:r>
      <w:r>
        <w:rPr>
          <w:rFonts w:hint="eastAsia" w:ascii="宋体" w:hAnsi="宋体" w:eastAsia="宋体" w:cs="宋体"/>
          <w:sz w:val="24"/>
          <w:szCs w:val="24"/>
          <w:highlight w:val="none"/>
          <w:u w:val="single"/>
          <w:lang w:val="en-US" w:eastAsia="zh-CN"/>
        </w:rPr>
        <w:t xml:space="preserve">                </w:t>
      </w:r>
    </w:p>
    <w:p>
      <w:pPr>
        <w:pStyle w:val="12"/>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lang w:val="en-US" w:eastAsia="zh-CN"/>
        </w:rPr>
        <w:t>质量要求：</w:t>
      </w:r>
      <w:r>
        <w:rPr>
          <w:rFonts w:hint="eastAsia" w:ascii="宋体" w:hAnsi="宋体" w:eastAsia="宋体" w:cs="宋体"/>
          <w:sz w:val="24"/>
          <w:szCs w:val="24"/>
          <w:highlight w:val="none"/>
          <w:u w:val="single"/>
          <w:lang w:val="en-US" w:eastAsia="zh-CN"/>
        </w:rPr>
        <w:t>须符合用户需求书要求</w:t>
      </w:r>
    </w:p>
    <w:p>
      <w:pPr>
        <w:pStyle w:val="12"/>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lang w:val="en-US" w:eastAsia="zh-CN"/>
        </w:rPr>
        <w:t>售后服务：</w:t>
      </w:r>
    </w:p>
    <w:p>
      <w:pPr>
        <w:pStyle w:val="12"/>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 xml:space="preserve">1.4 </w:t>
      </w:r>
      <w:r>
        <w:rPr>
          <w:rFonts w:hint="eastAsia" w:ascii="宋体" w:hAnsi="宋体" w:eastAsia="宋体" w:cs="宋体"/>
          <w:color w:val="000000"/>
          <w:kern w:val="0"/>
          <w:sz w:val="24"/>
          <w:szCs w:val="24"/>
          <w:highlight w:val="none"/>
          <w:lang w:eastAsia="zh-CN"/>
        </w:rPr>
        <w:t>服务期限：除非根据本合同条款延期或提前终止，本合同项下服务期限自____年__月__日</w:t>
      </w:r>
      <w:r>
        <w:rPr>
          <w:rFonts w:hint="eastAsia" w:ascii="宋体" w:hAnsi="宋体" w:eastAsia="宋体" w:cs="宋体"/>
          <w:color w:val="auto"/>
          <w:kern w:val="0"/>
          <w:sz w:val="24"/>
          <w:szCs w:val="24"/>
          <w:highlight w:val="none"/>
          <w:lang w:eastAsia="zh-CN"/>
        </w:rPr>
        <w:t>起至____年__月__日</w:t>
      </w:r>
      <w:r>
        <w:rPr>
          <w:rFonts w:hint="eastAsia" w:ascii="宋体" w:hAnsi="宋体" w:eastAsia="宋体" w:cs="宋体"/>
          <w:color w:val="000000"/>
          <w:kern w:val="0"/>
          <w:sz w:val="24"/>
          <w:szCs w:val="24"/>
          <w:highlight w:val="none"/>
          <w:lang w:eastAsia="zh-CN"/>
        </w:rPr>
        <w:t>。</w:t>
      </w:r>
    </w:p>
    <w:p>
      <w:pPr>
        <w:pStyle w:val="12"/>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1.5</w:t>
      </w:r>
      <w:r>
        <w:rPr>
          <w:rFonts w:hint="eastAsia" w:ascii="宋体" w:hAnsi="宋体" w:eastAsia="宋体" w:cs="宋体"/>
          <w:bCs w:val="0"/>
          <w:color w:val="000000"/>
          <w:kern w:val="2"/>
          <w:sz w:val="24"/>
          <w:szCs w:val="24"/>
          <w:highlight w:val="none"/>
          <w:lang w:val="en-US" w:eastAsia="zh-CN"/>
        </w:rPr>
        <w:t xml:space="preserve"> </w:t>
      </w:r>
      <w:r>
        <w:rPr>
          <w:rFonts w:hint="eastAsia" w:ascii="宋体" w:hAnsi="宋体" w:eastAsia="宋体" w:cs="宋体"/>
          <w:bCs w:val="0"/>
          <w:color w:val="000000"/>
          <w:kern w:val="2"/>
          <w:sz w:val="24"/>
          <w:szCs w:val="24"/>
          <w:highlight w:val="none"/>
        </w:rPr>
        <w:t>项目实施地点：甲方指定地点</w:t>
      </w:r>
    </w:p>
    <w:p>
      <w:pPr>
        <w:pStyle w:val="17"/>
        <w:numPr>
          <w:ilvl w:val="0"/>
          <w:numId w:val="0"/>
        </w:num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-891540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70.2pt;height:0pt;width:0.05pt;z-index:251659264;mso-width-relative:page;mso-height-relative:page;" filled="f" stroked="t" coordsize="21600,21600" o:gfxdata="UEsDBAoAAAAAAIdO4kAAAAAAAAAAAAAAAAAEAAAAZHJzL1BLAwQUAAAACACHTuJAHZXEaNcAAAAN&#10;AQAADwAAAGRycy9kb3ducmV2LnhtbE2PvU7DQBCEeyTe4bRINFFyZ8dCyPE5BeCOhhBEu7E3toVv&#10;z/FdfuDpWQoE5c6OZr4p1hc3qBNNofdsIVkYUMS1b3puLWxfq/k9qBCRGxw8k4VPCrAur68KzBt/&#10;5hc6bWKrJIRDjha6GMdc61B35DAs/Egsv72fHEY5p1Y3E54l3A06NeZOO+xZGjoc6aGj+mNzdBZC&#10;9UaH6mtWz8z7svWUHh6fn9Da25vErEBFusQ/M/zgCzqUwrTzR26CGixky1S2RAvzJDMZKLGIlIDa&#10;/Uq6LPT/FeU3UEsDBBQAAAAIAIdO4kDYPQjK8Q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Y0/OXFPMMBDV9LTSfTBiKArit30Rstb7Qx+QbGbnNt&#10;IttBHoDyZTqE+1dYTrIC7Me4cjSORq9AvnKSpUMgaRy9CJ5LsEpyZhQ9oGwRINQJtDknklIbRxVk&#10;RUcNs7Xx8kCN2Iaou56UmJUq8wk1vtR7HNI8WX/uC9LDw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2VxGjXAAAADQEAAA8AAAAAAAAAAQAgAAAAIgAAAGRycy9kb3ducmV2LnhtbFBLAQIUABQA&#10;AAAIAIdO4kDYPQjK8QEAAOA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kern w:val="2"/>
          <w:sz w:val="24"/>
          <w:szCs w:val="24"/>
          <w:highlight w:val="none"/>
          <w:lang w:val="en-US" w:eastAsia="zh-CN"/>
        </w:rPr>
        <w:t>合同价款</w:t>
      </w:r>
    </w:p>
    <w:p>
      <w:pPr>
        <w:pStyle w:val="12"/>
        <w:numPr>
          <w:ilvl w:val="1"/>
          <w:numId w:val="0"/>
        </w:numPr>
        <w:adjustRightInd/>
        <w:ind w:left="0" w:leftChars="0" w:firstLine="480" w:firstLineChars="200"/>
        <w:jc w:val="both"/>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SA"/>
        </w:rPr>
        <w:t>2.1</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b w:val="0"/>
          <w:kern w:val="2"/>
          <w:sz w:val="24"/>
          <w:szCs w:val="24"/>
          <w:highlight w:val="none"/>
          <w:lang w:val="en-US" w:eastAsia="zh-CN" w:bidi="ar-SA"/>
        </w:rPr>
        <w:t>本项目服务费用总额为人民币（大写）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元)（不含税），含税价为人民币（大写）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 ，税率：</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u w:val="none"/>
          <w:lang w:val="en-US" w:eastAsia="zh-CN" w:bidi="ar-SA"/>
        </w:rPr>
        <w:t>% 。</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上述费用已包括乙方完成本合同规定的各项服务及提交各项工作成果的全部费用（包括但不限于：</w:t>
      </w:r>
      <w:r>
        <w:rPr>
          <w:rFonts w:hint="eastAsia" w:ascii="宋体" w:hAnsi="宋体" w:eastAsia="宋体" w:cs="宋体"/>
          <w:kern w:val="2"/>
          <w:sz w:val="24"/>
          <w:szCs w:val="24"/>
          <w:highlight w:val="none"/>
          <w:u w:val="none"/>
          <w:lang w:eastAsia="zh-CN"/>
        </w:rPr>
        <w:t>乙方承担本项目所需的人员和专家顾问的薪金、现场服务、福利、交通、食宿和讯费用、办公设备、文件制作及相应各项杂费；以及</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none"/>
          <w:lang w:eastAsia="zh-CN"/>
        </w:rPr>
        <w:t>等费用</w:t>
      </w:r>
      <w:r>
        <w:rPr>
          <w:rFonts w:hint="eastAsia" w:ascii="宋体" w:hAnsi="宋体" w:eastAsia="宋体" w:cs="宋体"/>
          <w:kern w:val="2"/>
          <w:sz w:val="24"/>
          <w:szCs w:val="24"/>
          <w:highlight w:val="none"/>
          <w:lang w:eastAsia="zh-CN"/>
        </w:rPr>
        <w:t>）。除另有约定外，甲方无需向乙方另行支付其他任何费用。</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2.3</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val="en-US" w:eastAsia="zh-CN" w:bidi="ar"/>
        </w:rPr>
        <w:t>在合同执行期间，如国家对涉及税的相关税率进行调整的，则执行最新的规定，以原不含税中标价*（1+新税率），计算合同总价或未履行部分金额。其中原不含税中标价应以原中标价按旧税率换算得出。</w:t>
      </w:r>
    </w:p>
    <w:p>
      <w:pPr>
        <w:pStyle w:val="17"/>
        <w:numPr>
          <w:ilvl w:val="0"/>
          <w:numId w:val="0"/>
        </w:numPr>
        <w:spacing w:line="360" w:lineRule="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3.合同支付</w:t>
      </w:r>
    </w:p>
    <w:p>
      <w:pPr>
        <w:spacing w:line="360" w:lineRule="auto"/>
        <w:ind w:firstLine="480" w:firstLineChars="200"/>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本项目实行总价包干，总价为完成本项目的全部费用，包含但不限于人工成本‌、‌差旅与会议费用、资料审查与分析费用、工具与资料费用、报告编制与交付费用、管理费、税费等，供应商完成年度全部审计工作，提供审计报告并经采购人验收通过，采购人在收到供应商提供的符合要求的增值税发票后60日内进行</w:t>
      </w:r>
      <w:r>
        <w:rPr>
          <w:rFonts w:hint="eastAsia" w:ascii="宋体" w:hAnsi="宋体" w:cs="宋体"/>
          <w:kern w:val="2"/>
          <w:sz w:val="24"/>
          <w:szCs w:val="24"/>
          <w:highlight w:val="none"/>
          <w:lang w:val="en-US" w:eastAsia="zh-CN"/>
        </w:rPr>
        <w:t>年度</w:t>
      </w:r>
      <w:r>
        <w:rPr>
          <w:rFonts w:hint="default" w:ascii="宋体" w:hAnsi="宋体" w:eastAsia="宋体" w:cs="宋体"/>
          <w:kern w:val="2"/>
          <w:sz w:val="24"/>
          <w:szCs w:val="24"/>
          <w:highlight w:val="none"/>
          <w:lang w:val="en-US" w:eastAsia="zh-CN"/>
        </w:rPr>
        <w:t>支付。</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（1）乙方出具的本次支付申请；</w:t>
      </w:r>
    </w:p>
    <w:p>
      <w:pPr>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（2）甲方签署的本</w:t>
      </w:r>
      <w:r>
        <w:rPr>
          <w:rFonts w:hint="eastAsia" w:ascii="宋体" w:hAnsi="宋体" w:cs="宋体"/>
          <w:kern w:val="2"/>
          <w:sz w:val="24"/>
          <w:szCs w:val="24"/>
          <w:highlight w:val="none"/>
          <w:lang w:val="en-US" w:eastAsia="zh-CN"/>
        </w:rPr>
        <w:t>年度</w:t>
      </w:r>
      <w:r>
        <w:rPr>
          <w:rFonts w:hint="eastAsia" w:ascii="宋体" w:hAnsi="宋体" w:eastAsia="宋体" w:cs="宋体"/>
          <w:kern w:val="2"/>
          <w:sz w:val="24"/>
          <w:szCs w:val="24"/>
          <w:highlight w:val="none"/>
          <w:lang w:val="en-US" w:eastAsia="zh-CN"/>
        </w:rPr>
        <w:t>已完成项目的验收文件；</w:t>
      </w:r>
    </w:p>
    <w:p>
      <w:pPr>
        <w:spacing w:line="360" w:lineRule="auto"/>
        <w:ind w:firstLine="480" w:firstLineChars="200"/>
        <w:rPr>
          <w:rFonts w:hint="eastAsia" w:ascii="宋体" w:hAnsi="宋体" w:eastAsia="宋体" w:cs="宋体"/>
          <w:b w:val="0"/>
          <w:color w:val="000000"/>
          <w:kern w:val="2"/>
          <w:sz w:val="24"/>
          <w:szCs w:val="24"/>
          <w:highlight w:val="none"/>
          <w:lang w:eastAsia="zh-CN"/>
        </w:rPr>
      </w:pPr>
      <w:r>
        <w:rPr>
          <w:rFonts w:hint="eastAsia" w:ascii="宋体" w:hAnsi="宋体" w:eastAsia="宋体" w:cs="宋体"/>
          <w:kern w:val="2"/>
          <w:sz w:val="24"/>
          <w:szCs w:val="24"/>
          <w:highlight w:val="none"/>
          <w:lang w:val="en-US" w:eastAsia="zh-CN"/>
        </w:rPr>
        <w:t>（3）由乙方出具该</w:t>
      </w:r>
      <w:r>
        <w:rPr>
          <w:rFonts w:hint="eastAsia" w:ascii="宋体" w:hAnsi="宋体" w:cs="宋体"/>
          <w:kern w:val="2"/>
          <w:sz w:val="24"/>
          <w:szCs w:val="24"/>
          <w:highlight w:val="none"/>
          <w:lang w:val="en-US" w:eastAsia="zh-CN"/>
        </w:rPr>
        <w:t>年度</w:t>
      </w:r>
      <w:r>
        <w:rPr>
          <w:rFonts w:hint="eastAsia" w:ascii="宋体" w:hAnsi="宋体" w:eastAsia="宋体" w:cs="宋体"/>
          <w:kern w:val="2"/>
          <w:sz w:val="24"/>
          <w:szCs w:val="24"/>
          <w:highlight w:val="none"/>
          <w:lang w:val="en-US" w:eastAsia="zh-CN"/>
        </w:rPr>
        <w:t>服务金额的增值税专用发票。</w:t>
      </w:r>
      <w:bookmarkStart w:id="16" w:name="_Toc297808108"/>
      <w:bookmarkEnd w:id="16"/>
      <w:bookmarkStart w:id="17" w:name="_Toc297808105"/>
      <w:bookmarkEnd w:id="17"/>
      <w:bookmarkStart w:id="18" w:name="_Toc297808107"/>
      <w:bookmarkEnd w:id="18"/>
    </w:p>
    <w:p>
      <w:pPr>
        <w:pStyle w:val="17"/>
        <w:numPr>
          <w:ilvl w:val="0"/>
          <w:numId w:val="0"/>
        </w:numPr>
        <w:spacing w:line="360" w:lineRule="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rPr>
        <w:t>履约</w:t>
      </w:r>
      <w:r>
        <w:rPr>
          <w:rFonts w:hint="eastAsia" w:ascii="宋体" w:hAnsi="宋体" w:eastAsia="宋体" w:cs="宋体"/>
          <w:b/>
          <w:bCs/>
          <w:kern w:val="2"/>
          <w:sz w:val="24"/>
          <w:szCs w:val="24"/>
          <w:highlight w:val="none"/>
          <w:lang w:val="en-US" w:eastAsia="zh-CN"/>
        </w:rPr>
        <w:t>担保</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无</w:t>
      </w:r>
      <w:r>
        <w:rPr>
          <w:rFonts w:hint="eastAsia" w:ascii="宋体" w:hAnsi="宋体" w:eastAsia="宋体" w:cs="宋体"/>
          <w:b/>
          <w:bCs/>
          <w:kern w:val="2"/>
          <w:sz w:val="24"/>
          <w:szCs w:val="24"/>
          <w:highlight w:val="none"/>
          <w:lang w:eastAsia="zh-CN"/>
        </w:rPr>
        <w:t>）</w:t>
      </w:r>
    </w:p>
    <w:p>
      <w:pPr>
        <w:pStyle w:val="17"/>
        <w:numPr>
          <w:ilvl w:val="0"/>
          <w:numId w:val="0"/>
        </w:numPr>
        <w:spacing w:line="360" w:lineRule="auto"/>
        <w:rPr>
          <w:rFonts w:hint="eastAsia" w:ascii="宋体" w:hAnsi="宋体" w:eastAsia="宋体" w:cs="宋体"/>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5.</w:t>
      </w:r>
      <w:r>
        <w:rPr>
          <w:rFonts w:hint="eastAsia" w:ascii="宋体" w:hAnsi="宋体" w:eastAsia="宋体" w:cs="宋体"/>
          <w:b/>
          <w:bCs/>
          <w:kern w:val="2"/>
          <w:sz w:val="24"/>
          <w:szCs w:val="24"/>
          <w:highlight w:val="none"/>
        </w:rPr>
        <w:t>甲方的权利义务</w:t>
      </w:r>
    </w:p>
    <w:p>
      <w:pPr>
        <w:pStyle w:val="12"/>
        <w:numPr>
          <w:ilvl w:val="1"/>
          <w:numId w:val="0"/>
        </w:numPr>
        <w:adjustRightInd/>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5.1</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
        </w:rPr>
        <w:t>甲方有权要求乙方按照合同约定履约。</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  非经甲方书面同意，乙方不得向任何第三方透露本项目的任何内容。</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  甲方按照合同约定支付合同款项。</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5.4  在项目执行期间，甲方应向乙方的工作人员提供必要工作便利。 </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5.5  甲方应指定专人或专项小组与乙方对接具体工作，及时向乙方提供该项目的相关资料，以保证乙方能提出合理可行的工作建议和成果。</w:t>
      </w:r>
    </w:p>
    <w:p>
      <w:pPr>
        <w:pStyle w:val="17"/>
        <w:numPr>
          <w:ilvl w:val="0"/>
          <w:numId w:val="0"/>
        </w:num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6.</w:t>
      </w:r>
      <w:r>
        <w:rPr>
          <w:rFonts w:hint="eastAsia" w:ascii="宋体" w:hAnsi="宋体" w:eastAsia="宋体" w:cs="宋体"/>
          <w:b/>
          <w:bCs/>
          <w:kern w:val="2"/>
          <w:sz w:val="24"/>
          <w:szCs w:val="24"/>
          <w:highlight w:val="none"/>
        </w:rPr>
        <w:t>乙方的权利义务</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  乙方应本着认真严谨的态度，在项目实施前对甲方实际情况进行调研，并根据调研反馈的信息，按照甲方提出的项目目标因地制宜地制定方案。保证按照本合同及附件的约定，及时、正确、完整地完成全部约定义务及工作。</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  应合理配备项目组成员，合理计划和实施本项目，熟悉与本服务项目有关的甲方内部规章制度。</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6.3  乙方需确保所设计的服务方案和实施情况能得到甲方认可，并在项目实施过程中根据甲方要求随时进行调整和修改。</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6.4  对甲方提供的一切资料进行保密，对甲方参与项目的人员的信息、隐私进行保密。</w:t>
      </w:r>
    </w:p>
    <w:p>
      <w:pPr>
        <w:pStyle w:val="12"/>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6.5  确保服务质量。特殊情况需要对项目方案进行适当调整的，应当事先通知甲方并征得甲方同意。</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6.6</w:t>
      </w:r>
      <w:r>
        <w:rPr>
          <w:rFonts w:hint="eastAsia" w:ascii="宋体" w:hAnsi="宋体" w:eastAsia="宋体" w:cs="宋体"/>
          <w:color w:val="000000"/>
          <w:sz w:val="24"/>
          <w:szCs w:val="24"/>
          <w:highlight w:val="none"/>
        </w:rPr>
        <w:t xml:space="preserve">  在项目实施过程中，未经甲方同意，乙方不得擅自改变服务内容、时间、方式等合同规定的内容。</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6.7</w:t>
      </w:r>
      <w:r>
        <w:rPr>
          <w:rFonts w:hint="eastAsia" w:ascii="宋体" w:hAnsi="宋体" w:eastAsia="宋体" w:cs="宋体"/>
          <w:color w:val="000000"/>
          <w:sz w:val="24"/>
          <w:szCs w:val="24"/>
          <w:highlight w:val="none"/>
        </w:rPr>
        <w:t xml:space="preserve">  乙方不得出现管理混乱、</w:t>
      </w:r>
      <w:r>
        <w:rPr>
          <w:rFonts w:hint="eastAsia" w:ascii="宋体" w:hAnsi="宋体" w:eastAsia="宋体" w:cs="宋体"/>
          <w:color w:val="000000"/>
          <w:sz w:val="24"/>
          <w:szCs w:val="24"/>
          <w:highlight w:val="none"/>
          <w:lang w:val="en-US" w:eastAsia="zh-CN"/>
        </w:rPr>
        <w:t>项目人员</w:t>
      </w:r>
      <w:r>
        <w:rPr>
          <w:rFonts w:hint="eastAsia" w:ascii="宋体" w:hAnsi="宋体" w:eastAsia="宋体" w:cs="宋体"/>
          <w:color w:val="000000"/>
          <w:sz w:val="24"/>
          <w:szCs w:val="24"/>
          <w:highlight w:val="none"/>
        </w:rPr>
        <w:t>异常等影响服务质量的情况。</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highlight w:val="none"/>
          <w:lang w:val="en-US" w:eastAsia="zh-CN" w:bidi="ar-SA"/>
        </w:rPr>
        <w:t>6.8</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在未得到甲方事先书面同意的情况下，乙方不得向任何第三方分包或转包本项目。</w:t>
      </w:r>
    </w:p>
    <w:p>
      <w:pPr>
        <w:pStyle w:val="12"/>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6.9</w:t>
      </w:r>
      <w:r>
        <w:rPr>
          <w:rFonts w:hint="eastAsia" w:ascii="宋体" w:hAnsi="宋体" w:eastAsia="宋体" w:cs="宋体"/>
          <w:color w:val="000000"/>
          <w:sz w:val="24"/>
          <w:szCs w:val="24"/>
          <w:highlight w:val="none"/>
          <w:lang w:val="en-US" w:eastAsia="zh-CN"/>
        </w:rPr>
        <w:t xml:space="preserve">  乙方自行负责参与本项目所有实施人员的人身安全责任。如一方人员发生意外事故，是由自身原因造成的事故由该方自行承担一切后果，如是另一方责任所造成的意外伤害，后果由责任方承担。</w:t>
      </w:r>
    </w:p>
    <w:p>
      <w:pPr>
        <w:pStyle w:val="12"/>
        <w:numPr>
          <w:ilvl w:val="0"/>
          <w:numId w:val="0"/>
        </w:numPr>
        <w:ind w:firstLine="0" w:firstLineChars="0"/>
        <w:rPr>
          <w:rFonts w:hint="eastAsia" w:ascii="宋体" w:hAnsi="宋体" w:eastAsia="宋体" w:cs="宋体"/>
          <w:b/>
          <w:bCs/>
          <w:color w:val="000000"/>
          <w:sz w:val="24"/>
          <w:szCs w:val="24"/>
          <w:highlight w:val="none"/>
          <w:lang w:eastAsia="zh-CN"/>
        </w:rPr>
      </w:pPr>
      <w:bookmarkStart w:id="19" w:name="_Toc297808125"/>
      <w:bookmarkEnd w:id="19"/>
      <w:bookmarkStart w:id="20" w:name="_Toc297806560"/>
      <w:bookmarkStart w:id="21" w:name="_Toc424651538"/>
      <w:bookmarkStart w:id="22" w:name="_Toc298258577"/>
      <w:bookmarkStart w:id="23" w:name="_Toc221503546"/>
      <w:bookmarkStart w:id="24" w:name="_Toc297806537"/>
      <w:r>
        <w:rPr>
          <w:rFonts w:hint="eastAsia" w:ascii="宋体" w:hAnsi="宋体" w:eastAsia="宋体" w:cs="宋体"/>
          <w:b/>
          <w:bCs/>
          <w:color w:val="000000"/>
          <w:sz w:val="24"/>
          <w:szCs w:val="24"/>
          <w:highlight w:val="none"/>
          <w:lang w:val="en-US" w:eastAsia="zh-CN" w:bidi="ar-SA"/>
        </w:rPr>
        <w:t>7.</w:t>
      </w:r>
      <w:r>
        <w:rPr>
          <w:rFonts w:hint="eastAsia" w:ascii="宋体" w:hAnsi="宋体" w:eastAsia="宋体" w:cs="宋体"/>
          <w:b/>
          <w:bCs/>
          <w:kern w:val="2"/>
          <w:sz w:val="24"/>
          <w:szCs w:val="24"/>
          <w:highlight w:val="none"/>
          <w:lang w:eastAsia="zh-CN"/>
        </w:rPr>
        <w:t>工作成果验收</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乙方向甲方应按时提交本合同附件中所列示的工作成果，同时应提交验收申请。甲方收到验收申请及各阶段工作成果___日内组织验收，出具书面验收意见。</w:t>
      </w:r>
    </w:p>
    <w:p>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验收程序</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7.3  </w:t>
      </w:r>
      <w:r>
        <w:rPr>
          <w:rFonts w:hint="eastAsia" w:ascii="宋体" w:hAnsi="宋体" w:eastAsia="宋体" w:cs="宋体"/>
          <w:color w:val="000000"/>
          <w:sz w:val="24"/>
          <w:szCs w:val="24"/>
          <w:highlight w:val="none"/>
          <w:lang w:eastAsia="zh-CN"/>
        </w:rPr>
        <w:t>以上各项工作成果均由乙方负责制作或编制，甲方按本合同的约定进行协助。各项工作成果自完成之日起___日内，乙方应书面提请甲方进行验收，验收通过的，甲方在验收报告上签署意见。如果验收不合格，乙方应按甲方的意见免费进行修改或重新制作或编制，并自验收不合格之日起___日内重新提请验收。</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7.4  </w:t>
      </w:r>
      <w:r>
        <w:rPr>
          <w:rFonts w:hint="eastAsia" w:ascii="宋体" w:hAnsi="宋体" w:eastAsia="宋体" w:cs="宋体"/>
          <w:color w:val="000000"/>
          <w:sz w:val="24"/>
          <w:szCs w:val="24"/>
          <w:highlight w:val="none"/>
          <w:lang w:eastAsia="zh-CN"/>
        </w:rPr>
        <w:t>任一项工作成果连续</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lang w:eastAsia="zh-CN"/>
        </w:rPr>
        <w:t>次验收不合格的，则视为乙方没有完成该项服务。乙方应根据本合同约定承担违约责任。</w:t>
      </w:r>
    </w:p>
    <w:p>
      <w:pPr>
        <w:pStyle w:val="12"/>
        <w:numPr>
          <w:ilvl w:val="0"/>
          <w:numId w:val="0"/>
        </w:numPr>
        <w:ind w:firstLine="0"/>
        <w:rPr>
          <w:rFonts w:hint="eastAsia" w:ascii="宋体" w:hAnsi="宋体" w:eastAsia="宋体" w:cs="宋体"/>
          <w:b/>
          <w:bCs/>
          <w:color w:val="000000"/>
          <w:sz w:val="24"/>
          <w:szCs w:val="24"/>
          <w:highlight w:val="none"/>
          <w:lang w:eastAsia="zh-CN"/>
        </w:rPr>
      </w:pPr>
      <w:bookmarkStart w:id="25" w:name="_Toc221503547"/>
      <w:bookmarkStart w:id="26" w:name="_Toc424651539"/>
      <w:bookmarkStart w:id="27" w:name="_Toc297806561"/>
      <w:bookmarkStart w:id="28" w:name="_Toc297806538"/>
      <w:bookmarkStart w:id="29" w:name="_Toc298258578"/>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kern w:val="2"/>
          <w:sz w:val="24"/>
          <w:szCs w:val="24"/>
          <w:highlight w:val="none"/>
          <w:lang w:eastAsia="zh-CN"/>
        </w:rPr>
        <w:t>知识产权</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1乙方保证，双方在本项目执行中形成的任何工作成果，以及乙方利用该工作成果完成的新的工作成果的知识产权均归甲方所有，未经甲方事先书面许可，乙方不得自行使用或提供给第三方。</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甲方提供给乙方的企业标识、图片、文字等任何资料、文件的知识产权归属于甲方，乙方仅能在本项目范围内使用。</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并自行承担解决上述第三方索赔或起诉的所有费用，并负责消除第三方索赔或起诉对甲方的不利影响，赔偿甲方因此而遭受的全部损失和支付的费用。</w:t>
      </w:r>
    </w:p>
    <w:p>
      <w:pPr>
        <w:spacing w:line="360" w:lineRule="auto"/>
        <w:ind w:left="0" w:leftChars="0" w:firstLine="0" w:firstLineChars="0"/>
        <w:rPr>
          <w:rFonts w:hint="eastAsia" w:ascii="宋体" w:hAnsi="宋体" w:eastAsia="宋体" w:cs="宋体"/>
          <w:b/>
          <w:bCs/>
          <w:color w:val="000000"/>
          <w:kern w:val="0"/>
          <w:sz w:val="24"/>
          <w:szCs w:val="24"/>
          <w:highlight w:val="none"/>
          <w:lang w:eastAsia="zh-TW"/>
        </w:rPr>
      </w:pP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保密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val="en-US" w:eastAsia="zh-CN" w:bidi="ar"/>
        </w:rPr>
        <w:t>乙方对甲方提供的信息资料严格保密，并且不得用于其它商业运作。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kern w:val="0"/>
          <w:sz w:val="24"/>
          <w:szCs w:val="24"/>
          <w:highlight w:val="none"/>
          <w:lang w:val="en-US" w:eastAsia="zh-CN" w:bidi="ar"/>
        </w:rPr>
        <w:t>未经甲方同意，乙方不得将甲方提供的信息资料向任何“第三方”披露。</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9.3本合同终止后，保密条款同样生效。</w:t>
      </w:r>
    </w:p>
    <w:p>
      <w:pPr>
        <w:snapToGrid w:val="0"/>
        <w:spacing w:line="360" w:lineRule="auto"/>
        <w:ind w:left="0" w:leftChars="0"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10.1</w:t>
      </w:r>
      <w:r>
        <w:rPr>
          <w:rFonts w:hint="eastAsia" w:ascii="宋体" w:hAnsi="宋体" w:eastAsia="宋体" w:cs="宋体"/>
          <w:color w:val="000000"/>
          <w:sz w:val="24"/>
          <w:szCs w:val="24"/>
          <w:highlight w:val="none"/>
          <w:lang w:eastAsia="zh-CN"/>
        </w:rPr>
        <w:t>因乙方侵犯第三方的专利权、版权等知识产权而引起的任何责任，应由乙方承担，并使甲方免责。</w:t>
      </w:r>
    </w:p>
    <w:p>
      <w:pPr>
        <w:keepNext w:val="0"/>
        <w:keepLines w:val="0"/>
        <w:pageBreakBefore w:val="0"/>
        <w:widowControl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乙方违反保密义务的，应当对甲方因此所遭受的所有损失承担赔偿责任。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乙方擅自转包或分包本项目的，甲方有权终止本合同，乙方应双倍赔偿甲方已支付的服务费用。如前述款项不足以弥补甲方损失的，乙方应赔偿甲方因此遭受的全部损失。</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发生支付违约金或赔偿金情形的，</w:t>
      </w:r>
      <w:r>
        <w:rPr>
          <w:rFonts w:hint="eastAsia" w:ascii="宋体" w:hAnsi="宋体" w:eastAsia="宋体" w:cs="宋体"/>
          <w:color w:val="000000"/>
          <w:sz w:val="24"/>
          <w:szCs w:val="24"/>
          <w:highlight w:val="none"/>
          <w:lang w:val="en-US" w:eastAsia="zh-CN"/>
        </w:rPr>
        <w:t>违约方</w:t>
      </w:r>
      <w:r>
        <w:rPr>
          <w:rFonts w:hint="eastAsia" w:ascii="宋体" w:hAnsi="宋体" w:eastAsia="宋体" w:cs="宋体"/>
          <w:color w:val="000000"/>
          <w:sz w:val="24"/>
          <w:szCs w:val="24"/>
          <w:highlight w:val="none"/>
          <w:lang w:eastAsia="zh-CN"/>
        </w:rPr>
        <w:t>应当在</w:t>
      </w:r>
      <w:r>
        <w:rPr>
          <w:rFonts w:hint="eastAsia" w:ascii="宋体" w:hAnsi="宋体" w:eastAsia="宋体" w:cs="宋体"/>
          <w:color w:val="000000"/>
          <w:sz w:val="24"/>
          <w:szCs w:val="24"/>
          <w:highlight w:val="none"/>
          <w:lang w:val="en-US" w:eastAsia="zh-CN"/>
        </w:rPr>
        <w:t>收到</w:t>
      </w:r>
      <w:r>
        <w:rPr>
          <w:rFonts w:hint="eastAsia" w:ascii="宋体" w:hAnsi="宋体" w:eastAsia="宋体" w:cs="宋体"/>
          <w:color w:val="000000"/>
          <w:sz w:val="24"/>
          <w:szCs w:val="24"/>
          <w:highlight w:val="none"/>
          <w:lang w:eastAsia="zh-CN"/>
        </w:rPr>
        <w:t xml:space="preserve">索赔通知后 </w:t>
      </w:r>
      <w:r>
        <w:rPr>
          <w:rFonts w:hint="eastAsia" w:ascii="宋体" w:hAnsi="宋体" w:eastAsia="宋体" w:cs="宋体"/>
          <w:color w:val="000000"/>
          <w:sz w:val="24"/>
          <w:szCs w:val="24"/>
          <w:highlight w:val="none"/>
          <w:u w:val="single"/>
          <w:lang w:eastAsia="zh-CN"/>
        </w:rPr>
        <w:t xml:space="preserve">7 </w:t>
      </w:r>
      <w:r>
        <w:rPr>
          <w:rFonts w:hint="eastAsia" w:ascii="宋体" w:hAnsi="宋体" w:eastAsia="宋体" w:cs="宋体"/>
          <w:color w:val="000000"/>
          <w:sz w:val="24"/>
          <w:szCs w:val="24"/>
          <w:highlight w:val="none"/>
          <w:lang w:eastAsia="zh-CN"/>
        </w:rPr>
        <w:t>日之内予以支付。</w:t>
      </w:r>
      <w:r>
        <w:rPr>
          <w:rFonts w:hint="eastAsia" w:ascii="宋体" w:hAnsi="宋体" w:eastAsia="宋体" w:cs="宋体"/>
          <w:color w:val="000000"/>
          <w:sz w:val="24"/>
          <w:szCs w:val="24"/>
          <w:highlight w:val="none"/>
          <w:lang w:val="en-US" w:eastAsia="zh-CN"/>
        </w:rPr>
        <w:t>所赔款项可从未支付的款项中扣除。</w:t>
      </w:r>
    </w:p>
    <w:p>
      <w:pPr>
        <w:snapToGrid w:val="0"/>
        <w:spacing w:line="360" w:lineRule="auto"/>
        <w:ind w:left="0" w:leftChars="0" w:firstLine="0" w:firstLineChars="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不可抗力</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11.1</w:t>
      </w:r>
      <w:r>
        <w:rPr>
          <w:rFonts w:hint="eastAsia" w:ascii="宋体" w:hAnsi="宋体" w:eastAsia="宋体" w:cs="宋体"/>
          <w:color w:val="000000"/>
          <w:sz w:val="24"/>
          <w:szCs w:val="24"/>
          <w:highlight w:val="none"/>
          <w:lang w:val="en-US" w:eastAsia="zh-CN"/>
        </w:rPr>
        <w:t>本条所述的“不可抗力”系指那些无法控制，不可预见的事件，但不包括违约或疏忽。不可抗力包括但不限于：战争暴乱、严重火灾、洪水、台风、地震、防疫限制和禁运。</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11.2</w:t>
      </w:r>
      <w:r>
        <w:rPr>
          <w:rFonts w:hint="eastAsia" w:ascii="宋体" w:hAnsi="宋体" w:eastAsia="宋体" w:cs="宋体"/>
          <w:color w:val="000000"/>
          <w:sz w:val="24"/>
          <w:szCs w:val="24"/>
          <w:highlight w:val="none"/>
          <w:lang w:val="en-US" w:eastAsia="zh-CN"/>
        </w:rPr>
        <w:t>若不可抗力发生使合同执行受阻，则合同执行时间根据受影响的时间相应延长，但合同价格不得调整。</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11.3</w:t>
      </w:r>
      <w:r>
        <w:rPr>
          <w:rFonts w:hint="eastAsia" w:ascii="宋体" w:hAnsi="宋体" w:eastAsia="宋体" w:cs="宋体"/>
          <w:color w:val="000000"/>
          <w:sz w:val="24"/>
          <w:szCs w:val="24"/>
          <w:highlight w:val="none"/>
          <w:lang w:val="en-US" w:eastAsia="zh-CN"/>
        </w:rPr>
        <w:t>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spacing w:line="360" w:lineRule="auto"/>
        <w:ind w:left="0" w:leftChars="0" w:firstLine="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 xml:space="preserve">12. </w:t>
      </w:r>
      <w:r>
        <w:rPr>
          <w:rFonts w:hint="eastAsia" w:ascii="宋体" w:hAnsi="宋体" w:eastAsia="宋体" w:cs="宋体"/>
          <w:b/>
          <w:bCs/>
          <w:color w:val="000000"/>
          <w:sz w:val="24"/>
          <w:szCs w:val="24"/>
          <w:highlight w:val="none"/>
          <w:lang w:eastAsia="zh-CN"/>
        </w:rPr>
        <w:t>合同的变更和终止</w:t>
      </w:r>
    </w:p>
    <w:p>
      <w:pPr>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发生以下情形，本合同可以终止：</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甲方书面通知终止本合同；</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双方协商一致决定终止合同的；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由于不可抗力致使本合同的全部义务不能履行的；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法律规定及本合同约定的其他情形。</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甲方单方终止本合同的，甲方应支付乙方实际完成工作对应的服务费用，甲方单方终止合同自书面通知送达乙方时生效。</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.3本合同及其附件仅能由双方通过签署书面文件的方式予以修改、补充、变更、放弃、终止或解除。</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4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pPr>
        <w:numPr>
          <w:ilvl w:val="0"/>
          <w:numId w:val="0"/>
        </w:numPr>
        <w:adjustRightInd/>
        <w:snapToGrid/>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13.</w:t>
      </w:r>
      <w:r>
        <w:rPr>
          <w:rFonts w:hint="eastAsia" w:ascii="宋体" w:hAnsi="宋体" w:eastAsia="宋体" w:cs="宋体"/>
          <w:b/>
          <w:bCs/>
          <w:color w:val="000000"/>
          <w:kern w:val="0"/>
          <w:sz w:val="24"/>
          <w:szCs w:val="24"/>
          <w:highlight w:val="none"/>
        </w:rPr>
        <w:t>适用法律与争议解决</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.1本合同的效力、履行及任何争议仅适用中华人民共和国法律。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.2</w:t>
      </w:r>
      <w:r>
        <w:rPr>
          <w:rFonts w:hint="eastAsia" w:ascii="宋体" w:hAnsi="宋体" w:eastAsia="宋体" w:cs="宋体"/>
          <w:sz w:val="24"/>
          <w:szCs w:val="24"/>
          <w:highlight w:val="none"/>
        </w:rPr>
        <w:t>因履行本合同引起的或与本合同有关的争议，</w:t>
      </w:r>
      <w:r>
        <w:rPr>
          <w:rFonts w:hint="eastAsia" w:ascii="宋体" w:hAnsi="宋体" w:eastAsia="宋体" w:cs="宋体"/>
          <w:sz w:val="24"/>
          <w:szCs w:val="24"/>
          <w:highlight w:val="none"/>
          <w:lang w:eastAsia="zh-CN"/>
        </w:rPr>
        <w:t>甲乙</w:t>
      </w:r>
      <w:r>
        <w:rPr>
          <w:rFonts w:hint="eastAsia" w:ascii="宋体" w:hAnsi="宋体" w:eastAsia="宋体" w:cs="宋体"/>
          <w:sz w:val="24"/>
          <w:szCs w:val="24"/>
          <w:highlight w:val="none"/>
        </w:rPr>
        <w:t>双方应通过协商或调解解决，如果协商不成，</w:t>
      </w:r>
      <w:r>
        <w:rPr>
          <w:rFonts w:hint="eastAsia" w:ascii="宋体" w:hAnsi="宋体" w:eastAsia="宋体" w:cs="宋体"/>
          <w:sz w:val="24"/>
          <w:szCs w:val="24"/>
          <w:highlight w:val="none"/>
          <w:lang w:val="en-US" w:eastAsia="zh-CN"/>
        </w:rPr>
        <w:t>提交南通仲裁委员会仲裁</w:t>
      </w:r>
      <w:r>
        <w:rPr>
          <w:rFonts w:hint="eastAsia" w:ascii="宋体" w:hAnsi="宋体" w:eastAsia="宋体" w:cs="宋体"/>
          <w:sz w:val="24"/>
          <w:szCs w:val="24"/>
          <w:highlight w:val="none"/>
        </w:rPr>
        <w:t>。</w:t>
      </w:r>
    </w:p>
    <w:p>
      <w:pPr>
        <w:adjustRightInd/>
        <w:spacing w:line="360" w:lineRule="auto"/>
        <w:ind w:left="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.合同生效条件</w:t>
      </w:r>
    </w:p>
    <w:p>
      <w:pPr>
        <w:adjustRightIn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w:t>
      </w:r>
      <w:r>
        <w:rPr>
          <w:rFonts w:hint="eastAsia" w:ascii="宋体" w:hAnsi="宋体" w:eastAsia="宋体" w:cs="宋体"/>
          <w:color w:val="000000"/>
          <w:sz w:val="24"/>
          <w:szCs w:val="24"/>
          <w:highlight w:val="none"/>
          <w:lang w:eastAsia="zh-CN"/>
        </w:rPr>
        <w:t>甲乙</w:t>
      </w:r>
      <w:r>
        <w:rPr>
          <w:rFonts w:hint="eastAsia" w:ascii="宋体" w:hAnsi="宋体" w:eastAsia="宋体" w:cs="宋体"/>
          <w:color w:val="000000"/>
          <w:sz w:val="24"/>
          <w:szCs w:val="24"/>
          <w:highlight w:val="none"/>
        </w:rPr>
        <w:t>双方盖章之日起生效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合同有效期：</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lang w:val="en-US" w:eastAsia="zh-CN"/>
        </w:rPr>
        <w:t>年</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本合同（包括附件）一式</w:t>
      </w:r>
      <w:r>
        <w:rPr>
          <w:rFonts w:hint="eastAsia" w:ascii="宋体" w:hAnsi="宋体" w:eastAsia="宋体" w:cs="宋体"/>
          <w:color w:val="000000"/>
          <w:sz w:val="24"/>
          <w:szCs w:val="24"/>
          <w:highlight w:val="none"/>
          <w:u w:val="single"/>
        </w:rPr>
        <w:t>拾</w:t>
      </w:r>
      <w:r>
        <w:rPr>
          <w:rFonts w:hint="eastAsia" w:ascii="宋体" w:hAnsi="宋体" w:eastAsia="宋体" w:cs="宋体"/>
          <w:color w:val="000000"/>
          <w:sz w:val="24"/>
          <w:szCs w:val="24"/>
          <w:highlight w:val="none"/>
        </w:rPr>
        <w:t>份，正本</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壹</w:t>
      </w:r>
      <w:r>
        <w:rPr>
          <w:rFonts w:hint="eastAsia" w:ascii="宋体" w:hAnsi="宋体" w:eastAsia="宋体" w:cs="宋体"/>
          <w:color w:val="000000"/>
          <w:sz w:val="24"/>
          <w:szCs w:val="24"/>
          <w:highlight w:val="none"/>
        </w:rPr>
        <w:t>份，副本</w:t>
      </w:r>
      <w:r>
        <w:rPr>
          <w:rFonts w:hint="eastAsia" w:ascii="宋体" w:hAnsi="宋体" w:eastAsia="宋体" w:cs="宋体"/>
          <w:color w:val="000000"/>
          <w:sz w:val="24"/>
          <w:szCs w:val="24"/>
          <w:highlight w:val="none"/>
          <w:u w:val="single"/>
        </w:rPr>
        <w:t>捌</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陆</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15.</w:t>
      </w:r>
      <w:r>
        <w:rPr>
          <w:rFonts w:hint="eastAsia" w:ascii="宋体" w:hAnsi="宋体" w:eastAsia="宋体" w:cs="宋体"/>
          <w:b/>
          <w:bCs/>
          <w:color w:val="000000"/>
          <w:sz w:val="24"/>
          <w:szCs w:val="24"/>
          <w:highlight w:val="none"/>
        </w:rPr>
        <w:t>特别约定</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val="0"/>
          <w:color w:val="000000"/>
          <w:sz w:val="24"/>
          <w:szCs w:val="24"/>
          <w:highlight w:val="none"/>
          <w:u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本合同特别约定是合同各方经协商后对合同其他条款的修改或补充，如有不一致，以特别约定为准</w:t>
      </w:r>
      <w:r>
        <w:rPr>
          <w:rFonts w:hint="eastAsia" w:ascii="宋体" w:hAnsi="宋体" w:eastAsia="宋体" w:cs="宋体"/>
          <w:color w:val="000000"/>
          <w:sz w:val="24"/>
          <w:szCs w:val="24"/>
          <w:highlight w:val="none"/>
          <w:lang w:eastAsia="zh-CN"/>
        </w:rPr>
        <w:t>。</w:t>
      </w:r>
      <w:r>
        <w:rPr>
          <w:rFonts w:hint="eastAsia" w:ascii="宋体" w:hAnsi="宋体" w:eastAsia="宋体" w:cs="宋体"/>
          <w:bCs w:val="0"/>
          <w:color w:val="000000"/>
          <w:sz w:val="24"/>
          <w:szCs w:val="24"/>
          <w:highlight w:val="none"/>
          <w:u w:val="none"/>
        </w:rPr>
        <w:t xml:space="preserve">                                                                         </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.合同附件及其它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合同双方的地</w:t>
      </w:r>
      <w:r>
        <w:rPr>
          <w:rFonts w:hint="eastAsia" w:ascii="宋体" w:hAnsi="宋体" w:eastAsia="宋体" w:cs="宋体"/>
          <w:color w:val="000000"/>
          <w:sz w:val="24"/>
          <w:szCs w:val="24"/>
        </w:rPr>
        <w:t>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下列附件作为本合同的组成部分对双方具有约束力：</w:t>
      </w:r>
    </w:p>
    <w:p>
      <w:pPr>
        <w:adjustRightInd/>
        <w:spacing w:line="360" w:lineRule="auto"/>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附件：廉政</w:t>
      </w:r>
      <w:r>
        <w:rPr>
          <w:rFonts w:hint="eastAsia" w:ascii="宋体" w:hAnsi="宋体" w:eastAsia="宋体" w:cs="宋体"/>
          <w:color w:val="000000"/>
          <w:sz w:val="24"/>
          <w:szCs w:val="24"/>
          <w:lang w:val="en-US" w:eastAsia="zh-CN"/>
        </w:rPr>
        <w:t>合同</w:t>
      </w:r>
    </w:p>
    <w:p>
      <w:pPr>
        <w:spacing w:line="360" w:lineRule="auto"/>
        <w:ind w:firstLine="720" w:firstLineChars="300"/>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snapToGrid w:val="0"/>
        <w:spacing w:line="360" w:lineRule="auto"/>
        <w:rPr>
          <w:rFonts w:hint="eastAsia" w:ascii="宋体" w:hAnsi="宋体" w:eastAsia="宋体" w:cs="宋体"/>
          <w:color w:val="000000"/>
          <w:sz w:val="24"/>
          <w:szCs w:val="24"/>
        </w:rPr>
      </w:pP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eastAsia="宋体" w:cs="宋体"/>
          <w:sz w:val="24"/>
          <w:szCs w:val="24"/>
          <w:u w:val="single"/>
        </w:rPr>
        <w:t>南通轨道交通</w:t>
      </w:r>
      <w:r>
        <w:rPr>
          <w:rFonts w:hint="eastAsia" w:ascii="宋体" w:hAnsi="宋体" w:eastAsia="宋体" w:cs="宋体"/>
          <w:sz w:val="24"/>
          <w:szCs w:val="24"/>
          <w:u w:val="single"/>
          <w:lang w:val="en-US" w:eastAsia="zh-CN"/>
        </w:rPr>
        <w:t>集团</w:t>
      </w:r>
      <w:r>
        <w:rPr>
          <w:rFonts w:hint="eastAsia" w:ascii="宋体" w:hAnsi="宋体" w:eastAsia="宋体" w:cs="宋体"/>
          <w:sz w:val="24"/>
          <w:szCs w:val="24"/>
          <w:u w:val="single"/>
        </w:rPr>
        <w:t>有限公司</w:t>
      </w:r>
      <w:r>
        <w:rPr>
          <w:rFonts w:hint="eastAsia" w:ascii="宋体" w:hAnsi="宋体" w:eastAsia="宋体" w:cs="宋体"/>
          <w:sz w:val="24"/>
          <w:szCs w:val="24"/>
        </w:rPr>
        <w:t xml:space="preserve">     乙方（盖章）：</w:t>
      </w:r>
      <w:r>
        <w:rPr>
          <w:rFonts w:hint="eastAsia" w:ascii="宋体" w:hAnsi="宋体" w:eastAsia="宋体" w:cs="宋体"/>
          <w:sz w:val="24"/>
          <w:szCs w:val="24"/>
          <w:u w:val="single"/>
          <w:lang w:val="en-US" w:eastAsia="zh-CN"/>
        </w:rPr>
        <w:t xml:space="preserve">                      </w:t>
      </w:r>
    </w:p>
    <w:p>
      <w:pPr>
        <w:spacing w:line="360" w:lineRule="auto"/>
        <w:ind w:firstLine="1735" w:firstLineChars="723"/>
        <w:jc w:val="both"/>
        <w:rPr>
          <w:rFonts w:hint="eastAsia" w:ascii="宋体" w:hAnsi="宋体" w:eastAsia="宋体" w:cs="宋体"/>
          <w:sz w:val="24"/>
          <w:szCs w:val="24"/>
          <w:u w:val="single"/>
        </w:rPr>
      </w:pPr>
      <w:r>
        <w:rPr>
          <w:rFonts w:hint="eastAsia" w:ascii="宋体" w:hAnsi="宋体" w:eastAsia="宋体" w:cs="宋体"/>
          <w:sz w:val="24"/>
          <w:szCs w:val="24"/>
          <w:u w:val="single"/>
        </w:rPr>
        <w:t xml:space="preserve">运营分公司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                              法定代表人或</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其授权委托人（签字或盖章）：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其授权委托人（签字或盖章）：</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rPr>
        <w:t>南通市通州区</w:t>
      </w:r>
      <w:r>
        <w:rPr>
          <w:rFonts w:hint="eastAsia" w:ascii="宋体" w:hAnsi="宋体" w:eastAsia="宋体" w:cs="宋体"/>
          <w:sz w:val="24"/>
          <w:szCs w:val="24"/>
          <w:u w:val="single"/>
          <w:lang w:val="en-US" w:eastAsia="zh-CN"/>
        </w:rPr>
        <w:t>南通轨道交通平东车辆段</w:t>
      </w:r>
      <w:r>
        <w:rPr>
          <w:rFonts w:hint="eastAsia" w:ascii="宋体" w:hAnsi="宋体" w:eastAsia="宋体" w:cs="宋体"/>
          <w:sz w:val="24"/>
          <w:szCs w:val="24"/>
          <w:lang w:val="en-US" w:eastAsia="zh-CN"/>
        </w:rPr>
        <w:t xml:space="preserve">  地址：</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cs="宋体"/>
          <w:szCs w:val="21"/>
        </w:rPr>
      </w:pPr>
      <w:r>
        <w:rPr>
          <w:rFonts w:hint="eastAsia" w:ascii="宋体" w:hAnsi="宋体" w:eastAsia="宋体" w:cs="宋体"/>
          <w:sz w:val="24"/>
          <w:szCs w:val="24"/>
          <w:lang w:val="en-US"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电话</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cs="宋体"/>
          <w:szCs w:val="21"/>
        </w:rPr>
        <w:t xml:space="preserve"> </w:t>
      </w:r>
    </w:p>
    <w:p>
      <w:pPr>
        <w:spacing w:line="360" w:lineRule="auto"/>
        <w:jc w:val="left"/>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pStyle w:val="35"/>
        <w:rPr>
          <w:rFonts w:hint="eastAsia" w:ascii="宋体" w:hAnsi="宋体" w:eastAsia="宋体" w:cs="宋体"/>
          <w:b w:val="0"/>
          <w:color w:val="000000"/>
          <w:sz w:val="21"/>
          <w:szCs w:val="21"/>
        </w:rPr>
      </w:pPr>
    </w:p>
    <w:p>
      <w:pPr>
        <w:spacing w:line="360" w:lineRule="auto"/>
        <w:rPr>
          <w:rFonts w:hint="eastAsia" w:ascii="宋体" w:hAnsi="宋体"/>
          <w:b/>
          <w:lang w:val="en-US" w:eastAsia="zh-CN"/>
        </w:rPr>
      </w:pPr>
    </w:p>
    <w:p>
      <w:pPr>
        <w:rPr>
          <w:rFonts w:hint="eastAsia" w:ascii="宋体" w:hAnsi="宋体"/>
          <w:b/>
        </w:rPr>
      </w:pPr>
      <w:r>
        <w:rPr>
          <w:rFonts w:hint="eastAsia" w:ascii="宋体" w:hAnsi="宋体"/>
          <w:b/>
          <w:lang w:val="en-US" w:eastAsia="zh-CN"/>
        </w:rPr>
        <w:br w:type="page"/>
      </w:r>
    </w:p>
    <w:p>
      <w:pPr>
        <w:spacing w:line="360" w:lineRule="auto"/>
        <w:rPr>
          <w:rFonts w:hint="eastAsia" w:ascii="宋体" w:hAnsi="宋体" w:eastAsia="宋体"/>
          <w:b/>
          <w:lang w:eastAsia="zh-CN"/>
        </w:rPr>
      </w:pPr>
      <w:r>
        <w:rPr>
          <w:rFonts w:hint="eastAsia" w:ascii="宋体" w:hAnsi="宋体"/>
          <w:b/>
        </w:rPr>
        <w:t>附件</w:t>
      </w:r>
    </w:p>
    <w:p>
      <w:pPr>
        <w:spacing w:line="360" w:lineRule="auto"/>
        <w:jc w:val="center"/>
        <w:rPr>
          <w:rFonts w:hint="default" w:ascii="宋体" w:hAnsi="宋体" w:eastAsia="宋体"/>
          <w:b/>
          <w:szCs w:val="21"/>
          <w:lang w:val="en-US" w:eastAsia="zh-CN"/>
        </w:rPr>
      </w:pPr>
      <w:r>
        <w:rPr>
          <w:rFonts w:hint="eastAsia" w:ascii="宋体" w:hAnsi="宋体" w:eastAsia="宋体" w:cs="Times New Roman"/>
          <w:b/>
          <w:sz w:val="28"/>
          <w:szCs w:val="28"/>
          <w:lang w:val="en-US" w:eastAsia="zh-CN"/>
        </w:rPr>
        <w:t>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甲方：南通轨道交通集团有限公司运营分公司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为加强廉政建设，规范甲、乙双方的各项活动，防止发生各种谋取不正当利益的违法违纪行为，保护国家、集体和当事人的合法权益，根据国家有关廉政建设规定，特订立本廉政合同。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双方的权利和义务</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应严格遵守国家关于市场准入、项目采购工作、招标代理管理、市场活动的有关法律、法规，相关政策，以及廉政建设的各项规定。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严格执行本项目甲、乙双方签订的合同（协议）文件，自觉按合同（协议）办事。</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业务活动必须坚持公开、公平、公正、诚信、透明的原则（除法律法规和合同文件另有规定者外），双方人员不得获取不正当利益，不得损害国家和集体利益。</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甲方的责任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甲方的领导和从事该项目的工作人员，在项目的事前、事中、事后应遵守以下规定：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不准向乙方索要或接受回扣、礼金、有价证券、贵重物品和好处费、感谢费等；不准在乙方报销任何由甲方或个人支付的费用。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不准参加乙方安排的超标准宴请及健身、娱乐等活动；不得接受乙方提供的通讯工具、交通工具、高档办公用品等。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不准要求、暗示和接受乙方为个人装修住房、婚丧嫁娶、配偶子女工作安排以及出国（境）、旅游等提供方便。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配偶、子女不得从事与乙方承接本项目工作有关业务活动。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乙方应与甲方保持正常的业务交往，按照有关法律法规和程序开展业务工作，并遵守以下规定：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不准以任何理由向甲方及其工作人员行贿或赠送礼金、有价证券、贵重物品。</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不准以任何名义为甲方及其工作人员报销应由对方或个人支付的费用。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不准以任何理由安排甲方工作人员参加的超标准宴请及健身、娱乐和旅游等活动。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不准为甲方单位和工作人员购置或提供通讯工具、交通工具、高档办公用品和装修住房等。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双方约定：本合同由运营分公司纪检监督部负责监督，并对本合同履行情况进行检查。</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本合同作为合同的附件，与主合同具有同等法律效力。甲乙双方签署后立即生效。</w:t>
      </w:r>
    </w:p>
    <w:p>
      <w:pPr>
        <w:ind w:firstLine="480"/>
        <w:rPr>
          <w:rFonts w:hint="eastAsia" w:ascii="宋体" w:hAnsi="宋体" w:eastAsia="宋体" w:cs="宋体"/>
          <w:color w:val="auto"/>
          <w:sz w:val="24"/>
          <w:szCs w:val="24"/>
          <w:highlight w:val="none"/>
        </w:rPr>
      </w:pP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甲方（盖章）：南通轨道交通集团有限公司    乙方（盖章）：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rPr>
      </w:pPr>
      <w:r>
        <w:rPr>
          <w:rFonts w:hint="eastAsia" w:ascii="宋体" w:hAnsi="宋体" w:eastAsia="宋体" w:cs="宋体"/>
          <w:color w:val="auto"/>
          <w:sz w:val="24"/>
          <w:szCs w:val="24"/>
          <w:highlight w:val="none"/>
        </w:rPr>
        <w:t>运营分公司</w:t>
      </w:r>
    </w:p>
    <w:p>
      <w:pPr>
        <w:rPr>
          <w:highlight w:val="none"/>
        </w:rPr>
      </w:pPr>
      <w:bookmarkStart w:id="30" w:name="_Toc31910"/>
      <w:r>
        <w:rPr>
          <w:highlight w:val="none"/>
        </w:rPr>
        <w:br w:type="page"/>
      </w:r>
    </w:p>
    <w:p>
      <w:pPr>
        <w:pStyle w:val="2"/>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rPr>
          <w:highlight w:val="none"/>
        </w:rPr>
      </w:pPr>
    </w:p>
    <w:p>
      <w:pPr>
        <w:pStyle w:val="3"/>
      </w:pPr>
    </w:p>
    <w:p>
      <w:pPr>
        <w:keepNext/>
        <w:keepLines/>
        <w:ind w:firstLine="140" w:firstLineChars="32"/>
        <w:jc w:val="center"/>
        <w:outlineLvl w:val="0"/>
        <w:rPr>
          <w:rFonts w:hint="default" w:eastAsia="黑体"/>
          <w:bCs/>
          <w:kern w:val="44"/>
          <w:sz w:val="44"/>
          <w:szCs w:val="44"/>
          <w:highlight w:val="none"/>
          <w:lang w:val="en-US" w:eastAsia="zh-CN"/>
        </w:rPr>
      </w:pPr>
      <w:r>
        <w:rPr>
          <w:rFonts w:hint="eastAsia" w:eastAsia="黑体"/>
          <w:bCs/>
          <w:kern w:val="44"/>
          <w:sz w:val="44"/>
          <w:szCs w:val="44"/>
          <w:highlight w:val="none"/>
        </w:rPr>
        <w:t>第</w:t>
      </w:r>
      <w:r>
        <w:rPr>
          <w:rFonts w:hint="eastAsia" w:eastAsia="黑体"/>
          <w:bCs/>
          <w:kern w:val="44"/>
          <w:sz w:val="44"/>
          <w:szCs w:val="44"/>
          <w:highlight w:val="none"/>
          <w:lang w:val="en-US" w:eastAsia="zh-CN"/>
        </w:rPr>
        <w:t>五</w:t>
      </w:r>
      <w:r>
        <w:rPr>
          <w:rFonts w:hint="eastAsia" w:eastAsia="黑体"/>
          <w:bCs/>
          <w:kern w:val="44"/>
          <w:sz w:val="44"/>
          <w:szCs w:val="44"/>
          <w:highlight w:val="none"/>
        </w:rPr>
        <w:t xml:space="preserve">章 </w:t>
      </w:r>
      <w:r>
        <w:rPr>
          <w:rFonts w:hint="eastAsia" w:eastAsia="黑体"/>
          <w:bCs/>
          <w:kern w:val="44"/>
          <w:sz w:val="44"/>
          <w:szCs w:val="44"/>
          <w:highlight w:val="none"/>
          <w:lang w:val="en-US" w:eastAsia="zh-CN"/>
        </w:rPr>
        <w:t>采购需求</w:t>
      </w:r>
    </w:p>
    <w:p>
      <w:pPr>
        <w:ind w:firstLine="880"/>
        <w:rPr>
          <w:rFonts w:eastAsia="黑体"/>
          <w:bCs/>
          <w:kern w:val="44"/>
          <w:sz w:val="44"/>
          <w:szCs w:val="44"/>
          <w:highlight w:val="none"/>
        </w:rPr>
      </w:pPr>
      <w:r>
        <w:rPr>
          <w:rFonts w:hint="eastAsia" w:eastAsia="黑体"/>
          <w:bCs/>
          <w:kern w:val="44"/>
          <w:sz w:val="44"/>
          <w:szCs w:val="44"/>
          <w:highlight w:val="none"/>
        </w:rPr>
        <w:br w:type="page"/>
      </w:r>
    </w:p>
    <w:bookmarkEnd w:id="3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一、项目背景与目的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响应中共南通市委网络安全和信息化委员会办公室《关于组织报送未成年人个人信息保护合规审计情况的通知》要求，切实落实《个人信息保护法》《未成年人网络保护条例》《个人信息保护合规审计管理办法》等法律法规规定，我单位拟委托第三方专业审计机构开展未成年人个人信息保护合规审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审计旨在全面排查我单位在未成年人个人信息处理活动中的合规风险，识别存在的问题与不足，获取专业整改建议，确保相关处理活动严格符合TC260-PG-20255A《网络安全实践指南——个人信息保护合规审计要求》及其他相关规定，保障未成年人合法权益，并顺利通过“个人信息保护业务系统”（</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"https://grxxbh.cacdtsc.cn" \t "/Users/xiaoguagua/Documents\\x/_blank"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https://grxxbh.cacdtsc.cn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）完成审计情况报送工作。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二、审计依据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1.《中华人民共和国个人信息保护法》《中华人民共和国未成年人保护法》《中华人民共和国网络安全法》《数据安全法》等相关法律法规；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2.《未成年人网络保护条例》《个人信息保护合规审计管理办法》等行政法规及部门规章；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3.TC260-PG-20255A《网络安全实践指南——个人信息保护合规审计要求》；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4.中共南通市委网信办《关于组织报送未成年人个人信息保护合规审计情况的通知》。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三、审计范围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（一）时间范围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本次审计覆盖的时间周期为2025年1月1日至2027年12月31日。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（二）业务与系统范围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次审计范围针对“好通行”APP的IOS、Android的当年版本，以及包括后续鸿蒙等其他平台的当年版本。审计对象包括APP客户端本身、配套的后台管理系统，以及APP中集成的第三方SDK。涉及的具体第三方SDK包括但不限于以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1.支付宝（阿里巴巴）：用于快捷登录、免密支付签约、购票时发起订单支付。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2.微信（腾讯）：用于快捷登录、免密支付签约、购票时发起订单支付。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3.友盟统计（友盟同欣（北京）科技有限公司）：用于全局后台的功能埋点、错误统计/错误日志查看、活跃情况查看。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4.极光推送（深圳市和讯华谷信息技术有限公司）：用于全局后台的通知消息推送、自定义消息推送。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5.一键登录（中移互联网有限公司）：用于号码认证SDK，包含一键登录和本机号码校验功能。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6.通付盾加固框架（江苏通付盾科技有限公司）：仅用于Android版本，提供应用程序安全加固解决方案，防止反编译、破解和篡改等风险。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如后续新增其他适用于本业务系统范围的第三方SDK，也包含在范围内。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（三）资料范围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期间所需的各类资料，包括但不限于：内部管理制度、隐私政策及用户协议、未成年人身份核验记录、个人信息处理流程文档、权限管理记录、安全防护技术方案、数据安全事件应急预案及处置记录、第三方合作协议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cyan"/>
          <w:lang w:val="en-US" w:eastAsia="zh-CN" w:bidi="ar-SA"/>
        </w:rPr>
      </w:pPr>
      <w:r>
        <w:rPr>
          <w:rFonts w:hint="eastAsia" w:ascii="宋体" w:hAnsi="宋体" w:eastAsia="宋体" w:cs="宋体"/>
          <w:kern w:val="2"/>
          <w:sz w:val="24"/>
          <w:szCs w:val="24"/>
          <w:lang w:val="en-US" w:eastAsia="zh-CN" w:bidi="ar-SA"/>
        </w:rPr>
        <w:t>四、审计内容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（一）处理活动全生命周期合规性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收集环节：是否遵循合法性、正当性、必要性原则；是否明确告知未成年人及其监护人收集信息的目的、范围、方式等事项并获得有效同意（不满十四周岁未成年人需取得监护人同意）；是否存在超范围收集未成年人个人信息的情况；身份核验机制是否符合要求，能否准确识别未成年人身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2.存储环节：存储方式是否安全可靠，是否采取加密、访问控制等安全防护措施；存储期限是否符合“最小必要”及相关规定，是否建立定期清理机制；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3.使用与加工环节：是否严格按照告知的目的使用未成年人个人信息，是否存在超出授权范围使用的情况；是否针对未成年人特点采取特殊保护措施，是否存在侵害未成年人合法权益的加工行为；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4.传输与共享环节：向第三方传输、共享未成年人个人信息时，是否经过严格的安全评估，是否获得监护人同意；是否与第三方签订保密协议，明确双方权利义务；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5.删除环节：是否按照法律法规及约定及时删除未成年人个人信息，删除流程是否规范，删除效果是否可验证。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（二）未成年人特殊保护要求落实情况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1.是否针对未成年人设置专门的模式或专区，其信息保护措施是否符合适龄发展优化要求；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2.对不满十四周岁未成年人（儿童）个人信息的处理，是否制定专门处理规则并额外采取更严格的保护措施；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3.是否存在强制要求未成年人或其监护人同意非必要个人信息处理行为的情况。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（三）个人权利保障情况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1.是否建立健全未成年人及其监护人行使查阅、复制、更正、删除等个人权利的响应机制；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2.对个人权利请求的处理流程是否规范，响应时限是否符合要求，处理结果是否及时反馈。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（四）安全技术与管理措施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1.未成年人个人信息安全防护技术方案的合理性与有效性，是否具备防泄露、防篡改、防丢失等功能；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2.访问权限管理是否严格，是否实现最小权限及权限动态调整；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3.数据安全事件应急预案的完整性与可操作性，是否定期开展应急演练；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4.员工信息安全培训情况，尤其是未成年人个人信息保护相关培训的覆盖度与效果。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（五）其他合规事项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cyan"/>
          <w:lang w:val="en-US" w:eastAsia="zh-CN" w:bidi="ar-SA"/>
        </w:rPr>
      </w:pPr>
      <w:r>
        <w:rPr>
          <w:rFonts w:hint="eastAsia" w:ascii="宋体" w:hAnsi="宋体" w:eastAsia="宋体" w:cs="宋体"/>
          <w:kern w:val="2"/>
          <w:sz w:val="24"/>
          <w:szCs w:val="24"/>
          <w:lang w:val="en-US" w:eastAsia="zh-CN" w:bidi="ar-SA"/>
        </w:rPr>
        <w:t>法律法规及相关标准要求的其他合规事项（参考TC260-PG-20255A《网络安全实践指南——个人信息保护合规审计要求</w:t>
      </w:r>
      <w:r>
        <w:rPr>
          <w:rFonts w:hint="eastAsia" w:ascii="宋体" w:hAnsi="宋体" w:eastAsia="宋体" w:cs="宋体"/>
          <w:kern w:val="2"/>
          <w:sz w:val="24"/>
          <w:szCs w:val="24"/>
          <w:highlight w:val="none"/>
          <w:lang w:val="en-US" w:eastAsia="zh-CN" w:bidi="ar-SA"/>
        </w:rPr>
        <w:t>》第六章全部审计内容及其他最新相关法律法规要求）。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五、审计机构资质与能力要求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（一）人员要求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trike w:val="0"/>
          <w:dstrike w:val="0"/>
          <w:kern w:val="2"/>
          <w:sz w:val="24"/>
          <w:szCs w:val="24"/>
          <w:highlight w:val="none"/>
          <w:lang w:val="en-US" w:eastAsia="zh-CN" w:bidi="ar-SA"/>
        </w:rPr>
        <w:t>1.项目团队不少于4人，应选派数据合规、个人信息保护专业人员，项目团队成员中具备个人信息保护合规审计人员（中级）资质的人员不少于1人</w:t>
      </w:r>
      <w:r>
        <w:rPr>
          <w:rFonts w:hint="eastAsia" w:ascii="宋体" w:hAnsi="宋体" w:eastAsia="宋体" w:cs="宋体"/>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2.项目团队负责人、授权联系人及团队成员应保持稳定性，不得随意更换；若需更换，需经采购人同意并指派符合要求的成员接替；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3.项目团队应熟悉未成年人个人信息保护相关法律法规、国家标准及行业指南，尤其是TC260-PG-20255A标准及南通市委网信办相关报送要求；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4.审计人员应遵守独立性、客观性、公正性、保密性原则，无影响审计公正的利害关系。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1.能够配合我单位完成审计情况报送相关工作，提供必要的支持；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2.审计工作不得转委托其他机构。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六、审计服务要求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（一）审计方法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审计机构应采用多种审计方法相结合的方式开展工作，包括但不限于文档审查、现场访谈、系统检测、抽样检查、模拟测试等，确保审计覆盖所有关键环节，符合TC260-PG-20255A标准规定的审计实施流程。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（二）时间要求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1.审计周期：自</w:t>
      </w:r>
      <w:r>
        <w:rPr>
          <w:rFonts w:hint="eastAsia" w:ascii="宋体" w:hAnsi="宋体" w:eastAsia="宋体" w:cs="宋体"/>
          <w:kern w:val="2"/>
          <w:sz w:val="24"/>
          <w:szCs w:val="24"/>
          <w:highlight w:val="none"/>
          <w:lang w:val="en-US" w:eastAsia="zh-CN" w:bidi="ar-SA"/>
        </w:rPr>
        <w:t>双方签订合同且每年审计机构收到我单位提供的完整资料之日起，14个工作日内完成全部审计工作并提交正式审计报告。如遇被审计方资料提供严重延迟或需进行复杂技术检测等特殊情况，经采购人书面同意，可适当延长审计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2.关键节点：审计机构应在审计启动后3个工作日内提交审计实施方案；审计过程中定期向我单位反馈审计进展情况。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（三）沟通与协作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审计机构应指定专门的项目负责人及联络人，与我单位相关部门保持密切沟通，及时协调解决审计过程中出现的问题。审计过程中如需我单位提供补充资料或配合现场核查，应提前明确告知。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及审计人员应对审计过程中接触到的我单位商业秘密、未成年人个人信息及其他敏感信息严格保密，不得向任何第三方泄露。审计结束后，应及时归还所有资料，妥善处理审计过程中产生的各类工作成果及副本，不得留存。双方应签订专门的保密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七、交付成果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审计机构应向我单位提交以下成果资料，均需提供纸质版（3份）及电子版（U盘或加密邮件）：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1.《未成年人个人信息保护合规审计实施方案》；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成年人个人信息保护合规审计报告》（正式版）：需参照TC260-PG-20255A标准附录C模板编制，包含审计概况、审计依据、审计范围、审计方法、审计发现的问题（含具体表现、风险等级）、整改建议、审计结论等内容，报告需加盖审计机构公章及审计人员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3.年度未成年人个人信息保护合规审计情况表（按报送系统要求填写）；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4.承诺书（按报送系统模板填写）；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5.审计工作底稿、抽样记录、检测报告等相关支撑材料；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6.其他与审计相关的补充资料（如审计过程中形成的会议纪要、访谈记录等）。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1.交付成果齐全、规范，符合本需求书及报送系统要求；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2.审计报告内容真实、准确、完整，审计发现的问题明确，整改建议具有针对性和可操作性；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3.审计过程符合相关规范，审计方法科学合理，审计工作底稿等支撑材料完整可追溯；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4.能够通过南通市委网信办及上级部门对审计情况的核查。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1.本需求书未尽事宜，由双方协商确定；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计服务费用及支付方式：本项目实行总价包干，总价为完成本项目的全部费用，包含但不限于人工成本‌、‌差旅与会议费用、资料审查与分析费用、工具与资料费用、报告编制与交付费用、管理费、税费等，</w:t>
      </w:r>
      <w:r>
        <w:rPr>
          <w:rFonts w:hint="eastAsia" w:ascii="宋体" w:hAnsi="宋体" w:eastAsia="宋体" w:cs="宋体"/>
          <w:kern w:val="2"/>
          <w:sz w:val="24"/>
          <w:szCs w:val="24"/>
          <w:highlight w:val="none"/>
          <w:lang w:val="en-US" w:eastAsia="zh-CN" w:bidi="ar-SA"/>
        </w:rPr>
        <w:t>供应商完成年度全部审计工作，提供审计报告并经采购人验收通过，采购人在收到供应商提供的符合要求的增值税发票后60日内进行支付。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3.违约责任：若审计机构未按要求完成审计工作、交付</w:t>
      </w:r>
      <w:r>
        <w:rPr>
          <w:rFonts w:hint="eastAsia" w:ascii="宋体" w:hAnsi="宋体" w:eastAsia="宋体" w:cs="宋体"/>
          <w:kern w:val="2"/>
          <w:sz w:val="24"/>
          <w:szCs w:val="24"/>
          <w:highlight w:val="none"/>
          <w:lang w:val="en-US" w:eastAsia="zh-CN" w:bidi="ar-SA"/>
        </w:rPr>
        <w:t>成果不符合标准或违反保密义务，应承担相应的违约责任；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4.争议解决：双方因本项目产生的争议，应通过友好协商解决；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8"/>
          <w:szCs w:val="28"/>
          <w:highlight w:val="none"/>
        </w:rPr>
      </w:pPr>
      <w:r>
        <w:rPr>
          <w:rFonts w:hint="eastAsia" w:ascii="宋体" w:hAnsi="宋体" w:eastAsia="宋体" w:cs="宋体"/>
          <w:kern w:val="2"/>
          <w:sz w:val="24"/>
          <w:szCs w:val="24"/>
          <w:highlight w:val="none"/>
          <w:lang w:val="en-US" w:eastAsia="zh-CN" w:bidi="ar-SA"/>
        </w:rPr>
        <w:t>5.本次审计工作产生的‌成果（报告等）知识产权归采购人所有</w:t>
      </w:r>
      <w:r>
        <w:rPr>
          <w:rFonts w:hint="eastAsia" w:ascii="方正仿宋_GBK" w:hAnsi="方正仿宋_GBK" w:eastAsia="方正仿宋_GBK" w:cs="方正仿宋_GBK"/>
          <w:kern w:val="2"/>
          <w:sz w:val="24"/>
          <w:szCs w:val="24"/>
          <w:highlight w:val="none"/>
          <w:lang w:val="en-US" w:eastAsia="zh-CN" w:bidi="ar-SA"/>
        </w:rPr>
        <w:t>。</w:t>
      </w:r>
      <w:r>
        <w:rPr>
          <w:rFonts w:hint="eastAsia" w:ascii="宋体" w:hAnsi="宋体" w:cs="宋体"/>
          <w:sz w:val="28"/>
          <w:szCs w:val="28"/>
          <w:highlight w:val="none"/>
        </w:rPr>
        <w:br w:type="page"/>
      </w:r>
    </w:p>
    <w:p>
      <w:pPr>
        <w:pStyle w:val="55"/>
        <w:rPr>
          <w:highlight w:val="none"/>
        </w:rPr>
      </w:pPr>
      <w:bookmarkStart w:id="31" w:name="_Toc14421"/>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pStyle w:val="55"/>
        <w:rPr>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31"/>
    </w:p>
    <w:p>
      <w:pPr>
        <w:widowControl/>
        <w:spacing w:line="240" w:lineRule="auto"/>
        <w:ind w:firstLine="0" w:firstLineChars="0"/>
        <w:jc w:val="left"/>
        <w:rPr>
          <w:highlight w:val="none"/>
        </w:rPr>
      </w:pPr>
      <w:r>
        <w:rPr>
          <w:highlight w:val="none"/>
        </w:rPr>
        <w:br w:type="page"/>
      </w:r>
    </w:p>
    <w:p>
      <w:pPr>
        <w:pStyle w:val="5"/>
        <w:ind w:firstLine="0" w:firstLineChars="0"/>
        <w:rPr>
          <w:highlight w:val="none"/>
        </w:rPr>
      </w:pPr>
      <w:r>
        <w:rPr>
          <w:rFonts w:hint="eastAsia"/>
          <w:highlight w:val="none"/>
        </w:rPr>
        <w:t>响应文件封面</w:t>
      </w:r>
    </w:p>
    <w:p>
      <w:pPr>
        <w:ind w:firstLine="0" w:firstLineChars="0"/>
        <w:rPr>
          <w:highlight w:val="none"/>
        </w:rPr>
      </w:pPr>
      <w:r>
        <w:rPr>
          <w:rFonts w:hint="eastAsia"/>
          <w:highlight w:val="none"/>
        </w:rPr>
        <w:t>（粘贴于各封袋上）</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w:t>
      </w:r>
      <w:bookmarkStart w:id="66" w:name="_GoBack"/>
      <w:bookmarkEnd w:id="66"/>
      <w:r>
        <w:rPr>
          <w:rFonts w:hint="eastAsia" w:ascii="宋体" w:hAnsi="宋体" w:cs="宋体"/>
          <w:b/>
          <w:sz w:val="40"/>
          <w:szCs w:val="40"/>
          <w:highlight w:val="none"/>
          <w:lang w:eastAsia="zh-CN"/>
        </w:rPr>
        <w:t>分公司2025-2027年未成年人个人信息保护合规审计服务项目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pStyle w:val="2"/>
        <w:ind w:firstLine="0" w:firstLineChars="0"/>
        <w:jc w:val="center"/>
        <w:rPr>
          <w:highlight w:val="none"/>
        </w:rPr>
      </w:pPr>
      <w:r>
        <w:rPr>
          <w:rFonts w:hint="eastAsia"/>
          <w:b/>
          <w:bCs/>
          <w:highlight w:val="none"/>
        </w:rPr>
        <w:t>资格审查部分/商务技术部分/报价部分/电子文本</w:t>
      </w:r>
    </w:p>
    <w:p>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rPr>
          <w:rFonts w:ascii="宋体" w:hAnsi="宋体" w:cs="宋体"/>
          <w:b/>
          <w:sz w:val="36"/>
          <w:szCs w:val="36"/>
          <w:highlight w:val="none"/>
        </w:rPr>
      </w:pPr>
    </w:p>
    <w:p>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5"/>
        <w:ind w:firstLine="0" w:firstLineChars="0"/>
        <w:rPr>
          <w:highlight w:val="none"/>
        </w:rPr>
      </w:pPr>
      <w:r>
        <w:rPr>
          <w:rFonts w:hint="eastAsia"/>
          <w:highlight w:val="none"/>
        </w:rPr>
        <w:t>第一册 资格审查部分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482"/>
        <w:jc w:val="center"/>
        <w:rPr>
          <w:highlight w:val="none"/>
        </w:rPr>
      </w:pPr>
      <w:r>
        <w:rPr>
          <w:rFonts w:hint="eastAsia"/>
          <w:highlight w:val="none"/>
        </w:rPr>
        <w:t>目录</w:t>
      </w:r>
    </w:p>
    <w:p>
      <w:pPr>
        <w:ind w:firstLine="480"/>
        <w:rPr>
          <w:highlight w:val="none"/>
        </w:rPr>
      </w:pPr>
      <w:r>
        <w:rPr>
          <w:rFonts w:hint="eastAsia"/>
          <w:highlight w:val="none"/>
          <w:lang w:val="en-US" w:eastAsia="zh-CN"/>
        </w:rPr>
        <w:t>1、</w:t>
      </w:r>
      <w:r>
        <w:rPr>
          <w:rFonts w:hint="eastAsia"/>
          <w:highlight w:val="none"/>
        </w:rPr>
        <w:t>承诺函</w:t>
      </w:r>
    </w:p>
    <w:p>
      <w:pPr>
        <w:ind w:firstLine="480"/>
        <w:rPr>
          <w:highlight w:val="none"/>
        </w:rPr>
      </w:pPr>
      <w:r>
        <w:rPr>
          <w:rFonts w:hint="eastAsia"/>
          <w:highlight w:val="none"/>
          <w:lang w:val="en-US" w:eastAsia="zh-CN"/>
        </w:rPr>
        <w:t>2、</w:t>
      </w:r>
      <w:r>
        <w:rPr>
          <w:rFonts w:hint="eastAsia"/>
          <w:highlight w:val="none"/>
        </w:rPr>
        <w:t>企业营业执照或事业单位法人证书（提供复印件并加盖公章）</w:t>
      </w:r>
    </w:p>
    <w:p>
      <w:pPr>
        <w:ind w:firstLine="480"/>
        <w:rPr>
          <w:highlight w:val="none"/>
        </w:rPr>
      </w:pPr>
      <w:r>
        <w:rPr>
          <w:rFonts w:hint="eastAsia"/>
          <w:highlight w:val="none"/>
          <w:lang w:val="en-US" w:eastAsia="zh-CN"/>
        </w:rPr>
        <w:t>3、</w:t>
      </w:r>
      <w:r>
        <w:rPr>
          <w:rFonts w:hint="eastAsia"/>
          <w:highlight w:val="none"/>
        </w:rPr>
        <w:t>法定代表人身份证明书（提供复印件并加盖公章）</w:t>
      </w:r>
    </w:p>
    <w:p>
      <w:pPr>
        <w:ind w:firstLine="480"/>
        <w:rPr>
          <w:highlight w:val="none"/>
        </w:rPr>
      </w:pPr>
      <w:r>
        <w:rPr>
          <w:rFonts w:hint="eastAsia"/>
          <w:highlight w:val="none"/>
          <w:lang w:val="en-US" w:eastAsia="zh-CN"/>
        </w:rPr>
        <w:t>4、</w:t>
      </w:r>
      <w:r>
        <w:rPr>
          <w:rFonts w:hint="eastAsia"/>
          <w:highlight w:val="none"/>
        </w:rPr>
        <w:t>授权委托书原件，授权代理人本人身份证复印件（如有授权）</w:t>
      </w:r>
    </w:p>
    <w:p>
      <w:pPr>
        <w:ind w:firstLine="480"/>
        <w:rPr>
          <w:rFonts w:hint="eastAsia"/>
          <w:highlight w:val="none"/>
        </w:rPr>
      </w:pPr>
      <w:r>
        <w:rPr>
          <w:rFonts w:hint="eastAsia"/>
          <w:highlight w:val="none"/>
          <w:lang w:val="en-US" w:eastAsia="zh-CN"/>
        </w:rPr>
        <w:t>5、</w:t>
      </w:r>
      <w:r>
        <w:rPr>
          <w:rFonts w:hint="eastAsia"/>
          <w:highlight w:val="none"/>
        </w:rPr>
        <w:t>供应商认为需要提交的其他资料</w:t>
      </w:r>
    </w:p>
    <w:p>
      <w:pPr>
        <w:ind w:firstLine="480"/>
        <w:rPr>
          <w:highlight w:val="none"/>
        </w:rPr>
      </w:pPr>
      <w:r>
        <w:rPr>
          <w:highlight w:val="none"/>
        </w:rPr>
        <w:br w:type="page"/>
      </w:r>
    </w:p>
    <w:p>
      <w:pPr>
        <w:pStyle w:val="6"/>
        <w:ind w:firstLine="0" w:firstLineChars="0"/>
        <w:rPr>
          <w:highlight w:val="none"/>
        </w:rPr>
      </w:pPr>
      <w:r>
        <w:rPr>
          <w:highlight w:val="none"/>
        </w:rPr>
        <w:t>1</w:t>
      </w:r>
      <w:r>
        <w:rPr>
          <w:rFonts w:hint="eastAsia"/>
          <w:highlight w:val="none"/>
        </w:rPr>
        <w:t>承诺函</w:t>
      </w:r>
    </w:p>
    <w:p>
      <w:pPr>
        <w:ind w:firstLine="482"/>
        <w:jc w:val="center"/>
        <w:rPr>
          <w:b/>
          <w:bCs/>
          <w:highlight w:val="none"/>
        </w:rPr>
      </w:pPr>
    </w:p>
    <w:p>
      <w:pPr>
        <w:ind w:firstLine="482"/>
        <w:jc w:val="center"/>
        <w:rPr>
          <w:b/>
          <w:bCs/>
          <w:highlight w:val="none"/>
        </w:rPr>
      </w:pPr>
      <w:r>
        <w:rPr>
          <w:rFonts w:hint="eastAsia"/>
          <w:b/>
          <w:bCs/>
          <w:highlight w:val="none"/>
        </w:rPr>
        <w:t>承诺函</w:t>
      </w:r>
    </w:p>
    <w:p>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南通轨道交通集团有限公司运营分公司2025-2027年未成年人个人信息保护合规审计服务项目</w:t>
      </w:r>
      <w:r>
        <w:rPr>
          <w:rFonts w:hint="eastAsia"/>
          <w:highlight w:val="none"/>
          <w:u w:val="single"/>
        </w:rPr>
        <w:t>（项目编号：</w:t>
      </w:r>
      <w:r>
        <w:rPr>
          <w:rFonts w:hint="eastAsia"/>
          <w:highlight w:val="none"/>
          <w:u w:val="single"/>
          <w:lang w:eastAsia="zh-CN"/>
        </w:rPr>
        <w:t>NTGY-2026-FW-BX-006</w:t>
      </w:r>
      <w:r>
        <w:rPr>
          <w:rFonts w:hint="eastAsia"/>
          <w:highlight w:val="none"/>
          <w:u w:val="single"/>
        </w:rPr>
        <w:t>）</w:t>
      </w:r>
      <w:r>
        <w:rPr>
          <w:rFonts w:hint="eastAsia"/>
          <w:highlight w:val="none"/>
        </w:rPr>
        <w:t>采购活动进行响应。承诺如下：</w:t>
      </w:r>
    </w:p>
    <w:p>
      <w:pPr>
        <w:ind w:firstLine="480"/>
        <w:rPr>
          <w:highlight w:val="none"/>
        </w:rPr>
      </w:pPr>
      <w:r>
        <w:rPr>
          <w:rFonts w:hint="eastAsia"/>
          <w:highlight w:val="none"/>
        </w:rPr>
        <w:t>一、我司所提交的响应文件中所有的证明和陈述材料均是真实准确的，我司未提供虚假材料或存在其他弄虚作假行为；</w:t>
      </w:r>
    </w:p>
    <w:p>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highlight w:val="none"/>
        </w:rPr>
      </w:pPr>
      <w:r>
        <w:rPr>
          <w:rFonts w:hint="eastAsia"/>
          <w:highlight w:val="none"/>
        </w:rPr>
        <w:t>三、我司没有骗取中标和严重违约引起的合同中止、纠纷、争议、仲裁和诉讼记录等情况；</w:t>
      </w:r>
    </w:p>
    <w:p>
      <w:pPr>
        <w:ind w:firstLine="480"/>
        <w:rPr>
          <w:highlight w:val="none"/>
        </w:rPr>
      </w:pPr>
      <w:r>
        <w:rPr>
          <w:rFonts w:hint="eastAsia"/>
          <w:highlight w:val="none"/>
        </w:rPr>
        <w:t>四、我司未与采购人存在利害关系；与参与本项目的其他供应商负责人不为同一人且不存在控股、管理关系；</w:t>
      </w:r>
    </w:p>
    <w:p>
      <w:pPr>
        <w:ind w:firstLine="480"/>
        <w:rPr>
          <w:highlight w:val="none"/>
        </w:rPr>
      </w:pPr>
      <w:r>
        <w:rPr>
          <w:rFonts w:hint="eastAsia"/>
          <w:highlight w:val="none"/>
        </w:rPr>
        <w:t>五、我司未以他人名义参与本项目；未与采购人及参与本项目的其他供应商串通；</w:t>
      </w:r>
    </w:p>
    <w:p>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pPr>
        <w:ind w:firstLine="480"/>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rPr>
          <w:highlight w:val="none"/>
        </w:rPr>
      </w:pPr>
    </w:p>
    <w:p>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pPr>
        <w:ind w:firstLine="482"/>
        <w:jc w:val="center"/>
        <w:rPr>
          <w:rFonts w:cs="宋体"/>
          <w:b/>
          <w:bCs/>
          <w:highlight w:val="none"/>
        </w:rPr>
      </w:pPr>
      <w:r>
        <w:rPr>
          <w:rFonts w:hint="eastAsia" w:cs="宋体"/>
          <w:b/>
          <w:bCs/>
          <w:highlight w:val="none"/>
        </w:rPr>
        <w:t>供应商负面清单</w:t>
      </w:r>
    </w:p>
    <w:p>
      <w:pPr>
        <w:ind w:firstLine="480"/>
        <w:rPr>
          <w:rFonts w:cs="宋体"/>
          <w:highlight w:val="none"/>
        </w:rPr>
      </w:pPr>
      <w:r>
        <w:rPr>
          <w:rFonts w:hint="eastAsia" w:cs="宋体"/>
          <w:highlight w:val="none"/>
        </w:rPr>
        <w:t>一、与采购人、采购代理机构或者其他供应商恶意串通的，暂停12个月；</w:t>
      </w:r>
    </w:p>
    <w:p>
      <w:pPr>
        <w:ind w:firstLine="480"/>
        <w:rPr>
          <w:rFonts w:cs="宋体"/>
          <w:highlight w:val="none"/>
        </w:rPr>
      </w:pPr>
      <w:r>
        <w:rPr>
          <w:rFonts w:hint="eastAsia" w:cs="宋体"/>
          <w:highlight w:val="none"/>
        </w:rPr>
        <w:t>二、向采购人、采购代理机构或评审小组成员行贿或者提供其他不正当利益，暂停12个月；</w:t>
      </w:r>
    </w:p>
    <w:p>
      <w:pPr>
        <w:ind w:firstLine="480"/>
        <w:rPr>
          <w:rFonts w:cs="宋体"/>
          <w:highlight w:val="none"/>
        </w:rPr>
      </w:pPr>
      <w:r>
        <w:rPr>
          <w:rFonts w:hint="eastAsia" w:cs="宋体"/>
          <w:highlight w:val="none"/>
        </w:rPr>
        <w:t>三、存在以下视为串通投标情形的，暂停12个月；</w:t>
      </w:r>
    </w:p>
    <w:p>
      <w:pPr>
        <w:ind w:firstLine="480"/>
        <w:rPr>
          <w:rFonts w:cs="宋体"/>
          <w:highlight w:val="none"/>
        </w:rPr>
      </w:pPr>
      <w:r>
        <w:rPr>
          <w:rFonts w:hint="eastAsia" w:cs="宋体"/>
          <w:highlight w:val="none"/>
        </w:rPr>
        <w:t>（一）不同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由同一单位或者个人编制；</w:t>
      </w:r>
    </w:p>
    <w:p>
      <w:pPr>
        <w:ind w:firstLine="480"/>
        <w:rPr>
          <w:rFonts w:cs="宋体"/>
          <w:highlight w:val="none"/>
        </w:rPr>
      </w:pPr>
      <w:r>
        <w:rPr>
          <w:rFonts w:hint="eastAsia" w:cs="宋体"/>
          <w:highlight w:val="none"/>
        </w:rPr>
        <w:t>（二）不同</w:t>
      </w:r>
      <w:r>
        <w:rPr>
          <w:rFonts w:hint="eastAsia" w:cs="宋体"/>
          <w:highlight w:val="none"/>
          <w:lang w:eastAsia="zh-CN"/>
        </w:rPr>
        <w:t>参选人</w:t>
      </w:r>
      <w:r>
        <w:rPr>
          <w:rFonts w:hint="eastAsia" w:cs="宋体"/>
          <w:highlight w:val="none"/>
        </w:rPr>
        <w:t>委托同一单位或者个人办理投标事宜；</w:t>
      </w:r>
    </w:p>
    <w:p>
      <w:pPr>
        <w:ind w:firstLine="480"/>
        <w:rPr>
          <w:rFonts w:cs="宋体"/>
          <w:highlight w:val="none"/>
        </w:rPr>
      </w:pPr>
      <w:r>
        <w:rPr>
          <w:rFonts w:hint="eastAsia" w:cs="宋体"/>
          <w:highlight w:val="none"/>
        </w:rPr>
        <w:t>（三）不同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载明的项目管理成员为同一人；</w:t>
      </w:r>
    </w:p>
    <w:p>
      <w:pPr>
        <w:ind w:firstLine="480"/>
        <w:rPr>
          <w:rFonts w:cs="宋体"/>
          <w:highlight w:val="none"/>
        </w:rPr>
      </w:pPr>
      <w:r>
        <w:rPr>
          <w:rFonts w:hint="eastAsia" w:cs="宋体"/>
          <w:highlight w:val="none"/>
        </w:rPr>
        <w:t>（四）不同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w:t>
      </w:r>
      <w:r>
        <w:rPr>
          <w:rFonts w:hint="eastAsia" w:cs="宋体"/>
          <w:highlight w:val="none"/>
          <w:lang w:eastAsia="zh-CN"/>
        </w:rPr>
        <w:t>参选报价</w:t>
      </w:r>
      <w:r>
        <w:rPr>
          <w:rFonts w:hint="eastAsia" w:cs="宋体"/>
          <w:highlight w:val="none"/>
        </w:rPr>
        <w:t>呈规律性差异；</w:t>
      </w:r>
    </w:p>
    <w:p>
      <w:pPr>
        <w:ind w:firstLine="480"/>
        <w:rPr>
          <w:rFonts w:cs="宋体"/>
          <w:highlight w:val="none"/>
        </w:rPr>
      </w:pPr>
      <w:r>
        <w:rPr>
          <w:rFonts w:hint="eastAsia" w:cs="宋体"/>
          <w:highlight w:val="none"/>
        </w:rPr>
        <w:t>（五）不同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相互混装；</w:t>
      </w:r>
    </w:p>
    <w:p>
      <w:pPr>
        <w:ind w:firstLine="480"/>
        <w:rPr>
          <w:rFonts w:cs="宋体"/>
          <w:highlight w:val="none"/>
        </w:rPr>
      </w:pPr>
      <w:r>
        <w:rPr>
          <w:rFonts w:hint="eastAsia" w:cs="宋体"/>
          <w:highlight w:val="none"/>
        </w:rPr>
        <w:t>（六）不同</w:t>
      </w:r>
      <w:r>
        <w:rPr>
          <w:rFonts w:hint="eastAsia" w:cs="宋体"/>
          <w:highlight w:val="none"/>
          <w:lang w:eastAsia="zh-CN"/>
        </w:rPr>
        <w:t>参选人</w:t>
      </w:r>
      <w:r>
        <w:rPr>
          <w:rFonts w:hint="eastAsia" w:cs="宋体"/>
          <w:highlight w:val="none"/>
        </w:rPr>
        <w:t>的投标保证金从同一单位或者个人的账户转出；</w:t>
      </w:r>
    </w:p>
    <w:p>
      <w:pPr>
        <w:ind w:firstLine="480"/>
        <w:rPr>
          <w:rFonts w:cs="宋体"/>
          <w:highlight w:val="none"/>
        </w:rPr>
      </w:pPr>
      <w:r>
        <w:rPr>
          <w:rFonts w:hint="eastAsia" w:cs="宋体"/>
          <w:highlight w:val="none"/>
        </w:rPr>
        <w:t>四、递交时间截止后撤回投标（响应）文件或评审过程中出现因供应商自身原因弃标的，暂停12个月；</w:t>
      </w:r>
    </w:p>
    <w:p>
      <w:pPr>
        <w:ind w:firstLine="480"/>
        <w:rPr>
          <w:rFonts w:cs="宋体"/>
          <w:highlight w:val="none"/>
        </w:rPr>
      </w:pPr>
      <w:r>
        <w:rPr>
          <w:rFonts w:hint="eastAsia" w:cs="宋体"/>
          <w:highlight w:val="none"/>
        </w:rPr>
        <w:t>五、提供虚假材料或存在其他弄虚作假行为的，暂停12个月；</w:t>
      </w:r>
    </w:p>
    <w:p>
      <w:pPr>
        <w:ind w:firstLine="480"/>
        <w:rPr>
          <w:rFonts w:cs="宋体"/>
          <w:highlight w:val="none"/>
        </w:rPr>
      </w:pPr>
      <w:r>
        <w:rPr>
          <w:rFonts w:hint="eastAsia" w:cs="宋体"/>
          <w:highlight w:val="none"/>
        </w:rPr>
        <w:t>六、中标或者成交后无正当理由拒不与采购人签订采购合同，暂停12个月；</w:t>
      </w:r>
    </w:p>
    <w:p>
      <w:pPr>
        <w:ind w:firstLine="480"/>
        <w:rPr>
          <w:rFonts w:cs="宋体"/>
          <w:highlight w:val="none"/>
        </w:rPr>
      </w:pPr>
      <w:r>
        <w:rPr>
          <w:rFonts w:hint="eastAsia" w:cs="宋体"/>
          <w:highlight w:val="none"/>
        </w:rPr>
        <w:t>七、签订合同后无法履行合同的，暂停12个月；</w:t>
      </w:r>
    </w:p>
    <w:p>
      <w:pPr>
        <w:ind w:firstLine="480"/>
        <w:rPr>
          <w:rFonts w:cs="宋体"/>
          <w:highlight w:val="none"/>
        </w:rPr>
      </w:pPr>
      <w:r>
        <w:rPr>
          <w:rFonts w:hint="eastAsia" w:cs="宋体"/>
          <w:highlight w:val="none"/>
        </w:rPr>
        <w:t>八、年度评价被列为不及格供应商的，暂停12个月；</w:t>
      </w:r>
    </w:p>
    <w:p>
      <w:pPr>
        <w:ind w:firstLine="480"/>
        <w:rPr>
          <w:rFonts w:cs="宋体"/>
          <w:highlight w:val="none"/>
        </w:rPr>
      </w:pPr>
      <w:r>
        <w:rPr>
          <w:rFonts w:hint="eastAsia" w:cs="宋体"/>
          <w:highlight w:val="none"/>
        </w:rPr>
        <w:t>九、被集团公司或所属分（子）公司暂停参与采购活动的，从其处罚；</w:t>
      </w: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pStyle w:val="35"/>
        <w:rPr>
          <w:highlight w:val="none"/>
        </w:rPr>
      </w:pPr>
    </w:p>
    <w:p>
      <w:pPr>
        <w:pStyle w:val="35"/>
        <w:rPr>
          <w:highlight w:val="none"/>
        </w:rPr>
      </w:pPr>
    </w:p>
    <w:p>
      <w:pPr>
        <w:pStyle w:val="35"/>
        <w:rPr>
          <w:highlight w:val="none"/>
        </w:rPr>
      </w:pPr>
    </w:p>
    <w:p>
      <w:pPr>
        <w:pStyle w:val="35"/>
        <w:rPr>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highlight w:val="none"/>
        </w:rPr>
      </w:pPr>
      <w:r>
        <w:rPr>
          <w:highlight w:val="none"/>
        </w:rPr>
        <w:t>2</w:t>
      </w:r>
      <w:r>
        <w:rPr>
          <w:rFonts w:hint="eastAsia"/>
          <w:highlight w:val="none"/>
        </w:rPr>
        <w:t>企业营业执照或事业单位法人证书</w:t>
      </w:r>
    </w:p>
    <w:p>
      <w:pPr>
        <w:ind w:firstLine="0" w:firstLineChars="0"/>
        <w:rPr>
          <w:highlight w:val="none"/>
        </w:rPr>
      </w:pPr>
      <w:bookmarkStart w:id="32" w:name="OLE_LINK131"/>
      <w:bookmarkStart w:id="33" w:name="OLE_LINK130"/>
      <w:r>
        <w:rPr>
          <w:rFonts w:hint="eastAsia"/>
          <w:highlight w:val="none"/>
        </w:rPr>
        <w:t>提供复印件并加盖公章</w:t>
      </w:r>
      <w:bookmarkEnd w:id="32"/>
      <w:bookmarkEnd w:id="33"/>
    </w:p>
    <w:p>
      <w:pPr>
        <w:widowControl/>
        <w:spacing w:line="240" w:lineRule="auto"/>
        <w:ind w:firstLine="0" w:firstLineChars="0"/>
        <w:jc w:val="left"/>
        <w:rPr>
          <w:b/>
          <w:bCs/>
          <w:szCs w:val="32"/>
          <w:highlight w:val="none"/>
        </w:rPr>
      </w:pPr>
      <w:r>
        <w:rPr>
          <w:highlight w:val="none"/>
        </w:rPr>
        <w:br w:type="page"/>
      </w:r>
    </w:p>
    <w:p>
      <w:pPr>
        <w:pStyle w:val="6"/>
        <w:spacing w:line="240" w:lineRule="auto"/>
        <w:ind w:firstLine="0" w:firstLineChars="0"/>
        <w:rPr>
          <w:highlight w:val="none"/>
        </w:rPr>
      </w:pPr>
      <w:r>
        <w:rPr>
          <w:rFonts w:hint="eastAsia"/>
          <w:highlight w:val="none"/>
        </w:rPr>
        <w:t>3法定代表人身份证明书</w:t>
      </w:r>
    </w:p>
    <w:p>
      <w:pPr>
        <w:ind w:firstLine="482"/>
        <w:jc w:val="center"/>
        <w:rPr>
          <w:b/>
          <w:bCs/>
          <w:highlight w:val="none"/>
        </w:rPr>
      </w:pPr>
    </w:p>
    <w:p>
      <w:pPr>
        <w:ind w:firstLine="0" w:firstLineChars="0"/>
        <w:jc w:val="center"/>
        <w:rPr>
          <w:b/>
          <w:bCs/>
          <w:highlight w:val="none"/>
        </w:rPr>
      </w:pPr>
      <w:r>
        <w:rPr>
          <w:rFonts w:hint="eastAsia"/>
          <w:b/>
          <w:bCs/>
          <w:highlight w:val="none"/>
        </w:rPr>
        <w:t>法定代表人身份证明书</w:t>
      </w:r>
    </w:p>
    <w:p>
      <w:pPr>
        <w:ind w:firstLine="480"/>
        <w:rPr>
          <w:highlight w:val="none"/>
        </w:rPr>
      </w:pPr>
    </w:p>
    <w:p>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pPr>
        <w:ind w:firstLine="480"/>
        <w:jc w:val="right"/>
        <w:rPr>
          <w:highlight w:val="none"/>
        </w:rPr>
      </w:pPr>
    </w:p>
    <w:p>
      <w:pPr>
        <w:ind w:firstLine="480"/>
        <w:jc w:val="right"/>
        <w:rPr>
          <w:highlight w:val="none"/>
        </w:rPr>
      </w:pPr>
    </w:p>
    <w:p>
      <w:pPr>
        <w:ind w:firstLine="482"/>
        <w:rPr>
          <w:b/>
          <w:highlight w:val="none"/>
        </w:rPr>
      </w:pPr>
      <w:r>
        <w:rPr>
          <w:rFonts w:hint="eastAsia"/>
          <w:b/>
          <w:highlight w:val="none"/>
        </w:rPr>
        <w:t>注：提供法定代表人身份证（正反面）复印件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pPr>
              <w:ind w:firstLine="480"/>
              <w:jc w:val="left"/>
              <w:rPr>
                <w:highlight w:val="none"/>
              </w:rPr>
            </w:pPr>
          </w:p>
        </w:tc>
      </w:tr>
    </w:tbl>
    <w:p>
      <w:pPr>
        <w:ind w:firstLine="480"/>
        <w:jc w:val="right"/>
        <w:rPr>
          <w:rFonts w:hint="eastAsia"/>
          <w:highlight w:val="none"/>
        </w:rPr>
      </w:pPr>
    </w:p>
    <w:p>
      <w:pPr>
        <w:ind w:firstLine="480"/>
        <w:jc w:val="right"/>
        <w:rPr>
          <w:highlight w:val="none"/>
        </w:rPr>
      </w:pPr>
      <w:r>
        <w:rPr>
          <w:rFonts w:hint="eastAsia"/>
          <w:highlight w:val="none"/>
        </w:rPr>
        <w:t>供应商：（加盖公章）</w:t>
      </w:r>
    </w:p>
    <w:p>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w:t>
      </w:r>
      <w:r>
        <w:rPr>
          <w:rFonts w:hint="eastAsia"/>
          <w:highlight w:val="none"/>
        </w:rPr>
        <w:t xml:space="preserve">   </w:t>
      </w: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highlight w:val="none"/>
        </w:rPr>
      </w:pPr>
    </w:p>
    <w:p>
      <w:pPr>
        <w:widowControl/>
        <w:spacing w:line="240" w:lineRule="auto"/>
        <w:ind w:firstLine="0" w:firstLineChars="0"/>
        <w:jc w:val="left"/>
        <w:rPr>
          <w:highlight w:val="none"/>
        </w:rPr>
      </w:pPr>
    </w:p>
    <w:p>
      <w:pPr>
        <w:pStyle w:val="6"/>
        <w:ind w:firstLine="0" w:firstLineChars="0"/>
        <w:rPr>
          <w:highlight w:val="none"/>
        </w:rPr>
      </w:pPr>
      <w:r>
        <w:rPr>
          <w:rFonts w:hint="eastAsia"/>
          <w:highlight w:val="none"/>
        </w:rPr>
        <w:t>4授权委托书原件</w:t>
      </w:r>
    </w:p>
    <w:p>
      <w:pPr>
        <w:ind w:firstLine="0" w:firstLineChars="0"/>
        <w:jc w:val="center"/>
        <w:rPr>
          <w:b/>
          <w:bCs/>
          <w:highlight w:val="none"/>
        </w:rPr>
      </w:pPr>
      <w:r>
        <w:rPr>
          <w:rFonts w:hint="eastAsia"/>
          <w:b/>
          <w:bCs/>
          <w:highlight w:val="none"/>
        </w:rPr>
        <w:t>授权委托书</w:t>
      </w:r>
    </w:p>
    <w:p>
      <w:pPr>
        <w:spacing w:line="400" w:lineRule="exact"/>
        <w:ind w:firstLine="420"/>
        <w:jc w:val="center"/>
        <w:rPr>
          <w:rFonts w:asciiTheme="minorEastAsia" w:hAnsiTheme="minorEastAsia" w:eastAsiaTheme="minorEastAsia" w:cstheme="minorEastAsia"/>
          <w:b/>
          <w:sz w:val="21"/>
          <w:szCs w:val="21"/>
          <w:highlight w:val="none"/>
        </w:rPr>
      </w:pPr>
    </w:p>
    <w:p>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南通轨道交通集团有限公司运营分公司2025-2027年未成年人个人信息保护合规审计服务项目</w:t>
      </w:r>
      <w:r>
        <w:rPr>
          <w:rFonts w:hint="eastAsia"/>
          <w:highlight w:val="none"/>
          <w:u w:val="single"/>
        </w:rPr>
        <w:t>（项目编号：</w:t>
      </w:r>
      <w:r>
        <w:rPr>
          <w:rFonts w:hint="eastAsia"/>
          <w:highlight w:val="none"/>
          <w:u w:val="single"/>
          <w:lang w:eastAsia="zh-CN"/>
        </w:rPr>
        <w:t>NTGY-2026-FW-BX-006</w:t>
      </w:r>
      <w:r>
        <w:rPr>
          <w:rFonts w:hint="eastAsia"/>
          <w:highlight w:val="none"/>
          <w:u w:val="single"/>
        </w:rPr>
        <w:t>）</w:t>
      </w:r>
      <w:r>
        <w:rPr>
          <w:rFonts w:hint="eastAsia"/>
          <w:highlight w:val="none"/>
        </w:rPr>
        <w:t>的采购活动。</w:t>
      </w:r>
    </w:p>
    <w:p>
      <w:pPr>
        <w:ind w:firstLine="480"/>
        <w:rPr>
          <w:highlight w:val="none"/>
        </w:rPr>
      </w:pPr>
      <w:r>
        <w:rPr>
          <w:rFonts w:hint="eastAsia"/>
          <w:highlight w:val="none"/>
        </w:rPr>
        <w:t>该代理人在以上项目的采购活动过程中所签署的一切文件和处理与这有关的一切事务，本人均予以承认。</w:t>
      </w:r>
    </w:p>
    <w:p>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pPr>
        <w:ind w:firstLine="480"/>
        <w:rPr>
          <w:highlight w:val="none"/>
        </w:rPr>
      </w:pPr>
      <w:r>
        <w:rPr>
          <w:rFonts w:hint="eastAsia"/>
          <w:highlight w:val="none"/>
        </w:rPr>
        <w:t>代理人无转委托权。特此委托。</w:t>
      </w:r>
    </w:p>
    <w:p>
      <w:pPr>
        <w:ind w:firstLine="482"/>
        <w:rPr>
          <w:b/>
          <w:highlight w:val="none"/>
        </w:rPr>
      </w:pPr>
      <w:r>
        <w:rPr>
          <w:rFonts w:hint="eastAsia"/>
          <w:b/>
          <w:highlight w:val="none"/>
        </w:rPr>
        <w:t>注：提供授权代理人的身份证（正反面）复印件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pPr>
              <w:ind w:firstLine="0" w:firstLineChars="0"/>
              <w:rPr>
                <w:highlight w:val="none"/>
              </w:rPr>
            </w:pPr>
          </w:p>
        </w:tc>
      </w:tr>
    </w:tbl>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法定代表人：（签字或盖章）</w:t>
      </w:r>
    </w:p>
    <w:p>
      <w:pPr>
        <w:ind w:firstLine="480"/>
        <w:jc w:val="right"/>
        <w:rPr>
          <w:highlight w:val="none"/>
        </w:rPr>
        <w:sectPr>
          <w:footerReference r:id="rId13" w:type="default"/>
          <w:pgSz w:w="11906" w:h="16838"/>
          <w:pgMar w:top="1418" w:right="1588" w:bottom="1418" w:left="1588" w:header="851" w:footer="992" w:gutter="0"/>
          <w:cols w:space="425" w:num="1"/>
          <w:docGrid w:linePitch="326" w:charSpace="0"/>
        </w:sectPr>
      </w:pPr>
      <w:r>
        <w:rPr>
          <w:rFonts w:hint="eastAsia"/>
          <w:highlight w:val="none"/>
        </w:rPr>
        <w:t>　　　年　  月 　 日</w:t>
      </w:r>
    </w:p>
    <w:p>
      <w:pPr>
        <w:widowControl/>
        <w:spacing w:line="240" w:lineRule="auto"/>
        <w:ind w:firstLine="0" w:firstLineChars="0"/>
        <w:jc w:val="left"/>
        <w:rPr>
          <w:highlight w:val="none"/>
        </w:rPr>
      </w:pPr>
      <w:r>
        <w:rPr>
          <w:rFonts w:hint="eastAsia"/>
          <w:highlight w:val="none"/>
          <w:lang w:val="en-US" w:eastAsia="zh-CN"/>
        </w:rPr>
        <w:t>5</w:t>
      </w:r>
      <w:r>
        <w:rPr>
          <w:rFonts w:hint="eastAsia" w:ascii="Times New Roman" w:hAnsi="Times New Roman" w:eastAsia="宋体" w:cstheme="minorBidi"/>
          <w:b/>
          <w:bCs/>
          <w:kern w:val="2"/>
          <w:sz w:val="24"/>
          <w:szCs w:val="32"/>
          <w:highlight w:val="none"/>
          <w:lang w:val="en-US" w:eastAsia="zh-CN" w:bidi="ar-SA"/>
        </w:rPr>
        <w:t>供应商认为需要提交的其他资料</w:t>
      </w:r>
    </w:p>
    <w:p>
      <w:pPr>
        <w:ind w:firstLine="480"/>
        <w:rPr>
          <w:highlight w:val="none"/>
        </w:rPr>
      </w:pPr>
    </w:p>
    <w:p>
      <w:pPr>
        <w:ind w:firstLine="480"/>
        <w:rPr>
          <w:highlight w:val="none"/>
        </w:rPr>
      </w:pPr>
    </w:p>
    <w:p>
      <w:pPr>
        <w:spacing w:line="240" w:lineRule="auto"/>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widowControl/>
        <w:spacing w:line="240" w:lineRule="auto"/>
        <w:ind w:firstLine="0" w:firstLineChars="0"/>
        <w:jc w:val="left"/>
        <w:rPr>
          <w:rFonts w:cstheme="majorBidi"/>
          <w:b/>
          <w:bCs/>
          <w:szCs w:val="32"/>
          <w:highlight w:val="none"/>
        </w:rPr>
      </w:pPr>
      <w:r>
        <w:rPr>
          <w:highlight w:val="none"/>
        </w:rPr>
        <w:br w:type="page"/>
      </w:r>
    </w:p>
    <w:p>
      <w:pPr>
        <w:pStyle w:val="5"/>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pPr>
        <w:ind w:firstLine="480"/>
        <w:jc w:val="right"/>
        <w:rPr>
          <w:rFonts w:ascii="宋体" w:hAnsi="宋体" w:cs="宋体"/>
          <w:bCs/>
          <w:sz w:val="36"/>
          <w:szCs w:val="36"/>
          <w:highlight w:val="none"/>
        </w:rPr>
      </w:pP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482"/>
        <w:jc w:val="center"/>
        <w:rPr>
          <w:highlight w:val="none"/>
        </w:rPr>
      </w:pPr>
      <w:r>
        <w:rPr>
          <w:rFonts w:hint="eastAsia"/>
          <w:highlight w:val="none"/>
        </w:rPr>
        <w:t>目录</w:t>
      </w:r>
    </w:p>
    <w:p>
      <w:pPr>
        <w:widowControl/>
        <w:numPr>
          <w:ilvl w:val="0"/>
          <w:numId w:val="3"/>
        </w:numPr>
        <w:ind w:firstLine="480"/>
        <w:jc w:val="left"/>
        <w:rPr>
          <w:highlight w:val="none"/>
        </w:rPr>
      </w:pPr>
      <w:r>
        <w:rPr>
          <w:rFonts w:hint="eastAsia"/>
          <w:highlight w:val="none"/>
        </w:rPr>
        <w:t>商务和技术偏离表</w:t>
      </w:r>
    </w:p>
    <w:p>
      <w:pPr>
        <w:widowControl/>
        <w:ind w:firstLine="480"/>
        <w:jc w:val="left"/>
        <w:rPr>
          <w:rFonts w:hint="default" w:eastAsia="宋体"/>
          <w:highlight w:val="none"/>
          <w:lang w:val="en-US" w:eastAsia="zh-CN"/>
        </w:rPr>
      </w:pPr>
      <w:r>
        <w:rPr>
          <w:highlight w:val="none"/>
        </w:rPr>
        <w:t>2</w:t>
      </w:r>
      <w:r>
        <w:rPr>
          <w:rFonts w:hint="eastAsia"/>
          <w:highlight w:val="none"/>
        </w:rPr>
        <w:t>、</w:t>
      </w:r>
      <w:r>
        <w:rPr>
          <w:rFonts w:hint="eastAsia"/>
          <w:highlight w:val="none"/>
          <w:lang w:val="en-US" w:eastAsia="zh-CN"/>
        </w:rPr>
        <w:t>商务部分</w:t>
      </w:r>
    </w:p>
    <w:p>
      <w:pPr>
        <w:widowControl/>
        <w:ind w:firstLine="480"/>
        <w:jc w:val="left"/>
        <w:rPr>
          <w:rFonts w:hint="default" w:eastAsia="宋体"/>
          <w:highlight w:val="none"/>
          <w:lang w:val="en-US" w:eastAsia="zh-CN"/>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技术部分</w:t>
      </w:r>
    </w:p>
    <w:p>
      <w:pPr>
        <w:widowControl/>
        <w:spacing w:line="240" w:lineRule="auto"/>
        <w:ind w:firstLine="0" w:firstLineChars="0"/>
        <w:jc w:val="left"/>
        <w:rPr>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highlight w:val="none"/>
        </w:rPr>
      </w:pPr>
      <w:r>
        <w:rPr>
          <w:rFonts w:hint="eastAsia"/>
          <w:highlight w:val="none"/>
        </w:rPr>
        <w:t>1商务和技术偏离表</w:t>
      </w:r>
    </w:p>
    <w:p>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南通轨道交通集团有限公司运营分公司2025-2027年未成年人个人信息保护合规审计服务项目</w:t>
      </w:r>
    </w:p>
    <w:p>
      <w:pPr>
        <w:ind w:firstLine="0" w:firstLineChars="0"/>
        <w:rPr>
          <w:rFonts w:cstheme="majorBidi"/>
          <w:szCs w:val="32"/>
          <w:highlight w:val="none"/>
          <w:u w:val="single"/>
        </w:rPr>
      </w:pPr>
      <w:r>
        <w:rPr>
          <w:rFonts w:hint="eastAsia" w:cstheme="majorBidi"/>
          <w:szCs w:val="32"/>
          <w:highlight w:val="none"/>
          <w:u w:val="single"/>
        </w:rPr>
        <w:t>（项目编号：</w:t>
      </w:r>
      <w:r>
        <w:rPr>
          <w:rFonts w:hint="eastAsia" w:cstheme="majorBidi"/>
          <w:szCs w:val="32"/>
          <w:highlight w:val="none"/>
          <w:u w:val="single"/>
          <w:lang w:eastAsia="zh-CN"/>
        </w:rPr>
        <w:t>NTGY-2026-FW-BX-006</w:t>
      </w:r>
      <w:r>
        <w:rPr>
          <w:rFonts w:hint="eastAsia" w:cstheme="majorBidi"/>
          <w:szCs w:val="32"/>
          <w:highlight w:val="none"/>
          <w:u w:val="single"/>
        </w:rPr>
        <w:t>）</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362"/>
        <w:gridCol w:w="305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ind w:firstLine="0" w:firstLineChars="0"/>
              <w:jc w:val="center"/>
              <w:rPr>
                <w:rFonts w:ascii="宋体" w:hAnsi="宋体"/>
                <w:sz w:val="24"/>
                <w:szCs w:val="24"/>
                <w:highlight w:val="none"/>
              </w:rPr>
            </w:pPr>
            <w:r>
              <w:rPr>
                <w:rFonts w:hint="eastAsia" w:ascii="宋体" w:hAnsi="宋体"/>
                <w:sz w:val="24"/>
                <w:szCs w:val="24"/>
                <w:highlight w:val="none"/>
              </w:rPr>
              <w:t>序号</w:t>
            </w:r>
          </w:p>
        </w:tc>
        <w:tc>
          <w:tcPr>
            <w:tcW w:w="1879"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采购文件章节及条款号</w:t>
            </w:r>
          </w:p>
        </w:tc>
        <w:tc>
          <w:tcPr>
            <w:tcW w:w="1708"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响应文件章节及条款号</w:t>
            </w:r>
          </w:p>
        </w:tc>
        <w:tc>
          <w:tcPr>
            <w:tcW w:w="977"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1</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2</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3</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cstheme="majorBidi"/>
                <w:sz w:val="24"/>
                <w:szCs w:val="24"/>
                <w:highlight w:val="none"/>
              </w:rPr>
              <w:t>…</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bl>
    <w:p>
      <w:pPr>
        <w:ind w:firstLine="480"/>
        <w:rPr>
          <w:rFonts w:cstheme="majorBidi"/>
          <w:szCs w:val="32"/>
          <w:highlight w:val="none"/>
        </w:rPr>
      </w:pPr>
      <w:r>
        <w:rPr>
          <w:rFonts w:hint="eastAsia" w:cstheme="majorBidi"/>
          <w:szCs w:val="32"/>
          <w:highlight w:val="none"/>
        </w:rPr>
        <w:t>注：</w:t>
      </w:r>
    </w:p>
    <w:p>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w:t>
      </w:r>
      <w:r>
        <w:rPr>
          <w:rFonts w:hint="eastAsia"/>
          <w:b/>
          <w:bCs/>
          <w:highlight w:val="none"/>
        </w:rPr>
        <w:t>填“无”</w:t>
      </w:r>
      <w:r>
        <w:rPr>
          <w:rFonts w:hint="eastAsia"/>
          <w:highlight w:val="none"/>
        </w:rPr>
        <w:t>。</w:t>
      </w:r>
    </w:p>
    <w:p>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9"/>
        <w:rPr>
          <w:highlight w:val="none"/>
        </w:rPr>
      </w:pPr>
    </w:p>
    <w:p>
      <w:pPr>
        <w:ind w:firstLine="480"/>
        <w:rPr>
          <w:highlight w:val="none"/>
        </w:rPr>
      </w:pPr>
    </w:p>
    <w:p>
      <w:pPr>
        <w:pStyle w:val="9"/>
        <w:rPr>
          <w:highlight w:val="none"/>
        </w:rPr>
      </w:pPr>
    </w:p>
    <w:p>
      <w:pPr>
        <w:ind w:firstLine="480"/>
        <w:rPr>
          <w:highlight w:val="none"/>
        </w:rPr>
      </w:pPr>
    </w:p>
    <w:p>
      <w:pPr>
        <w:pStyle w:val="9"/>
        <w:rPr>
          <w:highlight w:val="none"/>
        </w:rPr>
      </w:pPr>
    </w:p>
    <w:p>
      <w:pPr>
        <w:widowControl/>
        <w:spacing w:line="240" w:lineRule="auto"/>
        <w:ind w:firstLine="0" w:firstLineChars="0"/>
        <w:jc w:val="left"/>
        <w:rPr>
          <w:b/>
          <w:bCs/>
          <w:szCs w:val="32"/>
          <w:highlight w:val="none"/>
        </w:rPr>
      </w:pPr>
      <w:r>
        <w:rPr>
          <w:highlight w:val="none"/>
        </w:rPr>
        <w:br w:type="page"/>
      </w:r>
    </w:p>
    <w:p>
      <w:pPr>
        <w:pStyle w:val="6"/>
        <w:ind w:firstLine="0" w:firstLineChars="0"/>
        <w:rPr>
          <w:rFonts w:hint="default" w:eastAsia="宋体"/>
          <w:highlight w:val="none"/>
          <w:lang w:val="en-US" w:eastAsia="zh-CN"/>
        </w:rPr>
      </w:pPr>
      <w:r>
        <w:rPr>
          <w:highlight w:val="none"/>
        </w:rPr>
        <w:t>2</w:t>
      </w:r>
      <w:r>
        <w:rPr>
          <w:rFonts w:hint="eastAsia"/>
          <w:highlight w:val="none"/>
          <w:lang w:val="en-US" w:eastAsia="zh-CN"/>
        </w:rPr>
        <w:t>商务部分</w:t>
      </w:r>
    </w:p>
    <w:p>
      <w:pPr>
        <w:ind w:firstLine="0" w:firstLineChars="0"/>
        <w:jc w:val="center"/>
        <w:rPr>
          <w:highlight w:val="none"/>
        </w:rPr>
      </w:pPr>
      <w:bookmarkStart w:id="34" w:name="_Toc27920"/>
      <w:bookmarkStart w:id="35" w:name="_Toc13919"/>
      <w:bookmarkStart w:id="36" w:name="_Toc25880_WPSOffice_Level2"/>
      <w:bookmarkStart w:id="37" w:name="_Toc22333"/>
      <w:bookmarkStart w:id="38" w:name="_Toc21204"/>
      <w:bookmarkStart w:id="39" w:name="_Toc4389"/>
      <w:bookmarkStart w:id="40" w:name="_Toc1151"/>
      <w:bookmarkStart w:id="41" w:name="_Toc521"/>
      <w:bookmarkStart w:id="42" w:name="_Toc6622"/>
      <w:bookmarkStart w:id="43" w:name="_Toc7574"/>
      <w:bookmarkStart w:id="44" w:name="_Toc26085"/>
      <w:bookmarkStart w:id="45" w:name="_Toc16520"/>
      <w:bookmarkStart w:id="46" w:name="_Toc19776"/>
      <w:bookmarkStart w:id="47" w:name="_Toc18919"/>
      <w:bookmarkStart w:id="48" w:name="_Toc20039"/>
      <w:bookmarkStart w:id="49" w:name="_Toc16041"/>
      <w:r>
        <w:rPr>
          <w:rFonts w:hint="eastAsia" w:ascii="Times New Roman" w:hAnsi="Times New Roman" w:eastAsia="宋体" w:cstheme="majorBidi"/>
          <w:szCs w:val="32"/>
          <w:highlight w:val="none"/>
        </w:rPr>
        <w:t>企业业绩汇总表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highlight w:val="none"/>
        </w:rPr>
        <w:t xml:space="preserve">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noWrap w:val="0"/>
            <w:vAlign w:val="center"/>
          </w:tcPr>
          <w:p>
            <w:pPr>
              <w:spacing w:line="440" w:lineRule="exact"/>
              <w:ind w:left="0" w:leftChars="0" w:firstLine="0" w:firstLineChars="0"/>
              <w:jc w:val="center"/>
              <w:rPr>
                <w:highlight w:val="none"/>
              </w:rPr>
            </w:pPr>
            <w:bookmarkStart w:id="50" w:name="_Toc218710269"/>
            <w:r>
              <w:rPr>
                <w:highlight w:val="none"/>
              </w:rPr>
              <w:t>序号</w:t>
            </w:r>
          </w:p>
        </w:tc>
        <w:tc>
          <w:tcPr>
            <w:tcW w:w="1808" w:type="dxa"/>
            <w:noWrap w:val="0"/>
            <w:vAlign w:val="center"/>
          </w:tcPr>
          <w:p>
            <w:pPr>
              <w:spacing w:line="440" w:lineRule="exact"/>
              <w:ind w:left="0" w:leftChars="0" w:firstLine="0" w:firstLineChars="0"/>
              <w:jc w:val="center"/>
              <w:rPr>
                <w:highlight w:val="none"/>
              </w:rPr>
            </w:pPr>
            <w:r>
              <w:rPr>
                <w:highlight w:val="none"/>
              </w:rPr>
              <w:t>业主名称</w:t>
            </w:r>
          </w:p>
        </w:tc>
        <w:tc>
          <w:tcPr>
            <w:tcW w:w="2040" w:type="dxa"/>
            <w:noWrap w:val="0"/>
            <w:vAlign w:val="center"/>
          </w:tcPr>
          <w:p>
            <w:pPr>
              <w:spacing w:line="440" w:lineRule="exact"/>
              <w:ind w:left="0" w:leftChars="0" w:firstLine="0" w:firstLineChars="0"/>
              <w:jc w:val="center"/>
              <w:rPr>
                <w:highlight w:val="none"/>
              </w:rPr>
            </w:pPr>
            <w:r>
              <w:rPr>
                <w:highlight w:val="none"/>
              </w:rPr>
              <w:t>项目名称</w:t>
            </w:r>
          </w:p>
        </w:tc>
        <w:tc>
          <w:tcPr>
            <w:tcW w:w="2023" w:type="dxa"/>
            <w:noWrap w:val="0"/>
            <w:vAlign w:val="center"/>
          </w:tcPr>
          <w:p>
            <w:pPr>
              <w:spacing w:line="440" w:lineRule="exact"/>
              <w:ind w:left="0" w:leftChars="0" w:firstLine="0" w:firstLineChars="0"/>
              <w:jc w:val="center"/>
              <w:rPr>
                <w:highlight w:val="none"/>
              </w:rPr>
            </w:pPr>
            <w:r>
              <w:rPr>
                <w:highlight w:val="none"/>
              </w:rPr>
              <w:t>工作内容</w:t>
            </w:r>
          </w:p>
        </w:tc>
        <w:tc>
          <w:tcPr>
            <w:tcW w:w="1800" w:type="dxa"/>
            <w:noWrap w:val="0"/>
            <w:vAlign w:val="center"/>
          </w:tcPr>
          <w:p>
            <w:pPr>
              <w:spacing w:line="440" w:lineRule="exact"/>
              <w:ind w:left="0" w:leftChars="0" w:firstLine="0" w:firstLineChars="0"/>
              <w:jc w:val="center"/>
              <w:rPr>
                <w:highlight w:val="none"/>
              </w:rPr>
            </w:pPr>
            <w:r>
              <w:rPr>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1</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2</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3</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noWrap w:val="0"/>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4</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noWrap w:val="0"/>
            <w:vAlign w:val="center"/>
          </w:tcPr>
          <w:p>
            <w:pPr>
              <w:spacing w:line="440" w:lineRule="exact"/>
              <w:ind w:left="0" w:leftChars="0" w:firstLine="0" w:firstLineChars="0"/>
              <w:jc w:val="center"/>
              <w:rPr>
                <w:highlight w:val="none"/>
              </w:rPr>
            </w:pPr>
            <w:r>
              <w:rPr>
                <w:highlight w:val="none"/>
              </w:rPr>
              <w:t>…</w:t>
            </w:r>
          </w:p>
        </w:tc>
        <w:tc>
          <w:tcPr>
            <w:tcW w:w="1808" w:type="dxa"/>
            <w:noWrap w:val="0"/>
            <w:vAlign w:val="center"/>
          </w:tcPr>
          <w:p>
            <w:pPr>
              <w:spacing w:line="440" w:lineRule="exact"/>
              <w:jc w:val="center"/>
              <w:rPr>
                <w:highlight w:val="none"/>
              </w:rPr>
            </w:pPr>
          </w:p>
        </w:tc>
        <w:tc>
          <w:tcPr>
            <w:tcW w:w="2040" w:type="dxa"/>
            <w:noWrap w:val="0"/>
            <w:vAlign w:val="center"/>
          </w:tcPr>
          <w:p>
            <w:pPr>
              <w:spacing w:line="440" w:lineRule="exact"/>
              <w:jc w:val="center"/>
              <w:rPr>
                <w:highlight w:val="none"/>
              </w:rPr>
            </w:pPr>
          </w:p>
        </w:tc>
        <w:tc>
          <w:tcPr>
            <w:tcW w:w="2023" w:type="dxa"/>
            <w:noWrap w:val="0"/>
            <w:vAlign w:val="center"/>
          </w:tcPr>
          <w:p>
            <w:pPr>
              <w:spacing w:line="440" w:lineRule="exact"/>
              <w:jc w:val="center"/>
              <w:rPr>
                <w:highlight w:val="none"/>
              </w:rPr>
            </w:pPr>
          </w:p>
        </w:tc>
        <w:tc>
          <w:tcPr>
            <w:tcW w:w="1800" w:type="dxa"/>
            <w:noWrap w:val="0"/>
            <w:vAlign w:val="center"/>
          </w:tcPr>
          <w:p>
            <w:pPr>
              <w:spacing w:line="440" w:lineRule="exact"/>
              <w:jc w:val="center"/>
              <w:rPr>
                <w:highlight w:val="none"/>
              </w:rPr>
            </w:pPr>
          </w:p>
        </w:tc>
      </w:tr>
    </w:tbl>
    <w:p>
      <w:pPr>
        <w:ind w:firstLine="482"/>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须提供合同复印件并加盖公章</w:t>
      </w:r>
      <w:r>
        <w:rPr>
          <w:rFonts w:hint="eastAsia" w:cs="Arial"/>
          <w:b/>
          <w:bCs/>
          <w:kern w:val="0"/>
          <w:szCs w:val="21"/>
          <w:highlight w:val="none"/>
        </w:rPr>
        <w:t>。</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spacing w:line="440" w:lineRule="exact"/>
        <w:ind w:firstLine="460" w:firstLineChars="192"/>
        <w:rPr>
          <w:highlight w:val="none"/>
        </w:rPr>
      </w:pPr>
    </w:p>
    <w:p>
      <w:pPr>
        <w:spacing w:line="440" w:lineRule="exact"/>
        <w:ind w:firstLine="460" w:firstLineChars="192"/>
        <w:rPr>
          <w:highlight w:val="none"/>
        </w:rPr>
      </w:pPr>
    </w:p>
    <w:p>
      <w:pPr>
        <w:rPr>
          <w:highlight w:val="none"/>
        </w:rPr>
      </w:pPr>
      <w:r>
        <w:rPr>
          <w:rFonts w:ascii="Times New Roman" w:hAnsi="Times New Roman"/>
          <w:sz w:val="24"/>
          <w:szCs w:val="24"/>
          <w:highlight w:val="none"/>
        </w:rPr>
        <w:br w:type="page"/>
      </w:r>
      <w:bookmarkEnd w:id="50"/>
      <w:bookmarkStart w:id="51" w:name="_Toc29658"/>
      <w:bookmarkStart w:id="52" w:name="_Toc10610"/>
      <w:bookmarkStart w:id="53" w:name="_Toc20296"/>
      <w:bookmarkStart w:id="54" w:name="_Toc3697"/>
      <w:bookmarkStart w:id="55" w:name="_Toc3965"/>
    </w:p>
    <w:bookmarkEnd w:id="51"/>
    <w:bookmarkEnd w:id="52"/>
    <w:bookmarkEnd w:id="53"/>
    <w:bookmarkEnd w:id="54"/>
    <w:bookmarkEnd w:id="55"/>
    <w:p>
      <w:pPr>
        <w:pStyle w:val="6"/>
        <w:ind w:firstLine="0" w:firstLineChars="0"/>
        <w:rPr>
          <w:rFonts w:hint="eastAsia"/>
          <w:highlight w:val="none"/>
          <w:lang w:val="en-US" w:eastAsia="zh-CN"/>
        </w:rPr>
      </w:pPr>
      <w:r>
        <w:rPr>
          <w:rFonts w:hint="eastAsia"/>
          <w:highlight w:val="none"/>
          <w:lang w:val="en-US" w:eastAsia="zh-CN"/>
        </w:rPr>
        <w:t>3技术部分</w:t>
      </w:r>
    </w:p>
    <w:p>
      <w:pPr>
        <w:bidi w:val="0"/>
        <w:rPr>
          <w:rFonts w:hint="eastAsia"/>
          <w:highlight w:val="none"/>
          <w:lang w:val="en-US" w:eastAsia="zh-CN"/>
        </w:rPr>
      </w:pPr>
      <w:r>
        <w:rPr>
          <w:rFonts w:hint="eastAsia"/>
          <w:highlight w:val="none"/>
          <w:lang w:val="en-US" w:eastAsia="zh-CN"/>
        </w:rPr>
        <w:t>参选人根据第三章评审方法技术部分相关评分点（为方便评委评审，请参选人按评审办法中所涉及的事项顺序进行编制，可以补充相关材料）</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 xml:space="preserve"> </w:t>
      </w:r>
    </w:p>
    <w:p>
      <w:pPr>
        <w:ind w:firstLine="480"/>
        <w:rPr>
          <w:highlight w:val="none"/>
        </w:rPr>
      </w:pPr>
    </w:p>
    <w:p>
      <w:pPr>
        <w:ind w:firstLine="480"/>
        <w:rPr>
          <w:highlight w:val="none"/>
        </w:rPr>
      </w:pPr>
      <w:r>
        <w:rPr>
          <w:rFonts w:hint="eastAsia"/>
          <w:highlight w:val="none"/>
        </w:rPr>
        <w:br w:type="page"/>
      </w:r>
    </w:p>
    <w:p>
      <w:pPr>
        <w:pStyle w:val="5"/>
        <w:ind w:firstLine="0" w:firstLineChars="0"/>
        <w:rPr>
          <w:highlight w:val="none"/>
        </w:rPr>
      </w:pPr>
      <w:r>
        <w:rPr>
          <w:highlight w:val="none"/>
        </w:rPr>
        <w:t>第</w:t>
      </w:r>
      <w:r>
        <w:rPr>
          <w:rFonts w:hint="eastAsia"/>
          <w:highlight w:val="none"/>
        </w:rPr>
        <w:t>三</w:t>
      </w:r>
      <w:r>
        <w:rPr>
          <w:highlight w:val="none"/>
        </w:rPr>
        <w:t>册</w:t>
      </w:r>
      <w:r>
        <w:rPr>
          <w:rFonts w:hint="eastAsia"/>
          <w:highlight w:val="none"/>
        </w:rPr>
        <w:t xml:space="preserve"> 报价部分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南通轨道交通集团有限公司运营分公司2025-2027年未成年人个人信息保护合规审计服务项目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NTGY-2026-FW-BX-006</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6"/>
        <w:ind w:firstLine="0" w:firstLineChars="0"/>
        <w:jc w:val="center"/>
        <w:rPr>
          <w:highlight w:val="none"/>
        </w:rPr>
      </w:pPr>
      <w:r>
        <w:rPr>
          <w:rFonts w:hint="eastAsia"/>
          <w:highlight w:val="none"/>
        </w:rPr>
        <w:t>目录</w:t>
      </w:r>
    </w:p>
    <w:p>
      <w:pPr>
        <w:ind w:firstLine="480"/>
        <w:rPr>
          <w:rFonts w:hint="eastAsia"/>
          <w:highlight w:val="none"/>
          <w:lang w:val="en-US" w:eastAsia="zh-CN"/>
        </w:rPr>
      </w:pPr>
      <w:r>
        <w:rPr>
          <w:rFonts w:hint="eastAsia"/>
          <w:highlight w:val="none"/>
          <w:lang w:val="en-US" w:eastAsia="zh-CN"/>
        </w:rPr>
        <w:t>1响应函</w:t>
      </w:r>
    </w:p>
    <w:p>
      <w:pPr>
        <w:pStyle w:val="55"/>
        <w:ind w:firstLine="480" w:firstLineChars="200"/>
        <w:rPr>
          <w:highlight w:val="none"/>
        </w:rPr>
      </w:pPr>
      <w:r>
        <w:rPr>
          <w:rFonts w:hint="eastAsia" w:ascii="Times New Roman" w:hAnsi="Times New Roman" w:eastAsia="宋体" w:cstheme="minorBidi"/>
          <w:kern w:val="2"/>
          <w:sz w:val="24"/>
          <w:szCs w:val="22"/>
          <w:highlight w:val="none"/>
          <w:lang w:val="en-US" w:eastAsia="zh-CN" w:bidi="ar-SA"/>
        </w:rPr>
        <w:t>2参选报价汇总表</w:t>
      </w:r>
      <w:r>
        <w:rPr>
          <w:highlight w:val="none"/>
        </w:rPr>
        <w:br w:type="page"/>
      </w:r>
    </w:p>
    <w:p>
      <w:pPr>
        <w:pStyle w:val="6"/>
        <w:ind w:firstLine="0" w:firstLineChars="0"/>
        <w:rPr>
          <w:color w:val="auto"/>
          <w:highlight w:val="none"/>
        </w:rPr>
      </w:pPr>
      <w:r>
        <w:rPr>
          <w:color w:val="auto"/>
          <w:highlight w:val="none"/>
        </w:rPr>
        <w:t>1响应函</w:t>
      </w:r>
    </w:p>
    <w:p>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pPr>
        <w:ind w:firstLine="0" w:firstLineChars="0"/>
        <w:rPr>
          <w:color w:val="auto"/>
          <w:highlight w:val="none"/>
        </w:rPr>
      </w:pPr>
      <w:r>
        <w:rPr>
          <w:rFonts w:hint="eastAsia"/>
          <w:color w:val="auto"/>
          <w:highlight w:val="none"/>
        </w:rPr>
        <w:t>致</w:t>
      </w:r>
      <w:r>
        <w:rPr>
          <w:rFonts w:hint="eastAsia"/>
          <w:color w:val="auto"/>
          <w:highlight w:val="none"/>
          <w:u w:val="single"/>
        </w:rPr>
        <w:t>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我司已仔细阅读研究了</w:t>
      </w:r>
      <w:r>
        <w:rPr>
          <w:rFonts w:hint="eastAsia"/>
          <w:highlight w:val="none"/>
          <w:u w:val="single"/>
          <w:lang w:eastAsia="zh-CN"/>
        </w:rPr>
        <w:t>南通轨道交通集团有限公司运营分公司2025-2027年未成年人个人信息保护合规审计服务项目</w:t>
      </w:r>
      <w:r>
        <w:rPr>
          <w:rFonts w:hint="eastAsia"/>
          <w:color w:val="auto"/>
          <w:highlight w:val="none"/>
          <w:u w:val="single"/>
        </w:rPr>
        <w:t>（项目编号：</w:t>
      </w:r>
      <w:r>
        <w:rPr>
          <w:rFonts w:hint="eastAsia"/>
          <w:color w:val="auto"/>
          <w:highlight w:val="none"/>
          <w:u w:val="single"/>
          <w:lang w:eastAsia="zh-CN"/>
        </w:rPr>
        <w:t>NTGY-2026-FW-BX-006</w:t>
      </w:r>
      <w:r>
        <w:rPr>
          <w:rFonts w:hint="eastAsia"/>
          <w:color w:val="auto"/>
          <w:highlight w:val="none"/>
          <w:u w:val="single"/>
        </w:rPr>
        <w:t>）</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pPr>
        <w:ind w:firstLine="480"/>
        <w:rPr>
          <w:color w:val="auto"/>
          <w:highlight w:val="none"/>
        </w:rPr>
      </w:pPr>
      <w:r>
        <w:rPr>
          <w:rFonts w:hint="eastAsia"/>
          <w:color w:val="auto"/>
          <w:highlight w:val="none"/>
        </w:rPr>
        <w:t>二、我司认为贵司有权决定成交供应商，还认为贵司有权接受或拒绝所有的响应供应商。</w:t>
      </w:r>
    </w:p>
    <w:p>
      <w:pPr>
        <w:ind w:firstLine="480"/>
        <w:rPr>
          <w:color w:val="auto"/>
          <w:highlight w:val="none"/>
        </w:rPr>
      </w:pPr>
      <w:r>
        <w:rPr>
          <w:rFonts w:hint="eastAsia"/>
          <w:color w:val="auto"/>
          <w:highlight w:val="none"/>
        </w:rPr>
        <w:t>三、我司愿提供采购文件中要求的全部资料，并配合采购人对资料的真实性进行验证。</w:t>
      </w:r>
    </w:p>
    <w:p>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p>
    <w:p>
      <w:pPr>
        <w:ind w:firstLine="480"/>
        <w:rPr>
          <w:color w:val="auto"/>
          <w:highlight w:val="none"/>
        </w:rPr>
      </w:pPr>
      <w:r>
        <w:rPr>
          <w:color w:val="auto"/>
          <w:highlight w:val="none"/>
        </w:rPr>
        <w:t>（4）在合同约定的期限内完成合同规定的全部义务。</w:t>
      </w:r>
    </w:p>
    <w:p>
      <w:pPr>
        <w:ind w:firstLine="480"/>
        <w:rPr>
          <w:color w:val="auto"/>
          <w:highlight w:val="none"/>
        </w:rPr>
      </w:pPr>
    </w:p>
    <w:p>
      <w:pPr>
        <w:ind w:firstLine="480"/>
        <w:jc w:val="right"/>
        <w:rPr>
          <w:color w:val="auto"/>
          <w:highlight w:val="none"/>
        </w:rPr>
      </w:pPr>
      <w:r>
        <w:rPr>
          <w:rFonts w:hint="eastAsia"/>
          <w:color w:val="auto"/>
          <w:highlight w:val="none"/>
        </w:rPr>
        <w:t>供应商： （加盖公章）</w:t>
      </w:r>
    </w:p>
    <w:p>
      <w:pPr>
        <w:ind w:firstLine="480"/>
        <w:jc w:val="right"/>
        <w:rPr>
          <w:color w:val="auto"/>
          <w:highlight w:val="none"/>
        </w:rPr>
      </w:pPr>
      <w:r>
        <w:rPr>
          <w:rFonts w:hint="eastAsia"/>
          <w:color w:val="auto"/>
          <w:highlight w:val="none"/>
        </w:rPr>
        <w:t>法定代表人或授权代理人：（签字或盖章）</w:t>
      </w:r>
    </w:p>
    <w:p>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pPr>
        <w:tabs>
          <w:tab w:val="left" w:pos="3296"/>
          <w:tab w:val="right" w:pos="8426"/>
        </w:tabs>
        <w:wordWrap w:val="0"/>
        <w:ind w:firstLine="480"/>
        <w:jc w:val="left"/>
        <w:rPr>
          <w:color w:val="auto"/>
          <w:highlight w:val="none"/>
        </w:rPr>
      </w:pPr>
      <w:r>
        <w:rPr>
          <w:rFonts w:hint="eastAsia"/>
          <w:color w:val="auto"/>
          <w:highlight w:val="none"/>
        </w:rPr>
        <w:tab/>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公司邮箱：</w:t>
      </w:r>
      <w:r>
        <w:rPr>
          <w:rFonts w:hint="eastAsia"/>
          <w:color w:val="auto"/>
          <w:highlight w:val="none"/>
          <w:lang w:val="en-US" w:eastAsia="zh-CN"/>
        </w:rPr>
        <w:t xml:space="preserve"> </w:t>
      </w:r>
      <w:r>
        <w:rPr>
          <w:color w:val="auto"/>
          <w:highlight w:val="none"/>
        </w:rPr>
        <w:t xml:space="preserve">      </w:t>
      </w:r>
    </w:p>
    <w:p>
      <w:pPr>
        <w:pStyle w:val="6"/>
        <w:ind w:firstLine="0" w:firstLineChars="0"/>
        <w:jc w:val="right"/>
        <w:rPr>
          <w:rFonts w:hint="eastAsia"/>
          <w:highlight w:val="none"/>
          <w:lang w:val="en-US" w:eastAsia="zh-CN"/>
        </w:rPr>
      </w:pPr>
      <w:r>
        <w:rPr>
          <w:rFonts w:hint="eastAsia"/>
          <w:color w:val="auto"/>
          <w:highlight w:val="none"/>
        </w:rPr>
        <w:t xml:space="preserve">   </w:t>
      </w:r>
      <w:r>
        <w:rPr>
          <w:rFonts w:hint="eastAsia"/>
          <w:b w:val="0"/>
          <w:bCs w:val="0"/>
          <w:color w:val="auto"/>
          <w:highlight w:val="none"/>
        </w:rPr>
        <w:t xml:space="preserve"> </w:t>
      </w:r>
      <w:r>
        <w:rPr>
          <w:rFonts w:hint="eastAsia" w:ascii="Times New Roman" w:hAnsi="Times New Roman" w:eastAsia="宋体" w:cstheme="minorBidi"/>
          <w:b w:val="0"/>
          <w:bCs w:val="0"/>
          <w:color w:val="auto"/>
          <w:kern w:val="2"/>
          <w:sz w:val="24"/>
          <w:szCs w:val="22"/>
          <w:highlight w:val="none"/>
          <w:lang w:val="en-US" w:eastAsia="zh-CN" w:bidi="ar-SA"/>
        </w:rPr>
        <w:t>年  　月　  日</w:t>
      </w:r>
    </w:p>
    <w:p>
      <w:pPr>
        <w:rPr>
          <w:rFonts w:hint="eastAsia"/>
          <w:color w:val="auto"/>
          <w:highlight w:val="none"/>
          <w:lang w:val="en-US" w:eastAsia="zh-CN"/>
        </w:rPr>
      </w:pPr>
      <w:r>
        <w:rPr>
          <w:rFonts w:hint="eastAsia"/>
          <w:color w:val="auto"/>
          <w:highlight w:val="none"/>
          <w:lang w:val="en-US" w:eastAsia="zh-CN"/>
        </w:rPr>
        <w:br w:type="page"/>
      </w:r>
    </w:p>
    <w:p>
      <w:pPr>
        <w:pStyle w:val="8"/>
        <w:numPr>
          <w:ilvl w:val="1"/>
          <w:numId w:val="0"/>
        </w:numPr>
        <w:jc w:val="both"/>
        <w:rPr>
          <w:b/>
          <w:color w:val="auto"/>
          <w:highlight w:val="none"/>
        </w:rPr>
      </w:pPr>
      <w:r>
        <w:rPr>
          <w:rFonts w:hint="eastAsia"/>
          <w:color w:val="auto"/>
          <w:highlight w:val="none"/>
          <w:lang w:val="en-US" w:eastAsia="zh-CN"/>
        </w:rPr>
        <w:t>2</w:t>
      </w:r>
      <w:r>
        <w:rPr>
          <w:rFonts w:hint="eastAsia"/>
          <w:highlight w:val="none"/>
          <w:lang w:val="en-US" w:eastAsia="zh-CN"/>
        </w:rPr>
        <w:t>参选报价汇总表</w:t>
      </w:r>
      <w:r>
        <w:rPr>
          <w:rFonts w:hint="eastAsia"/>
          <w:sz w:val="20"/>
          <w:szCs w:val="18"/>
          <w:highlight w:val="none"/>
          <w:lang w:val="en-US" w:eastAsia="zh-CN"/>
        </w:rPr>
        <w:t xml:space="preserve">                       </w:t>
      </w:r>
      <w:bookmarkStart w:id="56" w:name="_Toc534461612"/>
      <w:bookmarkStart w:id="57" w:name="_Toc23692"/>
      <w:bookmarkStart w:id="58" w:name="_Toc29125"/>
      <w:r>
        <w:rPr>
          <w:rFonts w:hint="eastAsia"/>
          <w:b/>
          <w:color w:val="auto"/>
          <w:highlight w:val="none"/>
        </w:rPr>
        <w:t xml:space="preserve"> </w:t>
      </w:r>
      <w:bookmarkStart w:id="59" w:name="_Toc7819"/>
      <w:bookmarkStart w:id="60" w:name="_Toc4934"/>
    </w:p>
    <w:p>
      <w:pPr>
        <w:pStyle w:val="6"/>
        <w:ind w:firstLine="0" w:firstLineChars="0"/>
        <w:rPr>
          <w:color w:val="auto"/>
          <w:highlight w:val="none"/>
        </w:rPr>
      </w:pPr>
      <w:r>
        <w:rPr>
          <w:rFonts w:hint="eastAsia" w:cstheme="minorBidi"/>
          <w:b/>
          <w:color w:val="auto"/>
          <w:kern w:val="2"/>
          <w:sz w:val="24"/>
          <w:szCs w:val="21"/>
          <w:lang w:val="en-US" w:eastAsia="zh-CN" w:bidi="ar-SA"/>
        </w:rPr>
        <w:t xml:space="preserve">                   </w:t>
      </w:r>
      <w:bookmarkEnd w:id="56"/>
      <w:bookmarkEnd w:id="57"/>
      <w:bookmarkEnd w:id="58"/>
      <w:bookmarkEnd w:id="59"/>
      <w:bookmarkEnd w:id="60"/>
    </w:p>
    <w:p>
      <w:pPr>
        <w:pStyle w:val="8"/>
        <w:keepNext w:val="0"/>
        <w:keepLines/>
        <w:pageBreakBefore w:val="0"/>
        <w:widowControl w:val="0"/>
        <w:numPr>
          <w:ilvl w:val="1"/>
          <w:numId w:val="0"/>
        </w:numPr>
        <w:kinsoku/>
        <w:wordWrap/>
        <w:overflowPunct/>
        <w:topLinePunct w:val="0"/>
        <w:autoSpaceDE/>
        <w:autoSpaceDN/>
        <w:bidi w:val="0"/>
        <w:adjustRightInd/>
        <w:snapToGrid/>
        <w:ind w:left="0" w:leftChars="0" w:firstLine="0" w:firstLineChars="0"/>
        <w:jc w:val="center"/>
        <w:textAlignment w:val="auto"/>
        <w:rPr>
          <w:b/>
          <w:color w:val="auto"/>
          <w:highlight w:val="none"/>
        </w:rPr>
      </w:pPr>
      <w:bookmarkStart w:id="61" w:name="_Toc8356"/>
      <w:bookmarkStart w:id="62" w:name="_Toc5872"/>
      <w:bookmarkStart w:id="63" w:name="_Toc534461611"/>
      <w:bookmarkStart w:id="64" w:name="_Toc32551"/>
      <w:bookmarkStart w:id="65" w:name="_Toc10256"/>
      <w:r>
        <w:rPr>
          <w:rFonts w:hint="eastAsia"/>
          <w:b/>
          <w:color w:val="auto"/>
          <w:highlight w:val="none"/>
          <w:lang w:val="en-US" w:eastAsia="zh-CN"/>
        </w:rPr>
        <w:t>参选</w:t>
      </w:r>
      <w:r>
        <w:rPr>
          <w:b/>
          <w:color w:val="auto"/>
          <w:highlight w:val="none"/>
        </w:rPr>
        <w:t>报价汇总表</w:t>
      </w:r>
      <w:bookmarkEnd w:id="61"/>
      <w:bookmarkEnd w:id="62"/>
      <w:bookmarkEnd w:id="63"/>
      <w:bookmarkEnd w:id="64"/>
      <w:bookmarkEnd w:id="65"/>
    </w:p>
    <w:tbl>
      <w:tblPr>
        <w:tblStyle w:val="26"/>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项目名称</w:t>
            </w:r>
          </w:p>
        </w:tc>
        <w:tc>
          <w:tcPr>
            <w:tcW w:w="470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南通轨道交通集团有限公司运营分公司2025-2027年未成年人个人信息保护合规审计服务项目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年度报价（元）</w:t>
            </w:r>
          </w:p>
        </w:tc>
        <w:tc>
          <w:tcPr>
            <w:tcW w:w="4700" w:type="dxa"/>
            <w:vAlign w:val="center"/>
          </w:tcPr>
          <w:p>
            <w:pPr>
              <w:spacing w:line="440" w:lineRule="exact"/>
              <w:ind w:firstLine="0" w:firstLineChars="0"/>
              <w:jc w:val="center"/>
              <w:rPr>
                <w:rFonts w:ascii="宋体" w:hAnsi="宋体" w:cs="宋体"/>
                <w:bCs/>
                <w:color w:val="auto"/>
                <w:sz w:val="21"/>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数量（年）</w:t>
            </w:r>
          </w:p>
        </w:tc>
        <w:tc>
          <w:tcPr>
            <w:tcW w:w="4700" w:type="dxa"/>
            <w:vAlign w:val="center"/>
          </w:tcPr>
          <w:p>
            <w:pPr>
              <w:spacing w:line="440" w:lineRule="exact"/>
              <w:ind w:firstLine="0" w:firstLineChars="0"/>
              <w:jc w:val="center"/>
              <w:rPr>
                <w:rFonts w:hint="eastAsia" w:ascii="宋体" w:hAnsi="宋体" w:eastAsia="宋体" w:cs="宋体"/>
                <w:bCs/>
                <w:color w:val="auto"/>
                <w:sz w:val="21"/>
                <w:szCs w:val="24"/>
                <w:highlight w:val="none"/>
                <w:lang w:val="en-US" w:eastAsia="zh-CN"/>
              </w:rPr>
            </w:pPr>
            <w:r>
              <w:rPr>
                <w:rFonts w:hint="eastAsia" w:ascii="宋体" w:hAnsi="宋体" w:cs="宋体"/>
                <w:bCs/>
                <w:color w:val="auto"/>
                <w:sz w:val="21"/>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参选总价（元）</w:t>
            </w:r>
          </w:p>
        </w:tc>
        <w:tc>
          <w:tcPr>
            <w:tcW w:w="4700" w:type="dxa"/>
            <w:vAlign w:val="center"/>
          </w:tcPr>
          <w:p>
            <w:pPr>
              <w:spacing w:line="440" w:lineRule="exact"/>
              <w:ind w:firstLine="0" w:firstLineChars="0"/>
              <w:jc w:val="center"/>
              <w:rPr>
                <w:rFonts w:ascii="宋体" w:hAnsi="宋体" w:eastAsia="仿宋_GB2312" w:cs="宋体"/>
                <w:bCs/>
                <w:color w:val="auto"/>
                <w:kern w:val="0"/>
                <w:sz w:val="28"/>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80" w:type="dxa"/>
            <w:vAlign w:val="center"/>
          </w:tcPr>
          <w:p>
            <w:pPr>
              <w:spacing w:line="440" w:lineRule="exact"/>
              <w:ind w:firstLine="0" w:firstLineChars="0"/>
              <w:jc w:val="center"/>
              <w:rPr>
                <w:rFonts w:hint="eastAsia" w:ascii="Times New Roman" w:hAnsi="Times New Roman" w:eastAsia="宋体" w:cstheme="minorBidi"/>
                <w:kern w:val="2"/>
                <w:sz w:val="24"/>
                <w:szCs w:val="21"/>
                <w:highlight w:val="none"/>
                <w:lang w:val="en-US" w:eastAsia="zh-CN" w:bidi="ar-SA"/>
              </w:rPr>
            </w:pPr>
            <w:r>
              <w:rPr>
                <w:rFonts w:hint="eastAsia" w:ascii="Times New Roman" w:hAnsi="Times New Roman" w:eastAsia="宋体" w:cstheme="minorBidi"/>
                <w:kern w:val="2"/>
                <w:sz w:val="24"/>
                <w:szCs w:val="21"/>
                <w:highlight w:val="none"/>
                <w:lang w:val="en-US" w:eastAsia="zh-CN" w:bidi="ar-SA"/>
              </w:rPr>
              <w:t>税率（%）</w:t>
            </w:r>
          </w:p>
        </w:tc>
        <w:tc>
          <w:tcPr>
            <w:tcW w:w="4700" w:type="dxa"/>
            <w:vAlign w:val="center"/>
          </w:tcPr>
          <w:p>
            <w:pPr>
              <w:spacing w:line="440" w:lineRule="exact"/>
              <w:ind w:firstLine="0" w:firstLineChars="0"/>
              <w:jc w:val="center"/>
              <w:rPr>
                <w:rFonts w:ascii="宋体" w:hAnsi="宋体" w:eastAsia="仿宋_GB2312" w:cs="宋体"/>
                <w:bCs/>
                <w:color w:val="auto"/>
                <w:kern w:val="0"/>
                <w:sz w:val="28"/>
                <w:szCs w:val="21"/>
                <w:highlight w:val="none"/>
              </w:rPr>
            </w:pPr>
          </w:p>
        </w:tc>
      </w:tr>
    </w:tbl>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hint="eastAsia"/>
          <w:color w:val="auto"/>
          <w:szCs w:val="21"/>
          <w:highlight w:val="none"/>
          <w:lang w:val="en-US" w:eastAsia="zh-CN"/>
        </w:rPr>
      </w:pPr>
    </w:p>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eastAsia="宋体"/>
          <w:color w:val="auto"/>
          <w:szCs w:val="21"/>
          <w:highlight w:val="none"/>
        </w:rPr>
      </w:pPr>
      <w:r>
        <w:rPr>
          <w:rFonts w:hint="eastAsia"/>
          <w:color w:val="auto"/>
          <w:szCs w:val="21"/>
          <w:highlight w:val="none"/>
          <w:lang w:val="en-US" w:eastAsia="zh-CN"/>
        </w:rPr>
        <w:t>参选</w:t>
      </w:r>
      <w:r>
        <w:rPr>
          <w:rFonts w:eastAsia="宋体"/>
          <w:color w:val="auto"/>
          <w:szCs w:val="21"/>
          <w:highlight w:val="none"/>
        </w:rPr>
        <w:t>人：</w:t>
      </w:r>
      <w:r>
        <w:rPr>
          <w:rFonts w:eastAsia="宋体"/>
          <w:color w:val="auto"/>
          <w:szCs w:val="21"/>
          <w:highlight w:val="none"/>
          <w:u w:val="single"/>
        </w:rPr>
        <w:t xml:space="preserve">                   </w:t>
      </w:r>
      <w:r>
        <w:rPr>
          <w:rFonts w:eastAsia="宋体"/>
          <w:color w:val="auto"/>
          <w:szCs w:val="21"/>
          <w:highlight w:val="none"/>
        </w:rPr>
        <w:t>（盖单位公章）</w:t>
      </w:r>
    </w:p>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eastAsia="宋体"/>
          <w:color w:val="auto"/>
          <w:szCs w:val="21"/>
          <w:highlight w:val="none"/>
        </w:rPr>
      </w:pPr>
      <w:r>
        <w:rPr>
          <w:rFonts w:eastAsia="宋体"/>
          <w:color w:val="auto"/>
          <w:szCs w:val="21"/>
          <w:highlight w:val="none"/>
        </w:rPr>
        <w:t>法定代表人或其委托代理人：</w:t>
      </w:r>
      <w:r>
        <w:rPr>
          <w:rFonts w:eastAsia="宋体"/>
          <w:color w:val="auto"/>
          <w:szCs w:val="21"/>
          <w:highlight w:val="none"/>
          <w:u w:val="single"/>
        </w:rPr>
        <w:t xml:space="preserve">       </w:t>
      </w:r>
      <w:r>
        <w:rPr>
          <w:rFonts w:eastAsia="宋体"/>
          <w:color w:val="auto"/>
          <w:szCs w:val="21"/>
          <w:highlight w:val="none"/>
        </w:rPr>
        <w:t>（签字）</w:t>
      </w:r>
    </w:p>
    <w:p>
      <w:pPr>
        <w:keepNext w:val="0"/>
        <w:keepLines w:val="0"/>
        <w:pageBreakBefore w:val="0"/>
        <w:widowControl w:val="0"/>
        <w:tabs>
          <w:tab w:val="left" w:pos="1200"/>
        </w:tabs>
        <w:kinsoku/>
        <w:wordWrap/>
        <w:overflowPunct/>
        <w:topLinePunct w:val="0"/>
        <w:autoSpaceDE/>
        <w:autoSpaceDN/>
        <w:bidi w:val="0"/>
        <w:adjustRightInd/>
        <w:snapToGrid/>
        <w:spacing w:line="480" w:lineRule="auto"/>
        <w:ind w:firstLine="0" w:firstLineChars="0"/>
        <w:jc w:val="right"/>
        <w:textAlignment w:val="auto"/>
        <w:rPr>
          <w:rFonts w:eastAsia="宋体"/>
          <w:color w:val="auto"/>
          <w:szCs w:val="21"/>
          <w:highlight w:val="none"/>
        </w:rPr>
      </w:pPr>
      <w:r>
        <w:rPr>
          <w:rFonts w:eastAsia="宋体"/>
          <w:color w:val="auto"/>
          <w:szCs w:val="21"/>
          <w:highlight w:val="none"/>
        </w:rPr>
        <w:t xml:space="preserve">日期： </w:t>
      </w:r>
      <w:r>
        <w:rPr>
          <w:rFonts w:eastAsia="宋体"/>
          <w:color w:val="auto"/>
          <w:szCs w:val="21"/>
          <w:highlight w:val="none"/>
          <w:u w:val="single"/>
        </w:rPr>
        <w:t xml:space="preserve">            </w:t>
      </w:r>
      <w:r>
        <w:rPr>
          <w:rFonts w:eastAsia="宋体"/>
          <w:color w:val="auto"/>
          <w:szCs w:val="21"/>
          <w:highlight w:val="none"/>
        </w:rPr>
        <w:t>年</w:t>
      </w:r>
      <w:r>
        <w:rPr>
          <w:rFonts w:eastAsia="宋体"/>
          <w:color w:val="auto"/>
          <w:szCs w:val="21"/>
          <w:highlight w:val="none"/>
          <w:u w:val="single"/>
        </w:rPr>
        <w:t xml:space="preserve">        </w:t>
      </w:r>
      <w:r>
        <w:rPr>
          <w:rFonts w:eastAsia="宋体"/>
          <w:color w:val="auto"/>
          <w:szCs w:val="21"/>
          <w:highlight w:val="none"/>
        </w:rPr>
        <w:t>月</w:t>
      </w:r>
      <w:r>
        <w:rPr>
          <w:rFonts w:eastAsia="宋体"/>
          <w:color w:val="auto"/>
          <w:szCs w:val="21"/>
          <w:highlight w:val="none"/>
          <w:u w:val="single"/>
        </w:rPr>
        <w:t xml:space="preserve">        </w:t>
      </w:r>
      <w:r>
        <w:rPr>
          <w:rFonts w:eastAsia="宋体"/>
          <w:color w:val="auto"/>
          <w:szCs w:val="21"/>
          <w:highlight w:val="none"/>
        </w:rPr>
        <w:t>日</w:t>
      </w:r>
    </w:p>
    <w:p>
      <w:pPr>
        <w:widowControl w:val="0"/>
        <w:spacing w:line="360" w:lineRule="auto"/>
        <w:jc w:val="both"/>
        <w:rPr>
          <w:rFonts w:eastAsia="宋体"/>
          <w:color w:val="auto"/>
          <w:szCs w:val="21"/>
          <w:highlight w:val="none"/>
        </w:rPr>
      </w:pPr>
      <w:r>
        <w:rPr>
          <w:rFonts w:eastAsia="宋体"/>
          <w:color w:val="auto"/>
          <w:szCs w:val="21"/>
          <w:highlight w:val="none"/>
        </w:rPr>
        <w:t>注：</w:t>
      </w:r>
      <w:r>
        <w:rPr>
          <w:rFonts w:hint="eastAsia"/>
          <w:color w:val="auto"/>
          <w:szCs w:val="21"/>
          <w:highlight w:val="none"/>
          <w:lang w:eastAsia="zh-CN"/>
        </w:rPr>
        <w:t>本项目实行总价包干，</w:t>
      </w:r>
      <w:r>
        <w:rPr>
          <w:rFonts w:hint="eastAsia"/>
          <w:color w:val="auto"/>
          <w:szCs w:val="21"/>
          <w:highlight w:val="none"/>
          <w:lang w:val="en-US" w:eastAsia="zh-CN"/>
        </w:rPr>
        <w:t>参选</w:t>
      </w:r>
      <w:r>
        <w:rPr>
          <w:rFonts w:hint="eastAsia"/>
          <w:color w:val="auto"/>
          <w:szCs w:val="21"/>
          <w:highlight w:val="none"/>
          <w:lang w:eastAsia="zh-CN"/>
        </w:rPr>
        <w:t>总价为</w:t>
      </w:r>
      <w:r>
        <w:rPr>
          <w:rFonts w:hint="eastAsia"/>
          <w:color w:val="auto"/>
          <w:szCs w:val="21"/>
          <w:highlight w:val="none"/>
          <w:lang w:val="en-US" w:eastAsia="zh-CN"/>
        </w:rPr>
        <w:t>供应商3年</w:t>
      </w:r>
      <w:r>
        <w:rPr>
          <w:rFonts w:hint="eastAsia"/>
          <w:color w:val="auto"/>
          <w:szCs w:val="21"/>
          <w:highlight w:val="none"/>
          <w:lang w:eastAsia="zh-CN"/>
        </w:rPr>
        <w:t>完成本项目的全部费用，包含但不限于人工成本‌、‌差旅与会议费用、资料审查与分析费用、工具与资料费用、报告编制与交付费用、管理费、税费等</w:t>
      </w:r>
      <w:r>
        <w:rPr>
          <w:rFonts w:eastAsia="宋体"/>
          <w:color w:val="auto"/>
          <w:szCs w:val="21"/>
          <w:highlight w:val="none"/>
        </w:rPr>
        <w:t>。</w:t>
      </w:r>
    </w:p>
    <w:p>
      <w:pPr>
        <w:widowControl w:val="0"/>
        <w:spacing w:line="360" w:lineRule="auto"/>
        <w:ind w:firstLine="840" w:firstLineChars="400"/>
        <w:jc w:val="both"/>
        <w:rPr>
          <w:rFonts w:ascii="宋体" w:hAnsi="宋体" w:cs="宋体"/>
          <w:bCs/>
          <w:sz w:val="21"/>
          <w:szCs w:val="21"/>
          <w:highlight w:val="none"/>
        </w:rPr>
      </w:pPr>
    </w:p>
    <w:sectPr>
      <w:pgSz w:w="11906" w:h="16838"/>
      <w:pgMar w:top="1418" w:right="1588" w:bottom="1418" w:left="158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5B1D31-FBFC-4040-B688-DA2F38DF1238}"/>
  </w:font>
  <w:font w:name="黑体">
    <w:panose1 w:val="02010609060101010101"/>
    <w:charset w:val="86"/>
    <w:family w:val="auto"/>
    <w:pitch w:val="default"/>
    <w:sig w:usb0="800002BF" w:usb1="38CF7CFA" w:usb2="00000016" w:usb3="00000000" w:csb0="00040001" w:csb1="00000000"/>
    <w:embedRegular r:id="rId2" w:fontKey="{05E6C7C6-A30F-4F60-B3FF-CE160A2A7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A095A011-8708-487B-A017-98E8A84C7B10}"/>
  </w:font>
  <w:font w:name="ÀŒÃÂ">
    <w:altName w:val="Segoe Print"/>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4" w:fontKey="{408C6D04-CF9E-4223-84B6-BB59C392EB96}"/>
  </w:font>
  <w:font w:name="仿宋">
    <w:panose1 w:val="02010609060101010101"/>
    <w:charset w:val="86"/>
    <w:family w:val="modern"/>
    <w:pitch w:val="default"/>
    <w:sig w:usb0="800002BF" w:usb1="38CF7CFA" w:usb2="00000016" w:usb3="00000000" w:csb0="00040001" w:csb1="00000000"/>
    <w:embedRegular r:id="rId5" w:fontKey="{4CA34A8E-2248-46E9-9A80-76AF7724000D}"/>
  </w:font>
  <w:font w:name="方正仿宋_GBK">
    <w:panose1 w:val="03000509000000000000"/>
    <w:charset w:val="86"/>
    <w:family w:val="auto"/>
    <w:pitch w:val="default"/>
    <w:sig w:usb0="00000001" w:usb1="080E0000" w:usb2="00000000" w:usb3="00000000" w:csb0="00040000" w:csb1="00000000"/>
    <w:embedRegular r:id="rId6" w:fontKey="{803F2E1B-9F4C-41B6-9967-64F4463B984F}"/>
  </w:font>
  <w:font w:name="Segoe UI">
    <w:panose1 w:val="020B0502040204020203"/>
    <w:charset w:val="00"/>
    <w:family w:val="swiss"/>
    <w:pitch w:val="default"/>
    <w:sig w:usb0="E4002EFF" w:usb1="C000E47F" w:usb2="00000009" w:usb3="00000000" w:csb0="200001FF" w:csb1="00000000"/>
    <w:embedRegular r:id="rId7" w:fontKey="{A848DA5B-82D9-4EAC-9ED7-1C64BAB71F3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4j0skBAACeAwAADgAAAGRycy9lMm9Eb2MueG1srVNLbtswEN0XyB0I&#10;7mMpBlIYguWghZEiQNAWSHsAmqIsAiSH4NCWfIH2Bl11033P5XN0SMl2mm6y6IaaH9/Mexwt7wZr&#10;2F4F1OBqfjMrOVNOQqPdtuZfv9xfLzjDKFwjDDhV84NCfre6erPsfaXm0IFpVGAE4rDqfc27GH1V&#10;FCg7ZQXOwCtHyRaCFZHcsC2aIHpCt6aYl+XboofQ+ABSIVJ0PSb5hBheAwhtq6Vag9xZ5eKIGpQR&#10;kShhpz3yVZ62bZWMn9oWVWSm5sQ05pOakL1JZ7FaimobhO+0nEYQrxnhBScrtKOmZ6i1iILtgv4H&#10;ymoZAKGNMwm2GIlkRYjFTflCm6dOeJW5kNToz6Lj/4OVH/efA9NNzW85c8LSgx9/fD/+/H389Y3N&#10;y9usUO+xosInT6VxeA8D7U1SLsWRgon40AabvkSJUZ70PZz1VUNkMl1azBeLklKScieHcIrLdR8w&#10;flBgWTJqHugBs65i/4hxLD2VpG4O7rUx+RGN+ytAmGNE5S2Ybl8mTlYcNsNEYwPNgdj1tAk1d7T4&#10;nJkHR0KnpTkZ4WRsJiN1RP9uF2mMPF1CHaGIVXLo2TK/acXSXjz3c9Xlt1r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XiPSyQEAAJ4DAAAOAAAAAAAAAAEAIAAAAB4BAABkcnMvZTJvRG9j&#10;LnhtbFBLBQYAAAAABgAGAFkBAABZBQAAAAA=&#10;">
              <v:fill on="f" focussize="0,0"/>
              <v:stroke on="f"/>
              <v:imagedata o:title=""/>
              <o:lock v:ext="edit" aspectratio="f"/>
              <v:textbox inset="0mm,0mm,0mm,0mm" style="mso-fit-shape-to-text:t;">
                <w:txbxContent>
                  <w:p>
                    <w:pPr>
                      <w:pStyle w:val="19"/>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F6A97"/>
    <w:multiLevelType w:val="multilevel"/>
    <w:tmpl w:val="43FF6A97"/>
    <w:lvl w:ilvl="0" w:tentative="0">
      <w:start w:val="1"/>
      <w:numFmt w:val="none"/>
      <w:lvlText w:val="1.1.17"/>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7542A9A2"/>
    <w:multiLevelType w:val="singleLevel"/>
    <w:tmpl w:val="7542A9A2"/>
    <w:lvl w:ilvl="0" w:tentative="0">
      <w:start w:val="1"/>
      <w:numFmt w:val="decimal"/>
      <w:suff w:val="nothing"/>
      <w:lvlText w:val="%1、"/>
      <w:lvlJc w:val="left"/>
    </w:lvl>
  </w:abstractNum>
  <w:abstractNum w:abstractNumId="2">
    <w:nsid w:val="7A53FA2C"/>
    <w:multiLevelType w:val="singleLevel"/>
    <w:tmpl w:val="7A53FA2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NjYyMjA5Njc4Zjk3NmZmYTc1NGUyNmQzMTkzNmM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511A1"/>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4394"/>
    <w:rsid w:val="00435722"/>
    <w:rsid w:val="00450E5D"/>
    <w:rsid w:val="004658FA"/>
    <w:rsid w:val="00470198"/>
    <w:rsid w:val="00494E3D"/>
    <w:rsid w:val="004A01A2"/>
    <w:rsid w:val="004A5F85"/>
    <w:rsid w:val="004C6100"/>
    <w:rsid w:val="004D2546"/>
    <w:rsid w:val="004D6D82"/>
    <w:rsid w:val="004E0D2E"/>
    <w:rsid w:val="004E2611"/>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75481"/>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82CFA"/>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C71F3"/>
    <w:rsid w:val="016D6AC7"/>
    <w:rsid w:val="01714809"/>
    <w:rsid w:val="01B81F4E"/>
    <w:rsid w:val="01E225A2"/>
    <w:rsid w:val="01E60F36"/>
    <w:rsid w:val="01EA04ED"/>
    <w:rsid w:val="020B07BA"/>
    <w:rsid w:val="022509EE"/>
    <w:rsid w:val="022A4E77"/>
    <w:rsid w:val="022E44A8"/>
    <w:rsid w:val="02346EF6"/>
    <w:rsid w:val="02691984"/>
    <w:rsid w:val="026A2E36"/>
    <w:rsid w:val="026D4B89"/>
    <w:rsid w:val="028265A2"/>
    <w:rsid w:val="02852841"/>
    <w:rsid w:val="02913441"/>
    <w:rsid w:val="02AF383B"/>
    <w:rsid w:val="02B64A8D"/>
    <w:rsid w:val="02DE5ECF"/>
    <w:rsid w:val="02EC1CA9"/>
    <w:rsid w:val="03065425"/>
    <w:rsid w:val="030C130F"/>
    <w:rsid w:val="034B4414"/>
    <w:rsid w:val="03563241"/>
    <w:rsid w:val="03AF3136"/>
    <w:rsid w:val="03DB6D68"/>
    <w:rsid w:val="03F35447"/>
    <w:rsid w:val="040354C1"/>
    <w:rsid w:val="0405071D"/>
    <w:rsid w:val="04130CF3"/>
    <w:rsid w:val="043A5387"/>
    <w:rsid w:val="046B19E4"/>
    <w:rsid w:val="047A3C82"/>
    <w:rsid w:val="04B32967"/>
    <w:rsid w:val="04C46EBC"/>
    <w:rsid w:val="04D26084"/>
    <w:rsid w:val="052120A3"/>
    <w:rsid w:val="053733E3"/>
    <w:rsid w:val="054F4E62"/>
    <w:rsid w:val="055E6E53"/>
    <w:rsid w:val="056A57F8"/>
    <w:rsid w:val="056D227B"/>
    <w:rsid w:val="057228FE"/>
    <w:rsid w:val="05E0020A"/>
    <w:rsid w:val="06071298"/>
    <w:rsid w:val="062647CB"/>
    <w:rsid w:val="064D7481"/>
    <w:rsid w:val="065048F3"/>
    <w:rsid w:val="06540256"/>
    <w:rsid w:val="06691F53"/>
    <w:rsid w:val="06897EFF"/>
    <w:rsid w:val="069074E0"/>
    <w:rsid w:val="06A72A7B"/>
    <w:rsid w:val="06BB2083"/>
    <w:rsid w:val="06BB3B5B"/>
    <w:rsid w:val="06BE0191"/>
    <w:rsid w:val="06BE1C50"/>
    <w:rsid w:val="06C6731D"/>
    <w:rsid w:val="06CC1AEC"/>
    <w:rsid w:val="06DD36FA"/>
    <w:rsid w:val="06F305C5"/>
    <w:rsid w:val="07034156"/>
    <w:rsid w:val="070B6B66"/>
    <w:rsid w:val="0712477A"/>
    <w:rsid w:val="07153AA1"/>
    <w:rsid w:val="07165CD4"/>
    <w:rsid w:val="071D7F32"/>
    <w:rsid w:val="07247C28"/>
    <w:rsid w:val="077706A0"/>
    <w:rsid w:val="077D556B"/>
    <w:rsid w:val="082779D0"/>
    <w:rsid w:val="082A5712"/>
    <w:rsid w:val="083D5469"/>
    <w:rsid w:val="08547ECE"/>
    <w:rsid w:val="088A443D"/>
    <w:rsid w:val="089A512A"/>
    <w:rsid w:val="08A2799E"/>
    <w:rsid w:val="08AC4379"/>
    <w:rsid w:val="08AE00F1"/>
    <w:rsid w:val="08FD1DEA"/>
    <w:rsid w:val="08FD26D2"/>
    <w:rsid w:val="093305F6"/>
    <w:rsid w:val="093B0A01"/>
    <w:rsid w:val="097A6637"/>
    <w:rsid w:val="097F383C"/>
    <w:rsid w:val="09826A8C"/>
    <w:rsid w:val="09A13015"/>
    <w:rsid w:val="09B41A12"/>
    <w:rsid w:val="09C851E3"/>
    <w:rsid w:val="09DC2A3C"/>
    <w:rsid w:val="0A05340D"/>
    <w:rsid w:val="0A104E7E"/>
    <w:rsid w:val="0A122961"/>
    <w:rsid w:val="0A200B7B"/>
    <w:rsid w:val="0A30240D"/>
    <w:rsid w:val="0ABA12FC"/>
    <w:rsid w:val="0AC7549A"/>
    <w:rsid w:val="0AF53DB5"/>
    <w:rsid w:val="0AFB7861"/>
    <w:rsid w:val="0B073AE9"/>
    <w:rsid w:val="0B154457"/>
    <w:rsid w:val="0B3548DA"/>
    <w:rsid w:val="0B6910EB"/>
    <w:rsid w:val="0B896BF3"/>
    <w:rsid w:val="0B9D4513"/>
    <w:rsid w:val="0BA852CC"/>
    <w:rsid w:val="0BBE689D"/>
    <w:rsid w:val="0BF027CF"/>
    <w:rsid w:val="0BF978D5"/>
    <w:rsid w:val="0C05627A"/>
    <w:rsid w:val="0C0A1AE2"/>
    <w:rsid w:val="0C1D53A7"/>
    <w:rsid w:val="0C842CBC"/>
    <w:rsid w:val="0CAC2B9A"/>
    <w:rsid w:val="0CE52B68"/>
    <w:rsid w:val="0CF02FE7"/>
    <w:rsid w:val="0D224C0A"/>
    <w:rsid w:val="0D3F3A0E"/>
    <w:rsid w:val="0D68799F"/>
    <w:rsid w:val="0D713D7D"/>
    <w:rsid w:val="0D9E3A74"/>
    <w:rsid w:val="0DB96B40"/>
    <w:rsid w:val="0DCC19EB"/>
    <w:rsid w:val="0DE93979"/>
    <w:rsid w:val="0DFC5A51"/>
    <w:rsid w:val="0E146B29"/>
    <w:rsid w:val="0E1E49F8"/>
    <w:rsid w:val="0E230C39"/>
    <w:rsid w:val="0E372937"/>
    <w:rsid w:val="0E4E725B"/>
    <w:rsid w:val="0E6B25E0"/>
    <w:rsid w:val="0E912047"/>
    <w:rsid w:val="0ED55A54"/>
    <w:rsid w:val="0EF3685E"/>
    <w:rsid w:val="0EF521B0"/>
    <w:rsid w:val="0F181A89"/>
    <w:rsid w:val="0F457653"/>
    <w:rsid w:val="0F590470"/>
    <w:rsid w:val="0F5F0397"/>
    <w:rsid w:val="0F8D136E"/>
    <w:rsid w:val="0FB87AA7"/>
    <w:rsid w:val="0FBD1570"/>
    <w:rsid w:val="0FBD50BE"/>
    <w:rsid w:val="0FDC19E8"/>
    <w:rsid w:val="104B4477"/>
    <w:rsid w:val="105C17DB"/>
    <w:rsid w:val="11180717"/>
    <w:rsid w:val="115E01DA"/>
    <w:rsid w:val="1160202D"/>
    <w:rsid w:val="1161340A"/>
    <w:rsid w:val="11642DF2"/>
    <w:rsid w:val="117164A2"/>
    <w:rsid w:val="11830360"/>
    <w:rsid w:val="11943BFC"/>
    <w:rsid w:val="11B22527"/>
    <w:rsid w:val="11C60F64"/>
    <w:rsid w:val="11E614F9"/>
    <w:rsid w:val="11E93F48"/>
    <w:rsid w:val="12061235"/>
    <w:rsid w:val="120F619E"/>
    <w:rsid w:val="121E36C5"/>
    <w:rsid w:val="123A7522"/>
    <w:rsid w:val="125F42F7"/>
    <w:rsid w:val="126A262A"/>
    <w:rsid w:val="12C30C3D"/>
    <w:rsid w:val="12C90373"/>
    <w:rsid w:val="12E82277"/>
    <w:rsid w:val="12EB7599"/>
    <w:rsid w:val="130A123F"/>
    <w:rsid w:val="13177301"/>
    <w:rsid w:val="132B7C1A"/>
    <w:rsid w:val="134A761C"/>
    <w:rsid w:val="135A334F"/>
    <w:rsid w:val="136A730B"/>
    <w:rsid w:val="13A97E33"/>
    <w:rsid w:val="13B14F39"/>
    <w:rsid w:val="13BD568C"/>
    <w:rsid w:val="13D555E0"/>
    <w:rsid w:val="13D749A0"/>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EE7D7F"/>
    <w:rsid w:val="15F31839"/>
    <w:rsid w:val="160C2960"/>
    <w:rsid w:val="161206F8"/>
    <w:rsid w:val="16183265"/>
    <w:rsid w:val="16253883"/>
    <w:rsid w:val="16315EBE"/>
    <w:rsid w:val="16333219"/>
    <w:rsid w:val="16426169"/>
    <w:rsid w:val="1649227B"/>
    <w:rsid w:val="16564FD6"/>
    <w:rsid w:val="165C511D"/>
    <w:rsid w:val="16646293"/>
    <w:rsid w:val="166718DF"/>
    <w:rsid w:val="166F4D71"/>
    <w:rsid w:val="16DB6809"/>
    <w:rsid w:val="16F70EB5"/>
    <w:rsid w:val="17155AED"/>
    <w:rsid w:val="172872C1"/>
    <w:rsid w:val="17E05CE9"/>
    <w:rsid w:val="17FB49D5"/>
    <w:rsid w:val="180C006C"/>
    <w:rsid w:val="180E64B6"/>
    <w:rsid w:val="18716A45"/>
    <w:rsid w:val="187A579A"/>
    <w:rsid w:val="187C567E"/>
    <w:rsid w:val="18A46E1B"/>
    <w:rsid w:val="18EA4DA7"/>
    <w:rsid w:val="19076BA9"/>
    <w:rsid w:val="19250D1B"/>
    <w:rsid w:val="19567D24"/>
    <w:rsid w:val="19706CFD"/>
    <w:rsid w:val="199C51C6"/>
    <w:rsid w:val="19B94B48"/>
    <w:rsid w:val="19C55CC1"/>
    <w:rsid w:val="1A134258"/>
    <w:rsid w:val="1A1B135F"/>
    <w:rsid w:val="1A3B730B"/>
    <w:rsid w:val="1A4408B5"/>
    <w:rsid w:val="1A6C5508"/>
    <w:rsid w:val="1A97225A"/>
    <w:rsid w:val="1A9975C9"/>
    <w:rsid w:val="1AD80C7F"/>
    <w:rsid w:val="1AE179D4"/>
    <w:rsid w:val="1AE8166C"/>
    <w:rsid w:val="1AF71484"/>
    <w:rsid w:val="1B0167A6"/>
    <w:rsid w:val="1B4E306E"/>
    <w:rsid w:val="1B522B5E"/>
    <w:rsid w:val="1B572DE3"/>
    <w:rsid w:val="1B651382"/>
    <w:rsid w:val="1B696ADA"/>
    <w:rsid w:val="1B9A62B3"/>
    <w:rsid w:val="1BB750B7"/>
    <w:rsid w:val="1BC32914"/>
    <w:rsid w:val="1BC92D5A"/>
    <w:rsid w:val="1C102A29"/>
    <w:rsid w:val="1C3B01F8"/>
    <w:rsid w:val="1C4F709D"/>
    <w:rsid w:val="1C591044"/>
    <w:rsid w:val="1C6659C2"/>
    <w:rsid w:val="1C720D20"/>
    <w:rsid w:val="1C8E38A1"/>
    <w:rsid w:val="1CA3405A"/>
    <w:rsid w:val="1CC82D53"/>
    <w:rsid w:val="1CC86D62"/>
    <w:rsid w:val="1CE27FBF"/>
    <w:rsid w:val="1D160BB8"/>
    <w:rsid w:val="1D3A4095"/>
    <w:rsid w:val="1D74158B"/>
    <w:rsid w:val="1D74500E"/>
    <w:rsid w:val="1DF77143"/>
    <w:rsid w:val="1E08043A"/>
    <w:rsid w:val="1E0D3B7E"/>
    <w:rsid w:val="1E290A8B"/>
    <w:rsid w:val="1E312EFF"/>
    <w:rsid w:val="1E6C03DB"/>
    <w:rsid w:val="1E8B6273"/>
    <w:rsid w:val="1EF87ECE"/>
    <w:rsid w:val="1F29007A"/>
    <w:rsid w:val="1F6C10DE"/>
    <w:rsid w:val="1F707A57"/>
    <w:rsid w:val="1F8F0BF8"/>
    <w:rsid w:val="1FEB3581"/>
    <w:rsid w:val="1FF9343C"/>
    <w:rsid w:val="1FFC578E"/>
    <w:rsid w:val="20112FE8"/>
    <w:rsid w:val="20157DAF"/>
    <w:rsid w:val="202924C7"/>
    <w:rsid w:val="20670E5A"/>
    <w:rsid w:val="208E16CF"/>
    <w:rsid w:val="20E1361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30B3A"/>
    <w:rsid w:val="22295AD0"/>
    <w:rsid w:val="223623F3"/>
    <w:rsid w:val="22393D7A"/>
    <w:rsid w:val="226671AC"/>
    <w:rsid w:val="229A1646"/>
    <w:rsid w:val="22AD78FE"/>
    <w:rsid w:val="22B15C30"/>
    <w:rsid w:val="23192527"/>
    <w:rsid w:val="231A6657"/>
    <w:rsid w:val="2332573A"/>
    <w:rsid w:val="233A0D5E"/>
    <w:rsid w:val="23411E26"/>
    <w:rsid w:val="236E623D"/>
    <w:rsid w:val="23BF0FAD"/>
    <w:rsid w:val="241D14BC"/>
    <w:rsid w:val="241F1A7A"/>
    <w:rsid w:val="242341FB"/>
    <w:rsid w:val="24443260"/>
    <w:rsid w:val="24466FD8"/>
    <w:rsid w:val="244D480A"/>
    <w:rsid w:val="247578BD"/>
    <w:rsid w:val="24782C2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5D32AED"/>
    <w:rsid w:val="260A58E2"/>
    <w:rsid w:val="260B54CA"/>
    <w:rsid w:val="260C2ECE"/>
    <w:rsid w:val="261A6112"/>
    <w:rsid w:val="269009DE"/>
    <w:rsid w:val="26924756"/>
    <w:rsid w:val="26CC76FD"/>
    <w:rsid w:val="26D22DA5"/>
    <w:rsid w:val="26D848D9"/>
    <w:rsid w:val="26FC6074"/>
    <w:rsid w:val="27010CE7"/>
    <w:rsid w:val="27513C7C"/>
    <w:rsid w:val="275D6B12"/>
    <w:rsid w:val="276576A9"/>
    <w:rsid w:val="276907BC"/>
    <w:rsid w:val="27826579"/>
    <w:rsid w:val="27A26C1B"/>
    <w:rsid w:val="27C3100E"/>
    <w:rsid w:val="27C46B92"/>
    <w:rsid w:val="27CC1959"/>
    <w:rsid w:val="27D03788"/>
    <w:rsid w:val="27D112AE"/>
    <w:rsid w:val="27ED501A"/>
    <w:rsid w:val="27F31225"/>
    <w:rsid w:val="28060F58"/>
    <w:rsid w:val="28101DD7"/>
    <w:rsid w:val="281C69CE"/>
    <w:rsid w:val="285F2D5E"/>
    <w:rsid w:val="2861066E"/>
    <w:rsid w:val="28847761"/>
    <w:rsid w:val="29096BD2"/>
    <w:rsid w:val="290A2502"/>
    <w:rsid w:val="291C6636"/>
    <w:rsid w:val="292673D8"/>
    <w:rsid w:val="293B10D5"/>
    <w:rsid w:val="29760631"/>
    <w:rsid w:val="29B00C1F"/>
    <w:rsid w:val="29B019A3"/>
    <w:rsid w:val="2A224043"/>
    <w:rsid w:val="2A3224D8"/>
    <w:rsid w:val="2A363B85"/>
    <w:rsid w:val="2A4E4353"/>
    <w:rsid w:val="2A5A37DD"/>
    <w:rsid w:val="2A614B6C"/>
    <w:rsid w:val="2A92596F"/>
    <w:rsid w:val="2ABD408D"/>
    <w:rsid w:val="2AC12217"/>
    <w:rsid w:val="2AE0123A"/>
    <w:rsid w:val="2AEC3E4F"/>
    <w:rsid w:val="2B02634F"/>
    <w:rsid w:val="2B0379D1"/>
    <w:rsid w:val="2B1206D3"/>
    <w:rsid w:val="2B157E8C"/>
    <w:rsid w:val="2B797C93"/>
    <w:rsid w:val="2B88437A"/>
    <w:rsid w:val="2B9F2E51"/>
    <w:rsid w:val="2C075B8A"/>
    <w:rsid w:val="2C0B2FE1"/>
    <w:rsid w:val="2C19528B"/>
    <w:rsid w:val="2C346B47"/>
    <w:rsid w:val="2C3C6C8B"/>
    <w:rsid w:val="2C452D43"/>
    <w:rsid w:val="2C48086A"/>
    <w:rsid w:val="2C571A8D"/>
    <w:rsid w:val="2C5E3228"/>
    <w:rsid w:val="2C954FA0"/>
    <w:rsid w:val="2C9805ED"/>
    <w:rsid w:val="2C9A01CA"/>
    <w:rsid w:val="2CAC6259"/>
    <w:rsid w:val="2D0C305E"/>
    <w:rsid w:val="2D23435A"/>
    <w:rsid w:val="2D2929C9"/>
    <w:rsid w:val="2D5B7F98"/>
    <w:rsid w:val="2D6A3D37"/>
    <w:rsid w:val="2D744BB6"/>
    <w:rsid w:val="2DBD655D"/>
    <w:rsid w:val="2DC21DC5"/>
    <w:rsid w:val="2DE74D54"/>
    <w:rsid w:val="2E007756"/>
    <w:rsid w:val="2E0E6DB8"/>
    <w:rsid w:val="2E1017BF"/>
    <w:rsid w:val="2E2B5035"/>
    <w:rsid w:val="2E5B6475"/>
    <w:rsid w:val="2EAB67C6"/>
    <w:rsid w:val="2EFE507F"/>
    <w:rsid w:val="2F146650"/>
    <w:rsid w:val="2F265028"/>
    <w:rsid w:val="2F414F6C"/>
    <w:rsid w:val="2F4B69DB"/>
    <w:rsid w:val="2F757E6C"/>
    <w:rsid w:val="2F7865AA"/>
    <w:rsid w:val="2FCF5B24"/>
    <w:rsid w:val="2FDD2EE6"/>
    <w:rsid w:val="2FE04785"/>
    <w:rsid w:val="30360848"/>
    <w:rsid w:val="303E6475"/>
    <w:rsid w:val="303F3984"/>
    <w:rsid w:val="308B35EB"/>
    <w:rsid w:val="3095556F"/>
    <w:rsid w:val="309D2676"/>
    <w:rsid w:val="30D140CD"/>
    <w:rsid w:val="30D2231F"/>
    <w:rsid w:val="30DF2C8E"/>
    <w:rsid w:val="30E73C6A"/>
    <w:rsid w:val="30FD4EC2"/>
    <w:rsid w:val="31101099"/>
    <w:rsid w:val="3145759A"/>
    <w:rsid w:val="314774D9"/>
    <w:rsid w:val="315D7542"/>
    <w:rsid w:val="316C2F99"/>
    <w:rsid w:val="319F1A18"/>
    <w:rsid w:val="31A041CB"/>
    <w:rsid w:val="31A67308"/>
    <w:rsid w:val="31FB4569"/>
    <w:rsid w:val="32134B55"/>
    <w:rsid w:val="32271EC3"/>
    <w:rsid w:val="325B4596"/>
    <w:rsid w:val="32786EF6"/>
    <w:rsid w:val="32894C60"/>
    <w:rsid w:val="32CC2D9E"/>
    <w:rsid w:val="32E875B7"/>
    <w:rsid w:val="33107C6F"/>
    <w:rsid w:val="3321345F"/>
    <w:rsid w:val="336631F3"/>
    <w:rsid w:val="33745910"/>
    <w:rsid w:val="33891C83"/>
    <w:rsid w:val="33B169E4"/>
    <w:rsid w:val="33CC3D84"/>
    <w:rsid w:val="33CF2B46"/>
    <w:rsid w:val="33E505BB"/>
    <w:rsid w:val="340016D5"/>
    <w:rsid w:val="340E5CED"/>
    <w:rsid w:val="34651A9C"/>
    <w:rsid w:val="34764194"/>
    <w:rsid w:val="35103416"/>
    <w:rsid w:val="352C623B"/>
    <w:rsid w:val="352E1AEE"/>
    <w:rsid w:val="35610116"/>
    <w:rsid w:val="35887450"/>
    <w:rsid w:val="358E166E"/>
    <w:rsid w:val="358E6A31"/>
    <w:rsid w:val="359330B7"/>
    <w:rsid w:val="35AF0E81"/>
    <w:rsid w:val="35BA3D90"/>
    <w:rsid w:val="36023AC3"/>
    <w:rsid w:val="363D46DF"/>
    <w:rsid w:val="36486BE0"/>
    <w:rsid w:val="367C581D"/>
    <w:rsid w:val="368340BC"/>
    <w:rsid w:val="36BB20DA"/>
    <w:rsid w:val="36C02C1A"/>
    <w:rsid w:val="370F76FD"/>
    <w:rsid w:val="37213AEB"/>
    <w:rsid w:val="37335AE2"/>
    <w:rsid w:val="37485855"/>
    <w:rsid w:val="377A465F"/>
    <w:rsid w:val="37E478DF"/>
    <w:rsid w:val="37ED5E30"/>
    <w:rsid w:val="38065507"/>
    <w:rsid w:val="380977E7"/>
    <w:rsid w:val="384265B4"/>
    <w:rsid w:val="38591578"/>
    <w:rsid w:val="38650AC7"/>
    <w:rsid w:val="38681CB4"/>
    <w:rsid w:val="388365F5"/>
    <w:rsid w:val="38877E93"/>
    <w:rsid w:val="38991D99"/>
    <w:rsid w:val="38B904D9"/>
    <w:rsid w:val="38C42E95"/>
    <w:rsid w:val="38C44974"/>
    <w:rsid w:val="38D303E0"/>
    <w:rsid w:val="38EE1CC0"/>
    <w:rsid w:val="3929068B"/>
    <w:rsid w:val="39295581"/>
    <w:rsid w:val="39565A32"/>
    <w:rsid w:val="397F6DBC"/>
    <w:rsid w:val="39B340A5"/>
    <w:rsid w:val="39D12EC0"/>
    <w:rsid w:val="3A127C30"/>
    <w:rsid w:val="3A18480B"/>
    <w:rsid w:val="3A1D4906"/>
    <w:rsid w:val="3A354D8F"/>
    <w:rsid w:val="3A5D4247"/>
    <w:rsid w:val="3A7461F5"/>
    <w:rsid w:val="3A8F0F13"/>
    <w:rsid w:val="3A8F302F"/>
    <w:rsid w:val="3A944F9A"/>
    <w:rsid w:val="3AB6680E"/>
    <w:rsid w:val="3AC4610C"/>
    <w:rsid w:val="3AC70A1B"/>
    <w:rsid w:val="3ADD5722"/>
    <w:rsid w:val="3AE62396"/>
    <w:rsid w:val="3AEF3ACE"/>
    <w:rsid w:val="3AFC27B3"/>
    <w:rsid w:val="3B051543"/>
    <w:rsid w:val="3B0976FC"/>
    <w:rsid w:val="3B3A4D42"/>
    <w:rsid w:val="3B605751"/>
    <w:rsid w:val="3BA26D92"/>
    <w:rsid w:val="3BB80364"/>
    <w:rsid w:val="3BC9067B"/>
    <w:rsid w:val="3BE94483"/>
    <w:rsid w:val="3C034322"/>
    <w:rsid w:val="3C1557B6"/>
    <w:rsid w:val="3C212ADA"/>
    <w:rsid w:val="3C261771"/>
    <w:rsid w:val="3C2679C3"/>
    <w:rsid w:val="3C3A3252"/>
    <w:rsid w:val="3C3D6ABB"/>
    <w:rsid w:val="3CE810C8"/>
    <w:rsid w:val="3CED2271"/>
    <w:rsid w:val="3CF36ED7"/>
    <w:rsid w:val="3D0A1454"/>
    <w:rsid w:val="3D0C6BB9"/>
    <w:rsid w:val="3D497A6B"/>
    <w:rsid w:val="3D4C16AB"/>
    <w:rsid w:val="3D5B299C"/>
    <w:rsid w:val="3D714C6E"/>
    <w:rsid w:val="3D934282"/>
    <w:rsid w:val="3D9F17DB"/>
    <w:rsid w:val="3DC740F2"/>
    <w:rsid w:val="3DEC4490"/>
    <w:rsid w:val="3E2834A0"/>
    <w:rsid w:val="3E2D4B10"/>
    <w:rsid w:val="3E377C66"/>
    <w:rsid w:val="3E497999"/>
    <w:rsid w:val="3E7739EC"/>
    <w:rsid w:val="3EA51073"/>
    <w:rsid w:val="3EDE2E0A"/>
    <w:rsid w:val="3EE17838"/>
    <w:rsid w:val="3F0F0BE2"/>
    <w:rsid w:val="3F3E3276"/>
    <w:rsid w:val="3F4C08E9"/>
    <w:rsid w:val="3FB455DD"/>
    <w:rsid w:val="3FC75019"/>
    <w:rsid w:val="3FC9719A"/>
    <w:rsid w:val="3FD6525C"/>
    <w:rsid w:val="400D3374"/>
    <w:rsid w:val="40400BE3"/>
    <w:rsid w:val="408D5C92"/>
    <w:rsid w:val="40A77E98"/>
    <w:rsid w:val="40A935D2"/>
    <w:rsid w:val="40E51BFB"/>
    <w:rsid w:val="410209B9"/>
    <w:rsid w:val="412D566A"/>
    <w:rsid w:val="415A52BC"/>
    <w:rsid w:val="415F7893"/>
    <w:rsid w:val="416D23C4"/>
    <w:rsid w:val="416F3BBA"/>
    <w:rsid w:val="41831D17"/>
    <w:rsid w:val="41B31CF9"/>
    <w:rsid w:val="41F1637D"/>
    <w:rsid w:val="41F65DB5"/>
    <w:rsid w:val="42303B15"/>
    <w:rsid w:val="42497F67"/>
    <w:rsid w:val="42597579"/>
    <w:rsid w:val="42CA569E"/>
    <w:rsid w:val="42D731AB"/>
    <w:rsid w:val="42E63A08"/>
    <w:rsid w:val="42E70940"/>
    <w:rsid w:val="42F20DCB"/>
    <w:rsid w:val="42F80C34"/>
    <w:rsid w:val="430E60F0"/>
    <w:rsid w:val="4310512D"/>
    <w:rsid w:val="43413334"/>
    <w:rsid w:val="434846C3"/>
    <w:rsid w:val="434B21EB"/>
    <w:rsid w:val="4363652A"/>
    <w:rsid w:val="436808C1"/>
    <w:rsid w:val="43792674"/>
    <w:rsid w:val="43792ACE"/>
    <w:rsid w:val="43F42155"/>
    <w:rsid w:val="43FF5FEF"/>
    <w:rsid w:val="446612A5"/>
    <w:rsid w:val="447D039C"/>
    <w:rsid w:val="448B2AB9"/>
    <w:rsid w:val="44903204"/>
    <w:rsid w:val="44C47D79"/>
    <w:rsid w:val="4513234C"/>
    <w:rsid w:val="45140D01"/>
    <w:rsid w:val="452D1DC2"/>
    <w:rsid w:val="452E38E1"/>
    <w:rsid w:val="4557299B"/>
    <w:rsid w:val="45584D31"/>
    <w:rsid w:val="456F4B6D"/>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7BB36B5"/>
    <w:rsid w:val="481F16DB"/>
    <w:rsid w:val="483B65A4"/>
    <w:rsid w:val="483F7EA7"/>
    <w:rsid w:val="48495F2C"/>
    <w:rsid w:val="48721C73"/>
    <w:rsid w:val="488D157A"/>
    <w:rsid w:val="489C3D6B"/>
    <w:rsid w:val="48D103FC"/>
    <w:rsid w:val="48D80297"/>
    <w:rsid w:val="48D957E1"/>
    <w:rsid w:val="48F21756"/>
    <w:rsid w:val="48FD1AAC"/>
    <w:rsid w:val="49030CE7"/>
    <w:rsid w:val="4924125B"/>
    <w:rsid w:val="49244145"/>
    <w:rsid w:val="49315AD9"/>
    <w:rsid w:val="49502F63"/>
    <w:rsid w:val="4951041B"/>
    <w:rsid w:val="495518E8"/>
    <w:rsid w:val="497C6E74"/>
    <w:rsid w:val="498A77E3"/>
    <w:rsid w:val="49AA1C33"/>
    <w:rsid w:val="49D002CC"/>
    <w:rsid w:val="49E31F95"/>
    <w:rsid w:val="4A015DB3"/>
    <w:rsid w:val="4A174DEF"/>
    <w:rsid w:val="4A1E18DE"/>
    <w:rsid w:val="4A1E1CDA"/>
    <w:rsid w:val="4A2861F7"/>
    <w:rsid w:val="4A315EB1"/>
    <w:rsid w:val="4A3277B2"/>
    <w:rsid w:val="4A4623BE"/>
    <w:rsid w:val="4A8A55C1"/>
    <w:rsid w:val="4AA743C5"/>
    <w:rsid w:val="4AAE5591"/>
    <w:rsid w:val="4AD827D0"/>
    <w:rsid w:val="4AE31452"/>
    <w:rsid w:val="4B137364"/>
    <w:rsid w:val="4B1D6435"/>
    <w:rsid w:val="4B321580"/>
    <w:rsid w:val="4B3F1E2E"/>
    <w:rsid w:val="4B4B688B"/>
    <w:rsid w:val="4B717647"/>
    <w:rsid w:val="4B814C16"/>
    <w:rsid w:val="4B88653D"/>
    <w:rsid w:val="4BF34828"/>
    <w:rsid w:val="4C01710C"/>
    <w:rsid w:val="4C0C20D5"/>
    <w:rsid w:val="4C6C31D0"/>
    <w:rsid w:val="4C8D3147"/>
    <w:rsid w:val="4CBA03DF"/>
    <w:rsid w:val="4CFA4C80"/>
    <w:rsid w:val="4D096C06"/>
    <w:rsid w:val="4D0D77FD"/>
    <w:rsid w:val="4D7A32EE"/>
    <w:rsid w:val="4D892E0C"/>
    <w:rsid w:val="4D976936"/>
    <w:rsid w:val="4D9F1065"/>
    <w:rsid w:val="4DD10DCA"/>
    <w:rsid w:val="4DEE5E67"/>
    <w:rsid w:val="4E30647F"/>
    <w:rsid w:val="4E40026B"/>
    <w:rsid w:val="4E4116FB"/>
    <w:rsid w:val="4E453CD9"/>
    <w:rsid w:val="4E5553A1"/>
    <w:rsid w:val="4E7A6D0A"/>
    <w:rsid w:val="4E813796"/>
    <w:rsid w:val="4EBA27E0"/>
    <w:rsid w:val="4EBE1CDD"/>
    <w:rsid w:val="4ED268AA"/>
    <w:rsid w:val="4ED33793"/>
    <w:rsid w:val="4ED75E1F"/>
    <w:rsid w:val="4ED769C9"/>
    <w:rsid w:val="4F350835"/>
    <w:rsid w:val="4F512B51"/>
    <w:rsid w:val="4F585C8E"/>
    <w:rsid w:val="4FC27B2B"/>
    <w:rsid w:val="502B33A2"/>
    <w:rsid w:val="50494728"/>
    <w:rsid w:val="50497A9C"/>
    <w:rsid w:val="50741988"/>
    <w:rsid w:val="507D1ED1"/>
    <w:rsid w:val="50830AE8"/>
    <w:rsid w:val="50D97448"/>
    <w:rsid w:val="50F746EC"/>
    <w:rsid w:val="51175160"/>
    <w:rsid w:val="51371565"/>
    <w:rsid w:val="513D4FEA"/>
    <w:rsid w:val="515D758B"/>
    <w:rsid w:val="516052CE"/>
    <w:rsid w:val="517D1AED"/>
    <w:rsid w:val="518E326A"/>
    <w:rsid w:val="519901E5"/>
    <w:rsid w:val="51B51175"/>
    <w:rsid w:val="51F5526C"/>
    <w:rsid w:val="51FF0643"/>
    <w:rsid w:val="52045C59"/>
    <w:rsid w:val="52262073"/>
    <w:rsid w:val="52432C25"/>
    <w:rsid w:val="52567A5B"/>
    <w:rsid w:val="525A3ACB"/>
    <w:rsid w:val="52691FE2"/>
    <w:rsid w:val="52767C9D"/>
    <w:rsid w:val="52880638"/>
    <w:rsid w:val="52AE5E37"/>
    <w:rsid w:val="52C13B4A"/>
    <w:rsid w:val="52C673B2"/>
    <w:rsid w:val="52CB27AB"/>
    <w:rsid w:val="53213917"/>
    <w:rsid w:val="532962B2"/>
    <w:rsid w:val="532A16EF"/>
    <w:rsid w:val="538E1C7E"/>
    <w:rsid w:val="53901E9A"/>
    <w:rsid w:val="53BC47FF"/>
    <w:rsid w:val="53D321D7"/>
    <w:rsid w:val="53FC2BBB"/>
    <w:rsid w:val="541A5C08"/>
    <w:rsid w:val="54303A8C"/>
    <w:rsid w:val="54705828"/>
    <w:rsid w:val="547E6196"/>
    <w:rsid w:val="548B4A51"/>
    <w:rsid w:val="548D3DC7"/>
    <w:rsid w:val="54AA0D3A"/>
    <w:rsid w:val="54BC2FD3"/>
    <w:rsid w:val="54C07FFD"/>
    <w:rsid w:val="54CE5430"/>
    <w:rsid w:val="54EA55DA"/>
    <w:rsid w:val="54F31177"/>
    <w:rsid w:val="552F2962"/>
    <w:rsid w:val="554D7917"/>
    <w:rsid w:val="55827B4A"/>
    <w:rsid w:val="55904B7D"/>
    <w:rsid w:val="55BC3192"/>
    <w:rsid w:val="55CC6E85"/>
    <w:rsid w:val="55DB4492"/>
    <w:rsid w:val="55F12998"/>
    <w:rsid w:val="55F66200"/>
    <w:rsid w:val="55F75C7E"/>
    <w:rsid w:val="560501F2"/>
    <w:rsid w:val="56313359"/>
    <w:rsid w:val="56382375"/>
    <w:rsid w:val="566D62CB"/>
    <w:rsid w:val="56707D61"/>
    <w:rsid w:val="56951575"/>
    <w:rsid w:val="56C02A96"/>
    <w:rsid w:val="56CF617B"/>
    <w:rsid w:val="56D96861"/>
    <w:rsid w:val="56FA51C6"/>
    <w:rsid w:val="56FE1F46"/>
    <w:rsid w:val="572A7F10"/>
    <w:rsid w:val="57376AD1"/>
    <w:rsid w:val="576176AA"/>
    <w:rsid w:val="577E53CF"/>
    <w:rsid w:val="578C4726"/>
    <w:rsid w:val="578D6ABD"/>
    <w:rsid w:val="57931F59"/>
    <w:rsid w:val="57C42A69"/>
    <w:rsid w:val="57C93BCD"/>
    <w:rsid w:val="57F31103"/>
    <w:rsid w:val="58087E7D"/>
    <w:rsid w:val="584B2834"/>
    <w:rsid w:val="585711A2"/>
    <w:rsid w:val="585830BE"/>
    <w:rsid w:val="58613B20"/>
    <w:rsid w:val="58690F0C"/>
    <w:rsid w:val="586B07E0"/>
    <w:rsid w:val="58843914"/>
    <w:rsid w:val="58B37943"/>
    <w:rsid w:val="58C83E84"/>
    <w:rsid w:val="58DC7930"/>
    <w:rsid w:val="58F5454D"/>
    <w:rsid w:val="58F76517"/>
    <w:rsid w:val="59271254"/>
    <w:rsid w:val="59352B9C"/>
    <w:rsid w:val="594B649D"/>
    <w:rsid w:val="59747B68"/>
    <w:rsid w:val="59943D66"/>
    <w:rsid w:val="59A4512F"/>
    <w:rsid w:val="59AF294E"/>
    <w:rsid w:val="59BF726D"/>
    <w:rsid w:val="5A186745"/>
    <w:rsid w:val="5A2901BD"/>
    <w:rsid w:val="5A4117CD"/>
    <w:rsid w:val="5A545950"/>
    <w:rsid w:val="5A647495"/>
    <w:rsid w:val="5A915D0C"/>
    <w:rsid w:val="5A961277"/>
    <w:rsid w:val="5A9F29C3"/>
    <w:rsid w:val="5ABD553F"/>
    <w:rsid w:val="5AF26F96"/>
    <w:rsid w:val="5B4077C3"/>
    <w:rsid w:val="5B4350BA"/>
    <w:rsid w:val="5B4A6DD2"/>
    <w:rsid w:val="5B6A7475"/>
    <w:rsid w:val="5BAB2BF3"/>
    <w:rsid w:val="5BD42B40"/>
    <w:rsid w:val="5BEC6AB5"/>
    <w:rsid w:val="5C02667C"/>
    <w:rsid w:val="5C1002AC"/>
    <w:rsid w:val="5C2238AB"/>
    <w:rsid w:val="5C2C0EA1"/>
    <w:rsid w:val="5C2F459A"/>
    <w:rsid w:val="5C4001D5"/>
    <w:rsid w:val="5C676E2A"/>
    <w:rsid w:val="5C78171D"/>
    <w:rsid w:val="5C97631A"/>
    <w:rsid w:val="5CA97B29"/>
    <w:rsid w:val="5CC93A47"/>
    <w:rsid w:val="5CD5091E"/>
    <w:rsid w:val="5CD54DC2"/>
    <w:rsid w:val="5CDD3B9D"/>
    <w:rsid w:val="5CEF67E0"/>
    <w:rsid w:val="5D335644"/>
    <w:rsid w:val="5D534E5C"/>
    <w:rsid w:val="5DB11DC8"/>
    <w:rsid w:val="5DE3706A"/>
    <w:rsid w:val="5DE40EB4"/>
    <w:rsid w:val="5DF46F7B"/>
    <w:rsid w:val="5E1E63BE"/>
    <w:rsid w:val="5E264A7C"/>
    <w:rsid w:val="5E7762D2"/>
    <w:rsid w:val="5E865FE8"/>
    <w:rsid w:val="5E8A398A"/>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1E0831"/>
    <w:rsid w:val="606D695B"/>
    <w:rsid w:val="60AD0FA7"/>
    <w:rsid w:val="60B62814"/>
    <w:rsid w:val="60BD0047"/>
    <w:rsid w:val="60C37856"/>
    <w:rsid w:val="61006C51"/>
    <w:rsid w:val="61377DF9"/>
    <w:rsid w:val="61475B62"/>
    <w:rsid w:val="615616CB"/>
    <w:rsid w:val="617050B9"/>
    <w:rsid w:val="61834D22"/>
    <w:rsid w:val="618621F4"/>
    <w:rsid w:val="61A2220E"/>
    <w:rsid w:val="61A26C03"/>
    <w:rsid w:val="61A84853"/>
    <w:rsid w:val="61AD31F8"/>
    <w:rsid w:val="61AF1C88"/>
    <w:rsid w:val="61B15B2E"/>
    <w:rsid w:val="61B8587A"/>
    <w:rsid w:val="61D03DA9"/>
    <w:rsid w:val="622857DE"/>
    <w:rsid w:val="624A2082"/>
    <w:rsid w:val="62620EA5"/>
    <w:rsid w:val="628506F0"/>
    <w:rsid w:val="62AA7F74"/>
    <w:rsid w:val="62AF58EE"/>
    <w:rsid w:val="63141A74"/>
    <w:rsid w:val="632151B1"/>
    <w:rsid w:val="63424833"/>
    <w:rsid w:val="634E4F86"/>
    <w:rsid w:val="635F53E5"/>
    <w:rsid w:val="636702EF"/>
    <w:rsid w:val="637D20EC"/>
    <w:rsid w:val="63B71DA8"/>
    <w:rsid w:val="63C96D02"/>
    <w:rsid w:val="63D17BBF"/>
    <w:rsid w:val="64290EAE"/>
    <w:rsid w:val="6452020A"/>
    <w:rsid w:val="64854875"/>
    <w:rsid w:val="648F72EC"/>
    <w:rsid w:val="64CC6856"/>
    <w:rsid w:val="64D771FD"/>
    <w:rsid w:val="64F22E9E"/>
    <w:rsid w:val="652F0D3D"/>
    <w:rsid w:val="6533366C"/>
    <w:rsid w:val="65384941"/>
    <w:rsid w:val="653E102A"/>
    <w:rsid w:val="654E2431"/>
    <w:rsid w:val="655B7E2E"/>
    <w:rsid w:val="6576312A"/>
    <w:rsid w:val="658B79BE"/>
    <w:rsid w:val="659D126D"/>
    <w:rsid w:val="659D21F5"/>
    <w:rsid w:val="65A63874"/>
    <w:rsid w:val="65B732B6"/>
    <w:rsid w:val="66264771"/>
    <w:rsid w:val="6668520D"/>
    <w:rsid w:val="667B0114"/>
    <w:rsid w:val="66940880"/>
    <w:rsid w:val="66D35001"/>
    <w:rsid w:val="66F347C2"/>
    <w:rsid w:val="67086F0E"/>
    <w:rsid w:val="67087745"/>
    <w:rsid w:val="6716400D"/>
    <w:rsid w:val="67192A32"/>
    <w:rsid w:val="6722646D"/>
    <w:rsid w:val="677329AB"/>
    <w:rsid w:val="67A3240E"/>
    <w:rsid w:val="67C717AB"/>
    <w:rsid w:val="67D43B66"/>
    <w:rsid w:val="67EE3D0F"/>
    <w:rsid w:val="6800399D"/>
    <w:rsid w:val="6826511C"/>
    <w:rsid w:val="682D5AB2"/>
    <w:rsid w:val="682E5386"/>
    <w:rsid w:val="6833646B"/>
    <w:rsid w:val="683A1F7D"/>
    <w:rsid w:val="685017A0"/>
    <w:rsid w:val="68730EC9"/>
    <w:rsid w:val="68972E14"/>
    <w:rsid w:val="68A67612"/>
    <w:rsid w:val="68B25FB7"/>
    <w:rsid w:val="68D0468F"/>
    <w:rsid w:val="693379DF"/>
    <w:rsid w:val="69541292"/>
    <w:rsid w:val="69662BDD"/>
    <w:rsid w:val="696C085C"/>
    <w:rsid w:val="69A01EFB"/>
    <w:rsid w:val="69A27E33"/>
    <w:rsid w:val="69AB44CC"/>
    <w:rsid w:val="69AD3570"/>
    <w:rsid w:val="69CA7330"/>
    <w:rsid w:val="6A0049A7"/>
    <w:rsid w:val="6A0635E2"/>
    <w:rsid w:val="6A0E36C1"/>
    <w:rsid w:val="6A160721"/>
    <w:rsid w:val="6A34487E"/>
    <w:rsid w:val="6A3C2755"/>
    <w:rsid w:val="6A5A6906"/>
    <w:rsid w:val="6A5F58D0"/>
    <w:rsid w:val="6A64096B"/>
    <w:rsid w:val="6A6D03E7"/>
    <w:rsid w:val="6A94265F"/>
    <w:rsid w:val="6AB204F0"/>
    <w:rsid w:val="6ABE6E95"/>
    <w:rsid w:val="6AC87D14"/>
    <w:rsid w:val="6AD14111"/>
    <w:rsid w:val="6AD25ED5"/>
    <w:rsid w:val="6AF44665"/>
    <w:rsid w:val="6B006CAE"/>
    <w:rsid w:val="6B160215"/>
    <w:rsid w:val="6B2B4177"/>
    <w:rsid w:val="6B4C5683"/>
    <w:rsid w:val="6B4F1E4C"/>
    <w:rsid w:val="6B9A4681"/>
    <w:rsid w:val="6BC912DB"/>
    <w:rsid w:val="6BE93C8F"/>
    <w:rsid w:val="6C812851"/>
    <w:rsid w:val="6CA87DFD"/>
    <w:rsid w:val="6CC4450B"/>
    <w:rsid w:val="6D150CF3"/>
    <w:rsid w:val="6D154034"/>
    <w:rsid w:val="6D1D180E"/>
    <w:rsid w:val="6D4318D3"/>
    <w:rsid w:val="6D8343C6"/>
    <w:rsid w:val="6D9739CD"/>
    <w:rsid w:val="6DAD4F9F"/>
    <w:rsid w:val="6DC01176"/>
    <w:rsid w:val="6DC951C3"/>
    <w:rsid w:val="6DE36F16"/>
    <w:rsid w:val="6E10039F"/>
    <w:rsid w:val="6E201D51"/>
    <w:rsid w:val="6E4A5358"/>
    <w:rsid w:val="6E4C2A0A"/>
    <w:rsid w:val="6E5673E4"/>
    <w:rsid w:val="6E5D3388"/>
    <w:rsid w:val="6E807CF7"/>
    <w:rsid w:val="6E873EE3"/>
    <w:rsid w:val="6EBD7464"/>
    <w:rsid w:val="6EBE2716"/>
    <w:rsid w:val="6ED21161"/>
    <w:rsid w:val="6EFF9334"/>
    <w:rsid w:val="6F215C44"/>
    <w:rsid w:val="6F6C3363"/>
    <w:rsid w:val="6F814935"/>
    <w:rsid w:val="6FE37E94"/>
    <w:rsid w:val="6FEC1DAE"/>
    <w:rsid w:val="6FF24F26"/>
    <w:rsid w:val="70110CA4"/>
    <w:rsid w:val="70287453"/>
    <w:rsid w:val="702B57F4"/>
    <w:rsid w:val="703F7638"/>
    <w:rsid w:val="70944937"/>
    <w:rsid w:val="70A21873"/>
    <w:rsid w:val="70B07280"/>
    <w:rsid w:val="70D82F0C"/>
    <w:rsid w:val="70F129B2"/>
    <w:rsid w:val="71017ADB"/>
    <w:rsid w:val="710B2708"/>
    <w:rsid w:val="711D09B5"/>
    <w:rsid w:val="71430294"/>
    <w:rsid w:val="716D4322"/>
    <w:rsid w:val="717E2EDA"/>
    <w:rsid w:val="719C7804"/>
    <w:rsid w:val="71EA7D25"/>
    <w:rsid w:val="71F4319C"/>
    <w:rsid w:val="71F47640"/>
    <w:rsid w:val="72154882"/>
    <w:rsid w:val="72236D4F"/>
    <w:rsid w:val="7258197D"/>
    <w:rsid w:val="72604CD6"/>
    <w:rsid w:val="72F316A6"/>
    <w:rsid w:val="731D4975"/>
    <w:rsid w:val="732305A6"/>
    <w:rsid w:val="734041AE"/>
    <w:rsid w:val="73546AD5"/>
    <w:rsid w:val="73614861"/>
    <w:rsid w:val="73691968"/>
    <w:rsid w:val="739151FB"/>
    <w:rsid w:val="739369E5"/>
    <w:rsid w:val="73B04C2D"/>
    <w:rsid w:val="73B16901"/>
    <w:rsid w:val="73CD618F"/>
    <w:rsid w:val="73DF0768"/>
    <w:rsid w:val="742E35AD"/>
    <w:rsid w:val="743E1047"/>
    <w:rsid w:val="74443A53"/>
    <w:rsid w:val="745443C6"/>
    <w:rsid w:val="74A72014"/>
    <w:rsid w:val="74C90910"/>
    <w:rsid w:val="74EB3774"/>
    <w:rsid w:val="750E27C7"/>
    <w:rsid w:val="75231D3A"/>
    <w:rsid w:val="75571951"/>
    <w:rsid w:val="7566109E"/>
    <w:rsid w:val="757A1C0A"/>
    <w:rsid w:val="757C03AB"/>
    <w:rsid w:val="758D193E"/>
    <w:rsid w:val="758D7B90"/>
    <w:rsid w:val="758E5275"/>
    <w:rsid w:val="75907E1E"/>
    <w:rsid w:val="75C36B9F"/>
    <w:rsid w:val="75D62A0B"/>
    <w:rsid w:val="75DC4673"/>
    <w:rsid w:val="75E874BC"/>
    <w:rsid w:val="75FB71EF"/>
    <w:rsid w:val="760F67F7"/>
    <w:rsid w:val="762E22DC"/>
    <w:rsid w:val="7682470E"/>
    <w:rsid w:val="76A07D97"/>
    <w:rsid w:val="76DB25E6"/>
    <w:rsid w:val="76E41A31"/>
    <w:rsid w:val="76F13C5F"/>
    <w:rsid w:val="77141F5A"/>
    <w:rsid w:val="776F4B46"/>
    <w:rsid w:val="77884AB3"/>
    <w:rsid w:val="779276DF"/>
    <w:rsid w:val="77ED3E16"/>
    <w:rsid w:val="77ED7EF6"/>
    <w:rsid w:val="78073367"/>
    <w:rsid w:val="78174088"/>
    <w:rsid w:val="781B6EE3"/>
    <w:rsid w:val="78283BA0"/>
    <w:rsid w:val="783A38D3"/>
    <w:rsid w:val="78574485"/>
    <w:rsid w:val="786077DD"/>
    <w:rsid w:val="786B0E55"/>
    <w:rsid w:val="78A0407E"/>
    <w:rsid w:val="78AF70A8"/>
    <w:rsid w:val="78B11DE7"/>
    <w:rsid w:val="790C34C1"/>
    <w:rsid w:val="79844EF9"/>
    <w:rsid w:val="79B002F1"/>
    <w:rsid w:val="79C57453"/>
    <w:rsid w:val="79D35D8D"/>
    <w:rsid w:val="79F93A46"/>
    <w:rsid w:val="7A0432DF"/>
    <w:rsid w:val="7A70182E"/>
    <w:rsid w:val="7A7F3CDD"/>
    <w:rsid w:val="7A862E00"/>
    <w:rsid w:val="7AB23BF5"/>
    <w:rsid w:val="7AD46261"/>
    <w:rsid w:val="7AEF2B33"/>
    <w:rsid w:val="7B4A0FA0"/>
    <w:rsid w:val="7B516AFB"/>
    <w:rsid w:val="7B6F1AE6"/>
    <w:rsid w:val="7B810197"/>
    <w:rsid w:val="7BC160B7"/>
    <w:rsid w:val="7BD427EF"/>
    <w:rsid w:val="7BE95D3C"/>
    <w:rsid w:val="7BF070CA"/>
    <w:rsid w:val="7C136915"/>
    <w:rsid w:val="7C35285F"/>
    <w:rsid w:val="7C3662C4"/>
    <w:rsid w:val="7C776EA4"/>
    <w:rsid w:val="7CA468AE"/>
    <w:rsid w:val="7CB24380"/>
    <w:rsid w:val="7CE87DA1"/>
    <w:rsid w:val="7CFD581C"/>
    <w:rsid w:val="7D23702C"/>
    <w:rsid w:val="7D2544C4"/>
    <w:rsid w:val="7D2F777E"/>
    <w:rsid w:val="7D565D1B"/>
    <w:rsid w:val="7D6E64F9"/>
    <w:rsid w:val="7D8555F0"/>
    <w:rsid w:val="7DAA5057"/>
    <w:rsid w:val="7DB15743"/>
    <w:rsid w:val="7DD17ECA"/>
    <w:rsid w:val="7DD54E05"/>
    <w:rsid w:val="7DD6409E"/>
    <w:rsid w:val="7DE467BB"/>
    <w:rsid w:val="7DEC3371"/>
    <w:rsid w:val="7DF829EB"/>
    <w:rsid w:val="7E033940"/>
    <w:rsid w:val="7E5A0FB5"/>
    <w:rsid w:val="7E72E0EF"/>
    <w:rsid w:val="7E81225C"/>
    <w:rsid w:val="7EB643A4"/>
    <w:rsid w:val="7EB75C7D"/>
    <w:rsid w:val="7EFB4F6E"/>
    <w:rsid w:val="7F080287"/>
    <w:rsid w:val="7F377BAD"/>
    <w:rsid w:val="7F421D45"/>
    <w:rsid w:val="7F440142"/>
    <w:rsid w:val="7F8E14D9"/>
    <w:rsid w:val="7F9E2466"/>
    <w:rsid w:val="7FA7793D"/>
    <w:rsid w:val="7FAB29F1"/>
    <w:rsid w:val="7FB22C02"/>
    <w:rsid w:val="7FB24AC2"/>
    <w:rsid w:val="7FBA55C5"/>
    <w:rsid w:val="7FBF9197"/>
    <w:rsid w:val="7FDD1714"/>
    <w:rsid w:val="BFFFB51D"/>
    <w:rsid w:val="EAB1B374"/>
    <w:rsid w:val="EEBF9442"/>
    <w:rsid w:val="FEE3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33"/>
    <w:qFormat/>
    <w:uiPriority w:val="9"/>
    <w:pPr>
      <w:keepNext/>
      <w:keepLines/>
      <w:jc w:val="center"/>
      <w:outlineLvl w:val="0"/>
    </w:pPr>
    <w:rPr>
      <w:rFonts w:eastAsia="黑体"/>
      <w:bCs/>
      <w:kern w:val="44"/>
      <w:sz w:val="44"/>
      <w:szCs w:val="44"/>
    </w:rPr>
  </w:style>
  <w:style w:type="paragraph" w:styleId="5">
    <w:name w:val="heading 2"/>
    <w:basedOn w:val="1"/>
    <w:next w:val="1"/>
    <w:link w:val="31"/>
    <w:unhideWhenUsed/>
    <w:qFormat/>
    <w:uiPriority w:val="9"/>
    <w:pPr>
      <w:keepNext/>
      <w:keepLines/>
      <w:outlineLvl w:val="1"/>
    </w:pPr>
    <w:rPr>
      <w:rFonts w:cstheme="majorBidi"/>
      <w:b/>
      <w:bCs/>
      <w:szCs w:val="32"/>
    </w:rPr>
  </w:style>
  <w:style w:type="paragraph" w:styleId="6">
    <w:name w:val="heading 3"/>
    <w:basedOn w:val="1"/>
    <w:next w:val="1"/>
    <w:link w:val="53"/>
    <w:unhideWhenUsed/>
    <w:qFormat/>
    <w:uiPriority w:val="9"/>
    <w:pPr>
      <w:keepNext/>
      <w:keepLines/>
      <w:outlineLvl w:val="2"/>
    </w:pPr>
    <w:rPr>
      <w:b/>
      <w:bCs/>
      <w:szCs w:val="32"/>
    </w:rPr>
  </w:style>
  <w:style w:type="paragraph" w:styleId="7">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keepLines/>
      <w:widowControl w:val="0"/>
      <w:numPr>
        <w:ilvl w:val="4"/>
        <w:numId w:val="1"/>
      </w:numPr>
      <w:spacing w:line="360" w:lineRule="auto"/>
      <w:jc w:val="both"/>
      <w:outlineLvl w:val="4"/>
    </w:pPr>
    <w:rPr>
      <w:rFonts w:eastAsia="宋体"/>
      <w:kern w:val="2"/>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spacing w:line="480" w:lineRule="atLeast"/>
      <w:ind w:firstLine="547"/>
    </w:pPr>
    <w:rPr>
      <w:sz w:val="28"/>
      <w:szCs w:val="24"/>
    </w:rPr>
  </w:style>
  <w:style w:type="paragraph" w:styleId="3">
    <w:name w:val="Body Text"/>
    <w:basedOn w:val="1"/>
    <w:next w:val="1"/>
    <w:qFormat/>
    <w:uiPriority w:val="99"/>
    <w:rPr>
      <w:rFonts w:ascii="宋体"/>
      <w:kern w:val="0"/>
      <w:sz w:val="28"/>
      <w:szCs w:val="20"/>
    </w:rPr>
  </w:style>
  <w:style w:type="paragraph" w:styleId="9">
    <w:name w:val="toa heading"/>
    <w:basedOn w:val="1"/>
    <w:next w:val="1"/>
    <w:qFormat/>
    <w:uiPriority w:val="0"/>
    <w:pPr>
      <w:spacing w:before="120"/>
      <w:ind w:firstLine="0" w:firstLineChars="0"/>
    </w:pPr>
    <w:rPr>
      <w:rFonts w:ascii="Arial" w:hAnsi="Arial" w:cs="Arial"/>
      <w:szCs w:val="24"/>
    </w:rPr>
  </w:style>
  <w:style w:type="paragraph" w:styleId="10">
    <w:name w:val="annotation text"/>
    <w:basedOn w:val="1"/>
    <w:qFormat/>
    <w:uiPriority w:val="99"/>
    <w:pPr>
      <w:spacing w:line="240" w:lineRule="auto"/>
      <w:jc w:val="left"/>
    </w:pPr>
    <w:rPr>
      <w:sz w:val="21"/>
      <w:szCs w:val="20"/>
    </w:rPr>
  </w:style>
  <w:style w:type="paragraph" w:styleId="11">
    <w:name w:val="Body Text 3"/>
    <w:basedOn w:val="1"/>
    <w:link w:val="39"/>
    <w:unhideWhenUsed/>
    <w:qFormat/>
    <w:uiPriority w:val="99"/>
    <w:pPr>
      <w:spacing w:after="120"/>
    </w:pPr>
    <w:rPr>
      <w:rFonts w:cs="Times New Roman"/>
      <w:sz w:val="16"/>
      <w:szCs w:val="16"/>
    </w:rPr>
  </w:style>
  <w:style w:type="paragraph" w:styleId="12">
    <w:name w:val="Body Text Indent"/>
    <w:basedOn w:val="1"/>
    <w:next w:val="13"/>
    <w:qFormat/>
    <w:uiPriority w:val="99"/>
    <w:pPr>
      <w:ind w:firstLine="900"/>
    </w:pPr>
    <w:rPr>
      <w:sz w:val="28"/>
    </w:rPr>
  </w:style>
  <w:style w:type="paragraph" w:styleId="13">
    <w:name w:val="envelope return"/>
    <w:basedOn w:val="1"/>
    <w:unhideWhenUsed/>
    <w:qFormat/>
    <w:uiPriority w:val="99"/>
    <w:pPr>
      <w:snapToGrid w:val="0"/>
    </w:pPr>
    <w:rPr>
      <w:rFonts w:ascii="Arial" w:hAnsi="Arial"/>
    </w:rPr>
  </w:style>
  <w:style w:type="paragraph" w:styleId="14">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5">
    <w:name w:val="Plain Text"/>
    <w:basedOn w:val="1"/>
    <w:qFormat/>
    <w:uiPriority w:val="0"/>
    <w:pPr>
      <w:spacing w:line="580" w:lineRule="exact"/>
      <w:ind w:right="-197" w:firstLine="560"/>
    </w:pPr>
    <w:rPr>
      <w:rFonts w:ascii="黑体" w:hAnsi="Courier New" w:eastAsia="黑体"/>
      <w:sz w:val="28"/>
      <w:szCs w:val="20"/>
    </w:rPr>
  </w:style>
  <w:style w:type="paragraph" w:styleId="16">
    <w:name w:val="Date"/>
    <w:basedOn w:val="1"/>
    <w:next w:val="1"/>
    <w:link w:val="42"/>
    <w:semiHidden/>
    <w:unhideWhenUsed/>
    <w:qFormat/>
    <w:uiPriority w:val="99"/>
    <w:pPr>
      <w:ind w:left="100" w:leftChars="2500"/>
    </w:pPr>
  </w:style>
  <w:style w:type="paragraph" w:styleId="17">
    <w:name w:val="Body Text Indent 2"/>
    <w:basedOn w:val="1"/>
    <w:link w:val="43"/>
    <w:unhideWhenUsed/>
    <w:qFormat/>
    <w:uiPriority w:val="99"/>
    <w:pPr>
      <w:spacing w:after="120" w:line="480" w:lineRule="auto"/>
      <w:ind w:left="420" w:leftChars="200"/>
    </w:pPr>
  </w:style>
  <w:style w:type="paragraph" w:styleId="18">
    <w:name w:val="Balloon Text"/>
    <w:basedOn w:val="1"/>
    <w:link w:val="58"/>
    <w:semiHidden/>
    <w:unhideWhenUsed/>
    <w:qFormat/>
    <w:uiPriority w:val="99"/>
    <w:pPr>
      <w:spacing w:line="240" w:lineRule="auto"/>
    </w:pPr>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2">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3">
    <w:name w:val="Normal (Web)"/>
    <w:basedOn w:val="1"/>
    <w:unhideWhenUsed/>
    <w:qFormat/>
    <w:uiPriority w:val="99"/>
  </w:style>
  <w:style w:type="paragraph" w:styleId="24">
    <w:name w:val="Title"/>
    <w:basedOn w:val="1"/>
    <w:next w:val="1"/>
    <w:qFormat/>
    <w:uiPriority w:val="0"/>
    <w:pPr>
      <w:jc w:val="left"/>
      <w:outlineLvl w:val="2"/>
    </w:pPr>
    <w:rPr>
      <w:rFonts w:ascii="宋体" w:hAnsi="宋体"/>
      <w:b/>
      <w:bCs/>
      <w:kern w:val="0"/>
      <w:sz w:val="28"/>
      <w:szCs w:val="32"/>
    </w:rPr>
  </w:style>
  <w:style w:type="paragraph" w:styleId="25">
    <w:name w:val="Body Text First Indent 2"/>
    <w:basedOn w:val="12"/>
    <w:qFormat/>
    <w:uiPriority w:val="0"/>
    <w:pPr>
      <w:spacing w:after="120"/>
      <w:ind w:left="420" w:leftChars="200" w:firstLine="420"/>
    </w:pPr>
    <w:rPr>
      <w:rFonts w:cs="宋体"/>
      <w:sz w:val="21"/>
      <w:szCs w:val="21"/>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Hyperlink"/>
    <w:qFormat/>
    <w:uiPriority w:val="99"/>
    <w:rPr>
      <w:color w:val="0000FF"/>
      <w:u w:val="single"/>
    </w:rPr>
  </w:style>
  <w:style w:type="character" w:customStyle="1" w:styleId="31">
    <w:name w:val="标题 2 Char"/>
    <w:basedOn w:val="28"/>
    <w:link w:val="5"/>
    <w:qFormat/>
    <w:uiPriority w:val="9"/>
    <w:rPr>
      <w:rFonts w:ascii="Times New Roman" w:hAnsi="Times New Roman" w:eastAsia="宋体" w:cstheme="majorBidi"/>
      <w:b/>
      <w:bCs/>
      <w:sz w:val="24"/>
      <w:szCs w:val="32"/>
    </w:rPr>
  </w:style>
  <w:style w:type="character" w:customStyle="1" w:styleId="32">
    <w:name w:val="标题 3 字符"/>
    <w:basedOn w:val="28"/>
    <w:qFormat/>
    <w:uiPriority w:val="9"/>
    <w:rPr>
      <w:rFonts w:ascii="Times New Roman" w:hAnsi="Times New Roman" w:eastAsia="宋体"/>
      <w:b/>
      <w:bCs/>
      <w:sz w:val="24"/>
      <w:szCs w:val="32"/>
    </w:rPr>
  </w:style>
  <w:style w:type="character" w:customStyle="1" w:styleId="33">
    <w:name w:val="标题 1 Char"/>
    <w:basedOn w:val="28"/>
    <w:link w:val="4"/>
    <w:qFormat/>
    <w:uiPriority w:val="9"/>
    <w:rPr>
      <w:rFonts w:eastAsia="黑体"/>
      <w:bCs/>
      <w:kern w:val="44"/>
      <w:sz w:val="44"/>
      <w:szCs w:val="44"/>
    </w:rPr>
  </w:style>
  <w:style w:type="paragraph" w:customStyle="1" w:styleId="34">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5">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6">
    <w:name w:val="页眉 Char"/>
    <w:basedOn w:val="28"/>
    <w:link w:val="20"/>
    <w:qFormat/>
    <w:uiPriority w:val="99"/>
    <w:rPr>
      <w:sz w:val="18"/>
      <w:szCs w:val="18"/>
    </w:rPr>
  </w:style>
  <w:style w:type="character" w:customStyle="1" w:styleId="37">
    <w:name w:val="页脚 Char"/>
    <w:basedOn w:val="28"/>
    <w:link w:val="19"/>
    <w:qFormat/>
    <w:uiPriority w:val="99"/>
    <w:rPr>
      <w:sz w:val="18"/>
      <w:szCs w:val="18"/>
    </w:rPr>
  </w:style>
  <w:style w:type="character" w:customStyle="1" w:styleId="38">
    <w:name w:val="标题 4 Char"/>
    <w:basedOn w:val="28"/>
    <w:link w:val="7"/>
    <w:qFormat/>
    <w:uiPriority w:val="9"/>
    <w:rPr>
      <w:rFonts w:asciiTheme="majorHAnsi" w:hAnsiTheme="majorHAnsi" w:eastAsiaTheme="majorEastAsia" w:cstheme="majorBidi"/>
      <w:b/>
      <w:bCs/>
      <w:sz w:val="28"/>
      <w:szCs w:val="28"/>
    </w:rPr>
  </w:style>
  <w:style w:type="character" w:customStyle="1" w:styleId="39">
    <w:name w:val="正文文本 3 Char"/>
    <w:basedOn w:val="28"/>
    <w:link w:val="11"/>
    <w:qFormat/>
    <w:uiPriority w:val="99"/>
    <w:rPr>
      <w:rFonts w:ascii="Times New Roman" w:hAnsi="Times New Roman" w:eastAsia="宋体" w:cs="Times New Roman"/>
      <w:sz w:val="16"/>
      <w:szCs w:val="16"/>
    </w:rPr>
  </w:style>
  <w:style w:type="paragraph" w:styleId="40">
    <w:name w:val="List Paragraph"/>
    <w:basedOn w:val="1"/>
    <w:qFormat/>
    <w:uiPriority w:val="99"/>
    <w:pPr>
      <w:ind w:firstLine="420"/>
    </w:pPr>
    <w:rPr>
      <w:rFonts w:cs="Times New Roman"/>
      <w:szCs w:val="24"/>
    </w:rPr>
  </w:style>
  <w:style w:type="character" w:customStyle="1" w:styleId="41">
    <w:name w:val="未处理的提及1"/>
    <w:basedOn w:val="28"/>
    <w:semiHidden/>
    <w:unhideWhenUsed/>
    <w:qFormat/>
    <w:uiPriority w:val="99"/>
    <w:rPr>
      <w:color w:val="605E5C"/>
      <w:shd w:val="clear" w:color="auto" w:fill="E1DFDD"/>
    </w:rPr>
  </w:style>
  <w:style w:type="character" w:customStyle="1" w:styleId="42">
    <w:name w:val="日期 Char"/>
    <w:basedOn w:val="28"/>
    <w:link w:val="16"/>
    <w:semiHidden/>
    <w:qFormat/>
    <w:uiPriority w:val="99"/>
    <w:rPr>
      <w:rFonts w:ascii="Times New Roman" w:hAnsi="Times New Roman" w:eastAsia="宋体"/>
      <w:sz w:val="24"/>
    </w:rPr>
  </w:style>
  <w:style w:type="character" w:customStyle="1" w:styleId="43">
    <w:name w:val="正文文本缩进 2 Char"/>
    <w:basedOn w:val="28"/>
    <w:link w:val="17"/>
    <w:semiHidden/>
    <w:qFormat/>
    <w:uiPriority w:val="99"/>
    <w:rPr>
      <w:rFonts w:ascii="Times New Roman" w:hAnsi="Times New Roman" w:eastAsia="宋体"/>
      <w:sz w:val="24"/>
    </w:rPr>
  </w:style>
  <w:style w:type="paragraph" w:customStyle="1" w:styleId="44">
    <w:name w:val="TOC 标题1"/>
    <w:basedOn w:val="4"/>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7">
    <w:name w:val="font31"/>
    <w:basedOn w:val="28"/>
    <w:qFormat/>
    <w:uiPriority w:val="0"/>
    <w:rPr>
      <w:rFonts w:hint="eastAsia" w:ascii="宋体" w:hAnsi="宋体" w:eastAsia="宋体" w:cs="宋体"/>
      <w:b/>
      <w:bCs/>
      <w:color w:val="000000"/>
      <w:sz w:val="21"/>
      <w:szCs w:val="21"/>
      <w:u w:val="none"/>
    </w:rPr>
  </w:style>
  <w:style w:type="character" w:customStyle="1" w:styleId="48">
    <w:name w:val="font41"/>
    <w:basedOn w:val="28"/>
    <w:qFormat/>
    <w:uiPriority w:val="0"/>
    <w:rPr>
      <w:rFonts w:hint="eastAsia" w:ascii="宋体" w:hAnsi="宋体" w:eastAsia="宋体" w:cs="宋体"/>
      <w:color w:val="000000"/>
      <w:sz w:val="21"/>
      <w:szCs w:val="21"/>
      <w:u w:val="none"/>
    </w:rPr>
  </w:style>
  <w:style w:type="character" w:customStyle="1" w:styleId="49">
    <w:name w:val="font21"/>
    <w:basedOn w:val="28"/>
    <w:qFormat/>
    <w:uiPriority w:val="0"/>
    <w:rPr>
      <w:rFonts w:hint="eastAsia" w:ascii="宋体" w:hAnsi="宋体" w:eastAsia="宋体" w:cs="宋体"/>
      <w:color w:val="000000"/>
      <w:sz w:val="22"/>
      <w:szCs w:val="22"/>
      <w:u w:val="none"/>
    </w:rPr>
  </w:style>
  <w:style w:type="character" w:customStyle="1" w:styleId="50">
    <w:name w:val="font51"/>
    <w:basedOn w:val="28"/>
    <w:qFormat/>
    <w:uiPriority w:val="0"/>
    <w:rPr>
      <w:rFonts w:hint="default" w:ascii="Times New Roman" w:hAnsi="Times New Roman" w:cs="Times New Roman"/>
      <w:color w:val="000000"/>
      <w:sz w:val="20"/>
      <w:szCs w:val="20"/>
      <w:u w:val="single"/>
    </w:rPr>
  </w:style>
  <w:style w:type="character" w:customStyle="1" w:styleId="51">
    <w:name w:val="font01"/>
    <w:basedOn w:val="28"/>
    <w:qFormat/>
    <w:uiPriority w:val="0"/>
    <w:rPr>
      <w:rFonts w:hint="eastAsia" w:ascii="宋体" w:hAnsi="宋体" w:eastAsia="宋体" w:cs="宋体"/>
      <w:color w:val="000000"/>
      <w:sz w:val="24"/>
      <w:szCs w:val="24"/>
      <w:u w:val="none"/>
    </w:rPr>
  </w:style>
  <w:style w:type="paragraph" w:customStyle="1" w:styleId="52">
    <w:name w:val="样式 标题 2标题 1.1编号标题2Reset numberingh2MVA2ERMH2 + 宋体 四号 行距:..."/>
    <w:basedOn w:val="5"/>
    <w:qFormat/>
    <w:uiPriority w:val="0"/>
    <w:pPr>
      <w:spacing w:line="320" w:lineRule="exact"/>
      <w:ind w:firstLine="1281"/>
    </w:pPr>
    <w:rPr>
      <w:rFonts w:ascii="宋体" w:hAnsi="宋体" w:cs="宋体"/>
      <w:sz w:val="28"/>
    </w:rPr>
  </w:style>
  <w:style w:type="character" w:customStyle="1" w:styleId="53">
    <w:name w:val="标题 3 Char"/>
    <w:link w:val="6"/>
    <w:qFormat/>
    <w:uiPriority w:val="0"/>
    <w:rPr>
      <w:b/>
      <w:bCs/>
      <w:kern w:val="2"/>
      <w:sz w:val="32"/>
      <w:szCs w:val="32"/>
    </w:rPr>
  </w:style>
  <w:style w:type="paragraph" w:customStyle="1" w:styleId="54">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6">
    <w:name w:val="网格型1"/>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网格型2"/>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框文本 Char"/>
    <w:basedOn w:val="28"/>
    <w:link w:val="18"/>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20507</Words>
  <Characters>21945</Characters>
  <Lines>178</Lines>
  <Paragraphs>50</Paragraphs>
  <TotalTime>82</TotalTime>
  <ScaleCrop>false</ScaleCrop>
  <LinksUpToDate>false</LinksUpToDate>
  <CharactersWithSpaces>23476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2023-11-28T10:17:00Z</dcterms:created>
  <dc:creator>赵 伟</dc:creator>
  <cp:lastModifiedBy>小辞</cp:lastModifiedBy>
  <cp:lastPrinted>2026-04-20T06:02:24Z</cp:lastPrinted>
  <dcterms:modified xsi:type="dcterms:W3CDTF">2026-04-20T06:52:24Z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DCEB12E18FD74BAEA17D280F9B4F7CAD_13</vt:lpwstr>
  </property>
  <property fmtid="{D5CDD505-2E9C-101B-9397-08002B2CF9AE}" pid="4" name="KSOTemplateDocerSaveRecord">
    <vt:lpwstr>eyJoZGlkIjoiYmFjMmM5MTdmNzFiNjgwMDRmMjM3NjVlNDA3Y2E2MDciLCJ1c2VySWQiOiIxMTU3NTk4NTgwIn0=</vt:lpwstr>
  </property>
</Properties>
</file>